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苏州市吴江区政府采购</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招 标 文 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8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84"/>
        </w:rPr>
        <w:t xml:space="preserve"> </w:t>
      </w:r>
      <w:r/>
    </w:p>
    <w:p>
      <w:pPr>
        <w:ind w:left="0" w:right="0" w:firstLine="128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项目名称：消防中队泡沫水罐消防车</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项目编号：JSZC-320509-SZJX-G2026-0048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苏州捷信招投标咨询有限公司</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二〇二六年八月</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line="113" w:lineRule="atLeast"/>
        <w:rPr>
          <w:rFonts w:ascii="SimSun" w:hAnsi="SimSun" w:eastAsia="SimSun" w:cs="SimSun"/>
          <w:color w:val="000000"/>
          <w:sz w:val="22"/>
          <w:szCs w:val="22"/>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none"/>
        </w:rPr>
      </w:r>
      <w:r>
        <w:rPr>
          <w:rFonts w:ascii="SimSun" w:hAnsi="SimSun" w:eastAsia="SimSun" w:cs="SimSun"/>
          <w:color w:val="000000"/>
          <w:sz w:val="22"/>
          <w:highlight w:val="none"/>
        </w:rP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b/>
          <w:color w:val="000000"/>
          <w:sz w:val="44"/>
        </w:rPr>
        <w:t xml:space="preserve">总目录</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第一章投标邀请</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第二章投标人须知</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第三章合同文本</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第四章招标需求</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第五章评标方法与评标标准</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第六章投标文件格式</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第一章投标邀请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项目概况</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消防中队泡沫水罐消防车（项目编号：JSZC-320509-SZJX-G2026-0048号）公开招标项目的潜在供应商应在江苏省政府采购一体化平台“苏采云”系统自行免费下载获取招标文件，并于2026年9月3日13:30 （北京时间）前递交投标文件。</w:t>
      </w:r>
      <w:r>
        <w:rPr>
          <w:sz w:val="22"/>
        </w:rPr>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一、项目基本情况</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1.项目编号：JSZC-320509-SZJX-G2026-0048</w:t>
      </w: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2.项目名称：消防中队泡沫水罐消防车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3.预算金额：人民币壹佰捌拾万元整（小写：1800000.00元）</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最高限价：人民币壹佰捌拾万元整（小写：1800000.00元）</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采购方式：公开招标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4.采购需求：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4.1项目概况：车辆采购，用于区域消防站灭火救援。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4.2 采购清单：</w:t>
      </w:r>
      <w:r/>
    </w:p>
    <w:tbl>
      <w:tblPr>
        <w:tblStyle w:val="70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44"/>
        <w:gridCol w:w="2516"/>
        <w:gridCol w:w="1079"/>
        <w:gridCol w:w="1053"/>
        <w:gridCol w:w="2930"/>
      </w:tblGrid>
      <w:tr>
        <w:trPr>
          <w:trHeight w:val="60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16"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7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5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3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备注</w:t>
            </w:r>
            <w:r/>
          </w:p>
        </w:tc>
      </w:tr>
      <w:tr>
        <w:trPr>
          <w:trHeight w:val="4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16"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泡沫水罐消防车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3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不接受整车进口产品投标</w:t>
            </w:r>
            <w:r/>
          </w:p>
        </w:tc>
      </w:tr>
    </w:tbl>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5.交货地点：具体按招标单位指定地点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6.合同履行期限：自合同签订生效之日起90个工作日内完成全部采购内容的供货、安装、调试并交付正常使用，具体根据招标单位要求；整车质保1年，免费保修期自货物验收合格之日起计算。</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7.验收标准：根据招标文件提出的要求由招标单位进行验收</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二、申请人的资格要求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1.满足《中华人民共和国政府采购法》第二十二条规定：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 具有独立承担民事责任的能力；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 具有良好的商业信誉和健全的财务会计制度；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 具有履行合同所必需的设备和专业技术能力；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 有依法缴纳税收和社会保障资金的良好记录；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 参加政府采购活动前三年内，在经营活动中没有重大违法记录；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 符合法律、行政法规规定的其他条件。</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2.落实政府采购政策需满足的资格要求：</w:t>
      </w:r>
      <w:r>
        <w:rPr>
          <w:rFonts w:ascii="SimSun" w:hAnsi="SimSun" w:eastAsia="SimSun" w:cs="SimSun"/>
          <w:b/>
          <w:color w:val="000000"/>
          <w:sz w:val="22"/>
        </w:rPr>
        <w:t xml:space="preserve">根据《政府采购促进中小企业发展管理办法》的相关规定，本项目专门面向中小企业采购，本项目所属行业为工业</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3.本项目不接受联合体参与投标，不得转包、分包本项目。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4.本项目的特定资格要求：无。</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三、获取招标文件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1.时间：自招标公告发布之日起至2026年8月19日截止。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2.方式：在“苏采云”系统自行免费下载招标文件。</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四、提交投标文件截止时间</w:t>
      </w:r>
      <w:r>
        <w:rPr>
          <w:rFonts w:ascii="SimSun" w:hAnsi="SimSun" w:eastAsia="SimSun" w:cs="SimSun"/>
          <w:b/>
          <w:color w:val="000000"/>
          <w:sz w:val="21"/>
        </w:rPr>
        <w:t xml:space="preserve">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1.投标文件接收截止时间：2026年9月3日</w:t>
      </w:r>
      <w:r>
        <w:rPr>
          <w:rFonts w:ascii="SimSun" w:hAnsi="SimSun" w:eastAsia="SimSun" w:cs="SimSun"/>
          <w:b/>
          <w:color w:val="000000"/>
          <w:sz w:val="21"/>
        </w:rPr>
        <w:t xml:space="preserve"> </w:t>
      </w:r>
      <w:r>
        <w:rPr>
          <w:rFonts w:ascii="SimSun" w:hAnsi="SimSun" w:eastAsia="SimSun" w:cs="SimSun"/>
          <w:b/>
          <w:color w:val="000000"/>
          <w:sz w:val="22"/>
        </w:rPr>
        <w:t xml:space="preserve">13点30分（北京时间）。</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2.地点：“苏采云”系统（网址：https://jszfcg.jsczt.cn/）。</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3.方式：投标文件网上递交，不需要现场参加采购活动，无需提供纸质投标文件。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本项目采用电子招投标形式，请投标单位按照《苏采云系统供应商操作手册》进行制作、上传电子投标（响应）文件。电子投标（响应）文件制作完成后请于投标（响应）文件递交截止时间前成功上传至“苏采云”系统，否则视为放弃参加该采购项目。投标单位应充分考虑到网络环境、网络带宽等风险因素，如因投标单位自身原因造成的电子响应文件上传不成功由投标单位自行承担全部责任。</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五、开启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1.时间：2026年9月3日</w:t>
      </w:r>
      <w:r>
        <w:rPr>
          <w:rFonts w:ascii="SimSun" w:hAnsi="SimSun" w:eastAsia="SimSun" w:cs="SimSun"/>
          <w:color w:val="000000"/>
          <w:sz w:val="21"/>
        </w:rPr>
        <w:t xml:space="preserve"> </w:t>
      </w:r>
      <w:r>
        <w:rPr>
          <w:rFonts w:ascii="SimSun" w:hAnsi="SimSun" w:eastAsia="SimSun" w:cs="SimSun"/>
          <w:color w:val="000000"/>
          <w:sz w:val="22"/>
        </w:rPr>
        <w:t xml:space="preserve">13点30分（北京时间）；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2.地点：“苏采云”系统（网址：https://jszfcg.jsczt.cn/）</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rPr>
          <w:rFonts w:ascii="SimSun" w:hAnsi="SimSun" w:eastAsia="SimSun" w:cs="SimSun"/>
          <w:b/>
          <w:color w:val="000000"/>
          <w:sz w:val="22"/>
        </w:rPr>
        <w:t xml:space="preserve">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响应）文件，如在系统规定的解密时间（投标（响应）文件提交截止时间后30分钟）内未能完成解密的视为放弃投标（响应）。请供应商确保电脑、系统及其他设备（视频输入输出设备等）无误，且开标直至项目结束始终保持系统在线状态。</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六、公告期限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自本公告发布之日起5个工作日。</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七、其他补充事宜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1.本项目获取招标文件截止日期之后仍可以下载招标文件，但截止日期之后下载的招标文件，视为非有效方式且不作为供应商权益受到损害的证明材料和依据。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2.单位负责人为同一人或存在直接控股、管理关系的不同供应商，不得参加同一合同项下的政府采购活动。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3.为采购项目提供整体设计、规范编制或者项目管理、监理、检测等服务的供应商，不得再参加该采购项目的其他采购活动。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4.CA证书办理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参与政府采购活动需办理江苏省电子政务证书认证中心CA证书和方正国际软件（北京）有限公司电子签章。此句无错误。CA证书及电子签章的办理方法详见苏州市政府采购网——法规政策——《转发省财政厅关于更换全省政府采购交易系统CA数字证书和电子签章的通知》或者“苏采云”系统登录界面中的“新CA办理指南”。</w:t>
      </w:r>
      <w:r>
        <w:rPr>
          <w:rFonts w:ascii="SimSun" w:hAnsi="SimSun" w:eastAsia="SimSun" w:cs="SimSun"/>
          <w:b/>
          <w:color w:val="000000"/>
          <w:sz w:val="22"/>
        </w:rPr>
        <w:t xml:space="preserve">“苏采云”系统目前仅支持“苏采云”系统下的政务CA证书，江苏省内各地区办理的“苏采云”系统下的政务CA证书全省通用。</w:t>
      </w:r>
      <w:r>
        <w:rPr>
          <w:rFonts w:ascii="SimSun" w:hAnsi="SimSun" w:eastAsia="SimSun" w:cs="SimSun"/>
          <w:color w:val="000000"/>
          <w:sz w:val="22"/>
        </w:rPr>
        <w:t xml:space="preserve">苏州现场办理地址：苏州市高新区邓蔚路105号狮山科技馆一楼服务大厅，咨询电话：0512-65737699。</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5.参与采购活动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插入CA证书登录“苏采云”系统后选择具体项目，点击“我要参与”并签章提交《投标供应商确认函》，提交《投标供应商确认函》的日期视同为依法获取招标（采购）文件的日期。供应商须打印、保留《投标供应商确认函》，质疑时《投标供应商确认函》与质疑函一并提交；未依照招标（采购）公告要求提交《投标供应商确认函》的供应商，视为未参与该项政府采购活动，不具备对该政府采购项目提出质疑的法定权利，但因供应商资格条件或获取招标（采购）文件时间设定不符合有关法律法规规定等原因使供应商权益受损的除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6.电子投标（响应）准备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在系统操作过程中如有疑问，请按以下方式联系：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CA技术咨询电话：400-608-6099；电子签章技术咨询服务电话：15380932027、15371015030、13675197356、 13675197221；</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“苏采云”平台技术咨询电话：0512-69820854、0519-86722802、13914088964、18261002950。</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7.本次采购的相关信息刊登在中国政府采购网、江苏政府采购网及苏州市政府采购网。</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八、本次采购联系方式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1.采购人信息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名</w:t>
      </w:r>
      <w:r>
        <w:rPr>
          <w:rFonts w:ascii="SimSun" w:hAnsi="SimSun" w:eastAsia="SimSun" w:cs="SimSun"/>
          <w:color w:val="000000"/>
          <w:sz w:val="21"/>
        </w:rPr>
        <w:t xml:space="preserve"> </w:t>
      </w:r>
      <w:r>
        <w:rPr>
          <w:rFonts w:ascii="SimSun" w:hAnsi="SimSun" w:eastAsia="SimSun" w:cs="SimSun"/>
          <w:color w:val="000000"/>
          <w:sz w:val="22"/>
        </w:rPr>
        <w:t xml:space="preserve">称：苏州市吴江区七都镇人民政府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地址：苏州市吴江区七都镇七都大道1688号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联系人：孟凡金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联系方式：0512-63813119</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2.采购代理机构信息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名</w:t>
      </w:r>
      <w:r>
        <w:rPr>
          <w:rFonts w:ascii="SimSun" w:hAnsi="SimSun" w:eastAsia="SimSun" w:cs="SimSun"/>
          <w:color w:val="000000"/>
          <w:sz w:val="21"/>
        </w:rPr>
        <w:t xml:space="preserve"> </w:t>
      </w:r>
      <w:r>
        <w:rPr>
          <w:rFonts w:ascii="SimSun" w:hAnsi="SimSun" w:eastAsia="SimSun" w:cs="SimSun"/>
          <w:color w:val="000000"/>
          <w:sz w:val="22"/>
        </w:rPr>
        <w:t xml:space="preserve">称：苏州捷信招投标咨询有限公司</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地址：苏州市南园北路118号天和商务大厦6-206</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联系人：张瑾、丁亚萍、汪业超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联系方式：0512-65200361</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rPr>
          <w:rFonts w:ascii="SimHei" w:hAnsi="SimHei" w:eastAsia="SimHei" w:cs="SimHei"/>
          <w:sz w:val="22"/>
        </w:rPr>
      </w:r>
      <w:r/>
    </w:p>
    <w:p>
      <w:pPr>
        <w:ind w:left="0" w:right="0" w:firstLine="0"/>
        <w:jc w:val="both"/>
        <w:spacing w:before="0" w:after="0" w:line="85" w:lineRule="atLeast"/>
        <w:rPr>
          <w:rFonts w:ascii="SimSun" w:hAnsi="SimSun" w:eastAsia="SimSun" w:cs="SimSun"/>
          <w:color w:val="000000"/>
          <w:sz w:val="22"/>
          <w:szCs w:val="22"/>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rPr>
          <w:rFonts w:ascii="SimHei" w:hAnsi="SimHei" w:eastAsia="SimHei" w:cs="SimHei"/>
          <w:sz w:val="22"/>
        </w:rPr>
      </w:r>
      <w:r/>
    </w:p>
    <w:p>
      <w:pPr>
        <w:ind w:left="0" w:right="0" w:firstLine="0"/>
        <w:jc w:val="center"/>
        <w:spacing w:before="0" w:after="0" w:line="85" w:lineRule="atLeast"/>
        <w:rPr>
          <w:rFonts w:ascii="SimHei" w:hAnsi="SimHei" w:eastAsia="SimHei" w:cs="SimHei"/>
          <w:sz w:val="22"/>
          <w:szCs w:val="22"/>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r>
      <w:r>
        <w:rPr>
          <w:rFonts w:ascii="SimSun" w:hAnsi="SimSun" w:eastAsia="SimSun" w:cs="SimSun"/>
          <w:b/>
          <w:color w:val="000000"/>
          <w:sz w:val="44"/>
        </w:rPr>
        <w:t xml:space="preserve">第二章</w:t>
      </w:r>
      <w:r>
        <w:rPr>
          <w:rFonts w:ascii="SimSun" w:hAnsi="SimSun" w:eastAsia="SimSun" w:cs="SimSun"/>
          <w:b/>
          <w:color w:val="000000"/>
          <w:sz w:val="44"/>
        </w:rPr>
        <w:t xml:space="preserve">投标人须知</w:t>
      </w:r>
      <w:r>
        <w:rPr>
          <w:rFonts w:ascii="SimHei" w:hAnsi="SimHei" w:eastAsia="SimHei" w:cs="SimHei"/>
          <w:sz w:val="22"/>
        </w:rPr>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一、总则</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1.采购方式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 本次政府采购活动采取公开招标（以下简称招标）方式，本招标文件仅适用于招标公告中所述项目。</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2.合格的供应商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 满足招标公告中供应商资格要求的规定。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 满足本招标文件实质性要求和条件。</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3.适用法律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3.1 本次招标及由此产生的合同受中华人民共和国有关的法律法规制约和保护。</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4.投标费用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4.1投标单位应自行承担所有与参加本次投标有关的费用，无论投标过程中的做法和结果如何，招标单位、苏州捷信招投标咨询有限公司（以下简称招标代理机构）在任何情况下均无义务和责任承担这些费用。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4.2因本次项目预算中已包含中标服务费，故本项目中标服务费由中标单位支付。本项目中标服务费为人民币贰万叁仟元整（小写：23000.00元）。</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中标服务费账户名：苏州捷信招投标咨询有限公司，账号：543058195260，开户银行：中国银行苏州南园支行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请中标单位将公司开票信息以Word文档格式发送至邮箱：szjiexin2011@163.com。中标供应商凭已缴纳代理服务费的银行回单至代理机构领取成交通知书、合同。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4.3 本项目专家评审费用由招标单位支付。</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5.招标文件的约束力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5.1供应商一旦参加本项目采购活动，即被认为接受了本招标文件的规定和约束。</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二、招标文件</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6.招标文件构成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6.1招标文件由以下部分组成：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（1）投标邀请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（2）投标人须知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（3）合同文本</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（4）采购需求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（5）评标方法与评标标准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（6）投标文件格式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请仔细检查招标文件是否齐全，如有缺漏请立即与招标代理机构联系解决。</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单位自行承担。</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7.招标文件的澄清和修改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7.1 在投标文件提交截止时间之前，招标代理机构可以对招标文件进行澄清和修改， 澄清或者修改的内容作为招标文件的组成部分。澄清或者修改的内容可能影响投标文件编制的，招标代理机构将在提交首次投标文件截止时间至少15日前，在“苏州市政府采购网”上发布书面更正公告形式通知所有获取招标文件的潜在投标人， 更正公告内容将作为招标文件的组成部分，并对投标人具有约束力。不足15日的，招标代理机构将顺延提交首次投标文件截止时间。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7.2招标单位可以视采购项目的具体情况，组织投标单位进行现场考察或召开招标前答疑会，但不单独或分别组织只有一个投标单位参加的现场考察和答疑会。</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三、投标文件的编制</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8.投标文件的语言及度量衡单位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8.1投标单位提交的投标文件以及投标单位与招标代理机构就有关招标的所有来往通知、函件和文件均应使用简体中文。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8.2 除技术性能另有规定外，投标文件所使用的度量衡单位，均须采用国家法定计量单位。</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9.投标文件构成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9.1投标单位编写的投标文件应包括资格证明文件、符合性证明文件、投标报价明细表、技术要求响应及偏离表、商务要求响应及偏离表、其他证明文件、投标函等部分。</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9.1.1资格证明文件</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（1）具有独立承担民事责任的能力证明。提供包括法人或者其他组织的营业执照等证明文件。</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（2）具有良好的商业信誉和健全的财务会计制度证明，提供最近一期（2025年度）经审计的财务报告，或银行出具的资信证明，或财政部门认可的政府采购专业担保机构出具的投标担保函。</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（3）履行合同所必备的设备和专业技术能力的证明材料或承诺。</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4）有依法缴纳税收和社会保障资金的良好记录（提供参加采购活动前最近一期完税证明及参加采购活动前最近一期社会保险的凭据（专用收据或社会保险缴纳清单），依法免税或不需要缴纳社会保障资金的供应商，应提供对应证明文件。所提供材料需能清晰辨别，否则不予认可。</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（5）参加政府采购活动前三年内在经营活动中没有重大违法记录的书面声明函（格式见第六章）。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（6）《中小企业声明函》（格式见第六章）。</w:t>
      </w:r>
      <w:r>
        <w:rPr>
          <w:rFonts w:ascii="SimSun" w:hAnsi="SimSun" w:eastAsia="SimSun" w:cs="SimSun"/>
          <w:b/>
          <w:color w:val="000000"/>
          <w:sz w:val="22"/>
        </w:rPr>
        <w:t xml:space="preserve">未提供，不享受中小企业扶持政策；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（7）《残疾人福利性单位声明函》（格式见第六章）。</w:t>
      </w:r>
      <w:r>
        <w:rPr>
          <w:rFonts w:ascii="SimSun" w:hAnsi="SimSun" w:eastAsia="SimSun" w:cs="SimSun"/>
          <w:b/>
          <w:color w:val="000000"/>
          <w:sz w:val="22"/>
        </w:rPr>
        <w:t xml:space="preserve">未提供，视为非残疾人福利性单位，不视同小微企业，不享受残疾人福利性单位政策；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（8）监狱企业证明文件（格式见第六章），由省级以上监狱管理局、戒毒管理局（含新疆生产建设兵团）出具。</w:t>
      </w:r>
      <w:r>
        <w:rPr>
          <w:rFonts w:ascii="SimSun" w:hAnsi="SimSun" w:eastAsia="SimSun" w:cs="SimSun"/>
          <w:b/>
          <w:color w:val="000000"/>
          <w:sz w:val="22"/>
        </w:rPr>
        <w:t xml:space="preserve">未提供视为非监狱企业，不视同小微企业，不享受监狱企业政策。</w:t>
      </w:r>
      <w:r/>
    </w:p>
    <w:p>
      <w:pPr>
        <w:ind w:left="0" w:right="0" w:firstLine="422"/>
        <w:spacing w:before="240" w:after="240" w:line="85" w:lineRule="atLeast"/>
        <w:tabs>
          <w:tab w:val="left" w:pos="851"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u w:val="single"/>
        </w:rPr>
        <w:t xml:space="preserve">以上（1）—（5）项是资格审查要求必须提供的材料，如为专门面向中小企业的项目还必须提供（6）或（7）或（8）项资料，否则投标无效。本项目专门面向中小企业采购。</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9.1.2符合性证明文件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（1）《投标函》（格式见第六章）。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（2）关于资格文件的声明函（格式见第六章）。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（3）投标单位一般情况表（格式见第六章）。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（4）法定代表人身份证扫描件、授权代理人身份证扫描件（如有授权）、授权委托书（如有授权）（格式见第六章）。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（5）关于本单位与参与本次采购活动的其他供应商的负责人不是同一人，也不存在直接控股、管理关系的响应承诺函（格式自拟）。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（6）关于本单位没有为本采购项目提供整体设计、规范编制，以及项目管理、监理、检测等服务的响应承诺函（格式自拟）。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（7）《技术要求偏离表》《商务要求偏离表》（格式见第六章）。</w:t>
      </w:r>
      <w:r/>
    </w:p>
    <w:p>
      <w:pPr>
        <w:ind w:left="0" w:right="0" w:firstLine="0"/>
        <w:spacing w:before="240" w:after="240" w:line="85" w:lineRule="atLeast"/>
        <w:tabs>
          <w:tab w:val="left" w:pos="85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（8）《投入本项目人员配备一览表》《质保期满后三年内备品备件、易损件报价表》《售后服务承诺书》、投标（响应）保证承诺书（格式见第六章）</w:t>
      </w:r>
      <w:r/>
    </w:p>
    <w:p>
      <w:pPr>
        <w:ind w:left="0" w:right="0" w:firstLine="422"/>
        <w:spacing w:before="240" w:after="240" w:line="85" w:lineRule="atLeast"/>
        <w:tabs>
          <w:tab w:val="left" w:pos="851"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u w:val="single"/>
        </w:rPr>
        <w:t xml:space="preserve">以上（1）－（8）为符合性审查必须提供的资料，否则投标无效。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9.1.3开标一览表、投标报价明细表（格式见第六章）。</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u w:val="single"/>
        </w:rPr>
        <w:t xml:space="preserve">以上未按要求提供的，视为投标无效。</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9.1.4 综合评审文件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（1）评分标准中所涉及针对本项目的各项实施、服务方案、相关制度、证书、业绩、承诺函及其他材料、证明等。</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9.1.5价格折扣文件（如有）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（1）非专门面向中小企业的项目如提供</w:t>
      </w:r>
      <w:r>
        <w:rPr>
          <w:rFonts w:ascii="SimSun" w:hAnsi="SimSun" w:eastAsia="SimSun" w:cs="SimSun"/>
          <w:color w:val="000000"/>
          <w:sz w:val="22"/>
          <w:u w:val="single"/>
        </w:rPr>
        <w:t xml:space="preserve">资格证明文件中（6）或（7）或（8）</w:t>
      </w:r>
      <w:r>
        <w:rPr>
          <w:rFonts w:ascii="SimSun" w:hAnsi="SimSun" w:eastAsia="SimSun" w:cs="SimSun"/>
          <w:color w:val="000000"/>
          <w:sz w:val="22"/>
        </w:rPr>
        <w:t xml:space="preserve">项材料，将按照评定成交标准享受价格评审优惠政策。</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9.2 投标单位应保证上传的投标（响应）文件完整、清晰可辨认，若因上传资料过小或模糊不清等无法辨认的都视为该资料未提供。</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投标单位必须保证全部响应资料的真实性，如有虚假或对招标文件所要求说明的情况故意隐瞒或虚报，视为不实质性响应招标文件，投标无效。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9.3 如标书制作工具中格式和内容与“苏州市政府采购网”发布的招标文件不一致，请以“苏州市政府采购网”发布的招标文件为准。</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10.证明投标标的符合招标文件规定的文件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10.1投标单位应按照招标文件要求提交证明文件，证明其及投标标的符合招标文件规定。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10.2招标文件对证明文件无明确形式要求的，证明文件可以以文字资料、图纸和数据等形式提交。</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11.投标报价明细表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11.1投标单位应按照招标文件规定格式填报投标报价明细表。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11.2响应货币。投标文件中的单价和总价无特殊规定的采用人民币报价，以元为单位标注。招标文件中另有规定的按规定执行。</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12.技术要求响应及偏离表、商务要求响应及偏离表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12.1投标单位需对招标文件中的技术要求与商务要求逐项作出响应或偏离，并说明原因。如投标人投标文件中某些条款不响应招标文件提出的全部服务内容与要求，须在偏离表中逐条列出，未列出的视同响应。</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12.2投标单位可在投标文件中提供认为需要的其他技术文件或说明。</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13.服务承诺、培训计划、人员安排及其他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13.1投标单位需根据招标文件要求提供有关售后服务的管理制度，售后服务机构的分布情况，售后服务人员的数量、素质、技术水平及售后服务的反应能力等。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13.2投标单位根据招标文件要求提供培训计划。</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13.3投标单位根据招标文件要求提供投标标的的主要组成部分、功能设计、实现思路及关键技术等。</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14.投标函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14.1投标单位应按照招标文件中提供的格式完整、正确填写投标函。</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15.投标有效期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15.1投标有效期为招标代理机构规定的提交投标文件截止之日后九十（90）天。投标有效期比规定短的将被视为非实质性响应招标文件而予以拒绝。</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16.投标有效期的延长</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16.1在特殊情况下，招标代理机构于原投标有效期满之前，可向供应商提出延长投标有效期的要求。这种要求与答复均应采用书面形式。投标单位可以拒绝招标代理机构的这一要求而放弃投标，同意延长投标有效期的投标单位既不能要求也不允许修改其投标文件。受投标有效期约束的所有权利与义务均延长至新的有效期。</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四、投标文件的递交</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17.电子投标文件的编制与递交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17.1电子投标（响应）文件制作：本项目为网上招投标项目，请投标人插入CA 证书登录“苏采云”系统下载客户端（参与项目页面可下载客户端及客户端使用说明），在客户端编制电子投标（响应）文件并进行CA加密。操作步骤详见“苏采云”系统页面提示和《操作手册》。</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17.2电子投标（响应）文件递交：投标人应当按照《操作手册》指引，在投标（响应）文件提交截止时间前完成电子投标（响应）文件的上传，未按要求成功上传的投标（响应）文件视为未递交。</w:t>
      </w:r>
      <w:r>
        <w:rPr>
          <w:rFonts w:ascii="SimSun" w:hAnsi="SimSun" w:eastAsia="SimSun" w:cs="SimSun"/>
          <w:color w:val="000000"/>
          <w:sz w:val="22"/>
        </w:rPr>
        <w:t xml:space="preserve">投标人应充分考虑到网络环境、网络带宽等风险因素，如因投标人自身原因造成的电子投标（响应）文件上传不成功由投标人自行承担全部责任。</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注：（1）请投标人务必保管好编制递交电子投标（响应）文件时使用的CA，如因丢失、损坏等原因更换CA锁时，需重新制作电子投标（响应）文件并递交，否则可能无法解密，因此导致的响应失败等不利后果由投标人自行承担。</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如本项目在政府采购信息发布媒体上发布了更正（补充）公告，请供应商务必在“苏采云”系统中下载更正（补充）资料，根据更正后的采购文件重新编制电子投标（响应）文件并递交，否则可能无法解密，因此导致的响应失败等不利后果由投标人自行承担。</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17.3投标文件未按照招标文件要求加盖CA电子公章的，投标无效。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17.4联合体投标：如招标（采购）公告中允许联合体投标，联合体投标的投标（响应）文件制作上传操作如下：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第一步：在投标（响应）文件中上传联合体投标协议书。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第二步：在投标（响应）文件中，由联合体中的牵头人制作投标（响应）文件。</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17.5如投标（响应）文件制作机器码信息一致，视为不同投标供应商使用同一台电脑编制投标（响应）文件，投标（响应）无效。</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17.6 技术支持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CA技术咨询服务电话：400-608-6099</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电子签章技术咨询服务电话：15380932027、15371015030、13675197356、 13675197221“苏采云”平台技术咨询电话：0512-69820854、0519-86722802、13914088964、18261002950</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18.提交投标文件截止时间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18.1投标单位上传电子投标（响应）文件的时间不得迟于招标公告中规定的提交投标（响应）文件截止时间。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投标单位应充分考虑到网络环境、网络带宽等风险因素，如因投标单位自身原因造成的电子投标（响应）文件上传不成功的作无效投标处理。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18.2 招标代理机构可以按照规定，通过修改招标文件酌情延长提交投标文件截止日期，在此情况下，供应商的所有权利和义务以及供应商受制的截止日期均应以延长后新的截止日期为准。</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19.投标文件的撤回和修改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在投标截止时间前，可以对所递交的投标（响应）文件进行补充、修改或者撤回，具体操作方法见《操作手册》。提交投标（响应）文件截止时间后供应商不得撤回投标（响应）文件。供应商撤回投标（响应）文件，则认为其不再参与本项目采购活动。</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五、开标和评标</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20.开标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20.1本项目为不见面开标（开启）项目，开标阶段供应商在【解密环节】必须使用 CA 证书解密电子投标（响应）文件，请供应商确保电脑、系统及其他设备（视频输入输出设备等）无误，且开启直至项目结束，始终保持系统在线状态。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20.2 线上参加（观看）开标（开启）会方式：登录“苏采云”系统，点击“开标大厅”，选择对应项目，点击进入不见面开标系统。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20.3 开标时，投标人对开标过程和开标记录有疑义，或者认为采购人、采购代理机构相关工作人员有需要回避的情形的，应当场通过不见面开标系统的“留言板”栏目提出询问或者回避申请。采购人、采购代理机构对投标人代表提出的询问或者回避申请应当及时处理。为了保证开标秩序，请不要在互动交流中发表与开标无关的言论。开标中出现异常情况时，将通过“公告栏”栏目发布相关信息，请投标人及时关注。</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20.4 开标时，投标人应当按照《操作手册》规定，在“苏采云”系统规定的时间内对投标文件进行解密。等待开标流程进入“解锁环境”，点击“立即解密”进行标书解密，解锁完成后及时关注开标大厅，等待答疑澄清等提示，</w:t>
      </w:r>
      <w:r>
        <w:rPr>
          <w:rFonts w:ascii="SimSun" w:hAnsi="SimSun" w:eastAsia="SimSun" w:cs="SimSun"/>
          <w:b/>
          <w:color w:val="000000"/>
          <w:sz w:val="22"/>
        </w:rPr>
        <w:t xml:space="preserve">否则导致对投标人不利的后果由供应商自行承担。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20.5 开标时，由采购代理机构通过“苏采云”系统在线宣布投标人名称、投标价格和招标文件规定的需要宣布的其他内容。投标人在不见面开标系统中确认投标价格，如投标人未在线参加开标或未在规定时间内确认价格，视同认可开标结果。</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20.6 投标人在“苏采云”系统规定的时间内未成功解密电子投标文件的，</w:t>
      </w:r>
      <w:r>
        <w:rPr>
          <w:rFonts w:ascii="SimSun" w:hAnsi="SimSun" w:eastAsia="SimSun" w:cs="SimSun"/>
          <w:b/>
          <w:color w:val="000000"/>
          <w:sz w:val="22"/>
        </w:rPr>
        <w:t xml:space="preserve">投标无效。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20.7 投标人电脑环境最低要求：谷歌浏览器，版本可直接在在网上下载最新版本。如需收听现场语音，需配置放音设备；如视频直播、互动交流使用异常，请刷新网页，如仍无法解决，请联系技术支持。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20.8 在投标文件提交截止时间，递交投标文件的投标人不足三家的，不得开标。</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20.9 开标在招标文件规定的时间、地点进行，由采购人或采购代理机构主持，邀请投标人参加（观看），评标委员会成员不得参加开标活动。</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21.资格审查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21.1开标结束后，采购人应当依法对投标人的资格进行审查，未通过资格审查的投标无效。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21.2 信用查询：根据《中华人民共和国政府采购法》及相关法律法规，以及苏州市财政局《关于印发苏州市市级政府采购信用记录查询和使用工作试行办法的通知》（苏财购〔2017〕11号）文件的规定，采购人、采购代理机构对供应商进行信用查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（1）查询时间：投标文件提交截止时间。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（2）查询渠道：通过“信用中国”“信用江苏”及“中国政府采购网” 上的信用信息查询供应商的信用记录。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查询证据留存方式：对存在失信信息的供应商，评审小组应填写《苏州市级政府采购供应商失信信息确认函》，由失信供应商签名（章）确认。采购代理机构工作人员应登录到来源网站页面进行复核并打印，作为证据留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信用记录使用规则：评审小组在对供应商进行资格性审查时，应根据查询结果对供应商的不良信用记录逐项甄别确认。按照《中华人民共和国政府采购法》第二十二条规定，下列信用记录属于应依法拒绝供应商参加政府采购的失信信息，存在此类失信信息的投标人的投标无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（4.1）政府采购严重违法记录，即供应商被全国各级财政部门列入“政府采购严重违法失信行为记录名单”，且在处罚有效期内的。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（4.2）财政部门与法院、工商、税务等部门联合惩戒的失信信息，包括：</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1）被列入失信被执行人名单；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2）被列入重大税收违法案件当事人名单；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企业经营异常名录中被责令停产停业、暂扣或者吊销许可证或者执照，或者对经营活动中的违法行为处以200万元及以上数额罚款（或法律、行政法规以及国务院有关部门明确规定相关领域“较大数额罚款”标准高于200万元的，从其规定）的信用记录。处罚生效日至递交投标（响应）文件日未满三年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（5）接受联合体的项目，两个以上的自然人、法人或者其他组织组成一个联合体，以一个投标人的身份共同参加政府采购活动。若联合体成员中有一名成员存在失信信息，则视同联合体存在失信信息。</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22.评标委员会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22.1采购人或采购代理机构负责组织评标工作，评标委员会由采购人代表和评审专家组成，且人员构成符合政府采购有关规定，评标委员会负责具体评标事务，并独立履行职责。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22.2评审专家与参加采购活动的投标人存在下列利害关系之一的，应当回避：</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（1）参加采购活动前三年内，与投标人存在劳动关系，或者担任过投标人的董事、监事，或者是投标人的控股股东或实际控制人；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（2）与投标人的法定代表人或者负责人有夫妻、直系血亲、三代以内旁系血亲或者近姻亲关系；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（3）与投标人有其他可能影响政府采购活动公平、公正进行的关系。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评审专家发现本人与参加采购活动的投标人有利害关系的，应当主动提出回避。采购人或者采购代理机构发现评审专家与参加采购活动的投标人有利害关系的，应当要求其回避。</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22.3评审专家应当遵守评审工作纪律，不得泄露评审文件、评审情况和评审中获悉的商业秘密。评标委员会在评审过程中发现投标人有行贿、提供虚假材料或者串通等违法行为的，应当及时向财政部门报告。政府采购评审专家在评审过程中受到非法干预的，应当及时向财政、监察等部门举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22.4评标委员会成员应当按照客观、公正、审慎的原则，根据采购文件规定的评审程序、评审方法和评审标准进行独立评审。</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23.评标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23.1符合性审查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评标委员会应当对符合资格的投标人的投标文件进行符合性审查，以确定其是否满足招标文件的实质性要求。</w:t>
      </w:r>
      <w:r>
        <w:rPr>
          <w:rFonts w:ascii="SimSun" w:hAnsi="SimSun" w:eastAsia="SimSun" w:cs="SimSun"/>
          <w:b/>
          <w:color w:val="000000"/>
          <w:sz w:val="22"/>
        </w:rPr>
        <w:t xml:space="preserve">未满足本项目实质性要求的认定为无效投标。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23.2投标文件的比较和评价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（1）评标委员会应当按照招标文件中规定的评标方法和标准，对符合性审查合格的投标文件进行商务和技术评估，综合比较与评价。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标办法和标准见第五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（3）价格修正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投标文件报价出现前后不一致的，除招标文件另有规定外，按下列规定修正：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（3.1）投标文件中开标一览表（报价表）内容与投标文件中相应内容不一致的，以开标一览表（报价表）为准；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（3.2）大写金额和小写金额不一致的，以大写金额为准；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（3.3）单价金额小数点或者百分比有明显错位的，以开标一览表的总价为准，并修改单价；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（3.4）总价金额与按单价汇总金额不一致的，以单价金额计算结果为准。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同时出现两种以上不一致的，按照前款规定的顺序修正。</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修正后的报价按照《中华人民共和国财政部令第87号》第五十一条第二款的规定经投标人确认后产生约束力，投标人不确认的，其投标无效。</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4）评标委员会认为投标人的报价明显低于其他通过符合性审查投标人的报价，有可能影响产品质量或者不能诚信履约的，应当要求其在评标现场合理的时间内提供书面说明（线上开评标项目可通过“苏采云”系统要求其提供），必要时提交相关证明材料；投标人不能证明其报价合理性的，评标委员会将其作为无效投标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根据财政部《关于推动解决政府采购异常低价问题的通知》（财库〔2026〕2号）规定，实施政府采购异常低价审查：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（1）评审过程中出现下列情形之一的，评审委员会应当启动异常低价投标（响应）审查程序：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①投标（响应）报价低于全部通过符合性审查供应商投标（响应）报价平均值50%的，即投标（响应）报价〈全部通过符合性审查供应商投标（响应）报价平均值×50%；</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②投标（响应）报价低于通过符合性审查的次低报价供应商投标（响应）报价50%的，即投标（响应）报价〈通过符合性审查的次低报价供应商投标（响应）报价×50%；</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③投标（响应）报价低于采购项目最高限价45%的，即投标（响应）报价〈采购项目最高限价×45%；</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④评审委员会基于专业判断，认为供应商报价过低，有可能影响产品质量或者不能诚信履约的其他情形。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异常低价投标（响应）审查启动后，相关供应商应在评审现场合理的时间内对投标（响应）价格作出解释，并提供项目具体成本测算等与报价合理性相关的书面说明及必要的证明材料，包括但不限于原材料成本、人工成本、制造费用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其中，属于第③项情形，供应商已随投标（响应）文件一并提交相关书面说明及必要的证明材料的，在评审现场可不再重复提交。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23.3投标的澄清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对于投标文件中含义不明确、同类问题表述不一致或者有明显文字和计算错误的内容，评标委员会应当要求投标人作出必要的澄清、说明或者补正。投标人的澄清、说明或者补正不得超出投标文件的范围或者改变投标文件的实质性内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（1）本项目采用</w:t>
      </w:r>
      <w:r>
        <w:rPr>
          <w:rFonts w:ascii="SimSun" w:hAnsi="SimSun" w:eastAsia="SimSun" w:cs="SimSun"/>
          <w:b/>
          <w:color w:val="000000"/>
          <w:sz w:val="22"/>
        </w:rPr>
        <w:t xml:space="preserve">线上澄清。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线上澄清答复的方式：需要供应商进行澄清、说明和更正的，评标委员会将通过“苏采云”系统向供应商发布“澄清要求函”，接到“澄清要求函”的供应商应当按照要求在“苏采云”系统中提交“澄清响应函”并加盖CA电子公章。澄清、说明和更正的内容作为电子（投标）响应文件的补充部分，具体操作方式见《操作手册》。</w:t>
      </w:r>
      <w:r>
        <w:rPr>
          <w:rFonts w:ascii="SimSun" w:hAnsi="SimSun" w:eastAsia="SimSun" w:cs="SimSun"/>
          <w:b/>
          <w:color w:val="000000"/>
          <w:sz w:val="22"/>
        </w:rPr>
        <w:t xml:space="preserve">未加盖CA电子公章的澄清无效。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（3）接到澄清、说明和更正要求的供应商如未按规定作出澄清、说明和更正，其风险由供应商自行承担。</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24.废标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出现下列情形之一的，应予废标：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24.1符合专业条件的投标人或者对招标文件作实质响应的投标人不足三家的；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24.2出现影响采购公正的违法、违规行为的；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24.3投标人的报价均超过了采购预算，采购人不能支付的；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24.4因重大变故，采购任务取消的。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废标后，采购人应当将废标理由通知所有投标人。</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25.中标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25.1</w:t>
      </w:r>
      <w:r>
        <w:rPr>
          <w:rFonts w:ascii="SimSun" w:hAnsi="SimSun" w:eastAsia="SimSun" w:cs="SimSun"/>
          <w:color w:val="000000"/>
          <w:sz w:val="22"/>
          <w:highlight w:val="white"/>
        </w:rPr>
        <w:t xml:space="preserve">评标委员会根据供应商资格审查及符合性审查情况，按照评标办法和标准对通过资格审查及符合性审查的投标文件进行综合评审。具体评分方法、评分标准详见第五章。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25.2</w:t>
      </w:r>
      <w:r>
        <w:rPr>
          <w:rFonts w:ascii="SimSun" w:hAnsi="SimSun" w:eastAsia="SimSun" w:cs="SimSun"/>
          <w:color w:val="000000"/>
          <w:sz w:val="22"/>
          <w:highlight w:val="white"/>
        </w:rPr>
        <w:t xml:space="preserve">确定中标供应商后，采购代理机构将在规定的时间内将中标结果在相关媒体上予以公告。各供应商如对公告结果有异议，应在中标公告期满后七个工作日内，以书面形式向采购代理机构提出质疑，同时该质疑应有供应商法定代表人或参加投标的代理人签署。采购代理机构将在收到经供应商法定代表人或参加投标的代理人签署的书面质疑后七个工作日内，对质疑内容作出答复。如供应商未在中标公告期满后七个工作日内向采购代理机构提出质疑或质疑未经供应商法定代表人或参加投标的代理人签署，采购代理机构有权对该质疑不予答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25.3在公告中标结果的同时，采购人或者采购代理机构应当向中标人发出中标通知书（中标通知书将在“苏采云”系统中发出，中标通知书发出之日视为中标供应商领取之日），请中标人在中标结果公告届满之日起30日内，使用CA数字证书登录“苏采云”系统及时下载中标通知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25.4中标通知书发出后，采购人不得违法改变中标结果，中标人无正当理由不得放弃中标。</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26.履约保证金</w:t>
      </w:r>
      <w:r>
        <w:rPr>
          <w:rFonts w:ascii="SimSun" w:hAnsi="SimSun" w:eastAsia="SimSun" w:cs="SimSun"/>
          <w:color w:val="000000"/>
          <w:sz w:val="22"/>
        </w:rPr>
        <w:t xml:space="preserve">：详见本招标文件合同文本中的约定。</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27.合同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27.1采购人原则上应当自中标通知书发出之日起15日内（最迟30日内），按照招标文件及投标文件规定与中标人签订政府采购合同。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27.2采购合同的双方当事人不得擅自变更、中止或者终止合同。合同继续履行将损害国家利益和社会公共利益的，双方当事人应当变更、中止或者终止合同。有过错的一方应当承担赔偿责任，双方都有过错的，各自承担相应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27.3采购合同履行中，采购人需追加与合同标的相同的服务或货物的，在不改变合同其他条款的前提下，可以与供应商协商签订补充合同，但所有补充合同的采购金额不得超过原合同采购金额的百分之十。</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28.评审过程的保密与公正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28.1评委会、招标单位和招标代理机构、相关监督人员等与评审工作有关的人员，对评审情况以及在评审过程中获悉的国家秘密、商业秘密负有保密责任。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28.2在评审过程中，投标单位不得以任何行为影响评标过程，否则其投标文件将被作为无效投标文件。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28.3 招标代理机构和评委会不向未中标的投标人解释未中标原因，也不公布评标过程中的相关细节。</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29.质疑处理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29.1 质疑及答复遵守《政府采购质疑和投诉办法》（中华人民共和国财政部令第 94 号）规定。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29.2 供应商认为招标文件、采购过程和中标、中标结果使自己的权益受到损害的，可以在知道或者应知其权益受到损害之日起七个工作日内，根据《政府采购质疑和投诉办法》（中华人民共和国财政部令第 94号）以书面形式向采购人、代理机构提出质疑。采购代理机构应当在收到投标单位书面质疑函后七个工作日内作出答复。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29.3 提出质疑的投标单位应当是参与所质疑项目采购活动的供应商，未依照采购公告要求获取采购文件的供应商，视为未参与该项政府采购活动，不具备对该政府采购项目提出质疑的法定权利。对招标文件内容质疑时，需提供在采购交易系统中下载本项目的《投标供应商确认函》，未提供的视为未依照招标公告要求获取招标文件的供应商，不具备对该政府采购项目提出质疑的法定权利。</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29.4 供应商应当在法定质疑期内一次性提出针对同一采购程序环节的质疑。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29.5 接收质疑函的方式为书面形式（当场送达或邮寄方式）。供应商质疑函范本格式请参照“苏州市政府采购”网站——“下载中心”——“政府采购供应商质疑函范本”。</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质疑联系部门：苏州捷信招投标咨询有限公司</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联系电话：0512-65200361   联系人：王慧</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通讯地址：苏州南园北路天和商务大厦6-206室</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30.未尽事宜：</w:t>
      </w:r>
      <w:r>
        <w:rPr>
          <w:rFonts w:ascii="SimSun" w:hAnsi="SimSun" w:eastAsia="SimSun" w:cs="SimSun"/>
          <w:color w:val="000000"/>
          <w:sz w:val="22"/>
        </w:rPr>
        <w:t xml:space="preserve">按《中华人民共和国政府采购法》及其他有关法律法规的规定执行。</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422"/>
        <w:jc w:val="both"/>
        <w:spacing w:before="0" w:after="0" w:line="85" w:lineRule="atLeast"/>
        <w:rPr>
          <w:rFonts w:ascii="SimSun" w:hAnsi="SimSun" w:eastAsia="SimSun" w:cs="SimSun"/>
          <w:b/>
          <w:bCs/>
          <w:color w:val="000000"/>
          <w:sz w:val="22"/>
          <w:szCs w:val="2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422"/>
        <w:jc w:val="both"/>
        <w:spacing w:before="0" w:after="0" w:line="85" w:lineRule="atLeast"/>
        <w:rPr>
          <w:rFonts w:ascii="SimHei" w:hAnsi="SimHei" w:eastAsia="SimHei" w:cs="SimHei"/>
          <w:sz w:val="22"/>
          <w:szCs w:val="22"/>
        </w:rPr>
        <w:pBdr>
          <w:top w:val="none" w:color="000000" w:sz="4" w:space="0"/>
          <w:left w:val="none" w:color="000000" w:sz="4" w:space="0"/>
          <w:bottom w:val="none" w:color="000000" w:sz="4" w:space="0"/>
          <w:right w:val="none" w:color="000000" w:sz="4" w:space="0"/>
        </w:pBdr>
      </w:pPr>
      <w:r>
        <w:rPr>
          <w:rFonts w:ascii="SimHei" w:hAnsi="SimHei" w:eastAsia="SimHei" w:cs="SimHei"/>
          <w:sz w:val="22"/>
          <w:szCs w:val="22"/>
        </w:rPr>
      </w:r>
      <w:r>
        <w:rPr>
          <w:rFonts w:ascii="SimHei" w:hAnsi="SimHei" w:eastAsia="SimHei" w:cs="SimHei"/>
          <w:sz w:val="22"/>
          <w:szCs w:val="22"/>
        </w:rPr>
      </w:r>
      <w:r/>
    </w:p>
    <w:p>
      <w:pPr>
        <w:ind w:left="0" w:right="0" w:firstLine="422"/>
        <w:jc w:val="both"/>
        <w:spacing w:before="0" w:after="0" w:line="85" w:lineRule="atLeast"/>
        <w:rPr>
          <w:rFonts w:ascii="SimHei" w:hAnsi="SimHei" w:eastAsia="SimHei" w:cs="SimHei"/>
          <w:sz w:val="22"/>
          <w:szCs w:val="22"/>
        </w:rPr>
        <w:pBdr>
          <w:top w:val="none" w:color="000000" w:sz="4" w:space="0"/>
          <w:left w:val="none" w:color="000000" w:sz="4" w:space="0"/>
          <w:bottom w:val="none" w:color="000000" w:sz="4" w:space="0"/>
          <w:right w:val="none" w:color="000000" w:sz="4" w:space="0"/>
        </w:pBdr>
      </w:pPr>
      <w:r>
        <w:rPr>
          <w:rFonts w:ascii="SimHei" w:hAnsi="SimHei" w:eastAsia="SimHei" w:cs="SimHei"/>
          <w:sz w:val="22"/>
          <w:szCs w:val="22"/>
        </w:rPr>
      </w:r>
      <w:r>
        <w:rPr>
          <w:rFonts w:ascii="SimHei" w:hAnsi="SimHei" w:eastAsia="SimHei" w:cs="SimHei"/>
          <w:sz w:val="22"/>
          <w:szCs w:val="22"/>
        </w:rPr>
      </w:r>
      <w:r/>
    </w:p>
    <w:p>
      <w:pPr>
        <w:ind w:left="0" w:right="0" w:firstLine="422"/>
        <w:jc w:val="both"/>
        <w:spacing w:before="0" w:after="0" w:line="85" w:lineRule="atLeast"/>
        <w:rPr>
          <w:rFonts w:ascii="SimHei" w:hAnsi="SimHei" w:eastAsia="SimHei" w:cs="SimHei"/>
          <w:sz w:val="22"/>
          <w:szCs w:val="22"/>
        </w:rPr>
        <w:pBdr>
          <w:top w:val="none" w:color="000000" w:sz="4" w:space="0"/>
          <w:left w:val="none" w:color="000000" w:sz="4" w:space="0"/>
          <w:bottom w:val="none" w:color="000000" w:sz="4" w:space="0"/>
          <w:right w:val="none" w:color="000000" w:sz="4" w:space="0"/>
        </w:pBdr>
      </w:pPr>
      <w:r>
        <w:rPr>
          <w:rFonts w:ascii="SimHei" w:hAnsi="SimHei" w:eastAsia="SimHei" w:cs="SimHei"/>
          <w:sz w:val="22"/>
          <w:szCs w:val="22"/>
        </w:rPr>
      </w:r>
      <w:r>
        <w:rPr>
          <w:rFonts w:ascii="SimHei" w:hAnsi="SimHei" w:eastAsia="SimHei" w:cs="SimHei"/>
          <w:sz w:val="22"/>
          <w:szCs w:val="22"/>
        </w:rPr>
      </w:r>
      <w:r/>
    </w:p>
    <w:p>
      <w:pPr>
        <w:ind w:left="0" w:right="0" w:firstLine="422"/>
        <w:jc w:val="both"/>
        <w:spacing w:before="0" w:after="0" w:line="85" w:lineRule="atLeast"/>
        <w:rPr>
          <w:rFonts w:ascii="SimHei" w:hAnsi="SimHei" w:eastAsia="SimHei" w:cs="SimHei"/>
          <w:sz w:val="22"/>
          <w:szCs w:val="22"/>
        </w:rPr>
        <w:pBdr>
          <w:top w:val="none" w:color="000000" w:sz="4" w:space="0"/>
          <w:left w:val="none" w:color="000000" w:sz="4" w:space="0"/>
          <w:bottom w:val="none" w:color="000000" w:sz="4" w:space="0"/>
          <w:right w:val="none" w:color="000000" w:sz="4" w:space="0"/>
        </w:pBdr>
      </w:pPr>
      <w:r>
        <w:rPr>
          <w:rFonts w:ascii="SimHei" w:hAnsi="SimHei" w:eastAsia="SimHei" w:cs="SimHei"/>
          <w:sz w:val="22"/>
          <w:szCs w:val="22"/>
        </w:rPr>
      </w:r>
      <w:r>
        <w:rPr>
          <w:rFonts w:ascii="SimHei" w:hAnsi="SimHei" w:eastAsia="SimHei" w:cs="SimHei"/>
          <w:sz w:val="22"/>
          <w:szCs w:val="22"/>
        </w:rPr>
      </w:r>
      <w:r/>
    </w:p>
    <w:p>
      <w:pPr>
        <w:ind w:left="0" w:right="0" w:firstLine="422"/>
        <w:jc w:val="both"/>
        <w:spacing w:before="0" w:after="0" w:line="85" w:lineRule="atLeast"/>
        <w:rPr>
          <w:rFonts w:ascii="SimHei" w:hAnsi="SimHei" w:eastAsia="SimHei" w:cs="SimHei"/>
          <w:sz w:val="22"/>
          <w:szCs w:val="22"/>
        </w:rPr>
        <w:pBdr>
          <w:top w:val="none" w:color="000000" w:sz="4" w:space="0"/>
          <w:left w:val="none" w:color="000000" w:sz="4" w:space="0"/>
          <w:bottom w:val="none" w:color="000000" w:sz="4" w:space="0"/>
          <w:right w:val="none" w:color="000000" w:sz="4" w:space="0"/>
        </w:pBdr>
      </w:pPr>
      <w:r>
        <w:rPr>
          <w:rFonts w:ascii="SimHei" w:hAnsi="SimHei" w:eastAsia="SimHei" w:cs="SimHei"/>
          <w:sz w:val="22"/>
          <w:szCs w:val="22"/>
        </w:rPr>
      </w:r>
      <w:r>
        <w:rPr>
          <w:rFonts w:ascii="SimHei" w:hAnsi="SimHei" w:eastAsia="SimHei" w:cs="SimHei"/>
          <w:sz w:val="22"/>
          <w:szCs w:val="22"/>
        </w:rPr>
      </w:r>
      <w:r/>
    </w:p>
    <w:p>
      <w:pPr>
        <w:ind w:left="0" w:right="0" w:firstLine="422"/>
        <w:jc w:val="both"/>
        <w:spacing w:before="0" w:after="0" w:line="85" w:lineRule="atLeast"/>
        <w:rPr>
          <w:rFonts w:ascii="SimHei" w:hAnsi="SimHei" w:eastAsia="SimHei" w:cs="SimHei"/>
          <w:sz w:val="22"/>
          <w:szCs w:val="22"/>
        </w:rPr>
        <w:pBdr>
          <w:top w:val="none" w:color="000000" w:sz="4" w:space="0"/>
          <w:left w:val="none" w:color="000000" w:sz="4" w:space="0"/>
          <w:bottom w:val="none" w:color="000000" w:sz="4" w:space="0"/>
          <w:right w:val="none" w:color="000000" w:sz="4" w:space="0"/>
        </w:pBdr>
      </w:pPr>
      <w:r>
        <w:rPr>
          <w:rFonts w:ascii="SimHei" w:hAnsi="SimHei" w:eastAsia="SimHei" w:cs="SimHei"/>
          <w:sz w:val="22"/>
          <w:szCs w:val="22"/>
        </w:rPr>
      </w:r>
      <w:r>
        <w:rPr>
          <w:rFonts w:ascii="SimHei" w:hAnsi="SimHei" w:eastAsia="SimHei" w:cs="SimHei"/>
          <w:sz w:val="22"/>
          <w:szCs w:val="22"/>
        </w:rPr>
      </w:r>
      <w:r/>
    </w:p>
    <w:p>
      <w:pPr>
        <w:ind w:left="0" w:right="0" w:firstLine="422"/>
        <w:jc w:val="both"/>
        <w:spacing w:before="0" w:after="0" w:line="85" w:lineRule="atLeast"/>
        <w:rPr>
          <w:rFonts w:ascii="SimHei" w:hAnsi="SimHei" w:eastAsia="SimHei" w:cs="SimHei"/>
          <w:sz w:val="22"/>
          <w:szCs w:val="22"/>
        </w:rPr>
        <w:pBdr>
          <w:top w:val="none" w:color="000000" w:sz="4" w:space="0"/>
          <w:left w:val="none" w:color="000000" w:sz="4" w:space="0"/>
          <w:bottom w:val="none" w:color="000000" w:sz="4" w:space="0"/>
          <w:right w:val="none" w:color="000000" w:sz="4" w:space="0"/>
        </w:pBdr>
      </w:pPr>
      <w:r>
        <w:rPr>
          <w:rFonts w:ascii="SimHei" w:hAnsi="SimHei" w:eastAsia="SimHei" w:cs="SimHei"/>
          <w:sz w:val="22"/>
          <w:szCs w:val="22"/>
        </w:rPr>
      </w:r>
      <w:r>
        <w:rPr>
          <w:rFonts w:ascii="SimHei" w:hAnsi="SimHei" w:eastAsia="SimHei" w:cs="SimHei"/>
          <w:sz w:val="22"/>
          <w:szCs w:val="22"/>
        </w:rPr>
      </w:r>
      <w:r/>
    </w:p>
    <w:p>
      <w:pPr>
        <w:ind w:left="0" w:right="0" w:firstLine="422"/>
        <w:jc w:val="both"/>
        <w:spacing w:before="0" w:after="0" w:line="85" w:lineRule="atLeast"/>
        <w:rPr>
          <w:rFonts w:ascii="SimHei" w:hAnsi="SimHei" w:eastAsia="SimHei" w:cs="SimHei"/>
          <w:sz w:val="22"/>
          <w:szCs w:val="22"/>
        </w:rPr>
        <w:pBdr>
          <w:top w:val="none" w:color="000000" w:sz="4" w:space="0"/>
          <w:left w:val="none" w:color="000000" w:sz="4" w:space="0"/>
          <w:bottom w:val="none" w:color="000000" w:sz="4" w:space="0"/>
          <w:right w:val="none" w:color="000000" w:sz="4" w:space="0"/>
        </w:pBdr>
      </w:pPr>
      <w:r>
        <w:rPr>
          <w:rFonts w:ascii="SimHei" w:hAnsi="SimHei" w:eastAsia="SimHei" w:cs="SimHei"/>
          <w:sz w:val="22"/>
          <w:szCs w:val="22"/>
        </w:rPr>
      </w:r>
      <w:r>
        <w:rPr>
          <w:rFonts w:ascii="SimHei" w:hAnsi="SimHei" w:eastAsia="SimHei" w:cs="SimHei"/>
          <w:sz w:val="22"/>
          <w:szCs w:val="22"/>
        </w:rPr>
      </w:r>
      <w:r/>
    </w:p>
    <w:p>
      <w:pPr>
        <w:ind w:left="0" w:right="0" w:firstLine="422"/>
        <w:jc w:val="both"/>
        <w:spacing w:before="0" w:after="0" w:line="85" w:lineRule="atLeast"/>
        <w:rPr>
          <w:rFonts w:ascii="SimHei" w:hAnsi="SimHei" w:eastAsia="SimHei" w:cs="SimHei"/>
          <w:sz w:val="22"/>
          <w:szCs w:val="22"/>
        </w:rPr>
        <w:pBdr>
          <w:top w:val="none" w:color="000000" w:sz="4" w:space="0"/>
          <w:left w:val="none" w:color="000000" w:sz="4" w:space="0"/>
          <w:bottom w:val="none" w:color="000000" w:sz="4" w:space="0"/>
          <w:right w:val="none" w:color="000000" w:sz="4" w:space="0"/>
        </w:pBdr>
      </w:pPr>
      <w:r>
        <w:rPr>
          <w:rFonts w:ascii="SimHei" w:hAnsi="SimHei" w:eastAsia="SimHei" w:cs="SimHei"/>
          <w:sz w:val="22"/>
          <w:szCs w:val="22"/>
        </w:rPr>
      </w:r>
      <w:r>
        <w:rPr>
          <w:rFonts w:ascii="SimHei" w:hAnsi="SimHei" w:eastAsia="SimHei" w:cs="SimHei"/>
          <w:sz w:val="22"/>
          <w:szCs w:val="22"/>
        </w:rPr>
      </w:r>
      <w:r/>
    </w:p>
    <w:p>
      <w:pPr>
        <w:ind w:left="0" w:right="0" w:firstLine="422"/>
        <w:jc w:val="both"/>
        <w:spacing w:before="0" w:after="0" w:line="85" w:lineRule="atLeast"/>
        <w:rPr>
          <w:rFonts w:ascii="SimHei" w:hAnsi="SimHei" w:eastAsia="SimHei" w:cs="SimHei"/>
          <w:sz w:val="22"/>
          <w:szCs w:val="22"/>
        </w:rPr>
        <w:pBdr>
          <w:top w:val="none" w:color="000000" w:sz="4" w:space="0"/>
          <w:left w:val="none" w:color="000000" w:sz="4" w:space="0"/>
          <w:bottom w:val="none" w:color="000000" w:sz="4" w:space="0"/>
          <w:right w:val="none" w:color="000000" w:sz="4" w:space="0"/>
        </w:pBdr>
      </w:pPr>
      <w:r>
        <w:rPr>
          <w:rFonts w:ascii="SimHei" w:hAnsi="SimHei" w:eastAsia="SimHei" w:cs="SimHei"/>
          <w:sz w:val="22"/>
          <w:szCs w:val="22"/>
        </w:rPr>
      </w:r>
      <w:r>
        <w:rPr>
          <w:rFonts w:ascii="SimHei" w:hAnsi="SimHei" w:eastAsia="SimHei" w:cs="SimHei"/>
          <w:sz w:val="22"/>
          <w:szCs w:val="22"/>
        </w:rPr>
      </w:r>
      <w:r/>
    </w:p>
    <w:p>
      <w:pPr>
        <w:ind w:left="0" w:right="0" w:firstLine="422"/>
        <w:jc w:val="both"/>
        <w:spacing w:before="0" w:after="0" w:line="85" w:lineRule="atLeast"/>
        <w:rPr>
          <w:rFonts w:ascii="SimHei" w:hAnsi="SimHei" w:eastAsia="SimHei" w:cs="SimHei"/>
          <w:sz w:val="22"/>
          <w:szCs w:val="22"/>
        </w:rPr>
        <w:pBdr>
          <w:top w:val="none" w:color="000000" w:sz="4" w:space="0"/>
          <w:left w:val="none" w:color="000000" w:sz="4" w:space="0"/>
          <w:bottom w:val="none" w:color="000000" w:sz="4" w:space="0"/>
          <w:right w:val="none" w:color="000000" w:sz="4" w:space="0"/>
        </w:pBdr>
      </w:pPr>
      <w:r>
        <w:rPr>
          <w:rFonts w:ascii="SimHei" w:hAnsi="SimHei" w:eastAsia="SimHei" w:cs="SimHei"/>
          <w:sz w:val="22"/>
          <w:szCs w:val="22"/>
        </w:rPr>
      </w:r>
      <w:r>
        <w:rPr>
          <w:rFonts w:ascii="SimHei" w:hAnsi="SimHei" w:eastAsia="SimHei" w:cs="SimHei"/>
          <w:sz w:val="22"/>
          <w:szCs w:val="22"/>
        </w:rPr>
      </w:r>
      <w:r/>
    </w:p>
    <w:p>
      <w:pPr>
        <w:ind w:left="0" w:right="0" w:firstLine="422"/>
        <w:jc w:val="both"/>
        <w:spacing w:before="0" w:after="0" w:line="85" w:lineRule="atLeast"/>
        <w:rPr>
          <w:rFonts w:ascii="SimHei" w:hAnsi="SimHei" w:eastAsia="SimHei" w:cs="SimHei"/>
          <w:sz w:val="22"/>
          <w:szCs w:val="22"/>
        </w:rPr>
        <w:pBdr>
          <w:top w:val="none" w:color="000000" w:sz="4" w:space="0"/>
          <w:left w:val="none" w:color="000000" w:sz="4" w:space="0"/>
          <w:bottom w:val="none" w:color="000000" w:sz="4" w:space="0"/>
          <w:right w:val="none" w:color="000000" w:sz="4" w:space="0"/>
        </w:pBdr>
      </w:pPr>
      <w:r>
        <w:rPr>
          <w:rFonts w:ascii="SimHei" w:hAnsi="SimHei" w:eastAsia="SimHei" w:cs="SimHei"/>
          <w:sz w:val="22"/>
          <w:szCs w:val="22"/>
        </w:rPr>
      </w:r>
      <w:r>
        <w:rPr>
          <w:rFonts w:ascii="SimHei" w:hAnsi="SimHei" w:eastAsia="SimHei" w:cs="SimHei"/>
          <w:sz w:val="22"/>
          <w:szCs w:val="22"/>
        </w:rPr>
      </w:r>
      <w:r/>
    </w:p>
    <w:p>
      <w:pPr>
        <w:ind w:left="0" w:right="0" w:firstLine="422"/>
        <w:jc w:val="both"/>
        <w:spacing w:before="0" w:after="0" w:line="85" w:lineRule="atLeast"/>
        <w:rPr>
          <w:rFonts w:ascii="SimHei" w:hAnsi="SimHei" w:eastAsia="SimHei" w:cs="SimHei"/>
          <w:sz w:val="22"/>
          <w:szCs w:val="22"/>
        </w:rPr>
        <w:pBdr>
          <w:top w:val="none" w:color="000000" w:sz="4" w:space="0"/>
          <w:left w:val="none" w:color="000000" w:sz="4" w:space="0"/>
          <w:bottom w:val="none" w:color="000000" w:sz="4" w:space="0"/>
          <w:right w:val="none" w:color="000000" w:sz="4" w:space="0"/>
        </w:pBdr>
      </w:pPr>
      <w:r>
        <w:rPr>
          <w:rFonts w:ascii="SimHei" w:hAnsi="SimHei" w:eastAsia="SimHei" w:cs="SimHei"/>
          <w:sz w:val="22"/>
          <w:szCs w:val="22"/>
        </w:rPr>
      </w:r>
      <w:r>
        <w:rPr>
          <w:rFonts w:ascii="SimHei" w:hAnsi="SimHei" w:eastAsia="SimHei" w:cs="SimHei"/>
          <w:sz w:val="22"/>
          <w:szCs w:val="22"/>
        </w:rPr>
      </w:r>
      <w:r/>
    </w:p>
    <w:p>
      <w:pPr>
        <w:ind w:left="0" w:right="0" w:firstLine="422"/>
        <w:jc w:val="both"/>
        <w:spacing w:before="0" w:after="0" w:line="85" w:lineRule="atLeast"/>
        <w:rPr>
          <w:rFonts w:ascii="SimHei" w:hAnsi="SimHei" w:eastAsia="SimHei" w:cs="SimHei"/>
          <w:sz w:val="22"/>
          <w:szCs w:val="22"/>
        </w:rPr>
        <w:pBdr>
          <w:top w:val="none" w:color="000000" w:sz="4" w:space="0"/>
          <w:left w:val="none" w:color="000000" w:sz="4" w:space="0"/>
          <w:bottom w:val="none" w:color="000000" w:sz="4" w:space="0"/>
          <w:right w:val="none" w:color="000000" w:sz="4" w:space="0"/>
        </w:pBdr>
      </w:pPr>
      <w:r>
        <w:rPr>
          <w:rFonts w:ascii="SimHei" w:hAnsi="SimHei" w:eastAsia="SimHei" w:cs="SimHei"/>
          <w:sz w:val="22"/>
          <w:szCs w:val="22"/>
        </w:rPr>
      </w:r>
      <w:r>
        <w:rPr>
          <w:rFonts w:ascii="SimHei" w:hAnsi="SimHei" w:eastAsia="SimHei" w:cs="SimHei"/>
          <w:sz w:val="22"/>
          <w:szCs w:val="22"/>
        </w:rPr>
      </w:r>
      <w:r/>
    </w:p>
    <w:p>
      <w:pPr>
        <w:ind w:left="0" w:right="0" w:firstLine="422"/>
        <w:jc w:val="both"/>
        <w:spacing w:before="0" w:after="0" w:line="85" w:lineRule="atLeast"/>
        <w:rPr>
          <w:rFonts w:ascii="SimHei" w:hAnsi="SimHei" w:eastAsia="SimHei" w:cs="SimHei"/>
          <w:sz w:val="22"/>
          <w:szCs w:val="22"/>
        </w:rPr>
        <w:pBdr>
          <w:top w:val="none" w:color="000000" w:sz="4" w:space="0"/>
          <w:left w:val="none" w:color="000000" w:sz="4" w:space="0"/>
          <w:bottom w:val="none" w:color="000000" w:sz="4" w:space="0"/>
          <w:right w:val="none" w:color="000000" w:sz="4" w:space="0"/>
        </w:pBdr>
      </w:pPr>
      <w:r>
        <w:rPr>
          <w:rFonts w:ascii="SimHei" w:hAnsi="SimHei" w:eastAsia="SimHei" w:cs="SimHei"/>
          <w:sz w:val="22"/>
          <w:szCs w:val="22"/>
        </w:rPr>
      </w:r>
      <w:r>
        <w:rPr>
          <w:rFonts w:ascii="SimHei" w:hAnsi="SimHei" w:eastAsia="SimHei" w:cs="SimHei"/>
          <w:sz w:val="22"/>
          <w:szCs w:val="22"/>
        </w:rPr>
      </w:r>
      <w:r/>
    </w:p>
    <w:p>
      <w:pPr>
        <w:ind w:left="0" w:right="0" w:firstLine="422"/>
        <w:jc w:val="both"/>
        <w:spacing w:before="0" w:after="0" w:line="85" w:lineRule="atLeast"/>
        <w:rPr>
          <w:rFonts w:ascii="SimHei" w:hAnsi="SimHei" w:eastAsia="SimHei" w:cs="SimHei"/>
          <w:sz w:val="22"/>
          <w:szCs w:val="22"/>
        </w:rPr>
        <w:pBdr>
          <w:top w:val="none" w:color="000000" w:sz="4" w:space="0"/>
          <w:left w:val="none" w:color="000000" w:sz="4" w:space="0"/>
          <w:bottom w:val="none" w:color="000000" w:sz="4" w:space="0"/>
          <w:right w:val="none" w:color="000000" w:sz="4" w:space="0"/>
        </w:pBdr>
      </w:pPr>
      <w:r>
        <w:rPr>
          <w:rFonts w:ascii="SimHei" w:hAnsi="SimHei" w:eastAsia="SimHei" w:cs="SimHei"/>
          <w:sz w:val="22"/>
          <w:szCs w:val="22"/>
        </w:rPr>
      </w:r>
      <w:r>
        <w:rPr>
          <w:rFonts w:ascii="SimHei" w:hAnsi="SimHei" w:eastAsia="SimHei" w:cs="SimHei"/>
          <w:sz w:val="22"/>
          <w:szCs w:val="22"/>
        </w:rPr>
      </w:r>
      <w:r/>
    </w:p>
    <w:p>
      <w:pPr>
        <w:ind w:left="0" w:right="0" w:firstLine="422"/>
        <w:jc w:val="both"/>
        <w:spacing w:before="0" w:after="0" w:line="85" w:lineRule="atLeast"/>
        <w:rPr>
          <w:rFonts w:ascii="SimHei" w:hAnsi="SimHei" w:eastAsia="SimHei" w:cs="SimHei"/>
          <w:sz w:val="22"/>
          <w:szCs w:val="22"/>
        </w:rPr>
        <w:pBdr>
          <w:top w:val="none" w:color="000000" w:sz="4" w:space="0"/>
          <w:left w:val="none" w:color="000000" w:sz="4" w:space="0"/>
          <w:bottom w:val="none" w:color="000000" w:sz="4" w:space="0"/>
          <w:right w:val="none" w:color="000000" w:sz="4" w:space="0"/>
        </w:pBdr>
      </w:pPr>
      <w:r>
        <w:rPr>
          <w:rFonts w:ascii="SimHei" w:hAnsi="SimHei" w:eastAsia="SimHei" w:cs="SimHei"/>
          <w:sz w:val="22"/>
          <w:szCs w:val="22"/>
        </w:rPr>
      </w:r>
      <w:r>
        <w:rPr>
          <w:rFonts w:ascii="SimHei" w:hAnsi="SimHei" w:eastAsia="SimHei" w:cs="SimHei"/>
          <w:sz w:val="22"/>
          <w:szCs w:val="22"/>
        </w:rPr>
      </w:r>
      <w:r/>
    </w:p>
    <w:p>
      <w:pPr>
        <w:ind w:left="0" w:right="0" w:firstLine="422"/>
        <w:jc w:val="both"/>
        <w:spacing w:before="0" w:after="0" w:line="85" w:lineRule="atLeast"/>
        <w:rPr>
          <w:rFonts w:ascii="SimHei" w:hAnsi="SimHei" w:eastAsia="SimHei" w:cs="SimHei"/>
          <w:sz w:val="22"/>
          <w:szCs w:val="22"/>
        </w:rPr>
        <w:pBdr>
          <w:top w:val="none" w:color="000000" w:sz="4" w:space="0"/>
          <w:left w:val="none" w:color="000000" w:sz="4" w:space="0"/>
          <w:bottom w:val="none" w:color="000000" w:sz="4" w:space="0"/>
          <w:right w:val="none" w:color="000000" w:sz="4" w:space="0"/>
        </w:pBdr>
      </w:pPr>
      <w:r>
        <w:rPr>
          <w:rFonts w:ascii="SimHei" w:hAnsi="SimHei" w:eastAsia="SimHei" w:cs="SimHei"/>
          <w:sz w:val="22"/>
          <w:szCs w:val="22"/>
        </w:rPr>
      </w:r>
      <w:r>
        <w:rPr>
          <w:rFonts w:ascii="SimHei" w:hAnsi="SimHei" w:eastAsia="SimHei" w:cs="SimHei"/>
          <w:sz w:val="22"/>
          <w:szCs w:val="22"/>
        </w:rPr>
      </w:r>
      <w:r/>
    </w:p>
    <w:p>
      <w:pPr>
        <w:ind w:left="0" w:right="0" w:firstLine="422"/>
        <w:jc w:val="both"/>
        <w:spacing w:before="0" w:after="0" w:line="85" w:lineRule="atLeast"/>
        <w:rPr>
          <w:rFonts w:ascii="SimHei" w:hAnsi="SimHei" w:eastAsia="SimHei" w:cs="SimHei"/>
          <w:sz w:val="22"/>
          <w:szCs w:val="22"/>
        </w:rPr>
        <w:pBdr>
          <w:top w:val="none" w:color="000000" w:sz="4" w:space="0"/>
          <w:left w:val="none" w:color="000000" w:sz="4" w:space="0"/>
          <w:bottom w:val="none" w:color="000000" w:sz="4" w:space="0"/>
          <w:right w:val="none" w:color="000000" w:sz="4" w:space="0"/>
        </w:pBdr>
      </w:pPr>
      <w:r>
        <w:rPr>
          <w:rFonts w:ascii="SimHei" w:hAnsi="SimHei" w:eastAsia="SimHei" w:cs="SimHei"/>
          <w:sz w:val="22"/>
          <w:szCs w:val="22"/>
        </w:rPr>
      </w:r>
      <w:r>
        <w:rPr>
          <w:rFonts w:ascii="SimHei" w:hAnsi="SimHei" w:eastAsia="SimHei" w:cs="SimHei"/>
          <w:sz w:val="22"/>
          <w:szCs w:val="22"/>
        </w:rPr>
      </w:r>
      <w:r/>
    </w:p>
    <w:p>
      <w:pPr>
        <w:ind w:left="0" w:right="0" w:firstLine="422"/>
        <w:jc w:val="both"/>
        <w:spacing w:before="0" w:after="0" w:line="85" w:lineRule="atLeast"/>
        <w:rPr>
          <w:rFonts w:ascii="SimHei" w:hAnsi="SimHei" w:eastAsia="SimHei" w:cs="SimHei"/>
          <w:sz w:val="22"/>
          <w:szCs w:val="22"/>
        </w:rPr>
        <w:pBdr>
          <w:top w:val="none" w:color="000000" w:sz="4" w:space="0"/>
          <w:left w:val="none" w:color="000000" w:sz="4" w:space="0"/>
          <w:bottom w:val="none" w:color="000000" w:sz="4" w:space="0"/>
          <w:right w:val="none" w:color="000000" w:sz="4" w:space="0"/>
        </w:pBdr>
      </w:pPr>
      <w:r>
        <w:rPr>
          <w:rFonts w:ascii="SimHei" w:hAnsi="SimHei" w:eastAsia="SimHei" w:cs="SimHei"/>
          <w:sz w:val="22"/>
          <w:szCs w:val="22"/>
        </w:rPr>
      </w:r>
      <w:r>
        <w:rPr>
          <w:rFonts w:ascii="SimHei" w:hAnsi="SimHei" w:eastAsia="SimHei" w:cs="SimHei"/>
          <w:sz w:val="22"/>
          <w:szCs w:val="22"/>
        </w:rPr>
      </w:r>
      <w:r/>
    </w:p>
    <w:p>
      <w:pPr>
        <w:ind w:left="0" w:right="0" w:firstLine="422"/>
        <w:jc w:val="both"/>
        <w:spacing w:before="0" w:after="0" w:line="85" w:lineRule="atLeast"/>
        <w:rPr>
          <w:rFonts w:ascii="SimHei" w:hAnsi="SimHei" w:eastAsia="SimHei" w:cs="SimHei"/>
          <w:sz w:val="22"/>
          <w:szCs w:val="22"/>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highlight w:val="none"/>
        </w:rPr>
      </w:r>
      <w:r>
        <w:rPr>
          <w:rFonts w:ascii="SimSun" w:hAnsi="SimSun" w:eastAsia="SimSun" w:cs="SimSun"/>
          <w:b/>
          <w:color w:val="000000"/>
          <w:sz w:val="22"/>
          <w:highlight w:val="none"/>
        </w:rPr>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第三章合同文本</w:t>
      </w:r>
      <w:r/>
    </w:p>
    <w:tbl>
      <w:tblPr>
        <w:tblStyle w:val="70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801"/>
        <w:gridCol w:w="4989"/>
      </w:tblGrid>
      <w:tr>
        <w:trPr>
          <w:trHeight w:val="679"/>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80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甲方：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联系人：</w:t>
            </w: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98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单位地址：</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联系电话：</w:t>
            </w:r>
            <w:r>
              <w:rPr>
                <w:rFonts w:ascii="SimSun" w:hAnsi="SimSun" w:eastAsia="SimSun" w:cs="SimSun"/>
                <w:color w:val="000000"/>
                <w:sz w:val="21"/>
              </w:rPr>
              <w:t xml:space="preserve"> </w:t>
            </w:r>
            <w:r/>
          </w:p>
        </w:tc>
      </w:tr>
      <w:tr>
        <w:trPr>
          <w:trHeight w:val="695"/>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80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乙方：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联系人：</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98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单位地址：</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联系电话：</w:t>
            </w:r>
            <w:r/>
          </w:p>
        </w:tc>
      </w:tr>
    </w:tbl>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依据甲方委托</w:t>
      </w:r>
      <w:r>
        <w:rPr>
          <w:rFonts w:ascii="SimSun" w:hAnsi="SimSun" w:eastAsia="SimSun" w:cs="SimSun"/>
          <w:color w:val="000000"/>
          <w:sz w:val="21"/>
          <w:u w:val="single"/>
        </w:rPr>
        <w:t xml:space="preserve"> </w:t>
      </w:r>
      <w:r>
        <w:rPr>
          <w:rFonts w:ascii="SimSun" w:hAnsi="SimSun" w:eastAsia="SimSun" w:cs="SimSun"/>
          <w:color w:val="000000"/>
          <w:sz w:val="22"/>
          <w:u w:val="single"/>
        </w:rPr>
        <w:t xml:space="preserve">苏州捷信招投标咨询有限公司</w:t>
      </w:r>
      <w:r>
        <w:rPr>
          <w:rFonts w:ascii="SimSun" w:hAnsi="SimSun" w:eastAsia="SimSun" w:cs="SimSun"/>
          <w:color w:val="000000"/>
          <w:sz w:val="21"/>
          <w:u w:val="single"/>
        </w:rPr>
        <w:t xml:space="preserve"> </w:t>
      </w:r>
      <w:r>
        <w:rPr>
          <w:rFonts w:ascii="SimSun" w:hAnsi="SimSun" w:eastAsia="SimSun" w:cs="SimSun"/>
          <w:color w:val="000000"/>
          <w:sz w:val="22"/>
        </w:rPr>
        <w:t xml:space="preserve">进行本项目政府采购</w:t>
      </w:r>
      <w:r>
        <w:rPr>
          <w:rFonts w:ascii="SimSun" w:hAnsi="SimSun" w:eastAsia="SimSun" w:cs="SimSun"/>
          <w:color w:val="000000"/>
          <w:sz w:val="22"/>
          <w:u w:val="single"/>
        </w:rPr>
        <w:t xml:space="preserve">（项目编号：）</w:t>
      </w:r>
      <w:r>
        <w:rPr>
          <w:rFonts w:ascii="SimSun" w:hAnsi="SimSun" w:eastAsia="SimSun" w:cs="SimSun"/>
          <w:color w:val="000000"/>
          <w:sz w:val="21"/>
          <w:u w:val="single"/>
        </w:rPr>
        <w:t xml:space="preserve"> </w:t>
      </w:r>
      <w:r>
        <w:rPr>
          <w:rFonts w:ascii="SimSun" w:hAnsi="SimSun" w:eastAsia="SimSun" w:cs="SimSun"/>
          <w:color w:val="000000"/>
          <w:sz w:val="22"/>
        </w:rPr>
        <w:t xml:space="preserve">的招标结果，确定乙方为本项目中标单位，现依照招标文件、乙方的投标文件及相关文件的内容，签订本合同书。</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一、合同内容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1.项目内容</w:t>
      </w:r>
      <w:r/>
    </w:p>
    <w:tbl>
      <w:tblPr>
        <w:tblStyle w:val="70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62"/>
        <w:gridCol w:w="1796"/>
        <w:gridCol w:w="1424"/>
        <w:gridCol w:w="921"/>
        <w:gridCol w:w="792"/>
        <w:gridCol w:w="1111"/>
        <w:gridCol w:w="898"/>
        <w:gridCol w:w="896"/>
      </w:tblGrid>
      <w:tr>
        <w:trPr>
          <w:trHeight w:val="38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规格、型号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1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生产厂家</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单价</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总价</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（元）</w:t>
            </w:r>
            <w:r/>
          </w:p>
        </w:tc>
      </w:tr>
      <w:tr>
        <w:trPr>
          <w:trHeight w:val="22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2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2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2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26"/>
        </w:trPr>
        <w:tc>
          <w:tcPr>
            <w:gridSpan w:val="8"/>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0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合计金额大写：</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2.以下文件是构成本合同不可分割的部分：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2.1本项目招标文件；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2.2合同条款；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2.3中标供应商投标文件；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2.4中标供应商做出的有关澄清、说明或者补正文件；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2.5确定中标供应商的文件（包括但不限于中标通知书、成交通知书等）；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2.6本合同附件；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2.7以上条款对同一内容的约定如有不一致，以顺序在先者为准。</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二、合同金额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1.合同金额为：</w:t>
      </w:r>
      <w:r>
        <w:rPr>
          <w:rFonts w:ascii="SimSun" w:hAnsi="SimSun" w:eastAsia="SimSun" w:cs="SimSun"/>
          <w:color w:val="000000"/>
          <w:sz w:val="22"/>
          <w:u w:val="single"/>
        </w:rPr>
        <w:t xml:space="preserve">（大写）人民币元，小写：</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合同价款合同总价包括所投产品（含附属配套设施设备、器材）及其备品、备件和专用工具费用、税费及包装、运至最终目的地的运输、车辆上牌前的临时保险、现场吊装、检测验收、安装调试、验收及相关费用、协助车辆上牌、技术支持与培训、售后服务与维保及相关劳务支出、代理费（中标服务费）等工作所发生的全部费用以及投标人利润、税金和政策性文件规定及合同包含的所有风险、责任等各项应有费用。（机动车保险费用不含在投标总报价中）。</w:t>
      </w:r>
      <w:r>
        <w:rPr>
          <w:rFonts w:ascii="SimSun" w:hAnsi="SimSun" w:eastAsia="SimSun" w:cs="SimSun"/>
          <w:color w:val="000000"/>
          <w:sz w:val="21"/>
        </w:rPr>
        <w:t xml:space="preserve">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三、付款约定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1.甲方根据乙方在本合同中所提供银行开户信息转账支付。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乙方开户名称：</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开户银行：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银行账号：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2.合同价款的支付及付款方式：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付款步骤：在政府采购合同签订生效后，由甲方预付合同金额50%货款给乙方（如为代理商中标，甲方支付预付款前，乙方须提供与车辆厂家签订的合同或协议）；待全部货物到达甲方指定地点，经验收合格，并向甲方提供下列单据（A、B、C）后，由甲方向乙方支付合同总金额的90%，余款在验收合格满一年后一次性付清（具体支付金额以甲方财政支付要求为准）。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2.2付款方式：乙方须提供合格的销售发票（发票需符合税务部门及甲方的要求，否则甲方有权延期付款），以转账等方式支付。</w:t>
      </w:r>
      <w:r/>
    </w:p>
    <w:p>
      <w:pPr>
        <w:ind w:left="0" w:right="0" w:firstLine="0"/>
        <w:spacing w:before="240" w:after="24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2.3根据国家现行税法对甲方征收的与本合同有关的税费均由甲方承担；根据国家现行税法对乙方征收的与本合同有关的一切税费均由乙方承担。</w:t>
      </w:r>
      <w:r/>
    </w:p>
    <w:p>
      <w:pPr>
        <w:ind w:left="0" w:firstLine="0"/>
        <w:spacing w:before="240" w:after="24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3.履约保证金：无。</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四、交付时间、地点、方式：</w:t>
      </w:r>
      <w:r/>
    </w:p>
    <w:p>
      <w:pPr>
        <w:ind w:left="0" w:right="-161"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1.交付方式：所有合同货物均由乙方装运至甲方指定地点，所有货物的包装费用、运输费用及运输安全均由乙方负责。货物装运后由乙方办理保险，费用已含在合同总价中。</w:t>
      </w:r>
      <w:r/>
    </w:p>
    <w:p>
      <w:pPr>
        <w:ind w:left="0" w:right="-161"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2.交货期限：自合同签订生效后90个工作日内完成全部采购内容的供货安装调试并交付正常使用，具体根据甲方要求。</w:t>
      </w:r>
      <w:r/>
    </w:p>
    <w:p>
      <w:pPr>
        <w:ind w:left="0" w:right="-161"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3.保修期：要求整车质保1年（招标文件具体技术要求另有说明的除外），免费保修期为自货物交验后计算，产生设备的损坏和故障，由乙方负责免费更换或维修。</w:t>
      </w:r>
      <w:r/>
    </w:p>
    <w:p>
      <w:pPr>
        <w:ind w:left="0" w:right="-161"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4.交货地点：具体按甲方指定地点。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乙方发货到甲方指定地点前，应先与甲方确认，并确定实际到场时间，乙方提前于甲方通知日期运货到现场，若发生有关现场额外的保管费等费用支出，均由乙方承担。若甲方根据现场进度，推迟货物进场时间，乙方不得因此提出任何费用增加的申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6.所有货物的外观、包装、运输应按国家规定或部颁标准执行。任何由于乙方包装及保护措施不足或不当以及其他原因造成的损坏或丢失，均由乙方负责修复或补缺。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7.货物交货时，包装须完整无破损，乙方还必须提供以下材料：</w:t>
      </w:r>
      <w:r/>
    </w:p>
    <w:p>
      <w:pPr>
        <w:ind w:left="0" w:right="0" w:firstLine="63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A.货物装箱清单                    B、质量检验合格文件</w:t>
      </w:r>
      <w:r/>
    </w:p>
    <w:p>
      <w:pPr>
        <w:ind w:left="0" w:right="0" w:firstLine="63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C.中英文技术资料                  D、使用维修保养中文说明书</w:t>
      </w:r>
      <w:r/>
    </w:p>
    <w:p>
      <w:pPr>
        <w:ind w:left="0" w:right="0" w:firstLine="63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E.其他必备材料和工具等       </w:t>
      </w:r>
      <w:r>
        <w:rPr>
          <w:rFonts w:ascii="SimSun" w:hAnsi="SimSun" w:eastAsia="SimSun" w:cs="SimSun"/>
          <w:color w:val="000000"/>
          <w:sz w:val="21"/>
        </w:rPr>
        <w:t xml:space="preserve">     </w:t>
      </w:r>
      <w:r>
        <w:rPr>
          <w:rFonts w:ascii="SimSun" w:hAnsi="SimSun" w:eastAsia="SimSun" w:cs="SimSun"/>
          <w:color w:val="000000"/>
          <w:sz w:val="22"/>
        </w:rPr>
        <w:t xml:space="preserve">F、保修单等其他必须材料</w:t>
      </w:r>
      <w:r/>
    </w:p>
    <w:p>
      <w:pPr>
        <w:ind w:left="99"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8.如因甲方原因货物不能在规定时间内进场，乙方承诺免费提供货物寄存场所一个月，货物寄存于乙方仓库。如超过一个月时间，所产生的仓储费用双方将协商另计。</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五、标的物的一般条款</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1.完整物权：</w:t>
      </w:r>
      <w:r>
        <w:rPr>
          <w:rFonts w:ascii="SimSun" w:hAnsi="SimSun" w:eastAsia="SimSun" w:cs="SimSun"/>
          <w:color w:val="000000"/>
          <w:sz w:val="22"/>
        </w:rPr>
        <w:t xml:space="preserve">对于出卖的标的物，乙方应当拥有完整物权，并且乙方负有保证第三人不得向甲方主张任何权利（包括知识产权）的义务。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rPr>
          <w:rFonts w:ascii="SimSun" w:hAnsi="SimSun" w:eastAsia="SimSun" w:cs="SimSun"/>
          <w:b/>
          <w:color w:val="000000"/>
          <w:sz w:val="22"/>
        </w:rPr>
        <w:t xml:space="preserve">2.质量保证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rPr>
          <w:rFonts w:ascii="SimSun" w:hAnsi="SimSun" w:eastAsia="SimSun" w:cs="SimSun"/>
          <w:color w:val="000000"/>
          <w:sz w:val="21"/>
        </w:rPr>
        <w:t xml:space="preserve">.1 </w:t>
      </w:r>
      <w:r>
        <w:rPr>
          <w:rFonts w:ascii="SimSun" w:hAnsi="SimSun" w:eastAsia="SimSun" w:cs="SimSun"/>
          <w:color w:val="000000"/>
          <w:sz w:val="22"/>
        </w:rPr>
        <w:t xml:space="preserve">乙方应保证所供标的物是全新的，未使用过的，并且是非长期积压的库存商品，完全符合合同规定的质量、规格和性能的要求，乙方应保证其提供的标的物在正确安装，正常使用和保养条件下，在其标称的使用寿命期内应具有满意的性能。在乙方承诺的质量保证期限内，乙方应对由于设计、工艺或材料的缺陷及伴随服务而造成的任何不足或故障负责。</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rPr>
          <w:rFonts w:ascii="SimSun" w:hAnsi="SimSun" w:eastAsia="SimSun" w:cs="SimSun"/>
          <w:color w:val="000000"/>
          <w:sz w:val="21"/>
        </w:rPr>
        <w:t xml:space="preserve">.2 </w:t>
      </w:r>
      <w:r>
        <w:rPr>
          <w:rFonts w:ascii="SimSun" w:hAnsi="SimSun" w:eastAsia="SimSun" w:cs="SimSun"/>
          <w:color w:val="000000"/>
          <w:sz w:val="22"/>
        </w:rPr>
        <w:t xml:space="preserve">根据甲方按检验标准或行业标准自己检验的结果或当地技监部门的检验结果，或者在质量保证期内，如果标的物的数量、质量或规格与合同不符或证实标的物是有缺陷的，包括潜在缺陷或使用不符合要求的材料等，甲方应尽快以书面形式通知乙方并提出索赔。</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rPr>
          <w:rFonts w:ascii="SimSun" w:hAnsi="SimSun" w:eastAsia="SimSun" w:cs="SimSun"/>
          <w:color w:val="000000"/>
          <w:sz w:val="21"/>
        </w:rPr>
        <w:t xml:space="preserve">.3 </w:t>
      </w:r>
      <w:r>
        <w:rPr>
          <w:rFonts w:ascii="SimSun" w:hAnsi="SimSun" w:eastAsia="SimSun" w:cs="SimSun"/>
          <w:color w:val="000000"/>
          <w:sz w:val="22"/>
        </w:rPr>
        <w:t xml:space="preserve">除合同特殊条款规定外，合同条款中标的物的质量保证期均自相应批次标的物交货并通过最终验收之日起计算，具体以招标文件中规定的质量保证期为准或以中标单位承诺的高于招标要求的质量保证期为准。</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3.包装：</w:t>
      </w:r>
      <w:r>
        <w:rPr>
          <w:rFonts w:ascii="SimSun" w:hAnsi="SimSun" w:eastAsia="SimSun" w:cs="SimSun"/>
          <w:color w:val="000000"/>
          <w:sz w:val="22"/>
        </w:rPr>
        <w:t xml:space="preserve">乙方应当按照约定的包装方式交付标的物。对包装方式没有约定或者约定不明确的，应当按照双方补充协议约定的方式包装，或者按照通用的方式包装，没有通用方式的，应当采取足以保护标的物的包装方式。</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4.伴随服务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 </w:t>
      </w:r>
      <w:r>
        <w:rPr>
          <w:rFonts w:ascii="SimSun" w:hAnsi="SimSun" w:eastAsia="SimSun" w:cs="SimSun"/>
          <w:color w:val="000000"/>
          <w:sz w:val="22"/>
        </w:rPr>
        <w:t xml:space="preserve">乙方除应履行按期按量交付合格标的物的义务之外，还应提供下列服务。</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4.1.1 </w:t>
      </w:r>
      <w:r>
        <w:rPr>
          <w:rFonts w:ascii="SimSun" w:hAnsi="SimSun" w:eastAsia="SimSun" w:cs="SimSun"/>
          <w:color w:val="000000"/>
          <w:sz w:val="22"/>
        </w:rPr>
        <w:t xml:space="preserve">标的物的现场启动、调试、监督；</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4.1.2 </w:t>
      </w:r>
      <w:r>
        <w:rPr>
          <w:rFonts w:ascii="SimSun" w:hAnsi="SimSun" w:eastAsia="SimSun" w:cs="SimSun"/>
          <w:color w:val="000000"/>
          <w:sz w:val="22"/>
        </w:rPr>
        <w:t xml:space="preserve">提供标的物组装和一般维修所必须的工具；</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4.1.3 </w:t>
      </w:r>
      <w:r>
        <w:rPr>
          <w:rFonts w:ascii="SimSun" w:hAnsi="SimSun" w:eastAsia="SimSun" w:cs="SimSun"/>
          <w:color w:val="000000"/>
          <w:sz w:val="22"/>
        </w:rPr>
        <w:t xml:space="preserve">在合同规定的期限内对所提供标的物实行运行监督、维修服务的前提条件是该服务并不能免除乙方在质量保证期内所承担的义务；</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4.1.4 </w:t>
      </w:r>
      <w:r>
        <w:rPr>
          <w:rFonts w:ascii="SimSun" w:hAnsi="SimSun" w:eastAsia="SimSun" w:cs="SimSun"/>
          <w:color w:val="000000"/>
          <w:sz w:val="22"/>
        </w:rPr>
        <w:t xml:space="preserve">对甲方技术人员的技术指导或培训。</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 </w:t>
      </w:r>
      <w:r>
        <w:rPr>
          <w:rFonts w:ascii="SimSun" w:hAnsi="SimSun" w:eastAsia="SimSun" w:cs="SimSun"/>
          <w:color w:val="000000"/>
          <w:sz w:val="22"/>
        </w:rPr>
        <w:t xml:space="preserve">除合同另有规定之外，伴随服务的费用均已含在合同价款中，甲方不再另行进行支付。</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5.标的物的交付</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5.1 标的物的所有权自标的物交付时转移。</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5.2 乙方应当按照约定的期限和约定的地点交付标的物。</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5.3 乙方应当按照约定或者交易习惯向甲方交付提取标的物单证以外的有关单证和资料。</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6.对标的物提出异议的时间和办法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rPr>
          <w:rFonts w:ascii="SimSun" w:hAnsi="SimSun" w:eastAsia="SimSun" w:cs="SimSun"/>
          <w:color w:val="000000"/>
          <w:sz w:val="21"/>
        </w:rPr>
        <w:t xml:space="preserve">.1 </w:t>
      </w:r>
      <w:r>
        <w:rPr>
          <w:rFonts w:ascii="SimSun" w:hAnsi="SimSun" w:eastAsia="SimSun" w:cs="SimSun"/>
          <w:color w:val="000000"/>
          <w:sz w:val="22"/>
        </w:rPr>
        <w:t xml:space="preserve">甲方在验收过程中，应当于双方约定的检验期间内将标的物的数量或质量不符合约定的情形及处理方式以书面形式通知乙方。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rPr>
          <w:rFonts w:ascii="SimSun" w:hAnsi="SimSun" w:eastAsia="SimSun" w:cs="SimSun"/>
          <w:color w:val="000000"/>
          <w:sz w:val="21"/>
        </w:rPr>
        <w:t xml:space="preserve">.2 </w:t>
      </w:r>
      <w:r>
        <w:rPr>
          <w:rFonts w:ascii="SimSun" w:hAnsi="SimSun" w:eastAsia="SimSun" w:cs="SimSun"/>
          <w:color w:val="000000"/>
          <w:sz w:val="22"/>
        </w:rPr>
        <w:t xml:space="preserve">如甲方在验收期满后既不出具验收合格证明又未提出书面异议的视为乙方所交标的物符合合同规定。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rPr>
          <w:rFonts w:ascii="SimSun" w:hAnsi="SimSun" w:eastAsia="SimSun" w:cs="SimSun"/>
          <w:color w:val="000000"/>
          <w:sz w:val="21"/>
        </w:rPr>
        <w:t xml:space="preserve">.3 </w:t>
      </w:r>
      <w:r>
        <w:rPr>
          <w:rFonts w:ascii="SimSun" w:hAnsi="SimSun" w:eastAsia="SimSun" w:cs="SimSun"/>
          <w:color w:val="000000"/>
          <w:sz w:val="22"/>
        </w:rPr>
        <w:t xml:space="preserve">乙方应在收到甲方书面异议后2天内（双方在合同特殊条款另有规定的除外）负责处理问题，否则将视为默认甲方提出的异议和处理意见。</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六、验收要求：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1.履约验收标准：根据政府采购合同要求、招标文件要求、投标文件、承诺及有关行业规定。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2.履约验收主体：由甲方或委托专家（或第三方机构）组成的验收小组进行验收。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履约验收方式：严格按照本合同约定对每一项技术、服务、安全标准的履约情况进行确认，验收结束后，出具验收书，列明各分项标准的验收情况及项目总体评价，由验收双方共同签署。相关检测（检验）费用或验收小组成员中的专业技术人员费用由乙方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4.验收时间：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4.1政府采购合同约定的履约验收条件达到时，甲方应当在 5 个工作日内启动履约验收工作，并向乙方发出《政府采购履约验收通知单》。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4.2 在政府采购合同约定的履行验收条件达成时，乙方可以主动联系甲方启动履约验收工作。</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5.其他验收要求按照《江苏省政府采购履约验收管理办法》规定执行。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七、售后服务及其他要求：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1.具体按照招标文件售后服务条款执行。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2.其他要求按照乙方投标文件承诺的条款执行。</w:t>
      </w:r>
      <w:r/>
    </w:p>
    <w:p>
      <w:pPr>
        <w:ind w:left="0" w:right="0" w:firstLine="0"/>
        <w:spacing w:before="240" w:after="24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八、税费：</w:t>
      </w:r>
      <w:r/>
    </w:p>
    <w:p>
      <w:pPr>
        <w:ind w:left="0" w:right="0" w:firstLine="0"/>
        <w:spacing w:before="240" w:after="24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1.根据国家有关税务法律法规和规定，乙方应缴纳的与本合同有关的所有税费均由乙方承担。</w:t>
      </w:r>
      <w:r/>
    </w:p>
    <w:p>
      <w:pPr>
        <w:ind w:left="0" w:right="0" w:firstLine="0"/>
        <w:spacing w:before="240" w:after="24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2.本合同价格为含税价。乙方提供的所有货物、技术资料、技术服务、进口设备/部件等所有税费，已全部包含在合同价格内，由乙方承担。</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九、甲乙双方的权利与义务</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1.甲方的权利与义务</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1.1根据甲方服务管理要求及乙方的相关承诺，对乙方提供的服务及履行本合同情况实行验收考核。</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1.2甲方有义务在适当的范围内公开考核结果。</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1.3因突发情况，甲方需调动乙方人员和器材设备时，乙方应服从安排予以配合。</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2.乙方的权利与义务</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2.1乙方根据国家标准、行业标准和规范要求及标书规定的服务质量标准和有关要求，积极主动保质保量地完成服务工作。</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2.2接受并主动配合甲方及行业主管部门的检查。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2.3服务范围之外的突击性、突发性工作，乙方须服从甲方的安排，不得无故拖延。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2.4因乙方管理不善而损坏的硬件、设施应负责及时修复，或照价赔偿。</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2.5乙方应做好详细的管理台账，建立管理档案，并按双方约定将管理情况汇总报送甲方。</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2.6乙方加强安全生产工作，确保全年不出安全生产责任事故。如发生安全生产责任事故、工伤事故和交通事故等，由乙方承担一切责任及损失。</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2.7乙方必须自觉接受甲方及其它管理部门的管理、监督和检查，如遇突发事故或重大活动的突击任务，须无条件服从采购单位的安排。</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 项目服务期间，如区域范围内有新增企业，乙方需听从甲方意见，负责所有企业的清运工作，后期不增加任何费用。</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十、违约责任：</w:t>
      </w:r>
      <w:r>
        <w:rPr>
          <w:rFonts w:ascii="SimSun" w:hAnsi="SimSun" w:eastAsia="SimSun" w:cs="SimSun"/>
          <w:color w:val="000000"/>
          <w:sz w:val="22"/>
        </w:rPr>
        <w:t xml:space="preserve">合同一方不履行合同义务或者履行合同义务不符合约定的，应当承担继续履行、采取补救措施或者赔偿损失等违约责任。相关违约赔偿由甲乙双方协商确定。甲乙双方按照《中华人民共和国民法典》的规定承担违约责任。</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十一、合同的解除和转让</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1.有下列情形之一，合同一方可以解除合同：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1.1因不可抗力致使不能实现合同目的，未受不可抗力影响的一方有权解除合同；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1.2招标文件或合同约定或法律规定的解除合同的情形。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2.政府采购合同继续履行将损害国家利益和社会公共利益，甲方有权变更、中止、终止或解除合同。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3.合同的部分和全部都不得转让，否则甲方有权单方解除合同。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有权解除合同的一方，应当在其知道或者应当知道解除事由之日起【一年】内书面通知对方解除合同；另一方如有异议，应当在解除合同通知到达之日起【7】日内提出异议，否则视为无异议，合同自异议期满之次日起即告解除。</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十二、不可抗力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1.不可抗力指下列事件：战争、动乱、瘟疫、严重火灾、洪水、地震、风暴或其他自然灾害，以及本合同各方不可预见、不可防止并不能或克服的一切其他因素及事件。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任何一方因不可抗力不能履行本合同规定的全部或部分义务，该方应尽快通知另一方，并须在不可抗力发生后15日内以书面形式向另一方提供详细情况报告及不可抗力对履行本合同的影响程度的说明。就上述不可抗力的发生须由受到不可抗力影响的一方须同时提供由公证机关出具的公证证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发生不可抗力事件，任何一方均不对因不可抗力无法履行或迟延履行本合同义务而使另一方蒙受的任何损失承担责任。但遭受不可抗力影响的一方有责任尽可能及时采取适当或必要措施减少或消除不可抗力的影响。遭受不可抗力影响的一方对因未尽本项责任而造成的相关损失承担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4.合同各方应根据不可抗力对本合同履行的影响程度，协商确定是否终止本合同，或继续履行本合同。</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十三、保密条款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1.任何一方对其获知的本合同及附件中其他各方的商业秘密和国家秘密等非公开信息负有保密义务。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在下列情形下：当国家机关调查、审查、审计时，以及其他符合法律规定的情形下，无须事先征求乙方同意而可以披露关于采购过程、合同文本、签署情况的资料、乙方的名称及地址、采购内容的有关信息以及补充条款等，但应当在合理的必要范围内。对任何已经公布过的内容或与之内容相同的资料，以及乙方已经泄露或公开的，无须再承担保密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除此之外，除非法律、法规另有规定或得到本合同之其他各方的书面许可，任何一方不得向第三人泄露前款规定的商业秘密和国家秘密等非公开信息。保密期限自任何一方获知该商业秘密和国家秘密等非公开信息之日起至本条规定的秘密成为公开信息之日止。</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十四、争议的解决：</w:t>
      </w:r>
      <w:r>
        <w:rPr>
          <w:rFonts w:ascii="SimSun" w:hAnsi="SimSun" w:eastAsia="SimSun" w:cs="SimSun"/>
          <w:color w:val="000000"/>
          <w:sz w:val="22"/>
        </w:rPr>
        <w:t xml:space="preserve">与本合同有关的一切争议，双方应通过友好协商解决。如果经协商不能达成协议，可以向甲方所在地人民法院起诉。</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十五、合同生效及其他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1.甲乙双方签章之日起生效。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2.本合同一式贰份，甲方壹份、乙方壹份。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本合同包括本文件及其附件中的所有部分，招标文件、中标的投标（响应）文件、中标（成交）通知书、中标（成交）人在招标（采购）过程中的澄清和承诺等均为本合同不可缺少的组成部分。本合同履行过程中发生相关修改内容，须符合《中华人民共和国政府采购法》和相关法律法规规定；补充协议作为本合同不可分割的一部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4.本合同应按照中华人民共和国的现行法律进行解释。</w:t>
      </w:r>
      <w:r/>
    </w:p>
    <w:tbl>
      <w:tblPr>
        <w:tblStyle w:val="70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533"/>
        <w:gridCol w:w="2466"/>
      </w:tblGrid>
      <w:tr>
        <w:trPr>
          <w:trHeight w:val="607"/>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53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甲方（盖章）：</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466"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乙方（盖章）：</w:t>
            </w:r>
            <w:r/>
          </w:p>
        </w:tc>
      </w:tr>
      <w:tr>
        <w:trPr>
          <w:trHeight w:val="590"/>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53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法定（授权）代表人（签字）：</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466"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法定（授权）代表人（签字）：</w:t>
            </w:r>
            <w:r>
              <w:rPr>
                <w:rFonts w:ascii="SimSun" w:hAnsi="SimSun" w:eastAsia="SimSun" w:cs="SimSun"/>
                <w:color w:val="000000"/>
                <w:sz w:val="21"/>
              </w:rPr>
              <w:t xml:space="preserve"> </w:t>
            </w:r>
            <w:r>
              <w:rPr>
                <w:rFonts w:ascii="SimSun" w:hAnsi="SimSun" w:eastAsia="SimSun" w:cs="SimSun"/>
                <w:color w:val="000000"/>
                <w:sz w:val="22"/>
              </w:rPr>
              <w:t xml:space="preserve">    </w:t>
            </w:r>
            <w:r/>
          </w:p>
        </w:tc>
      </w:tr>
      <w:tr>
        <w:trPr>
          <w:trHeight w:val="607"/>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53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466"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w:t>
            </w:r>
            <w:r/>
          </w:p>
        </w:tc>
      </w:tr>
    </w:tbl>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第四章 招标需求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苏州捷信招投标咨询有限公司受苏州市吴江区七都镇人民政府的委托，就消防中队泡沫水罐消防车（JSZC-320509-SZJX-G2026-0048）在国内组织公开招标。</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一、项目编号</w:t>
      </w:r>
      <w:r>
        <w:rPr>
          <w:rFonts w:ascii="SimSun" w:hAnsi="SimSun" w:eastAsia="SimSun" w:cs="SimSun"/>
          <w:color w:val="000000"/>
          <w:sz w:val="22"/>
        </w:rPr>
        <w:t xml:space="preserve">：JSZC-320509-SZJX-G2026-0048号</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二、项目名称</w:t>
      </w:r>
      <w:r>
        <w:rPr>
          <w:rFonts w:ascii="SimSun" w:hAnsi="SimSun" w:eastAsia="SimSun" w:cs="SimSun"/>
          <w:color w:val="000000"/>
          <w:sz w:val="22"/>
        </w:rPr>
        <w:t xml:space="preserve">：消防中队泡沫水罐消防车</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三、标段划分</w:t>
      </w:r>
      <w:r>
        <w:rPr>
          <w:rFonts w:ascii="SimSun" w:hAnsi="SimSun" w:eastAsia="SimSun" w:cs="SimSun"/>
          <w:color w:val="000000"/>
          <w:sz w:val="22"/>
        </w:rPr>
        <w:t xml:space="preserve">：本项目招标分为一个标段。</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四、</w:t>
      </w:r>
      <w:r>
        <w:rPr>
          <w:rFonts w:ascii="SimSun" w:hAnsi="SimSun" w:eastAsia="SimSun" w:cs="SimSun"/>
          <w:color w:val="000000"/>
          <w:sz w:val="22"/>
        </w:rPr>
        <w:t xml:space="preserve">预算金额：人民币壹佰捌拾万元整（小写：1800000.00元）</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最高限价：人民币壹佰捌拾万元整（小写：1800000.00元）</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五、</w:t>
      </w:r>
      <w:r>
        <w:rPr>
          <w:rFonts w:ascii="SimSun" w:hAnsi="SimSun" w:eastAsia="SimSun" w:cs="SimSun"/>
          <w:color w:val="000000"/>
          <w:sz w:val="22"/>
        </w:rPr>
        <w:t xml:space="preserve">合同履行期限：自合同签订生效之日起</w:t>
      </w:r>
      <w:r>
        <w:rPr>
          <w:rFonts w:ascii="SimSun" w:hAnsi="SimSun" w:eastAsia="SimSun" w:cs="SimSun"/>
          <w:color w:val="000000"/>
          <w:sz w:val="21"/>
        </w:rPr>
        <w:t xml:space="preserve"> </w:t>
      </w:r>
      <w:r>
        <w:rPr>
          <w:rFonts w:ascii="SimSun" w:hAnsi="SimSun" w:eastAsia="SimSun" w:cs="SimSun"/>
          <w:color w:val="000000"/>
          <w:sz w:val="22"/>
        </w:rPr>
        <w:t xml:space="preserve">90个工作日内完成全部采购内容的供货、安装、调试并交付正常使用，具体根据招标单位要求；整车质保1年，免费保修期自货物验收合格之日起计算。</w:t>
      </w:r>
      <w:r/>
    </w:p>
    <w:p>
      <w:pPr>
        <w:ind w:left="0" w:right="0" w:firstLine="422"/>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六、项目招标需求：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1.项目概况：车辆采购，用于区域消防站灭火救援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2.采购清单：</w:t>
      </w:r>
      <w:r/>
    </w:p>
    <w:tbl>
      <w:tblPr>
        <w:tblStyle w:val="70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44"/>
        <w:gridCol w:w="2516"/>
        <w:gridCol w:w="1079"/>
        <w:gridCol w:w="1053"/>
        <w:gridCol w:w="2930"/>
      </w:tblGrid>
      <w:tr>
        <w:trPr>
          <w:trHeight w:val="60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16"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7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5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3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备注</w:t>
            </w:r>
            <w:r/>
          </w:p>
        </w:tc>
      </w:tr>
      <w:tr>
        <w:trPr>
          <w:trHeight w:val="4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16"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泡沫水罐消防车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3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不接受整车进口产品投标</w:t>
            </w:r>
            <w:r/>
          </w:p>
        </w:tc>
      </w:tr>
    </w:tbl>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3.具体技术要求：</w:t>
      </w:r>
      <w:r/>
    </w:p>
    <w:p>
      <w:pPr>
        <w:ind w:left="0" w:right="0" w:firstLine="422"/>
        <w:jc w:val="both"/>
        <w:spacing w:before="0" w:after="0" w:line="85" w:lineRule="atLeast"/>
        <w:tabs>
          <w:tab w:val="left" w:pos="144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3.1泡沫水罐消防车</w:t>
      </w:r>
      <w:r/>
    </w:p>
    <w:tbl>
      <w:tblPr>
        <w:tblStyle w:val="70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51"/>
        <w:gridCol w:w="750"/>
        <w:gridCol w:w="7914"/>
      </w:tblGrid>
      <w:tr>
        <w:trPr>
          <w:trHeight w:val="2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9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技术参数</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1"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0"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基本数据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1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（1）外形尺寸：长×宽×高：≤11900mm×2550mm×3900mm</w:t>
            </w:r>
            <w:r/>
          </w:p>
        </w:tc>
      </w:tr>
      <w:tr>
        <w:trPr>
          <w:trHeight w:val="23"/>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1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（2）满载总质量：≤38000kg</w:t>
            </w:r>
            <w:r/>
          </w:p>
        </w:tc>
      </w:tr>
      <w:tr>
        <w:trPr>
          <w:trHeight w:val="23"/>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1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（3）整车整备质量：≤19500kg         </w:t>
            </w:r>
            <w:r/>
          </w:p>
        </w:tc>
      </w:tr>
      <w:tr>
        <w:trPr>
          <w:trHeight w:val="23"/>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1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（4）灭火剂容量：≥18000kg</w:t>
            </w:r>
            <w:r/>
          </w:p>
        </w:tc>
      </w:tr>
      <w:tr>
        <w:trPr>
          <w:trHeight w:val="23"/>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1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（5）乘员人数（含驾驶员）：≥6人</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1"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0"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底盘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1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（1）驱动形式：8x4</w:t>
            </w:r>
            <w:r/>
          </w:p>
        </w:tc>
      </w:tr>
      <w:tr>
        <w:trPr>
          <w:trHeight w:val="23"/>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1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（2）发动机：直列六缸、增压中冷、高压共轨、电控</w:t>
            </w:r>
            <w:r/>
          </w:p>
        </w:tc>
      </w:tr>
      <w:tr>
        <w:trPr>
          <w:trHeight w:val="23"/>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1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（3）▲额定功率：≥400kW</w:t>
            </w:r>
            <w:r/>
          </w:p>
        </w:tc>
      </w:tr>
      <w:tr>
        <w:trPr>
          <w:trHeight w:val="23"/>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1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（4）最大扭矩：≥2500N·m</w:t>
            </w:r>
            <w:r/>
          </w:p>
        </w:tc>
      </w:tr>
      <w:tr>
        <w:trPr>
          <w:trHeight w:val="23"/>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1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（5）排放标准：国Ⅵ,符合上牌标准</w:t>
            </w:r>
            <w:r/>
          </w:p>
        </w:tc>
      </w:tr>
      <w:tr>
        <w:trPr>
          <w:trHeight w:val="23"/>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1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（6）轴距：≤1950mm+4550mm+1400mm</w:t>
            </w:r>
            <w:r/>
          </w:p>
        </w:tc>
      </w:tr>
      <w:tr>
        <w:trPr>
          <w:trHeight w:val="23"/>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1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（7）最大允许总质量：≥44000kg</w:t>
            </w:r>
            <w:r/>
          </w:p>
        </w:tc>
      </w:tr>
      <w:tr>
        <w:trPr>
          <w:trHeight w:val="23"/>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1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（8）刹车形式：双回路气压制动，前盘后鼓</w:t>
            </w:r>
            <w:r/>
          </w:p>
        </w:tc>
      </w:tr>
      <w:tr>
        <w:trPr>
          <w:trHeight w:val="23"/>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1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（9）最小转弯直径：≤25m</w:t>
            </w:r>
            <w:r/>
          </w:p>
        </w:tc>
      </w:tr>
      <w:tr>
        <w:trPr>
          <w:trHeight w:val="23"/>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1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（10）最高车速：≥90km/h</w:t>
            </w:r>
            <w:r/>
          </w:p>
        </w:tc>
      </w:tr>
      <w:tr>
        <w:trPr>
          <w:trHeight w:val="23"/>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1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（11）变速箱：手动变速箱</w:t>
            </w:r>
            <w:r/>
          </w:p>
        </w:tc>
      </w:tr>
      <w:tr>
        <w:trPr>
          <w:trHeight w:val="23"/>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1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（12）带胎压监测装置、ABS、EBS、ESP</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1"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0"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驾驶室及乘员室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1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（1）▲结构（提供实物照片）：单排驾驶室+独立乘员室</w:t>
            </w:r>
            <w:r/>
          </w:p>
        </w:tc>
      </w:tr>
      <w:tr>
        <w:trPr>
          <w:trHeight w:val="23"/>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1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（2）独立乘员室箱体：采用高强度镁铝合金板辅以专用铝型材,使用不锈钢螺栓连接或铆接</w:t>
            </w:r>
            <w:r/>
          </w:p>
        </w:tc>
      </w:tr>
      <w:tr>
        <w:trPr>
          <w:trHeight w:val="23"/>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1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（3）驾驶室座椅：高强度安全驾驶室。驾驶室隔音，防震及隔热，驾驶室内前部设置1个驾驶员座位，1个副驾驶座位</w:t>
            </w:r>
            <w:r/>
          </w:p>
        </w:tc>
      </w:tr>
      <w:tr>
        <w:trPr>
          <w:trHeight w:val="23"/>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1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（4）独立乘员室：乘员室可并排乘坐四名消防员，座椅背后设有不少于4具空气呼吸器架，座椅均配备安全带</w:t>
            </w:r>
            <w:r/>
          </w:p>
        </w:tc>
      </w:tr>
      <w:tr>
        <w:trPr>
          <w:trHeight w:val="23"/>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1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（5）独立乘员室空调：直流整体式冷暖空调</w:t>
            </w:r>
            <w:r/>
          </w:p>
        </w:tc>
      </w:tr>
      <w:tr>
        <w:trPr>
          <w:trHeight w:val="23"/>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1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（6）上装控制面板：正副驾驶之间安装上装控制开关，可控制车身照明、警灯、灭火系统等，可查看卷帘门状态等</w:t>
            </w:r>
            <w:r/>
          </w:p>
        </w:tc>
      </w:tr>
      <w:tr>
        <w:trPr>
          <w:trHeight w:val="23"/>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1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（7）仪表盘：底盘各类仪表按照要求配置，包括有里程表、转速表、油压表或警报灯、油箱油量表、冷却液温度表、电瓶电压、气压表、方向指示灯、刹车系统警告等</w:t>
            </w:r>
            <w:r/>
          </w:p>
        </w:tc>
      </w:tr>
      <w:tr>
        <w:trPr>
          <w:trHeight w:val="23"/>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1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（8）独立乘员室翻踏板：采用气动翻转式，与车门联动</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1"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0"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上装部分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14" w:type="dxa"/>
            <w:vAlign w:val="top"/>
            <w:textDirection w:val="lrTb"/>
            <w:noWrap w:val="false"/>
          </w:tcPr>
          <w:p>
            <w:pPr>
              <w:ind w:left="0" w:right="0" w:firstLine="0"/>
              <w:jc w:val="both"/>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器材箱</w:t>
            </w:r>
            <w:r/>
          </w:p>
        </w:tc>
      </w:tr>
      <w:tr>
        <w:trPr>
          <w:trHeight w:val="23"/>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1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（1）材质：铝合金材质</w:t>
            </w:r>
            <w:r/>
          </w:p>
        </w:tc>
      </w:tr>
      <w:tr>
        <w:trPr>
          <w:trHeight w:val="23"/>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1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（2）▲结构：采用板厚≥4mm高强度铝合金板材与型材螺栓连接或铆接形式（提供实物照片）。车辆采用外露罐结构，车身两侧各设置≥2扇卷帘门、≥2个器材箱、≥2个翻踏板</w:t>
            </w:r>
            <w:r/>
          </w:p>
        </w:tc>
      </w:tr>
      <w:tr>
        <w:trPr>
          <w:trHeight w:val="23"/>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1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（3）器材箱门：器材箱门采用轻型优质铝合金卷帘门，可在任意高度悬停，轻便可靠</w:t>
            </w:r>
            <w:r/>
          </w:p>
        </w:tc>
      </w:tr>
      <w:tr>
        <w:trPr>
          <w:trHeight w:val="23"/>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1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（4）泵房：泵房设置在车尾，配有主控液晶显示屏便于操作</w:t>
            </w:r>
            <w:r/>
          </w:p>
        </w:tc>
      </w:tr>
      <w:tr>
        <w:trPr>
          <w:trHeight w:val="23"/>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1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（5）车顶：车顶由铝合金板材制成，喷涂防滑漆，方便消防员在车顶行走。车顶左侧设置消防拉梯翻转架，可站在地面轻松取放消防拉梯；车顶右侧中部设置吸水管卡座，可以存放随车吸水管</w:t>
            </w:r>
            <w:r/>
          </w:p>
        </w:tc>
      </w:tr>
      <w:tr>
        <w:trPr>
          <w:trHeight w:val="23"/>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14" w:type="dxa"/>
            <w:vAlign w:val="top"/>
            <w:textDirection w:val="lrTb"/>
            <w:noWrap w:val="false"/>
          </w:tcPr>
          <w:p>
            <w:pPr>
              <w:ind w:left="0" w:right="0" w:firstLine="0"/>
              <w:jc w:val="both"/>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翻踏板</w:t>
            </w:r>
            <w:r/>
          </w:p>
        </w:tc>
      </w:tr>
      <w:tr>
        <w:trPr>
          <w:trHeight w:val="23"/>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1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（1）器材箱翻踏板位置：器材箱两侧下部（卷帘门下方）</w:t>
            </w:r>
            <w:r/>
          </w:p>
        </w:tc>
      </w:tr>
      <w:tr>
        <w:trPr>
          <w:trHeight w:val="23"/>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1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（2）材质：高强度铝型材</w:t>
            </w:r>
            <w:r/>
          </w:p>
        </w:tc>
      </w:tr>
      <w:tr>
        <w:trPr>
          <w:trHeight w:val="23"/>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1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（3）器材箱翻踏板结构：采用气弹簧加卷帘门锁止结构，安全可靠；每个踏板承重≥250kg</w:t>
            </w:r>
            <w:r/>
          </w:p>
        </w:tc>
      </w:tr>
      <w:tr>
        <w:trPr>
          <w:trHeight w:val="23"/>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14" w:type="dxa"/>
            <w:vAlign w:val="top"/>
            <w:textDirection w:val="lrTb"/>
            <w:noWrap w:val="false"/>
          </w:tcPr>
          <w:p>
            <w:pPr>
              <w:ind w:left="0" w:right="0" w:firstLine="0"/>
              <w:jc w:val="both"/>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后爬梯</w:t>
            </w:r>
            <w:r/>
          </w:p>
        </w:tc>
      </w:tr>
      <w:tr>
        <w:trPr>
          <w:trHeight w:val="23"/>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1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（1）位置：车身尾部右侧</w:t>
            </w:r>
            <w:r/>
          </w:p>
        </w:tc>
      </w:tr>
      <w:tr>
        <w:trPr>
          <w:trHeight w:val="23"/>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1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（2）材质：高强度铝合金</w:t>
            </w:r>
            <w:r/>
          </w:p>
        </w:tc>
      </w:tr>
      <w:tr>
        <w:trPr>
          <w:trHeight w:val="23"/>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1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（3）结构：下翻式结构，梯级带有防滑纹理，方便人员攀爬上下车顶</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1"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0"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消防泵系统部分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1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（1）▲额定压力/额定流量：≥1.0MPa/160L/s</w:t>
            </w:r>
            <w:r/>
          </w:p>
        </w:tc>
      </w:tr>
      <w:tr>
        <w:trPr>
          <w:trHeight w:val="23"/>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1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（2）引水器型式：电动真空引水泵</w:t>
            </w:r>
            <w:r/>
          </w:p>
        </w:tc>
      </w:tr>
      <w:tr>
        <w:trPr>
          <w:trHeight w:val="23"/>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1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（3）泵轴材质：泵轴材质为高等级不锈钢，机械密封为免维护且自动调节型</w:t>
            </w:r>
            <w:r/>
          </w:p>
        </w:tc>
      </w:tr>
      <w:tr>
        <w:trPr>
          <w:trHeight w:val="23"/>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1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（4）最大真空度：≥85kPa</w:t>
            </w:r>
            <w:r/>
          </w:p>
        </w:tc>
      </w:tr>
      <w:tr>
        <w:trPr>
          <w:trHeight w:val="23"/>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1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（5）最大吸深：≥7m</w:t>
            </w:r>
            <w:r/>
          </w:p>
        </w:tc>
      </w:tr>
      <w:tr>
        <w:trPr>
          <w:trHeight w:val="23"/>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1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（6）引水时间：≤80s</w:t>
            </w:r>
            <w:r/>
          </w:p>
        </w:tc>
      </w:tr>
      <w:tr>
        <w:trPr>
          <w:trHeight w:val="23"/>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1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（7）泡沫比例混合器：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型式：全自动负压环泵式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混合比例：1%-10%无级调节</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1"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0"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容罐部分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1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（1）类型：车辆配备水罐和泡沫罐；容量：≥18000L，泡沫罐与水罐比例可调</w:t>
            </w:r>
            <w:r/>
          </w:p>
        </w:tc>
      </w:tr>
      <w:tr>
        <w:trPr>
          <w:trHeight w:val="23"/>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1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（2）罐体材料：304不锈钢材料，底板≥4mm,侧板及隔板均为≥3mm；灭火罐内部设有横向和纵向防荡板，能有效防止灭火罐在行车时因振荡导致变形或损坏。</w:t>
            </w:r>
            <w:r/>
          </w:p>
        </w:tc>
      </w:tr>
      <w:tr>
        <w:trPr>
          <w:trHeight w:val="23"/>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1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（3）水罐注水口：不少于8个DN80外注水口，位于车身两侧，每侧≥4个，注水口配备手动阀；</w:t>
            </w:r>
            <w:r/>
          </w:p>
        </w:tc>
      </w:tr>
      <w:tr>
        <w:trPr>
          <w:trHeight w:val="23"/>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1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（4）检查人孔：水罐和泡沫罐各设置一个直径≥450mm的人孔口，设置快速开启式人孔盖，设有弹簧，可实现自动泄压。</w:t>
            </w:r>
            <w:r/>
          </w:p>
        </w:tc>
      </w:tr>
      <w:tr>
        <w:trPr>
          <w:trHeight w:val="23"/>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1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（5）溢流装置：水罐和泡沫罐等均设置有溢流装置</w:t>
            </w:r>
            <w:r/>
          </w:p>
        </w:tc>
      </w:tr>
      <w:tr>
        <w:trPr>
          <w:trHeight w:val="23"/>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1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（6）排污口：水罐及泡沫罐各有1个带阀门的排污口</w:t>
            </w:r>
            <w:r/>
          </w:p>
        </w:tc>
      </w:tr>
      <w:tr>
        <w:trPr>
          <w:trHeight w:val="23"/>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1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（7）液位：水罐及泡沫罐各配备1个液位传感器</w:t>
            </w:r>
            <w:r/>
          </w:p>
        </w:tc>
      </w:tr>
      <w:tr>
        <w:trPr>
          <w:trHeight w:val="23"/>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1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（8）▲液位显示装置（提供实物照片）：</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显示屏类型：LED液位显示装置</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显示内容：静态与动态实时显示罐体内液位。出水及出泡沫时，可同步动态显示水罐液位及泡沫罐液位变化</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1"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0"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车载消防炮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1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（1）安装位置：车顶后部</w:t>
            </w:r>
            <w:r/>
          </w:p>
        </w:tc>
      </w:tr>
      <w:tr>
        <w:trPr>
          <w:trHeight w:val="23"/>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1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（2）动作方式：电控</w:t>
            </w:r>
            <w:r/>
          </w:p>
        </w:tc>
      </w:tr>
      <w:tr>
        <w:trPr>
          <w:trHeight w:val="23"/>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1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（3）控制方式：无线遥控+面板控制+应急手动</w:t>
            </w:r>
            <w:r/>
          </w:p>
        </w:tc>
      </w:tr>
      <w:tr>
        <w:trPr>
          <w:trHeight w:val="23"/>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1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（4）流量：≥150L/s</w:t>
            </w:r>
            <w:r/>
          </w:p>
        </w:tc>
      </w:tr>
      <w:tr>
        <w:trPr>
          <w:trHeight w:val="23"/>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1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（5）射程：水≥100m，泡沫≥95m</w:t>
            </w:r>
            <w:r/>
          </w:p>
        </w:tc>
      </w:tr>
      <w:tr>
        <w:trPr>
          <w:trHeight w:val="23"/>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1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（6）水平回转角度：≥350°</w:t>
            </w:r>
            <w:r/>
          </w:p>
        </w:tc>
      </w:tr>
      <w:tr>
        <w:trPr>
          <w:trHeight w:val="23"/>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1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（7）俯角：≤-10°，仰角：≥+70°</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1"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0"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电气设备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1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灭火控制系统：车身尾部设置灭火控制系统，控制系统设有不低于7寸液晶屏显示屏、底盘控制按钮、泡沫比例混合器控制按钮以及各种气控阀控制按钮及指示灯等，主要功能：灭火系统一键出水；灭火系统一键出泡沫；灭火系统一键冲洗管路；灭火系统一键稳压；发动机油门加、减</w:t>
            </w:r>
            <w:r/>
          </w:p>
        </w:tc>
      </w:tr>
      <w:tr>
        <w:trPr>
          <w:trHeight w:val="23"/>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1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整车无线遥控器（提供实物照片）：实现水泵和消防炮的集成控制，主要功能：遥控底盘发动机启动与停止；发动机油门加、减；消防炮无线遥控（俯仰、回转、直流、开花）；灭火系统一键出水；灭火系统一键出泡沫；灭火系统冲洗管路</w:t>
            </w:r>
            <w:r/>
          </w:p>
        </w:tc>
      </w:tr>
      <w:tr>
        <w:trPr>
          <w:trHeight w:val="23"/>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1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（3）警灯及警报系统：驾驶室顶部安装有红色长排警灯,车身两侧顶部各安装不少于四个频闪警示灯，配置≥100W警报器及警灯警报控制系统</w:t>
            </w:r>
            <w:r/>
          </w:p>
        </w:tc>
      </w:tr>
      <w:tr>
        <w:trPr>
          <w:trHeight w:val="23"/>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1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器材箱内照明：器材箱卷帘门轨道内侧设置高亮度LED灯带，保证取放器材时的箱内照明。在上装总电源打开的情况下卷帘门开启后自动照明，同时驾驶室内设有开关，白天可手动关闭以节省电量。同时在驾驶室内设有卷帘门未关闭指示灯，便于驾驶员掌握箱门开闭情况</w:t>
            </w:r>
            <w:r/>
          </w:p>
        </w:tc>
      </w:tr>
      <w:tr>
        <w:trPr>
          <w:trHeight w:val="23"/>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1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（5）安全信号指示灯：车身两侧下部安装侧标志灯，后部安装示廓灯，车辆后部安装有原车尾灯；翻踏板前后安装有黄色警示灯</w:t>
            </w:r>
            <w:r/>
          </w:p>
        </w:tc>
      </w:tr>
      <w:tr>
        <w:trPr>
          <w:trHeight w:val="23"/>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1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（6）驾驶室内电气面板：驾驶室中控面板上设有上装电气控制区，分别设有上装电源总开关、箱外照明开关、箱内照明开关、卷帘门未关闭报警灯、自动充电装置未脱离报警灯等开关和指示灯</w:t>
            </w:r>
            <w:r/>
          </w:p>
        </w:tc>
      </w:tr>
      <w:tr>
        <w:trPr>
          <w:trHeight w:val="23"/>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1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（7）倒车影像系统：车辆加装360°全景影像系统，带行车记录及导航功能，驾驶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室内设置≥9寸显示屏。</w:t>
            </w:r>
            <w:r/>
          </w:p>
        </w:tc>
      </w:tr>
      <w:tr>
        <w:trPr>
          <w:trHeight w:val="23"/>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1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（8）自动充电装置：车身左侧安装有自动充电装置，市电供电，发动机启动时自动脱离。</w:t>
            </w:r>
            <w:r/>
          </w:p>
        </w:tc>
      </w:tr>
      <w:tr>
        <w:trPr>
          <w:trHeight w:val="23"/>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1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（9）上装电气特点：所有上装电路为独立式附加线路，并设有过载、过流保护。</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1"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0"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随车附件和备件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(须列明细)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1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随车文件</w:t>
            </w:r>
            <w:r/>
          </w:p>
        </w:tc>
      </w:tr>
      <w:tr>
        <w:trPr>
          <w:trHeight w:val="23"/>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1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1、底盘使用说明书</w:t>
            </w:r>
            <w:r/>
          </w:p>
        </w:tc>
      </w:tr>
      <w:tr>
        <w:trPr>
          <w:trHeight w:val="23"/>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1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2、底盘合格证</w:t>
            </w:r>
            <w:r/>
          </w:p>
        </w:tc>
      </w:tr>
      <w:tr>
        <w:trPr>
          <w:trHeight w:val="23"/>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1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3、发动机号码拓印件</w:t>
            </w:r>
            <w:r/>
          </w:p>
        </w:tc>
      </w:tr>
      <w:tr>
        <w:trPr>
          <w:trHeight w:val="23"/>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1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4、底盘号码拓印件</w:t>
            </w:r>
            <w:r/>
          </w:p>
        </w:tc>
      </w:tr>
      <w:tr>
        <w:trPr>
          <w:trHeight w:val="23"/>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1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5、消防车使用说明书</w:t>
            </w:r>
            <w:r/>
          </w:p>
        </w:tc>
      </w:tr>
      <w:tr>
        <w:trPr>
          <w:trHeight w:val="23"/>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1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6、消防车合格证</w:t>
            </w:r>
            <w:r/>
          </w:p>
        </w:tc>
      </w:tr>
      <w:tr>
        <w:trPr>
          <w:trHeight w:val="23"/>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1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7、消防车交接清单</w:t>
            </w:r>
            <w:r/>
          </w:p>
        </w:tc>
      </w:tr>
      <w:tr>
        <w:trPr>
          <w:trHeight w:val="23"/>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1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8、随车器材清单（以上均为中文）</w:t>
            </w:r>
            <w:r/>
          </w:p>
        </w:tc>
      </w:tr>
      <w:tr>
        <w:trPr>
          <w:trHeight w:val="23"/>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1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随车器材</w:t>
            </w:r>
            <w:r/>
          </w:p>
          <w:tbl>
            <w:tblPr>
              <w:tblStyle w:val="70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1"/>
              <w:gridCol w:w="67"/>
              <w:gridCol w:w="97"/>
              <w:gridCol w:w="36"/>
              <w:gridCol w:w="34"/>
              <w:gridCol w:w="60"/>
            </w:tblGrid>
            <w:tr>
              <w:trPr>
                <w:trHeight w:val="2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名</w:t>
                  </w:r>
                  <w:r>
                    <w:rPr>
                      <w:rFonts w:ascii="SimSun" w:hAnsi="SimSun" w:eastAsia="SimSun" w:cs="SimSun"/>
                      <w:color w:val="000000"/>
                      <w:sz w:val="21"/>
                    </w:rPr>
                    <w:t xml:space="preserve"> </w:t>
                  </w:r>
                  <w:r>
                    <w:rPr>
                      <w:rFonts w:ascii="SimSun" w:hAnsi="SimSun" w:eastAsia="SimSun" w:cs="SimSun"/>
                      <w:color w:val="000000"/>
                      <w:sz w:val="22"/>
                    </w:rPr>
                    <w:t xml:space="preserve">  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规</w:t>
                  </w:r>
                  <w:r>
                    <w:rPr>
                      <w:rFonts w:ascii="SimSun" w:hAnsi="SimSun" w:eastAsia="SimSun" w:cs="SimSun"/>
                      <w:color w:val="000000"/>
                      <w:sz w:val="21"/>
                    </w:rPr>
                    <w:t xml:space="preserve"> </w:t>
                  </w:r>
                  <w:r>
                    <w:rPr>
                      <w:rFonts w:ascii="SimSun" w:hAnsi="SimSun" w:eastAsia="SimSun" w:cs="SimSun"/>
                      <w:color w:val="000000"/>
                      <w:sz w:val="22"/>
                    </w:rPr>
                    <w:t xml:space="preserve"> 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单</w:t>
                  </w:r>
                  <w:r>
                    <w:rPr>
                      <w:rFonts w:ascii="SimSun" w:hAnsi="SimSun" w:eastAsia="SimSun" w:cs="SimSun"/>
                      <w:color w:val="000000"/>
                      <w:sz w:val="21"/>
                    </w:rPr>
                    <w:t xml:space="preserve"> </w:t>
                  </w:r>
                  <w:r>
                    <w:rPr>
                      <w:rFonts w:ascii="SimSun" w:hAnsi="SimSun" w:eastAsia="SimSun" w:cs="SimSun"/>
                      <w:color w:val="000000"/>
                      <w:sz w:val="22"/>
                    </w:rPr>
                    <w:t xml:space="preserve">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数量</w:t>
                  </w: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备</w:t>
                  </w:r>
                  <w:r>
                    <w:rPr>
                      <w:rFonts w:ascii="SimSun" w:hAnsi="SimSun" w:eastAsia="SimSun" w:cs="SimSun"/>
                      <w:color w:val="000000"/>
                      <w:sz w:val="21"/>
                    </w:rPr>
                    <w:t xml:space="preserve"> </w:t>
                  </w:r>
                  <w:r>
                    <w:rPr>
                      <w:rFonts w:ascii="SimSun" w:hAnsi="SimSun" w:eastAsia="SimSun" w:cs="SimSun"/>
                      <w:color w:val="000000"/>
                      <w:sz w:val="22"/>
                    </w:rPr>
                    <w:t xml:space="preserve">注</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消防水带16型</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DN80mm×20m</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盘</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消防水带16型</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DN65mm×20m</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盘</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吸水管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DN150×4000mm</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外吸液管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DN65×2m</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滤水器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DN150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分水器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FⅢ80/65×3-1.6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集水器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JⅡ150/80×2-1.6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吸水管扳手</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KD150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外吸液管扳手</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KD65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地上消防栓扳手</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地下消防栓扳手</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多功能水枪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空气泡沫枪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消火栓接口</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 w:type="dxa"/>
                  <w:vAlign w:val="center"/>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Φ150mm/100mm</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消火栓用</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异径接口</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异型接口</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水带挂钩</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水带包布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水带护桥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消防斧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消防锹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干粉灭火器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底盘工具及附件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电动破拆工具组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1.产品符合GB/T17906-2021《消防应急救援装备液压破拆工具通用技术条件》标准。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2.适用于城市救援、森林救援、车辆救援、地震救援等破拆作业。</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3.整套工具包含:电池驱动动力装置、电动剪切器、电动扩张器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4.电池驱动动力装置</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4.1用于驱动电动扩张器、电动剪切器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4.2泵机无液压油囊结构，能带压插拔，可360°旋转，应具有90°、180°、270°、360°四个固定点位。</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4.3电池：18V锂电池、5.0AH</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▲4.4重量≤2.5kg</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5.电动扩张器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5.1应采用手指拨挡操控系统并设有扩张、空挡、闭合三个挡位，可随时带压插拔。</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▲5.2距扩张臂最后一个防滑槽位的扩张力≥105kN；</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5.3扩张距离≥500mm；</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5.4重量≤13kg；</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5.5配有鳄鱼嘴工具头，防止挤压打滑，顶端间距≥470mm，工具头重量≤0.5kg。</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6.电动剪切器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6.1应采用手指拨挡操控系统并设有剪切、空挡、张开三个挡位，可随时带压插拔。</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6.2应为可更换刀刃结构，能使用内六角扳手拆卸并更换刀片的刀刃。</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▲6.3剪切能力：≥Ø30mm 的Q235A圆钢、≥Ø25mm的HRB500螺纹钢</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6.4开口距离≥150mm</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▲6.5重量≤13kg。</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ind w:left="0" w:right="0" w:firstLine="0"/>
              <w:jc w:val="both"/>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1"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0"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车身要求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1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（1）涂装类型：符合国际涂装标准。</w:t>
            </w:r>
            <w:r/>
          </w:p>
        </w:tc>
      </w:tr>
      <w:tr>
        <w:trPr>
          <w:trHeight w:val="275"/>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1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（2）防腐：器材箱内部均匀喷涂防腐耐磨涂层</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1"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0"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其他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1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灭火管路系统</w:t>
            </w:r>
            <w:r/>
          </w:p>
        </w:tc>
      </w:tr>
      <w:tr>
        <w:trPr>
          <w:trHeight w:val="23"/>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14" w:type="dxa"/>
            <w:vAlign w:val="center"/>
            <w:textDirection w:val="lrTb"/>
            <w:noWrap w:val="false"/>
          </w:tcPr>
          <w:p>
            <w:pPr>
              <w:ind w:left="0" w:right="0" w:firstLine="0"/>
              <w:jc w:val="both"/>
              <w:spacing w:before="0" w:after="0"/>
              <w:tabs>
                <w:tab w:val="left" w:pos="540" w:leader="none"/>
                <w:tab w:val="left" w:pos="840" w:leader="none"/>
                <w:tab w:val="left" w:pos="1620" w:leader="none"/>
                <w:tab w:val="left" w:pos="41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（1）吸水管路：不少于4个DN150水泵外吸口，装有DN150手动蝶阀，便于连接吸水管；1个罐吸水管路，装有一只DN200气动蝶阀，管路适当部位设有专用橡胶弹性连接装置</w:t>
            </w:r>
            <w:r/>
          </w:p>
        </w:tc>
      </w:tr>
      <w:tr>
        <w:trPr>
          <w:trHeight w:val="23"/>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14" w:type="dxa"/>
            <w:vAlign w:val="center"/>
            <w:textDirection w:val="lrTb"/>
            <w:noWrap w:val="false"/>
          </w:tcPr>
          <w:p>
            <w:pPr>
              <w:ind w:left="0" w:right="0" w:firstLine="0"/>
              <w:jc w:val="both"/>
              <w:spacing w:before="0" w:after="0"/>
              <w:tabs>
                <w:tab w:val="left" w:pos="540" w:leader="none"/>
                <w:tab w:val="left" w:pos="840" w:leader="none"/>
                <w:tab w:val="left" w:pos="1620" w:leader="none"/>
                <w:tab w:val="left" w:pos="41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（2）出水管路：车身两侧各设有不少于4个DN80常压出水口；水泵至水罐有1个由DN65气动蝶阀控制的罐注水管路；有1个带有DN150气动蝶阀的炮管路</w:t>
            </w:r>
            <w:r/>
          </w:p>
        </w:tc>
      </w:tr>
      <w:tr>
        <w:trPr>
          <w:trHeight w:val="23"/>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14" w:type="dxa"/>
            <w:vAlign w:val="center"/>
            <w:textDirection w:val="lrTb"/>
            <w:noWrap w:val="false"/>
          </w:tcPr>
          <w:p>
            <w:pPr>
              <w:ind w:left="0" w:right="0" w:firstLine="0"/>
              <w:jc w:val="both"/>
              <w:spacing w:before="0" w:after="0"/>
              <w:tabs>
                <w:tab w:val="left" w:pos="540" w:leader="none"/>
                <w:tab w:val="left" w:pos="840" w:leader="none"/>
                <w:tab w:val="left" w:pos="1620" w:leader="none"/>
                <w:tab w:val="left" w:pos="41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（3）泡沫管路：不少于1个DN65泡沫外吸口，装有一只DN65手动球阀，位于车尾；1个罐吸液管路，装有一只DN65气动球阀</w:t>
            </w:r>
            <w:r/>
          </w:p>
        </w:tc>
      </w:tr>
      <w:tr>
        <w:trPr>
          <w:trHeight w:val="23"/>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1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（4）放余水管路：在水泵最低处设有放余水装置，需要时可快速放净系统中的余水</w:t>
            </w:r>
            <w:r/>
          </w:p>
        </w:tc>
      </w:tr>
      <w:tr>
        <w:trPr>
          <w:trHeight w:val="23"/>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1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副大梁</w:t>
            </w:r>
            <w:r/>
          </w:p>
        </w:tc>
      </w:tr>
      <w:tr>
        <w:trPr>
          <w:trHeight w:val="23"/>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1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结构特点：附加梁采用高强度优质合金钢通过折弯、焊接、装配而成，采用部件焊接+整体装配式结构。两纵梁间由若干横梁采用高强度螺栓等强度连接，保证车辆行驶时器材箱不发生不可逆变形。附加梁上安装弹性支撑，与液罐采用柔性连接，有效缓解行车中液罐和底盘相互冲击。采用附加梁结构，既能保证原车大梁的受力均匀，提高大梁的使用寿命，同时可减少上装部件由于扭曲而造成的变形。</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注：1.上述所有技术参数中涉及的型号仅为参考型号，投标单位可以投其他型号，但所投产品的功能及技术参数应等于或高于参考型号的要求。</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2.★车辆上牌要求：交车时必须提供国家法定上牌资料，确保车辆能够正常上牌。（投标文件中提供承诺函，未提供承诺函的视为无效投标）此项为必须满足项，否则为无效投标。</w:t>
      </w:r>
      <w:r/>
    </w:p>
    <w:p>
      <w:pPr>
        <w:ind w:left="0" w:right="0" w:firstLine="422"/>
        <w:jc w:val="both"/>
        <w:spacing w:before="0" w:after="0" w:line="400" w:lineRule="atLeast"/>
        <w:tabs>
          <w:tab w:val="left" w:pos="63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七、投标货物要求及相关说明</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1.技术要求</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color w:val="000000"/>
          <w:sz w:val="22"/>
        </w:rPr>
        <w:t xml:space="preserve">1所有合同附件及本项目的招投标文件、中标通知书、协议等均为本合同不可分割的部分。解释顺序除特别说明外，以文件生效时间在后的为准。</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中标单位提供的货物及服务，必须符合合同附件要求的技术规格标准、中华人民共和国国家标准或行业标准以及环保要求；如果没有提及适用标准，或中华人民共和国也没有相关标准的，则采用货物来源国适用的官方标准。这些标准必须是相关国家或行业机构发布的最新版本。</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依据法律规定或直观观察等日常生活经验能够直接确认的事实，可以直接作为判断是否有质量问题的依据，无需鉴定；确需鉴定的，以国家消防装备质量监督检验中心出具的书面鉴定意见为准。货物符合质量标准的，鉴定费用由采购方承担；货物不符合质量标准的，鉴定费用由卖方承担，并且采购方有权追究中标单位的责任。</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2.随车配件：随货免费提供底盘和上装部分，以及随货器材使用、保养、维修所需的其他必须配件和必备工具。</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3.车上阀门、开关、按钮等指示、标牌应标注中文。</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4.交接、培训、保修期、售后服务</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4.1交接清单（英文或原文及与原文相对应的中文翻译件），货物交货地点由招标单位统一指定。</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4.2培训计划（中文版）：提供培训计划，培训时间为货到后不得超过</w:t>
      </w:r>
      <w:r>
        <w:rPr>
          <w:rFonts w:ascii="SimSun" w:hAnsi="SimSun" w:eastAsia="SimSun" w:cs="SimSun"/>
          <w:color w:val="000000"/>
          <w:sz w:val="21"/>
        </w:rPr>
        <w:t xml:space="preserve">15个工作日，培训用的文字和影视资料，影视资料需包含产品介绍、操作使用、维护保养、常见故障判断等内容。</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4.3保修期：要求整车质保1年（招标文件具体技术要求另有说明的除外），免费保修期为自货物交验后计算，产生设备的损坏和故障，由中标单位负责免费更换或维修。</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4.4售后服务，中标单位需保证</w:t>
      </w:r>
      <w:r>
        <w:rPr>
          <w:rFonts w:ascii="SimSun" w:hAnsi="SimSun" w:eastAsia="SimSun" w:cs="SimSun"/>
          <w:color w:val="000000"/>
          <w:sz w:val="21"/>
        </w:rPr>
        <w:t xml:space="preserve">7*24小时售后服务热线开通，在接到</w:t>
      </w:r>
      <w:r>
        <w:rPr>
          <w:rFonts w:ascii="SimSun" w:hAnsi="SimSun" w:eastAsia="SimSun" w:cs="SimSun"/>
          <w:color w:val="000000"/>
          <w:sz w:val="22"/>
        </w:rPr>
        <w:t xml:space="preserve">招标单位报修电话以后，保证24小时内到达现场。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4.5其他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4.5.1凡涉及使用气瓶、电源、水带的接口必须与江苏省公安消防总队现有各类接口配套。</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4.5.2整车所有设备应符合相互配套使用的要求。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5.验收要求：详见第三章合同条款。</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八、综合说明：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1.投标单位所投产品应明确所投产品的品牌、型号、规格和外形、尺寸及一些必须说明的技术参数，以及设备配置清单，同时明确生产厂家、型号规格等，并提供详细的技术参数及性能说明书。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2.投标单位根据招标文件中提出的全部技术规格与要求选择配置并列出所投设备的技术规格，如果其中某些条款不响应，应在投标文件中逐条列出，未列出的视同响应。</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投标总报价一次报定，投标总报价包括所投产品（含附属配套设施设备、器材）及其备品、备件和专用工具费用、税费及包装、运至最终目的地的运输、车辆上牌前的临时保险、现场吊装、检测验收、安装调试、验收及相关费用、协助车辆上牌、技术支持与培训、售后服务与维保及相关劳务支出、代理费（中标服务费）等工作所发生的全部费用以及投标人利润、税金和政策性文件规定及合同包含的所有风险、责任等各项应有费用。（机动车保险费用不含在投标总报价中）</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4.交货期限：自合同签订生效后 90个工作日内完成全部采购内容的供货安装调试并交付正常使用，具体根据采购单位要求。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5.交货地点：具体按招标单位指定地点。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知识产权：供方应保证采购人免除且供方承担由于采购人在其本国使用该设备或设备任何一部分时而引起第三方提出的侵犯专利权、商标权或工业设计权的起诉、行动、行政程序索赔、请求等以及采购人为此而产生的损失和损害、费用和支出（包括律师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7.凡涉及招标文件的补充说明和修改，均以招标代理机构发布的通知为准。</w:t>
      </w:r>
      <w:r/>
    </w:p>
    <w:p>
      <w:pPr>
        <w:ind w:left="0" w:right="0" w:firstLine="42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8.付款方式：详见第三章合同条款。</w:t>
      </w:r>
      <w:r/>
    </w:p>
    <w:p>
      <w:pPr>
        <w:ind w:left="0" w:right="0" w:firstLine="422"/>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九、政府采购政策：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1.中、小企业：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根据《政府采购促进中小企业发展管理办法》（财库〔2020〕46号）、《关于做好政府采购支持企业发展有关事项的通知》（苏财购〔2020〕52号）及《关于印发〈苏州市政府采购促进中小企业发展实施意见〉的通知》（苏财购〔2022〕16号）的相关规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1.1本项目</w:t>
      </w:r>
      <w:r>
        <w:rPr>
          <w:rFonts w:ascii="SimSun" w:hAnsi="SimSun" w:eastAsia="SimSun" w:cs="SimSun"/>
          <w:b/>
          <w:color w:val="000000"/>
          <w:sz w:val="22"/>
        </w:rPr>
        <w:t xml:space="preserve">专门面向中小企业采购</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1.2本项目采购标的对应的中小企业划分标准所属行业为</w:t>
      </w:r>
      <w:r>
        <w:rPr>
          <w:rFonts w:ascii="SimSun" w:hAnsi="SimSun" w:eastAsia="SimSun" w:cs="SimSun"/>
          <w:b/>
          <w:color w:val="000000"/>
          <w:sz w:val="22"/>
        </w:rPr>
        <w:t xml:space="preserve">工业。</w:t>
      </w:r>
      <w:r>
        <w:rPr>
          <w:rFonts w:ascii="SimSun" w:hAnsi="SimSun" w:eastAsia="SimSun" w:cs="SimSun"/>
          <w:color w:val="000000"/>
          <w:sz w:val="22"/>
        </w:rPr>
        <w:t xml:space="preserve">中小微企业划型标准根据《中小企业划型标准规定》（工信部联企业〔2011〕300号）。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1.3依据《政府采购促进中小企业发展管理办法》规定享受扶持政策获得政府采购合同的，小微企业不得将合同分包给大中型企业，中型企业不得将合同分包给大型企业。</w:t>
      </w:r>
      <w:r/>
    </w:p>
    <w:p>
      <w:pPr>
        <w:ind w:left="0" w:right="0" w:firstLine="42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1.4中小企业参加政府采购活动，应当出具《政府采购促进中小企业发展管理办法》附件规定《中小企业声明函》，否则不得享受相关中小企业扶持政策。</w:t>
      </w:r>
      <w:r/>
    </w:p>
    <w:p>
      <w:pPr>
        <w:ind w:left="0" w:right="0" w:firstLine="42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1.5在政府采购活动中，供应商提供的服务符合下列情形的，享受《政府采购促进中小企业发展管理办法》规定的中小企业扶持政策：在服务采购项目中，</w:t>
      </w:r>
      <w:r>
        <w:rPr>
          <w:rFonts w:ascii="SimSun" w:hAnsi="SimSun" w:eastAsia="SimSun" w:cs="SimSun"/>
          <w:b/>
          <w:color w:val="000000"/>
          <w:sz w:val="22"/>
        </w:rPr>
        <w:t xml:space="preserve">服务由中小企业承接，即提供服务的人员为中小企业依照《中华人民共和国劳动合同法》订立劳动合同的从业人员。服务类项目中供应商若使用退休人员，将不享受相关扶持政策。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1.6若供应商提供的《中小企业声明函》为虚假声明，则视同提供虚假材料，按政府采购相关规定处理，并报请政府监管部门给予行政处罚。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2.残疾人福利性单位：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根据《关于贯彻执行绿色采购、促进残疾人就业和支持监狱企业发展有关政策的通知（苏财购〔2019〕10号）》，残疾人福利性单位视同小型、微型企业，享受评审中价格扣除等促进中小企业发展的政府采购政策，残疾人福利性单位属于小型、微型企业的，不重复享受政策。如供应商认定本企业为残疾人福利性单位，应提交《残疾人福利性单位声明函》，未提交则不享受相关价格扣除政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监狱企业：根据苏财购〔2019〕10号文，监狱企业视同小型、微型企业，享受评审中价格扣除等促进中小企业发展的政府采购政策。如供应商为监狱企业，应当提供由省级以上监狱管理局、戒毒管理局（含新疆生产建设兵团）出具的属于监狱企业的证明文件，未提交则不享受相关价格扣除政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4.绿色采购</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扫描件，否则视为未实质性响应。</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5.本国产品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5.1本项目对采购本国产品给予政策支持：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（1）本项目政府采购活动中既有本国产品又有非本国产品参与竞争的，依法对本国产品给予价格评审优惠</w:t>
      </w:r>
      <w:r>
        <w:rPr>
          <w:rFonts w:ascii="SimSun" w:hAnsi="SimSun" w:eastAsia="SimSun" w:cs="SimSun"/>
          <w:b/>
          <w:color w:val="000000"/>
          <w:sz w:val="22"/>
        </w:rPr>
        <w:t xml:space="preserve">，对本国产品的报价给予20%的价格扣除，</w:t>
      </w:r>
      <w:r>
        <w:rPr>
          <w:rFonts w:ascii="SimSun" w:hAnsi="SimSun" w:eastAsia="SimSun" w:cs="SimSun"/>
          <w:color w:val="000000"/>
          <w:sz w:val="22"/>
        </w:rPr>
        <w:t xml:space="preserve">用扣除后的价格参与评审。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当采购项目或者采购包中含有多种产品，供应商为该采购项目或者采购包提供的符合本国产品标准的产品成本之和占该供应商提供的全部产品成本之和的比例达到80%以上时（供应商需在“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（3）供应商需按照招标文件的要求提供《关于符合本国产品标准的声明函》（以下简称《声明函》），如不提供将不享受本国产品价格评审优惠。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6.信用记录：供应商被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十、有关该采购活动的澄清、修正及成交信息亦在中国政府采购网、苏州市政府采购网、江苏政府采购网上发布，请定期关注。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both"/>
        <w:spacing w:before="0" w:after="0" w:line="85" w:lineRule="atLeast"/>
        <w:rPr>
          <w:rFonts w:ascii="SimSun" w:hAnsi="SimSun" w:eastAsia="SimSun" w:cs="SimSun"/>
          <w:b/>
          <w:bCs/>
          <w:color w:val="000000"/>
          <w:sz w:val="44"/>
          <w:szCs w:val="4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both"/>
        <w:spacing w:before="0" w:after="0" w:line="85" w:lineRule="atLeast"/>
        <w:rPr>
          <w:rFonts w:ascii="SimHei" w:hAnsi="SimHei" w:eastAsia="SimHei" w:cs="SimHei"/>
          <w:sz w:val="22"/>
          <w:szCs w:val="22"/>
        </w:rPr>
        <w:pBdr>
          <w:top w:val="none" w:color="000000" w:sz="4" w:space="0"/>
          <w:left w:val="none" w:color="000000" w:sz="4" w:space="0"/>
          <w:bottom w:val="none" w:color="000000" w:sz="4" w:space="0"/>
          <w:right w:val="none" w:color="000000" w:sz="4" w:space="0"/>
        </w:pBdr>
      </w:pPr>
      <w:r>
        <w:rPr>
          <w:rFonts w:ascii="SimHei" w:hAnsi="SimHei" w:eastAsia="SimHei" w:cs="SimHei"/>
          <w:sz w:val="22"/>
          <w:szCs w:val="22"/>
        </w:rPr>
      </w:r>
      <w:r>
        <w:rPr>
          <w:rFonts w:ascii="SimHei" w:hAnsi="SimHei" w:eastAsia="SimHei" w:cs="SimHei"/>
          <w:sz w:val="22"/>
          <w:szCs w:val="22"/>
        </w:rPr>
      </w:r>
      <w:r/>
    </w:p>
    <w:p>
      <w:pPr>
        <w:ind w:left="0" w:right="0" w:firstLine="0"/>
        <w:jc w:val="both"/>
        <w:spacing w:before="0" w:after="0" w:line="85" w:lineRule="atLeast"/>
        <w:rPr>
          <w:rFonts w:ascii="SimHei" w:hAnsi="SimHei" w:eastAsia="SimHei" w:cs="SimHei"/>
          <w:sz w:val="22"/>
          <w:szCs w:val="22"/>
        </w:rPr>
        <w:pBdr>
          <w:top w:val="none" w:color="000000" w:sz="4" w:space="0"/>
          <w:left w:val="none" w:color="000000" w:sz="4" w:space="0"/>
          <w:bottom w:val="none" w:color="000000" w:sz="4" w:space="0"/>
          <w:right w:val="none" w:color="000000" w:sz="4" w:space="0"/>
        </w:pBdr>
      </w:pPr>
      <w:r>
        <w:rPr>
          <w:rFonts w:ascii="SimHei" w:hAnsi="SimHei" w:eastAsia="SimHei" w:cs="SimHei"/>
          <w:sz w:val="22"/>
          <w:szCs w:val="22"/>
        </w:rPr>
      </w:r>
      <w:r>
        <w:rPr>
          <w:rFonts w:ascii="SimHei" w:hAnsi="SimHei" w:eastAsia="SimHei" w:cs="SimHei"/>
          <w:sz w:val="22"/>
          <w:szCs w:val="22"/>
        </w:rPr>
      </w:r>
      <w:r/>
    </w:p>
    <w:p>
      <w:pPr>
        <w:ind w:left="0" w:right="0" w:firstLine="0"/>
        <w:jc w:val="both"/>
        <w:spacing w:before="0" w:after="0" w:line="85" w:lineRule="atLeast"/>
        <w:rPr>
          <w:rFonts w:ascii="SimHei" w:hAnsi="SimHei" w:eastAsia="SimHei" w:cs="SimHei"/>
          <w:sz w:val="22"/>
          <w:szCs w:val="22"/>
        </w:rPr>
        <w:pBdr>
          <w:top w:val="none" w:color="000000" w:sz="4" w:space="0"/>
          <w:left w:val="none" w:color="000000" w:sz="4" w:space="0"/>
          <w:bottom w:val="none" w:color="000000" w:sz="4" w:space="0"/>
          <w:right w:val="none" w:color="000000" w:sz="4" w:space="0"/>
        </w:pBdr>
      </w:pPr>
      <w:r>
        <w:rPr>
          <w:rFonts w:ascii="SimHei" w:hAnsi="SimHei" w:eastAsia="SimHei" w:cs="SimHei"/>
          <w:sz w:val="22"/>
          <w:szCs w:val="22"/>
        </w:rPr>
      </w:r>
      <w:r>
        <w:rPr>
          <w:rFonts w:ascii="SimHei" w:hAnsi="SimHei" w:eastAsia="SimHei" w:cs="SimHei"/>
          <w:sz w:val="22"/>
          <w:szCs w:val="22"/>
        </w:rPr>
      </w:r>
      <w:r/>
    </w:p>
    <w:p>
      <w:pPr>
        <w:ind w:left="0" w:right="0" w:firstLine="0"/>
        <w:jc w:val="both"/>
        <w:spacing w:before="0" w:after="0" w:line="85" w:lineRule="atLeast"/>
        <w:rPr>
          <w:rFonts w:ascii="SimHei" w:hAnsi="SimHei" w:eastAsia="SimHei" w:cs="SimHei"/>
          <w:sz w:val="22"/>
          <w:szCs w:val="22"/>
        </w:rPr>
        <w:pBdr>
          <w:top w:val="none" w:color="000000" w:sz="4" w:space="0"/>
          <w:left w:val="none" w:color="000000" w:sz="4" w:space="0"/>
          <w:bottom w:val="none" w:color="000000" w:sz="4" w:space="0"/>
          <w:right w:val="none" w:color="000000" w:sz="4" w:space="0"/>
        </w:pBdr>
      </w:pPr>
      <w:r>
        <w:rPr>
          <w:rFonts w:ascii="SimHei" w:hAnsi="SimHei" w:eastAsia="SimHei" w:cs="SimHei"/>
          <w:sz w:val="22"/>
          <w:szCs w:val="22"/>
        </w:rPr>
      </w:r>
      <w:r>
        <w:rPr>
          <w:rFonts w:ascii="SimHei" w:hAnsi="SimHei" w:eastAsia="SimHei" w:cs="SimHei"/>
          <w:sz w:val="22"/>
          <w:szCs w:val="22"/>
        </w:rPr>
      </w:r>
      <w:r/>
    </w:p>
    <w:p>
      <w:pPr>
        <w:ind w:left="0" w:right="0" w:firstLine="0"/>
        <w:jc w:val="both"/>
        <w:spacing w:before="0" w:after="0" w:line="85" w:lineRule="atLeast"/>
        <w:rPr>
          <w:rFonts w:ascii="SimHei" w:hAnsi="SimHei" w:eastAsia="SimHei" w:cs="SimHei"/>
          <w:sz w:val="22"/>
          <w:szCs w:val="22"/>
        </w:rPr>
        <w:pBdr>
          <w:top w:val="none" w:color="000000" w:sz="4" w:space="0"/>
          <w:left w:val="none" w:color="000000" w:sz="4" w:space="0"/>
          <w:bottom w:val="none" w:color="000000" w:sz="4" w:space="0"/>
          <w:right w:val="none" w:color="000000" w:sz="4" w:space="0"/>
        </w:pBdr>
      </w:pPr>
      <w:r>
        <w:rPr>
          <w:rFonts w:ascii="SimHei" w:hAnsi="SimHei" w:eastAsia="SimHei" w:cs="SimHei"/>
          <w:sz w:val="22"/>
          <w:szCs w:val="22"/>
        </w:rPr>
      </w:r>
      <w:r>
        <w:rPr>
          <w:rFonts w:ascii="SimHei" w:hAnsi="SimHei" w:eastAsia="SimHei" w:cs="SimHei"/>
          <w:sz w:val="22"/>
          <w:szCs w:val="22"/>
        </w:rPr>
      </w:r>
      <w:r/>
    </w:p>
    <w:p>
      <w:pPr>
        <w:ind w:left="0" w:right="0" w:firstLine="0"/>
        <w:jc w:val="both"/>
        <w:spacing w:before="0" w:after="0" w:line="85" w:lineRule="atLeast"/>
        <w:rPr>
          <w:rFonts w:ascii="SimHei" w:hAnsi="SimHei" w:eastAsia="SimHei" w:cs="SimHei"/>
          <w:sz w:val="22"/>
          <w:szCs w:val="22"/>
        </w:rPr>
        <w:pBdr>
          <w:top w:val="none" w:color="000000" w:sz="4" w:space="0"/>
          <w:left w:val="none" w:color="000000" w:sz="4" w:space="0"/>
          <w:bottom w:val="none" w:color="000000" w:sz="4" w:space="0"/>
          <w:right w:val="none" w:color="000000" w:sz="4" w:space="0"/>
        </w:pBdr>
      </w:pPr>
      <w:r>
        <w:rPr>
          <w:rFonts w:ascii="SimHei" w:hAnsi="SimHei" w:eastAsia="SimHei" w:cs="SimHei"/>
          <w:sz w:val="22"/>
          <w:szCs w:val="22"/>
        </w:rPr>
      </w:r>
      <w:r>
        <w:rPr>
          <w:rFonts w:ascii="SimHei" w:hAnsi="SimHei" w:eastAsia="SimHei" w:cs="SimHei"/>
          <w:sz w:val="22"/>
          <w:szCs w:val="22"/>
        </w:rPr>
      </w:r>
      <w:r/>
    </w:p>
    <w:p>
      <w:pPr>
        <w:ind w:left="0" w:right="0" w:firstLine="0"/>
        <w:jc w:val="both"/>
        <w:spacing w:before="0" w:after="0" w:line="85" w:lineRule="atLeast"/>
        <w:rPr>
          <w:rFonts w:ascii="SimHei" w:hAnsi="SimHei" w:eastAsia="SimHei" w:cs="SimHei"/>
          <w:sz w:val="22"/>
          <w:szCs w:val="22"/>
        </w:rPr>
        <w:pBdr>
          <w:top w:val="none" w:color="000000" w:sz="4" w:space="0"/>
          <w:left w:val="none" w:color="000000" w:sz="4" w:space="0"/>
          <w:bottom w:val="none" w:color="000000" w:sz="4" w:space="0"/>
          <w:right w:val="none" w:color="000000" w:sz="4" w:space="0"/>
        </w:pBdr>
      </w:pPr>
      <w:r>
        <w:rPr>
          <w:rFonts w:ascii="SimHei" w:hAnsi="SimHei" w:eastAsia="SimHei" w:cs="SimHei"/>
          <w:sz w:val="22"/>
          <w:szCs w:val="22"/>
        </w:rPr>
      </w:r>
      <w:r>
        <w:rPr>
          <w:rFonts w:ascii="SimHei" w:hAnsi="SimHei" w:eastAsia="SimHei" w:cs="SimHei"/>
          <w:sz w:val="22"/>
          <w:szCs w:val="22"/>
        </w:rPr>
      </w:r>
      <w:r/>
    </w:p>
    <w:p>
      <w:pPr>
        <w:ind w:left="0" w:right="0" w:firstLine="0"/>
        <w:jc w:val="both"/>
        <w:spacing w:before="0" w:after="0" w:line="85" w:lineRule="atLeast"/>
        <w:rPr>
          <w:rFonts w:ascii="SimHei" w:hAnsi="SimHei" w:eastAsia="SimHei" w:cs="SimHei"/>
          <w:sz w:val="22"/>
          <w:szCs w:val="22"/>
        </w:rPr>
        <w:pBdr>
          <w:top w:val="none" w:color="000000" w:sz="4" w:space="0"/>
          <w:left w:val="none" w:color="000000" w:sz="4" w:space="0"/>
          <w:bottom w:val="none" w:color="000000" w:sz="4" w:space="0"/>
          <w:right w:val="none" w:color="000000" w:sz="4" w:space="0"/>
        </w:pBdr>
      </w:pPr>
      <w:r>
        <w:rPr>
          <w:rFonts w:ascii="SimHei" w:hAnsi="SimHei" w:eastAsia="SimHei" w:cs="SimHei"/>
          <w:sz w:val="22"/>
          <w:szCs w:val="22"/>
        </w:rPr>
      </w:r>
      <w:r>
        <w:rPr>
          <w:rFonts w:ascii="SimHei" w:hAnsi="SimHei" w:eastAsia="SimHei" w:cs="SimHei"/>
          <w:sz w:val="22"/>
          <w:szCs w:val="22"/>
        </w:rPr>
      </w:r>
      <w:r/>
    </w:p>
    <w:p>
      <w:pPr>
        <w:ind w:left="0" w:right="0" w:firstLine="0"/>
        <w:jc w:val="both"/>
        <w:spacing w:before="0" w:after="0" w:line="85" w:lineRule="atLeast"/>
        <w:rPr>
          <w:rFonts w:ascii="SimHei" w:hAnsi="SimHei" w:eastAsia="SimHei" w:cs="SimHei"/>
          <w:sz w:val="22"/>
          <w:szCs w:val="22"/>
        </w:rPr>
        <w:pBdr>
          <w:top w:val="none" w:color="000000" w:sz="4" w:space="0"/>
          <w:left w:val="none" w:color="000000" w:sz="4" w:space="0"/>
          <w:bottom w:val="none" w:color="000000" w:sz="4" w:space="0"/>
          <w:right w:val="none" w:color="000000" w:sz="4" w:space="0"/>
        </w:pBdr>
      </w:pPr>
      <w:r>
        <w:rPr>
          <w:rFonts w:ascii="SimHei" w:hAnsi="SimHei" w:eastAsia="SimHei" w:cs="SimHei"/>
          <w:sz w:val="22"/>
          <w:szCs w:val="22"/>
        </w:rPr>
      </w:r>
      <w:r>
        <w:rPr>
          <w:rFonts w:ascii="SimHei" w:hAnsi="SimHei" w:eastAsia="SimHei" w:cs="SimHei"/>
          <w:sz w:val="22"/>
          <w:szCs w:val="22"/>
        </w:rPr>
      </w:r>
      <w:r/>
    </w:p>
    <w:p>
      <w:pPr>
        <w:ind w:left="0" w:right="0" w:firstLine="0"/>
        <w:jc w:val="both"/>
        <w:spacing w:before="0" w:after="0" w:line="85" w:lineRule="atLeast"/>
        <w:rPr>
          <w:rFonts w:ascii="SimHei" w:hAnsi="SimHei" w:eastAsia="SimHei" w:cs="SimHei"/>
          <w:sz w:val="22"/>
          <w:szCs w:val="22"/>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highlight w:val="none"/>
        </w:rPr>
      </w:r>
      <w:r>
        <w:rPr>
          <w:rFonts w:ascii="SimSun" w:hAnsi="SimSun" w:eastAsia="SimSun" w:cs="SimSun"/>
          <w:b/>
          <w:color w:val="000000"/>
          <w:sz w:val="44"/>
          <w:highlight w:val="none"/>
        </w:rPr>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第五章评标方法与评标标准</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一、评分办法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本项目采用综合评分法。评标结果按评审后得分由高到低顺序排列，推荐3名中标候选人。得分相同的，按投标报价由低到高顺序排列。投标文件满足招标文件全部实质性要求，且按照评审因素的量化指标评审得分最高的投标人为排名第一的中标候选人。得分且投标报价相同的，提供优先采购产品证书更多的投标人优先成交（如属优先采购产品）；否则，由评标委员会组织以抽签方式确定优先选取顺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评标时，评标委员会各成员按照招标文件规定的评分标准，独立对每个投标人的投标文件进行评价，得出每位评委对每个投标人的得分。每个投标人的最终得分按算术平均法汇总所有评委的得分得出。报价得分按文件规定的计算公式直接计算取得。所有得分保留小数点后两位，第三位四舍五入。评委评审得分和投标报价得分相加为投标人的综合评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使用综合评分法的采购项目，提供相同品牌产品且通过资格审查、符合性审查的不同投标人参加同一合同项下投标的，按一家投标人计算，评审后得分最高的同品牌投标人获得中标人推荐资格。非单一产品采购项目，多家投标人提供的核心产品品牌相同的，按照此规定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如投标人存在“苏财购〔2017〕11号”文件中所列的失信或不良行为，按照相关规定执行。关于较大数额罚款的认定按照《财政部关于〈中华人民共和国政府采购法实施条例〉第十九条第一款“较大数额罚款”具体适用问题的意见》（财库〔2022〕3 号）文件执行。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5.针对中小型企业、残疾人福利企业和监狱企业的评审：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根据《政府采购促进中小企业发展管理办法》（财库〔2020〕46号）、《关于促进残疾人就业政府采购政策的通知》（财库〔2017〕141号）、《关于政府采购支持监狱企业发展有关问题的通知》（财库〔2014〕68号）和《关于做好政府采购支持企业发展有关事项的通知》（苏财购〔2020〕52号）及《关于印发〈苏州市政府采购促进中小企业发展实施意见〉的通知》（苏财购〔2022〕16号）的有关规定，</w:t>
      </w:r>
      <w:r>
        <w:rPr>
          <w:rFonts w:ascii="SimSun" w:hAnsi="SimSun" w:eastAsia="SimSun" w:cs="SimSun"/>
          <w:b/>
          <w:color w:val="000000"/>
          <w:sz w:val="22"/>
        </w:rPr>
        <w:t xml:space="preserve">本项目专门面向中小企业采购，不再执行价格评审优惠的扶持政策。</w:t>
      </w:r>
      <w:r>
        <w:rPr>
          <w:rFonts w:ascii="SimSun" w:hAnsi="SimSun" w:eastAsia="SimSun" w:cs="SimSun"/>
          <w:color w:val="000000"/>
          <w:sz w:val="22"/>
        </w:rPr>
        <w:t xml:space="preserve">小微企业提供《中小企业声明函》；监狱企业提供由省级以上监狱管理局、戒毒管理局（含新疆生产建设兵团）出具的属于监狱企业的证明文件；残疾人福利性单位提供《残疾人福利性单位声明函》。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小微企业提供《中小企业声明函》；监狱企业提供由省级以上监狱管理局、戒毒管理局（含新疆生产建设兵团）出具的属于监狱企业的证明文件；残疾人福利性单位提供《残疾人福利性单位声明函》。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①填报“中小企业声明函”需严格按“工信部联企业〔2011〕300号通知中的《中小企业划型标准规定》进行。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②若供应商提供的声明函或认定证明为虚假材料，按“政府采购法”相关规定处理并报请政府监管部门给予行政处罚。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6.采购本国产品的支持政策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6.1根据《国务院办公厅关于在政府采购中实施本国产品标准及相关政策的通知》（国办发〔2025〕34号）的相关规定，政府采购活动中既有本国产品又有非本国产品参与竞争的，依法对本国产品给予价格评审优惠，对本国产品的报价给予</w:t>
      </w:r>
      <w:r>
        <w:rPr>
          <w:rFonts w:ascii="SimSun" w:hAnsi="SimSun" w:eastAsia="SimSun" w:cs="SimSun"/>
          <w:b/>
          <w:color w:val="000000"/>
          <w:sz w:val="22"/>
          <w:u w:val="single"/>
        </w:rPr>
        <w:t xml:space="preserve">20%</w:t>
      </w:r>
      <w:r>
        <w:rPr>
          <w:rFonts w:ascii="SimSun" w:hAnsi="SimSun" w:eastAsia="SimSun" w:cs="SimSun"/>
          <w:color w:val="000000"/>
          <w:sz w:val="22"/>
        </w:rPr>
        <w:t xml:space="preserve">的价格扣除，用扣除后的价格参与评审。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6.2当采购项目或者采购包中含有多种产品，供应商为该采购项目或者采购包提供的符合本国产品标准的产品成本之和占该供应商提供的全部产品成本之和的比例达到80%以上时（供应商需在“第三章 投标文件格式”的“附件3公开分项报价”中填写比例数值），依法对该供应商提供的全部产品给予价格评审优惠，即对该供应商提供的全部产品的总报价给予</w:t>
      </w:r>
      <w:r>
        <w:rPr>
          <w:rFonts w:ascii="SimSun" w:hAnsi="SimSun" w:eastAsia="SimSun" w:cs="SimSun"/>
          <w:b/>
          <w:color w:val="000000"/>
          <w:sz w:val="22"/>
          <w:u w:val="single"/>
        </w:rPr>
        <w:t xml:space="preserve">20%</w:t>
      </w:r>
      <w:r>
        <w:rPr>
          <w:rFonts w:ascii="SimSun" w:hAnsi="SimSun" w:eastAsia="SimSun" w:cs="SimSun"/>
          <w:color w:val="000000"/>
          <w:sz w:val="22"/>
        </w:rPr>
        <w:t xml:space="preserve">的价格扣除，用扣除后的价格参与评审。</w:t>
      </w:r>
      <w:r>
        <w:rPr>
          <w:rFonts w:ascii="SimSun" w:hAnsi="SimSun" w:eastAsia="SimSun" w:cs="SimSun"/>
          <w:b/>
          <w:color w:val="000000"/>
          <w:sz w:val="22"/>
        </w:rPr>
        <w:t xml:space="preserve">供应商未填写比例数值，或比例数值未达到</w:t>
      </w:r>
      <w:r>
        <w:rPr>
          <w:rFonts w:ascii="SimSun" w:hAnsi="SimSun" w:eastAsia="SimSun" w:cs="SimSun"/>
          <w:b/>
          <w:color w:val="000000"/>
          <w:sz w:val="22"/>
          <w:u w:val="single"/>
        </w:rPr>
        <w:t xml:space="preserve">80%</w:t>
      </w:r>
      <w:r>
        <w:rPr>
          <w:rFonts w:ascii="SimSun" w:hAnsi="SimSun" w:eastAsia="SimSun" w:cs="SimSun"/>
          <w:b/>
          <w:color w:val="000000"/>
          <w:sz w:val="22"/>
        </w:rPr>
        <w:t xml:space="preserve">的，将不享受本国产品价格评审优惠。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6.3供应商需按照招标文件的要求对其提供的产品出具《关于符合本国产品标准的声明函》（以下简称《声明函》），如不提供将不享受本国产品价格评审优惠。</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6.4 供应商需在《声明函》中逐一、准确填写产品名称、厂名、生产厂址三项信息（《声明函》中用斜线划除的地方无需填写），三项信息中任意一项未填写的视为该项产品不符合本国产品标准，不享受本国产品价格评审优惠。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7.根据财政部《关于推动解决政府采购异常低价问题的通知》（财库〔2026〕2号）规定，实施政府采购异常低价审查：</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（1）评审过程中出现下列情形之一的，评审委员会应当启动异常低价投标（响应）审查程序：</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①投标（响应）报价低于全部通过符合性审查供应商投标（响应）报价平均值50%的，即投标（响应）报价〈全部通过符合性审查供应商投标（响应）报价平均值×50%；</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②投标（响应）报价低于通过符合性审查的次低报价供应商投标（响应）报价50%的，即投标（响应）报价〈通过符合性审查的次低报价供应商投标（响应）报价×50%；</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③投标（响应）报价低于采购项目最高限价45%的，即投标（响应）报价〈采购项目最高限价×45%；</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④评审委员会基于专业判断，认为供应商报价过低，有可能影响产品质量或者不能诚信履约的其他情形。</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异常低价投标（响应）审查启动后，相关供应商应在评审现场合理的时间内对投标（响应）价格作出解释，并提供项目具体成本测算等与报价合理性相关的书面说明及必要的证明材料，包括但不限于原材料成本、人工成本、制造费用等。</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其中，属于第③项情形，供应商已随投标（响应）文件一并提交相关书面说明及必要的证明材料的，在评审现场可不再重复提交。</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rPr>
          <w:rFonts w:ascii="SimSun" w:hAnsi="SimSun" w:eastAsia="SimSun" w:cs="SimSun"/>
          <w:b/>
          <w:color w:val="000000"/>
          <w:sz w:val="22"/>
        </w:rPr>
        <w:t xml:space="preserve">二、评分标准</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（一）投标报价：30分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1.投标报价低于或等于财政预算价格的，为有效投标报价。超财政预算的投标报价为无效投标报价。无效投标报价的投标文件不进行评审，也不得标。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2.价格得分计算方法：根据各投标人通过符合性审查的有效投标报价中的最低价作为评标基准价，其价格分为满分。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3.其他投标人的价格分按照下列公式计算（计算结果四舍五入保留两位小数）</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投标报价得分=（评标基准价／投标报价）×价格权值×100，小数点后保留两位。（价格权值为3</w:t>
      </w:r>
      <w:r>
        <w:rPr>
          <w:rFonts w:ascii="SimSun" w:hAnsi="SimSun" w:eastAsia="SimSun" w:cs="SimSun"/>
          <w:b/>
          <w:color w:val="000000"/>
          <w:sz w:val="22"/>
        </w:rPr>
        <w:t xml:space="preserve">0%）</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（二）投标设备的技术与质量：40分</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color w:val="000000"/>
          <w:sz w:val="22"/>
        </w:rPr>
        <w:t xml:space="preserve">投标产品的技术参数、功能等符合情况（最高为</w:t>
      </w:r>
      <w:r>
        <w:rPr>
          <w:rFonts w:ascii="SimSun" w:hAnsi="SimSun" w:eastAsia="SimSun" w:cs="SimSun"/>
          <w:color w:val="000000"/>
          <w:sz w:val="21"/>
        </w:rPr>
        <w:t xml:space="preserve">35</w:t>
      </w:r>
      <w:r>
        <w:rPr>
          <w:rFonts w:ascii="SimSun" w:hAnsi="SimSun" w:eastAsia="SimSun" w:cs="SimSun"/>
          <w:color w:val="000000"/>
          <w:sz w:val="22"/>
        </w:rPr>
        <w:t xml:space="preserve">分）</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投标人所投产品完全满足或优于招标文件产品技术参数要求的得</w:t>
      </w:r>
      <w:r>
        <w:rPr>
          <w:rFonts w:ascii="SimSun" w:hAnsi="SimSun" w:eastAsia="SimSun" w:cs="SimSun"/>
          <w:color w:val="000000"/>
          <w:sz w:val="21"/>
        </w:rPr>
        <w:t xml:space="preserve">35</w:t>
      </w:r>
      <w:r>
        <w:rPr>
          <w:rFonts w:ascii="SimSun" w:hAnsi="SimSun" w:eastAsia="SimSun" w:cs="SimSun"/>
          <w:color w:val="000000"/>
          <w:sz w:val="22"/>
        </w:rPr>
        <w:t xml:space="preserve">分；标注“▲”的技术参数，每负偏离一项扣2.5分；其余技术指标每负偏离一项扣</w:t>
      </w:r>
      <w:r>
        <w:rPr>
          <w:rFonts w:ascii="SimSun" w:hAnsi="SimSun" w:eastAsia="SimSun" w:cs="SimSun"/>
          <w:color w:val="000000"/>
          <w:sz w:val="21"/>
        </w:rPr>
        <w:t xml:space="preserve">0.</w:t>
      </w:r>
      <w:r>
        <w:rPr>
          <w:rFonts w:ascii="SimSun" w:hAnsi="SimSun" w:eastAsia="SimSun" w:cs="SimSun"/>
          <w:color w:val="000000"/>
          <w:sz w:val="22"/>
        </w:rPr>
        <w:t xml:space="preserve">1分，扣完为止。</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注：标</w:t>
      </w:r>
      <w:r>
        <w:rPr>
          <w:rFonts w:ascii="SimSun" w:hAnsi="SimSun" w:eastAsia="SimSun" w:cs="SimSun"/>
          <w:b/>
          <w:color w:val="000000"/>
          <w:sz w:val="22"/>
        </w:rPr>
        <w:t xml:space="preserve">注</w:t>
      </w:r>
      <w:r>
        <w:rPr>
          <w:rFonts w:ascii="SimSun" w:hAnsi="SimSun" w:eastAsia="SimSun" w:cs="SimSun"/>
          <w:b/>
          <w:color w:val="000000"/>
          <w:sz w:val="21"/>
        </w:rPr>
        <w:t xml:space="preserve"> </w:t>
      </w:r>
      <w:r>
        <w:rPr>
          <w:rFonts w:ascii="SimSun" w:hAnsi="SimSun" w:eastAsia="SimSun" w:cs="SimSun"/>
          <w:b/>
          <w:color w:val="000000"/>
          <w:sz w:val="22"/>
        </w:rPr>
        <w:t xml:space="preserve">“▲”的指标需按照招标文件要求提供相应佐证资料，招标文件未作要求的提供该车型国家认可的第三方检测机构出具的具有“</w:t>
      </w:r>
      <w:r>
        <w:rPr>
          <w:rFonts w:ascii="SimHei" w:hAnsi="SimHei" w:eastAsia="SimHei" w:cs="SimHei"/>
          <w:b/>
          <w:color w:val="000000"/>
          <w:sz w:val="22"/>
        </w:rPr>
        <w:t xml:space="preserve">CMA</w:t>
      </w:r>
      <w:r>
        <w:rPr>
          <w:rFonts w:ascii="SimSun" w:hAnsi="SimSun" w:eastAsia="SimSun" w:cs="SimSun"/>
          <w:b/>
          <w:color w:val="000000"/>
          <w:sz w:val="22"/>
        </w:rPr>
        <w:t xml:space="preserve">”或“</w:t>
      </w:r>
      <w:r>
        <w:rPr>
          <w:rFonts w:ascii="SimHei" w:hAnsi="SimHei" w:eastAsia="SimHei" w:cs="SimHei"/>
          <w:b/>
          <w:color w:val="000000"/>
          <w:sz w:val="22"/>
        </w:rPr>
        <w:t xml:space="preserve">CNAS</w:t>
      </w:r>
      <w:r>
        <w:rPr>
          <w:rFonts w:ascii="SimSun" w:hAnsi="SimSun" w:eastAsia="SimSun" w:cs="SimSun"/>
          <w:b/>
          <w:color w:val="000000"/>
          <w:sz w:val="22"/>
        </w:rPr>
        <w:t xml:space="preserve">”标志的整车检验报告佐证，以证明技术参数及功能的有效性，如未附相关证明材料或者所附的证明材料由评标委员会认为不能佐证技术指标的有效性的，则同样视为负偏离；其余技术参数可提供投标单位盖章的技术响应对照表。</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SimSun" w:hAnsi="SimSun" w:eastAsia="SimSun" w:cs="SimSun"/>
          <w:color w:val="000000"/>
          <w:sz w:val="22"/>
        </w:rPr>
        <w:t xml:space="preserve">技术性能情况（最高为</w:t>
      </w:r>
      <w:r>
        <w:rPr>
          <w:rFonts w:ascii="SimSun" w:hAnsi="SimSun" w:eastAsia="SimSun" w:cs="SimSun"/>
          <w:color w:val="000000"/>
          <w:sz w:val="21"/>
        </w:rPr>
        <w:t xml:space="preserve">5</w:t>
      </w:r>
      <w:r>
        <w:rPr>
          <w:rFonts w:ascii="SimSun" w:hAnsi="SimSun" w:eastAsia="SimSun" w:cs="SimSun"/>
          <w:color w:val="000000"/>
          <w:sz w:val="22"/>
        </w:rPr>
        <w:t xml:space="preserve">分）</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投标单位针对所投车型提供的整车三维设计图、二维设计图（包括整车外观、结构设计等）情况：</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设计合理、精细，布置得当，具备实用、舒适、科技等特性，完全满足技术要求的得</w:t>
      </w:r>
      <w:r>
        <w:rPr>
          <w:rFonts w:ascii="SimSun" w:hAnsi="SimSun" w:eastAsia="SimSun" w:cs="SimSun"/>
          <w:color w:val="000000"/>
          <w:sz w:val="21"/>
        </w:rPr>
        <w:t xml:space="preserve">5</w:t>
      </w:r>
      <w:r>
        <w:rPr>
          <w:rFonts w:ascii="SimSun" w:hAnsi="SimSun" w:eastAsia="SimSun" w:cs="SimSun"/>
          <w:color w:val="000000"/>
          <w:sz w:val="22"/>
        </w:rPr>
        <w:t xml:space="preserve">分；设计基本合理，满足车辆主体要求，基本满足实用、舒适、科技等特性的得</w:t>
      </w:r>
      <w:r>
        <w:rPr>
          <w:rFonts w:ascii="SimSun" w:hAnsi="SimSun" w:eastAsia="SimSun" w:cs="SimSun"/>
          <w:color w:val="000000"/>
          <w:sz w:val="21"/>
        </w:rPr>
        <w:t xml:space="preserve">3</w:t>
      </w:r>
      <w:r>
        <w:rPr>
          <w:rFonts w:ascii="SimSun" w:hAnsi="SimSun" w:eastAsia="SimSun" w:cs="SimSun"/>
          <w:color w:val="000000"/>
          <w:sz w:val="22"/>
        </w:rPr>
        <w:t xml:space="preserve">分；设计实用性不足、技术较为落后，实用、舒适、科技等较差的得1分；设计存在重大瑕疵，实用、舒适、科技等性能较差，影响车辆使用的或未提供方案的本项不得分。</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（三）技术服务及售后服务方案：26分</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color w:val="000000"/>
          <w:sz w:val="22"/>
        </w:rPr>
        <w:t xml:space="preserve">针对本项目的项目实施方案（最高为4分）</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根据投标单位针对本项目的项目实施方案评定，包括项目货源组织、产品质量控制、交货进度计划及安装调试验收方案等：项目实施方案内容完整不漏项、有针对性说明、切实可行、能切实提供项目进度及质量保证承诺及措施的得4分；方案各项内容阐述不够全面有缺漏项、针对性说明较为简单、可行性一般、项目进度及质量保证措施一般的得2分；方案各项内容粗略、有缺漏、缺乏针对性说明、项目进度及质量保证措施较差的得1分；未提供相关说明或存在逻辑错误、前后矛盾的不得分。</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SimSun" w:hAnsi="SimSun" w:eastAsia="SimSun" w:cs="SimSun"/>
          <w:color w:val="000000"/>
          <w:sz w:val="22"/>
        </w:rPr>
        <w:t xml:space="preserve">针对本项目的售后服务方案（最高为5分）</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根据投标单位针对本项目的售后服务方案评定，包括售后服务范围、售后服务点设置、售后服务人员配备、响应时间、售后服务承诺等情况：售后服务各项内容阐述全面无缺项、合理、内容详细，符合项目实际需求情况，可行性高的得5分；售后服务各项内容阐述不全面、有缺项漏项，内容较为简要，针对性、可行性一般的得3分；售后服务各项内容阐述粗略、有缺漏、缺乏针对性的得1分；未提供相关说明或存在逻辑错误、前后矛盾的不得分。</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rPr>
          <w:rFonts w:ascii="SimSun" w:hAnsi="SimSun" w:eastAsia="SimSun" w:cs="SimSun"/>
          <w:color w:val="000000"/>
          <w:sz w:val="22"/>
        </w:rPr>
        <w:t xml:space="preserve">针对本项目的应急和重大故障解决方案（最高为5分）</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根据投标单位针对本项目的应急和重大故障解决方案评定，包括应急和重大故障预防措施，以及出现问题的响应时间、补救措施等：应急和重大故障解决方案内容阐述全面无缺项、合理、内容详细，符合项目实际情况，可行性高的得5分；应急和重大故障解决方案内容阐述不全面、有缺项漏项，内容较为简要，针对性一般，可行性一般的得3分；应急和重大故障解决方案内容阐述粗略、有缺漏、缺乏针对性的得1分；未提供相关说明或存在逻辑错误、前后矛盾的不得分。</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rPr>
          <w:rFonts w:ascii="SimSun" w:hAnsi="SimSun" w:eastAsia="SimSun" w:cs="SimSun"/>
          <w:color w:val="000000"/>
          <w:sz w:val="22"/>
        </w:rPr>
        <w:t xml:space="preserve">针对本项目使用方人员的技术培训方案（最高为4分）</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根据投标单位提供的针对本项目使用方人员的技术培训方案评定，包括但不限于使用操作、常规检查、保养内容、日常使用注意事项等方面：技术培训服务方案内容无缺项、合理、内容详细，符合项目实际情况，可行性高的得4分；技术培训服务方案阐述不全面、有缺项漏项，内容较为简要，针对性一般，可行性一般的得2分；技术培训服务方案内容阐述粗略、有缺漏、缺乏针对性的得1分。未提供相关说明或存在逻辑错误、前后矛盾的不得分。</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rPr>
          <w:rFonts w:ascii="SimSun" w:hAnsi="SimSun" w:eastAsia="SimSun" w:cs="SimSun"/>
          <w:color w:val="000000"/>
          <w:sz w:val="22"/>
        </w:rPr>
        <w:t xml:space="preserve">投标单位质保期满后维保收费及内容情况（最高为4分）</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维保收费及维保方案应包括但不限于：维保收费（包括零配件、备品、备件价格）清单及价格、整个维保工作具体维保内容、维保流程、维保规范标准、维保档案等情况，维保收费清单涵盖全面，价格优惠力度最大，维保内容涵盖全面优于上述要求，维保流程及规范科学合理，可实施性强，维保档案建立标准规范，完全优于采购需求的得4分；维保收费清单涵盖较为全面，价格优惠力度相对较大，维保内容涵盖满足上述要求，维保流程及规范较为科学合理，可实施性较强，维保档案建立标准规范，基本采购需求的得2分；维保收费清单涵盖简单，基本满足采购需求的得1分；</w:t>
      </w:r>
      <w:r>
        <w:rPr>
          <w:rFonts w:ascii="SimSun" w:hAnsi="SimSun" w:eastAsia="SimSun" w:cs="SimSun"/>
          <w:color w:val="000000"/>
          <w:sz w:val="22"/>
        </w:rPr>
        <w:t xml:space="preserve">未提供相关说明或存在逻辑错误、前后矛盾的不得分。</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rPr>
          <w:rFonts w:ascii="SimSun" w:hAnsi="SimSun" w:eastAsia="SimSun" w:cs="SimSun"/>
          <w:color w:val="000000"/>
          <w:sz w:val="22"/>
        </w:rPr>
        <w:t xml:space="preserve">应急救援联勤联动保障方案（最高为4分）</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单位针对救援需求提供应急救援联勤联动保障方案，做好现场设备灭火救援及训演备勤现场技术服务保障，确保救援工作顺利实施：提供的方案针对性强、方案合理、描述详细的得4分；提供的方案针对性一般、方案较为合理、描述较为详细但有明显瑕疵的得2分；提供的方案针对性较弱、方案不合理、描述较为单一的得1分；未提供相关说明或存在逻辑错误、前后矛盾的不得分。</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（四）类似业绩情况：4分</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color w:val="000000"/>
          <w:sz w:val="22"/>
        </w:rPr>
        <w:t xml:space="preserve">2022年1月1日（以合同签订日期为准）至今投标单位类似项目业绩情况，每提供一份得1分，最高得4分</w:t>
      </w:r>
      <w:r>
        <w:rPr>
          <w:rFonts w:ascii="SimSun" w:hAnsi="SimSun" w:eastAsia="SimSun" w:cs="SimSun"/>
          <w:b/>
          <w:color w:val="000000"/>
          <w:sz w:val="22"/>
        </w:rPr>
        <w:t xml:space="preserve">（投标文件中提供完整的对应合同及对应合同的发票扫描件，未提供或资料不全、不清晰的不得分）。</w:t>
      </w:r>
      <w:r/>
    </w:p>
    <w:p>
      <w:pPr>
        <w:ind w:left="0" w:right="0" w:firstLine="42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2"/>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422"/>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rPr>
          <w:rFonts w:ascii="SimHei" w:hAnsi="SimHei" w:eastAsia="SimHei" w:cs="SimHei"/>
          <w:sz w:val="22"/>
        </w:rPr>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sz w:val="22"/>
        </w:rPr>
      </w:r>
      <w:r>
        <w:rPr>
          <w:rFonts w:ascii="SimHei" w:hAnsi="SimHei" w:eastAsia="SimHei" w:cs="SimHei"/>
          <w:sz w:val="22"/>
        </w:rPr>
      </w:r>
      <w:r/>
    </w:p>
    <w:p>
      <w:pPr>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第六章</w:t>
      </w:r>
      <w:r>
        <w:rPr>
          <w:rFonts w:ascii="SimSun" w:hAnsi="SimSun" w:eastAsia="SimSun" w:cs="SimSun"/>
          <w:b/>
          <w:color w:val="000000"/>
          <w:sz w:val="36"/>
        </w:rPr>
        <w:t xml:space="preserve"> 投标文件格式</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（说明：对本章所有的投标书格式，投标方可根据自身情况进行补充和修改，但补充和修改不得造成与本格式内容有实质性的违背。）</w:t>
      </w:r>
      <w:r/>
    </w:p>
    <w:p>
      <w:pPr>
        <w:ind w:left="0" w:right="0" w:firstLine="421"/>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421"/>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格式1：法定代表人授权委托书</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法定代表人授权委托书</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本授权委托书声明：我</w:t>
      </w:r>
      <w:r>
        <w:rPr>
          <w:rFonts w:ascii="SimSun" w:hAnsi="SimSun" w:eastAsia="SimSun" w:cs="SimSun"/>
          <w:color w:val="000000"/>
          <w:sz w:val="21"/>
        </w:rPr>
        <w:t xml:space="preserve"> </w:t>
      </w:r>
      <w:r>
        <w:rPr>
          <w:rFonts w:ascii="SimSun" w:hAnsi="SimSun" w:eastAsia="SimSun" w:cs="SimSun"/>
          <w:color w:val="000000"/>
          <w:sz w:val="21"/>
          <w:u w:val="single"/>
        </w:rPr>
        <w:t xml:space="preserve">           </w:t>
      </w:r>
      <w:r>
        <w:rPr>
          <w:rFonts w:ascii="SimSun" w:hAnsi="SimSun" w:eastAsia="SimSun" w:cs="SimSun"/>
          <w:color w:val="000000"/>
          <w:sz w:val="22"/>
        </w:rPr>
        <w:t xml:space="preserve">（姓名）系</w:t>
      </w:r>
      <w:r>
        <w:rPr>
          <w:rFonts w:ascii="SimSun" w:hAnsi="SimSun" w:eastAsia="SimSun" w:cs="SimSun"/>
          <w:color w:val="000000"/>
          <w:sz w:val="21"/>
          <w:u w:val="single"/>
        </w:rPr>
        <w:t xml:space="preserve">                 </w:t>
      </w:r>
      <w:r>
        <w:rPr>
          <w:rFonts w:ascii="SimSun" w:hAnsi="SimSun" w:eastAsia="SimSun" w:cs="SimSun"/>
          <w:color w:val="000000"/>
          <w:sz w:val="22"/>
        </w:rPr>
        <w:t xml:space="preserve">（投标单位名称）的法定代表人（负责人），现授权委托</w:t>
      </w:r>
      <w:r>
        <w:rPr>
          <w:rFonts w:ascii="SimSun" w:hAnsi="SimSun" w:eastAsia="SimSun" w:cs="SimSun"/>
          <w:color w:val="000000"/>
          <w:sz w:val="21"/>
          <w:u w:val="single"/>
        </w:rPr>
        <w:t xml:space="preserve">                </w:t>
      </w:r>
      <w:r>
        <w:rPr>
          <w:rFonts w:ascii="SimSun" w:hAnsi="SimSun" w:eastAsia="SimSun" w:cs="SimSun"/>
          <w:color w:val="000000"/>
          <w:sz w:val="22"/>
          <w:u w:val="single"/>
        </w:rPr>
        <w:t xml:space="preserve">（</w:t>
      </w:r>
      <w:r>
        <w:rPr>
          <w:rFonts w:ascii="SimSun" w:hAnsi="SimSun" w:eastAsia="SimSun" w:cs="SimSun"/>
          <w:color w:val="000000"/>
          <w:sz w:val="22"/>
        </w:rPr>
        <w:t xml:space="preserve">单位名称）的</w:t>
      </w:r>
      <w:r>
        <w:rPr>
          <w:rFonts w:ascii="SimSun" w:hAnsi="SimSun" w:eastAsia="SimSun" w:cs="SimSun"/>
          <w:color w:val="000000"/>
          <w:sz w:val="21"/>
          <w:u w:val="single"/>
        </w:rPr>
        <w:t xml:space="preserve">           </w:t>
      </w:r>
      <w:r>
        <w:rPr>
          <w:rFonts w:ascii="SimSun" w:hAnsi="SimSun" w:eastAsia="SimSun" w:cs="SimSun"/>
          <w:color w:val="000000"/>
          <w:sz w:val="22"/>
        </w:rPr>
        <w:t xml:space="preserve">（姓名）为我公司代理人，以本公司的名义参加苏州捷信招投标咨询有限公司组织实施的编号为</w:t>
      </w:r>
      <w:r>
        <w:rPr>
          <w:rFonts w:ascii="SimSun" w:hAnsi="SimSun" w:eastAsia="SimSun" w:cs="SimSun"/>
          <w:color w:val="000000"/>
          <w:sz w:val="21"/>
          <w:u w:val="single"/>
        </w:rPr>
        <w:t xml:space="preserve">          </w:t>
      </w:r>
      <w:r>
        <w:rPr>
          <w:rFonts w:ascii="SimSun" w:hAnsi="SimSun" w:eastAsia="SimSun" w:cs="SimSun"/>
          <w:color w:val="000000"/>
          <w:sz w:val="22"/>
        </w:rPr>
        <w:t xml:space="preserve">号的招标活动。代理人在开标、评标、合同谈判过程中所签署的一切文件和处理与这有关的一切事务，我均予以承认。</w:t>
      </w:r>
      <w:r/>
    </w:p>
    <w:p>
      <w:pPr>
        <w:ind w:left="0" w:right="0" w:firstLine="315"/>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代理人在授权委托书有效期内签署的所有文件不因授权委托的撤销而失效，除非有撤销授权委托的书面通知，本授权委托书自投标开始至合同履行完毕止。</w:t>
      </w:r>
      <w:r/>
    </w:p>
    <w:p>
      <w:pPr>
        <w:ind w:left="0" w:right="0" w:firstLine="315"/>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代理人无转委托权。特此委托。</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3400" w:right="0" w:firstLine="425"/>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响应单位名称（加盖CA电子公章）</w:t>
      </w:r>
      <w:r/>
    </w:p>
    <w:p>
      <w:pPr>
        <w:ind w:left="3400" w:right="0" w:firstLine="425"/>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日期：年</w:t>
      </w:r>
      <w:r>
        <w:rPr>
          <w:rFonts w:ascii="SimSun" w:hAnsi="SimSun" w:eastAsia="SimSun" w:cs="SimSun"/>
          <w:color w:val="000000"/>
          <w:sz w:val="21"/>
        </w:rPr>
        <w:t xml:space="preserve">     </w:t>
      </w:r>
      <w:r>
        <w:rPr>
          <w:rFonts w:ascii="SimSun" w:hAnsi="SimSun" w:eastAsia="SimSun" w:cs="SimSun"/>
          <w:color w:val="000000"/>
          <w:sz w:val="22"/>
        </w:rPr>
        <w:t xml:space="preserve">月</w:t>
      </w:r>
      <w:r>
        <w:rPr>
          <w:rFonts w:ascii="SimSun" w:hAnsi="SimSun" w:eastAsia="SimSun" w:cs="SimSun"/>
          <w:color w:val="000000"/>
          <w:sz w:val="21"/>
        </w:rPr>
        <w:t xml:space="preserve">     </w:t>
      </w:r>
      <w:r>
        <w:rPr>
          <w:rFonts w:ascii="SimSun" w:hAnsi="SimSun" w:eastAsia="SimSun" w:cs="SimSun"/>
          <w:color w:val="000000"/>
          <w:sz w:val="22"/>
        </w:rPr>
        <w:t xml:space="preserve">日</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br w:type="page" w:clear="all"/>
      </w:r>
      <w:r>
        <w:rPr>
          <w:sz w:val="24"/>
        </w:rPr>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格式2：投标函</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投标函</w:t>
      </w:r>
      <w:r/>
    </w:p>
    <w:p>
      <w:pPr>
        <w:ind w:left="0" w:right="0" w:firstLine="441"/>
        <w:spacing w:before="240" w:after="24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single"/>
        </w:rPr>
        <w:t xml:space="preserve">              </w:t>
      </w:r>
      <w:r>
        <w:rPr>
          <w:rFonts w:ascii="SimSun" w:hAnsi="SimSun" w:eastAsia="SimSun" w:cs="SimSun"/>
          <w:b/>
          <w:color w:val="000000"/>
          <w:sz w:val="22"/>
        </w:rPr>
        <w:t xml:space="preserve">：</w:t>
      </w:r>
      <w:r/>
    </w:p>
    <w:p>
      <w:pPr>
        <w:ind w:left="0" w:right="0" w:firstLine="21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我方全面研究了</w:t>
      </w:r>
      <w:r>
        <w:rPr>
          <w:rFonts w:ascii="SimSun" w:hAnsi="SimSun" w:eastAsia="SimSun" w:cs="SimSun"/>
          <w:color w:val="000000"/>
          <w:sz w:val="21"/>
          <w:u w:val="single"/>
        </w:rPr>
        <w:t xml:space="preserve">        </w:t>
      </w:r>
      <w:r>
        <w:rPr>
          <w:rFonts w:ascii="SimSun" w:hAnsi="SimSun" w:eastAsia="SimSun" w:cs="SimSun"/>
          <w:color w:val="000000"/>
          <w:sz w:val="22"/>
        </w:rPr>
        <w:t xml:space="preserve">项目招标文件，决定参加贵单位组织项目编号为</w:t>
      </w:r>
      <w:r>
        <w:rPr>
          <w:rFonts w:ascii="SimSun" w:hAnsi="SimSun" w:eastAsia="SimSun" w:cs="SimSun"/>
          <w:color w:val="000000"/>
          <w:sz w:val="21"/>
          <w:u w:val="single"/>
        </w:rPr>
        <w:t xml:space="preserve">     </w:t>
      </w:r>
      <w:r>
        <w:rPr>
          <w:rFonts w:ascii="SimSun" w:hAnsi="SimSun" w:eastAsia="SimSun" w:cs="SimSun"/>
          <w:color w:val="000000"/>
          <w:sz w:val="22"/>
        </w:rPr>
        <w:t xml:space="preserve">号的投标。</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1.我方自愿按照招标文件规定的各项要求向采购人提供所需服务。</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2.一旦我方中标，我们将严格履行招标文件中规定的每一项要求，按期、按质、按量履行合同的义务。</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3.我们已详细审查全部招标文件，包括更正文件（如有），对招标文件及更正公告（如有）无任何异议。我们完全理解并同意放弃对这方面有不明及误解的权力。</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4.我们同意按招标文件中的规定，本投标书的有效期限为自投标截止之日起</w:t>
      </w:r>
      <w:r>
        <w:rPr>
          <w:rFonts w:ascii="SimSun" w:hAnsi="SimSun" w:eastAsia="SimSun" w:cs="SimSun"/>
          <w:color w:val="000000"/>
          <w:sz w:val="21"/>
          <w:u w:val="single"/>
        </w:rPr>
        <w:t xml:space="preserve"> </w:t>
      </w:r>
      <w:r>
        <w:rPr>
          <w:rFonts w:ascii="SimSun" w:hAnsi="SimSun" w:eastAsia="SimSun" w:cs="SimSun"/>
          <w:color w:val="000000"/>
          <w:sz w:val="22"/>
          <w:u w:val="single"/>
        </w:rPr>
        <w:t xml:space="preserve">90 </w:t>
      </w:r>
      <w:r>
        <w:rPr>
          <w:rFonts w:ascii="SimSun" w:hAnsi="SimSun" w:eastAsia="SimSun" w:cs="SimSun"/>
          <w:color w:val="000000"/>
          <w:sz w:val="22"/>
        </w:rPr>
        <w:t xml:space="preserve">天。</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5.我们愿意提供招标采购单位在招标文件中要求的所有资料。</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6.我们愿意遵守招标公告及招标文件中所列的收费标准。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7.我们承诺该项投标在开标后的全过程中保持有效，不作任何更改和变动。</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8.我方愿意提供贵单位可能另外要求的，与投标有关的文件资料，并保证我方已提供和将要提供的文件资料是真实、准确的。</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9.供应商与其他单位存在控股、管理关系情况表</w:t>
      </w:r>
      <w:r/>
    </w:p>
    <w:tbl>
      <w:tblPr>
        <w:tblStyle w:val="70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891"/>
        <w:gridCol w:w="2108"/>
      </w:tblGrid>
      <w:tr>
        <w:trPr>
          <w:trHeight w:val="63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9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供应商与其他单位存在控股、管理关系的单位名称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控股、管理关系情况说明</w:t>
            </w:r>
            <w:r/>
          </w:p>
        </w:tc>
      </w:tr>
      <w:tr>
        <w:trPr>
          <w:trHeight w:val="5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9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9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bl>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所有有关招标文件的函电，请按下列地址联系：</w:t>
      </w:r>
      <w:r/>
    </w:p>
    <w:p>
      <w:pPr>
        <w:ind w:left="480" w:right="0" w:firstLine="527"/>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响应单位名称（加盖CA电子公章）</w:t>
      </w:r>
      <w:r>
        <w:rPr>
          <w:rFonts w:ascii="SimSun" w:hAnsi="SimSun" w:eastAsia="SimSun" w:cs="SimSun"/>
          <w:color w:val="000000"/>
          <w:sz w:val="21"/>
        </w:rPr>
        <w:t xml:space="preserve">    </w:t>
      </w:r>
      <w:r>
        <w:rPr>
          <w:rFonts w:ascii="SimSun" w:hAnsi="SimSun" w:eastAsia="SimSun" w:cs="SimSun"/>
          <w:color w:val="000000"/>
          <w:sz w:val="22"/>
        </w:rPr>
        <w:t xml:space="preserve">联系人：</w:t>
      </w:r>
      <w:r/>
    </w:p>
    <w:p>
      <w:pPr>
        <w:ind w:left="480" w:right="0" w:firstLine="525"/>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地址：邮政编码：</w:t>
      </w:r>
      <w:r/>
    </w:p>
    <w:p>
      <w:pPr>
        <w:ind w:left="480" w:right="0" w:firstLine="525"/>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联系电话：</w:t>
      </w:r>
      <w:r/>
    </w:p>
    <w:p>
      <w:pPr>
        <w:ind w:left="480" w:right="0" w:firstLine="525"/>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邮箱：</w:t>
      </w:r>
      <w:r/>
    </w:p>
    <w:p>
      <w:pPr>
        <w:ind w:left="480" w:right="0" w:firstLine="525"/>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开户名称：</w:t>
      </w:r>
      <w:r/>
    </w:p>
    <w:p>
      <w:pPr>
        <w:ind w:left="480" w:right="0" w:firstLine="525"/>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开户银行：</w:t>
      </w:r>
      <w:r/>
    </w:p>
    <w:p>
      <w:pPr>
        <w:ind w:left="480" w:right="0" w:firstLine="525"/>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银行账号：</w:t>
      </w:r>
      <w:r/>
    </w:p>
    <w:p>
      <w:pPr>
        <w:ind w:left="480" w:right="0" w:firstLine="525"/>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480" w:right="0" w:firstLine="525"/>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日期：年月日</w:t>
      </w:r>
      <w:r/>
    </w:p>
    <w:p>
      <w:pPr>
        <w:ind w:left="480" w:right="0" w:firstLine="525"/>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210" w:firstLine="0"/>
        <w:spacing w:before="240" w:after="240" w:line="85" w:lineRule="atLeast"/>
        <w:rPr>
          <w:rFonts w:ascii="SimSun" w:hAnsi="SimSun" w:eastAsia="SimSun" w:cs="SimSun"/>
          <w:b/>
          <w:bCs/>
          <w:color w:val="000000"/>
          <w:sz w:val="22"/>
          <w:szCs w:val="2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210" w:firstLine="0"/>
        <w:spacing w:before="240" w:after="240" w:line="85" w:lineRule="atLeast"/>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r/>
    </w:p>
    <w:p>
      <w:pPr>
        <w:ind w:left="0" w:right="210" w:firstLine="0"/>
        <w:spacing w:before="240" w:after="240" w:line="85" w:lineRule="atLeast"/>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r/>
    </w:p>
    <w:p>
      <w:pPr>
        <w:ind w:left="0" w:right="210" w:firstLine="0"/>
        <w:spacing w:before="240" w:after="240" w:line="85" w:lineRule="atLeast"/>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r/>
    </w:p>
    <w:p>
      <w:pPr>
        <w:ind w:left="0" w:right="210" w:firstLine="0"/>
        <w:spacing w:before="240" w:after="240" w:line="85" w:lineRule="atLeast"/>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r/>
    </w:p>
    <w:p>
      <w:pPr>
        <w:ind w:left="0" w:right="210" w:firstLine="0"/>
        <w:spacing w:before="240" w:after="240" w:line="85" w:lineRule="atLeast"/>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r/>
    </w:p>
    <w:p>
      <w:pPr>
        <w:ind w:left="0" w:right="210" w:firstLine="0"/>
        <w:spacing w:before="240" w:after="240" w:line="85" w:lineRule="atLeast"/>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r/>
    </w:p>
    <w:p>
      <w:pPr>
        <w:ind w:left="0" w:right="210" w:firstLine="0"/>
        <w:spacing w:before="240" w:after="240" w:line="85" w:lineRule="atLeast"/>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r/>
    </w:p>
    <w:p>
      <w:pPr>
        <w:ind w:left="0" w:right="210" w:firstLine="0"/>
        <w:spacing w:before="240" w:after="240" w:line="85" w:lineRule="atLeast"/>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r/>
    </w:p>
    <w:p>
      <w:pPr>
        <w:ind w:left="0" w:right="210" w:firstLine="0"/>
        <w:spacing w:before="240" w:after="240" w:line="85" w:lineRule="atLeast"/>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r/>
    </w:p>
    <w:p>
      <w:pPr>
        <w:ind w:left="0" w:right="210" w:firstLine="0"/>
        <w:spacing w:before="240" w:after="240" w:line="85" w:lineRule="atLeast"/>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r/>
    </w:p>
    <w:p>
      <w:pPr>
        <w:ind w:left="0" w:right="210" w:firstLine="0"/>
        <w:spacing w:before="240" w:after="240" w:line="85" w:lineRule="atLeast"/>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r/>
    </w:p>
    <w:p>
      <w:pPr>
        <w:ind w:left="0" w:right="210" w:firstLine="0"/>
        <w:spacing w:before="240" w:after="240" w:line="85" w:lineRule="atLeast"/>
        <w:rPr>
          <w:sz w:val="24"/>
          <w:szCs w:val="24"/>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highlight w:val="none"/>
        </w:rPr>
      </w:r>
      <w:r>
        <w:rPr>
          <w:rFonts w:ascii="SimSun" w:hAnsi="SimSun" w:eastAsia="SimSun" w:cs="SimSun"/>
          <w:b/>
          <w:color w:val="000000"/>
          <w:sz w:val="22"/>
          <w:highlight w:val="none"/>
        </w:rPr>
      </w:r>
      <w:r/>
    </w:p>
    <w:p>
      <w:pPr>
        <w:ind w:left="0" w:right="21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格式3：开标一览表</w:t>
      </w:r>
      <w:r/>
    </w:p>
    <w:p>
      <w:pPr>
        <w:ind w:left="0" w:right="21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527"/>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开标一览表</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bl>
      <w:tblPr>
        <w:tblStyle w:val="70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328"/>
        <w:gridCol w:w="7191"/>
      </w:tblGrid>
      <w:tr>
        <w:trPr>
          <w:trHeight w:val="50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2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191"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4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项目编号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1"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投标总价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人民币大写：</w:t>
            </w:r>
            <w:r>
              <w:rPr>
                <w:rFonts w:ascii="SimSun" w:hAnsi="SimSun" w:eastAsia="SimSun" w:cs="SimSun"/>
                <w:color w:val="000000"/>
                <w:sz w:val="21"/>
              </w:rPr>
              <w:t xml:space="preserve"> </w:t>
            </w:r>
            <w:r>
              <w:rPr>
                <w:rFonts w:ascii="SimSun" w:hAnsi="SimSun" w:eastAsia="SimSun" w:cs="SimSun"/>
                <w:color w:val="000000"/>
                <w:sz w:val="22"/>
              </w:rPr>
              <w:t xml:space="preserve">             元（小写：</w:t>
            </w:r>
            <w:r>
              <w:rPr>
                <w:rFonts w:ascii="SimSun" w:hAnsi="SimSun" w:eastAsia="SimSun" w:cs="SimSun"/>
                <w:color w:val="000000"/>
                <w:sz w:val="21"/>
              </w:rPr>
              <w:t xml:space="preserve"> </w:t>
            </w:r>
            <w:r>
              <w:rPr>
                <w:rFonts w:ascii="SimSun" w:hAnsi="SimSun" w:eastAsia="SimSun" w:cs="SimSun"/>
                <w:color w:val="000000"/>
                <w:sz w:val="22"/>
              </w:rPr>
              <w:t xml:space="preserve">     元）</w:t>
            </w:r>
            <w:r/>
          </w:p>
        </w:tc>
      </w:tr>
      <w:tr>
        <w:trPr>
          <w:trHeight w:val="4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合同履行期限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1"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59"/>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是否小微企业：</w:t>
            </w:r>
            <w:r>
              <w:rPr>
                <w:rFonts w:ascii="SimSun" w:hAnsi="SimSun" w:eastAsia="SimSun" w:cs="SimSun"/>
                <w:color w:val="000000"/>
                <w:sz w:val="21"/>
              </w:rPr>
              <w:t xml:space="preserve"> </w:t>
            </w:r>
            <w:r>
              <w:rPr>
                <w:rFonts w:ascii="SimSun" w:hAnsi="SimSun" w:eastAsia="SimSun" w:cs="SimSun"/>
                <w:color w:val="000000"/>
                <w:sz w:val="22"/>
              </w:rPr>
              <w:t xml:space="preserve">□小型       □微型    □否</w:t>
            </w:r>
            <w:r/>
          </w:p>
        </w:tc>
      </w:tr>
      <w:tr>
        <w:trPr>
          <w:trHeight w:val="459"/>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是否残疾人或监狱企业：□小型       □微型     □否</w:t>
            </w:r>
            <w:r/>
          </w:p>
        </w:tc>
      </w:tr>
    </w:tbl>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响应单位名称（加盖CA电子公章）</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日期：年月日</w:t>
      </w:r>
      <w:r/>
    </w:p>
    <w:p>
      <w:pPr>
        <w:ind w:left="0" w:right="0" w:firstLine="421"/>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240" w:after="240" w:line="85" w:lineRule="atLeast"/>
        <w:rPr>
          <w:rFonts w:ascii="SimSun" w:hAnsi="SimSun" w:eastAsia="SimSun" w:cs="SimSun"/>
          <w:b/>
          <w:bCs/>
          <w:color w:val="000000"/>
          <w:sz w:val="22"/>
          <w:szCs w:val="2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rPr>
          <w:sz w:val="24"/>
        </w:rPr>
      </w:r>
      <w:r/>
    </w:p>
    <w:p>
      <w:pPr>
        <w:ind w:left="0" w:right="0" w:firstLine="0"/>
        <w:spacing w:before="240" w:after="240" w:line="85" w:lineRule="atLeast"/>
        <w:rPr>
          <w:sz w:val="24"/>
          <w:szCs w:val="24"/>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highlight w:val="none"/>
        </w:rPr>
      </w:r>
      <w:r>
        <w:rPr>
          <w:rFonts w:ascii="SimSun" w:hAnsi="SimSun" w:eastAsia="SimSun" w:cs="SimSun"/>
          <w:b/>
          <w:color w:val="000000"/>
          <w:sz w:val="22"/>
          <w:highlight w:val="none"/>
        </w:rPr>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格式4：投标报价明细表</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投标报价明细表</w:t>
      </w:r>
      <w:r/>
    </w:p>
    <w:p>
      <w:pPr>
        <w:ind w:left="0" w:right="0" w:firstLine="52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项目编号：</w:t>
      </w:r>
      <w:r>
        <w:rPr>
          <w:rFonts w:ascii="SimSun" w:hAnsi="SimSun" w:eastAsia="SimSun" w:cs="SimSun"/>
          <w:color w:val="000000"/>
          <w:sz w:val="21"/>
          <w:u w:val="single"/>
        </w:rPr>
        <w:t xml:space="preserve">                       </w:t>
      </w:r>
      <w:r>
        <w:rPr>
          <w:rFonts w:ascii="SimSun" w:hAnsi="SimSun" w:eastAsia="SimSun" w:cs="SimSun"/>
          <w:color w:val="000000"/>
          <w:sz w:val="22"/>
        </w:rPr>
        <w:t xml:space="preserve">号</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bl>
      <w:tblPr>
        <w:tblStyle w:val="70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38"/>
        <w:gridCol w:w="1316"/>
        <w:gridCol w:w="1302"/>
        <w:gridCol w:w="1275"/>
        <w:gridCol w:w="709"/>
        <w:gridCol w:w="851"/>
        <w:gridCol w:w="992"/>
        <w:gridCol w:w="992"/>
        <w:gridCol w:w="992"/>
      </w:tblGrid>
      <w:tr>
        <w:trPr>
          <w:trHeight w:val="39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标的物名称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品牌、型号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生产厂家</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单价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总价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备注</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8"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16"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2"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8"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16"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2"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8"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16"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2"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8"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16"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2"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8"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16"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2"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8"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16"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2"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8"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16"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2"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8"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16"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2"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8"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16"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2"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8"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16"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2"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8"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16"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2"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8"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16"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2"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8"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16"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2"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8"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16"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2"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8"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16"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2"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8"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16"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2"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8"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16"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2"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97"/>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投标总报价：</w:t>
            </w:r>
            <w:r/>
          </w:p>
        </w:tc>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1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人民币大写：</w:t>
            </w:r>
            <w:r>
              <w:rPr>
                <w:rFonts w:ascii="SimSun" w:hAnsi="SimSun" w:eastAsia="SimSun" w:cs="SimSun"/>
                <w:color w:val="000000"/>
                <w:sz w:val="21"/>
              </w:rPr>
              <w:t xml:space="preserve"> </w:t>
            </w:r>
            <w:r>
              <w:rPr>
                <w:rFonts w:ascii="SimSun" w:hAnsi="SimSun" w:eastAsia="SimSun" w:cs="SimSun"/>
                <w:color w:val="000000"/>
                <w:sz w:val="22"/>
              </w:rPr>
              <w:t xml:space="preserve">         ￥：</w:t>
            </w:r>
            <w:r/>
          </w:p>
        </w:tc>
      </w:tr>
      <w:tr>
        <w:trPr>
          <w:trHeight w:val="397"/>
        </w:trPr>
        <w:tc>
          <w:tcPr>
            <w:gridSpan w:val="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67" w:type="dxa"/>
            <w:vAlign w:val="center"/>
            <w:textDirection w:val="lrTb"/>
            <w:noWrap w:val="false"/>
          </w:tcPr>
          <w:p>
            <w:pPr>
              <w:ind w:left="0" w:right="0" w:firstLine="21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交货期限：</w:t>
            </w:r>
            <w:r/>
          </w:p>
        </w:tc>
      </w:tr>
    </w:tbl>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注：1.请投标单位按照上述格式分析投标总报价，本项投标总报价需与开标一览表投标总报价一致。</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2.投标总报价应包括产品供货、辅助材料、备品备件、运输、仓储、发货、送货、安装、调试、人工、机械、装卸、培训、保险、运费、各种税费、劳保、专利技术及质保、</w:t>
      </w:r>
      <w:r>
        <w:rPr>
          <w:rFonts w:ascii="SimSun" w:hAnsi="SimSun" w:eastAsia="SimSun" w:cs="SimSun"/>
          <w:color w:val="000000"/>
          <w:sz w:val="22"/>
        </w:rPr>
        <w:t xml:space="preserve">代理费（中标服务费）</w:t>
      </w:r>
      <w:r>
        <w:rPr>
          <w:rFonts w:ascii="SimSun" w:hAnsi="SimSun" w:eastAsia="SimSun" w:cs="SimSun"/>
          <w:b/>
          <w:color w:val="000000"/>
          <w:sz w:val="22"/>
        </w:rPr>
        <w:t xml:space="preserve">等完成本次项目所需的一切费用。</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响应单位名称（加盖CA电子公章）</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日期：年月日</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240" w:after="240" w:line="85" w:lineRule="atLeast"/>
        <w:rPr>
          <w:rFonts w:ascii="SimSun" w:hAnsi="SimSun" w:eastAsia="SimSun" w:cs="SimSun"/>
          <w:b/>
          <w:bCs/>
          <w:color w:val="000000"/>
          <w:sz w:val="22"/>
          <w:szCs w:val="2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240" w:after="240" w:line="85" w:lineRule="atLeast"/>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r/>
    </w:p>
    <w:p>
      <w:pPr>
        <w:ind w:left="0" w:right="0" w:firstLine="0"/>
        <w:spacing w:before="240" w:after="240" w:line="85" w:lineRule="atLeast"/>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r/>
    </w:p>
    <w:p>
      <w:pPr>
        <w:ind w:left="0" w:right="0" w:firstLine="0"/>
        <w:spacing w:before="240" w:after="240" w:line="85" w:lineRule="atLeast"/>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r/>
    </w:p>
    <w:p>
      <w:pPr>
        <w:ind w:left="0" w:right="0" w:firstLine="0"/>
        <w:spacing w:before="240" w:after="240" w:line="85" w:lineRule="atLeast"/>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r/>
    </w:p>
    <w:p>
      <w:pPr>
        <w:ind w:left="0" w:right="0" w:firstLine="0"/>
        <w:spacing w:before="240" w:after="240" w:line="85" w:lineRule="atLeast"/>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r/>
    </w:p>
    <w:p>
      <w:pPr>
        <w:ind w:left="0" w:right="0" w:firstLine="0"/>
        <w:spacing w:before="240" w:after="240" w:line="85" w:lineRule="atLeast"/>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r/>
    </w:p>
    <w:p>
      <w:pPr>
        <w:ind w:left="0" w:right="0" w:firstLine="0"/>
        <w:spacing w:before="240" w:after="240" w:line="85" w:lineRule="atLeast"/>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r/>
    </w:p>
    <w:p>
      <w:pPr>
        <w:ind w:left="0" w:right="0" w:firstLine="0"/>
        <w:spacing w:before="240" w:after="240" w:line="85" w:lineRule="atLeast"/>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r/>
    </w:p>
    <w:p>
      <w:pPr>
        <w:ind w:left="0" w:right="0" w:firstLine="0"/>
        <w:spacing w:before="240" w:after="240" w:line="85" w:lineRule="atLeast"/>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r/>
    </w:p>
    <w:p>
      <w:pPr>
        <w:ind w:left="0" w:right="0" w:firstLine="0"/>
        <w:spacing w:before="240" w:after="240" w:line="85" w:lineRule="atLeast"/>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r/>
    </w:p>
    <w:p>
      <w:pPr>
        <w:ind w:left="0" w:right="0" w:firstLine="0"/>
        <w:spacing w:before="240" w:after="240" w:line="85" w:lineRule="atLeast"/>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r/>
    </w:p>
    <w:p>
      <w:pPr>
        <w:ind w:left="0" w:right="0" w:firstLine="0"/>
        <w:spacing w:before="240" w:after="240" w:line="85" w:lineRule="atLeast"/>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r/>
    </w:p>
    <w:p>
      <w:pPr>
        <w:ind w:left="0" w:right="0" w:firstLine="0"/>
        <w:spacing w:before="240" w:after="240" w:line="85" w:lineRule="atLeast"/>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r/>
    </w:p>
    <w:p>
      <w:pPr>
        <w:ind w:left="0" w:right="0" w:firstLine="0"/>
        <w:spacing w:before="240" w:after="240" w:line="85" w:lineRule="atLeast"/>
        <w:rPr>
          <w:sz w:val="24"/>
          <w:szCs w:val="24"/>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highlight w:val="none"/>
        </w:rPr>
      </w:r>
      <w:r>
        <w:rPr>
          <w:rFonts w:ascii="SimSun" w:hAnsi="SimSun" w:eastAsia="SimSun" w:cs="SimSun"/>
          <w:b/>
          <w:color w:val="000000"/>
          <w:sz w:val="22"/>
          <w:highlight w:val="none"/>
        </w:rP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格式</w:t>
      </w:r>
      <w:r>
        <w:rPr>
          <w:rFonts w:ascii="SimHei" w:hAnsi="SimHei" w:eastAsia="SimHei" w:cs="SimHei"/>
          <w:b/>
          <w:color w:val="000000"/>
          <w:sz w:val="22"/>
        </w:rPr>
        <w:t xml:space="preserve">5</w:t>
      </w:r>
      <w:r>
        <w:rPr>
          <w:rFonts w:ascii="SimSun" w:hAnsi="SimSun" w:eastAsia="SimSun" w:cs="SimSun"/>
          <w:b/>
          <w:color w:val="000000"/>
          <w:sz w:val="22"/>
        </w:rPr>
        <w:t xml:space="preserve">：随车器材清单</w:t>
      </w:r>
      <w:r/>
    </w:p>
    <w:p>
      <w:pPr>
        <w:ind w:left="0" w:right="0" w:firstLine="4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随车器材清单</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项目编号：</w:t>
      </w:r>
      <w:r/>
    </w:p>
    <w:tbl>
      <w:tblPr>
        <w:tblStyle w:val="70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31"/>
        <w:gridCol w:w="1301"/>
        <w:gridCol w:w="1147"/>
        <w:gridCol w:w="1137"/>
        <w:gridCol w:w="794"/>
        <w:gridCol w:w="739"/>
        <w:gridCol w:w="1254"/>
        <w:gridCol w:w="1121"/>
        <w:gridCol w:w="1231"/>
      </w:tblGrid>
      <w:tr>
        <w:trPr>
          <w:trHeight w:val="39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器材名称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品牌、型号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生产厂家</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单价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总价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备注</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7"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4"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7"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4"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7"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4"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7"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4"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7"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4"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7"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4"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7"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4"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7"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4"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7"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4"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7"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4"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7"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4"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7"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4"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7"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4"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7"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4"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7"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4"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7"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4"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7"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4"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97"/>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2"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合计金额：</w:t>
            </w:r>
            <w:r/>
          </w:p>
        </w:tc>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2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人民币大写：</w:t>
            </w:r>
            <w:r>
              <w:rPr>
                <w:rFonts w:ascii="SimSun" w:hAnsi="SimSun" w:eastAsia="SimSun" w:cs="SimSun"/>
                <w:color w:val="000000"/>
                <w:sz w:val="21"/>
              </w:rPr>
              <w:t xml:space="preserve"> </w:t>
            </w:r>
            <w:r>
              <w:rPr>
                <w:rFonts w:ascii="SimSun" w:hAnsi="SimSun" w:eastAsia="SimSun" w:cs="SimSun"/>
                <w:color w:val="000000"/>
                <w:sz w:val="22"/>
              </w:rPr>
              <w:t xml:space="preserve">           ￥：</w:t>
            </w:r>
            <w:r/>
          </w:p>
        </w:tc>
      </w:tr>
    </w:tbl>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响应单位名称（加盖CA电子公章）</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日期：年月日</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sz w:val="24"/>
        </w:rPr>
      </w:r>
      <w:r>
        <w:rPr>
          <w:sz w:val="24"/>
        </w:rP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格式6：技术响应对照表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技术响应对照表</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项目编号：</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bl>
      <w:tblPr>
        <w:tblStyle w:val="70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82"/>
        <w:gridCol w:w="1673"/>
        <w:gridCol w:w="1509"/>
        <w:gridCol w:w="1344"/>
        <w:gridCol w:w="1581"/>
        <w:gridCol w:w="1633"/>
      </w:tblGrid>
      <w:tr>
        <w:trPr/>
        <w:tc>
          <w:tcPr>
            <w:tcBorders>
              <w:top w:val="single" w:color="000000" w:sz="12" w:space="0"/>
              <w:left w:val="single" w:color="000000" w:sz="12"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序号</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16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货物名称</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15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招标要求</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13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投标要求</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15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偏离/响应</w:t>
            </w:r>
            <w:r/>
          </w:p>
        </w:tc>
        <w:tc>
          <w:tcPr>
            <w:tcBorders>
              <w:top w:val="single" w:color="000000" w:sz="12" w:space="0"/>
              <w:left w:val="single" w:color="000000" w:sz="8" w:space="0"/>
              <w:bottom w:val="single" w:color="000000" w:sz="8" w:space="0"/>
              <w:right w:val="single" w:color="000000" w:sz="12" w:space="0"/>
            </w:tcBorders>
            <w:tcMar>
              <w:left w:w="108" w:type="dxa"/>
              <w:top w:w="0" w:type="dxa"/>
              <w:right w:w="108" w:type="dxa"/>
              <w:bottom w:w="0" w:type="dxa"/>
            </w:tcMar>
            <w:tcW w:w="16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说明</w:t>
            </w: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73"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9"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4"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81"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633"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73"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9"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4"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81"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633"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73"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9"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4"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81"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633"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73"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9"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4"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81"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633"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73"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9"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4"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81"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633"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73"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9"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4"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81"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633"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73"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9"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4"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81"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633"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73"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9"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4"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81"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633"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73"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9"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4"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81"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633"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single" w:color="000000" w:sz="8" w:space="0"/>
              <w:left w:val="single" w:color="000000" w:sz="12" w:space="0"/>
              <w:bottom w:val="single" w:color="000000" w:sz="12"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1673"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1509"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1344"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1581"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12" w:space="0"/>
              <w:right w:val="single" w:color="000000" w:sz="12" w:space="0"/>
            </w:tcBorders>
            <w:tcMar>
              <w:left w:w="108" w:type="dxa"/>
              <w:top w:w="0" w:type="dxa"/>
              <w:right w:w="108" w:type="dxa"/>
              <w:bottom w:w="0" w:type="dxa"/>
            </w:tcMar>
            <w:tcW w:w="1633"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注：1.投标人应对照招标文件技术要求等要求，所投标的物与招标文件的规定有偏离的，应在此表中申明与技术要求条文的偏差和例外。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2.未在上表中说明的，如在投标文件其他内容中已有文字说明的，则以已有文字说明为准，否则，将被认为完全响应招标文件的规定。但该表不作为投标人对所投标的物关于技术要求等详细描述和说明的替代。</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响应单位名称（加盖CA电子公章）</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日期：年月日</w:t>
      </w:r>
      <w:r>
        <w:rPr>
          <w:sz w:val="24"/>
        </w:rPr>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格式7：商务条款偏离表</w:t>
      </w:r>
      <w:r/>
    </w:p>
    <w:p>
      <w:pPr>
        <w:ind w:left="0" w:right="0" w:firstLine="0"/>
        <w:jc w:val="center"/>
        <w:spacing w:before="0" w:after="12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商务条款偏离表</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项目编号：</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bl>
      <w:tblPr>
        <w:tblStyle w:val="70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46"/>
        <w:gridCol w:w="1690"/>
        <w:gridCol w:w="2155"/>
        <w:gridCol w:w="2013"/>
        <w:gridCol w:w="1673"/>
      </w:tblGrid>
      <w:tr>
        <w:trPr>
          <w:trHeight w:val="69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招标文件要求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偏离说明</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交货期限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1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付款方式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1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其他商务要求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1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1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1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1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1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响应单位名称（加盖CA电子公章）</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日期：年月日</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rPr>
          <w:sz w:val="24"/>
        </w:rPr>
      </w:r>
      <w:r/>
    </w:p>
    <w:p>
      <w:pPr>
        <w:ind w:left="0" w:right="0" w:firstLine="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格式</w:t>
      </w:r>
      <w:r>
        <w:rPr>
          <w:rFonts w:ascii="SimHei" w:hAnsi="SimHei" w:eastAsia="SimHei" w:cs="SimHei"/>
          <w:b/>
          <w:color w:val="000000"/>
          <w:sz w:val="22"/>
        </w:rPr>
        <w:t xml:space="preserve">8</w:t>
      </w:r>
      <w:r>
        <w:rPr>
          <w:rFonts w:ascii="SimSun" w:hAnsi="SimSun" w:eastAsia="SimSun" w:cs="SimSun"/>
          <w:b/>
          <w:color w:val="000000"/>
          <w:sz w:val="22"/>
        </w:rPr>
        <w:t xml:space="preserve">：质保期满后三年内备品备件、易损件报价表（不含在投标报价中）</w:t>
      </w:r>
      <w:r/>
    </w:p>
    <w:p>
      <w:pPr>
        <w:ind w:left="0" w:right="0" w:firstLine="480"/>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12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质保期满后三年内备品备件、易损件报价表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项目编号：</w:t>
      </w:r>
      <w:r/>
    </w:p>
    <w:tbl>
      <w:tblPr>
        <w:tblStyle w:val="70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92"/>
        <w:gridCol w:w="2268"/>
        <w:gridCol w:w="2410"/>
        <w:gridCol w:w="1843"/>
        <w:gridCol w:w="1275"/>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设备（配件）名称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1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型号规格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单价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备注</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10"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10"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10"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10"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10"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10"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bl>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注：此报价作为最高限价，实际价格在中标后以双方协商为准。</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响应单位名称（加盖CA电子公章）</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日期：年月日</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sz w:val="24"/>
        </w:rPr>
      </w:r>
      <w:r>
        <w:rPr>
          <w:sz w:val="24"/>
        </w:rP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格式9：售后服务承诺书</w:t>
      </w:r>
      <w:r/>
    </w:p>
    <w:p>
      <w:pPr>
        <w:ind w:left="0" w:right="0" w:firstLine="0"/>
        <w:jc w:val="center"/>
        <w:spacing w:before="0" w:after="12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售后服务承诺书</w:t>
      </w:r>
      <w:r/>
    </w:p>
    <w:p>
      <w:pPr>
        <w:ind w:left="0" w:right="0" w:firstLine="0"/>
        <w:jc w:val="both"/>
        <w:spacing w:before="0" w:after="12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项目编号：</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bl>
      <w:tblPr>
        <w:tblStyle w:val="70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39"/>
        <w:gridCol w:w="2654"/>
        <w:gridCol w:w="2452"/>
        <w:gridCol w:w="2019"/>
      </w:tblGrid>
      <w:tr>
        <w:trPr>
          <w:trHeight w:val="85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39"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54"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售后服务内容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52"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期限（时间）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19"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备注</w:t>
            </w:r>
            <w:r/>
          </w:p>
        </w:tc>
      </w:tr>
      <w:tr>
        <w:trPr>
          <w:trHeight w:val="8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9" w:type="dxa"/>
            <w:vAlign w:val="center"/>
            <w:textDirection w:val="lrTb"/>
            <w:noWrap/>
          </w:tcPr>
          <w:p>
            <w:pPr>
              <w:ind w:left="0" w:right="0" w:firstLine="0"/>
              <w:jc w:val="center"/>
              <w:spacing w:before="25" w:after="2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54" w:type="dxa"/>
            <w:vAlign w:val="center"/>
            <w:textDirection w:val="lrTb"/>
            <w:noWrap/>
          </w:tcPr>
          <w:p>
            <w:pPr>
              <w:ind w:left="0" w:right="0" w:firstLine="0"/>
              <w:jc w:val="center"/>
              <w:spacing w:before="25" w:after="2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质保期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52" w:type="dxa"/>
            <w:vAlign w:val="center"/>
            <w:textDirection w:val="lrTb"/>
            <w:noWrap/>
          </w:tcPr>
          <w:p>
            <w:pPr>
              <w:ind w:left="0" w:right="0" w:firstLine="0"/>
              <w:jc w:val="center"/>
              <w:spacing w:before="25" w:after="2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19" w:type="dxa"/>
            <w:vAlign w:val="center"/>
            <w:textDirection w:val="lrTb"/>
            <w:noWrap/>
          </w:tcPr>
          <w:p>
            <w:pPr>
              <w:ind w:left="0" w:right="0" w:firstLine="0"/>
              <w:jc w:val="center"/>
              <w:spacing w:before="25" w:after="2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8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9" w:type="dxa"/>
            <w:vAlign w:val="center"/>
            <w:textDirection w:val="lrTb"/>
            <w:noWrap/>
          </w:tcPr>
          <w:p>
            <w:pPr>
              <w:ind w:left="0" w:right="0" w:firstLine="0"/>
              <w:jc w:val="center"/>
              <w:spacing w:before="25" w:after="2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54" w:type="dxa"/>
            <w:vAlign w:val="center"/>
            <w:textDirection w:val="lrTb"/>
            <w:noWrap/>
          </w:tcPr>
          <w:p>
            <w:pPr>
              <w:ind w:left="0" w:right="0" w:firstLine="0"/>
              <w:jc w:val="center"/>
              <w:spacing w:before="25" w:after="2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服务响应</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52" w:type="dxa"/>
            <w:vAlign w:val="center"/>
            <w:textDirection w:val="lrTb"/>
            <w:noWrap/>
          </w:tcPr>
          <w:p>
            <w:pPr>
              <w:ind w:left="0" w:right="0" w:firstLine="0"/>
              <w:jc w:val="center"/>
              <w:spacing w:before="25" w:after="2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19" w:type="dxa"/>
            <w:vAlign w:val="center"/>
            <w:textDirection w:val="lrTb"/>
            <w:noWrap/>
          </w:tcPr>
          <w:p>
            <w:pPr>
              <w:ind w:left="0" w:right="0" w:firstLine="0"/>
              <w:jc w:val="center"/>
              <w:spacing w:before="25" w:after="2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8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9" w:type="dxa"/>
            <w:vAlign w:val="center"/>
            <w:textDirection w:val="lrTb"/>
            <w:noWrap/>
          </w:tcPr>
          <w:p>
            <w:pPr>
              <w:ind w:left="0" w:right="0" w:firstLine="0"/>
              <w:jc w:val="center"/>
              <w:spacing w:before="25" w:after="2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54" w:type="dxa"/>
            <w:vAlign w:val="center"/>
            <w:textDirection w:val="lrTb"/>
            <w:noWrap/>
          </w:tcPr>
          <w:p>
            <w:pPr>
              <w:ind w:left="0" w:right="0" w:firstLine="0"/>
              <w:jc w:val="center"/>
              <w:spacing w:before="25" w:after="2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到达现场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52" w:type="dxa"/>
            <w:vAlign w:val="center"/>
            <w:textDirection w:val="lrTb"/>
            <w:noWrap/>
          </w:tcPr>
          <w:p>
            <w:pPr>
              <w:ind w:left="0" w:right="0" w:firstLine="0"/>
              <w:jc w:val="center"/>
              <w:spacing w:before="25" w:after="2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19" w:type="dxa"/>
            <w:vAlign w:val="center"/>
            <w:textDirection w:val="lrTb"/>
            <w:noWrap/>
          </w:tcPr>
          <w:p>
            <w:pPr>
              <w:ind w:left="0" w:right="0" w:firstLine="0"/>
              <w:jc w:val="center"/>
              <w:spacing w:before="25" w:after="2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8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9" w:type="dxa"/>
            <w:vAlign w:val="center"/>
            <w:textDirection w:val="lrTb"/>
            <w:noWrap/>
          </w:tcPr>
          <w:p>
            <w:pPr>
              <w:ind w:left="0" w:right="0" w:firstLine="0"/>
              <w:jc w:val="center"/>
              <w:spacing w:before="25" w:after="2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54" w:type="dxa"/>
            <w:vAlign w:val="center"/>
            <w:textDirection w:val="lrTb"/>
            <w:noWrap/>
          </w:tcPr>
          <w:p>
            <w:pPr>
              <w:ind w:left="0" w:right="0" w:firstLine="0"/>
              <w:jc w:val="center"/>
              <w:spacing w:before="25" w:after="2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解决问题</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52" w:type="dxa"/>
            <w:vAlign w:val="center"/>
            <w:textDirection w:val="lrTb"/>
            <w:noWrap/>
          </w:tcPr>
          <w:p>
            <w:pPr>
              <w:ind w:left="0" w:right="0" w:firstLine="0"/>
              <w:jc w:val="center"/>
              <w:spacing w:before="25" w:after="2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19" w:type="dxa"/>
            <w:vAlign w:val="center"/>
            <w:textDirection w:val="lrTb"/>
            <w:noWrap/>
          </w:tcPr>
          <w:p>
            <w:pPr>
              <w:ind w:left="0" w:right="0" w:firstLine="0"/>
              <w:jc w:val="center"/>
              <w:spacing w:before="25" w:after="2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8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9" w:type="dxa"/>
            <w:vAlign w:val="center"/>
            <w:textDirection w:val="lrTb"/>
            <w:noWrap/>
          </w:tcPr>
          <w:p>
            <w:pPr>
              <w:ind w:left="0" w:right="0" w:firstLine="0"/>
              <w:jc w:val="center"/>
              <w:spacing w:before="25" w:after="2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54" w:type="dxa"/>
            <w:vAlign w:val="center"/>
            <w:textDirection w:val="lrTb"/>
            <w:noWrap/>
          </w:tcPr>
          <w:p>
            <w:pPr>
              <w:ind w:left="0" w:right="0" w:firstLine="0"/>
              <w:jc w:val="center"/>
              <w:spacing w:before="25" w:after="2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52" w:type="dxa"/>
            <w:vAlign w:val="center"/>
            <w:textDirection w:val="lrTb"/>
            <w:noWrap/>
          </w:tcPr>
          <w:p>
            <w:pPr>
              <w:ind w:left="0" w:right="0" w:firstLine="0"/>
              <w:jc w:val="center"/>
              <w:spacing w:before="25" w:after="2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19" w:type="dxa"/>
            <w:vAlign w:val="center"/>
            <w:textDirection w:val="lrTb"/>
            <w:noWrap/>
          </w:tcPr>
          <w:p>
            <w:pPr>
              <w:ind w:left="0" w:right="0" w:firstLine="0"/>
              <w:jc w:val="center"/>
              <w:spacing w:before="25" w:after="2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rPr>
          <w:sz w:val="24"/>
        </w:rP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格式10：参加政府采购活动前三年内，在经营活动中没有重大违法记录声明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致：：</w:t>
      </w:r>
      <w:r/>
    </w:p>
    <w:p>
      <w:pPr>
        <w:ind w:left="0" w:right="0" w:firstLine="56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我单位</w:t>
      </w:r>
      <w:r>
        <w:rPr>
          <w:rFonts w:ascii="SimSun" w:hAnsi="SimSun" w:eastAsia="SimSun" w:cs="SimSun"/>
          <w:color w:val="000000"/>
          <w:sz w:val="21"/>
          <w:u w:val="single"/>
        </w:rPr>
        <w:t xml:space="preserve">         </w:t>
      </w:r>
      <w:r>
        <w:rPr>
          <w:rFonts w:ascii="SimSun" w:hAnsi="SimSun" w:eastAsia="SimSun" w:cs="SimSun"/>
          <w:color w:val="000000"/>
          <w:sz w:val="22"/>
          <w:u w:val="single"/>
        </w:rPr>
        <w:t xml:space="preserve">（投标人名称）</w:t>
      </w:r>
      <w:r>
        <w:rPr>
          <w:rFonts w:ascii="SimSun" w:hAnsi="SimSun" w:eastAsia="SimSun" w:cs="SimSun"/>
          <w:color w:val="000000"/>
          <w:sz w:val="21"/>
        </w:rPr>
        <w:t xml:space="preserve"> </w:t>
      </w:r>
      <w:r>
        <w:rPr>
          <w:rFonts w:ascii="SimSun" w:hAnsi="SimSun" w:eastAsia="SimSun" w:cs="SimSun"/>
          <w:color w:val="000000"/>
          <w:sz w:val="22"/>
        </w:rPr>
        <w:t xml:space="preserve">在参加政府采购活动前三年内，没有重大违法记录，特此声明。</w:t>
      </w:r>
      <w:r/>
    </w:p>
    <w:p>
      <w:pPr>
        <w:ind w:left="0" w:right="0" w:firstLine="56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若采购代理机构在本项目采购过程中发现我单位近三年内在经营活动中有重大违法记录，我单位将无条件退出本项目的投标，并承担因此引起的一切后果。</w:t>
      </w:r>
      <w:r/>
    </w:p>
    <w:p>
      <w:pPr>
        <w:ind w:left="0" w:right="0" w:firstLine="609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399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单位名称：（加盖CA电子公章）                                    </w:t>
      </w:r>
      <w:r/>
    </w:p>
    <w:p>
      <w:pPr>
        <w:ind w:left="0" w:right="0" w:firstLine="42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　　　　年　　月　　日</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sz w:val="24"/>
        </w:rPr>
      </w:r>
      <w:r>
        <w:rPr>
          <w:sz w:val="24"/>
        </w:rPr>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格式11：关于资格文件的声明函</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rPr>
          <w:rFonts w:ascii="SimSun" w:hAnsi="SimSun" w:eastAsia="SimSun" w:cs="SimSun"/>
          <w:b/>
          <w:color w:val="000000"/>
          <w:sz w:val="22"/>
        </w:rPr>
        <w:t xml:space="preserve">关于资格文件的声明函</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2"/>
          <w:u w:val="single"/>
        </w:rPr>
        <w:t xml:space="preserve">苏州捷信招投标咨询有限公司</w:t>
      </w:r>
      <w:r>
        <w:rPr>
          <w:rFonts w:ascii="SimSun" w:hAnsi="SimSun" w:eastAsia="SimSun" w:cs="SimSun"/>
          <w:color w:val="000000"/>
          <w:sz w:val="22"/>
        </w:rPr>
        <w:t xml:space="preserve">：</w:t>
      </w:r>
      <w:r/>
    </w:p>
    <w:p>
      <w:pPr>
        <w:ind w:left="0" w:right="0" w:firstLine="66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本公司愿就由贵公司组织实施的编号为</w:t>
      </w:r>
      <w:r>
        <w:rPr>
          <w:rFonts w:ascii="SimSun" w:hAnsi="SimSun" w:eastAsia="SimSun" w:cs="SimSun"/>
          <w:color w:val="000000"/>
          <w:sz w:val="21"/>
          <w:u w:val="single"/>
        </w:rPr>
        <w:t xml:space="preserve">           </w:t>
      </w:r>
      <w:r>
        <w:rPr>
          <w:rFonts w:ascii="SimSun" w:hAnsi="SimSun" w:eastAsia="SimSun" w:cs="SimSun"/>
          <w:color w:val="000000"/>
          <w:sz w:val="22"/>
        </w:rPr>
        <w:t xml:space="preserve">号的招标活动进行投标。本公司所提交的投标文件中所有关于投标资格的文件、证明和陈述均是真实的、准确的。若与真实情况不符，本公司愿意承担由此而产生的一切后果。</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响应单位名称（加盖CA电子公章）</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日期：年月日</w:t>
      </w:r>
      <w:r/>
    </w:p>
    <w:p>
      <w:pPr>
        <w:ind w:left="0" w:right="0" w:firstLine="0"/>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格式12：投标单位情况表</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投标单位情况表</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单位名称（盖章）</w:t>
      </w:r>
      <w:r/>
    </w:p>
    <w:tbl>
      <w:tblPr>
        <w:tblStyle w:val="70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537"/>
        <w:gridCol w:w="1617"/>
        <w:gridCol w:w="1344"/>
        <w:gridCol w:w="1892"/>
        <w:gridCol w:w="113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37" w:type="dxa"/>
            <w:vAlign w:val="top"/>
            <w:textDirection w:val="lrTb"/>
            <w:noWrap w:val="false"/>
          </w:tcPr>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法定代表人（负责人）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17" w:type="dxa"/>
            <w:vAlign w:val="top"/>
            <w:textDirection w:val="lrTb"/>
            <w:noWrap w:val="false"/>
          </w:tcPr>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4" w:type="dxa"/>
            <w:vAlign w:val="top"/>
            <w:textDirection w:val="lrTb"/>
            <w:noWrap w:val="false"/>
          </w:tcPr>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成立日期</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30" w:type="dxa"/>
            <w:vAlign w:val="top"/>
            <w:textDirection w:val="lrTb"/>
            <w:noWrap w:val="false"/>
          </w:tcPr>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37" w:type="dxa"/>
            <w:vAlign w:val="top"/>
            <w:textDirection w:val="lrTb"/>
            <w:noWrap w:val="false"/>
          </w:tcPr>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企业地址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7" w:type="dxa"/>
            <w:vAlign w:val="top"/>
            <w:textDirection w:val="lrTb"/>
            <w:noWrap w:val="false"/>
          </w:tcPr>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4" w:type="dxa"/>
            <w:vAlign w:val="top"/>
            <w:textDirection w:val="lrTb"/>
            <w:noWrap w:val="false"/>
          </w:tcPr>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注册资本</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30" w:type="dxa"/>
            <w:vAlign w:val="top"/>
            <w:textDirection w:val="lrTb"/>
            <w:noWrap w:val="false"/>
          </w:tcPr>
          <w:p>
            <w:pPr>
              <w:ind w:left="0" w:right="0" w:firstLine="216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37" w:type="dxa"/>
            <w:vAlign w:val="top"/>
            <w:textDirection w:val="lrTb"/>
            <w:noWrap w:val="false"/>
          </w:tcPr>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经营范围</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1" w:type="dxa"/>
            <w:vAlign w:val="top"/>
            <w:textDirection w:val="lrTb"/>
            <w:noWrap w:val="false"/>
          </w:tcPr>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37" w:type="dxa"/>
            <w:vAlign w:val="top"/>
            <w:textDirection w:val="lrTb"/>
            <w:noWrap w:val="false"/>
          </w:tcPr>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职工人数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7" w:type="dxa"/>
            <w:vAlign w:val="top"/>
            <w:textDirection w:val="lrTb"/>
            <w:noWrap w:val="false"/>
          </w:tcPr>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36" w:type="dxa"/>
            <w:vAlign w:val="top"/>
            <w:textDirection w:val="lrTb"/>
            <w:noWrap w:val="false"/>
          </w:tcPr>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其中：有中高级以上职称的人数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8" w:type="dxa"/>
            <w:vAlign w:val="top"/>
            <w:textDirection w:val="lrTb"/>
            <w:noWrap w:val="false"/>
          </w:tcPr>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37" w:type="dxa"/>
            <w:vAlign w:val="center"/>
            <w:textDirection w:val="lrTb"/>
            <w:noWrap w:val="false"/>
          </w:tcPr>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资产总计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7"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4" w:type="dxa"/>
            <w:vAlign w:val="center"/>
            <w:textDirection w:val="lrTb"/>
            <w:noWrap w:val="false"/>
          </w:tcPr>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净资产</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30"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37" w:type="dxa"/>
            <w:vAlign w:val="center"/>
            <w:textDirection w:val="lrTb"/>
            <w:noWrap w:val="false"/>
          </w:tcPr>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股东权益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7"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4" w:type="dxa"/>
            <w:vAlign w:val="center"/>
            <w:textDirection w:val="lrTb"/>
            <w:noWrap w:val="false"/>
          </w:tcPr>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销售收入</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30" w:type="dxa"/>
            <w:vAlign w:val="center"/>
            <w:textDirection w:val="lrTb"/>
            <w:noWrap w:val="false"/>
          </w:tcPr>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2025年          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37" w:type="dxa"/>
            <w:vAlign w:val="top"/>
            <w:textDirection w:val="lrTb"/>
            <w:noWrap w:val="false"/>
          </w:tcPr>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实现利润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7" w:type="dxa"/>
            <w:vAlign w:val="top"/>
            <w:textDirection w:val="lrTb"/>
            <w:noWrap w:val="false"/>
          </w:tcPr>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2025年    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4" w:type="dxa"/>
            <w:vAlign w:val="top"/>
            <w:textDirection w:val="lrTb"/>
            <w:noWrap w:val="false"/>
          </w:tcPr>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30" w:type="dxa"/>
            <w:vAlign w:val="top"/>
            <w:textDirection w:val="lrTb"/>
            <w:noWrap w:val="false"/>
          </w:tcPr>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37" w:type="dxa"/>
            <w:vAlign w:val="top"/>
            <w:textDirection w:val="lrTb"/>
            <w:noWrap w:val="false"/>
          </w:tcPr>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营业面积（含厂房面积）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7" w:type="dxa"/>
            <w:vAlign w:val="center"/>
            <w:textDirection w:val="lrTb"/>
            <w:noWrap w:val="false"/>
          </w:tcPr>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平方米</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4" w:type="dxa"/>
            <w:vAlign w:val="top"/>
            <w:textDirection w:val="lrTb"/>
            <w:noWrap w:val="false"/>
          </w:tcPr>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其中：</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30" w:type="dxa"/>
            <w:vAlign w:val="top"/>
            <w:textDirection w:val="lrTb"/>
            <w:noWrap w:val="false"/>
          </w:tcPr>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自有面积</w:t>
            </w:r>
            <w:r>
              <w:rPr>
                <w:rFonts w:ascii="SimSun" w:hAnsi="SimSun" w:eastAsia="SimSun" w:cs="SimSun"/>
                <w:color w:val="000000"/>
                <w:sz w:val="21"/>
              </w:rPr>
              <w:t xml:space="preserve"> </w:t>
            </w:r>
            <w:r>
              <w:rPr>
                <w:rFonts w:ascii="SimSun" w:hAnsi="SimSun" w:eastAsia="SimSun" w:cs="SimSun"/>
                <w:color w:val="000000"/>
                <w:sz w:val="22"/>
              </w:rPr>
              <w:t xml:space="preserve">        平方米</w:t>
            </w:r>
            <w:r/>
          </w:p>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承租面积</w:t>
            </w:r>
            <w:r>
              <w:rPr>
                <w:rFonts w:ascii="SimSun" w:hAnsi="SimSun" w:eastAsia="SimSun" w:cs="SimSun"/>
                <w:color w:val="000000"/>
                <w:sz w:val="21"/>
              </w:rPr>
              <w:t xml:space="preserve"> </w:t>
            </w:r>
            <w:r>
              <w:rPr>
                <w:rFonts w:ascii="SimSun" w:hAnsi="SimSun" w:eastAsia="SimSun" w:cs="SimSun"/>
                <w:color w:val="000000"/>
                <w:sz w:val="22"/>
              </w:rPr>
              <w:t xml:space="preserve">        平方米</w:t>
            </w:r>
            <w:r/>
          </w:p>
        </w:tc>
      </w:tr>
      <w:tr>
        <w:trPr>
          <w:trHeight w:val="92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37" w:type="dxa"/>
            <w:vAlign w:val="center"/>
            <w:textDirection w:val="lrTb"/>
            <w:noWrap w:val="false"/>
          </w:tcPr>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单位简历及内设机构情况</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1" w:type="dxa"/>
            <w:vAlign w:val="top"/>
            <w:textDirection w:val="lrTb"/>
            <w:noWrap w:val="false"/>
          </w:tcPr>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8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37"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单位优势及特长</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1" w:type="dxa"/>
            <w:vAlign w:val="top"/>
            <w:textDirection w:val="lrTb"/>
            <w:noWrap w:val="false"/>
          </w:tcPr>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37" w:type="dxa"/>
            <w:vAlign w:val="top"/>
            <w:textDirection w:val="lrTb"/>
            <w:noWrap w:val="false"/>
          </w:tcPr>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近两年来完成或正在履行的重大合同情况</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1" w:type="dxa"/>
            <w:vAlign w:val="top"/>
            <w:textDirection w:val="lrTb"/>
            <w:noWrap w:val="false"/>
          </w:tcPr>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37" w:type="dxa"/>
            <w:vAlign w:val="top"/>
            <w:textDirection w:val="lrTb"/>
            <w:noWrap w:val="false"/>
          </w:tcPr>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最近2年内在经营过程中受到何种奖励或处分</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1" w:type="dxa"/>
            <w:vAlign w:val="top"/>
            <w:textDirection w:val="lrTb"/>
            <w:noWrap w:val="false"/>
          </w:tcPr>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（包括财政、工商、税务、物价、技监部门稽查情况和结果）</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37" w:type="dxa"/>
            <w:vAlign w:val="top"/>
            <w:textDirection w:val="lrTb"/>
            <w:noWrap w:val="false"/>
          </w:tcPr>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最近3年内有无因售假、售劣或是其他原因被消费者投诉或起诉的情况及说明</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1" w:type="dxa"/>
            <w:vAlign w:val="top"/>
            <w:textDirection w:val="lrTb"/>
            <w:noWrap w:val="false"/>
          </w:tcPr>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（包括解决方式和结果）</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37" w:type="dxa"/>
            <w:vAlign w:val="top"/>
            <w:textDirection w:val="lrTb"/>
            <w:noWrap w:val="false"/>
          </w:tcPr>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最近3年内主要负责人有无因经济犯罪被司法机关追究的情况及说明</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1" w:type="dxa"/>
            <w:vAlign w:val="top"/>
            <w:textDirection w:val="lrTb"/>
            <w:noWrap w:val="false"/>
          </w:tcPr>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37" w:type="dxa"/>
            <w:vAlign w:val="top"/>
            <w:textDirection w:val="lrTb"/>
            <w:noWrap w:val="false"/>
          </w:tcPr>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获得技术认证的工程师及简介</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1" w:type="dxa"/>
            <w:vAlign w:val="top"/>
            <w:textDirection w:val="lrTb"/>
            <w:noWrap w:val="false"/>
          </w:tcPr>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37" w:type="dxa"/>
            <w:vAlign w:val="top"/>
            <w:textDirection w:val="lrTb"/>
            <w:noWrap w:val="false"/>
          </w:tcPr>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其他需要说明的情况</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1" w:type="dxa"/>
            <w:vAlign w:val="top"/>
            <w:textDirection w:val="lrTb"/>
            <w:noWrap w:val="false"/>
          </w:tcPr>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后附营业执照、税务登记证、组织机构代码证副本扫描件。</w:t>
      </w:r>
      <w:r/>
    </w:p>
    <w:p>
      <w:pPr>
        <w:ind w:left="0" w:right="0" w:firstLine="0"/>
        <w:jc w:val="both"/>
        <w:spacing w:before="0" w:after="0" w:line="400" w:lineRule="atLeast"/>
        <w:rPr>
          <w:rFonts w:ascii="SimSun" w:hAnsi="SimSun" w:eastAsia="SimSun" w:cs="SimSun"/>
          <w:b/>
          <w:bCs/>
          <w:color w:val="000000"/>
          <w:sz w:val="22"/>
          <w:szCs w:val="2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400" w:lineRule="atLeast"/>
        <w:rPr>
          <w:rFonts w:ascii="SimHei" w:hAnsi="SimHei" w:eastAsia="SimHei" w:cs="SimHei"/>
          <w:sz w:val="22"/>
          <w:szCs w:val="22"/>
        </w:rPr>
        <w:pBdr>
          <w:top w:val="none" w:color="000000" w:sz="4" w:space="0"/>
          <w:left w:val="none" w:color="000000" w:sz="4" w:space="0"/>
          <w:bottom w:val="none" w:color="000000" w:sz="4" w:space="0"/>
          <w:right w:val="none" w:color="000000" w:sz="4" w:space="0"/>
        </w:pBdr>
      </w:pPr>
      <w:r>
        <w:rPr>
          <w:rFonts w:ascii="SimHei" w:hAnsi="SimHei" w:eastAsia="SimHei" w:cs="SimHei"/>
          <w:sz w:val="22"/>
          <w:szCs w:val="22"/>
        </w:rPr>
      </w:r>
      <w:r>
        <w:rPr>
          <w:rFonts w:ascii="SimHei" w:hAnsi="SimHei" w:eastAsia="SimHei" w:cs="SimHei"/>
          <w:sz w:val="22"/>
          <w:szCs w:val="22"/>
        </w:rPr>
      </w:r>
      <w:r/>
    </w:p>
    <w:p>
      <w:pPr>
        <w:ind w:left="0" w:right="0" w:firstLine="0"/>
        <w:jc w:val="both"/>
        <w:spacing w:before="0" w:after="0" w:line="400" w:lineRule="atLeast"/>
        <w:rPr>
          <w:rFonts w:ascii="SimHei" w:hAnsi="SimHei" w:eastAsia="SimHei" w:cs="SimHei"/>
          <w:sz w:val="22"/>
          <w:szCs w:val="22"/>
        </w:rPr>
        <w:pBdr>
          <w:top w:val="none" w:color="000000" w:sz="4" w:space="0"/>
          <w:left w:val="none" w:color="000000" w:sz="4" w:space="0"/>
          <w:bottom w:val="none" w:color="000000" w:sz="4" w:space="0"/>
          <w:right w:val="none" w:color="000000" w:sz="4" w:space="0"/>
        </w:pBdr>
      </w:pPr>
      <w:r>
        <w:rPr>
          <w:rFonts w:ascii="SimHei" w:hAnsi="SimHei" w:eastAsia="SimHei" w:cs="SimHei"/>
          <w:sz w:val="22"/>
          <w:szCs w:val="22"/>
        </w:rPr>
      </w:r>
      <w:r>
        <w:rPr>
          <w:rFonts w:ascii="SimHei" w:hAnsi="SimHei" w:eastAsia="SimHei" w:cs="SimHei"/>
          <w:sz w:val="22"/>
          <w:szCs w:val="22"/>
        </w:rPr>
      </w:r>
      <w:r/>
    </w:p>
    <w:p>
      <w:pPr>
        <w:ind w:left="0" w:right="0" w:firstLine="0"/>
        <w:jc w:val="both"/>
        <w:spacing w:before="0" w:after="0" w:line="400" w:lineRule="atLeast"/>
        <w:rPr>
          <w:rFonts w:ascii="SimHei" w:hAnsi="SimHei" w:eastAsia="SimHei" w:cs="SimHei"/>
          <w:sz w:val="22"/>
          <w:szCs w:val="22"/>
        </w:rPr>
        <w:pBdr>
          <w:top w:val="none" w:color="000000" w:sz="4" w:space="0"/>
          <w:left w:val="none" w:color="000000" w:sz="4" w:space="0"/>
          <w:bottom w:val="none" w:color="000000" w:sz="4" w:space="0"/>
          <w:right w:val="none" w:color="000000" w:sz="4" w:space="0"/>
        </w:pBdr>
      </w:pPr>
      <w:r>
        <w:rPr>
          <w:rFonts w:ascii="SimHei" w:hAnsi="SimHei" w:eastAsia="SimHei" w:cs="SimHei"/>
          <w:sz w:val="22"/>
          <w:szCs w:val="22"/>
        </w:rPr>
      </w:r>
      <w:r>
        <w:rPr>
          <w:rFonts w:ascii="SimHei" w:hAnsi="SimHei" w:eastAsia="SimHei" w:cs="SimHei"/>
          <w:sz w:val="22"/>
          <w:szCs w:val="22"/>
        </w:rPr>
      </w:r>
      <w:r/>
    </w:p>
    <w:p>
      <w:pPr>
        <w:ind w:left="0" w:right="0" w:firstLine="0"/>
        <w:jc w:val="both"/>
        <w:spacing w:before="0" w:after="0" w:line="400" w:lineRule="atLeast"/>
        <w:rPr>
          <w:rFonts w:ascii="SimHei" w:hAnsi="SimHei" w:eastAsia="SimHei" w:cs="SimHei"/>
          <w:sz w:val="22"/>
          <w:szCs w:val="22"/>
        </w:rPr>
        <w:pBdr>
          <w:top w:val="none" w:color="000000" w:sz="4" w:space="0"/>
          <w:left w:val="none" w:color="000000" w:sz="4" w:space="0"/>
          <w:bottom w:val="none" w:color="000000" w:sz="4" w:space="0"/>
          <w:right w:val="none" w:color="000000" w:sz="4" w:space="0"/>
        </w:pBdr>
      </w:pPr>
      <w:r>
        <w:rPr>
          <w:rFonts w:ascii="SimHei" w:hAnsi="SimHei" w:eastAsia="SimHei" w:cs="SimHei"/>
          <w:sz w:val="22"/>
          <w:szCs w:val="22"/>
        </w:rPr>
      </w:r>
      <w:r>
        <w:rPr>
          <w:rFonts w:ascii="SimHei" w:hAnsi="SimHei" w:eastAsia="SimHei" w:cs="SimHei"/>
          <w:sz w:val="22"/>
          <w:szCs w:val="22"/>
        </w:rPr>
      </w:r>
      <w:r/>
    </w:p>
    <w:p>
      <w:pPr>
        <w:ind w:left="0" w:right="0" w:firstLine="0"/>
        <w:jc w:val="both"/>
        <w:spacing w:before="0" w:after="0" w:line="400" w:lineRule="atLeast"/>
        <w:rPr>
          <w:rFonts w:ascii="SimHei" w:hAnsi="SimHei" w:eastAsia="SimHei" w:cs="SimHei"/>
          <w:sz w:val="22"/>
          <w:szCs w:val="22"/>
        </w:rPr>
        <w:pBdr>
          <w:top w:val="none" w:color="000000" w:sz="4" w:space="0"/>
          <w:left w:val="none" w:color="000000" w:sz="4" w:space="0"/>
          <w:bottom w:val="none" w:color="000000" w:sz="4" w:space="0"/>
          <w:right w:val="none" w:color="000000" w:sz="4" w:space="0"/>
        </w:pBdr>
      </w:pPr>
      <w:r>
        <w:rPr>
          <w:rFonts w:ascii="SimHei" w:hAnsi="SimHei" w:eastAsia="SimHei" w:cs="SimHei"/>
          <w:sz w:val="22"/>
          <w:szCs w:val="22"/>
        </w:rPr>
      </w:r>
      <w:r>
        <w:rPr>
          <w:rFonts w:ascii="SimHei" w:hAnsi="SimHei" w:eastAsia="SimHei" w:cs="SimHei"/>
          <w:sz w:val="22"/>
          <w:szCs w:val="22"/>
        </w:rPr>
      </w:r>
      <w:r/>
    </w:p>
    <w:p>
      <w:pPr>
        <w:ind w:left="0" w:right="0" w:firstLine="0"/>
        <w:jc w:val="both"/>
        <w:spacing w:before="0" w:after="0" w:line="400" w:lineRule="atLeast"/>
        <w:rPr>
          <w:rFonts w:ascii="SimHei" w:hAnsi="SimHei" w:eastAsia="SimHei" w:cs="SimHei"/>
          <w:sz w:val="22"/>
          <w:szCs w:val="22"/>
        </w:rPr>
        <w:pBdr>
          <w:top w:val="none" w:color="000000" w:sz="4" w:space="0"/>
          <w:left w:val="none" w:color="000000" w:sz="4" w:space="0"/>
          <w:bottom w:val="none" w:color="000000" w:sz="4" w:space="0"/>
          <w:right w:val="none" w:color="000000" w:sz="4" w:space="0"/>
        </w:pBdr>
      </w:pPr>
      <w:r>
        <w:rPr>
          <w:rFonts w:ascii="SimHei" w:hAnsi="SimHei" w:eastAsia="SimHei" w:cs="SimHei"/>
          <w:sz w:val="22"/>
          <w:szCs w:val="22"/>
        </w:rPr>
      </w:r>
      <w:r>
        <w:rPr>
          <w:rFonts w:ascii="SimHei" w:hAnsi="SimHei" w:eastAsia="SimHei" w:cs="SimHei"/>
          <w:sz w:val="22"/>
          <w:szCs w:val="22"/>
        </w:rPr>
      </w:r>
      <w:r/>
    </w:p>
    <w:p>
      <w:pPr>
        <w:ind w:left="0" w:right="0" w:firstLine="0"/>
        <w:jc w:val="both"/>
        <w:spacing w:before="0" w:after="0" w:line="400" w:lineRule="atLeast"/>
        <w:rPr>
          <w:rFonts w:ascii="SimHei" w:hAnsi="SimHei" w:eastAsia="SimHei" w:cs="SimHei"/>
          <w:sz w:val="22"/>
          <w:szCs w:val="22"/>
        </w:rPr>
        <w:pBdr>
          <w:top w:val="none" w:color="000000" w:sz="4" w:space="0"/>
          <w:left w:val="none" w:color="000000" w:sz="4" w:space="0"/>
          <w:bottom w:val="none" w:color="000000" w:sz="4" w:space="0"/>
          <w:right w:val="none" w:color="000000" w:sz="4" w:space="0"/>
        </w:pBdr>
      </w:pPr>
      <w:r>
        <w:rPr>
          <w:rFonts w:ascii="SimHei" w:hAnsi="SimHei" w:eastAsia="SimHei" w:cs="SimHei"/>
          <w:sz w:val="22"/>
          <w:szCs w:val="22"/>
        </w:rPr>
      </w:r>
      <w:r>
        <w:rPr>
          <w:rFonts w:ascii="SimHei" w:hAnsi="SimHei" w:eastAsia="SimHei" w:cs="SimHei"/>
          <w:sz w:val="22"/>
          <w:szCs w:val="22"/>
        </w:rPr>
      </w:r>
      <w:r/>
    </w:p>
    <w:p>
      <w:pPr>
        <w:ind w:left="0" w:right="0" w:firstLine="0"/>
        <w:jc w:val="both"/>
        <w:spacing w:before="0" w:after="0" w:line="400" w:lineRule="atLeast"/>
        <w:rPr>
          <w:rFonts w:ascii="SimHei" w:hAnsi="SimHei" w:eastAsia="SimHei" w:cs="SimHei"/>
          <w:sz w:val="22"/>
          <w:szCs w:val="22"/>
        </w:rPr>
        <w:pBdr>
          <w:top w:val="none" w:color="000000" w:sz="4" w:space="0"/>
          <w:left w:val="none" w:color="000000" w:sz="4" w:space="0"/>
          <w:bottom w:val="none" w:color="000000" w:sz="4" w:space="0"/>
          <w:right w:val="none" w:color="000000" w:sz="4" w:space="0"/>
        </w:pBdr>
      </w:pPr>
      <w:r>
        <w:rPr>
          <w:rFonts w:ascii="SimHei" w:hAnsi="SimHei" w:eastAsia="SimHei" w:cs="SimHei"/>
          <w:sz w:val="22"/>
          <w:szCs w:val="22"/>
        </w:rPr>
      </w:r>
      <w:r>
        <w:rPr>
          <w:rFonts w:ascii="SimHei" w:hAnsi="SimHei" w:eastAsia="SimHei" w:cs="SimHei"/>
          <w:sz w:val="22"/>
          <w:szCs w:val="22"/>
        </w:rPr>
      </w:r>
      <w:r/>
    </w:p>
    <w:p>
      <w:pPr>
        <w:ind w:left="0" w:right="0" w:firstLine="0"/>
        <w:jc w:val="both"/>
        <w:spacing w:before="0" w:after="0" w:line="400" w:lineRule="atLeast"/>
        <w:rPr>
          <w:rFonts w:ascii="SimHei" w:hAnsi="SimHei" w:eastAsia="SimHei" w:cs="SimHei"/>
          <w:sz w:val="22"/>
          <w:szCs w:val="22"/>
        </w:rPr>
        <w:pBdr>
          <w:top w:val="none" w:color="000000" w:sz="4" w:space="0"/>
          <w:left w:val="none" w:color="000000" w:sz="4" w:space="0"/>
          <w:bottom w:val="none" w:color="000000" w:sz="4" w:space="0"/>
          <w:right w:val="none" w:color="000000" w:sz="4" w:space="0"/>
        </w:pBdr>
      </w:pPr>
      <w:r>
        <w:rPr>
          <w:rFonts w:ascii="SimHei" w:hAnsi="SimHei" w:eastAsia="SimHei" w:cs="SimHei"/>
          <w:sz w:val="22"/>
          <w:szCs w:val="22"/>
        </w:rPr>
      </w:r>
      <w:r>
        <w:rPr>
          <w:rFonts w:ascii="SimHei" w:hAnsi="SimHei" w:eastAsia="SimHei" w:cs="SimHei"/>
          <w:sz w:val="22"/>
          <w:szCs w:val="22"/>
        </w:rPr>
      </w:r>
      <w:r/>
    </w:p>
    <w:p>
      <w:pPr>
        <w:ind w:left="0" w:right="0" w:firstLine="0"/>
        <w:jc w:val="both"/>
        <w:spacing w:before="0" w:after="0" w:line="400" w:lineRule="atLeast"/>
        <w:rPr>
          <w:rFonts w:ascii="SimHei" w:hAnsi="SimHei" w:eastAsia="SimHei" w:cs="SimHei"/>
          <w:sz w:val="22"/>
          <w:szCs w:val="22"/>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highlight w:val="none"/>
        </w:rPr>
      </w:r>
      <w:r>
        <w:rPr>
          <w:rFonts w:ascii="SimSun" w:hAnsi="SimSun" w:eastAsia="SimSun" w:cs="SimSun"/>
          <w:b/>
          <w:color w:val="000000"/>
          <w:sz w:val="22"/>
          <w:highlight w:val="none"/>
        </w:rPr>
      </w:r>
      <w:r/>
    </w:p>
    <w:p>
      <w:pPr>
        <w:ind w:left="0" w:right="357"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格式13：针对本项目组人员配备一览表</w:t>
      </w:r>
      <w:r>
        <w:rPr>
          <w:rFonts w:ascii="SimSun" w:hAnsi="SimSun" w:eastAsia="SimSun" w:cs="SimSun"/>
          <w:b/>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针对本项目组人员配备一览表</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bl>
      <w:tblPr>
        <w:tblStyle w:val="70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396"/>
        <w:gridCol w:w="1627"/>
        <w:gridCol w:w="1627"/>
        <w:gridCol w:w="813"/>
        <w:gridCol w:w="1220"/>
        <w:gridCol w:w="1894"/>
      </w:tblGrid>
      <w:tr>
        <w:trPr>
          <w:trHeight w:val="973"/>
        </w:trPr>
        <w:tc>
          <w:tcPr>
            <w:tcBorders>
              <w:top w:val="single" w:color="000000" w:sz="8" w:space="0"/>
              <w:left w:val="single" w:color="000000" w:sz="8" w:space="0"/>
              <w:bottom w:val="none" w:color="000000" w:sz="4" w:space="0"/>
              <w:right w:val="none" w:color="000000" w:sz="4" w:space="0"/>
            </w:tcBorders>
            <w:tcMar>
              <w:left w:w="108" w:type="dxa"/>
              <w:top w:w="0" w:type="dxa"/>
              <w:right w:w="108" w:type="dxa"/>
              <w:bottom w:w="0" w:type="dxa"/>
            </w:tcMar>
            <w:tcW w:w="139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序号</w:t>
            </w:r>
            <w:r/>
          </w:p>
        </w:tc>
        <w:tc>
          <w:tcPr>
            <w:tcBorders>
              <w:top w:val="single" w:color="000000" w:sz="8" w:space="0"/>
              <w:left w:val="none" w:color="000000" w:sz="4" w:space="0"/>
              <w:bottom w:val="none" w:color="000000" w:sz="4" w:space="0"/>
              <w:right w:val="none" w:color="000000" w:sz="4" w:space="0"/>
            </w:tcBorders>
            <w:tcMar>
              <w:left w:w="108" w:type="dxa"/>
              <w:top w:w="0" w:type="dxa"/>
              <w:right w:w="108" w:type="dxa"/>
              <w:bottom w:w="0" w:type="dxa"/>
            </w:tcMar>
            <w:tcW w:w="162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所任职务</w:t>
            </w:r>
            <w:r/>
          </w:p>
        </w:tc>
        <w:tc>
          <w:tcPr>
            <w:tcBorders>
              <w:top w:val="single" w:color="000000" w:sz="8" w:space="0"/>
              <w:left w:val="none" w:color="000000" w:sz="4" w:space="0"/>
              <w:bottom w:val="none" w:color="000000" w:sz="4" w:space="0"/>
              <w:right w:val="none" w:color="000000" w:sz="4" w:space="0"/>
            </w:tcBorders>
            <w:tcMar>
              <w:left w:w="108" w:type="dxa"/>
              <w:top w:w="0" w:type="dxa"/>
              <w:right w:w="108" w:type="dxa"/>
              <w:bottom w:w="0" w:type="dxa"/>
            </w:tcMar>
            <w:tcW w:w="162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姓名</w:t>
            </w:r>
            <w:r/>
          </w:p>
        </w:tc>
        <w:tc>
          <w:tcPr>
            <w:tcBorders>
              <w:top w:val="single" w:color="000000" w:sz="8" w:space="0"/>
              <w:left w:val="none" w:color="000000" w:sz="4" w:space="0"/>
              <w:bottom w:val="none" w:color="000000" w:sz="4" w:space="0"/>
              <w:right w:val="none" w:color="000000" w:sz="4" w:space="0"/>
            </w:tcBorders>
            <w:tcMar>
              <w:left w:w="108" w:type="dxa"/>
              <w:top w:w="0" w:type="dxa"/>
              <w:right w:w="108" w:type="dxa"/>
              <w:bottom w:w="0" w:type="dxa"/>
            </w:tcMar>
            <w:tcW w:w="81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性别</w:t>
            </w:r>
            <w:r/>
          </w:p>
        </w:tc>
        <w:tc>
          <w:tcPr>
            <w:tcBorders>
              <w:top w:val="single" w:color="000000" w:sz="8" w:space="0"/>
              <w:left w:val="none" w:color="000000" w:sz="4" w:space="0"/>
              <w:bottom w:val="none" w:color="000000" w:sz="4" w:space="0"/>
              <w:right w:val="none" w:color="000000" w:sz="4" w:space="0"/>
            </w:tcBorders>
            <w:tcMar>
              <w:left w:w="108" w:type="dxa"/>
              <w:top w:w="0" w:type="dxa"/>
              <w:right w:w="108" w:type="dxa"/>
              <w:bottom w:w="0" w:type="dxa"/>
            </w:tcMar>
            <w:tcW w:w="122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年龄</w:t>
            </w:r>
            <w:r/>
          </w:p>
        </w:tc>
        <w:tc>
          <w:tcPr>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89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从事本工作时间</w:t>
            </w:r>
            <w:r/>
          </w:p>
        </w:tc>
      </w:tr>
      <w:tr>
        <w:trPr>
          <w:trHeight w:val="649"/>
        </w:trPr>
        <w:tc>
          <w:tcPr>
            <w:tcBorders>
              <w:top w:val="none" w:color="000000" w:sz="4" w:space="0"/>
              <w:left w:val="single" w:color="000000" w:sz="8" w:space="0"/>
              <w:bottom w:val="none" w:color="000000" w:sz="4" w:space="0"/>
              <w:right w:val="none" w:color="000000" w:sz="4" w:space="0"/>
            </w:tcBorders>
            <w:tcMar>
              <w:left w:w="108" w:type="dxa"/>
              <w:top w:w="0" w:type="dxa"/>
              <w:right w:w="108" w:type="dxa"/>
              <w:bottom w:w="0" w:type="dxa"/>
            </w:tcMar>
            <w:tcW w:w="139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62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62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81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22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189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649"/>
        </w:trPr>
        <w:tc>
          <w:tcPr>
            <w:tcBorders>
              <w:top w:val="none" w:color="000000" w:sz="4" w:space="0"/>
              <w:left w:val="single" w:color="000000" w:sz="8" w:space="0"/>
              <w:bottom w:val="none" w:color="000000" w:sz="4" w:space="0"/>
              <w:right w:val="none" w:color="000000" w:sz="4" w:space="0"/>
            </w:tcBorders>
            <w:tcMar>
              <w:left w:w="108" w:type="dxa"/>
              <w:top w:w="0" w:type="dxa"/>
              <w:right w:w="108" w:type="dxa"/>
              <w:bottom w:w="0" w:type="dxa"/>
            </w:tcMar>
            <w:tcW w:w="139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62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62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81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22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189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649"/>
        </w:trPr>
        <w:tc>
          <w:tcPr>
            <w:tcBorders>
              <w:top w:val="none" w:color="000000" w:sz="4" w:space="0"/>
              <w:left w:val="single" w:color="000000" w:sz="8" w:space="0"/>
              <w:bottom w:val="none" w:color="000000" w:sz="4" w:space="0"/>
              <w:right w:val="none" w:color="000000" w:sz="4" w:space="0"/>
            </w:tcBorders>
            <w:tcMar>
              <w:left w:w="108" w:type="dxa"/>
              <w:top w:w="0" w:type="dxa"/>
              <w:right w:w="108" w:type="dxa"/>
              <w:bottom w:w="0" w:type="dxa"/>
            </w:tcMar>
            <w:tcW w:w="139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62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62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81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22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189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649"/>
        </w:trPr>
        <w:tc>
          <w:tcPr>
            <w:tcBorders>
              <w:top w:val="none" w:color="000000" w:sz="4" w:space="0"/>
              <w:left w:val="single" w:color="000000" w:sz="8" w:space="0"/>
              <w:bottom w:val="none" w:color="000000" w:sz="4" w:space="0"/>
              <w:right w:val="none" w:color="000000" w:sz="4" w:space="0"/>
            </w:tcBorders>
            <w:tcMar>
              <w:left w:w="108" w:type="dxa"/>
              <w:top w:w="0" w:type="dxa"/>
              <w:right w:w="108" w:type="dxa"/>
              <w:bottom w:w="0" w:type="dxa"/>
            </w:tcMar>
            <w:tcW w:w="139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62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62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81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22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189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649"/>
        </w:trPr>
        <w:tc>
          <w:tcPr>
            <w:tcBorders>
              <w:top w:val="none" w:color="000000" w:sz="4" w:space="0"/>
              <w:left w:val="single" w:color="000000" w:sz="8" w:space="0"/>
              <w:bottom w:val="none" w:color="000000" w:sz="4" w:space="0"/>
              <w:right w:val="none" w:color="000000" w:sz="4" w:space="0"/>
            </w:tcBorders>
            <w:tcMar>
              <w:left w:w="108" w:type="dxa"/>
              <w:top w:w="0" w:type="dxa"/>
              <w:right w:w="108" w:type="dxa"/>
              <w:bottom w:w="0" w:type="dxa"/>
            </w:tcMar>
            <w:tcW w:w="139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62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62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81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22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189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649"/>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139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162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162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81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122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注：可参照以上格式自制表格填写后投标。</w:t>
      </w:r>
      <w:r>
        <w:rPr>
          <w:rFonts w:ascii="SimHei" w:hAnsi="SimHei" w:eastAsia="SimHei" w:cs="SimHei"/>
          <w:sz w:val="22"/>
        </w:rPr>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响应单位名称（加盖CA电子公章）</w:t>
      </w:r>
      <w:r/>
    </w:p>
    <w:p>
      <w:pPr>
        <w:ind w:left="0" w:right="0" w:firstLine="0"/>
        <w:spacing w:before="240" w:after="240" w:line="85" w:lineRule="atLeast"/>
        <w:rPr>
          <w:rFonts w:ascii="SimSun" w:hAnsi="SimSun" w:eastAsia="SimSun" w:cs="SimSun"/>
          <w:color w:val="000000"/>
          <w:sz w:val="22"/>
          <w:szCs w:val="22"/>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日期：年</w:t>
      </w:r>
      <w:r>
        <w:rPr>
          <w:rFonts w:ascii="SimSun" w:hAnsi="SimSun" w:eastAsia="SimSun" w:cs="SimSun"/>
          <w:color w:val="000000"/>
          <w:sz w:val="22"/>
          <w:szCs w:val="22"/>
        </w:rPr>
        <w:t xml:space="preserve">   月 </w:t>
      </w:r>
      <w:r>
        <w:rPr>
          <w:rFonts w:ascii="SimSun" w:hAnsi="SimSun" w:eastAsia="SimSun" w:cs="SimSun"/>
          <w:color w:val="000000"/>
          <w:sz w:val="22"/>
          <w:szCs w:val="22"/>
        </w:rPr>
        <w:t xml:space="preserve">日</w:t>
      </w:r>
      <w:r>
        <w:rPr>
          <w:rFonts w:ascii="SimSun" w:hAnsi="SimSun" w:eastAsia="SimSun" w:cs="SimSun"/>
          <w:color w:val="000000"/>
          <w:sz w:val="22"/>
          <w:szCs w:val="22"/>
        </w:rPr>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格式14：中小企业声明函（如有）</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center"/>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中小企业声明函（服务）</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苏州捷信招投标咨询有限公司</w:t>
      </w:r>
      <w:r>
        <w:rPr>
          <w:rFonts w:ascii="SimSun" w:hAnsi="SimSun" w:eastAsia="SimSun" w:cs="SimSun"/>
          <w:color w:val="000000"/>
          <w:sz w:val="22"/>
        </w:rPr>
        <w:t xml:space="preserve">：</w:t>
      </w:r>
      <w:r/>
    </w:p>
    <w:p>
      <w:pPr>
        <w:ind w:left="0" w:right="0" w:firstLine="1575"/>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2"/>
        </w:rPr>
        <w:t xml:space="preserve">本公司</w:t>
      </w:r>
      <w:r>
        <w:rPr>
          <w:rFonts w:ascii="SimSun" w:hAnsi="SimSun" w:eastAsia="SimSun" w:cs="SimSun"/>
          <w:color w:val="000000"/>
          <w:sz w:val="22"/>
          <w:u w:val="single"/>
        </w:rPr>
        <w:t xml:space="preserve">（联合体）</w:t>
      </w:r>
      <w:r>
        <w:rPr>
          <w:rFonts w:ascii="SimSun" w:hAnsi="SimSun" w:eastAsia="SimSun" w:cs="SimSun"/>
          <w:color w:val="000000"/>
          <w:sz w:val="22"/>
        </w:rPr>
        <w:t xml:space="preserve">郑重声明，根据《政府采购促进中小企业发展管理办法》（财库﹝2020﹞46 号）的规定，本公司 </w:t>
      </w:r>
      <w:r>
        <w:rPr>
          <w:rFonts w:ascii="SimSun" w:hAnsi="SimSun" w:eastAsia="SimSun" w:cs="SimSun"/>
          <w:color w:val="000000"/>
          <w:sz w:val="22"/>
          <w:u w:val="single"/>
        </w:rPr>
        <w:t xml:space="preserve">（联合体）</w:t>
      </w:r>
      <w:r>
        <w:rPr>
          <w:rFonts w:ascii="SimSun" w:hAnsi="SimSun" w:eastAsia="SimSun" w:cs="SimSun"/>
          <w:color w:val="000000"/>
          <w:sz w:val="22"/>
        </w:rPr>
        <w:t xml:space="preserve">参加</w:t>
      </w:r>
      <w:r>
        <w:rPr>
          <w:rFonts w:ascii="SimSun" w:hAnsi="SimSun" w:eastAsia="SimSun" w:cs="SimSun"/>
          <w:color w:val="000000"/>
          <w:sz w:val="22"/>
          <w:u w:val="single"/>
        </w:rPr>
        <w:t xml:space="preserve">（单位名称）</w:t>
      </w:r>
      <w:r>
        <w:rPr>
          <w:rFonts w:ascii="SimSun" w:hAnsi="SimSun" w:eastAsia="SimSun" w:cs="SimSun"/>
          <w:color w:val="000000"/>
          <w:sz w:val="22"/>
        </w:rPr>
        <w:t xml:space="preserve">的</w:t>
      </w:r>
      <w:r>
        <w:rPr>
          <w:rFonts w:ascii="SimSun" w:hAnsi="SimSun" w:eastAsia="SimSun" w:cs="SimSun"/>
          <w:color w:val="000000"/>
          <w:sz w:val="22"/>
          <w:u w:val="single"/>
        </w:rPr>
        <w:t xml:space="preserve">（项目名称）</w:t>
      </w:r>
      <w:r>
        <w:rPr>
          <w:rFonts w:ascii="SimSun" w:hAnsi="SimSun" w:eastAsia="SimSun" w:cs="SimSun"/>
          <w:color w:val="000000"/>
          <w:sz w:val="22"/>
        </w:rPr>
        <w:t xml:space="preserve">采购活动，工程的施工单位全部为符合政策要求的中小企业（或者：服务</w:t>
      </w:r>
      <w:r>
        <w:rPr>
          <w:rFonts w:ascii="SimSun" w:hAnsi="SimSun" w:eastAsia="SimSun" w:cs="SimSun"/>
          <w:color w:val="000000"/>
          <w:sz w:val="21"/>
        </w:rPr>
        <w:t xml:space="preserve"> </w:t>
      </w:r>
      <w:r>
        <w:rPr>
          <w:rFonts w:ascii="SimSun" w:hAnsi="SimSun" w:eastAsia="SimSun" w:cs="SimSun"/>
          <w:color w:val="000000"/>
          <w:sz w:val="22"/>
        </w:rPr>
        <w:t xml:space="preserve">全部由符合政策要求的中小企业承接）。相关企业（含联合</w:t>
      </w:r>
      <w:r>
        <w:rPr>
          <w:rFonts w:ascii="SimSun" w:hAnsi="SimSun" w:eastAsia="SimSun" w:cs="SimSun"/>
          <w:color w:val="000000"/>
          <w:sz w:val="21"/>
        </w:rPr>
        <w:t xml:space="preserve"> </w:t>
      </w:r>
      <w:r>
        <w:rPr>
          <w:rFonts w:ascii="SimSun" w:hAnsi="SimSun" w:eastAsia="SimSun" w:cs="SimSun"/>
          <w:color w:val="000000"/>
          <w:sz w:val="22"/>
        </w:rPr>
        <w:t xml:space="preserve">体中的中小企业、签订分包意向协议的中小企业）的具体情</w:t>
      </w:r>
      <w:r>
        <w:rPr>
          <w:rFonts w:ascii="SimSun" w:hAnsi="SimSun" w:eastAsia="SimSun" w:cs="SimSun"/>
          <w:color w:val="000000"/>
          <w:sz w:val="21"/>
        </w:rPr>
        <w:t xml:space="preserve"> </w:t>
      </w:r>
      <w:r>
        <w:rPr>
          <w:rFonts w:ascii="SimSun" w:hAnsi="SimSun" w:eastAsia="SimSun" w:cs="SimSun"/>
          <w:color w:val="000000"/>
          <w:sz w:val="22"/>
        </w:rPr>
        <w:t xml:space="preserve">况如下：</w:t>
      </w:r>
      <w:r>
        <w:rPr>
          <w:rFonts w:ascii="SimSun" w:hAnsi="SimSun" w:eastAsia="SimSun" w:cs="SimSun"/>
          <w:color w:val="000000"/>
          <w:sz w:val="21"/>
        </w:rPr>
        <w:t xml:space="preserve"> </w:t>
      </w:r>
      <w:r/>
    </w:p>
    <w:p>
      <w:pPr>
        <w:numPr>
          <w:ilvl w:val="0"/>
          <w:numId w:val="8"/>
        </w:numP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（标的名称） </w:t>
      </w:r>
      <w:r>
        <w:rPr>
          <w:rFonts w:ascii="SimSun" w:hAnsi="SimSun" w:eastAsia="SimSun" w:cs="SimSun"/>
          <w:color w:val="000000"/>
          <w:sz w:val="22"/>
        </w:rPr>
        <w:t xml:space="preserve">，属于</w:t>
      </w:r>
      <w:r>
        <w:rPr>
          <w:rFonts w:ascii="SimSun" w:hAnsi="SimSun" w:eastAsia="SimSun" w:cs="SimSun"/>
          <w:b/>
          <w:color w:val="000000"/>
          <w:sz w:val="22"/>
          <w:u w:val="single"/>
        </w:rPr>
        <w:t xml:space="preserve">工业</w:t>
      </w:r>
      <w:r>
        <w:rPr>
          <w:rFonts w:ascii="SimSun" w:hAnsi="SimSun" w:eastAsia="SimSun" w:cs="SimSun"/>
          <w:color w:val="000000"/>
          <w:sz w:val="22"/>
        </w:rPr>
        <w:t xml:space="preserve">；</w:t>
      </w:r>
      <w:r>
        <w:rPr>
          <w:rFonts w:ascii="SimSun" w:hAnsi="SimSun" w:eastAsia="SimSun" w:cs="SimSun"/>
          <w:color w:val="000000"/>
          <w:sz w:val="21"/>
        </w:rPr>
        <w:t xml:space="preserve"> </w:t>
      </w:r>
      <w:r>
        <w:rPr>
          <w:rFonts w:ascii="SimSun" w:hAnsi="SimSun" w:eastAsia="SimSun" w:cs="SimSun"/>
          <w:color w:val="000000"/>
          <w:sz w:val="22"/>
        </w:rPr>
        <w:t xml:space="preserve">承建（承接）企业为</w:t>
      </w:r>
      <w:r>
        <w:rPr>
          <w:rFonts w:ascii="SimSun" w:hAnsi="SimSun" w:eastAsia="SimSun" w:cs="SimSun"/>
          <w:color w:val="000000"/>
          <w:sz w:val="22"/>
          <w:u w:val="single"/>
        </w:rPr>
        <w:t xml:space="preserve">（企业名称）</w:t>
      </w:r>
      <w:r>
        <w:rPr>
          <w:rFonts w:ascii="SimSun" w:hAnsi="SimSun" w:eastAsia="SimSun" w:cs="SimSun"/>
          <w:color w:val="000000"/>
          <w:sz w:val="22"/>
        </w:rPr>
        <w:t xml:space="preserve">，从业人员</w:t>
      </w:r>
      <w:r>
        <w:rPr>
          <w:rFonts w:ascii="SimSun" w:hAnsi="SimSun" w:eastAsia="SimSun" w:cs="SimSun"/>
          <w:color w:val="000000"/>
          <w:sz w:val="22"/>
          <w:u w:val="single"/>
        </w:rPr>
        <w:t xml:space="preserve">  </w:t>
      </w:r>
      <w:r>
        <w:rPr>
          <w:rFonts w:ascii="SimSun" w:hAnsi="SimSun" w:eastAsia="SimSun" w:cs="SimSun"/>
          <w:color w:val="000000"/>
          <w:sz w:val="22"/>
        </w:rPr>
        <w:t xml:space="preserve">人，营业收入为</w:t>
      </w:r>
      <w:r>
        <w:rPr>
          <w:rFonts w:ascii="SimSun" w:hAnsi="SimSun" w:eastAsia="SimSun" w:cs="SimSun"/>
          <w:color w:val="000000"/>
          <w:sz w:val="22"/>
          <w:u w:val="single"/>
        </w:rPr>
        <w:t xml:space="preserve">   </w:t>
      </w:r>
      <w:r>
        <w:rPr>
          <w:rFonts w:ascii="SimSun" w:hAnsi="SimSun" w:eastAsia="SimSun" w:cs="SimSun"/>
          <w:color w:val="000000"/>
          <w:sz w:val="22"/>
        </w:rPr>
        <w:t xml:space="preserve">万元，资产总额为</w:t>
      </w:r>
      <w:r>
        <w:rPr>
          <w:rFonts w:ascii="SimSun" w:hAnsi="SimSun" w:eastAsia="SimSun" w:cs="SimSun"/>
          <w:color w:val="000000"/>
          <w:sz w:val="21"/>
          <w:u w:val="single"/>
        </w:rPr>
        <w:t xml:space="preserve">   </w:t>
      </w:r>
      <w:r>
        <w:rPr>
          <w:rFonts w:ascii="SimSun" w:hAnsi="SimSun" w:eastAsia="SimSun" w:cs="SimSun"/>
          <w:color w:val="000000"/>
          <w:sz w:val="22"/>
        </w:rPr>
        <w:t xml:space="preserve">万元</w:t>
      </w:r>
      <w:r>
        <w:rPr>
          <w:rFonts w:ascii="SimSun" w:hAnsi="SimSun" w:eastAsia="SimSun" w:cs="SimSun"/>
          <w:color w:val="000000"/>
          <w:sz w:val="21"/>
        </w:rPr>
        <w:t xml:space="preserve"> </w:t>
      </w:r>
      <w:r>
        <w:rPr>
          <w:rFonts w:ascii="SimSun" w:hAnsi="SimSun" w:eastAsia="SimSun" w:cs="SimSun"/>
          <w:color w:val="000000"/>
          <w:sz w:val="22"/>
        </w:rPr>
        <w:t xml:space="preserve">，属于（中型企业、</w:t>
      </w:r>
      <w:r>
        <w:rPr>
          <w:rFonts w:ascii="SimSun" w:hAnsi="SimSun" w:eastAsia="SimSun" w:cs="SimSun"/>
          <w:color w:val="000000"/>
          <w:sz w:val="21"/>
        </w:rPr>
        <w:t xml:space="preserve"> </w:t>
      </w:r>
      <w:r>
        <w:rPr>
          <w:rFonts w:ascii="SimSun" w:hAnsi="SimSun" w:eastAsia="SimSun" w:cs="SimSun"/>
          <w:color w:val="000000"/>
          <w:sz w:val="22"/>
        </w:rPr>
        <w:t xml:space="preserve">小型企业、微型企业）（</w:t>
      </w:r>
      <w:r>
        <w:rPr>
          <w:rFonts w:ascii="SimSun" w:hAnsi="SimSun" w:eastAsia="SimSun" w:cs="SimSun"/>
          <w:color w:val="000000"/>
          <w:sz w:val="22"/>
          <w:u w:val="single"/>
        </w:rPr>
        <w:t xml:space="preserve">中型企业、</w:t>
      </w:r>
      <w:r>
        <w:rPr>
          <w:rFonts w:ascii="SimSun" w:hAnsi="SimSun" w:eastAsia="SimSun" w:cs="SimSun"/>
          <w:color w:val="000000"/>
          <w:sz w:val="21"/>
          <w:u w:val="single"/>
        </w:rPr>
        <w:t xml:space="preserve"> </w:t>
      </w:r>
      <w:r>
        <w:rPr>
          <w:rFonts w:ascii="SimSun" w:hAnsi="SimSun" w:eastAsia="SimSun" w:cs="SimSun"/>
          <w:color w:val="000000"/>
          <w:sz w:val="22"/>
          <w:u w:val="single"/>
        </w:rPr>
        <w:t xml:space="preserve">小型企业、微型企业，三者选一填写</w:t>
      </w:r>
      <w:r>
        <w:rPr>
          <w:rFonts w:ascii="SimSun" w:hAnsi="SimSun" w:eastAsia="SimSun" w:cs="SimSun"/>
          <w:color w:val="000000"/>
          <w:sz w:val="22"/>
        </w:rPr>
        <w:t xml:space="preserve">）；</w:t>
      </w:r>
      <w:r>
        <w:rPr>
          <w:rFonts w:ascii="SimSun" w:hAnsi="SimSun" w:eastAsia="SimSun" w:cs="SimSun"/>
          <w:color w:val="000000"/>
          <w:sz w:val="21"/>
        </w:rPr>
        <w:t xml:space="preserve"> </w:t>
      </w:r>
      <w:r/>
    </w:p>
    <w:p>
      <w:pPr>
        <w:numPr>
          <w:ilvl w:val="0"/>
          <w:numId w:val="8"/>
        </w:numP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（标的名称）</w:t>
      </w:r>
      <w:r>
        <w:rPr>
          <w:rFonts w:ascii="SimSun" w:hAnsi="SimSun" w:eastAsia="SimSun" w:cs="SimSun"/>
          <w:color w:val="000000"/>
          <w:sz w:val="21"/>
        </w:rPr>
        <w:t xml:space="preserve"> </w:t>
      </w:r>
      <w:r>
        <w:rPr>
          <w:rFonts w:ascii="SimSun" w:hAnsi="SimSun" w:eastAsia="SimSun" w:cs="SimSun"/>
          <w:color w:val="000000"/>
          <w:sz w:val="22"/>
        </w:rPr>
        <w:t xml:space="preserve">，属于</w:t>
      </w:r>
      <w:r>
        <w:rPr>
          <w:rFonts w:ascii="SimSun" w:hAnsi="SimSun" w:eastAsia="SimSun" w:cs="SimSun"/>
          <w:b/>
          <w:color w:val="000000"/>
          <w:sz w:val="22"/>
          <w:u w:val="single"/>
        </w:rPr>
        <w:t xml:space="preserve">工业</w:t>
      </w:r>
      <w:r>
        <w:rPr>
          <w:rFonts w:ascii="SimSun" w:hAnsi="SimSun" w:eastAsia="SimSun" w:cs="SimSun"/>
          <w:color w:val="000000"/>
          <w:sz w:val="22"/>
        </w:rPr>
        <w:t xml:space="preserve">；</w:t>
      </w:r>
      <w:r>
        <w:rPr>
          <w:rFonts w:ascii="SimSun" w:hAnsi="SimSun" w:eastAsia="SimSun" w:cs="SimSun"/>
          <w:color w:val="000000"/>
          <w:sz w:val="21"/>
        </w:rPr>
        <w:t xml:space="preserve"> </w:t>
      </w:r>
      <w:r>
        <w:rPr>
          <w:rFonts w:ascii="SimSun" w:hAnsi="SimSun" w:eastAsia="SimSun" w:cs="SimSun"/>
          <w:color w:val="000000"/>
          <w:sz w:val="22"/>
        </w:rPr>
        <w:t xml:space="preserve">承建（承接）企业为</w:t>
      </w:r>
      <w:r>
        <w:rPr>
          <w:rFonts w:ascii="SimSun" w:hAnsi="SimSun" w:eastAsia="SimSun" w:cs="SimSun"/>
          <w:color w:val="000000"/>
          <w:sz w:val="22"/>
          <w:u w:val="single"/>
        </w:rPr>
        <w:t xml:space="preserve">（企业名称）</w:t>
      </w:r>
      <w:r>
        <w:rPr>
          <w:rFonts w:ascii="SimSun" w:hAnsi="SimSun" w:eastAsia="SimSun" w:cs="SimSun"/>
          <w:color w:val="000000"/>
          <w:sz w:val="22"/>
        </w:rPr>
        <w:t xml:space="preserve">，从业人员</w:t>
      </w:r>
      <w:r>
        <w:rPr>
          <w:rFonts w:ascii="SimSun" w:hAnsi="SimSun" w:eastAsia="SimSun" w:cs="SimSun"/>
          <w:color w:val="000000"/>
          <w:sz w:val="21"/>
          <w:u w:val="single"/>
        </w:rPr>
        <w:t xml:space="preserve">    </w:t>
      </w:r>
      <w:r>
        <w:rPr>
          <w:rFonts w:ascii="SimSun" w:hAnsi="SimSun" w:eastAsia="SimSun" w:cs="SimSun"/>
          <w:color w:val="000000"/>
          <w:sz w:val="22"/>
        </w:rPr>
        <w:t xml:space="preserve">人，营业</w:t>
      </w:r>
      <w:r>
        <w:rPr>
          <w:rFonts w:ascii="SimSun" w:hAnsi="SimSun" w:eastAsia="SimSun" w:cs="SimSun"/>
          <w:color w:val="000000"/>
          <w:sz w:val="21"/>
        </w:rPr>
        <w:t xml:space="preserve"> </w:t>
      </w:r>
      <w:r>
        <w:rPr>
          <w:rFonts w:ascii="SimSun" w:hAnsi="SimSun" w:eastAsia="SimSun" w:cs="SimSun"/>
          <w:color w:val="000000"/>
          <w:sz w:val="22"/>
        </w:rPr>
        <w:t xml:space="preserve">收入为</w:t>
      </w:r>
      <w:r>
        <w:rPr>
          <w:rFonts w:ascii="SimSun" w:hAnsi="SimSun" w:eastAsia="SimSun" w:cs="SimSun"/>
          <w:color w:val="000000"/>
          <w:sz w:val="21"/>
          <w:u w:val="single"/>
        </w:rPr>
        <w:t xml:space="preserve">    </w:t>
      </w:r>
      <w:r>
        <w:rPr>
          <w:rFonts w:ascii="SimSun" w:hAnsi="SimSun" w:eastAsia="SimSun" w:cs="SimSun"/>
          <w:color w:val="000000"/>
          <w:sz w:val="22"/>
        </w:rPr>
        <w:t xml:space="preserve">万元，资产总额为</w:t>
      </w:r>
      <w:r>
        <w:rPr>
          <w:rFonts w:ascii="SimSun" w:hAnsi="SimSun" w:eastAsia="SimSun" w:cs="SimSun"/>
          <w:color w:val="000000"/>
          <w:sz w:val="21"/>
          <w:u w:val="single"/>
        </w:rPr>
        <w:t xml:space="preserve">   </w:t>
      </w:r>
      <w:r>
        <w:rPr>
          <w:rFonts w:ascii="SimSun" w:hAnsi="SimSun" w:eastAsia="SimSun" w:cs="SimSun"/>
          <w:color w:val="000000"/>
          <w:sz w:val="22"/>
        </w:rPr>
        <w:t xml:space="preserve">万元，属于（中型企业、</w:t>
      </w:r>
      <w:r>
        <w:rPr>
          <w:rFonts w:ascii="SimSun" w:hAnsi="SimSun" w:eastAsia="SimSun" w:cs="SimSun"/>
          <w:color w:val="000000"/>
          <w:sz w:val="21"/>
        </w:rPr>
        <w:t xml:space="preserve"> </w:t>
      </w:r>
      <w:r>
        <w:rPr>
          <w:rFonts w:ascii="SimSun" w:hAnsi="SimSun" w:eastAsia="SimSun" w:cs="SimSun"/>
          <w:color w:val="000000"/>
          <w:sz w:val="22"/>
        </w:rPr>
        <w:t xml:space="preserve">小型企业、微型企业）（</w:t>
      </w:r>
      <w:r>
        <w:rPr>
          <w:rFonts w:ascii="SimSun" w:hAnsi="SimSun" w:eastAsia="SimSun" w:cs="SimSun"/>
          <w:color w:val="000000"/>
          <w:sz w:val="22"/>
          <w:u w:val="single"/>
        </w:rPr>
        <w:t xml:space="preserve">中型企业、</w:t>
      </w:r>
      <w:r>
        <w:rPr>
          <w:rFonts w:ascii="SimSun" w:hAnsi="SimSun" w:eastAsia="SimSun" w:cs="SimSun"/>
          <w:color w:val="000000"/>
          <w:sz w:val="21"/>
          <w:u w:val="single"/>
        </w:rPr>
        <w:t xml:space="preserve"> </w:t>
      </w:r>
      <w:r>
        <w:rPr>
          <w:rFonts w:ascii="SimSun" w:hAnsi="SimSun" w:eastAsia="SimSun" w:cs="SimSun"/>
          <w:color w:val="000000"/>
          <w:sz w:val="22"/>
          <w:u w:val="single"/>
        </w:rPr>
        <w:t xml:space="preserve">小型企业、微型企业，三者选一填写</w:t>
      </w:r>
      <w:r>
        <w:rPr>
          <w:rFonts w:ascii="SimSun" w:hAnsi="SimSun" w:eastAsia="SimSun" w:cs="SimSun"/>
          <w:color w:val="000000"/>
          <w:sz w:val="22"/>
        </w:rPr>
        <w:t xml:space="preserve">）；</w:t>
      </w:r>
      <w:r>
        <w:rPr>
          <w:rFonts w:ascii="SimSun" w:hAnsi="SimSun" w:eastAsia="SimSun" w:cs="SimSun"/>
          <w:color w:val="000000"/>
          <w:sz w:val="21"/>
        </w:rPr>
        <w:t xml:space="preserve"> </w:t>
      </w:r>
      <w:r>
        <w:rPr>
          <w:rFonts w:ascii="SimSun" w:hAnsi="SimSun" w:eastAsia="SimSun" w:cs="SimSun"/>
          <w:color w:val="000000"/>
          <w:sz w:val="22"/>
        </w:rPr>
        <w:t xml:space="preserve">…… 以上企业，不属于大企业的分支机构，不存在控股股东 为大企业的情形，也不存在与大企业的负责人为同一人的情 形。 本企业对上述声明内容的真实性负责。如有虚假，将依 法承担相应责任。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响应单位名称（加盖CA电子公章）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日期：年月日</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备注：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1.从业人员、营业收入、资产总额填报上一年度数据，无上一年度数据的新成立企业可不填报；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2.若供应商提供的“中小企业声明函”内容不实的，属于提供虚假材料谋取中标、成交，将依照《中华人民共和国政府采购法》等国家有关规定追究相应责任；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3.中小企业是指在中华人民共和国境内依法设立，依据国务院批准的中小企业划分标准确定的中型企业、小型企业和微型企业，但与大企业的负责人为同一人，或者与大企业存在直接控股、管理关系的除外。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符合中小企业划分标准的个体工商户，在政府采购活动中视同中小企业。</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tab/>
        <w:t xml:space="preserve">投标文件中的电子签章视为投标人对本声明进行了签署盖章并承担相应责任。</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附：中小企业划型标准规定（工信部联企业〔2011 〕300 号）</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（一）农、林、牧、渔业。营业收入</w:t>
      </w:r>
      <w:r>
        <w:rPr>
          <w:rFonts w:ascii="SimSun" w:hAnsi="SimSun" w:eastAsia="SimSun" w:cs="SimSun"/>
          <w:color w:val="000000"/>
          <w:sz w:val="21"/>
        </w:rPr>
        <w:t xml:space="preserve"> </w:t>
      </w:r>
      <w:r>
        <w:rPr>
          <w:rFonts w:ascii="SimSun" w:hAnsi="SimSun" w:eastAsia="SimSun" w:cs="SimSun"/>
          <w:color w:val="000000"/>
          <w:sz w:val="22"/>
        </w:rPr>
        <w:t xml:space="preserve">20000 万元以下的为中小微型企业。其中，营业收入 500 万元及以上的为中型企业，营业收入 50 万元及以上的为小型企业，营业收入 50 万元以下的为微型企业。</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（二）工业。从业人员</w:t>
      </w:r>
      <w:r>
        <w:rPr>
          <w:rFonts w:ascii="SimSun" w:hAnsi="SimSun" w:eastAsia="SimSun" w:cs="SimSun"/>
          <w:color w:val="000000"/>
          <w:sz w:val="21"/>
        </w:rPr>
        <w:t xml:space="preserve"> </w:t>
      </w:r>
      <w:r>
        <w:rPr>
          <w:rFonts w:ascii="SimSun" w:hAnsi="SimSun" w:eastAsia="SimSun" w:cs="SimSun"/>
          <w:color w:val="000000"/>
          <w:sz w:val="22"/>
        </w:rPr>
        <w:t xml:space="preserve">1000 人以下或营业收入 40000 万元以下的为中小微型企业。其中，从业人员 300人及以上，且营业收入 2000 万元及以上的为中型企业；从业人员 20 人及以上，且营业收入 300 万元及以上的为小型企业；从业人员 20 人以下或营业收入 300 万元以下的为微型企业。</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（三）建筑业。营业收入</w:t>
      </w:r>
      <w:r>
        <w:rPr>
          <w:rFonts w:ascii="SimSun" w:hAnsi="SimSun" w:eastAsia="SimSun" w:cs="SimSun"/>
          <w:color w:val="000000"/>
          <w:sz w:val="21"/>
        </w:rPr>
        <w:t xml:space="preserve"> </w:t>
      </w:r>
      <w:r>
        <w:rPr>
          <w:rFonts w:ascii="SimSun" w:hAnsi="SimSun" w:eastAsia="SimSun" w:cs="SimSun"/>
          <w:color w:val="000000"/>
          <w:sz w:val="22"/>
        </w:rPr>
        <w:t xml:space="preserve">80000 万元以下或资产总额 80000 万元以下的为中小微型企业。其中，营业收入6000 万元及以上，且资产总额 5000 万元及以上的为中型企业；营业收入 300 万元及以上，且资产总额 300 万元及以上的为小型企业；营业收入 300 万元以下或资产总额 300 万元以下的为微型企业。</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（四）批发业。从业人员</w:t>
      </w:r>
      <w:r>
        <w:rPr>
          <w:rFonts w:ascii="SimSun" w:hAnsi="SimSun" w:eastAsia="SimSun" w:cs="SimSun"/>
          <w:color w:val="000000"/>
          <w:sz w:val="21"/>
        </w:rPr>
        <w:t xml:space="preserve"> </w:t>
      </w:r>
      <w:r>
        <w:rPr>
          <w:rFonts w:ascii="SimSun" w:hAnsi="SimSun" w:eastAsia="SimSun" w:cs="SimSun"/>
          <w:color w:val="000000"/>
          <w:sz w:val="22"/>
        </w:rPr>
        <w:t xml:space="preserve">200 人以下或营业收入 40000 万元以下的为中小微型企业。其中，从业人员 20人及以上，且营业收入 5000 万元及以上的为中型企业；从业人员 5 人及以上，且营业收入 1000 万元及以上的为小型企业；从业人员 5 人以下或营业收入 1000 万元以下的为微型企业。</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（五）零售业。从业人员</w:t>
      </w:r>
      <w:r>
        <w:rPr>
          <w:rFonts w:ascii="SimSun" w:hAnsi="SimSun" w:eastAsia="SimSun" w:cs="SimSun"/>
          <w:color w:val="000000"/>
          <w:sz w:val="21"/>
        </w:rPr>
        <w:t xml:space="preserve"> </w:t>
      </w:r>
      <w:r>
        <w:rPr>
          <w:rFonts w:ascii="SimSun" w:hAnsi="SimSun" w:eastAsia="SimSun" w:cs="SimSun"/>
          <w:color w:val="000000"/>
          <w:sz w:val="22"/>
        </w:rPr>
        <w:t xml:space="preserve">300 人以下或营业收入 20000 万元以下的为中小微型企业。其中，从业人员 50人及以上，且营业收入 500 万元及以上的为中型企业；从业人员 10 人及以上，且营业收入 100 万元及以上的为小型企业；从业人员 10 人以下或营业收入 100 万元以下的为微型企业。</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（六）交通运输业。从业人员</w:t>
      </w:r>
      <w:r>
        <w:rPr>
          <w:rFonts w:ascii="SimSun" w:hAnsi="SimSun" w:eastAsia="SimSun" w:cs="SimSun"/>
          <w:color w:val="000000"/>
          <w:sz w:val="21"/>
        </w:rPr>
        <w:t xml:space="preserve"> </w:t>
      </w:r>
      <w:r>
        <w:rPr>
          <w:rFonts w:ascii="SimSun" w:hAnsi="SimSun" w:eastAsia="SimSun" w:cs="SimSun"/>
          <w:color w:val="000000"/>
          <w:sz w:val="22"/>
        </w:rPr>
        <w:t xml:space="preserve">1000 人以下或营业收入 30000 万元以下的为中小微型企业。其中，从业人员300 人及以上，且营业收入 3000 万元及以上的为中型企业；从业人员 20 人及以上，且营业收入 200 万元及以上的为小型企业；从业人员 20 人以下或营业收入 200 万元以下的为微型企业。</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（七）仓储业。从业人员</w:t>
      </w:r>
      <w:r>
        <w:rPr>
          <w:rFonts w:ascii="SimSun" w:hAnsi="SimSun" w:eastAsia="SimSun" w:cs="SimSun"/>
          <w:color w:val="000000"/>
          <w:sz w:val="21"/>
        </w:rPr>
        <w:t xml:space="preserve"> </w:t>
      </w:r>
      <w:r>
        <w:rPr>
          <w:rFonts w:ascii="SimSun" w:hAnsi="SimSun" w:eastAsia="SimSun" w:cs="SimSun"/>
          <w:color w:val="000000"/>
          <w:sz w:val="22"/>
        </w:rPr>
        <w:t xml:space="preserve">200 人以下或营业收入 30000 万元以下的为中小微型企业。其中，从业人员 100人及以上，且营业收入 1000 万元及以上的为中型企业；从业人员 20 人及以上，且营业收入 100 万元及以上的为小型企业；从业人员 20 人以下或营业收入 100 万元以下的为微型企业。</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（八）邮政业。从业人员</w:t>
      </w:r>
      <w:r>
        <w:rPr>
          <w:rFonts w:ascii="SimSun" w:hAnsi="SimSun" w:eastAsia="SimSun" w:cs="SimSun"/>
          <w:color w:val="000000"/>
          <w:sz w:val="21"/>
        </w:rPr>
        <w:t xml:space="preserve"> </w:t>
      </w:r>
      <w:r>
        <w:rPr>
          <w:rFonts w:ascii="SimSun" w:hAnsi="SimSun" w:eastAsia="SimSun" w:cs="SimSun"/>
          <w:color w:val="000000"/>
          <w:sz w:val="22"/>
        </w:rPr>
        <w:t xml:space="preserve">1000 人以下或营业收入 30000 万元以下的为中小微型企业。其中，从业人员 300人及以上，且营业收入 2000 万元及以上的为中型企业；从业人员 20 人及以上，且营业收入 100 万元及以上的为小型企业；从业人员 20 人以下或营业收入 100 万元以下的为微型企业。</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（九）住宿业。从业人员</w:t>
      </w:r>
      <w:r>
        <w:rPr>
          <w:rFonts w:ascii="SimSun" w:hAnsi="SimSun" w:eastAsia="SimSun" w:cs="SimSun"/>
          <w:color w:val="000000"/>
          <w:sz w:val="21"/>
        </w:rPr>
        <w:t xml:space="preserve"> </w:t>
      </w:r>
      <w:r>
        <w:rPr>
          <w:rFonts w:ascii="SimSun" w:hAnsi="SimSun" w:eastAsia="SimSun" w:cs="SimSun"/>
          <w:color w:val="000000"/>
          <w:sz w:val="22"/>
        </w:rPr>
        <w:t xml:space="preserve">300 人以下或营业收入 10000 万元以下的为中小微型企业。其中，从业人员 100人及以上，且营业收入 2000 万元及以上的为中型企业；从业人员 10 人及以上，且营业收入 100 万元及以上的为小型企业；从业人员 10 人以下或营业收入 100 万元以下的为微型企业。</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（十）餐饮业。从业人员</w:t>
      </w:r>
      <w:r>
        <w:rPr>
          <w:rFonts w:ascii="SimSun" w:hAnsi="SimSun" w:eastAsia="SimSun" w:cs="SimSun"/>
          <w:color w:val="000000"/>
          <w:sz w:val="21"/>
        </w:rPr>
        <w:t xml:space="preserve"> </w:t>
      </w:r>
      <w:r>
        <w:rPr>
          <w:rFonts w:ascii="SimSun" w:hAnsi="SimSun" w:eastAsia="SimSun" w:cs="SimSun"/>
          <w:color w:val="000000"/>
          <w:sz w:val="22"/>
        </w:rPr>
        <w:t xml:space="preserve">300 人以下或营业收入 10000 万元以下的为中小微型企业。其中，从业人员 100人及以上，且营业收入 2000 万元及以上的为中型企业；从业人员 10 人及以上，且营业收入 100 万元及以上的为小型企业；从业人员 10 人以下或营业收入 100 万元以下的为微型企业。</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（十一）信息传输业。从业人员</w:t>
      </w:r>
      <w:r>
        <w:rPr>
          <w:rFonts w:ascii="SimSun" w:hAnsi="SimSun" w:eastAsia="SimSun" w:cs="SimSun"/>
          <w:color w:val="000000"/>
          <w:sz w:val="21"/>
        </w:rPr>
        <w:t xml:space="preserve"> </w:t>
      </w:r>
      <w:r>
        <w:rPr>
          <w:rFonts w:ascii="SimSun" w:hAnsi="SimSun" w:eastAsia="SimSun" w:cs="SimSun"/>
          <w:color w:val="000000"/>
          <w:sz w:val="22"/>
        </w:rPr>
        <w:t xml:space="preserve">2000 人以下或营业收入 100000 万元以下的为中小微型企业。其中，从业人员 100 人及以上，且营业收入 1000 万元及以上的为中型企业；从业人员 10 人及以上，且营业收入 100 万元及以上的为小型企业；从业人员 10 人以下或营业收入 100 万元以下的为微型企业。</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（十二）软件和信息技术服务业。从业人员</w:t>
      </w:r>
      <w:r>
        <w:rPr>
          <w:rFonts w:ascii="SimSun" w:hAnsi="SimSun" w:eastAsia="SimSun" w:cs="SimSun"/>
          <w:color w:val="000000"/>
          <w:sz w:val="21"/>
        </w:rPr>
        <w:t xml:space="preserve"> </w:t>
      </w:r>
      <w:r>
        <w:rPr>
          <w:rFonts w:ascii="SimSun" w:hAnsi="SimSun" w:eastAsia="SimSun" w:cs="SimSun"/>
          <w:color w:val="000000"/>
          <w:sz w:val="22"/>
        </w:rPr>
        <w:t xml:space="preserve">300 人以下或营业收入 10000 万元以下的为中小微型企业。其中，从业人员 100 人及以上，且营业收入 1000 万元及以上的为中型企业；从业人员 10 人及以上，且营业收入50 万元及以上的为小型企业；从业人员 10 人以下或营业收入 50 万元以下的为微型企业。</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（十三）房地产开发经营。营业收入</w:t>
      </w:r>
      <w:r>
        <w:rPr>
          <w:rFonts w:ascii="SimSun" w:hAnsi="SimSun" w:eastAsia="SimSun" w:cs="SimSun"/>
          <w:color w:val="000000"/>
          <w:sz w:val="21"/>
        </w:rPr>
        <w:t xml:space="preserve"> </w:t>
      </w:r>
      <w:r>
        <w:rPr>
          <w:rFonts w:ascii="SimSun" w:hAnsi="SimSun" w:eastAsia="SimSun" w:cs="SimSun"/>
          <w:color w:val="000000"/>
          <w:sz w:val="22"/>
        </w:rPr>
        <w:t xml:space="preserve">200000 万元以下或资产总额 10000 万元以下的为中小微型企业。其中，营业收入 1000 万元及以上，且资产总额 5000 万元及以上的为中型企业；营业收入 100 万元及以上，且资产总额 2000 万元及以上的为小型企业；营业收入 100 万元以下或资产总额 2000 万元以下的为微型企业。</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（十四）物业管理。从业人员</w:t>
      </w:r>
      <w:r>
        <w:rPr>
          <w:rFonts w:ascii="SimSun" w:hAnsi="SimSun" w:eastAsia="SimSun" w:cs="SimSun"/>
          <w:color w:val="000000"/>
          <w:sz w:val="21"/>
        </w:rPr>
        <w:t xml:space="preserve"> </w:t>
      </w:r>
      <w:r>
        <w:rPr>
          <w:rFonts w:ascii="SimSun" w:hAnsi="SimSun" w:eastAsia="SimSun" w:cs="SimSun"/>
          <w:color w:val="000000"/>
          <w:sz w:val="22"/>
        </w:rPr>
        <w:t xml:space="preserve">1000 人以下或营业收入 5000 万元以下的为中小微型企业。其中，从业人员300 人及以上，且营业收入 1000 万元及以上的为中型企业；从业人员 100 人及以上，且营业收入 500 万元及以上的为小型企业；从业人员 100 人以下或营业收入 500 万元以下的为微型企业。</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（十五）租赁和商务服务业。从业人员</w:t>
      </w:r>
      <w:r>
        <w:rPr>
          <w:rFonts w:ascii="SimSun" w:hAnsi="SimSun" w:eastAsia="SimSun" w:cs="SimSun"/>
          <w:color w:val="000000"/>
          <w:sz w:val="21"/>
        </w:rPr>
        <w:t xml:space="preserve"> </w:t>
      </w:r>
      <w:r>
        <w:rPr>
          <w:rFonts w:ascii="SimSun" w:hAnsi="SimSun" w:eastAsia="SimSun" w:cs="SimSun"/>
          <w:color w:val="000000"/>
          <w:sz w:val="22"/>
        </w:rPr>
        <w:t xml:space="preserve">300 人以下或资产总额 120000 万元以下的为中小微型企业。其中，从业人员 100 人及以上，且资产总额 8000 万元及以上的为中型企业；从业人员 10 人及以上，且资产总额 100万元及以上的为小型企业；从业人员 10 人以下或资产总额 100 万元以下的为微型企业。</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（十六）其他未列明行业。从业人员</w:t>
      </w:r>
      <w:r>
        <w:rPr>
          <w:rFonts w:ascii="SimSun" w:hAnsi="SimSun" w:eastAsia="SimSun" w:cs="SimSun"/>
          <w:color w:val="000000"/>
          <w:sz w:val="21"/>
        </w:rPr>
        <w:t xml:space="preserve"> </w:t>
      </w:r>
      <w:r>
        <w:rPr>
          <w:rFonts w:ascii="SimSun" w:hAnsi="SimSun" w:eastAsia="SimSun" w:cs="SimSun"/>
          <w:color w:val="000000"/>
          <w:sz w:val="22"/>
        </w:rPr>
        <w:t xml:space="preserve">300 人以下的为中小微型企业。其中，从业人员 100 人及以上的为中型企业；从业人员 10 人及以上的为小型企业；从业人员 10 人以下的为微型企业。</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 </w:t>
      </w:r>
      <w:r/>
    </w:p>
    <w:p>
      <w:pPr>
        <w:ind w:left="0" w:right="0" w:firstLine="0"/>
        <w:spacing w:before="0" w:after="0"/>
        <w:tabs>
          <w:tab w:val="left" w:pos="687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ab/>
      </w:r>
      <w:r/>
    </w:p>
    <w:p>
      <w:pPr>
        <w:ind w:left="0" w:right="0" w:firstLine="0"/>
        <w:spacing w:before="240" w:after="240" w:line="479" w:lineRule="atLeast"/>
        <w:rPr>
          <w:sz w:val="24"/>
          <w:szCs w:val="24"/>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highlight w:val="none"/>
        </w:rPr>
      </w:r>
      <w:r>
        <w:rPr>
          <w:rFonts w:ascii="SimSun" w:hAnsi="SimSun" w:eastAsia="SimSun" w:cs="SimSun"/>
          <w:b/>
          <w:color w:val="000000"/>
          <w:sz w:val="22"/>
          <w:highlight w:val="none"/>
        </w:rPr>
      </w:r>
      <w:r/>
    </w:p>
    <w:p>
      <w:pPr>
        <w:ind w:left="0" w:right="0" w:firstLine="0"/>
        <w:spacing w:before="240" w:after="240" w:line="479" w:lineRule="atLeast"/>
        <w:rPr>
          <w:rFonts w:ascii="SimSun" w:hAnsi="SimSun" w:eastAsia="SimSun" w:cs="SimSun"/>
          <w:b/>
          <w:bCs/>
          <w:color w:val="000000"/>
          <w:sz w:val="22"/>
          <w:szCs w:val="2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highlight w:val="none"/>
        </w:rPr>
      </w:r>
      <w:r>
        <w:rPr>
          <w:rFonts w:ascii="SimSun" w:hAnsi="SimSun" w:eastAsia="SimSun" w:cs="SimSun"/>
          <w:b/>
          <w:color w:val="000000"/>
          <w:sz w:val="22"/>
          <w:highlight w:val="none"/>
        </w:rPr>
      </w:r>
      <w:r/>
    </w:p>
    <w:p>
      <w:pPr>
        <w:ind w:left="0" w:right="0" w:firstLine="0"/>
        <w:spacing w:before="240" w:after="240" w:line="479" w:lineRule="atLeast"/>
        <w:rPr>
          <w:rFonts w:ascii="SimSun" w:hAnsi="SimSun" w:eastAsia="SimSun" w:cs="SimSun"/>
          <w:b/>
          <w:bCs/>
          <w:color w:val="000000"/>
          <w:sz w:val="22"/>
          <w:szCs w:val="2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highlight w:val="none"/>
        </w:rPr>
      </w:r>
      <w:r>
        <w:rPr>
          <w:rFonts w:ascii="SimSun" w:hAnsi="SimSun" w:eastAsia="SimSun" w:cs="SimSun"/>
          <w:b/>
          <w:color w:val="000000"/>
          <w:sz w:val="22"/>
          <w:highlight w:val="none"/>
        </w:rPr>
      </w:r>
      <w:r/>
    </w:p>
    <w:p>
      <w:pPr>
        <w:ind w:left="0" w:right="0" w:firstLine="0"/>
        <w:spacing w:before="240" w:after="240" w:line="479" w:lineRule="atLeast"/>
        <w:rPr>
          <w:rFonts w:ascii="SimSun" w:hAnsi="SimSun" w:eastAsia="SimSun" w:cs="SimSun"/>
          <w:b/>
          <w:bCs/>
          <w:color w:val="000000"/>
          <w:sz w:val="22"/>
          <w:szCs w:val="2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highlight w:val="none"/>
        </w:rPr>
      </w:r>
      <w:r>
        <w:rPr>
          <w:rFonts w:ascii="SimSun" w:hAnsi="SimSun" w:eastAsia="SimSun" w:cs="SimSun"/>
          <w:b/>
          <w:color w:val="000000"/>
          <w:sz w:val="22"/>
          <w:highlight w:val="none"/>
        </w:rPr>
      </w:r>
      <w:r/>
    </w:p>
    <w:p>
      <w:pPr>
        <w:ind w:left="0" w:right="0" w:firstLine="0"/>
        <w:spacing w:before="240" w:after="240" w:line="479" w:lineRule="atLeast"/>
        <w:rPr>
          <w:rFonts w:ascii="SimSun" w:hAnsi="SimSun" w:eastAsia="SimSun" w:cs="SimSun"/>
          <w:b/>
          <w:bCs/>
          <w:color w:val="000000"/>
          <w:sz w:val="22"/>
          <w:szCs w:val="2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highlight w:val="none"/>
        </w:rPr>
      </w:r>
      <w:r>
        <w:rPr>
          <w:rFonts w:ascii="SimSun" w:hAnsi="SimSun" w:eastAsia="SimSun" w:cs="SimSun"/>
          <w:b/>
          <w:color w:val="000000"/>
          <w:sz w:val="22"/>
          <w:highlight w:val="none"/>
        </w:rPr>
      </w:r>
      <w:r/>
    </w:p>
    <w:p>
      <w:pPr>
        <w:ind w:left="0" w:right="0" w:firstLine="0"/>
        <w:spacing w:before="240" w:after="240" w:line="479" w:lineRule="atLeast"/>
        <w:rPr>
          <w:rFonts w:ascii="SimSun" w:hAnsi="SimSun" w:eastAsia="SimSun" w:cs="SimSun"/>
          <w:b/>
          <w:bCs/>
          <w:color w:val="000000"/>
          <w:sz w:val="22"/>
          <w:szCs w:val="2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格式15：残疾人福利性单位声明函（如有）</w:t>
      </w:r>
      <w:r/>
    </w:p>
    <w:p>
      <w:pPr>
        <w:ind w:left="0" w:right="0" w:firstLine="1260"/>
        <w:jc w:val="center"/>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残疾人福利性单位声明函（如有）</w:t>
      </w:r>
      <w:r/>
    </w:p>
    <w:p>
      <w:pPr>
        <w:ind w:left="0" w:right="0" w:firstLine="42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本单位郑重声明，根据《财政部</w:t>
      </w:r>
      <w:r>
        <w:rPr>
          <w:rFonts w:ascii="SimSun" w:hAnsi="SimSun" w:eastAsia="SimSun" w:cs="SimSun"/>
          <w:color w:val="000000"/>
          <w:sz w:val="21"/>
        </w:rPr>
        <w:t xml:space="preserve"> </w:t>
      </w:r>
      <w:r>
        <w:rPr>
          <w:rFonts w:ascii="SimSun" w:hAnsi="SimSun" w:eastAsia="SimSun" w:cs="SimSun"/>
          <w:color w:val="000000"/>
          <w:sz w:val="22"/>
        </w:rPr>
        <w:t xml:space="preserve">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left="0" w:right="0" w:firstLine="42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本单位对上述声明的真实性负责。如有虚假，将依法承担相应责任。</w:t>
      </w:r>
      <w:r/>
    </w:p>
    <w:p>
      <w:pPr>
        <w:ind w:left="0" w:right="0" w:firstLine="42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响应单位名称（加盖CA电子公章）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日期：年月日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附件16：关于符合本国产品标准的声明函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本公司</w:t>
      </w:r>
      <w:r>
        <w:rPr>
          <w:rFonts w:ascii="SimSun" w:hAnsi="SimSun" w:eastAsia="SimSun" w:cs="SimSun"/>
          <w:color w:val="000000"/>
          <w:sz w:val="22"/>
          <w:u w:val="single"/>
        </w:rPr>
        <w:t xml:space="preserve">（单位）</w:t>
      </w:r>
      <w:r>
        <w:rPr>
          <w:rFonts w:ascii="SimSun" w:hAnsi="SimSun" w:eastAsia="SimSun" w:cs="SimSun"/>
          <w:color w:val="000000"/>
          <w:sz w:val="22"/>
        </w:rPr>
        <w:t xml:space="preserve">郑重声明，根据《国务院办公厅关于在政府采购中实施本国产品标准及相关政策的通知》（国办发〔2025〕34号）的规定，本公司（单位）提供的以下产品属于本国产品。具体情况如下：</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1.</w:t>
      </w:r>
      <w:r>
        <w:rPr>
          <w:rFonts w:ascii="SimSun" w:hAnsi="SimSun" w:eastAsia="SimSun" w:cs="SimSun"/>
          <w:color w:val="000000"/>
          <w:sz w:val="22"/>
          <w:highlight w:val="white"/>
          <w:u w:val="single"/>
        </w:rPr>
        <w:t xml:space="preserve">（产品名称1）</w:t>
      </w:r>
      <w:r>
        <w:rPr>
          <w:rFonts w:ascii="SimSun" w:hAnsi="SimSun" w:eastAsia="SimSun" w:cs="SimSun"/>
          <w:color w:val="000000"/>
          <w:sz w:val="22"/>
          <w:highlight w:val="white"/>
          <w:vertAlign w:val="superscript"/>
        </w:rPr>
        <w:t xml:space="preserve">1</w:t>
      </w:r>
      <w:r>
        <w:rPr>
          <w:rFonts w:ascii="SimSun" w:hAnsi="SimSun" w:eastAsia="SimSun" w:cs="SimSun"/>
          <w:color w:val="000000"/>
          <w:sz w:val="22"/>
          <w:highlight w:val="white"/>
        </w:rPr>
        <w:t xml:space="preserve">，生产厂为</w:t>
      </w:r>
      <w:r>
        <w:rPr>
          <w:rFonts w:ascii="SimSun" w:hAnsi="SimSun" w:eastAsia="SimSun" w:cs="SimSun"/>
          <w:color w:val="000000"/>
          <w:sz w:val="22"/>
          <w:highlight w:val="white"/>
          <w:u w:val="single"/>
        </w:rPr>
        <w:t xml:space="preserve">（厂名）</w:t>
      </w:r>
      <w:r>
        <w:rPr>
          <w:rFonts w:ascii="SimSun" w:hAnsi="SimSun" w:eastAsia="SimSun" w:cs="SimSun"/>
          <w:color w:val="000000"/>
          <w:sz w:val="22"/>
          <w:highlight w:val="white"/>
          <w:vertAlign w:val="superscript"/>
        </w:rPr>
        <w:t xml:space="preserve">2</w:t>
      </w:r>
      <w:r>
        <w:rPr>
          <w:rFonts w:ascii="SimSun" w:hAnsi="SimSun" w:eastAsia="SimSun" w:cs="SimSun"/>
          <w:color w:val="000000"/>
          <w:sz w:val="22"/>
          <w:highlight w:val="white"/>
        </w:rPr>
        <w:t xml:space="preserve">，厂址为</w:t>
      </w:r>
      <w:r>
        <w:rPr>
          <w:rFonts w:ascii="SimSun" w:hAnsi="SimSun" w:eastAsia="SimSun" w:cs="SimSun"/>
          <w:color w:val="000000"/>
          <w:sz w:val="22"/>
          <w:highlight w:val="white"/>
          <w:u w:val="single"/>
        </w:rPr>
        <w:t xml:space="preserve">（生产厂址）</w:t>
      </w:r>
      <w:r>
        <w:rPr>
          <w:rFonts w:ascii="SimSun" w:hAnsi="SimSun" w:eastAsia="SimSun" w:cs="SimSun"/>
          <w:color w:val="000000"/>
          <w:sz w:val="22"/>
          <w:highlight w:val="white"/>
        </w:rPr>
        <w:t xml:space="preserve">。</w:t>
      </w:r>
      <w:r>
        <w:rPr>
          <w:rFonts w:ascii="SimSun" w:hAnsi="SimSun" w:eastAsia="SimSun" w:cs="SimSun"/>
          <w:color w:val="000000"/>
          <w:sz w:val="22"/>
          <w:highlight w:val="white"/>
          <w:u w:val="single"/>
        </w:rPr>
        <w:t xml:space="preserve"> </w:t>
      </w:r>
      <w:r>
        <w:rPr>
          <w:rFonts w:ascii="SimSun" w:hAnsi="SimSun" w:eastAsia="SimSun" w:cs="SimSun"/>
          <w:strike/>
          <w:color w:val="000000"/>
          <w:sz w:val="22"/>
          <w:highlight w:val="white"/>
          <w:u w:val="single"/>
        </w:rPr>
        <w:t xml:space="preserve">（产品名称1）</w:t>
      </w:r>
      <w:r>
        <w:rPr>
          <w:rFonts w:ascii="SimSun" w:hAnsi="SimSun" w:eastAsia="SimSun" w:cs="SimSun"/>
          <w:color w:val="000000"/>
          <w:sz w:val="21"/>
          <w:highlight w:val="white"/>
          <w:u w:val="single"/>
        </w:rPr>
        <w:t xml:space="preserve"> </w:t>
      </w:r>
      <w:r>
        <w:rPr>
          <w:rFonts w:ascii="SimSun" w:hAnsi="SimSun" w:eastAsia="SimSun" w:cs="SimSun"/>
          <w:color w:val="000000"/>
          <w:sz w:val="22"/>
          <w:highlight w:val="white"/>
        </w:rPr>
        <w:t xml:space="preserve">的中国境内生产的组件成本占比≥</w:t>
      </w:r>
      <w:r>
        <w:rPr>
          <w:rFonts w:ascii="SimSun" w:hAnsi="SimSun" w:eastAsia="SimSun" w:cs="SimSun"/>
          <w:strike/>
          <w:color w:val="000000"/>
          <w:sz w:val="22"/>
          <w:highlight w:val="white"/>
          <w:u w:val="single"/>
        </w:rPr>
        <w:t xml:space="preserve">（规定比例）</w:t>
      </w:r>
      <w:r>
        <w:rPr>
          <w:rFonts w:ascii="SimSun" w:hAnsi="SimSun" w:eastAsia="SimSun" w:cs="SimSun"/>
          <w:strike/>
          <w:color w:val="000000"/>
          <w:sz w:val="22"/>
          <w:highlight w:val="white"/>
          <w:vertAlign w:val="superscript"/>
        </w:rPr>
        <w:t xml:space="preserve">3</w:t>
      </w:r>
      <w:r>
        <w:rPr>
          <w:rFonts w:ascii="SimSun" w:hAnsi="SimSun" w:eastAsia="SimSun" w:cs="SimSun"/>
          <w:color w:val="000000"/>
          <w:sz w:val="22"/>
          <w:highlight w:val="white"/>
        </w:rPr>
        <w:t xml:space="preserve">。</w:t>
      </w:r>
      <w:r>
        <w:rPr>
          <w:rFonts w:ascii="SimSun" w:hAnsi="SimSun" w:eastAsia="SimSun" w:cs="SimSun"/>
          <w:strike/>
          <w:color w:val="000000"/>
          <w:sz w:val="22"/>
          <w:highlight w:val="white"/>
          <w:u w:val="single"/>
        </w:rPr>
        <w:t xml:space="preserve">（产品名称1）</w:t>
      </w:r>
      <w:r>
        <w:rPr>
          <w:rFonts w:ascii="SimSun" w:hAnsi="SimSun" w:eastAsia="SimSun" w:cs="SimSun"/>
          <w:color w:val="000000"/>
          <w:sz w:val="22"/>
          <w:highlight w:val="white"/>
        </w:rPr>
        <w:t xml:space="preserve">的</w:t>
      </w:r>
      <w:r>
        <w:rPr>
          <w:rFonts w:ascii="SimSun" w:hAnsi="SimSun" w:eastAsia="SimSun" w:cs="SimSun"/>
          <w:strike/>
          <w:color w:val="000000"/>
          <w:sz w:val="22"/>
          <w:highlight w:val="white"/>
          <w:u w:val="single"/>
        </w:rPr>
        <w:t xml:space="preserve">（关键组件）</w:t>
      </w:r>
      <w:r>
        <w:rPr>
          <w:rFonts w:ascii="SimSun" w:hAnsi="SimSun" w:eastAsia="SimSun" w:cs="SimSun"/>
          <w:color w:val="000000"/>
          <w:sz w:val="22"/>
          <w:highlight w:val="white"/>
          <w:vertAlign w:val="superscript"/>
        </w:rPr>
        <w:t xml:space="preserve">4</w:t>
      </w:r>
      <w:r>
        <w:rPr>
          <w:rFonts w:ascii="SimSun" w:hAnsi="SimSun" w:eastAsia="SimSun" w:cs="SimSun"/>
          <w:color w:val="000000"/>
          <w:sz w:val="22"/>
          <w:highlight w:val="white"/>
        </w:rPr>
        <w:t xml:space="preserve">在中国境内生产。</w:t>
      </w:r>
      <w:r>
        <w:rPr>
          <w:rFonts w:ascii="SimSun" w:hAnsi="SimSun" w:eastAsia="SimSun" w:cs="SimSun"/>
          <w:strike/>
          <w:color w:val="000000"/>
          <w:sz w:val="22"/>
          <w:highlight w:val="white"/>
          <w:u w:val="single"/>
        </w:rPr>
        <w:t xml:space="preserve">（产品名称1）</w:t>
      </w:r>
      <w:r>
        <w:rPr>
          <w:rFonts w:ascii="SimSun" w:hAnsi="SimSun" w:eastAsia="SimSun" w:cs="SimSun"/>
          <w:color w:val="000000"/>
          <w:sz w:val="22"/>
          <w:highlight w:val="white"/>
        </w:rPr>
        <w:t xml:space="preserve">的</w:t>
      </w:r>
      <w:r>
        <w:rPr>
          <w:rFonts w:ascii="SimSun" w:hAnsi="SimSun" w:eastAsia="SimSun" w:cs="SimSun"/>
          <w:strike/>
          <w:color w:val="000000"/>
          <w:sz w:val="22"/>
          <w:highlight w:val="white"/>
          <w:u w:val="single"/>
        </w:rPr>
        <w:t xml:space="preserve">（关键工序）</w:t>
      </w:r>
      <w:r>
        <w:rPr>
          <w:rFonts w:ascii="SimSun" w:hAnsi="SimSun" w:eastAsia="SimSun" w:cs="SimSun"/>
          <w:strike/>
          <w:color w:val="000000"/>
          <w:sz w:val="22"/>
          <w:highlight w:val="white"/>
          <w:vertAlign w:val="superscript"/>
        </w:rPr>
        <w:t xml:space="preserve">5</w:t>
      </w:r>
      <w:r>
        <w:rPr>
          <w:rFonts w:ascii="SimSun" w:hAnsi="SimSun" w:eastAsia="SimSun" w:cs="SimSun"/>
          <w:color w:val="000000"/>
          <w:sz w:val="22"/>
          <w:highlight w:val="white"/>
        </w:rPr>
        <w:t xml:space="preserve">在中国境内完成。</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2.</w:t>
      </w:r>
      <w:r>
        <w:rPr>
          <w:rFonts w:ascii="SimSun" w:hAnsi="SimSun" w:eastAsia="SimSun" w:cs="SimSun"/>
          <w:color w:val="000000"/>
          <w:sz w:val="22"/>
          <w:highlight w:val="white"/>
          <w:u w:val="single"/>
        </w:rPr>
        <w:t xml:space="preserve">（产品名称2）</w:t>
      </w:r>
      <w:r>
        <w:rPr>
          <w:rFonts w:ascii="SimSun" w:hAnsi="SimSun" w:eastAsia="SimSun" w:cs="SimSun"/>
          <w:color w:val="000000"/>
          <w:sz w:val="22"/>
          <w:highlight w:val="white"/>
        </w:rPr>
        <w:t xml:space="preserve">，生产厂为</w:t>
      </w:r>
      <w:r>
        <w:rPr>
          <w:rFonts w:ascii="SimSun" w:hAnsi="SimSun" w:eastAsia="SimSun" w:cs="SimSun"/>
          <w:color w:val="000000"/>
          <w:sz w:val="22"/>
          <w:highlight w:val="white"/>
          <w:u w:val="single"/>
        </w:rPr>
        <w:t xml:space="preserve">（厂名）</w:t>
      </w:r>
      <w:r>
        <w:rPr>
          <w:rFonts w:ascii="SimSun" w:hAnsi="SimSun" w:eastAsia="SimSun" w:cs="SimSun"/>
          <w:color w:val="000000"/>
          <w:sz w:val="22"/>
          <w:highlight w:val="white"/>
        </w:rPr>
        <w:t xml:space="preserve">，厂址为</w:t>
      </w:r>
      <w:r>
        <w:rPr>
          <w:rFonts w:ascii="SimSun" w:hAnsi="SimSun" w:eastAsia="SimSun" w:cs="SimSun"/>
          <w:color w:val="000000"/>
          <w:sz w:val="22"/>
          <w:highlight w:val="white"/>
          <w:u w:val="single"/>
        </w:rPr>
        <w:t xml:space="preserve">（生产厂址）</w:t>
      </w:r>
      <w:r>
        <w:rPr>
          <w:rFonts w:ascii="SimSun" w:hAnsi="SimSun" w:eastAsia="SimSun" w:cs="SimSun"/>
          <w:color w:val="000000"/>
          <w:sz w:val="22"/>
          <w:highlight w:val="white"/>
        </w:rPr>
        <w:t xml:space="preserve">。</w:t>
      </w:r>
      <w:r>
        <w:rPr>
          <w:rFonts w:ascii="SimSun" w:hAnsi="SimSun" w:eastAsia="SimSun" w:cs="SimSun"/>
          <w:strike/>
          <w:color w:val="000000"/>
          <w:sz w:val="22"/>
          <w:highlight w:val="white"/>
          <w:u w:val="single"/>
        </w:rPr>
        <w:t xml:space="preserve">（产品名称2）</w:t>
      </w:r>
      <w:r>
        <w:rPr>
          <w:rFonts w:ascii="SimSun" w:hAnsi="SimSun" w:eastAsia="SimSun" w:cs="SimSun"/>
          <w:color w:val="000000"/>
          <w:sz w:val="22"/>
          <w:highlight w:val="white"/>
        </w:rPr>
        <w:t xml:space="preserve">的中国境内生产的组件成本占比≥</w:t>
      </w:r>
      <w:r>
        <w:rPr>
          <w:rFonts w:ascii="SimSun" w:hAnsi="SimSun" w:eastAsia="SimSun" w:cs="SimSun"/>
          <w:strike/>
          <w:color w:val="000000"/>
          <w:sz w:val="22"/>
          <w:highlight w:val="white"/>
          <w:u w:val="single"/>
        </w:rPr>
        <w:t xml:space="preserve">（规定比例）</w:t>
      </w:r>
      <w:r>
        <w:rPr>
          <w:rFonts w:ascii="SimSun" w:hAnsi="SimSun" w:eastAsia="SimSun" w:cs="SimSun"/>
          <w:color w:val="000000"/>
          <w:sz w:val="22"/>
          <w:highlight w:val="white"/>
        </w:rPr>
        <w:t xml:space="preserve">。</w:t>
      </w:r>
      <w:r>
        <w:rPr>
          <w:rFonts w:ascii="SimSun" w:hAnsi="SimSun" w:eastAsia="SimSun" w:cs="SimSun"/>
          <w:strike/>
          <w:color w:val="000000"/>
          <w:sz w:val="22"/>
          <w:highlight w:val="white"/>
          <w:u w:val="single"/>
        </w:rPr>
        <w:t xml:space="preserve">（产品名称2）</w:t>
      </w:r>
      <w:r>
        <w:rPr>
          <w:rFonts w:ascii="SimSun" w:hAnsi="SimSun" w:eastAsia="SimSun" w:cs="SimSun"/>
          <w:color w:val="000000"/>
          <w:sz w:val="22"/>
          <w:highlight w:val="white"/>
        </w:rPr>
        <w:t xml:space="preserve">的</w:t>
      </w:r>
      <w:r>
        <w:rPr>
          <w:rFonts w:ascii="SimSun" w:hAnsi="SimSun" w:eastAsia="SimSun" w:cs="SimSun"/>
          <w:strike/>
          <w:color w:val="000000"/>
          <w:sz w:val="22"/>
          <w:highlight w:val="white"/>
          <w:u w:val="single"/>
        </w:rPr>
        <w:t xml:space="preserve">（关键组件）</w:t>
      </w:r>
      <w:r>
        <w:rPr>
          <w:rFonts w:ascii="SimSun" w:hAnsi="SimSun" w:eastAsia="SimSun" w:cs="SimSun"/>
          <w:color w:val="000000"/>
          <w:sz w:val="22"/>
          <w:highlight w:val="white"/>
        </w:rPr>
        <w:t xml:space="preserve">在中国境内生产。</w:t>
      </w:r>
      <w:r>
        <w:rPr>
          <w:rFonts w:ascii="SimSun" w:hAnsi="SimSun" w:eastAsia="SimSun" w:cs="SimSun"/>
          <w:strike/>
          <w:color w:val="000000"/>
          <w:sz w:val="22"/>
          <w:highlight w:val="white"/>
          <w:u w:val="single"/>
        </w:rPr>
        <w:t xml:space="preserve">（产品名称1）</w:t>
      </w:r>
      <w:r>
        <w:rPr>
          <w:rFonts w:ascii="SimSun" w:hAnsi="SimSun" w:eastAsia="SimSun" w:cs="SimSun"/>
          <w:color w:val="000000"/>
          <w:sz w:val="22"/>
          <w:highlight w:val="white"/>
        </w:rPr>
        <w:t xml:space="preserve">的</w:t>
      </w:r>
      <w:r>
        <w:rPr>
          <w:rFonts w:ascii="SimSun" w:hAnsi="SimSun" w:eastAsia="SimSun" w:cs="SimSun"/>
          <w:strike/>
          <w:color w:val="000000"/>
          <w:sz w:val="22"/>
          <w:highlight w:val="white"/>
          <w:u w:val="single"/>
        </w:rPr>
        <w:t xml:space="preserve">（关键工序）</w:t>
      </w:r>
      <w:r>
        <w:rPr>
          <w:rFonts w:ascii="SimSun" w:hAnsi="SimSun" w:eastAsia="SimSun" w:cs="SimSun"/>
          <w:color w:val="000000"/>
          <w:sz w:val="22"/>
          <w:highlight w:val="white"/>
        </w:rPr>
        <w:t xml:space="preserve">在中国境内完成。</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w:t>
      </w:r>
      <w:r/>
    </w:p>
    <w:p>
      <w:pPr>
        <w:ind w:left="0" w:right="0" w:firstLine="42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本公司（单位）对上述声明内容的真实性负责。如有虚假，愿承担相应法律责任。</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480" w:firstLine="372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公司（单位）名称（盖章）：         </w:t>
      </w:r>
      <w:r/>
    </w:p>
    <w:p>
      <w:pPr>
        <w:ind w:left="0" w:right="0" w:firstLine="0"/>
        <w:jc w:val="center"/>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                                日期：    年   月   日         </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__________________</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1.产品如有型号，请在“产品名称”栏一并填写。</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2.生产厂名与厂址应与生产厂营业执照载明的相关信息保持一致。</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3.该产品的中国境内生产的组件成本占比相关要求实施前，“规定比例”栏可不填，下同。</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4.该产品的关键组件要求实施前，“关键组件”栏可不填，下同。</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5.该产品的关键工序要求实施前，“关键工序”栏可不填，下同。</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6.用斜线划除的地方无需填写。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rPr>
          <w:rFonts w:ascii="SimHei" w:hAnsi="SimHei" w:eastAsia="SimHei" w:cs="SimHei"/>
          <w:sz w:val="22"/>
        </w:rPr>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格式17：投标（响应）保证承诺书</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投标（响应）保证承诺书</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致：</w:t>
      </w:r>
      <w:r>
        <w:rPr>
          <w:rFonts w:ascii="SimSun" w:hAnsi="SimSun" w:eastAsia="SimSun" w:cs="SimSun"/>
          <w:color w:val="000000"/>
          <w:sz w:val="22"/>
          <w:u w:val="single"/>
        </w:rPr>
        <w:t xml:space="preserve">（采购代理机构名称）</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我（单位/本人，以下统称我单位）自愿参加</w:t>
      </w:r>
      <w:r>
        <w:rPr>
          <w:rFonts w:ascii="SimSun" w:hAnsi="SimSun" w:eastAsia="SimSun" w:cs="SimSun"/>
          <w:color w:val="000000"/>
          <w:sz w:val="21"/>
          <w:u w:val="single"/>
        </w:rPr>
        <w:t xml:space="preserve"> </w:t>
      </w:r>
      <w:r>
        <w:rPr>
          <w:rFonts w:ascii="SimSun" w:hAnsi="SimSun" w:eastAsia="SimSun" w:cs="SimSun"/>
          <w:color w:val="000000"/>
          <w:sz w:val="22"/>
          <w:u w:val="single"/>
        </w:rPr>
        <w:t xml:space="preserve">（项目名称和项目编号）</w:t>
      </w:r>
      <w:r>
        <w:rPr>
          <w:rFonts w:ascii="SimSun" w:hAnsi="SimSun" w:eastAsia="SimSun" w:cs="SimSun"/>
          <w:color w:val="000000"/>
          <w:sz w:val="22"/>
        </w:rPr>
        <w:t xml:space="preserve">的投标（响应），并做出如下承诺：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一、除不可抗力外，我单位如果发生以下行为，将在行为发生的10个工作日内，向贵方</w:t>
      </w:r>
      <w:r>
        <w:rPr>
          <w:rFonts w:ascii="SimSun" w:hAnsi="SimSun" w:eastAsia="SimSun" w:cs="SimSun"/>
          <w:color w:val="000000"/>
          <w:sz w:val="22"/>
          <w:u w:val="single"/>
        </w:rPr>
        <w:t xml:space="preserve">（或采购人）</w:t>
      </w:r>
      <w:r>
        <w:rPr>
          <w:rFonts w:ascii="SimSun" w:hAnsi="SimSun" w:eastAsia="SimSun" w:cs="SimSun"/>
          <w:color w:val="000000"/>
          <w:sz w:val="22"/>
        </w:rPr>
        <w:t xml:space="preserve">支付本采购文件公布的预算金额（或最高限价）的2%作为违约赔偿金（数量不确定的单价采购须约定具体金额）。</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1.自投标（响应）截止时间至本项目发布中标（成交）公告为止，撤销投标（响应）；</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2.中标（成交）后不依法与采购人签订合同；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3.中标（成交）后不按本采购文件规定向贵方缴纳采购代理费。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二、我单位知晓上述行为的法律后果，承认本承诺书作为贵方</w:t>
      </w:r>
      <w:r>
        <w:rPr>
          <w:rFonts w:ascii="SimSun" w:hAnsi="SimSun" w:eastAsia="SimSun" w:cs="SimSun"/>
          <w:color w:val="000000"/>
          <w:sz w:val="22"/>
          <w:u w:val="single"/>
        </w:rPr>
        <w:t xml:space="preserve">（或采购人）</w:t>
      </w:r>
      <w:r>
        <w:rPr>
          <w:rFonts w:ascii="SimSun" w:hAnsi="SimSun" w:eastAsia="SimSun" w:cs="SimSun"/>
          <w:color w:val="000000"/>
          <w:sz w:val="22"/>
        </w:rPr>
        <w:t xml:space="preserve">要求我单位履行违约赔偿义务的依据作用。</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响应单位名称（加盖CA电子公章）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日期：年月日</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p>
      <w:pPr>
        <w:ind w:left="0" w:right="0" w:firstLine="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5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5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（全文完）</w:t>
      </w:r>
      <w:r/>
    </w:p>
    <w:p>
      <w:pPr>
        <w:ind w:left="0" w:right="0" w:firstLine="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u w:val="single"/>
        </w:rP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sz w:val="22"/>
        </w:rPr>
      </w:r>
      <w:r>
        <w:rPr>
          <w:rFonts w:ascii="SimHei" w:hAnsi="SimHei" w:eastAsia="SimHei" w:cs="SimHei"/>
          <w:sz w:val="22"/>
        </w:rPr>
      </w:r>
      <w:r/>
    </w:p>
    <w:sectPr>
      <w:footerReference w:type="default" r:id="rId9"/>
      <w:footnotePr/>
      <w:endnotePr/>
      <w:type w:val="nextPage"/>
      <w:pgSz w:w="11906" w:h="16838" w:orient="portrait"/>
      <w:pgMar w:top="1440" w:right="1800" w:bottom="1440" w:left="1800"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SimHei">
    <w:panose1 w:val="02010609060101010101"/>
  </w:font>
  <w:font w:name="Wingdings">
    <w:panose1 w:val="05000000000000000000"/>
  </w:font>
  <w:font w:name="Yu Gothic">
    <w:panose1 w:val="020B0400000000000000"/>
  </w:font>
  <w:font w:name="等线">
    <w:panose1 w:val="02010600030101010101"/>
  </w:font>
  <w:font w:name="楷体_GB2312">
    <w:panose1 w:val="02010609060101010101"/>
  </w:font>
  <w:font w:name="Calibri">
    <w:panose1 w:val="020F0502020204030204"/>
  </w:font>
  <w:font w:name="ヒラギノ角ゴ Pro W3">
    <w:panose1 w:val="020B0503020202020204"/>
  </w:font>
  <w:font w:name="Courier New">
    <w:panose1 w:val="02070309020205020404"/>
  </w:font>
  <w:font w:name="方正仿宋简体">
    <w:panose1 w:val="020B0503020202020204"/>
  </w:font>
  <w:font w:name="Symbol">
    <w:panose1 w:val="05050102010706020507"/>
  </w:font>
  <w:font w:name="黑体">
    <w:panose1 w:val="02010609060101010101"/>
  </w:font>
  <w:font w:name="Arial Unicode MS">
    <w:panose1 w:val="020B0604020202020204"/>
  </w:font>
  <w:font w:name="Arial">
    <w:panose1 w:val="020B0604020202020204"/>
  </w:font>
  <w:font w:name="创艺简仿宋">
    <w:panose1 w:val="020B0503020202020204"/>
  </w:font>
  <w:font w:name="SimSun">
    <w:panose1 w:val="02010600030101010101"/>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3"/>
      <w:jc w:val="center"/>
      <w:rPr>
        <w:rFonts w:hint="eastAsia"/>
      </w:rPr>
    </w:pPr>
    <w:r>
      <w:fldChar w:fldCharType="begin"/>
    </w:r>
    <w:r>
      <w:instrText xml:space="preserve">PAGE \* MERGEFORMAT</w:instrText>
    </w:r>
    <w:r>
      <w:fldChar w:fldCharType="separate"/>
    </w:r>
    <w:r>
      <w:t xml:space="preserve">1</w:t>
    </w:r>
    <w:r>
      <w:fldChar w:fldCharType="end"/>
    </w:r>
    <w:r/>
  </w:p>
  <w:p>
    <w:pPr>
      <w:pStyle w:val="793"/>
      <w:rPr>
        <w:rFonts w:hint="eastAsia"/>
      </w:rPr>
    </w:pPr>
    <w:r>
      <w:rPr>
        <w:rFonts w:hint="eastAsia"/>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2"/>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6"/>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2"/>
      <w:numFmt w:val="decimal"/>
      <w:isLgl w:val="false"/>
      <w:suff w:val="tab"/>
      <w:lvlText w:val="第%1章"/>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5">
    <w:multiLevelType w:val="hybridMultilevel"/>
    <w:lvl w:ilvl="0">
      <w:start w:val="3"/>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6">
    <w:multiLevelType w:val="hybridMultilevel"/>
    <w:lvl w:ilvl="0">
      <w:start w:val="6"/>
      <w:numFmt w:val="decimal"/>
      <w:isLgl w:val="false"/>
      <w:suff w:val="tab"/>
      <w:lvlText w:val="第%1章"/>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668">
    <w:name w:val="Plain Table 1"/>
    <w:basedOn w:val="69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69">
    <w:name w:val="Plain Table 2"/>
    <w:basedOn w:val="69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0">
    <w:name w:val="Plain Table 3"/>
    <w:basedOn w:val="69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1">
    <w:name w:val="Plain Table 4"/>
    <w:basedOn w:val="69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72">
    <w:name w:val="Plain Table 5"/>
    <w:basedOn w:val="69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73">
    <w:name w:val="Grid Table 1 Light"/>
    <w:basedOn w:val="69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74">
    <w:name w:val="Grid Table 2"/>
    <w:basedOn w:val="69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75">
    <w:name w:val="Grid Table 3"/>
    <w:basedOn w:val="69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76">
    <w:name w:val="Grid Table 4"/>
    <w:basedOn w:val="69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77">
    <w:name w:val="Grid Table 5 Dark"/>
    <w:basedOn w:val="69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678">
    <w:name w:val="Grid Table 6 Colorful"/>
    <w:basedOn w:val="69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679">
    <w:name w:val="Grid Table 7 Colorful"/>
    <w:basedOn w:val="69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680">
    <w:name w:val="List Table 1 Light"/>
    <w:basedOn w:val="69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681">
    <w:name w:val="List Table 2"/>
    <w:basedOn w:val="69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682">
    <w:name w:val="List Table 3"/>
    <w:basedOn w:val="69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83">
    <w:name w:val="List Table 4"/>
    <w:basedOn w:val="69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84">
    <w:name w:val="List Table 5 Dark"/>
    <w:basedOn w:val="69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685">
    <w:name w:val="List Table 6 Colorful"/>
    <w:basedOn w:val="69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686">
    <w:name w:val="List Table 7 Colorful"/>
    <w:basedOn w:val="69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687">
    <w:name w:val="TOC Heading"/>
    <w:uiPriority w:val="39"/>
    <w:unhideWhenUsed/>
  </w:style>
  <w:style w:type="paragraph" w:styleId="688" w:default="1">
    <w:name w:val="Normal"/>
    <w:uiPriority w:val="0"/>
    <w:qFormat/>
    <w:pPr>
      <w:jc w:val="both"/>
      <w:widowControl w:val="off"/>
    </w:pPr>
    <w:rPr>
      <w:rFonts w:hint="default" w:ascii="黑体" w:hAnsi="黑体" w:eastAsia="宋体" w:cs="宋体"/>
      <w:sz w:val="21"/>
      <w:szCs w:val="21"/>
      <w:lang w:eastAsia="zh-CN"/>
    </w:rPr>
  </w:style>
  <w:style w:type="paragraph" w:styleId="689">
    <w:name w:val="Heading 5"/>
    <w:next w:val="688"/>
    <w:uiPriority w:val="9"/>
    <w:unhideWhenUsed/>
    <w:qFormat/>
    <w:pPr>
      <w:jc w:val="both"/>
      <w:keepLines/>
      <w:keepNext/>
      <w:spacing w:line="360" w:lineRule="atLeast"/>
      <w:widowControl w:val="off"/>
      <w:outlineLvl w:val="4"/>
    </w:pPr>
    <w:rPr>
      <w:rFonts w:ascii="Times New Roman" w:hAnsi="Times New Roman" w:eastAsia="宋体" w:cs="Times New Roman"/>
      <w:sz w:val="24"/>
      <w:szCs w:val="20"/>
      <w:lang w:val="en-US" w:eastAsia="zh-CN" w:bidi="ar-SA"/>
    </w:rPr>
  </w:style>
  <w:style w:type="character" w:styleId="690" w:default="1">
    <w:name w:val="Default Paragraph Font"/>
    <w:uiPriority w:val="1"/>
    <w:unhideWhenUsed/>
    <w:qFormat/>
  </w:style>
  <w:style w:type="table" w:styleId="691" w:default="1">
    <w:name w:val="Normal Table"/>
    <w:uiPriority w:val="99"/>
    <w:unhideWhenUsed/>
    <w:qFormat/>
    <w:tblPr>
      <w:tblCellMar>
        <w:left w:w="108" w:type="dxa"/>
        <w:top w:w="0" w:type="dxa"/>
        <w:right w:w="108" w:type="dxa"/>
        <w:bottom w:w="0" w:type="dxa"/>
      </w:tblCellMar>
    </w:tblPr>
  </w:style>
  <w:style w:type="paragraph" w:styleId="692">
    <w:name w:val="toc 7"/>
    <w:basedOn w:val="688"/>
    <w:next w:val="688"/>
    <w:uiPriority w:val="39"/>
    <w:unhideWhenUsed/>
    <w:qFormat/>
    <w:pPr>
      <w:ind w:left="1701" w:right="0" w:firstLine="0"/>
      <w:spacing w:after="57"/>
    </w:pPr>
  </w:style>
  <w:style w:type="paragraph" w:styleId="693">
    <w:name w:val="annotation text"/>
    <w:basedOn w:val="688"/>
    <w:uiPriority w:val="99"/>
    <w:unhideWhenUsed/>
    <w:qFormat/>
    <w:pPr>
      <w:jc w:val="left"/>
    </w:pPr>
  </w:style>
  <w:style w:type="paragraph" w:styleId="694">
    <w:name w:val="toc 5"/>
    <w:basedOn w:val="688"/>
    <w:next w:val="688"/>
    <w:uiPriority w:val="39"/>
    <w:unhideWhenUsed/>
    <w:pPr>
      <w:ind w:left="1134" w:right="0" w:firstLine="0"/>
      <w:spacing w:after="57"/>
    </w:pPr>
  </w:style>
  <w:style w:type="paragraph" w:styleId="695">
    <w:name w:val="toc 3"/>
    <w:basedOn w:val="688"/>
    <w:next w:val="688"/>
    <w:uiPriority w:val="39"/>
    <w:unhideWhenUsed/>
    <w:qFormat/>
    <w:pPr>
      <w:ind w:left="567" w:right="0" w:firstLine="0"/>
      <w:spacing w:after="57"/>
    </w:pPr>
  </w:style>
  <w:style w:type="paragraph" w:styleId="696">
    <w:name w:val="toc 8"/>
    <w:basedOn w:val="688"/>
    <w:next w:val="688"/>
    <w:uiPriority w:val="39"/>
    <w:unhideWhenUsed/>
    <w:pPr>
      <w:ind w:left="1984" w:right="0" w:firstLine="0"/>
      <w:spacing w:after="57"/>
    </w:pPr>
  </w:style>
  <w:style w:type="paragraph" w:styleId="697">
    <w:name w:val="endnote text"/>
    <w:basedOn w:val="688"/>
    <w:link w:val="712"/>
    <w:uiPriority w:val="99"/>
    <w:unhideWhenUsed/>
    <w:qFormat/>
    <w:pPr>
      <w:spacing w:after="0" w:line="240" w:lineRule="auto"/>
    </w:pPr>
    <w:rPr>
      <w:sz w:val="20"/>
    </w:rPr>
  </w:style>
  <w:style w:type="paragraph" w:styleId="698">
    <w:name w:val="Footer"/>
    <w:basedOn w:val="688"/>
    <w:uiPriority w:val="99"/>
    <w:unhideWhenUsed/>
    <w:qFormat/>
    <w:pPr>
      <w:jc w:val="left"/>
      <w:tabs>
        <w:tab w:val="center" w:pos="4153" w:leader="none"/>
        <w:tab w:val="right" w:pos="8306" w:leader="none"/>
      </w:tabs>
    </w:pPr>
    <w:rPr>
      <w:sz w:val="18"/>
    </w:rPr>
  </w:style>
  <w:style w:type="paragraph" w:styleId="699">
    <w:name w:val="toc 1"/>
    <w:basedOn w:val="688"/>
    <w:next w:val="688"/>
    <w:uiPriority w:val="39"/>
    <w:unhideWhenUsed/>
    <w:qFormat/>
    <w:pPr>
      <w:ind w:left="0" w:right="0" w:firstLine="0"/>
      <w:spacing w:after="57"/>
    </w:pPr>
  </w:style>
  <w:style w:type="paragraph" w:styleId="700">
    <w:name w:val="toc 4"/>
    <w:basedOn w:val="688"/>
    <w:next w:val="688"/>
    <w:uiPriority w:val="39"/>
    <w:unhideWhenUsed/>
    <w:qFormat/>
    <w:pPr>
      <w:ind w:left="850" w:right="0" w:firstLine="0"/>
      <w:spacing w:after="57"/>
    </w:pPr>
  </w:style>
  <w:style w:type="paragraph" w:styleId="701">
    <w:name w:val="Subtitle"/>
    <w:basedOn w:val="688"/>
    <w:next w:val="688"/>
    <w:link w:val="713"/>
    <w:uiPriority w:val="11"/>
    <w:qFormat/>
    <w:pPr>
      <w:spacing w:before="200" w:after="200"/>
    </w:pPr>
    <w:rPr>
      <w:sz w:val="24"/>
      <w:szCs w:val="24"/>
    </w:rPr>
  </w:style>
  <w:style w:type="paragraph" w:styleId="702">
    <w:name w:val="footnote text"/>
    <w:basedOn w:val="688"/>
    <w:link w:val="714"/>
    <w:uiPriority w:val="99"/>
    <w:unhideWhenUsed/>
    <w:qFormat/>
    <w:pPr>
      <w:spacing w:after="40" w:line="240" w:lineRule="auto"/>
    </w:pPr>
    <w:rPr>
      <w:sz w:val="18"/>
    </w:rPr>
  </w:style>
  <w:style w:type="paragraph" w:styleId="703">
    <w:name w:val="toc 6"/>
    <w:basedOn w:val="688"/>
    <w:next w:val="688"/>
    <w:uiPriority w:val="39"/>
    <w:unhideWhenUsed/>
    <w:qFormat/>
    <w:pPr>
      <w:ind w:left="1417" w:right="0" w:firstLine="0"/>
      <w:spacing w:after="57"/>
    </w:pPr>
  </w:style>
  <w:style w:type="paragraph" w:styleId="704">
    <w:name w:val="table of figures"/>
    <w:basedOn w:val="688"/>
    <w:next w:val="688"/>
    <w:uiPriority w:val="99"/>
    <w:unhideWhenUsed/>
    <w:qFormat/>
    <w:pPr>
      <w:spacing w:after="0" w:afterAutospacing="0"/>
    </w:pPr>
  </w:style>
  <w:style w:type="paragraph" w:styleId="705">
    <w:name w:val="toc 2"/>
    <w:basedOn w:val="688"/>
    <w:next w:val="688"/>
    <w:uiPriority w:val="39"/>
    <w:unhideWhenUsed/>
    <w:qFormat/>
    <w:pPr>
      <w:ind w:left="283" w:right="0" w:firstLine="0"/>
      <w:spacing w:after="57"/>
    </w:pPr>
  </w:style>
  <w:style w:type="paragraph" w:styleId="706">
    <w:name w:val="toc 9"/>
    <w:basedOn w:val="688"/>
    <w:next w:val="688"/>
    <w:uiPriority w:val="39"/>
    <w:unhideWhenUsed/>
    <w:qFormat/>
    <w:pPr>
      <w:ind w:left="2268" w:right="0" w:firstLine="0"/>
      <w:spacing w:after="57"/>
    </w:pPr>
  </w:style>
  <w:style w:type="paragraph" w:styleId="707">
    <w:name w:val="Title"/>
    <w:basedOn w:val="688"/>
    <w:next w:val="688"/>
    <w:link w:val="715"/>
    <w:uiPriority w:val="10"/>
    <w:qFormat/>
    <w:pPr>
      <w:contextualSpacing/>
      <w:spacing w:before="300" w:after="200"/>
    </w:pPr>
    <w:rPr>
      <w:sz w:val="48"/>
      <w:szCs w:val="48"/>
    </w:rPr>
  </w:style>
  <w:style w:type="table" w:styleId="708">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9">
    <w:name w:val="endnote reference"/>
    <w:uiPriority w:val="99"/>
    <w:unhideWhenUsed/>
    <w:qFormat/>
    <w:rPr>
      <w:vertAlign w:val="superscript"/>
    </w:rPr>
  </w:style>
  <w:style w:type="character" w:styleId="710">
    <w:name w:val="Hyperlink"/>
    <w:uiPriority w:val="99"/>
    <w:unhideWhenUsed/>
    <w:qFormat/>
    <w:rPr>
      <w:color w:val="0000ff"/>
      <w:u w:val="single"/>
    </w:rPr>
  </w:style>
  <w:style w:type="character" w:styleId="711">
    <w:name w:val="footnote reference"/>
    <w:uiPriority w:val="99"/>
    <w:unhideWhenUsed/>
    <w:qFormat/>
    <w:rPr>
      <w:vertAlign w:val="superscript"/>
    </w:rPr>
  </w:style>
  <w:style w:type="character" w:styleId="712" w:customStyle="1">
    <w:name w:val="Endnote Text Char"/>
    <w:link w:val="697"/>
    <w:uiPriority w:val="99"/>
    <w:qFormat/>
    <w:rPr>
      <w:sz w:val="20"/>
    </w:rPr>
  </w:style>
  <w:style w:type="character" w:styleId="713" w:customStyle="1">
    <w:name w:val="Subtitle Char"/>
    <w:link w:val="701"/>
    <w:uiPriority w:val="11"/>
    <w:qFormat/>
    <w:rPr>
      <w:sz w:val="24"/>
      <w:szCs w:val="24"/>
    </w:rPr>
  </w:style>
  <w:style w:type="character" w:styleId="714" w:customStyle="1">
    <w:name w:val="Footnote Text Char"/>
    <w:link w:val="702"/>
    <w:uiPriority w:val="99"/>
    <w:qFormat/>
    <w:rPr>
      <w:sz w:val="18"/>
    </w:rPr>
  </w:style>
  <w:style w:type="character" w:styleId="715" w:customStyle="1">
    <w:name w:val="Title Char"/>
    <w:link w:val="707"/>
    <w:uiPriority w:val="10"/>
    <w:qFormat/>
    <w:rPr>
      <w:sz w:val="48"/>
      <w:szCs w:val="48"/>
    </w:rPr>
  </w:style>
  <w:style w:type="paragraph" w:styleId="716" w:customStyle="1">
    <w:name w:val="Heading 1"/>
    <w:basedOn w:val="688"/>
    <w:next w:val="688"/>
    <w:link w:val="717"/>
    <w:uiPriority w:val="9"/>
    <w:qFormat/>
    <w:pPr>
      <w:keepLines/>
      <w:keepNext/>
      <w:spacing w:before="480" w:after="200"/>
      <w:outlineLvl w:val="0"/>
    </w:pPr>
    <w:rPr>
      <w:rFonts w:ascii="Arial" w:hAnsi="Arial" w:eastAsia="Arial" w:cs="Arial"/>
      <w:sz w:val="40"/>
      <w:szCs w:val="40"/>
    </w:rPr>
  </w:style>
  <w:style w:type="character" w:styleId="717" w:customStyle="1">
    <w:name w:val="Heading 1 Char"/>
    <w:link w:val="716"/>
    <w:uiPriority w:val="9"/>
    <w:qFormat/>
    <w:rPr>
      <w:rFonts w:ascii="Arial" w:hAnsi="Arial" w:eastAsia="Arial" w:cs="Arial"/>
      <w:sz w:val="40"/>
      <w:szCs w:val="40"/>
    </w:rPr>
  </w:style>
  <w:style w:type="paragraph" w:styleId="718" w:customStyle="1">
    <w:name w:val="Heading 2"/>
    <w:basedOn w:val="688"/>
    <w:next w:val="688"/>
    <w:link w:val="719"/>
    <w:uiPriority w:val="9"/>
    <w:unhideWhenUsed/>
    <w:qFormat/>
    <w:pPr>
      <w:keepLines/>
      <w:keepNext/>
      <w:spacing w:before="360" w:after="200"/>
      <w:outlineLvl w:val="1"/>
    </w:pPr>
    <w:rPr>
      <w:rFonts w:ascii="Arial" w:hAnsi="Arial" w:eastAsia="Arial" w:cs="Arial"/>
      <w:sz w:val="34"/>
    </w:rPr>
  </w:style>
  <w:style w:type="character" w:styleId="719" w:customStyle="1">
    <w:name w:val="Heading 2 Char"/>
    <w:link w:val="718"/>
    <w:uiPriority w:val="9"/>
    <w:qFormat/>
    <w:rPr>
      <w:rFonts w:ascii="Arial" w:hAnsi="Arial" w:eastAsia="Arial" w:cs="Arial"/>
      <w:sz w:val="34"/>
    </w:rPr>
  </w:style>
  <w:style w:type="paragraph" w:styleId="720" w:customStyle="1">
    <w:name w:val="Heading 3"/>
    <w:basedOn w:val="688"/>
    <w:next w:val="688"/>
    <w:uiPriority w:val="9"/>
    <w:unhideWhenUsed/>
    <w:qFormat/>
    <w:pPr>
      <w:keepLines/>
      <w:keepNext/>
      <w:spacing w:before="320" w:after="200"/>
      <w:outlineLvl w:val="2"/>
    </w:pPr>
    <w:rPr>
      <w:rFonts w:ascii="Arial" w:hAnsi="Arial" w:eastAsia="Arial" w:cs="Arial"/>
      <w:sz w:val="30"/>
      <w:szCs w:val="30"/>
    </w:rPr>
  </w:style>
  <w:style w:type="paragraph" w:styleId="721" w:customStyle="1">
    <w:name w:val="Heading 4"/>
    <w:basedOn w:val="688"/>
    <w:next w:val="688"/>
    <w:link w:val="722"/>
    <w:uiPriority w:val="9"/>
    <w:unhideWhenUsed/>
    <w:qFormat/>
    <w:pPr>
      <w:keepLines/>
      <w:keepNext/>
      <w:spacing w:before="320" w:after="200"/>
      <w:outlineLvl w:val="3"/>
    </w:pPr>
    <w:rPr>
      <w:rFonts w:ascii="Arial" w:hAnsi="Arial" w:eastAsia="Arial" w:cs="Arial"/>
      <w:b/>
      <w:bCs/>
      <w:sz w:val="26"/>
      <w:szCs w:val="26"/>
    </w:rPr>
  </w:style>
  <w:style w:type="character" w:styleId="722" w:customStyle="1">
    <w:name w:val="Heading 4 Char"/>
    <w:link w:val="721"/>
    <w:uiPriority w:val="9"/>
    <w:qFormat/>
    <w:rPr>
      <w:rFonts w:ascii="Arial" w:hAnsi="Arial" w:eastAsia="Arial" w:cs="Arial"/>
      <w:b/>
      <w:bCs/>
      <w:sz w:val="26"/>
      <w:szCs w:val="26"/>
    </w:rPr>
  </w:style>
  <w:style w:type="paragraph" w:styleId="723" w:customStyle="1">
    <w:name w:val="Heading 5"/>
    <w:basedOn w:val="688"/>
    <w:next w:val="688"/>
    <w:link w:val="724"/>
    <w:uiPriority w:val="9"/>
    <w:unhideWhenUsed/>
    <w:qFormat/>
    <w:pPr>
      <w:keepLines/>
      <w:keepNext/>
      <w:spacing w:before="320" w:after="200"/>
      <w:outlineLvl w:val="4"/>
    </w:pPr>
    <w:rPr>
      <w:rFonts w:ascii="Arial" w:hAnsi="Arial" w:eastAsia="Arial" w:cs="Arial"/>
      <w:b/>
      <w:bCs/>
      <w:sz w:val="24"/>
      <w:szCs w:val="24"/>
    </w:rPr>
  </w:style>
  <w:style w:type="character" w:styleId="724" w:customStyle="1">
    <w:name w:val="Heading 5 Char"/>
    <w:link w:val="723"/>
    <w:uiPriority w:val="9"/>
    <w:qFormat/>
    <w:rPr>
      <w:rFonts w:ascii="Arial" w:hAnsi="Arial" w:eastAsia="Arial" w:cs="Arial"/>
      <w:b/>
      <w:bCs/>
      <w:sz w:val="24"/>
      <w:szCs w:val="24"/>
    </w:rPr>
  </w:style>
  <w:style w:type="paragraph" w:styleId="725" w:customStyle="1">
    <w:name w:val="Heading 6"/>
    <w:basedOn w:val="688"/>
    <w:next w:val="688"/>
    <w:link w:val="726"/>
    <w:uiPriority w:val="9"/>
    <w:unhideWhenUsed/>
    <w:qFormat/>
    <w:pPr>
      <w:keepLines/>
      <w:keepNext/>
      <w:spacing w:before="320" w:after="200"/>
      <w:outlineLvl w:val="5"/>
    </w:pPr>
    <w:rPr>
      <w:rFonts w:ascii="Arial" w:hAnsi="Arial" w:eastAsia="Arial" w:cs="Arial"/>
      <w:b/>
      <w:bCs/>
      <w:sz w:val="22"/>
      <w:szCs w:val="22"/>
    </w:rPr>
  </w:style>
  <w:style w:type="character" w:styleId="726" w:customStyle="1">
    <w:name w:val="Heading 6 Char"/>
    <w:link w:val="725"/>
    <w:uiPriority w:val="9"/>
    <w:qFormat/>
    <w:rPr>
      <w:rFonts w:ascii="Arial" w:hAnsi="Arial" w:eastAsia="Arial" w:cs="Arial"/>
      <w:b/>
      <w:bCs/>
      <w:sz w:val="22"/>
      <w:szCs w:val="22"/>
    </w:rPr>
  </w:style>
  <w:style w:type="paragraph" w:styleId="727" w:customStyle="1">
    <w:name w:val="Heading 7"/>
    <w:basedOn w:val="688"/>
    <w:next w:val="688"/>
    <w:link w:val="728"/>
    <w:uiPriority w:val="9"/>
    <w:unhideWhenUsed/>
    <w:qFormat/>
    <w:pPr>
      <w:keepLines/>
      <w:keepNext/>
      <w:spacing w:before="320" w:after="200"/>
      <w:outlineLvl w:val="6"/>
    </w:pPr>
    <w:rPr>
      <w:rFonts w:ascii="Arial" w:hAnsi="Arial" w:eastAsia="Arial" w:cs="Arial"/>
      <w:b/>
      <w:bCs/>
      <w:i/>
      <w:iCs/>
      <w:sz w:val="22"/>
      <w:szCs w:val="22"/>
    </w:rPr>
  </w:style>
  <w:style w:type="character" w:styleId="728" w:customStyle="1">
    <w:name w:val="Heading 7 Char"/>
    <w:link w:val="727"/>
    <w:uiPriority w:val="9"/>
    <w:qFormat/>
    <w:rPr>
      <w:rFonts w:ascii="Arial" w:hAnsi="Arial" w:eastAsia="Arial" w:cs="Arial"/>
      <w:b/>
      <w:bCs/>
      <w:i/>
      <w:iCs/>
      <w:sz w:val="22"/>
      <w:szCs w:val="22"/>
    </w:rPr>
  </w:style>
  <w:style w:type="paragraph" w:styleId="729" w:customStyle="1">
    <w:name w:val="Heading 8"/>
    <w:basedOn w:val="688"/>
    <w:next w:val="688"/>
    <w:link w:val="730"/>
    <w:uiPriority w:val="9"/>
    <w:unhideWhenUsed/>
    <w:qFormat/>
    <w:pPr>
      <w:keepLines/>
      <w:keepNext/>
      <w:spacing w:before="320" w:after="200"/>
      <w:outlineLvl w:val="7"/>
    </w:pPr>
    <w:rPr>
      <w:rFonts w:ascii="Arial" w:hAnsi="Arial" w:eastAsia="Arial" w:cs="Arial"/>
      <w:i/>
      <w:iCs/>
      <w:sz w:val="22"/>
      <w:szCs w:val="22"/>
    </w:rPr>
  </w:style>
  <w:style w:type="character" w:styleId="730" w:customStyle="1">
    <w:name w:val="Heading 8 Char"/>
    <w:link w:val="729"/>
    <w:uiPriority w:val="9"/>
    <w:qFormat/>
    <w:rPr>
      <w:rFonts w:ascii="Arial" w:hAnsi="Arial" w:eastAsia="Arial" w:cs="Arial"/>
      <w:i/>
      <w:iCs/>
      <w:sz w:val="22"/>
      <w:szCs w:val="22"/>
    </w:rPr>
  </w:style>
  <w:style w:type="paragraph" w:styleId="731" w:customStyle="1">
    <w:name w:val="Heading 9"/>
    <w:basedOn w:val="688"/>
    <w:next w:val="688"/>
    <w:link w:val="732"/>
    <w:uiPriority w:val="9"/>
    <w:unhideWhenUsed/>
    <w:qFormat/>
    <w:pPr>
      <w:keepLines/>
      <w:keepNext/>
      <w:spacing w:before="320" w:after="200"/>
      <w:outlineLvl w:val="8"/>
    </w:pPr>
    <w:rPr>
      <w:rFonts w:ascii="Arial" w:hAnsi="Arial" w:eastAsia="Arial" w:cs="Arial"/>
      <w:i/>
      <w:iCs/>
      <w:sz w:val="21"/>
      <w:szCs w:val="21"/>
    </w:rPr>
  </w:style>
  <w:style w:type="character" w:styleId="732" w:customStyle="1">
    <w:name w:val="Heading 9 Char"/>
    <w:link w:val="731"/>
    <w:uiPriority w:val="9"/>
    <w:qFormat/>
    <w:rPr>
      <w:rFonts w:ascii="Arial" w:hAnsi="Arial" w:eastAsia="Arial" w:cs="Arial"/>
      <w:i/>
      <w:iCs/>
      <w:sz w:val="21"/>
      <w:szCs w:val="21"/>
    </w:rPr>
  </w:style>
  <w:style w:type="character" w:styleId="733" w:customStyle="1">
    <w:name w:val="Quote Char"/>
    <w:uiPriority w:val="29"/>
    <w:qFormat/>
    <w:rPr>
      <w:i/>
    </w:rPr>
  </w:style>
  <w:style w:type="character" w:styleId="734" w:customStyle="1">
    <w:name w:val="Intense Quote Char"/>
    <w:uiPriority w:val="30"/>
    <w:qFormat/>
    <w:rPr>
      <w:i/>
    </w:rPr>
  </w:style>
  <w:style w:type="paragraph" w:styleId="735" w:customStyle="1">
    <w:name w:val="Header"/>
    <w:basedOn w:val="688"/>
    <w:uiPriority w:val="99"/>
    <w:unhideWhenUsed/>
    <w:qFormat/>
    <w:pPr>
      <w:spacing w:after="0" w:line="240" w:lineRule="auto"/>
      <w:tabs>
        <w:tab w:val="center" w:pos="7143" w:leader="none"/>
        <w:tab w:val="right" w:pos="14287" w:leader="none"/>
      </w:tabs>
    </w:pPr>
  </w:style>
  <w:style w:type="paragraph" w:styleId="736" w:customStyle="1">
    <w:name w:val="Footer"/>
    <w:basedOn w:val="688"/>
    <w:uiPriority w:val="99"/>
    <w:unhideWhenUsed/>
    <w:qFormat/>
    <w:pPr>
      <w:spacing w:after="0" w:line="240" w:lineRule="auto"/>
      <w:tabs>
        <w:tab w:val="center" w:pos="7143" w:leader="none"/>
        <w:tab w:val="right" w:pos="14287" w:leader="none"/>
      </w:tabs>
    </w:pPr>
  </w:style>
  <w:style w:type="paragraph" w:styleId="737" w:customStyle="1">
    <w:name w:val="Caption"/>
    <w:basedOn w:val="688"/>
    <w:next w:val="688"/>
    <w:uiPriority w:val="35"/>
    <w:unhideWhenUsed/>
    <w:qFormat/>
    <w:pPr>
      <w:spacing w:line="276" w:lineRule="auto"/>
    </w:pPr>
    <w:rPr>
      <w:b/>
      <w:bCs/>
      <w:color w:val="4f81bd"/>
      <w:sz w:val="18"/>
      <w:szCs w:val="18"/>
    </w:rPr>
  </w:style>
  <w:style w:type="table" w:styleId="738" w:customStyle="1">
    <w:name w:val="_Style 50"/>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tblStylePr w:type="band1Horz">
      <w:tcPr>
        <w:shd w:val="clear" w:color="ffffff" w:fill="f2f2f2"/>
      </w:tcPr>
    </w:tblStylePr>
    <w:tblStylePr w:type="band1Vert">
      <w:tcPr>
        <w:shd w:val="clear" w:color="ffffff" w:fill="f2f2f2"/>
      </w:tcPr>
    </w:tblStylePr>
    <w:tblStylePr w:type="firstCol">
      <w:rPr>
        <w:rFonts w:ascii="Symbol" w:hAnsi="Symbol"/>
        <w:b/>
        <w:color w:val="404040"/>
        <w:sz w:val="22"/>
      </w:rPr>
    </w:tblStylePr>
    <w:tblStylePr w:type="firstRow">
      <w:rPr>
        <w:rFonts w:ascii="Symbol" w:hAnsi="Symbol"/>
        <w:b/>
        <w:color w:val="404040"/>
        <w:sz w:val="22"/>
      </w:rPr>
    </w:tblStylePr>
    <w:tblStylePr w:type="lastCol">
      <w:rPr>
        <w:rFonts w:ascii="Symbol" w:hAnsi="Symbol"/>
        <w:b/>
        <w:color w:val="404040"/>
        <w:sz w:val="22"/>
      </w:rPr>
    </w:tblStylePr>
    <w:tblStylePr w:type="lastRow">
      <w:rPr>
        <w:rFonts w:ascii="Symbol" w:hAnsi="Symbol"/>
        <w:b/>
        <w:color w:val="404040"/>
        <w:sz w:val="22"/>
      </w:rPr>
    </w:tblStylePr>
  </w:style>
  <w:style w:type="table" w:styleId="739" w:customStyle="1">
    <w:name w:val="_Style 51"/>
    <w:uiPriority w:val="59"/>
    <w:qFormat/>
    <w:pPr>
      <w:spacing w:after="0" w:line="240" w:lineRule="auto"/>
    </w:pPr>
    <w:tblPr>
      <w:tblBorders>
        <w:top w:val="single" w:color="000000" w:sz="4" w:space="0"/>
        <w:bottom w:val="single" w:color="000000" w:sz="4" w:space="0"/>
      </w:tblBorders>
      <w:tblCellMar>
        <w:left w:w="108" w:type="dxa"/>
        <w:top w:w="0" w:type="dxa"/>
        <w:right w:w="108" w:type="dxa"/>
        <w:bottom w:w="0" w:type="dxa"/>
      </w:tblCellMar>
    </w:tblPr>
    <w:tblStylePr w:type="band1Horz">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rFonts w:ascii="Symbol" w:hAnsi="Symbol"/>
        <w:b/>
        <w:color w:val="404040"/>
        <w:sz w:val="22"/>
      </w:rPr>
    </w:tblStylePr>
    <w:tblStylePr w:type="firstRow">
      <w:rPr>
        <w:rFonts w:ascii="Symbol" w:hAnsi="Symbol"/>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Symbol" w:hAnsi="Symbol"/>
        <w:b/>
        <w:color w:val="404040"/>
        <w:sz w:val="22"/>
      </w:rPr>
    </w:tblStylePr>
    <w:tblStylePr w:type="lastRow">
      <w:rPr>
        <w:rFonts w:ascii="Symbol" w:hAnsi="Symbol"/>
        <w:b/>
        <w:color w:val="404040"/>
        <w:sz w:val="22"/>
      </w:rPr>
    </w:tblStylePr>
  </w:style>
  <w:style w:type="table" w:styleId="740" w:customStyle="1">
    <w:name w:val="_Style 52"/>
    <w:uiPriority w:val="99"/>
    <w:qFormat/>
    <w:pPr>
      <w:spacing w:after="0" w:line="240" w:lineRule="auto"/>
    </w:pPr>
    <w:tblPr/>
    <w:tblStylePr w:type="band1Horz">
      <w:rPr>
        <w:rFonts w:ascii="Symbol" w:hAnsi="Symbol"/>
        <w:color w:val="404040"/>
        <w:sz w:val="22"/>
      </w:rPr>
      <w:tcPr>
        <w:shd w:val="clear" w:color="ffffff" w:fill="f2f2f2"/>
      </w:tcPr>
    </w:tblStylePr>
    <w:tblStylePr w:type="band1Vert">
      <w:rPr>
        <w:rFonts w:ascii="Symbol" w:hAnsi="Symbol"/>
        <w:color w:val="404040"/>
        <w:sz w:val="22"/>
      </w:rPr>
      <w:tcPr>
        <w:shd w:val="clear" w:color="ffffff"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b/>
        <w:caps/>
        <w:color w:val="404040"/>
      </w:rPr>
      <w:tcPr>
        <w:tcBorders>
          <w:top w:val="none" w:color="000000" w:sz="4" w:space="0"/>
          <w:left w:val="single" w:color="404040" w:sz="4" w:space="0"/>
          <w:bottom w:val="none" w:color="000000" w:sz="4" w:space="0"/>
          <w:right w:val="none" w:color="000000" w:sz="4" w:space="0"/>
          <w:insideH w:val="none" w:color="000000" w:sz="4" w:space="0"/>
          <w:insideV w:val="none" w:color="000000" w:sz="4" w:space="0"/>
        </w:tcBorders>
      </w:tcPr>
    </w:tblStylePr>
    <w:tblStylePr w:type="lastCol">
      <w:rPr>
        <w:b/>
        <w:caps/>
        <w:color w:val="404040"/>
      </w:rPr>
    </w:tblStylePr>
    <w:tblStylePr w:type="lastRow">
      <w:rPr>
        <w:b/>
        <w:caps/>
        <w:color w:val="404040"/>
      </w:rPr>
    </w:tblStylePr>
  </w:style>
  <w:style w:type="table" w:styleId="741" w:customStyle="1">
    <w:name w:val="_Style 53"/>
    <w:uiPriority w:val="99"/>
    <w:qFormat/>
    <w:pPr>
      <w:spacing w:after="0" w:line="240" w:lineRule="auto"/>
    </w:pPr>
    <w:tblPr/>
    <w:tblStylePr w:type="band1Horz">
      <w:rPr>
        <w:rFonts w:ascii="Symbol" w:hAnsi="Symbol"/>
        <w:color w:val="404040"/>
        <w:sz w:val="22"/>
      </w:rPr>
      <w:tcPr>
        <w:shd w:val="clear" w:color="ffffff" w:fill="f2f2f2"/>
      </w:tcPr>
    </w:tblStylePr>
    <w:tblStylePr w:type="band1Vert">
      <w:rPr>
        <w:rFonts w:ascii="Symbol" w:hAnsi="Symbol"/>
        <w:color w:val="404040"/>
        <w:sz w:val="22"/>
      </w:rPr>
      <w:tcPr>
        <w:shd w:val="clear" w:color="ffffff"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2" w:customStyle="1">
    <w:name w:val="_Style 54"/>
    <w:uiPriority w:val="99"/>
    <w:qFormat/>
    <w:pPr>
      <w:spacing w:after="0" w:line="240" w:lineRule="auto"/>
    </w:pPr>
    <w:tblPr/>
    <w:tblStylePr w:type="band1Horz">
      <w:rPr>
        <w:rFonts w:ascii="Symbol" w:hAnsi="Symbol"/>
        <w:color w:val="404040"/>
        <w:sz w:val="22"/>
      </w:rPr>
      <w:tcPr>
        <w:shd w:val="clear" w:color="ffffff" w:fill="f2f2f2"/>
      </w:tcPr>
    </w:tblStylePr>
    <w:tblStylePr w:type="band1Vert">
      <w:rPr>
        <w:rFonts w:ascii="Symbol" w:hAnsi="Symbol"/>
        <w:color w:val="404040"/>
        <w:sz w:val="22"/>
      </w:rPr>
      <w:tcPr>
        <w:shd w:val="clear" w:color="ffffff" w:fill="f2f2f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i/>
        <w:color w:val="404040"/>
      </w:rPr>
      <w:tcPr>
        <w:shd w:val="clear" w:color="ffffff" w:fill="auto"/>
        <w:tcBorders>
          <w:top w:val="none" w:color="000000" w:sz="4" w:space="0"/>
          <w:left w:val="single" w:color="40404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Row">
      <w:rPr>
        <w:i/>
        <w:color w:val="404040"/>
      </w:rPr>
      <w:tcPr>
        <w:shd w:val="clear" w:color="ffffff" w:fill="auto"/>
        <w:tcBorders>
          <w:top w:val="single" w:color="40404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43" w:customStyle="1">
    <w:name w:val="_Style 55"/>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Symbol" w:hAnsi="Symbol"/>
        <w:color w:val="404040"/>
        <w:sz w:val="22"/>
      </w:rPr>
      <w:tcPr>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744" w:customStyle="1">
    <w:name w:val="_Style 56"/>
    <w:uiPriority w:val="99"/>
    <w:qFormat/>
    <w:pPr>
      <w:spacing w:after="0" w:line="240" w:lineRule="auto"/>
    </w:pPr>
    <w:tblPr>
      <w:tblBorders>
        <w:bottom w:val="single" w:color="000000" w:sz="4" w:space="0"/>
        <w:insideH w:val="single" w:color="000000" w:sz="4" w:space="0"/>
        <w:insideV w:val="single" w:color="000000" w:sz="4" w:space="0"/>
      </w:tblBorders>
    </w:tblPr>
    <w:tblStylePr w:type="band1Horz">
      <w:rPr>
        <w:rFonts w:ascii="Symbol" w:hAnsi="Symbol"/>
        <w:color w:val="404040"/>
        <w:sz w:val="22"/>
      </w:rPr>
      <w:tcPr>
        <w:shd w:val="clear" w:color="ffffff" w:fill="cbcbcb"/>
      </w:tcPr>
    </w:tblStylePr>
    <w:tblStylePr w:type="band1Vert">
      <w:rPr>
        <w:rFonts w:ascii="Symbol" w:hAnsi="Symbol"/>
        <w:color w:val="404040"/>
        <w:sz w:val="22"/>
      </w:rPr>
      <w:tcPr>
        <w:shd w:val="clear" w:color="ffffff" w:fill="cbcbcb"/>
      </w:tcPr>
    </w:tblStylePr>
    <w:tblStylePr w:type="firstCol">
      <w:rPr>
        <w:b/>
        <w:color w:val="404040"/>
      </w:rPr>
    </w:tblStylePr>
    <w:tblStylePr w:type="firstRow">
      <w:rPr>
        <w:b/>
        <w:color w:val="404040"/>
      </w:rPr>
      <w:tcPr>
        <w:shd w:val="clear" w:color="ffffff" w:fill="auto"/>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45" w:customStyle="1">
    <w:name w:val="_Style 57"/>
    <w:uiPriority w:val="99"/>
    <w:qFormat/>
    <w:pPr>
      <w:spacing w:after="0" w:line="240" w:lineRule="auto"/>
    </w:pPr>
    <w:tblPr>
      <w:tblBorders>
        <w:bottom w:val="single" w:color="000000" w:sz="4" w:space="0"/>
        <w:insideH w:val="single" w:color="000000" w:sz="4" w:space="0"/>
        <w:insideV w:val="single" w:color="000000" w:sz="4" w:space="0"/>
      </w:tblBorders>
    </w:tblPr>
    <w:tblStylePr w:type="band1Horz">
      <w:rPr>
        <w:rFonts w:ascii="Symbol" w:hAnsi="Symbol"/>
        <w:color w:val="404040"/>
        <w:sz w:val="22"/>
      </w:rPr>
      <w:tcPr>
        <w:shd w:val="clear" w:color="ffffff" w:fill="cbcbcb"/>
      </w:tcPr>
    </w:tblStylePr>
    <w:tblStylePr w:type="band1Vert">
      <w:rPr>
        <w:rFonts w:ascii="Symbol" w:hAnsi="Symbol"/>
        <w:color w:val="404040"/>
        <w:sz w:val="22"/>
      </w:rPr>
      <w:tcPr>
        <w:shd w:val="clear" w:color="ffffff"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46" w:customStyle="1">
    <w:name w:val="_Style 58"/>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Symbol" w:hAnsi="Symbol"/>
        <w:color w:val="404040"/>
        <w:sz w:val="22"/>
      </w:rPr>
      <w:tcPr>
        <w:shd w:val="clear" w:color="ffffff" w:fill="cbcbcb"/>
      </w:tcPr>
    </w:tblStylePr>
    <w:tblStylePr w:type="band1Vert">
      <w:rPr>
        <w:rFonts w:ascii="Symbol" w:hAnsi="Symbol"/>
        <w:color w:val="404040"/>
        <w:sz w:val="22"/>
      </w:rPr>
      <w:tcPr>
        <w:shd w:val="clear" w:color="ffffff" w:fill="cbcbcb"/>
      </w:tcPr>
    </w:tblStylePr>
    <w:tblStylePr w:type="firstCol">
      <w:rPr>
        <w:b/>
        <w:color w:val="404040"/>
      </w:rPr>
    </w:tblStylePr>
    <w:tblStylePr w:type="firstRow">
      <w:rPr>
        <w:rFonts w:ascii="Symbol" w:hAnsi="Symbol"/>
        <w:b/>
        <w:color w:val="ffffff"/>
        <w:sz w:val="22"/>
      </w:rPr>
      <w:tcPr>
        <w:shd w:val="clear" w:color="ffffff" w:fill="000000"/>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47" w:customStyle="1">
    <w:name w:val="_Style 59"/>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tcPr>
        <w:shd w:val="clear" w:color="ffffff" w:fill="8a8a8a"/>
      </w:tcPr>
    </w:tblStylePr>
    <w:tblStylePr w:type="band1Vert">
      <w:tcPr>
        <w:shd w:val="clear" w:color="ffffff" w:fill="8a8a8a"/>
      </w:tcPr>
    </w:tblStylePr>
    <w:tblStylePr w:type="firstCol">
      <w:rPr>
        <w:rFonts w:ascii="Symbol" w:hAnsi="Symbol"/>
        <w:b/>
        <w:color w:val="ffffff"/>
        <w:sz w:val="22"/>
      </w:rPr>
      <w:tcPr>
        <w:shd w:val="clear" w:color="ffffff" w:fill="000000"/>
      </w:tcPr>
    </w:tblStylePr>
    <w:tblStylePr w:type="firstRow">
      <w:rPr>
        <w:rFonts w:ascii="Symbol" w:hAnsi="Symbol"/>
        <w:b/>
        <w:color w:val="ffffff"/>
        <w:sz w:val="22"/>
      </w:rPr>
      <w:tcPr>
        <w:shd w:val="clear" w:color="ffffff" w:fill="000000"/>
      </w:tcPr>
    </w:tblStylePr>
    <w:tblStylePr w:type="lastCol">
      <w:rPr>
        <w:rFonts w:ascii="Symbol" w:hAnsi="Symbol"/>
        <w:b/>
        <w:color w:val="ffffff"/>
        <w:sz w:val="22"/>
      </w:rPr>
      <w:tcPr>
        <w:shd w:val="clear" w:color="ffffff" w:fill="000000"/>
      </w:tcPr>
    </w:tblStylePr>
    <w:tblStylePr w:type="lastRow">
      <w:rPr>
        <w:rFonts w:ascii="Symbol" w:hAnsi="Symbol"/>
        <w:b/>
        <w:color w:val="ffffff"/>
        <w:sz w:val="22"/>
      </w:rPr>
      <w:tcPr>
        <w:shd w:val="clear" w:color="ffffff" w:fill="000000"/>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48" w:customStyle="1">
    <w:name w:val="_Style 60"/>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Symbol" w:hAnsi="Symbol"/>
        <w:color w:val="404040"/>
        <w:sz w:val="22"/>
      </w:rPr>
      <w:tcPr>
        <w:shd w:val="clear" w:color="ffffff" w:fill="cbcbcb"/>
      </w:tcPr>
    </w:tblStylePr>
    <w:tblStylePr w:type="band1Vert">
      <w:tcPr>
        <w:shd w:val="clear" w:color="ffffff" w:fill="cbcbcb"/>
      </w:tcPr>
    </w:tblStylePr>
    <w:tblStylePr w:type="band2Horz">
      <w:rPr>
        <w:rFonts w:ascii="Symbol" w:hAnsi="Symbol"/>
        <w:color w:val="404040"/>
        <w:sz w:val="22"/>
      </w:rPr>
    </w:tblStylePr>
    <w:tblStylePr w:type="firstCol">
      <w:rPr>
        <w:b/>
        <w:color w:val="4a4a4a"/>
      </w:rPr>
    </w:tblStylePr>
    <w:tblStylePr w:type="firstRow">
      <w:rPr>
        <w:b/>
        <w:color w:val="4a4a4a"/>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4a4a4a"/>
      </w:rPr>
    </w:tblStylePr>
    <w:tblStylePr w:type="lastRow">
      <w:rPr>
        <w:b/>
        <w:color w:val="4a4a4a"/>
      </w:rPr>
    </w:tblStylePr>
  </w:style>
  <w:style w:type="table" w:styleId="749" w:customStyle="1">
    <w:name w:val="_Style 61"/>
    <w:uiPriority w:val="99"/>
    <w:qFormat/>
    <w:pPr>
      <w:spacing w:after="0" w:line="240" w:lineRule="auto"/>
    </w:pPr>
    <w:tblPr>
      <w:tblBorders>
        <w:bottom w:val="single" w:color="000000" w:sz="4" w:space="0"/>
        <w:right w:val="single" w:color="000000" w:sz="4" w:space="0"/>
        <w:insideH w:val="single" w:color="000000" w:sz="4" w:space="0"/>
        <w:insideV w:val="single" w:color="000000" w:sz="4" w:space="0"/>
      </w:tblBorders>
    </w:tblPr>
    <w:tblStylePr w:type="band1Horz">
      <w:rPr>
        <w:rFonts w:ascii="Symbol" w:hAnsi="Symbol"/>
        <w:color w:val="4a4a4a"/>
        <w:sz w:val="22"/>
      </w:rPr>
      <w:tcPr>
        <w:shd w:val="clear" w:color="ffffff" w:fill="f2f2f2"/>
      </w:tcPr>
    </w:tblStylePr>
    <w:tblStylePr w:type="band1Vert">
      <w:tcPr>
        <w:shd w:val="clear" w:color="ffffff" w:fill="f2f2f2"/>
      </w:tcPr>
    </w:tblStylePr>
    <w:tblStylePr w:type="band2Horz">
      <w:rPr>
        <w:rFonts w:ascii="Symbol" w:hAnsi="Symbol"/>
        <w:color w:val="4a4a4a"/>
        <w:sz w:val="22"/>
      </w:rPr>
    </w:tblStylePr>
    <w:tblStylePr w:type="firstCol">
      <w:rPr>
        <w:rFonts w:ascii="Symbol" w:hAnsi="Symbol"/>
        <w:i/>
        <w:color w:val="4a4a4a"/>
        <w:sz w:val="22"/>
      </w:rPr>
      <w:pPr>
        <w:jc w:val="right"/>
      </w:pPr>
      <w:tcPr>
        <w:shd w:val="clear" w:color="ffffff" w:fill="auto"/>
        <w:tcBorders>
          <w:top w:val="none" w:color="000000" w:sz="4" w:space="0"/>
          <w:left w:val="none" w:color="000000" w:sz="4" w:space="0"/>
          <w:bottom w:val="none" w:color="000000" w:sz="4" w:space="0"/>
          <w:right w:val="single" w:color="000000" w:sz="4" w:space="0"/>
          <w:insideH w:val="none" w:color="000000" w:sz="4" w:space="0"/>
          <w:insideV w:val="none" w:color="000000" w:sz="4" w:space="0"/>
        </w:tcBorders>
      </w:tcPr>
    </w:tblStylePr>
    <w:tblStylePr w:type="firstRow">
      <w:rPr>
        <w:rFonts w:ascii="Symbol" w:hAnsi="Symbol"/>
        <w:b/>
        <w:color w:val="4a4a4a"/>
        <w:sz w:val="22"/>
      </w:rPr>
      <w:tcPr>
        <w:shd w:val="clear" w:color="ffffff" w:fill="ffffff"/>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Symbol" w:hAnsi="Symbol"/>
        <w:i/>
        <w:color w:val="4a4a4a"/>
        <w:sz w:val="22"/>
      </w:rPr>
      <w:tcPr>
        <w:shd w:val="clear" w:color="ffffff" w:fill="auto"/>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Row">
      <w:rPr>
        <w:rFonts w:ascii="Symbol" w:hAnsi="Symbol"/>
        <w:b/>
        <w:color w:val="4a4a4a"/>
        <w:sz w:val="22"/>
      </w:rPr>
      <w:tcPr>
        <w:shd w:val="clear" w:color="ffffff" w:fill="ffffff"/>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50" w:customStyle="1">
    <w:name w:val="_Style 62"/>
    <w:uiPriority w:val="99"/>
    <w:qFormat/>
    <w:pPr>
      <w:spacing w:after="0" w:line="240" w:lineRule="auto"/>
    </w:pPr>
    <w:tblPr/>
    <w:tblStylePr w:type="band1Horz">
      <w:tcPr>
        <w:shd w:val="clear" w:color="ffffff" w:fill="bfbfbf"/>
      </w:tcPr>
    </w:tblStylePr>
    <w:tblStylePr w:type="band1Vert">
      <w:tcPr>
        <w:shd w:val="clear" w:color="ffffff" w:fill="bfbfbf"/>
      </w:tcPr>
    </w:tblStylePr>
    <w:tblStylePr w:type="firstCol">
      <w:rPr>
        <w:b/>
        <w:color w:val="404040"/>
      </w:rPr>
    </w:tblStylePr>
    <w:tblStylePr w:type="firstRow">
      <w:rPr>
        <w:b/>
        <w:color w:val="404040"/>
      </w:rPr>
      <w:tcPr>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51" w:customStyle="1">
    <w:name w:val="_Style 63"/>
    <w:uiPriority w:val="99"/>
    <w:qFormat/>
    <w:pPr>
      <w:spacing w:after="0" w:line="240" w:lineRule="auto"/>
    </w:pPr>
    <w:tblPr>
      <w:tblBorders>
        <w:top w:val="single" w:color="000000" w:sz="4" w:space="0"/>
        <w:bottom w:val="single" w:color="000000" w:sz="4" w:space="0"/>
        <w:insideH w:val="single" w:color="000000" w:sz="4" w:space="0"/>
      </w:tblBorders>
    </w:tblPr>
    <w:tblStylePr w:type="band1Horz">
      <w:rPr>
        <w:rFonts w:ascii="Symbol" w:hAnsi="Symbol"/>
        <w:color w:val="404040"/>
        <w:sz w:val="22"/>
      </w:rPr>
      <w:tcPr>
        <w:shd w:val="clear" w:color="ffffff" w:fill="bfbfbf"/>
      </w:tcPr>
    </w:tblStylePr>
    <w:tblStylePr w:type="band1Vert">
      <w:rPr>
        <w:rFonts w:ascii="Symbol" w:hAnsi="Symbol"/>
        <w:color w:val="404040"/>
        <w:sz w:val="22"/>
      </w:rPr>
      <w:tcPr>
        <w:shd w:val="clear" w:color="ffffff" w:fill="bfbfbf"/>
      </w:tcPr>
    </w:tblStylePr>
    <w:tblStylePr w:type="firstCol">
      <w:rPr>
        <w:rFonts w:ascii="Symbol" w:hAnsi="Symbol"/>
        <w:b/>
        <w:color w:val="404040"/>
        <w:sz w:val="22"/>
      </w:rPr>
    </w:tblStylePr>
    <w:tblStylePr w:type="firstRow">
      <w:rPr>
        <w:rFonts w:ascii="Symbol" w:hAnsi="Symbol"/>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Symbol" w:hAnsi="Symbol"/>
        <w:b/>
        <w:color w:val="404040"/>
        <w:sz w:val="22"/>
      </w:rPr>
    </w:tblStylePr>
    <w:tblStylePr w:type="lastRow">
      <w:rPr>
        <w:rFonts w:ascii="Symbol" w:hAnsi="Symbol"/>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style>
  <w:style w:type="table" w:styleId="752" w:customStyle="1">
    <w:name w:val="_Style 64"/>
    <w:uiPriority w:val="99"/>
    <w:qFormat/>
    <w:pPr>
      <w:spacing w:after="0" w:line="240" w:lineRule="auto"/>
    </w:pPr>
    <w:tblPr>
      <w:tblBorders>
        <w:top w:val="single" w:color="000000" w:sz="4" w:space="0"/>
        <w:left w:val="single" w:color="000000" w:sz="4" w:space="0"/>
        <w:bottom w:val="single" w:color="000000" w:sz="4" w:space="0"/>
        <w:right w:val="single" w:color="000000" w:sz="4" w:space="0"/>
      </w:tblBorders>
    </w:tblPr>
    <w:tblStylePr w:type="band1Horz">
      <w:rPr>
        <w:rFonts w:ascii="Symbol" w:hAnsi="Symbol"/>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rPr>
        <w:rFonts w:ascii="Symbol" w:hAnsi="Symbol"/>
        <w:color w:val="404040"/>
        <w:sz w:val="22"/>
      </w:rPr>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Symbol" w:hAnsi="Symbol"/>
        <w:b/>
        <w:color w:val="ffffff"/>
        <w:sz w:val="22"/>
      </w:rPr>
      <w:tcPr>
        <w:shd w:val="clear" w:color="ffffff" w:fill="000000"/>
      </w:tcPr>
    </w:tblStylePr>
    <w:tblStylePr w:type="lastCol">
      <w:rPr>
        <w:b/>
        <w:color w:val="404040"/>
      </w:rPr>
    </w:tblStylePr>
    <w:tblStylePr w:type="lastRow">
      <w:rPr>
        <w:b/>
        <w:color w:val="404040"/>
      </w:rPr>
    </w:tblStylePr>
  </w:style>
  <w:style w:type="table" w:styleId="753" w:customStyle="1">
    <w:name w:val="_Style 65"/>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Symbol" w:hAnsi="Symbol"/>
        <w:color w:val="404040"/>
        <w:sz w:val="22"/>
      </w:rPr>
      <w:tcPr>
        <w:shd w:val="clear" w:color="ffffff" w:fill="bfbfbf"/>
      </w:tcPr>
    </w:tblStylePr>
    <w:tblStylePr w:type="band1Vert">
      <w:rPr>
        <w:rFonts w:ascii="Symbol" w:hAnsi="Symbol"/>
        <w:color w:val="404040"/>
        <w:sz w:val="22"/>
      </w:rPr>
      <w:tcPr>
        <w:shd w:val="clear" w:color="ffffff" w:fill="bfbfbf"/>
      </w:tcPr>
    </w:tblStylePr>
    <w:tblStylePr w:type="firstCol">
      <w:rPr>
        <w:b/>
        <w:color w:val="404040"/>
      </w:rPr>
    </w:tblStylePr>
    <w:tblStylePr w:type="firstRow">
      <w:rPr>
        <w:rFonts w:ascii="Symbol" w:hAnsi="Symbol"/>
        <w:b/>
        <w:color w:val="ffffff"/>
        <w:sz w:val="22"/>
      </w:rPr>
      <w:tcPr>
        <w:shd w:val="clear" w:color="ffffff" w:fill="000000"/>
      </w:tcPr>
    </w:tblStylePr>
    <w:tblStylePr w:type="lastCol">
      <w:rPr>
        <w:b/>
        <w:color w:val="404040"/>
      </w:rPr>
    </w:tblStylePr>
    <w:tblStylePr w:type="lastRow">
      <w:rPr>
        <w:b/>
        <w:color w:val="404040"/>
      </w:rPr>
    </w:tblStylePr>
  </w:style>
  <w:style w:type="table" w:styleId="754" w:customStyle="1">
    <w:name w:val="_Style 66"/>
    <w:uiPriority w:val="99"/>
    <w:qFormat/>
    <w:pPr>
      <w:spacing w:after="0" w:line="240" w:lineRule="auto"/>
    </w:pPr>
    <w:tblPr>
      <w:tblBorders>
        <w:top w:val="single" w:color="000000" w:sz="32" w:space="0"/>
        <w:left w:val="single" w:color="000000" w:sz="32" w:space="0"/>
        <w:bottom w:val="single" w:color="000000" w:sz="32" w:space="0"/>
        <w:right w:val="single" w:color="000000" w:sz="32" w:space="0"/>
      </w:tblBorders>
    </w:tblPr>
    <w:tblStylePr w:type="band1Horz">
      <w:tcPr>
        <w:shd w:val="clear" w:color="ffffff" w:fill="7f7f7f"/>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tcPr>
        <w:shd w:val="clear" w:color="ffffff" w:fill="7f7f7f"/>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band2Horz">
      <w:tcPr>
        <w:shd w:val="clear" w:color="ffffff" w:fill="7f7f7f"/>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rFonts w:ascii="Symbol" w:hAnsi="Symbol"/>
        <w:b/>
        <w:color w:val="ffffff"/>
        <w:sz w:val="22"/>
      </w:rPr>
      <w:tcPr>
        <w:tcBorders>
          <w:top w:val="none" w:color="000000" w:sz="4" w:space="0"/>
          <w:left w:val="none" w:color="000000" w:sz="4" w:space="0"/>
          <w:bottom w:val="single" w:color="000000" w:sz="32" w:space="0"/>
          <w:right w:val="single" w:color="000000" w:sz="4" w:space="0"/>
          <w:insideH w:val="none" w:color="000000" w:sz="4" w:space="0"/>
          <w:insideV w:val="none" w:color="000000" w:sz="4" w:space="0"/>
        </w:tcBorders>
      </w:tcPr>
    </w:tblStylePr>
    <w:tblStylePr w:type="firstRow">
      <w:rPr>
        <w:rFonts w:ascii="Symbol" w:hAnsi="Symbol"/>
        <w:b/>
        <w:color w:val="ffffff"/>
        <w:sz w:val="22"/>
      </w:rPr>
      <w:tcPr>
        <w:shd w:val="clear" w:color="ffffff" w:fill="7f7f7f"/>
        <w:tcBorders>
          <w:top w:val="single" w:color="000000" w:sz="32"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000000" w:sz="4" w:space="0"/>
          <w:right w:val="single" w:color="000000" w:sz="32" w:space="0"/>
          <w:insideH w:val="none" w:color="000000" w:sz="4" w:space="0"/>
          <w:insideV w:val="none" w:color="000000" w:sz="4" w:space="0"/>
        </w:tcBorders>
      </w:tcPr>
    </w:tblStylePr>
    <w:tblStylePr w:type="lastRow">
      <w:rPr>
        <w:rFonts w:ascii="Symbol" w:hAnsi="Symbol"/>
        <w:b/>
        <w:color w:val="ffffff"/>
        <w:sz w:val="22"/>
      </w:rPr>
    </w:tblStylePr>
  </w:style>
  <w:style w:type="table" w:styleId="755" w:customStyle="1">
    <w:name w:val="_Style 67"/>
    <w:uiPriority w:val="99"/>
    <w:qFormat/>
    <w:pPr>
      <w:spacing w:after="0" w:line="240" w:lineRule="auto"/>
    </w:pPr>
    <w:tblPr>
      <w:tblBorders>
        <w:top w:val="single" w:color="000000" w:sz="4" w:space="0"/>
        <w:bottom w:val="single" w:color="000000" w:sz="4" w:space="0"/>
      </w:tblBorders>
    </w:tblPr>
    <w:tblStylePr w:type="band1Horz">
      <w:rPr>
        <w:rFonts w:ascii="Symbol" w:hAnsi="Symbol"/>
        <w:color w:val="000000"/>
        <w:sz w:val="22"/>
      </w:rPr>
      <w:tcPr>
        <w:shd w:val="clear" w:color="ffffff" w:fill="bfbfbf"/>
      </w:tcPr>
    </w:tblStylePr>
    <w:tblStylePr w:type="band1Vert">
      <w:tcPr>
        <w:shd w:val="clear" w:color="ffffff" w:fill="bfbfbf"/>
      </w:tcPr>
    </w:tblStylePr>
    <w:tblStylePr w:type="band2Horz">
      <w:rPr>
        <w:rFonts w:ascii="Symbol" w:hAnsi="Symbol"/>
        <w:color w:val="000000"/>
        <w:sz w:val="22"/>
      </w:rPr>
    </w:tblStylePr>
    <w:tblStylePr w:type="firstCol">
      <w:rPr>
        <w:b/>
        <w:color w:val="000000"/>
      </w:rPr>
    </w:tblStylePr>
    <w:tblStylePr w:type="firstRow">
      <w:rPr>
        <w:b/>
        <w:color w:val="000000"/>
      </w:rPr>
      <w:tcPr>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b/>
        <w:color w:val="000000"/>
      </w:rPr>
    </w:tblStylePr>
    <w:tblStylePr w:type="lastRow">
      <w:rPr>
        <w:b/>
        <w:color w:val="00000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56" w:customStyle="1">
    <w:name w:val="_Style 68"/>
    <w:uiPriority w:val="99"/>
    <w:qFormat/>
    <w:pPr>
      <w:spacing w:after="0" w:line="240" w:lineRule="auto"/>
    </w:pPr>
    <w:tblPr>
      <w:tblBorders>
        <w:right w:val="single" w:color="000000" w:sz="4" w:space="0"/>
      </w:tblBorders>
    </w:tblPr>
    <w:tblStylePr w:type="band1Horz">
      <w:rPr>
        <w:rFonts w:ascii="Symbol" w:hAnsi="Symbol"/>
        <w:color w:val="4a4a4a"/>
        <w:sz w:val="22"/>
      </w:rPr>
      <w:tcPr>
        <w:shd w:val="clear" w:color="ffffff" w:fill="bfbfbf"/>
      </w:tcPr>
    </w:tblStylePr>
    <w:tblStylePr w:type="band1Vert">
      <w:tcPr>
        <w:shd w:val="clear" w:color="ffffff" w:fill="bfbfbf"/>
      </w:tcPr>
    </w:tblStylePr>
    <w:tblStylePr w:type="band2Horz">
      <w:rPr>
        <w:rFonts w:ascii="Symbol" w:hAnsi="Symbol"/>
        <w:color w:val="4a4a4a"/>
        <w:sz w:val="22"/>
      </w:rPr>
    </w:tblStylePr>
    <w:tblStylePr w:type="firstCol">
      <w:rPr>
        <w:rFonts w:ascii="Symbol" w:hAnsi="Symbol"/>
        <w:i/>
        <w:color w:val="4a4a4a"/>
        <w:sz w:val="22"/>
      </w:rPr>
      <w:pPr>
        <w:jc w:val="right"/>
      </w:pPr>
      <w:tcPr>
        <w:shd w:val="clear" w:color="ffffff" w:fill="auto"/>
        <w:tcBorders>
          <w:top w:val="none" w:color="000000" w:sz="4" w:space="0"/>
          <w:left w:val="none" w:color="000000" w:sz="4" w:space="0"/>
          <w:bottom w:val="none" w:color="000000" w:sz="4" w:space="0"/>
          <w:right w:val="single" w:color="000000" w:sz="4" w:space="0"/>
          <w:insideH w:val="none" w:color="000000" w:sz="4" w:space="0"/>
          <w:insideV w:val="none" w:color="000000" w:sz="4" w:space="0"/>
        </w:tcBorders>
      </w:tcPr>
    </w:tblStylePr>
    <w:tblStylePr w:type="firstRow">
      <w:rPr>
        <w:rFonts w:ascii="Symbol" w:hAnsi="Symbol"/>
        <w:i/>
        <w:color w:val="4a4a4a"/>
        <w:sz w:val="22"/>
      </w:rPr>
      <w:tcPr>
        <w:shd w:val="clear" w:color="ffffff" w:fill="ffffff"/>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Symbol" w:hAnsi="Symbol"/>
        <w:i/>
        <w:color w:val="4a4a4a"/>
        <w:sz w:val="22"/>
      </w:rPr>
      <w:tcPr>
        <w:shd w:val="clear" w:color="ffffff" w:fill="auto"/>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Row">
      <w:rPr>
        <w:rFonts w:ascii="Symbol" w:hAnsi="Symbol"/>
        <w:i/>
        <w:color w:val="4a4a4a"/>
        <w:sz w:val="22"/>
      </w:rPr>
      <w:tcPr>
        <w:shd w:val="clear" w:color="ffffff" w:fill="ffffff"/>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paragraph" w:styleId="757" w:customStyle="1">
    <w:name w:val="_Style 69"/>
    <w:uiPriority w:val="39"/>
    <w:unhideWhenUsed/>
    <w:qFormat/>
    <w:rPr>
      <w:rFonts w:hint="default" w:ascii="Times New Roman" w:hAnsi="Times New Roman" w:eastAsia="宋体" w:cs="Times New Roman"/>
    </w:rPr>
  </w:style>
  <w:style w:type="paragraph" w:styleId="758" w:customStyle="1">
    <w:name w:val="标题 11"/>
    <w:basedOn w:val="688"/>
    <w:next w:val="688"/>
    <w:link w:val="759"/>
    <w:uiPriority w:val="9"/>
    <w:qFormat/>
    <w:pPr>
      <w:keepLines/>
      <w:keepNext/>
      <w:spacing w:before="480" w:after="200"/>
      <w:outlineLvl w:val="0"/>
    </w:pPr>
    <w:rPr>
      <w:rFonts w:ascii="Arial" w:hAnsi="Arial" w:eastAsia="Arial" w:cs="Arial"/>
      <w:sz w:val="40"/>
      <w:szCs w:val="40"/>
    </w:rPr>
  </w:style>
  <w:style w:type="character" w:styleId="759" w:customStyle="1">
    <w:name w:val="标题 1 字符"/>
    <w:basedOn w:val="760"/>
    <w:link w:val="758"/>
    <w:uiPriority w:val="9"/>
    <w:qFormat/>
    <w:rPr>
      <w:rFonts w:ascii="Arial" w:hAnsi="Arial" w:eastAsia="Arial" w:cs="Arial"/>
      <w:sz w:val="40"/>
      <w:szCs w:val="40"/>
    </w:rPr>
  </w:style>
  <w:style w:type="character" w:styleId="760" w:customStyle="1">
    <w:name w:val="默认段落字体1"/>
    <w:uiPriority w:val="1"/>
    <w:unhideWhenUsed/>
    <w:qFormat/>
  </w:style>
  <w:style w:type="paragraph" w:styleId="761" w:customStyle="1">
    <w:name w:val="标题 21"/>
    <w:basedOn w:val="688"/>
    <w:next w:val="688"/>
    <w:link w:val="762"/>
    <w:uiPriority w:val="9"/>
    <w:unhideWhenUsed/>
    <w:qFormat/>
    <w:pPr>
      <w:keepLines/>
      <w:keepNext/>
      <w:spacing w:before="360" w:after="200"/>
      <w:outlineLvl w:val="1"/>
    </w:pPr>
    <w:rPr>
      <w:rFonts w:ascii="Arial" w:hAnsi="Arial" w:eastAsia="Arial" w:cs="Arial"/>
      <w:sz w:val="34"/>
    </w:rPr>
  </w:style>
  <w:style w:type="character" w:styleId="762" w:customStyle="1">
    <w:name w:val="标题 2 字符"/>
    <w:basedOn w:val="760"/>
    <w:link w:val="761"/>
    <w:uiPriority w:val="9"/>
    <w:qFormat/>
    <w:rPr>
      <w:rFonts w:ascii="Arial" w:hAnsi="Arial" w:eastAsia="Arial" w:cs="Arial"/>
      <w:sz w:val="34"/>
    </w:rPr>
  </w:style>
  <w:style w:type="paragraph" w:styleId="763" w:customStyle="1">
    <w:name w:val="标题 31"/>
    <w:basedOn w:val="688"/>
    <w:next w:val="688"/>
    <w:uiPriority w:val="0"/>
    <w:qFormat/>
    <w:pPr>
      <w:jc w:val="left"/>
      <w:keepLines/>
      <w:keepNext/>
      <w:outlineLvl w:val="2"/>
    </w:pPr>
    <w:rPr>
      <w:b/>
    </w:rPr>
  </w:style>
  <w:style w:type="paragraph" w:styleId="764" w:customStyle="1">
    <w:name w:val="标题 41"/>
    <w:basedOn w:val="688"/>
    <w:next w:val="688"/>
    <w:link w:val="765"/>
    <w:uiPriority w:val="9"/>
    <w:unhideWhenUsed/>
    <w:qFormat/>
    <w:pPr>
      <w:keepLines/>
      <w:keepNext/>
      <w:spacing w:before="320" w:after="200"/>
      <w:outlineLvl w:val="3"/>
    </w:pPr>
    <w:rPr>
      <w:rFonts w:ascii="Arial" w:hAnsi="Arial" w:eastAsia="Arial" w:cs="Arial"/>
      <w:b/>
      <w:bCs/>
      <w:sz w:val="26"/>
      <w:szCs w:val="26"/>
    </w:rPr>
  </w:style>
  <w:style w:type="character" w:styleId="765" w:customStyle="1">
    <w:name w:val="标题 4 字符"/>
    <w:basedOn w:val="760"/>
    <w:link w:val="764"/>
    <w:uiPriority w:val="9"/>
    <w:qFormat/>
    <w:rPr>
      <w:rFonts w:ascii="Arial" w:hAnsi="Arial" w:eastAsia="Arial" w:cs="Arial"/>
      <w:b/>
      <w:bCs/>
      <w:sz w:val="26"/>
      <w:szCs w:val="26"/>
    </w:rPr>
  </w:style>
  <w:style w:type="paragraph" w:styleId="766" w:customStyle="1">
    <w:name w:val="标题 51"/>
    <w:basedOn w:val="688"/>
    <w:next w:val="688"/>
    <w:link w:val="767"/>
    <w:uiPriority w:val="9"/>
    <w:unhideWhenUsed/>
    <w:qFormat/>
    <w:pPr>
      <w:keepLines/>
      <w:keepNext/>
      <w:spacing w:before="320" w:after="200"/>
      <w:outlineLvl w:val="4"/>
    </w:pPr>
    <w:rPr>
      <w:rFonts w:ascii="Arial" w:hAnsi="Arial" w:eastAsia="Arial" w:cs="Arial"/>
      <w:b/>
      <w:bCs/>
      <w:sz w:val="24"/>
      <w:szCs w:val="24"/>
    </w:rPr>
  </w:style>
  <w:style w:type="character" w:styleId="767" w:customStyle="1">
    <w:name w:val="标题 5 字符"/>
    <w:basedOn w:val="760"/>
    <w:link w:val="766"/>
    <w:uiPriority w:val="9"/>
    <w:qFormat/>
    <w:rPr>
      <w:rFonts w:ascii="Arial" w:hAnsi="Arial" w:eastAsia="Arial" w:cs="Arial"/>
      <w:b/>
      <w:bCs/>
      <w:sz w:val="24"/>
      <w:szCs w:val="24"/>
    </w:rPr>
  </w:style>
  <w:style w:type="paragraph" w:styleId="768" w:customStyle="1">
    <w:name w:val="标题 61"/>
    <w:basedOn w:val="688"/>
    <w:next w:val="688"/>
    <w:link w:val="769"/>
    <w:uiPriority w:val="9"/>
    <w:unhideWhenUsed/>
    <w:qFormat/>
    <w:pPr>
      <w:keepLines/>
      <w:keepNext/>
      <w:spacing w:before="320" w:after="200"/>
      <w:outlineLvl w:val="5"/>
    </w:pPr>
    <w:rPr>
      <w:rFonts w:ascii="Arial" w:hAnsi="Arial" w:eastAsia="Arial" w:cs="Arial"/>
      <w:b/>
      <w:bCs/>
      <w:sz w:val="22"/>
      <w:szCs w:val="22"/>
    </w:rPr>
  </w:style>
  <w:style w:type="character" w:styleId="769" w:customStyle="1">
    <w:name w:val="标题 6 字符"/>
    <w:basedOn w:val="760"/>
    <w:link w:val="768"/>
    <w:uiPriority w:val="9"/>
    <w:qFormat/>
    <w:rPr>
      <w:rFonts w:ascii="Arial" w:hAnsi="Arial" w:eastAsia="Arial" w:cs="Arial"/>
      <w:b/>
      <w:bCs/>
      <w:sz w:val="22"/>
      <w:szCs w:val="22"/>
    </w:rPr>
  </w:style>
  <w:style w:type="paragraph" w:styleId="770" w:customStyle="1">
    <w:name w:val="标题 71"/>
    <w:basedOn w:val="688"/>
    <w:next w:val="688"/>
    <w:link w:val="771"/>
    <w:uiPriority w:val="9"/>
    <w:unhideWhenUsed/>
    <w:qFormat/>
    <w:pPr>
      <w:keepLines/>
      <w:keepNext/>
      <w:spacing w:before="320" w:after="200"/>
      <w:outlineLvl w:val="6"/>
    </w:pPr>
    <w:rPr>
      <w:rFonts w:ascii="Arial" w:hAnsi="Arial" w:eastAsia="Arial" w:cs="Arial"/>
      <w:b/>
      <w:bCs/>
      <w:i/>
      <w:iCs/>
      <w:sz w:val="22"/>
      <w:szCs w:val="22"/>
    </w:rPr>
  </w:style>
  <w:style w:type="character" w:styleId="771" w:customStyle="1">
    <w:name w:val="标题 7 字符"/>
    <w:basedOn w:val="760"/>
    <w:link w:val="770"/>
    <w:uiPriority w:val="9"/>
    <w:qFormat/>
    <w:rPr>
      <w:rFonts w:ascii="Arial" w:hAnsi="Arial" w:eastAsia="Arial" w:cs="Arial"/>
      <w:b/>
      <w:bCs/>
      <w:i/>
      <w:iCs/>
      <w:sz w:val="22"/>
      <w:szCs w:val="22"/>
    </w:rPr>
  </w:style>
  <w:style w:type="paragraph" w:styleId="772" w:customStyle="1">
    <w:name w:val="标题 81"/>
    <w:basedOn w:val="688"/>
    <w:next w:val="688"/>
    <w:link w:val="773"/>
    <w:uiPriority w:val="9"/>
    <w:unhideWhenUsed/>
    <w:qFormat/>
    <w:pPr>
      <w:keepLines/>
      <w:keepNext/>
      <w:spacing w:before="320" w:after="200"/>
      <w:outlineLvl w:val="7"/>
    </w:pPr>
    <w:rPr>
      <w:rFonts w:ascii="Arial" w:hAnsi="Arial" w:eastAsia="Arial" w:cs="Arial"/>
      <w:i/>
      <w:iCs/>
      <w:sz w:val="22"/>
      <w:szCs w:val="22"/>
    </w:rPr>
  </w:style>
  <w:style w:type="character" w:styleId="773" w:customStyle="1">
    <w:name w:val="标题 8 字符"/>
    <w:basedOn w:val="760"/>
    <w:link w:val="772"/>
    <w:uiPriority w:val="9"/>
    <w:qFormat/>
    <w:rPr>
      <w:rFonts w:ascii="Arial" w:hAnsi="Arial" w:eastAsia="Arial" w:cs="Arial"/>
      <w:i/>
      <w:iCs/>
      <w:sz w:val="22"/>
      <w:szCs w:val="22"/>
    </w:rPr>
  </w:style>
  <w:style w:type="paragraph" w:styleId="774" w:customStyle="1">
    <w:name w:val="标题 91"/>
    <w:basedOn w:val="688"/>
    <w:next w:val="688"/>
    <w:link w:val="775"/>
    <w:uiPriority w:val="9"/>
    <w:unhideWhenUsed/>
    <w:qFormat/>
    <w:pPr>
      <w:keepLines/>
      <w:keepNext/>
      <w:spacing w:before="320" w:after="200"/>
      <w:outlineLvl w:val="8"/>
    </w:pPr>
    <w:rPr>
      <w:rFonts w:ascii="Arial" w:hAnsi="Arial" w:eastAsia="Arial" w:cs="Arial"/>
      <w:i/>
      <w:iCs/>
    </w:rPr>
  </w:style>
  <w:style w:type="character" w:styleId="775" w:customStyle="1">
    <w:name w:val="标题 9 字符"/>
    <w:basedOn w:val="760"/>
    <w:link w:val="774"/>
    <w:uiPriority w:val="9"/>
    <w:qFormat/>
    <w:rPr>
      <w:rFonts w:ascii="Arial" w:hAnsi="Arial" w:eastAsia="Arial" w:cs="Arial"/>
      <w:i/>
      <w:iCs/>
      <w:sz w:val="21"/>
      <w:szCs w:val="21"/>
    </w:rPr>
  </w:style>
  <w:style w:type="table" w:styleId="776" w:customStyle="1">
    <w:name w:val="普通表格1"/>
    <w:uiPriority w:val="99"/>
    <w:unhideWhenUsed/>
    <w:qFormat/>
    <w:tblPr/>
  </w:style>
  <w:style w:type="paragraph" w:styleId="777" w:customStyle="1">
    <w:name w:val="目录 711"/>
    <w:basedOn w:val="688"/>
    <w:next w:val="688"/>
    <w:uiPriority w:val="39"/>
    <w:unhideWhenUsed/>
    <w:qFormat/>
    <w:pPr>
      <w:ind w:left="1701"/>
      <w:spacing w:after="57"/>
    </w:pPr>
  </w:style>
  <w:style w:type="paragraph" w:styleId="778" w:customStyle="1">
    <w:name w:val="正文缩进1"/>
    <w:basedOn w:val="688"/>
    <w:next w:val="688"/>
    <w:uiPriority w:val="0"/>
    <w:qFormat/>
    <w:pPr>
      <w:ind w:firstLine="420"/>
      <w:jc w:val="left"/>
    </w:pPr>
    <w:rPr>
      <w:sz w:val="24"/>
    </w:rPr>
  </w:style>
  <w:style w:type="paragraph" w:styleId="779" w:customStyle="1">
    <w:name w:val="题注1"/>
    <w:basedOn w:val="688"/>
    <w:next w:val="688"/>
    <w:uiPriority w:val="35"/>
    <w:unhideWhenUsed/>
    <w:qFormat/>
    <w:pPr>
      <w:spacing w:line="276" w:lineRule="auto"/>
    </w:pPr>
    <w:rPr>
      <w:b/>
      <w:bCs/>
      <w:color w:val="5b9bd5"/>
      <w:sz w:val="18"/>
      <w:szCs w:val="18"/>
    </w:rPr>
  </w:style>
  <w:style w:type="paragraph" w:styleId="780" w:customStyle="1">
    <w:name w:val="批注文字1"/>
    <w:basedOn w:val="688"/>
    <w:link w:val="781"/>
    <w:uiPriority w:val="0"/>
    <w:qFormat/>
    <w:pPr>
      <w:jc w:val="left"/>
    </w:pPr>
  </w:style>
  <w:style w:type="character" w:styleId="781" w:customStyle="1">
    <w:name w:val="批注文字 字符"/>
    <w:basedOn w:val="760"/>
    <w:link w:val="780"/>
    <w:uiPriority w:val="0"/>
    <w:qFormat/>
    <w:rPr>
      <w:rFonts w:ascii="黑体" w:hAnsi="黑体" w:cs="宋体"/>
      <w:sz w:val="21"/>
      <w:szCs w:val="21"/>
    </w:rPr>
  </w:style>
  <w:style w:type="paragraph" w:styleId="782" w:customStyle="1">
    <w:name w:val="正文文本1"/>
    <w:basedOn w:val="688"/>
    <w:next w:val="688"/>
    <w:uiPriority w:val="0"/>
    <w:qFormat/>
    <w:pPr>
      <w:jc w:val="left"/>
      <w:spacing w:line="360" w:lineRule="auto"/>
      <w:widowControl/>
    </w:pPr>
    <w:rPr>
      <w:sz w:val="24"/>
      <w:szCs w:val="20"/>
    </w:rPr>
  </w:style>
  <w:style w:type="paragraph" w:styleId="783" w:customStyle="1">
    <w:name w:val="正文文本缩进1"/>
    <w:basedOn w:val="688"/>
    <w:next w:val="784"/>
    <w:uiPriority w:val="0"/>
    <w:qFormat/>
    <w:pPr>
      <w:ind w:left="570"/>
      <w:spacing w:line="520" w:lineRule="exact"/>
    </w:pPr>
    <w:rPr>
      <w:rFonts w:ascii="方正仿宋简体" w:hAnsi="创艺简仿宋" w:eastAsia="方正仿宋简体"/>
      <w:sz w:val="24"/>
    </w:rPr>
  </w:style>
  <w:style w:type="paragraph" w:styleId="784" w:customStyle="1">
    <w:name w:val="寄信人地址11"/>
    <w:basedOn w:val="688"/>
    <w:next w:val="777"/>
    <w:uiPriority w:val="0"/>
    <w:qFormat/>
    <w:rPr>
      <w:rFonts w:ascii="Arial" w:hAnsi="Arial"/>
    </w:rPr>
  </w:style>
  <w:style w:type="paragraph" w:styleId="785" w:customStyle="1">
    <w:name w:val="目录 51"/>
    <w:basedOn w:val="688"/>
    <w:next w:val="688"/>
    <w:uiPriority w:val="39"/>
    <w:unhideWhenUsed/>
    <w:qFormat/>
    <w:pPr>
      <w:ind w:left="1134"/>
      <w:spacing w:after="57"/>
    </w:pPr>
  </w:style>
  <w:style w:type="paragraph" w:styleId="786" w:customStyle="1">
    <w:name w:val="目录 31"/>
    <w:basedOn w:val="688"/>
    <w:next w:val="688"/>
    <w:uiPriority w:val="39"/>
    <w:unhideWhenUsed/>
    <w:qFormat/>
    <w:pPr>
      <w:ind w:left="567"/>
      <w:spacing w:after="57"/>
    </w:pPr>
  </w:style>
  <w:style w:type="paragraph" w:styleId="787" w:customStyle="1">
    <w:name w:val="纯文本111"/>
    <w:basedOn w:val="688"/>
    <w:uiPriority w:val="0"/>
    <w:qFormat/>
    <w:rPr>
      <w:rFonts w:ascii="宋体" w:hAnsi="Courier New"/>
    </w:rPr>
  </w:style>
  <w:style w:type="paragraph" w:styleId="788" w:customStyle="1">
    <w:name w:val="目录 81"/>
    <w:basedOn w:val="688"/>
    <w:next w:val="688"/>
    <w:uiPriority w:val="39"/>
    <w:unhideWhenUsed/>
    <w:qFormat/>
    <w:pPr>
      <w:ind w:left="1984"/>
      <w:spacing w:after="57"/>
    </w:pPr>
  </w:style>
  <w:style w:type="paragraph" w:styleId="789" w:customStyle="1">
    <w:name w:val="正文文本缩进 21"/>
    <w:basedOn w:val="688"/>
    <w:uiPriority w:val="0"/>
    <w:qFormat/>
    <w:pPr>
      <w:ind w:firstLine="502"/>
      <w:spacing w:line="360" w:lineRule="auto"/>
      <w:tabs>
        <w:tab w:val="left" w:pos="0" w:leader="none"/>
      </w:tabs>
    </w:pPr>
    <w:rPr>
      <w:rFonts w:ascii="宋体" w:hAnsi="Calibri"/>
      <w:b/>
      <w:bCs/>
      <w:sz w:val="24"/>
    </w:rPr>
  </w:style>
  <w:style w:type="paragraph" w:styleId="790" w:customStyle="1">
    <w:name w:val="尾注文本1"/>
    <w:basedOn w:val="688"/>
    <w:link w:val="791"/>
    <w:uiPriority w:val="99"/>
    <w:unhideWhenUsed/>
    <w:qFormat/>
    <w:rPr>
      <w:sz w:val="20"/>
    </w:rPr>
  </w:style>
  <w:style w:type="character" w:styleId="791" w:customStyle="1">
    <w:name w:val="尾注文本 字符"/>
    <w:link w:val="790"/>
    <w:uiPriority w:val="99"/>
    <w:qFormat/>
    <w:rPr>
      <w:sz w:val="20"/>
    </w:rPr>
  </w:style>
  <w:style w:type="paragraph" w:styleId="792" w:customStyle="1">
    <w:name w:val="批注框文本1"/>
    <w:basedOn w:val="688"/>
    <w:uiPriority w:val="0"/>
    <w:semiHidden/>
    <w:qFormat/>
    <w:rPr>
      <w:rFonts w:ascii="Calibri" w:hAnsi="Calibri"/>
      <w:sz w:val="18"/>
      <w:szCs w:val="18"/>
    </w:rPr>
  </w:style>
  <w:style w:type="paragraph" w:styleId="793" w:customStyle="1">
    <w:name w:val="页脚1"/>
    <w:basedOn w:val="688"/>
    <w:uiPriority w:val="0"/>
    <w:qFormat/>
    <w:pPr>
      <w:jc w:val="left"/>
      <w:tabs>
        <w:tab w:val="center" w:pos="4153" w:leader="none"/>
        <w:tab w:val="right" w:pos="8306" w:leader="none"/>
      </w:tabs>
    </w:pPr>
    <w:rPr>
      <w:sz w:val="18"/>
    </w:rPr>
  </w:style>
  <w:style w:type="paragraph" w:styleId="794" w:customStyle="1">
    <w:name w:val="页眉1"/>
    <w:basedOn w:val="688"/>
    <w:uiPriority w:val="0"/>
    <w:qFormat/>
    <w:pPr>
      <w:tabs>
        <w:tab w:val="center" w:pos="4153" w:leader="none"/>
        <w:tab w:val="right" w:pos="8306" w:leader="none"/>
      </w:tabs>
      <w:pBdr>
        <w:top w:val="none" w:color="auto" w:sz="0" w:space="0"/>
        <w:left w:val="none" w:color="auto" w:sz="0" w:space="0"/>
        <w:bottom w:val="none" w:color="auto" w:sz="0" w:space="0"/>
        <w:right w:val="none" w:color="auto" w:sz="0" w:space="0"/>
      </w:pBdr>
    </w:pPr>
    <w:rPr>
      <w:sz w:val="18"/>
    </w:rPr>
  </w:style>
  <w:style w:type="paragraph" w:styleId="795" w:customStyle="1">
    <w:name w:val="目录 11"/>
    <w:basedOn w:val="688"/>
    <w:next w:val="688"/>
    <w:uiPriority w:val="39"/>
    <w:unhideWhenUsed/>
    <w:qFormat/>
    <w:pPr>
      <w:spacing w:after="57"/>
    </w:pPr>
  </w:style>
  <w:style w:type="paragraph" w:styleId="796" w:customStyle="1">
    <w:name w:val="目录 41"/>
    <w:basedOn w:val="688"/>
    <w:next w:val="688"/>
    <w:uiPriority w:val="39"/>
    <w:unhideWhenUsed/>
    <w:qFormat/>
    <w:pPr>
      <w:ind w:left="850"/>
      <w:spacing w:after="57"/>
    </w:pPr>
  </w:style>
  <w:style w:type="paragraph" w:styleId="797" w:customStyle="1">
    <w:name w:val="副标题1"/>
    <w:basedOn w:val="688"/>
    <w:next w:val="688"/>
    <w:link w:val="798"/>
    <w:uiPriority w:val="11"/>
    <w:qFormat/>
    <w:pPr>
      <w:spacing w:before="200" w:after="200"/>
    </w:pPr>
    <w:rPr>
      <w:sz w:val="24"/>
      <w:szCs w:val="24"/>
    </w:rPr>
  </w:style>
  <w:style w:type="character" w:styleId="798" w:customStyle="1">
    <w:name w:val="副标题 字符"/>
    <w:basedOn w:val="760"/>
    <w:link w:val="797"/>
    <w:uiPriority w:val="11"/>
    <w:qFormat/>
    <w:rPr>
      <w:sz w:val="24"/>
      <w:szCs w:val="24"/>
    </w:rPr>
  </w:style>
  <w:style w:type="paragraph" w:styleId="799" w:customStyle="1">
    <w:name w:val="脚注文本1"/>
    <w:basedOn w:val="688"/>
    <w:link w:val="800"/>
    <w:uiPriority w:val="99"/>
    <w:unhideWhenUsed/>
    <w:qFormat/>
    <w:pPr>
      <w:spacing w:after="40"/>
    </w:pPr>
    <w:rPr>
      <w:sz w:val="18"/>
    </w:rPr>
  </w:style>
  <w:style w:type="character" w:styleId="800" w:customStyle="1">
    <w:name w:val="脚注文本 字符"/>
    <w:link w:val="799"/>
    <w:uiPriority w:val="99"/>
    <w:qFormat/>
    <w:rPr>
      <w:sz w:val="18"/>
    </w:rPr>
  </w:style>
  <w:style w:type="paragraph" w:styleId="801" w:customStyle="1">
    <w:name w:val="目录 61"/>
    <w:basedOn w:val="688"/>
    <w:next w:val="688"/>
    <w:uiPriority w:val="39"/>
    <w:unhideWhenUsed/>
    <w:qFormat/>
    <w:pPr>
      <w:ind w:left="1417"/>
      <w:spacing w:after="57"/>
    </w:pPr>
  </w:style>
  <w:style w:type="paragraph" w:styleId="802" w:customStyle="1">
    <w:name w:val="正文文本缩进 31"/>
    <w:basedOn w:val="688"/>
    <w:uiPriority w:val="0"/>
    <w:qFormat/>
    <w:pPr>
      <w:ind w:firstLine="617"/>
      <w:spacing w:line="360" w:lineRule="auto"/>
    </w:pPr>
    <w:rPr>
      <w:sz w:val="24"/>
      <w:szCs w:val="24"/>
    </w:rPr>
  </w:style>
  <w:style w:type="paragraph" w:styleId="803" w:customStyle="1">
    <w:name w:val="图表目录1"/>
    <w:basedOn w:val="688"/>
    <w:next w:val="688"/>
    <w:uiPriority w:val="99"/>
    <w:unhideWhenUsed/>
    <w:qFormat/>
  </w:style>
  <w:style w:type="paragraph" w:styleId="804" w:customStyle="1">
    <w:name w:val="目录 21"/>
    <w:basedOn w:val="688"/>
    <w:next w:val="688"/>
    <w:uiPriority w:val="39"/>
    <w:unhideWhenUsed/>
    <w:qFormat/>
    <w:pPr>
      <w:ind w:left="283"/>
      <w:spacing w:after="57"/>
    </w:pPr>
  </w:style>
  <w:style w:type="paragraph" w:styleId="805" w:customStyle="1">
    <w:name w:val="目录 91"/>
    <w:basedOn w:val="688"/>
    <w:next w:val="688"/>
    <w:uiPriority w:val="39"/>
    <w:unhideWhenUsed/>
    <w:qFormat/>
    <w:pPr>
      <w:ind w:left="2268"/>
      <w:spacing w:after="57"/>
    </w:pPr>
  </w:style>
  <w:style w:type="paragraph" w:styleId="806" w:customStyle="1">
    <w:name w:val="普通(网站)1"/>
    <w:basedOn w:val="688"/>
    <w:next w:val="688"/>
    <w:uiPriority w:val="0"/>
    <w:qFormat/>
    <w:pPr>
      <w:jc w:val="left"/>
      <w:spacing w:before="100" w:beforeAutospacing="1" w:after="100" w:afterAutospacing="1"/>
      <w:widowControl/>
    </w:pPr>
    <w:rPr>
      <w:rFonts w:ascii="宋体" w:hAnsi="宋体"/>
      <w:sz w:val="24"/>
      <w:szCs w:val="24"/>
    </w:rPr>
  </w:style>
  <w:style w:type="paragraph" w:styleId="807" w:customStyle="1">
    <w:name w:val="标题1"/>
    <w:basedOn w:val="688"/>
    <w:next w:val="688"/>
    <w:link w:val="808"/>
    <w:uiPriority w:val="10"/>
    <w:qFormat/>
    <w:pPr>
      <w:contextualSpacing/>
      <w:spacing w:before="300" w:after="200"/>
    </w:pPr>
    <w:rPr>
      <w:sz w:val="48"/>
      <w:szCs w:val="48"/>
    </w:rPr>
  </w:style>
  <w:style w:type="character" w:styleId="808" w:customStyle="1">
    <w:name w:val="标题 字符"/>
    <w:basedOn w:val="760"/>
    <w:link w:val="807"/>
    <w:uiPriority w:val="10"/>
    <w:qFormat/>
    <w:rPr>
      <w:sz w:val="48"/>
      <w:szCs w:val="48"/>
    </w:rPr>
  </w:style>
  <w:style w:type="paragraph" w:styleId="809" w:customStyle="1">
    <w:name w:val="批注主题1"/>
    <w:basedOn w:val="780"/>
    <w:next w:val="780"/>
    <w:link w:val="810"/>
    <w:uiPriority w:val="99"/>
    <w:unhideWhenUsed/>
    <w:qFormat/>
    <w:rPr>
      <w:b/>
      <w:bCs/>
    </w:rPr>
  </w:style>
  <w:style w:type="character" w:styleId="810" w:customStyle="1">
    <w:name w:val="批注主题 字符"/>
    <w:basedOn w:val="781"/>
    <w:link w:val="809"/>
    <w:uiPriority w:val="99"/>
    <w:semiHidden/>
    <w:qFormat/>
    <w:rPr>
      <w:rFonts w:ascii="黑体" w:hAnsi="黑体" w:cs="宋体"/>
      <w:b/>
      <w:bCs/>
      <w:sz w:val="21"/>
      <w:szCs w:val="21"/>
    </w:rPr>
  </w:style>
  <w:style w:type="paragraph" w:styleId="811" w:customStyle="1">
    <w:name w:val="正文首行缩进1"/>
    <w:basedOn w:val="782"/>
    <w:uiPriority w:val="99"/>
    <w:qFormat/>
    <w:pPr>
      <w:ind w:firstLine="420"/>
      <w:spacing w:after="120" w:line="240" w:lineRule="auto"/>
    </w:pPr>
    <w:rPr>
      <w:sz w:val="28"/>
    </w:rPr>
  </w:style>
  <w:style w:type="paragraph" w:styleId="812" w:customStyle="1">
    <w:name w:val="正文首行缩进 21"/>
    <w:basedOn w:val="783"/>
    <w:next w:val="778"/>
    <w:uiPriority w:val="0"/>
    <w:qFormat/>
    <w:pPr>
      <w:ind w:firstLine="420"/>
    </w:pPr>
  </w:style>
  <w:style w:type="table" w:styleId="813" w:customStyle="1">
    <w:name w:val="网格型1"/>
    <w:basedOn w:val="776"/>
    <w:uiPriority w:val="59"/>
    <w:qFormat/>
    <w:tblPr/>
  </w:style>
  <w:style w:type="character" w:styleId="814" w:customStyle="1">
    <w:name w:val="要点1"/>
    <w:basedOn w:val="760"/>
    <w:uiPriority w:val="0"/>
    <w:qFormat/>
    <w:rPr>
      <w:b/>
      <w:bCs/>
    </w:rPr>
  </w:style>
  <w:style w:type="character" w:styleId="815" w:customStyle="1">
    <w:name w:val="尾注引用1"/>
    <w:basedOn w:val="760"/>
    <w:uiPriority w:val="99"/>
    <w:unhideWhenUsed/>
    <w:qFormat/>
    <w:rPr>
      <w:vertAlign w:val="superscript"/>
    </w:rPr>
  </w:style>
  <w:style w:type="character" w:styleId="816" w:customStyle="1">
    <w:name w:val="已访问的超链接1"/>
    <w:basedOn w:val="760"/>
    <w:uiPriority w:val="0"/>
    <w:qFormat/>
    <w:rPr>
      <w:color w:val="800080"/>
      <w:u w:val="none"/>
    </w:rPr>
  </w:style>
  <w:style w:type="character" w:styleId="817" w:customStyle="1">
    <w:name w:val="强调1"/>
    <w:basedOn w:val="760"/>
    <w:uiPriority w:val="0"/>
    <w:qFormat/>
    <w:rPr>
      <w:b/>
      <w:bCs/>
    </w:rPr>
  </w:style>
  <w:style w:type="character" w:styleId="818" w:customStyle="1">
    <w:name w:val="HTML 定义1"/>
    <w:basedOn w:val="760"/>
    <w:uiPriority w:val="0"/>
    <w:qFormat/>
  </w:style>
  <w:style w:type="character" w:styleId="819" w:customStyle="1">
    <w:name w:val="HTML 打字机1"/>
    <w:basedOn w:val="760"/>
    <w:uiPriority w:val="0"/>
    <w:qFormat/>
    <w:rPr>
      <w:rFonts w:ascii="monospace" w:hAnsi="monospace" w:eastAsia="monospace" w:cs="monospace"/>
      <w:sz w:val="20"/>
    </w:rPr>
  </w:style>
  <w:style w:type="character" w:styleId="820" w:customStyle="1">
    <w:name w:val="HTML 缩写1"/>
    <w:basedOn w:val="760"/>
    <w:uiPriority w:val="0"/>
    <w:qFormat/>
  </w:style>
  <w:style w:type="character" w:styleId="821" w:customStyle="1">
    <w:name w:val="HTML 变量1"/>
    <w:basedOn w:val="760"/>
    <w:uiPriority w:val="0"/>
    <w:qFormat/>
  </w:style>
  <w:style w:type="character" w:styleId="822" w:customStyle="1">
    <w:name w:val="超链接1"/>
    <w:basedOn w:val="760"/>
    <w:uiPriority w:val="0"/>
    <w:qFormat/>
    <w:rPr>
      <w:color w:val="0000ff"/>
      <w:u w:val="none"/>
    </w:rPr>
  </w:style>
  <w:style w:type="character" w:styleId="823" w:customStyle="1">
    <w:name w:val="HTML 代码1"/>
    <w:basedOn w:val="760"/>
    <w:uiPriority w:val="0"/>
    <w:qFormat/>
    <w:rPr>
      <w:rFonts w:ascii="monospace" w:hAnsi="monospace" w:eastAsia="monospace" w:cs="monospace"/>
      <w:sz w:val="20"/>
    </w:rPr>
  </w:style>
  <w:style w:type="character" w:styleId="824" w:customStyle="1">
    <w:name w:val="批注引用1"/>
    <w:basedOn w:val="760"/>
    <w:uiPriority w:val="99"/>
    <w:unhideWhenUsed/>
    <w:qFormat/>
    <w:rPr>
      <w:sz w:val="21"/>
      <w:szCs w:val="21"/>
    </w:rPr>
  </w:style>
  <w:style w:type="character" w:styleId="825" w:customStyle="1">
    <w:name w:val="HTML 引文1"/>
    <w:basedOn w:val="760"/>
    <w:uiPriority w:val="0"/>
    <w:qFormat/>
  </w:style>
  <w:style w:type="character" w:styleId="826" w:customStyle="1">
    <w:name w:val="脚注引用1"/>
    <w:basedOn w:val="760"/>
    <w:uiPriority w:val="99"/>
    <w:unhideWhenUsed/>
    <w:qFormat/>
    <w:rPr>
      <w:vertAlign w:val="superscript"/>
    </w:rPr>
  </w:style>
  <w:style w:type="character" w:styleId="827" w:customStyle="1">
    <w:name w:val="HTML 键盘1"/>
    <w:basedOn w:val="760"/>
    <w:uiPriority w:val="0"/>
    <w:qFormat/>
    <w:rPr>
      <w:rFonts w:ascii="monospace" w:hAnsi="monospace" w:eastAsia="monospace" w:cs="monospace"/>
      <w:sz w:val="20"/>
    </w:rPr>
  </w:style>
  <w:style w:type="character" w:styleId="828" w:customStyle="1">
    <w:name w:val="HTML 样本1"/>
    <w:basedOn w:val="760"/>
    <w:uiPriority w:val="0"/>
    <w:qFormat/>
    <w:rPr>
      <w:rFonts w:ascii="monospace" w:hAnsi="monospace" w:eastAsia="monospace" w:cs="monospace"/>
      <w:shd w:val="clear" w:color="auto" w:fill="f9f9f9"/>
    </w:rPr>
  </w:style>
  <w:style w:type="character" w:styleId="829" w:customStyle="1">
    <w:name w:val="Heading 3 Char"/>
    <w:basedOn w:val="760"/>
    <w:uiPriority w:val="9"/>
    <w:qFormat/>
    <w:rPr>
      <w:rFonts w:ascii="Arial" w:hAnsi="Arial" w:eastAsia="Arial" w:cs="Arial"/>
      <w:sz w:val="30"/>
      <w:szCs w:val="30"/>
    </w:rPr>
  </w:style>
  <w:style w:type="paragraph" w:styleId="830">
    <w:name w:val="No Spacing"/>
    <w:uiPriority w:val="1"/>
    <w:qFormat/>
    <w:rPr>
      <w:rFonts w:hint="default" w:ascii="Times New Roman" w:hAnsi="Times New Roman" w:eastAsia="宋体" w:cs="Times New Roman"/>
      <w:lang w:eastAsia="zh-CN"/>
    </w:rPr>
  </w:style>
  <w:style w:type="paragraph" w:styleId="831">
    <w:name w:val="Quote"/>
    <w:basedOn w:val="688"/>
    <w:next w:val="688"/>
    <w:link w:val="832"/>
    <w:uiPriority w:val="29"/>
    <w:qFormat/>
    <w:pPr>
      <w:ind w:left="720" w:right="720"/>
    </w:pPr>
    <w:rPr>
      <w:i/>
    </w:rPr>
  </w:style>
  <w:style w:type="character" w:styleId="832" w:customStyle="1">
    <w:name w:val="引用 字符"/>
    <w:link w:val="831"/>
    <w:uiPriority w:val="29"/>
    <w:qFormat/>
    <w:rPr>
      <w:i/>
    </w:rPr>
  </w:style>
  <w:style w:type="paragraph" w:styleId="833">
    <w:name w:val="Intense Quote"/>
    <w:basedOn w:val="688"/>
    <w:next w:val="688"/>
    <w:link w:val="83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4" w:customStyle="1">
    <w:name w:val="明显引用 字符"/>
    <w:link w:val="833"/>
    <w:uiPriority w:val="30"/>
    <w:qFormat/>
    <w:rPr>
      <w:i/>
    </w:rPr>
  </w:style>
  <w:style w:type="character" w:styleId="835" w:customStyle="1">
    <w:name w:val="Header Char"/>
    <w:basedOn w:val="760"/>
    <w:uiPriority w:val="99"/>
    <w:qFormat/>
  </w:style>
  <w:style w:type="character" w:styleId="836" w:customStyle="1">
    <w:name w:val="Footer Char"/>
    <w:basedOn w:val="760"/>
    <w:uiPriority w:val="99"/>
    <w:qFormat/>
  </w:style>
  <w:style w:type="character" w:styleId="837" w:customStyle="1">
    <w:name w:val="Caption Char"/>
    <w:uiPriority w:val="99"/>
    <w:qFormat/>
  </w:style>
  <w:style w:type="table" w:styleId="838" w:customStyle="1">
    <w:name w:val="Table Grid Light"/>
    <w:basedOn w:val="776"/>
    <w:uiPriority w:val="59"/>
    <w:qFormat/>
    <w:tblPr/>
  </w:style>
  <w:style w:type="table" w:styleId="839" w:customStyle="1">
    <w:name w:val="无格式表格 11"/>
    <w:basedOn w:val="776"/>
    <w:uiPriority w:val="59"/>
    <w:qFormat/>
    <w:tblPr/>
  </w:style>
  <w:style w:type="table" w:styleId="840" w:customStyle="1">
    <w:name w:val="无格式表格 21"/>
    <w:basedOn w:val="776"/>
    <w:uiPriority w:val="59"/>
    <w:qFormat/>
    <w:tblPr/>
  </w:style>
  <w:style w:type="table" w:styleId="841" w:customStyle="1">
    <w:name w:val="无格式表格 31"/>
    <w:basedOn w:val="776"/>
    <w:uiPriority w:val="99"/>
    <w:qFormat/>
    <w:tblPr/>
  </w:style>
  <w:style w:type="table" w:styleId="842" w:customStyle="1">
    <w:name w:val="无格式表格 41"/>
    <w:basedOn w:val="776"/>
    <w:uiPriority w:val="99"/>
    <w:qFormat/>
    <w:tblPr/>
  </w:style>
  <w:style w:type="table" w:styleId="843" w:customStyle="1">
    <w:name w:val="无格式表格 51"/>
    <w:basedOn w:val="776"/>
    <w:uiPriority w:val="99"/>
    <w:qFormat/>
    <w:tblPr/>
  </w:style>
  <w:style w:type="table" w:styleId="844" w:customStyle="1">
    <w:name w:val="网格表 1 浅色1"/>
    <w:basedOn w:val="776"/>
    <w:uiPriority w:val="99"/>
    <w:qFormat/>
    <w:tblPr/>
  </w:style>
  <w:style w:type="table" w:styleId="845" w:customStyle="1">
    <w:name w:val="Grid Table 1 Light - Accent 1"/>
    <w:basedOn w:val="776"/>
    <w:uiPriority w:val="99"/>
    <w:qFormat/>
    <w:tblPr/>
  </w:style>
  <w:style w:type="table" w:styleId="846" w:customStyle="1">
    <w:name w:val="Grid Table 1 Light - Accent 2"/>
    <w:basedOn w:val="776"/>
    <w:uiPriority w:val="99"/>
    <w:qFormat/>
    <w:tblPr/>
  </w:style>
  <w:style w:type="table" w:styleId="847" w:customStyle="1">
    <w:name w:val="Grid Table 1 Light - Accent 3"/>
    <w:basedOn w:val="776"/>
    <w:uiPriority w:val="99"/>
    <w:qFormat/>
    <w:tblPr/>
  </w:style>
  <w:style w:type="table" w:styleId="848" w:customStyle="1">
    <w:name w:val="Grid Table 1 Light - Accent 4"/>
    <w:basedOn w:val="776"/>
    <w:uiPriority w:val="99"/>
    <w:qFormat/>
    <w:tblPr/>
  </w:style>
  <w:style w:type="table" w:styleId="849" w:customStyle="1">
    <w:name w:val="Grid Table 1 Light - Accent 5"/>
    <w:basedOn w:val="776"/>
    <w:uiPriority w:val="99"/>
    <w:qFormat/>
    <w:tblPr/>
  </w:style>
  <w:style w:type="table" w:styleId="850" w:customStyle="1">
    <w:name w:val="Grid Table 1 Light - Accent 6"/>
    <w:basedOn w:val="776"/>
    <w:uiPriority w:val="99"/>
    <w:qFormat/>
    <w:tblPr/>
  </w:style>
  <w:style w:type="table" w:styleId="851" w:customStyle="1">
    <w:name w:val="网格表 21"/>
    <w:basedOn w:val="776"/>
    <w:uiPriority w:val="99"/>
    <w:qFormat/>
    <w:tblPr/>
  </w:style>
  <w:style w:type="table" w:styleId="852" w:customStyle="1">
    <w:name w:val="Grid Table 2 - Accent 1"/>
    <w:basedOn w:val="776"/>
    <w:uiPriority w:val="99"/>
    <w:qFormat/>
    <w:tblPr/>
  </w:style>
  <w:style w:type="table" w:styleId="853" w:customStyle="1">
    <w:name w:val="Grid Table 2 - Accent 2"/>
    <w:basedOn w:val="776"/>
    <w:uiPriority w:val="99"/>
    <w:qFormat/>
    <w:tblPr/>
  </w:style>
  <w:style w:type="table" w:styleId="854" w:customStyle="1">
    <w:name w:val="Grid Table 2 - Accent 3"/>
    <w:basedOn w:val="776"/>
    <w:uiPriority w:val="99"/>
    <w:qFormat/>
    <w:tblPr/>
  </w:style>
  <w:style w:type="table" w:styleId="855" w:customStyle="1">
    <w:name w:val="Grid Table 2 - Accent 4"/>
    <w:basedOn w:val="776"/>
    <w:uiPriority w:val="99"/>
    <w:qFormat/>
    <w:tblPr/>
  </w:style>
  <w:style w:type="table" w:styleId="856" w:customStyle="1">
    <w:name w:val="Grid Table 2 - Accent 5"/>
    <w:basedOn w:val="776"/>
    <w:uiPriority w:val="99"/>
    <w:qFormat/>
    <w:tblPr/>
  </w:style>
  <w:style w:type="table" w:styleId="857" w:customStyle="1">
    <w:name w:val="Grid Table 2 - Accent 6"/>
    <w:basedOn w:val="776"/>
    <w:uiPriority w:val="99"/>
    <w:qFormat/>
    <w:tblPr/>
  </w:style>
  <w:style w:type="table" w:styleId="858" w:customStyle="1">
    <w:name w:val="网格表 31"/>
    <w:basedOn w:val="776"/>
    <w:uiPriority w:val="99"/>
    <w:qFormat/>
    <w:tblPr/>
  </w:style>
  <w:style w:type="table" w:styleId="859" w:customStyle="1">
    <w:name w:val="Grid Table 3 - Accent 1"/>
    <w:basedOn w:val="776"/>
    <w:uiPriority w:val="99"/>
    <w:qFormat/>
    <w:tblPr/>
  </w:style>
  <w:style w:type="table" w:styleId="860" w:customStyle="1">
    <w:name w:val="Grid Table 3 - Accent 2"/>
    <w:basedOn w:val="776"/>
    <w:uiPriority w:val="99"/>
    <w:qFormat/>
    <w:tblPr/>
  </w:style>
  <w:style w:type="table" w:styleId="861" w:customStyle="1">
    <w:name w:val="Grid Table 3 - Accent 3"/>
    <w:basedOn w:val="776"/>
    <w:uiPriority w:val="99"/>
    <w:qFormat/>
    <w:tblPr/>
  </w:style>
  <w:style w:type="table" w:styleId="862" w:customStyle="1">
    <w:name w:val="Grid Table 3 - Accent 4"/>
    <w:basedOn w:val="776"/>
    <w:uiPriority w:val="99"/>
    <w:qFormat/>
    <w:tblPr/>
  </w:style>
  <w:style w:type="table" w:styleId="863" w:customStyle="1">
    <w:name w:val="Grid Table 3 - Accent 5"/>
    <w:basedOn w:val="776"/>
    <w:uiPriority w:val="99"/>
    <w:qFormat/>
    <w:tblPr/>
  </w:style>
  <w:style w:type="table" w:styleId="864" w:customStyle="1">
    <w:name w:val="Grid Table 3 - Accent 6"/>
    <w:basedOn w:val="776"/>
    <w:uiPriority w:val="99"/>
    <w:qFormat/>
    <w:tblPr/>
  </w:style>
  <w:style w:type="table" w:styleId="865" w:customStyle="1">
    <w:name w:val="网格表 41"/>
    <w:basedOn w:val="776"/>
    <w:uiPriority w:val="59"/>
    <w:qFormat/>
    <w:tblPr/>
  </w:style>
  <w:style w:type="table" w:styleId="866" w:customStyle="1">
    <w:name w:val="Grid Table 4 - Accent 1"/>
    <w:basedOn w:val="776"/>
    <w:uiPriority w:val="59"/>
    <w:qFormat/>
    <w:tblPr/>
  </w:style>
  <w:style w:type="table" w:styleId="867" w:customStyle="1">
    <w:name w:val="Grid Table 4 - Accent 2"/>
    <w:basedOn w:val="776"/>
    <w:uiPriority w:val="59"/>
    <w:qFormat/>
    <w:tblPr/>
  </w:style>
  <w:style w:type="table" w:styleId="868" w:customStyle="1">
    <w:name w:val="Grid Table 4 - Accent 3"/>
    <w:basedOn w:val="776"/>
    <w:uiPriority w:val="59"/>
    <w:qFormat/>
    <w:tblPr/>
  </w:style>
  <w:style w:type="table" w:styleId="869" w:customStyle="1">
    <w:name w:val="Grid Table 4 - Accent 4"/>
    <w:basedOn w:val="776"/>
    <w:uiPriority w:val="59"/>
    <w:qFormat/>
    <w:tblPr/>
  </w:style>
  <w:style w:type="table" w:styleId="870" w:customStyle="1">
    <w:name w:val="Grid Table 4 - Accent 5"/>
    <w:basedOn w:val="776"/>
    <w:uiPriority w:val="59"/>
    <w:qFormat/>
    <w:tblPr/>
  </w:style>
  <w:style w:type="table" w:styleId="871" w:customStyle="1">
    <w:name w:val="Grid Table 4 - Accent 6"/>
    <w:basedOn w:val="776"/>
    <w:uiPriority w:val="59"/>
    <w:qFormat/>
    <w:tblPr/>
  </w:style>
  <w:style w:type="table" w:styleId="872" w:customStyle="1">
    <w:name w:val="网格表 5 深色1"/>
    <w:basedOn w:val="776"/>
    <w:uiPriority w:val="99"/>
    <w:qFormat/>
    <w:tblPr/>
  </w:style>
  <w:style w:type="table" w:styleId="873" w:customStyle="1">
    <w:name w:val="Grid Table 5 Dark- Accent 1"/>
    <w:basedOn w:val="776"/>
    <w:uiPriority w:val="99"/>
    <w:qFormat/>
    <w:tblPr/>
  </w:style>
  <w:style w:type="table" w:styleId="874" w:customStyle="1">
    <w:name w:val="Grid Table 5 Dark - Accent 2"/>
    <w:basedOn w:val="776"/>
    <w:uiPriority w:val="99"/>
    <w:qFormat/>
    <w:tblPr/>
  </w:style>
  <w:style w:type="table" w:styleId="875" w:customStyle="1">
    <w:name w:val="Grid Table 5 Dark - Accent 3"/>
    <w:basedOn w:val="776"/>
    <w:uiPriority w:val="99"/>
    <w:qFormat/>
    <w:tblPr/>
  </w:style>
  <w:style w:type="table" w:styleId="876" w:customStyle="1">
    <w:name w:val="Grid Table 5 Dark- Accent 4"/>
    <w:basedOn w:val="776"/>
    <w:uiPriority w:val="99"/>
    <w:qFormat/>
    <w:tblPr/>
  </w:style>
  <w:style w:type="table" w:styleId="877" w:customStyle="1">
    <w:name w:val="Grid Table 5 Dark - Accent 5"/>
    <w:basedOn w:val="776"/>
    <w:uiPriority w:val="99"/>
    <w:qFormat/>
    <w:tblPr/>
  </w:style>
  <w:style w:type="table" w:styleId="878" w:customStyle="1">
    <w:name w:val="Grid Table 5 Dark - Accent 6"/>
    <w:basedOn w:val="776"/>
    <w:uiPriority w:val="99"/>
    <w:qFormat/>
    <w:tblPr/>
  </w:style>
  <w:style w:type="table" w:styleId="879" w:customStyle="1">
    <w:name w:val="网格表 6 彩色1"/>
    <w:basedOn w:val="776"/>
    <w:uiPriority w:val="99"/>
    <w:qFormat/>
    <w:tblPr/>
  </w:style>
  <w:style w:type="table" w:styleId="880" w:customStyle="1">
    <w:name w:val="Grid Table 6 Colorful - Accent 1"/>
    <w:basedOn w:val="776"/>
    <w:uiPriority w:val="99"/>
    <w:qFormat/>
    <w:tblPr/>
  </w:style>
  <w:style w:type="table" w:styleId="881" w:customStyle="1">
    <w:name w:val="Grid Table 6 Colorful - Accent 2"/>
    <w:basedOn w:val="776"/>
    <w:uiPriority w:val="99"/>
    <w:qFormat/>
    <w:tblPr/>
  </w:style>
  <w:style w:type="table" w:styleId="882" w:customStyle="1">
    <w:name w:val="Grid Table 6 Colorful - Accent 3"/>
    <w:basedOn w:val="776"/>
    <w:uiPriority w:val="99"/>
    <w:qFormat/>
    <w:tblPr/>
  </w:style>
  <w:style w:type="table" w:styleId="883" w:customStyle="1">
    <w:name w:val="Grid Table 6 Colorful - Accent 4"/>
    <w:basedOn w:val="776"/>
    <w:uiPriority w:val="99"/>
    <w:qFormat/>
    <w:tblPr/>
  </w:style>
  <w:style w:type="table" w:styleId="884" w:customStyle="1">
    <w:name w:val="Grid Table 6 Colorful - Accent 5"/>
    <w:basedOn w:val="776"/>
    <w:uiPriority w:val="99"/>
    <w:qFormat/>
    <w:tblPr/>
  </w:style>
  <w:style w:type="table" w:styleId="885" w:customStyle="1">
    <w:name w:val="Grid Table 6 Colorful - Accent 6"/>
    <w:basedOn w:val="776"/>
    <w:uiPriority w:val="99"/>
    <w:qFormat/>
    <w:tblPr/>
  </w:style>
  <w:style w:type="table" w:styleId="886" w:customStyle="1">
    <w:name w:val="网格表 7 彩色1"/>
    <w:basedOn w:val="776"/>
    <w:uiPriority w:val="99"/>
    <w:qFormat/>
    <w:tblPr/>
  </w:style>
  <w:style w:type="table" w:styleId="887" w:customStyle="1">
    <w:name w:val="Grid Table 7 Colorful - Accent 1"/>
    <w:basedOn w:val="776"/>
    <w:uiPriority w:val="99"/>
    <w:qFormat/>
    <w:tblPr/>
  </w:style>
  <w:style w:type="table" w:styleId="888" w:customStyle="1">
    <w:name w:val="Grid Table 7 Colorful - Accent 2"/>
    <w:basedOn w:val="776"/>
    <w:uiPriority w:val="99"/>
    <w:qFormat/>
    <w:tblPr/>
  </w:style>
  <w:style w:type="table" w:styleId="889" w:customStyle="1">
    <w:name w:val="Grid Table 7 Colorful - Accent 3"/>
    <w:basedOn w:val="776"/>
    <w:uiPriority w:val="99"/>
    <w:qFormat/>
    <w:tblPr/>
  </w:style>
  <w:style w:type="table" w:styleId="890" w:customStyle="1">
    <w:name w:val="Grid Table 7 Colorful - Accent 4"/>
    <w:basedOn w:val="776"/>
    <w:uiPriority w:val="99"/>
    <w:qFormat/>
    <w:tblPr/>
  </w:style>
  <w:style w:type="table" w:styleId="891" w:customStyle="1">
    <w:name w:val="Grid Table 7 Colorful - Accent 5"/>
    <w:basedOn w:val="776"/>
    <w:uiPriority w:val="99"/>
    <w:qFormat/>
    <w:tblPr/>
  </w:style>
  <w:style w:type="table" w:styleId="892" w:customStyle="1">
    <w:name w:val="Grid Table 7 Colorful - Accent 6"/>
    <w:basedOn w:val="776"/>
    <w:uiPriority w:val="99"/>
    <w:qFormat/>
    <w:tblPr/>
  </w:style>
  <w:style w:type="table" w:styleId="893" w:customStyle="1">
    <w:name w:val="清单表 1 浅色1"/>
    <w:basedOn w:val="776"/>
    <w:uiPriority w:val="99"/>
    <w:qFormat/>
    <w:tblPr/>
  </w:style>
  <w:style w:type="table" w:styleId="894" w:customStyle="1">
    <w:name w:val="List Table 1 Light - Accent 1"/>
    <w:basedOn w:val="776"/>
    <w:uiPriority w:val="99"/>
    <w:qFormat/>
    <w:tblPr/>
  </w:style>
  <w:style w:type="table" w:styleId="895" w:customStyle="1">
    <w:name w:val="List Table 1 Light - Accent 2"/>
    <w:basedOn w:val="776"/>
    <w:uiPriority w:val="99"/>
    <w:qFormat/>
    <w:tblPr/>
  </w:style>
  <w:style w:type="table" w:styleId="896" w:customStyle="1">
    <w:name w:val="List Table 1 Light - Accent 3"/>
    <w:basedOn w:val="776"/>
    <w:uiPriority w:val="99"/>
    <w:qFormat/>
    <w:tblPr/>
  </w:style>
  <w:style w:type="table" w:styleId="897" w:customStyle="1">
    <w:name w:val="List Table 1 Light - Accent 4"/>
    <w:basedOn w:val="776"/>
    <w:uiPriority w:val="99"/>
    <w:qFormat/>
    <w:tblPr/>
  </w:style>
  <w:style w:type="table" w:styleId="898" w:customStyle="1">
    <w:name w:val="List Table 1 Light - Accent 5"/>
    <w:basedOn w:val="776"/>
    <w:uiPriority w:val="99"/>
    <w:qFormat/>
    <w:tblPr/>
  </w:style>
  <w:style w:type="table" w:styleId="899" w:customStyle="1">
    <w:name w:val="List Table 1 Light - Accent 6"/>
    <w:basedOn w:val="776"/>
    <w:uiPriority w:val="99"/>
    <w:qFormat/>
    <w:tblPr/>
  </w:style>
  <w:style w:type="table" w:styleId="900" w:customStyle="1">
    <w:name w:val="清单表 21"/>
    <w:basedOn w:val="776"/>
    <w:uiPriority w:val="99"/>
    <w:qFormat/>
    <w:tblPr/>
  </w:style>
  <w:style w:type="table" w:styleId="901" w:customStyle="1">
    <w:name w:val="List Table 2 - Accent 1"/>
    <w:basedOn w:val="776"/>
    <w:uiPriority w:val="99"/>
    <w:qFormat/>
    <w:tblPr/>
  </w:style>
  <w:style w:type="table" w:styleId="902" w:customStyle="1">
    <w:name w:val="List Table 2 - Accent 2"/>
    <w:basedOn w:val="776"/>
    <w:uiPriority w:val="99"/>
    <w:qFormat/>
    <w:tblPr/>
  </w:style>
  <w:style w:type="table" w:styleId="903" w:customStyle="1">
    <w:name w:val="List Table 2 - Accent 3"/>
    <w:basedOn w:val="776"/>
    <w:uiPriority w:val="99"/>
    <w:qFormat/>
    <w:tblPr/>
  </w:style>
  <w:style w:type="table" w:styleId="904" w:customStyle="1">
    <w:name w:val="List Table 2 - Accent 4"/>
    <w:basedOn w:val="776"/>
    <w:uiPriority w:val="99"/>
    <w:qFormat/>
    <w:tblPr/>
  </w:style>
  <w:style w:type="table" w:styleId="905" w:customStyle="1">
    <w:name w:val="List Table 2 - Accent 5"/>
    <w:basedOn w:val="776"/>
    <w:uiPriority w:val="99"/>
    <w:qFormat/>
    <w:tblPr/>
  </w:style>
  <w:style w:type="table" w:styleId="906" w:customStyle="1">
    <w:name w:val="List Table 2 - Accent 6"/>
    <w:basedOn w:val="776"/>
    <w:uiPriority w:val="99"/>
    <w:qFormat/>
    <w:tblPr/>
  </w:style>
  <w:style w:type="table" w:styleId="907" w:customStyle="1">
    <w:name w:val="清单表 31"/>
    <w:basedOn w:val="776"/>
    <w:uiPriority w:val="99"/>
    <w:qFormat/>
    <w:tblPr/>
  </w:style>
  <w:style w:type="table" w:styleId="908" w:customStyle="1">
    <w:name w:val="List Table 3 - Accent 1"/>
    <w:basedOn w:val="776"/>
    <w:uiPriority w:val="99"/>
    <w:qFormat/>
    <w:tblPr/>
  </w:style>
  <w:style w:type="table" w:styleId="909" w:customStyle="1">
    <w:name w:val="List Table 3 - Accent 2"/>
    <w:basedOn w:val="776"/>
    <w:uiPriority w:val="99"/>
    <w:qFormat/>
    <w:tblPr/>
  </w:style>
  <w:style w:type="table" w:styleId="910" w:customStyle="1">
    <w:name w:val="List Table 3 - Accent 3"/>
    <w:basedOn w:val="776"/>
    <w:uiPriority w:val="99"/>
    <w:qFormat/>
    <w:tblPr/>
  </w:style>
  <w:style w:type="table" w:styleId="911" w:customStyle="1">
    <w:name w:val="List Table 3 - Accent 4"/>
    <w:basedOn w:val="776"/>
    <w:uiPriority w:val="99"/>
    <w:qFormat/>
    <w:tblPr/>
  </w:style>
  <w:style w:type="table" w:styleId="912" w:customStyle="1">
    <w:name w:val="List Table 3 - Accent 5"/>
    <w:basedOn w:val="776"/>
    <w:uiPriority w:val="99"/>
    <w:qFormat/>
    <w:tblPr/>
  </w:style>
  <w:style w:type="table" w:styleId="913" w:customStyle="1">
    <w:name w:val="List Table 3 - Accent 6"/>
    <w:basedOn w:val="776"/>
    <w:uiPriority w:val="99"/>
    <w:qFormat/>
    <w:tblPr/>
  </w:style>
  <w:style w:type="table" w:styleId="914" w:customStyle="1">
    <w:name w:val="清单表 41"/>
    <w:basedOn w:val="776"/>
    <w:uiPriority w:val="99"/>
    <w:qFormat/>
    <w:tblPr/>
  </w:style>
  <w:style w:type="table" w:styleId="915" w:customStyle="1">
    <w:name w:val="List Table 4 - Accent 1"/>
    <w:basedOn w:val="776"/>
    <w:uiPriority w:val="99"/>
    <w:qFormat/>
    <w:tblPr/>
  </w:style>
  <w:style w:type="table" w:styleId="916" w:customStyle="1">
    <w:name w:val="List Table 4 - Accent 2"/>
    <w:basedOn w:val="776"/>
    <w:uiPriority w:val="99"/>
    <w:qFormat/>
    <w:tblPr/>
  </w:style>
  <w:style w:type="table" w:styleId="917" w:customStyle="1">
    <w:name w:val="List Table 4 - Accent 3"/>
    <w:basedOn w:val="776"/>
    <w:uiPriority w:val="99"/>
    <w:qFormat/>
    <w:tblPr/>
  </w:style>
  <w:style w:type="table" w:styleId="918" w:customStyle="1">
    <w:name w:val="List Table 4 - Accent 4"/>
    <w:basedOn w:val="776"/>
    <w:uiPriority w:val="99"/>
    <w:qFormat/>
    <w:tblPr/>
  </w:style>
  <w:style w:type="table" w:styleId="919" w:customStyle="1">
    <w:name w:val="List Table 4 - Accent 5"/>
    <w:basedOn w:val="776"/>
    <w:uiPriority w:val="99"/>
    <w:qFormat/>
    <w:tblPr/>
  </w:style>
  <w:style w:type="table" w:styleId="920" w:customStyle="1">
    <w:name w:val="List Table 4 - Accent 6"/>
    <w:basedOn w:val="776"/>
    <w:uiPriority w:val="99"/>
    <w:qFormat/>
    <w:tblPr/>
  </w:style>
  <w:style w:type="table" w:styleId="921" w:customStyle="1">
    <w:name w:val="清单表 5 深色1"/>
    <w:basedOn w:val="776"/>
    <w:uiPriority w:val="99"/>
    <w:qFormat/>
    <w:tblPr/>
  </w:style>
  <w:style w:type="table" w:styleId="922" w:customStyle="1">
    <w:name w:val="List Table 5 Dark - Accent 1"/>
    <w:basedOn w:val="776"/>
    <w:uiPriority w:val="99"/>
    <w:qFormat/>
    <w:tblPr/>
  </w:style>
  <w:style w:type="table" w:styleId="923" w:customStyle="1">
    <w:name w:val="List Table 5 Dark - Accent 2"/>
    <w:basedOn w:val="776"/>
    <w:uiPriority w:val="99"/>
    <w:qFormat/>
    <w:tblPr/>
  </w:style>
  <w:style w:type="table" w:styleId="924" w:customStyle="1">
    <w:name w:val="List Table 5 Dark - Accent 3"/>
    <w:basedOn w:val="776"/>
    <w:uiPriority w:val="99"/>
    <w:qFormat/>
    <w:tblPr/>
  </w:style>
  <w:style w:type="table" w:styleId="925" w:customStyle="1">
    <w:name w:val="List Table 5 Dark - Accent 4"/>
    <w:basedOn w:val="776"/>
    <w:uiPriority w:val="99"/>
    <w:qFormat/>
    <w:tblPr/>
  </w:style>
  <w:style w:type="table" w:styleId="926" w:customStyle="1">
    <w:name w:val="List Table 5 Dark - Accent 5"/>
    <w:basedOn w:val="776"/>
    <w:uiPriority w:val="99"/>
    <w:qFormat/>
    <w:tblPr/>
  </w:style>
  <w:style w:type="table" w:styleId="927" w:customStyle="1">
    <w:name w:val="List Table 5 Dark - Accent 6"/>
    <w:basedOn w:val="776"/>
    <w:uiPriority w:val="99"/>
    <w:qFormat/>
    <w:tblPr/>
  </w:style>
  <w:style w:type="table" w:styleId="928" w:customStyle="1">
    <w:name w:val="清单表 6 彩色1"/>
    <w:basedOn w:val="776"/>
    <w:uiPriority w:val="99"/>
    <w:qFormat/>
    <w:tblPr/>
  </w:style>
  <w:style w:type="table" w:styleId="929" w:customStyle="1">
    <w:name w:val="List Table 6 Colorful - Accent 1"/>
    <w:basedOn w:val="776"/>
    <w:uiPriority w:val="99"/>
    <w:qFormat/>
    <w:tblPr/>
  </w:style>
  <w:style w:type="table" w:styleId="930" w:customStyle="1">
    <w:name w:val="List Table 6 Colorful - Accent 2"/>
    <w:basedOn w:val="776"/>
    <w:uiPriority w:val="99"/>
    <w:qFormat/>
    <w:tblPr/>
  </w:style>
  <w:style w:type="table" w:styleId="931" w:customStyle="1">
    <w:name w:val="List Table 6 Colorful - Accent 3"/>
    <w:basedOn w:val="776"/>
    <w:uiPriority w:val="99"/>
    <w:qFormat/>
    <w:tblPr/>
  </w:style>
  <w:style w:type="table" w:styleId="932" w:customStyle="1">
    <w:name w:val="List Table 6 Colorful - Accent 4"/>
    <w:basedOn w:val="776"/>
    <w:uiPriority w:val="99"/>
    <w:qFormat/>
    <w:tblPr/>
  </w:style>
  <w:style w:type="table" w:styleId="933" w:customStyle="1">
    <w:name w:val="List Table 6 Colorful - Accent 5"/>
    <w:basedOn w:val="776"/>
    <w:uiPriority w:val="99"/>
    <w:qFormat/>
    <w:tblPr/>
  </w:style>
  <w:style w:type="table" w:styleId="934" w:customStyle="1">
    <w:name w:val="List Table 6 Colorful - Accent 6"/>
    <w:basedOn w:val="776"/>
    <w:uiPriority w:val="99"/>
    <w:qFormat/>
    <w:tblPr/>
  </w:style>
  <w:style w:type="table" w:styleId="935" w:customStyle="1">
    <w:name w:val="清单表 7 彩色1"/>
    <w:basedOn w:val="776"/>
    <w:uiPriority w:val="99"/>
    <w:qFormat/>
    <w:tblPr/>
  </w:style>
  <w:style w:type="table" w:styleId="936" w:customStyle="1">
    <w:name w:val="List Table 7 Colorful - Accent 1"/>
    <w:basedOn w:val="776"/>
    <w:uiPriority w:val="99"/>
    <w:qFormat/>
    <w:tblPr/>
  </w:style>
  <w:style w:type="table" w:styleId="937" w:customStyle="1">
    <w:name w:val="List Table 7 Colorful - Accent 2"/>
    <w:basedOn w:val="776"/>
    <w:uiPriority w:val="99"/>
    <w:qFormat/>
    <w:tblPr/>
  </w:style>
  <w:style w:type="table" w:styleId="938" w:customStyle="1">
    <w:name w:val="List Table 7 Colorful - Accent 3"/>
    <w:basedOn w:val="776"/>
    <w:uiPriority w:val="99"/>
    <w:qFormat/>
    <w:tblPr/>
  </w:style>
  <w:style w:type="table" w:styleId="939" w:customStyle="1">
    <w:name w:val="List Table 7 Colorful - Accent 4"/>
    <w:basedOn w:val="776"/>
    <w:uiPriority w:val="99"/>
    <w:qFormat/>
    <w:tblPr/>
  </w:style>
  <w:style w:type="table" w:styleId="940" w:customStyle="1">
    <w:name w:val="List Table 7 Colorful - Accent 5"/>
    <w:basedOn w:val="776"/>
    <w:uiPriority w:val="99"/>
    <w:qFormat/>
    <w:tblPr/>
  </w:style>
  <w:style w:type="table" w:styleId="941" w:customStyle="1">
    <w:name w:val="List Table 7 Colorful - Accent 6"/>
    <w:basedOn w:val="776"/>
    <w:uiPriority w:val="99"/>
    <w:qFormat/>
    <w:tblPr/>
  </w:style>
  <w:style w:type="table" w:styleId="942" w:customStyle="1">
    <w:name w:val="Lined - Accent"/>
    <w:basedOn w:val="776"/>
    <w:uiPriority w:val="99"/>
    <w:qFormat/>
    <w:rPr>
      <w:color w:val="404040"/>
    </w:rPr>
    <w:tblPr/>
  </w:style>
  <w:style w:type="table" w:styleId="943" w:customStyle="1">
    <w:name w:val="Lined - Accent 1"/>
    <w:basedOn w:val="776"/>
    <w:uiPriority w:val="99"/>
    <w:qFormat/>
    <w:rPr>
      <w:color w:val="404040"/>
    </w:rPr>
    <w:tblPr/>
  </w:style>
  <w:style w:type="table" w:styleId="944" w:customStyle="1">
    <w:name w:val="Lined - Accent 2"/>
    <w:basedOn w:val="776"/>
    <w:uiPriority w:val="99"/>
    <w:qFormat/>
    <w:rPr>
      <w:color w:val="404040"/>
    </w:rPr>
    <w:tblPr/>
  </w:style>
  <w:style w:type="table" w:styleId="945" w:customStyle="1">
    <w:name w:val="Lined - Accent 3"/>
    <w:basedOn w:val="776"/>
    <w:uiPriority w:val="99"/>
    <w:qFormat/>
    <w:rPr>
      <w:color w:val="404040"/>
    </w:rPr>
    <w:tblPr/>
  </w:style>
  <w:style w:type="table" w:styleId="946" w:customStyle="1">
    <w:name w:val="Lined - Accent 4"/>
    <w:basedOn w:val="776"/>
    <w:uiPriority w:val="99"/>
    <w:qFormat/>
    <w:rPr>
      <w:color w:val="404040"/>
    </w:rPr>
    <w:tblPr/>
  </w:style>
  <w:style w:type="table" w:styleId="947" w:customStyle="1">
    <w:name w:val="Lined - Accent 5"/>
    <w:basedOn w:val="776"/>
    <w:uiPriority w:val="99"/>
    <w:qFormat/>
    <w:rPr>
      <w:color w:val="404040"/>
    </w:rPr>
    <w:tblPr/>
  </w:style>
  <w:style w:type="table" w:styleId="948" w:customStyle="1">
    <w:name w:val="Lined - Accent 6"/>
    <w:basedOn w:val="776"/>
    <w:uiPriority w:val="99"/>
    <w:qFormat/>
    <w:rPr>
      <w:color w:val="404040"/>
    </w:rPr>
    <w:tblPr/>
  </w:style>
  <w:style w:type="table" w:styleId="949" w:customStyle="1">
    <w:name w:val="Bordered &amp; Lined - Accent"/>
    <w:basedOn w:val="776"/>
    <w:uiPriority w:val="99"/>
    <w:qFormat/>
    <w:rPr>
      <w:color w:val="404040"/>
    </w:rPr>
    <w:tblPr/>
  </w:style>
  <w:style w:type="table" w:styleId="950" w:customStyle="1">
    <w:name w:val="Bordered &amp; Lined - Accent 1"/>
    <w:basedOn w:val="776"/>
    <w:uiPriority w:val="99"/>
    <w:qFormat/>
    <w:rPr>
      <w:color w:val="404040"/>
    </w:rPr>
    <w:tblPr/>
  </w:style>
  <w:style w:type="table" w:styleId="951" w:customStyle="1">
    <w:name w:val="Bordered &amp; Lined - Accent 2"/>
    <w:basedOn w:val="776"/>
    <w:uiPriority w:val="99"/>
    <w:qFormat/>
    <w:rPr>
      <w:color w:val="404040"/>
    </w:rPr>
    <w:tblPr/>
  </w:style>
  <w:style w:type="table" w:styleId="952" w:customStyle="1">
    <w:name w:val="Bordered &amp; Lined - Accent 3"/>
    <w:basedOn w:val="776"/>
    <w:uiPriority w:val="99"/>
    <w:qFormat/>
    <w:rPr>
      <w:color w:val="404040"/>
    </w:rPr>
    <w:tblPr/>
  </w:style>
  <w:style w:type="table" w:styleId="953" w:customStyle="1">
    <w:name w:val="Bordered &amp; Lined - Accent 4"/>
    <w:basedOn w:val="776"/>
    <w:uiPriority w:val="99"/>
    <w:qFormat/>
    <w:rPr>
      <w:color w:val="404040"/>
    </w:rPr>
    <w:tblPr/>
  </w:style>
  <w:style w:type="table" w:styleId="954" w:customStyle="1">
    <w:name w:val="Bordered &amp; Lined - Accent 5"/>
    <w:basedOn w:val="776"/>
    <w:uiPriority w:val="99"/>
    <w:qFormat/>
    <w:rPr>
      <w:color w:val="404040"/>
    </w:rPr>
    <w:tblPr/>
  </w:style>
  <w:style w:type="table" w:styleId="955" w:customStyle="1">
    <w:name w:val="Bordered &amp; Lined - Accent 6"/>
    <w:basedOn w:val="776"/>
    <w:uiPriority w:val="99"/>
    <w:qFormat/>
    <w:rPr>
      <w:color w:val="404040"/>
    </w:rPr>
    <w:tblPr/>
  </w:style>
  <w:style w:type="table" w:styleId="956" w:customStyle="1">
    <w:name w:val="Bordered"/>
    <w:basedOn w:val="776"/>
    <w:uiPriority w:val="99"/>
    <w:qFormat/>
    <w:tblPr/>
  </w:style>
  <w:style w:type="table" w:styleId="957" w:customStyle="1">
    <w:name w:val="Bordered - Accent 1"/>
    <w:basedOn w:val="776"/>
    <w:uiPriority w:val="99"/>
    <w:qFormat/>
    <w:tblPr/>
  </w:style>
  <w:style w:type="table" w:styleId="958" w:customStyle="1">
    <w:name w:val="Bordered - Accent 2"/>
    <w:basedOn w:val="776"/>
    <w:uiPriority w:val="99"/>
    <w:qFormat/>
    <w:tblPr/>
  </w:style>
  <w:style w:type="table" w:styleId="959" w:customStyle="1">
    <w:name w:val="Bordered - Accent 3"/>
    <w:basedOn w:val="776"/>
    <w:uiPriority w:val="99"/>
    <w:qFormat/>
    <w:tblPr/>
  </w:style>
  <w:style w:type="table" w:styleId="960" w:customStyle="1">
    <w:name w:val="Bordered - Accent 4"/>
    <w:basedOn w:val="776"/>
    <w:uiPriority w:val="99"/>
    <w:qFormat/>
    <w:tblPr/>
  </w:style>
  <w:style w:type="table" w:styleId="961" w:customStyle="1">
    <w:name w:val="Bordered - Accent 5"/>
    <w:basedOn w:val="776"/>
    <w:uiPriority w:val="99"/>
    <w:qFormat/>
    <w:tblPr/>
  </w:style>
  <w:style w:type="table" w:styleId="962" w:customStyle="1">
    <w:name w:val="Bordered - Accent 6"/>
    <w:basedOn w:val="776"/>
    <w:uiPriority w:val="99"/>
    <w:qFormat/>
    <w:tblPr/>
  </w:style>
  <w:style w:type="paragraph" w:styleId="963" w:customStyle="1">
    <w:name w:val="TOC 标题1"/>
    <w:uiPriority w:val="39"/>
    <w:unhideWhenUsed/>
    <w:qFormat/>
    <w:rPr>
      <w:rFonts w:hint="default" w:ascii="Times New Roman" w:hAnsi="Times New Roman" w:eastAsia="宋体" w:cs="Times New Roman"/>
      <w:lang w:eastAsia="zh-CN"/>
    </w:rPr>
  </w:style>
  <w:style w:type="character" w:styleId="964" w:customStyle="1">
    <w:name w:val="hover1"/>
    <w:basedOn w:val="760"/>
    <w:uiPriority w:val="0"/>
    <w:qFormat/>
  </w:style>
  <w:style w:type="character" w:styleId="965" w:customStyle="1">
    <w:name w:val="hover2"/>
    <w:basedOn w:val="760"/>
    <w:uiPriority w:val="0"/>
    <w:qFormat/>
    <w:rPr>
      <w:color w:val="2590eb"/>
    </w:rPr>
  </w:style>
  <w:style w:type="character" w:styleId="966" w:customStyle="1">
    <w:name w:val="hover3"/>
    <w:basedOn w:val="760"/>
    <w:uiPriority w:val="0"/>
    <w:qFormat/>
    <w:rPr>
      <w:color w:val="2590eb"/>
    </w:rPr>
  </w:style>
  <w:style w:type="paragraph" w:styleId="967" w:customStyle="1">
    <w:name w:val="Plain Text1"/>
    <w:basedOn w:val="688"/>
    <w:uiPriority w:val="0"/>
    <w:qFormat/>
    <w:rPr>
      <w:rFonts w:ascii="宋体" w:hAnsi="Courier New"/>
    </w:rPr>
  </w:style>
  <w:style w:type="paragraph" w:styleId="968" w:customStyle="1">
    <w:name w:val="首行缩进"/>
    <w:basedOn w:val="688"/>
    <w:uiPriority w:val="0"/>
    <w:qFormat/>
    <w:pPr>
      <w:ind w:firstLine="480"/>
    </w:pPr>
    <w:rPr>
      <w:szCs w:val="20"/>
      <w:lang w:val="zh-CN"/>
    </w:rPr>
  </w:style>
  <w:style w:type="paragraph" w:styleId="969">
    <w:name w:val="List Paragraph"/>
    <w:basedOn w:val="688"/>
    <w:uiPriority w:val="34"/>
    <w:qFormat/>
    <w:pPr>
      <w:ind w:firstLine="420"/>
    </w:pPr>
  </w:style>
  <w:style w:type="paragraph" w:styleId="970" w:customStyle="1">
    <w:name w:val="纯文本1"/>
    <w:basedOn w:val="688"/>
    <w:uiPriority w:val="0"/>
    <w:qFormat/>
    <w:rPr>
      <w:rFonts w:ascii="宋体" w:hAnsi="Courier New"/>
    </w:rPr>
  </w:style>
  <w:style w:type="paragraph" w:styleId="971" w:customStyle="1">
    <w:name w:val="纯文本11"/>
    <w:basedOn w:val="688"/>
    <w:uiPriority w:val="0"/>
    <w:qFormat/>
    <w:rPr>
      <w:rFonts w:ascii="宋体" w:hAnsi="Courier New"/>
    </w:rPr>
  </w:style>
  <w:style w:type="paragraph" w:styleId="972" w:customStyle="1">
    <w:name w:val="纯文本3"/>
    <w:basedOn w:val="688"/>
    <w:uiPriority w:val="0"/>
    <w:qFormat/>
    <w:rPr>
      <w:rFonts w:ascii="宋体" w:hAnsi="Courier New"/>
    </w:rPr>
  </w:style>
  <w:style w:type="paragraph" w:styleId="973" w:customStyle="1">
    <w:name w:val="标题3"/>
    <w:basedOn w:val="763"/>
    <w:uiPriority w:val="0"/>
    <w:qFormat/>
    <w:pPr>
      <w:contextualSpacing/>
      <w:jc w:val="center"/>
      <w:spacing w:before="100" w:after="100"/>
    </w:pPr>
    <w:rPr>
      <w:rFonts w:eastAsia="黑体"/>
      <w:bCs/>
      <w:sz w:val="28"/>
    </w:rPr>
  </w:style>
  <w:style w:type="paragraph" w:styleId="974" w:customStyle="1">
    <w:name w:val="纯文本2"/>
    <w:basedOn w:val="688"/>
    <w:uiPriority w:val="0"/>
    <w:qFormat/>
    <w:rPr>
      <w:rFonts w:ascii="宋体" w:hAnsi="Courier New"/>
    </w:rPr>
  </w:style>
  <w:style w:type="paragraph" w:styleId="975" w:customStyle="1">
    <w:name w:val="正文缩进11"/>
    <w:basedOn w:val="688"/>
    <w:uiPriority w:val="0"/>
    <w:qFormat/>
    <w:pPr>
      <w:ind w:firstLine="420"/>
    </w:pPr>
    <w:rPr>
      <w:rFonts w:eastAsia="楷体_GB2312"/>
    </w:rPr>
  </w:style>
  <w:style w:type="paragraph" w:styleId="976" w:customStyle="1">
    <w:name w:val="正文文本缩进11"/>
    <w:basedOn w:val="688"/>
    <w:next w:val="977"/>
    <w:uiPriority w:val="0"/>
    <w:qFormat/>
    <w:pPr>
      <w:ind w:firstLine="425"/>
      <w:spacing w:line="360" w:lineRule="auto"/>
    </w:pPr>
  </w:style>
  <w:style w:type="paragraph" w:styleId="977" w:customStyle="1">
    <w:name w:val="寄信人地址1"/>
    <w:basedOn w:val="688"/>
    <w:next w:val="978"/>
    <w:uiPriority w:val="0"/>
    <w:qFormat/>
    <w:rPr>
      <w:rFonts w:ascii="Arial" w:hAnsi="Arial"/>
    </w:rPr>
  </w:style>
  <w:style w:type="paragraph" w:styleId="978" w:customStyle="1">
    <w:name w:val="目录 71"/>
    <w:basedOn w:val="688"/>
    <w:next w:val="688"/>
    <w:uiPriority w:val="0"/>
    <w:unhideWhenUsed/>
    <w:qFormat/>
    <w:pPr>
      <w:ind w:left="1260"/>
    </w:pPr>
    <w:rPr>
      <w:rFonts w:ascii="Calibri" w:hAnsi="Calibri" w:cs="Calibri"/>
      <w:sz w:val="18"/>
      <w:szCs w:val="18"/>
    </w:rPr>
  </w:style>
  <w:style w:type="paragraph" w:styleId="979" w:customStyle="1">
    <w:name w:val="正文 A"/>
    <w:uiPriority w:val="0"/>
    <w:qFormat/>
    <w:pPr>
      <w:jc w:val="both"/>
      <w:widowControl w:val="off"/>
    </w:pPr>
    <w:rPr>
      <w:rFonts w:hint="default" w:ascii="Times New Roman" w:hAnsi="Times New Roman" w:eastAsia="ヒラギノ角ゴ Pro W3" w:cs="Times New Roman"/>
      <w:color w:val="000000"/>
      <w:lang w:eastAsia="zh-CN"/>
    </w:rPr>
  </w:style>
  <w:style w:type="paragraph" w:styleId="980" w:customStyle="1">
    <w:name w:val="Default"/>
    <w:uiPriority w:val="0"/>
    <w:qFormat/>
    <w:pPr>
      <w:widowControl w:val="off"/>
    </w:pPr>
    <w:rPr>
      <w:rFonts w:hint="default" w:ascii="Arial Unicode MS" w:hAnsi="Times New Roman" w:eastAsia="Times New Roman" w:cs="Arial Unicode MS"/>
      <w:color w:val="000000"/>
      <w:sz w:val="24"/>
      <w:szCs w:val="24"/>
      <w:lang w:eastAsia="zh-CN"/>
    </w:rPr>
  </w:style>
  <w:style w:type="paragraph" w:styleId="981" w:customStyle="1">
    <w:name w:val="标题 211"/>
    <w:basedOn w:val="688"/>
    <w:next w:val="688"/>
    <w:uiPriority w:val="0"/>
    <w:qFormat/>
    <w:pPr>
      <w:keepLines/>
      <w:keepNext/>
      <w:spacing w:before="260" w:after="260" w:line="413" w:lineRule="auto"/>
      <w:outlineLvl w:val="1"/>
    </w:pPr>
    <w:rPr>
      <w:rFonts w:ascii="Arial" w:hAnsi="Arial" w:eastAsia="黑体"/>
      <w:b/>
      <w:bCs/>
      <w:sz w:val="32"/>
      <w:szCs w:val="32"/>
    </w:rPr>
  </w:style>
  <w:style w:type="paragraph" w:styleId="982" w:customStyle="1">
    <w:name w:val="正文文本 2111"/>
    <w:basedOn w:val="688"/>
    <w:uiPriority w:val="0"/>
    <w:qFormat/>
    <w:pPr>
      <w:spacing w:after="120" w:line="480" w:lineRule="auto"/>
    </w:pPr>
  </w:style>
  <w:style w:type="paragraph" w:styleId="983" w:customStyle="1">
    <w:name w:val="_Style 3"/>
    <w:basedOn w:val="688"/>
    <w:uiPriority w:val="99"/>
    <w:qFormat/>
  </w:style>
  <w:style w:type="character" w:styleId="984" w:customStyle="1">
    <w:name w:val="font01"/>
    <w:basedOn w:val="760"/>
    <w:uiPriority w:val="0"/>
    <w:qFormat/>
    <w:rPr>
      <w:rFonts w:ascii="等线" w:hAnsi="等线" w:eastAsia="等线" w:cs="等线"/>
      <w:color w:val="000000"/>
      <w:sz w:val="22"/>
      <w:szCs w:val="22"/>
      <w:u w:val="none"/>
    </w:rPr>
  </w:style>
  <w:style w:type="character" w:styleId="985" w:customStyle="1">
    <w:name w:val="font11"/>
    <w:basedOn w:val="760"/>
    <w:uiPriority w:val="0"/>
    <w:qFormat/>
    <w:rPr>
      <w:rFonts w:ascii="Yu Gothic" w:hAnsi="Yu Gothic" w:eastAsia="Yu Gothic" w:cs="Yu Gothic"/>
      <w:color w:val="000000"/>
      <w:sz w:val="22"/>
      <w:szCs w:val="22"/>
      <w:u w:val="none"/>
    </w:rPr>
  </w:style>
  <w:style w:type="numbering" w:styleId="98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丁亚萍</cp:lastModifiedBy>
  <cp:revision>8</cp:revision>
  <dcterms:created xsi:type="dcterms:W3CDTF">2026-05-12T08:40:00Z</dcterms:created>
  <dcterms:modified xsi:type="dcterms:W3CDTF">2026-08-12T01:47:55Z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eyJoZGlkIjoiNGVmZmRiNTQxMDAwZWQ0ZjYzYTIyNjM2YWI0M2QzZTkiLCJ1c2VySWQiOiIzNjcyMTEwMTcifQ==</vt:lpwstr>
  </property>
  <property fmtid="{D5CDD505-2E9C-101B-9397-08002B2CF9AE}" pid="3" name="KSOProductBuildVer">
    <vt:lpwstr>2052-12.1.0.28043</vt:lpwstr>
  </property>
  <property fmtid="{D5CDD505-2E9C-101B-9397-08002B2CF9AE}" pid="4" name="ICV">
    <vt:lpwstr>A44ACB0C30D044CF9698F5B9BA72F663_13</vt:lpwstr>
  </property>
</Properties>
</file>