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818"/>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1"/>
            <w:r/>
            <w:bookmarkStart w:id="2" w:name="OLE_LINK3"/>
            <w:r/>
            <w:bookmarkStart w:id="3" w:name="OLE_LINK13"/>
            <w:r/>
            <w:bookmarkStart w:id="4" w:name="OLE_LINK29"/>
            <w:r/>
            <w:bookmarkStart w:id="5" w:name="OLE_LINK14"/>
            <w:r/>
            <w:bookmarkStart w:id="6" w:name="OLE_LINK24"/>
            <w:r/>
            <w:bookmarkStart w:id="7" w:name="OLE_LINK17"/>
            <w:r/>
            <w:bookmarkStart w:id="8" w:name="OLE_LINK27"/>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连云区青少年校外活动中心分部(原平山幼儿园)装修工程（含消防）</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30"/>
            <w:r/>
            <w:bookmarkStart w:id="10" w:name="OLE_LINK18"/>
            <w:r/>
            <w:bookmarkStart w:id="11" w:name="OLE_LINK25"/>
            <w:r/>
            <w:bookmarkStart w:id="12" w:name="OLE_LINK2"/>
            <w:r/>
            <w:bookmarkStart w:id="13" w:name="OLE_LINK15"/>
            <w:r/>
            <w:bookmarkStart w:id="14" w:name="OLE_LINK5"/>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rFonts w:hint="default" w:eastAsia="宋体"/>
                <w:b/>
                <w:color w:val="auto"/>
                <w:sz w:val="32"/>
                <w:szCs w:val="32"/>
                <w:highlight w:val="none"/>
                <w:lang w:val="en-US" w:eastAsia="zh-CN"/>
              </w:rPr>
            </w:pPr>
            <w:r>
              <w:rPr>
                <w:rFonts w:hint="default" w:eastAsia="宋体"/>
                <w:b/>
                <w:color w:val="auto"/>
                <w:sz w:val="32"/>
                <w:szCs w:val="32"/>
                <w:highlight w:val="none"/>
                <w:lang w:val="en-US" w:eastAsia="zh-CN"/>
              </w:rPr>
              <w:t xml:space="preserve">JSZC-320703-SHGS-C2026-0007</w:t>
            </w:r>
            <w:r/>
          </w:p>
        </w:tc>
      </w:tr>
    </w:tbl>
    <w:p>
      <w:pPr>
        <w:pStyle w:val="832"/>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tbl>
      <w:tblPr>
        <w:tblStyle w:val="818"/>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31"/>
            <w:r/>
            <w:bookmarkStart w:id="16" w:name="OLE_LINK4"/>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连云区青少年校外活动中心</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代 理：</w:t>
            </w:r>
            <w:r/>
          </w:p>
        </w:tc>
        <w:tc>
          <w:tcPr>
            <w:tcW w:w="6687" w:type="dxa"/>
            <w:vAlign w:val="center"/>
            <w:textDirection w:val="lrTb"/>
            <w:noWrap w:val="false"/>
          </w:tcPr>
          <w:p>
            <w:pPr>
              <w:pStyle w:val="832"/>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连云港上和工程咨询有限公司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32"/>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818"/>
        <w:tblW w:w="1960" w:type="dxa"/>
        <w:jc w:val="center"/>
        <w:tblLayout w:type="fixed"/>
        <w:tblCellMar>
          <w:left w:w="108" w:type="dxa"/>
          <w:top w:w="0" w:type="dxa"/>
          <w:right w:w="108" w:type="dxa"/>
          <w:bottom w:w="0" w:type="dxa"/>
        </w:tblCellMar>
        <w:tblLook w:val="04A0" w:firstRow="1" w:lastRow="0" w:firstColumn="1" w:lastColumn="0" w:noHBand="0" w:noVBand="1"/>
      </w:tblPr>
      <w:tblGrid>
        <w:gridCol w:w="1960"/>
      </w:tblGrid>
      <w:tr>
        <w:trPr>
          <w:jc w:val="center"/>
          <w:trHeight w:val="385"/>
        </w:trPr>
        <w:tc>
          <w:tcPr>
            <w:tcW w:w="1960" w:type="dxa"/>
            <w:textDirection w:val="lrTb"/>
            <w:noWrap w:val="false"/>
          </w:tcPr>
          <w:p>
            <w:pPr>
              <w:pStyle w:val="832"/>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407649454"/>
            <w:r/>
            <w:bookmarkEnd w:id="17"/>
            <w:r/>
            <w:bookmarkStart w:id="18" w:name="_1291189843"/>
            <w:r/>
            <w:bookmarkEnd w:id="18"/>
            <w:r/>
            <w:bookmarkStart w:id="19" w:name="_1297758037"/>
            <w:r/>
            <w:bookmarkEnd w:id="19"/>
            <w:r/>
            <w:bookmarkStart w:id="20" w:name="_1407138454"/>
            <w:r/>
            <w:bookmarkEnd w:id="20"/>
            <w:r/>
            <w:bookmarkStart w:id="21" w:name="_1372599208"/>
            <w:r/>
            <w:bookmarkEnd w:id="21"/>
            <w:r/>
            <w:bookmarkStart w:id="22" w:name="_1278423854"/>
            <w:r/>
            <w:bookmarkEnd w:id="22"/>
            <w:r/>
            <w:bookmarkStart w:id="23" w:name="_1279442339"/>
            <w:r/>
            <w:bookmarkEnd w:id="23"/>
            <w:r/>
            <w:bookmarkStart w:id="24" w:name="_1447850345"/>
            <w:r/>
            <w:bookmarkEnd w:id="24"/>
            <w:r/>
            <w:bookmarkStart w:id="25" w:name="_1337000242"/>
            <w:r/>
            <w:bookmarkEnd w:id="25"/>
            <w:r/>
            <w:bookmarkStart w:id="26" w:name="_1468218264"/>
            <w:r/>
            <w:bookmarkEnd w:id="26"/>
            <w:r/>
            <w:bookmarkStart w:id="27" w:name="_1407133253"/>
            <w:r/>
            <w:bookmarkEnd w:id="27"/>
            <w:r/>
            <w:bookmarkStart w:id="28" w:name="_1486968668"/>
            <w:r/>
            <w:bookmarkEnd w:id="28"/>
            <w:r/>
            <w:bookmarkStart w:id="29" w:name="_1291464772"/>
            <w:r/>
            <w:bookmarkEnd w:id="29"/>
            <w:r/>
            <w:bookmarkStart w:id="30" w:name="_1297774439"/>
            <w:r/>
            <w:bookmarkEnd w:id="30"/>
            <w:r/>
            <w:bookmarkStart w:id="31" w:name="_1372599658"/>
            <w:r/>
            <w:bookmarkEnd w:id="31"/>
            <w:r/>
            <w:bookmarkStart w:id="32" w:name="_1479037598"/>
            <w:r/>
            <w:bookmarkEnd w:id="32"/>
            <w:r/>
            <w:bookmarkStart w:id="33" w:name="_1407154196"/>
            <w:r/>
            <w:bookmarkEnd w:id="33"/>
            <w:r/>
            <w:bookmarkStart w:id="34" w:name="_1486967582"/>
            <w:r/>
            <w:bookmarkEnd w:id="34"/>
            <w:r/>
            <w:bookmarkStart w:id="35" w:name="_1471955348"/>
            <w:r/>
            <w:bookmarkEnd w:id="35"/>
            <w:r/>
            <w:bookmarkStart w:id="36" w:name="_1467808401"/>
            <w:r/>
            <w:bookmarkEnd w:id="36"/>
            <w:r/>
            <w:bookmarkStart w:id="37" w:name="_1448089845"/>
            <w:r/>
            <w:bookmarkEnd w:id="37"/>
            <w:r/>
            <w:bookmarkStart w:id="38" w:name="_1407132958"/>
            <w:r/>
            <w:bookmarkEnd w:id="38"/>
            <w:r/>
            <w:bookmarkStart w:id="39" w:name="_1468217283"/>
            <w:r/>
            <w:bookmarkEnd w:id="39"/>
            <w:r/>
            <w:bookmarkStart w:id="40" w:name="_1336475279"/>
            <w:r/>
            <w:bookmarkEnd w:id="40"/>
            <w:r/>
            <w:bookmarkStart w:id="41" w:name="_1291116219"/>
            <w:r/>
            <w:bookmarkEnd w:id="41"/>
            <w:r/>
            <w:bookmarkStart w:id="42" w:name="_1407131003"/>
            <w:r/>
            <w:bookmarkEnd w:id="42"/>
            <w:r/>
            <w:bookmarkStart w:id="43" w:name="_1298271315"/>
            <w:r/>
            <w:bookmarkEnd w:id="43"/>
            <w:r/>
            <w:bookmarkStart w:id="44" w:name="_1435736218"/>
            <w:r/>
            <w:bookmarkEnd w:id="44"/>
            <w:r/>
            <w:bookmarkStart w:id="45" w:name="_1336909890"/>
            <w:r/>
            <w:bookmarkEnd w:id="45"/>
            <w:r/>
            <w:bookmarkStart w:id="46" w:name="_1372492601"/>
            <w:r/>
            <w:bookmarkEnd w:id="46"/>
            <w:r/>
            <w:bookmarkStart w:id="47" w:name="_1372492890"/>
            <w:r/>
            <w:bookmarkEnd w:id="47"/>
            <w:r/>
            <w:bookmarkStart w:id="48" w:name="_1407131738"/>
            <w:r/>
            <w:bookmarkEnd w:id="48"/>
            <w:r/>
            <w:bookmarkStart w:id="49" w:name="_1297771980"/>
            <w:r/>
            <w:bookmarkEnd w:id="49"/>
            <w:r/>
            <w:bookmarkStart w:id="50" w:name="_1407051528"/>
            <w:r/>
            <w:bookmarkEnd w:id="50"/>
            <w:r/>
            <w:bookmarkStart w:id="51" w:name="_1435759884"/>
            <w:r/>
            <w:bookmarkEnd w:id="51"/>
            <w:r/>
            <w:bookmarkStart w:id="52" w:name="_1297771658"/>
            <w:r/>
            <w:bookmarkEnd w:id="52"/>
            <w:r/>
            <w:bookmarkStart w:id="53" w:name="_1468245416"/>
            <w:r/>
            <w:bookmarkEnd w:id="53"/>
            <w:r/>
            <w:bookmarkStart w:id="54" w:name="_1278423018"/>
            <w:r/>
            <w:bookmarkEnd w:id="54"/>
            <w:r/>
            <w:bookmarkStart w:id="55" w:name="_1407138770"/>
            <w:r/>
            <w:bookmarkEnd w:id="55"/>
            <w:r/>
            <w:bookmarkStart w:id="56" w:name="_1280844196"/>
            <w:r/>
            <w:bookmarkEnd w:id="56"/>
            <w:r/>
            <w:bookmarkStart w:id="57" w:name="_1297752558"/>
            <w:r/>
            <w:bookmarkEnd w:id="57"/>
            <w:r/>
            <w:bookmarkStart w:id="58" w:name="_1298270684"/>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09</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32"/>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99113318"/>
      <w:r/>
      <w:bookmarkStart w:id="60" w:name="_Toc5037035"/>
      <w:r/>
      <w:bookmarkStart w:id="61" w:name="_Toc49762231"/>
      <w:r/>
      <w:bookmarkStart w:id="62" w:name="_Toc523502640"/>
      <w:r/>
      <w:bookmarkStart w:id="63" w:name="_Toc5244"/>
      <w:r/>
      <w:bookmarkStart w:id="64" w:name="_Toc5997"/>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40"/>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黑体" w:hAnsi="黑体" w:eastAsia="黑体" w:cs="黑体"/>
          <w:color w:val="auto"/>
          <w:szCs w:val="28"/>
          <w:highlight w:val="none"/>
        </w:rPr>
        <w:fldChar w:fldCharType="end"/>
      </w:r>
      <w:r/>
    </w:p>
    <w:p>
      <w:pPr>
        <w:pStyle w:val="847"/>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808"/>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808"/>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35"/>
      <w:r/>
      <w:bookmarkStart w:id="70" w:name="OLE_LINK20"/>
      <w:r/>
      <w:bookmarkStart w:id="71" w:name="OLE_LINK32"/>
      <w:r/>
      <w:bookmarkStart w:id="72" w:name="OLE_LINK11"/>
      <w:r/>
      <w:bookmarkStart w:id="73" w:name="OLE_LINK21"/>
      <w:r/>
      <w:bookmarkStart w:id="74" w:name="OLE_LINK7"/>
      <w:r/>
      <w:bookmarkStart w:id="75" w:name="OLE_LINK34"/>
      <w:r/>
      <w:bookmarkStart w:id="76" w:name="OLE_LINK10"/>
      <w:r/>
      <w:bookmarkStart w:id="77" w:name="OLE_LINK22"/>
      <w:r/>
      <w:bookmarkStart w:id="78" w:name="OLE_LINK12"/>
      <w:r/>
      <w:bookmarkStart w:id="79" w:name="OLE_LINK28"/>
      <w:r/>
      <w:bookmarkStart w:id="80" w:name="OLE_LINK23"/>
      <w:r/>
      <w:bookmarkStart w:id="81" w:name="OLE_LINK33"/>
      <w:r/>
      <w:bookmarkStart w:id="82" w:name="OLE_LINK36"/>
      <w:r/>
      <w:bookmarkStart w:id="83" w:name="OLE_LINK16"/>
      <w:r/>
      <w:bookmarkStart w:id="84" w:name="OLE_LINK19"/>
      <w:r/>
      <w:bookmarkStart w:id="85" w:name="OLE_LINK26"/>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连云区青少年校外活动中心分部(原平山幼儿园)装修工程（含消防）</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b/>
          <w:bCs/>
          <w:color w:val="auto"/>
          <w:szCs w:val="21"/>
          <w:highlight w:val="none"/>
          <w:u w:val="single"/>
        </w:rPr>
        <w:t xml:space="preserve">202</w:t>
      </w:r>
      <w:r>
        <w:rPr>
          <w:rFonts w:hint="eastAsia"/>
          <w:b/>
          <w:bCs/>
          <w:color w:val="auto"/>
          <w:szCs w:val="21"/>
          <w:highlight w:val="none"/>
          <w:u w:val="single"/>
          <w:lang w:val="en-US" w:eastAsia="zh-CN"/>
        </w:rPr>
        <w:t xml:space="preserve">6</w:t>
      </w:r>
      <w:r>
        <w:rPr>
          <w:rFonts w:hAnsi="宋体"/>
          <w:b/>
          <w:bCs/>
          <w:color w:val="auto"/>
          <w:szCs w:val="21"/>
          <w:highlight w:val="none"/>
          <w:u w:val="single"/>
        </w:rPr>
        <w:t xml:space="preserve">年</w:t>
      </w:r>
      <w:r>
        <w:rPr>
          <w:rFonts w:ascii="Times New Roman" w:hAnsi="Times New Roman" w:eastAsia="Times New Roman" w:cs="Times New Roman"/>
          <w:b/>
          <w:color w:val="000000"/>
          <w:sz w:val="21"/>
          <w:highlight w:val="none"/>
          <w:u w:val="single"/>
        </w:rPr>
        <w:t xml:space="preserve">0</w:t>
      </w:r>
      <w:r>
        <w:rPr>
          <w:rFonts w:hint="eastAsia" w:cs="Times New Roman"/>
          <w:b/>
          <w:color w:val="000000"/>
          <w:sz w:val="21"/>
          <w:highlight w:val="none"/>
          <w:u w:val="single"/>
          <w:lang w:val="en-US" w:eastAsia="zh-CN"/>
        </w:rPr>
        <w:t xml:space="preserve">9</w:t>
      </w:r>
      <w:r>
        <w:rPr>
          <w:rFonts w:hint="eastAsia" w:hAnsi="宋体"/>
          <w:b/>
          <w:bCs/>
          <w:color w:val="auto"/>
          <w:szCs w:val="21"/>
          <w:highlight w:val="none"/>
          <w:u w:val="single"/>
          <w:lang w:val="en-US" w:eastAsia="zh-CN"/>
        </w:rPr>
        <w:t xml:space="preserve">月29</w:t>
      </w:r>
      <w:r>
        <w:rPr>
          <w:rFonts w:hAnsi="宋体"/>
          <w:b/>
          <w:bCs/>
          <w:color w:val="auto"/>
          <w:szCs w:val="21"/>
          <w:highlight w:val="none"/>
          <w:u w:val="single"/>
        </w:rPr>
        <w:t xml:space="preserve">日14</w:t>
      </w:r>
      <w:r>
        <w:rPr>
          <w:rFonts w:hAnsi="宋体"/>
          <w:b/>
          <w:bCs/>
          <w:color w:val="auto"/>
          <w:szCs w:val="21"/>
          <w:highlight w:val="none"/>
          <w:u w:val="single"/>
        </w:rPr>
        <w:t xml:space="preserve">点</w:t>
      </w:r>
      <w:r>
        <w:rPr>
          <w:rFonts w:ascii="Times New Roman" w:hAnsi="Times New Roman" w:eastAsia="Times New Roman" w:cs="Times New Roman"/>
          <w:b/>
          <w:color w:val="000000"/>
          <w:sz w:val="21"/>
          <w:highlight w:val="none"/>
          <w:u w:val="single"/>
        </w:rPr>
        <w:t xml:space="preserve">30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51"/>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51"/>
        <w:contextualSpacing/>
        <w:ind w:firstLine="420"/>
        <w:keepLines w:val="0"/>
        <w:keepNext w:val="0"/>
        <w:pageBreakBefore w:val="0"/>
        <w:spacing w:before="0" w:beforeAutospacing="0" w:after="0" w:afterAutospacing="0" w:line="480" w:lineRule="exact"/>
        <w:rPr>
          <w:rFonts w:hint="default"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 xml:space="preserve">项目编号：</w:t>
      </w:r>
      <w:r>
        <w:rPr>
          <w:rFonts w:hint="eastAsia" w:ascii="Times New Roman" w:cs="Times New Roman"/>
          <w:color w:val="auto"/>
          <w:sz w:val="21"/>
          <w:szCs w:val="21"/>
          <w:highlight w:val="none"/>
          <w:lang w:val="en-US" w:eastAsia="zh-CN"/>
        </w:rPr>
        <w:t xml:space="preserve">JSZC-320703-SHGS-C2026-0007</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项目名称：连云区青少年校外活动中心分部(原平山幼儿园)装修工程（含消防）</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ascii="Times New Roman" w:cs="Times New Roman"/>
          <w:b/>
          <w:bCs/>
          <w:color w:val="auto"/>
          <w:sz w:val="21"/>
          <w:szCs w:val="21"/>
          <w:highlight w:val="none"/>
        </w:rPr>
        <w:t xml:space="preserve">371.575974</w:t>
      </w:r>
      <w:r>
        <w:rPr>
          <w:rFonts w:hint="eastAsia" w:ascii="Times New Roman" w:cs="Times New Roman"/>
          <w:b/>
          <w:bCs/>
          <w:color w:val="auto"/>
          <w:sz w:val="21"/>
          <w:szCs w:val="21"/>
          <w:highlight w:val="none"/>
          <w:lang w:val="en-US" w:eastAsia="zh-CN"/>
        </w:rPr>
        <w:t xml:space="preserve">万元</w:t>
      </w:r>
      <w:r>
        <w:rPr>
          <w:rFonts w:hint="eastAsia" w:ascii="Times New Roman" w:cs="Times New Roman"/>
          <w:color w:val="auto"/>
          <w:sz w:val="21"/>
          <w:szCs w:val="21"/>
          <w:highlight w:val="none"/>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ascii="Times New Roman" w:cs="Times New Roman"/>
          <w:b/>
          <w:bCs/>
          <w:color w:val="auto"/>
          <w:sz w:val="21"/>
          <w:szCs w:val="21"/>
          <w:highlight w:val="none"/>
          <w:lang w:val="en-US" w:eastAsia="zh-CN"/>
        </w:rPr>
        <w:t xml:space="preserve">371.57万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采购需求：连云区青少年校外活动中心分部(原平山幼儿园)装修工程（含消防）</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lang w:val="en-US" w:eastAsia="zh-CN"/>
        </w:rPr>
        <w:t xml:space="preserve">150日历天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val="zh-CN" w:eastAsia="zh-CN"/>
        </w:rPr>
        <w:t xml:space="preserve">连云区青少年校外活动中心分部(原平山幼儿园)</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51"/>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51"/>
        <w:contextualSpacing/>
        <w:ind w:firstLine="42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51"/>
        <w:contextualSpacing/>
        <w:ind w:firstLine="632"/>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51"/>
        <w:contextualSpacing/>
        <w:ind w:firstLine="420"/>
        <w:keepLines w:val="0"/>
        <w:keepNext w:val="0"/>
        <w:pageBreakBefore w:val="0"/>
        <w:spacing w:before="0" w:beforeAutospacing="0" w:after="0" w:afterAutospacing="0" w:line="480" w:lineRule="exact"/>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b/>
          <w:bCs/>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hAnsi="Times New Roman" w:eastAsia="宋体" w:cs="Times New Roman"/>
          <w:b/>
          <w:bCs/>
          <w:color w:val="auto"/>
          <w:sz w:val="21"/>
          <w:szCs w:val="21"/>
          <w:highlight w:val="none"/>
          <w:lang w:eastAsia="zh-CN"/>
        </w:rPr>
        <w:t xml:space="preserve">有效的建筑工程施工总承包三级及以上资质</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hAnsi="Times New Roman" w:eastAsia="宋体" w:cs="Times New Roman"/>
          <w:b/>
          <w:bCs/>
          <w:color w:val="auto"/>
          <w:sz w:val="21"/>
          <w:szCs w:val="21"/>
          <w:highlight w:val="none"/>
          <w:lang w:eastAsia="zh-CN"/>
        </w:rPr>
        <w:t xml:space="preserve">且具有有效的安全生产许可证；</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w:t>
      </w:r>
      <w:r>
        <w:rPr>
          <w:rFonts w:hint="eastAsia" w:ascii="宋体" w:hAnsi="宋体" w:eastAsia="宋体" w:cs="宋体"/>
          <w:sz w:val="21"/>
          <w:szCs w:val="21"/>
          <w:highlight w:val="none"/>
        </w:rPr>
        <w:t xml:space="preserve">项目负责人必须满足下列条件：</w:t>
      </w:r>
      <w:r/>
    </w:p>
    <w:p>
      <w:pPr>
        <w:ind w:firstLine="630"/>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①</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项目负责人不得同时在两个或者两个以上单位受聘或者执业</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项目负责人须为牵头单位人员；</w:t>
      </w:r>
      <w:r/>
    </w:p>
    <w:p>
      <w:pPr>
        <w:ind w:firstLine="63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②</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632"/>
        <w:jc w:val="left"/>
        <w:keepLines w:val="0"/>
        <w:keepNext w:val="0"/>
        <w:pageBreakBefore w:val="0"/>
        <w:spacing w:line="360" w:lineRule="auto"/>
        <w:rPr>
          <w:rFonts w:hint="eastAsia" w:ascii="宋体" w:hAnsi="宋体" w:cs="宋体"/>
          <w:b/>
          <w:bCs/>
          <w:sz w:val="21"/>
          <w:szCs w:val="21"/>
          <w:highlight w:val="none"/>
          <w:lang w:eastAsia="zh-CN"/>
        </w:rPr>
      </w:pPr>
      <w:r>
        <w:rPr>
          <w:rFonts w:hint="eastAsia" w:ascii="宋体" w:hAnsi="宋体" w:eastAsia="宋体" w:cs="宋体"/>
          <w:b/>
          <w:bCs/>
          <w:sz w:val="21"/>
          <w:szCs w:val="21"/>
          <w:highlight w:val="none"/>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630"/>
        <w:jc w:val="left"/>
        <w:keepLines w:val="0"/>
        <w:keepNext w:val="0"/>
        <w:pageBreakBefore w:val="0"/>
        <w:spacing w:line="360" w:lineRule="auto"/>
        <w:rPr>
          <w:rFonts w:hint="eastAsia" w:ascii="Times New Roman" w:cs="Times New Roman"/>
          <w:color w:val="auto"/>
          <w:sz w:val="21"/>
          <w:szCs w:val="21"/>
          <w:highlight w:val="none"/>
          <w:lang w:eastAsia="zh-CN"/>
        </w:rPr>
      </w:pPr>
      <w:r>
        <w:rPr>
          <w:rFonts w:hint="eastAsia" w:ascii="宋体" w:hAnsi="宋体" w:cs="宋体"/>
          <w:sz w:val="21"/>
          <w:szCs w:val="21"/>
          <w:highlight w:val="none"/>
          <w:lang w:eastAsia="zh-CN"/>
        </w:rPr>
        <w:t xml:space="preserve">③</w:t>
      </w:r>
      <w:r>
        <w:rPr>
          <w:rFonts w:hint="eastAsia" w:ascii="宋体" w:hAnsi="宋体" w:cs="宋体"/>
          <w:sz w:val="21"/>
          <w:szCs w:val="21"/>
          <w:highlight w:val="none"/>
          <w:lang w:val="en-US" w:eastAsia="zh-CN"/>
        </w:rPr>
        <w:t xml:space="preserve"> </w:t>
      </w:r>
      <w:r>
        <w:rPr>
          <w:rFonts w:hint="eastAsia" w:ascii="Times New Roman" w:cs="Times New Roman"/>
          <w:color w:val="auto"/>
          <w:sz w:val="21"/>
          <w:szCs w:val="21"/>
          <w:highlight w:val="none"/>
        </w:rPr>
        <w:t xml:space="preserve">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建筑工程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cs="Times New Roman"/>
          <w:color w:val="auto"/>
          <w:sz w:val="21"/>
          <w:szCs w:val="21"/>
          <w:highlight w:val="none"/>
          <w:lang w:eastAsia="zh-CN"/>
        </w:rPr>
        <w:t xml:space="preserve">。</w:t>
      </w:r>
      <w:r>
        <w:rPr>
          <w:rFonts w:hint="eastAsia" w:ascii="宋体" w:hAnsi="宋体" w:eastAsia="宋体" w:cs="宋体"/>
          <w:sz w:val="21"/>
          <w:szCs w:val="21"/>
          <w:highlight w:val="none"/>
        </w:rPr>
        <w:t xml:space="preserve">高等院校、科研机构、军事管理等部门从事工程设计、施工的技术人员不能提供社会保险缴纳证明的，由所在单位上级人事主管部门提供相应的证明材料，已退休仍在执业有效期内的可提供退休证明及聘用合同）。</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w:t>
      </w:r>
      <w:r>
        <w:rPr>
          <w:rFonts w:hint="eastAsia" w:cs="Times New Roman"/>
          <w:b/>
          <w:bCs/>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扫描件</w:t>
      </w:r>
      <w:r>
        <w:rPr>
          <w:rFonts w:hint="eastAsia" w:cs="Times New Roman"/>
          <w:b/>
          <w:bCs/>
          <w:color w:val="auto"/>
          <w:sz w:val="21"/>
          <w:szCs w:val="21"/>
          <w:highlight w:val="none"/>
          <w:lang w:eastAsia="zh-CN"/>
        </w:rPr>
        <w:t xml:space="preserve">，项目负责人无在建等承诺文件</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ind w:right="0"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outlineLvl w:val="9"/>
      </w:pPr>
      <w:r>
        <w:rPr>
          <w:rFonts w:hint="eastAsia" w:ascii="Times New Roman" w:hAnsi="Times New Roman" w:eastAsia="宋体" w:cs="Times New Roman"/>
          <w:color w:val="auto"/>
          <w:sz w:val="21"/>
          <w:szCs w:val="21"/>
          <w:highlight w:val="none"/>
          <w:lang w:val="en-US" w:eastAsia="zh-CN" w:bidi="ar-SA"/>
        </w:rPr>
        <w:t xml:space="preserve">（5）不拖欠农民工工资承诺；（</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hAnsi="Times New Roman" w:eastAsia="宋体" w:cs="Times New Roman"/>
          <w:color w:val="auto"/>
          <w:sz w:val="21"/>
          <w:szCs w:val="21"/>
          <w:highlight w:val="none"/>
          <w:lang w:val="en-US" w:eastAsia="zh-CN" w:bidi="ar-SA"/>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6）资格审查环节现场查询“信用中国”网站（www.creditchina.gov.cn），供应商被列入失信被执行人、重大税收违法案件当事人名单、政府采购严重失信行为记录名单及其他不符合《中华人民共和国政府采购法》第二十二条规定</w:t>
      </w:r>
      <w:r>
        <w:rPr>
          <w:rFonts w:hint="eastAsia" w:ascii="Times New Roman" w:cs="Times New Roman"/>
          <w:color w:val="auto"/>
          <w:sz w:val="21"/>
          <w:szCs w:val="21"/>
          <w:highlight w:val="none"/>
        </w:rPr>
        <w:t xml:space="preserve">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480" w:lineRule="exact"/>
        <w:widowControl/>
        <w:rPr>
          <w:b/>
          <w:color w:val="auto"/>
          <w:szCs w:val="21"/>
          <w:highlight w:val="none"/>
        </w:rPr>
      </w:pPr>
      <w:r>
        <w:rPr>
          <w:rFonts w:hint="eastAsia"/>
          <w:b/>
          <w:color w:val="auto"/>
          <w:szCs w:val="21"/>
          <w:highlight w:val="none"/>
        </w:rPr>
        <w:t xml:space="preserve">三、磋商文件的获取</w:t>
      </w:r>
      <w:r/>
    </w:p>
    <w:p>
      <w:pPr>
        <w:pStyle w:val="851"/>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51"/>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51"/>
        <w:contextualSpacing/>
        <w:ind w:firstLine="1054"/>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51"/>
        <w:contextualSpacing/>
        <w:ind w:firstLine="840"/>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时间：2026年</w:t>
      </w:r>
      <w:r>
        <w:rPr>
          <w:rFonts w:hint="eastAsia" w:ascii="宋体" w:hAnsi="宋体" w:cs="宋体"/>
          <w:b/>
          <w:color w:val="auto"/>
          <w:szCs w:val="21"/>
          <w:highlight w:val="none"/>
        </w:rPr>
        <w:t xml:space="preserve">0</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月29</w:t>
      </w:r>
      <w:r>
        <w:rPr>
          <w:rFonts w:hint="eastAsia" w:ascii="宋体" w:hAnsi="宋体" w:cs="宋体"/>
          <w:b/>
          <w:color w:val="auto"/>
          <w:szCs w:val="21"/>
          <w:highlight w:val="none"/>
        </w:rPr>
        <w:t xml:space="preserve">日14</w:t>
      </w:r>
      <w:r>
        <w:rPr>
          <w:rFonts w:hint="eastAsia" w:ascii="宋体" w:hAnsi="宋体" w:cs="宋体"/>
          <w:b/>
          <w:color w:val="auto"/>
          <w:szCs w:val="21"/>
          <w:highlight w:val="none"/>
        </w:rPr>
        <w:t xml:space="preserve">点30分（北京时间）</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时间：2026年</w:t>
      </w:r>
      <w:r>
        <w:rPr>
          <w:rFonts w:hint="eastAsia" w:ascii="宋体" w:hAnsi="宋体" w:cs="宋体"/>
          <w:b/>
          <w:color w:val="auto"/>
          <w:szCs w:val="21"/>
          <w:highlight w:val="none"/>
        </w:rPr>
        <w:t xml:space="preserve">0</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月29</w:t>
      </w:r>
      <w:r>
        <w:rPr>
          <w:rFonts w:hint="eastAsia" w:ascii="宋体" w:hAnsi="宋体" w:cs="宋体"/>
          <w:b/>
          <w:color w:val="auto"/>
          <w:szCs w:val="21"/>
          <w:highlight w:val="none"/>
        </w:rPr>
        <w:t xml:space="preserve">日</w:t>
      </w:r>
      <w:r>
        <w:rPr>
          <w:rFonts w:hint="eastAsia" w:ascii="宋体" w:hAnsi="宋体" w:cs="宋体"/>
          <w:b/>
          <w:color w:val="auto"/>
          <w:szCs w:val="21"/>
          <w:highlight w:val="none"/>
        </w:rPr>
        <w:t xml:space="preserve">14点30分（北京时间）</w:t>
      </w:r>
      <w:r/>
    </w:p>
    <w:p>
      <w:pPr>
        <w:contextualSpacing/>
        <w:ind w:firstLine="527"/>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51"/>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五、公告期限</w:t>
      </w:r>
      <w:r/>
    </w:p>
    <w:p>
      <w:pPr>
        <w:pStyle w:val="851"/>
        <w:contextualSpacing/>
        <w:ind w:firstLine="420"/>
        <w:keepLines w:val="0"/>
        <w:keepNext w:val="0"/>
        <w:pageBreakBefore w:val="0"/>
        <w:spacing w:before="0" w:beforeAutospacing="0" w:after="0" w:afterAutospacing="0" w:line="480" w:lineRule="exact"/>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51"/>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http://www.ccgp-jiangsu.gov.cn/jiangsu/zlxz/ee/ee3a4bc5a3454aa2b0d9312230633ce9.html</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51"/>
        <w:contextualSpacing/>
        <w:ind w:firstLine="422"/>
        <w:keepLines w:val="0"/>
        <w:keepNext w:val="0"/>
        <w:pageBreakBefore w:val="0"/>
        <w:spacing w:before="0" w:beforeAutospacing="0" w:after="0" w:afterAutospacing="0"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5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ascii="Arial" w:hAnsi="Arial" w:cs="Arial"/>
          <w:color w:val="000000"/>
          <w:sz w:val="21"/>
          <w:highlight w:val="none"/>
          <w:lang w:eastAsia="zh-CN"/>
        </w:rPr>
        <w:t xml:space="preserve">连云区青少年校外活动中心</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联系电话：15996113376</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851"/>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rPr>
        <w:t xml:space="preserve">连云区海棠中路32号</w:t>
      </w:r>
      <w:r>
        <w:rPr>
          <w:rFonts w:hint="eastAsia" w:hAnsi="宋体" w:cs="宋体"/>
          <w:color w:val="auto"/>
          <w:sz w:val="21"/>
          <w:szCs w:val="21"/>
          <w:highlight w:val="none"/>
          <w:lang w:val="en-US" w:eastAsia="zh-CN"/>
        </w:rPr>
        <w:t xml:space="preserve"> </w:t>
      </w:r>
      <w:r/>
    </w:p>
    <w:p>
      <w:pPr>
        <w:pStyle w:val="85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w:t>
      </w:r>
      <w:r>
        <w:rPr>
          <w:rFonts w:hint="eastAsia" w:hAnsi="宋体" w:cs="宋体"/>
          <w:color w:val="auto"/>
          <w:sz w:val="21"/>
          <w:szCs w:val="21"/>
          <w:highlight w:val="none"/>
          <w:lang w:eastAsia="zh-CN"/>
        </w:rPr>
        <w:t xml:space="preserve">连云港上和工程咨询有限公司</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单位地址：江苏省连云港市海州区朝阳东路东盛阳光大厦B座705</w:t>
      </w:r>
      <w:r/>
    </w:p>
    <w:p>
      <w:pPr>
        <w:pStyle w:val="851"/>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hAnsi="宋体" w:cs="宋体"/>
          <w:color w:val="auto"/>
          <w:sz w:val="21"/>
          <w:szCs w:val="21"/>
          <w:highlight w:val="none"/>
          <w:lang w:eastAsia="zh-CN"/>
        </w:rPr>
        <w:t xml:space="preserve">卜思允</w:t>
      </w:r>
      <w:r>
        <w:rPr>
          <w:rFonts w:hint="eastAsia" w:hAnsi="宋体" w:cs="宋体"/>
          <w:color w:val="auto"/>
          <w:sz w:val="21"/>
          <w:szCs w:val="21"/>
          <w:highlight w:val="none"/>
          <w:lang w:val="en-US" w:eastAsia="zh-CN"/>
        </w:rPr>
        <w:tab/>
      </w:r>
      <w:r/>
    </w:p>
    <w:p>
      <w:pPr>
        <w:pStyle w:val="851"/>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color w:val="auto"/>
          <w:sz w:val="21"/>
          <w:szCs w:val="21"/>
          <w:highlight w:val="none"/>
          <w:lang w:eastAsia="zh-CN"/>
        </w:rPr>
        <w:t xml:space="preserve">0518-85588595</w:t>
      </w:r>
      <w:r>
        <w:rPr>
          <w:rFonts w:hint="eastAsia" w:ascii="宋体" w:hAnsi="宋体" w:eastAsia="宋体" w:cs="宋体"/>
          <w:color w:val="auto"/>
          <w:sz w:val="21"/>
          <w:szCs w:val="21"/>
          <w:highlight w:val="none"/>
          <w:lang w:eastAsia="zh-CN"/>
        </w:rPr>
      </w:r>
      <w:bookmarkStart w:id="772" w:name="_GoBack"/>
      <w:r/>
      <w:bookmarkEnd w:id="772"/>
      <w:r/>
      <w:r/>
    </w:p>
    <w:p>
      <w:pPr>
        <w:pStyle w:val="85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卜思允</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0518-85588595</w:t>
      </w:r>
      <w:r>
        <w:rPr>
          <w:rFonts w:hint="eastAsia" w:hAnsi="宋体" w:cs="宋体"/>
          <w:color w:val="auto"/>
          <w:sz w:val="21"/>
          <w:szCs w:val="21"/>
          <w:highlight w:val="none"/>
          <w:lang w:val="en-US" w:eastAsia="zh-CN"/>
        </w:rPr>
        <w:t xml:space="preserve"> </w:t>
      </w:r>
      <w:r/>
    </w:p>
    <w:p>
      <w:pPr>
        <w:pStyle w:val="877"/>
        <w:keepLines w:val="0"/>
        <w:keepNext w:val="0"/>
        <w:pageBreakBefore w:val="0"/>
        <w:spacing w:line="480" w:lineRule="exact"/>
        <w:rPr>
          <w:rFonts w:ascii="宋体" w:hAnsi="宋体" w:eastAsia="宋体" w:cs="宋体"/>
          <w:b/>
          <w:bCs/>
          <w:color w:val="auto"/>
          <w:sz w:val="21"/>
          <w:szCs w:val="21"/>
          <w:highlight w:val="none"/>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20</w:t>
      </w: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日</w:t>
      </w:r>
      <w:r/>
    </w:p>
    <w:p>
      <w:pPr>
        <w:rPr>
          <w:color w:val="auto"/>
          <w:highlight w:val="none"/>
        </w:rPr>
      </w:pPr>
      <w:r/>
      <w:bookmarkStart w:id="86" w:name="_Toc513029209"/>
      <w:r/>
      <w:bookmarkStart w:id="87" w:name="_Toc61149549"/>
      <w:r/>
      <w:bookmarkStart w:id="88" w:name="_Toc14577347"/>
      <w:r/>
      <w:r/>
    </w:p>
    <w:p>
      <w:pPr>
        <w:pStyle w:val="808"/>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spacing w:before="120" w:after="120" w:line="360" w:lineRule="auto"/>
        <w:rPr>
          <w:rFonts w:ascii="黑体" w:hAnsi="黑体" w:eastAsia="黑体" w:cs="宋体"/>
          <w:bCs/>
          <w:color w:val="auto"/>
          <w:szCs w:val="21"/>
          <w:highlight w:val="none"/>
        </w:rPr>
        <w:outlineLvl w:val="1"/>
      </w:pPr>
      <w:r/>
      <w:bookmarkStart w:id="90" w:name="_Toc25775"/>
      <w:r/>
      <w:bookmarkStart w:id="91" w:name="_Toc20823309"/>
      <w:r/>
      <w:bookmarkStart w:id="92" w:name="_Toc16938553"/>
      <w:r/>
      <w:bookmarkStart w:id="93" w:name="_Toc513029237"/>
      <w:r>
        <w:rPr>
          <w:rFonts w:hint="eastAsia" w:ascii="黑体" w:hAnsi="黑体" w:eastAsia="黑体" w:cs="宋体"/>
          <w:bCs/>
          <w:color w:val="auto"/>
          <w:szCs w:val="21"/>
          <w:highlight w:val="none"/>
        </w:rPr>
        <w:t xml:space="preserve">一、总则</w:t>
      </w:r>
      <w:bookmarkEnd w:id="9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51"/>
        <w:contextualSpacing/>
        <w:ind w:firstLine="422"/>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4.2此次磋商招标代理费、工程量清单及控制价编制费实行包干价，约玖仟元（¥9000元），以上费用均由成交供应商领取中标通知书时一次性支付。供应商须将此部分费用综合考虑在响应报价中，不单列。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462564070"/>
      <w:r/>
      <w:bookmarkStart w:id="95" w:name="_Toc16938527"/>
      <w:r/>
      <w:bookmarkStart w:id="96" w:name="_Toc513029211"/>
      <w:r/>
      <w:bookmarkStart w:id="97" w:name="_Toc20823283"/>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spacing w:before="120" w:after="120" w:line="360" w:lineRule="auto"/>
        <w:rPr>
          <w:rFonts w:ascii="黑体" w:hAnsi="黑体" w:eastAsia="黑体" w:cs="宋体"/>
          <w:bCs/>
          <w:color w:val="auto"/>
          <w:szCs w:val="21"/>
          <w:highlight w:val="none"/>
        </w:rPr>
        <w:outlineLvl w:val="1"/>
      </w:pPr>
      <w:r/>
      <w:bookmarkStart w:id="98" w:name="_Hlt26954828"/>
      <w:r/>
      <w:bookmarkEnd w:id="98"/>
      <w:r/>
      <w:bookmarkStart w:id="99" w:name="_Hlt26670345"/>
      <w:r/>
      <w:bookmarkEnd w:id="99"/>
      <w:r/>
      <w:bookmarkStart w:id="100" w:name="_Hlt26670354"/>
      <w:r/>
      <w:bookmarkEnd w:id="100"/>
      <w:r/>
      <w:bookmarkStart w:id="101" w:name="_Hlt26954832"/>
      <w:r/>
      <w:bookmarkEnd w:id="101"/>
      <w:r/>
      <w:bookmarkStart w:id="102" w:name="_Hlt26668969"/>
      <w:r/>
      <w:bookmarkEnd w:id="102"/>
      <w:r/>
      <w:bookmarkStart w:id="103" w:name="_Hlt26954830"/>
      <w:r/>
      <w:bookmarkEnd w:id="103"/>
      <w:r/>
      <w:bookmarkStart w:id="104" w:name="_Hlt26670348"/>
      <w:r/>
      <w:bookmarkEnd w:id="104"/>
      <w:r/>
      <w:bookmarkStart w:id="105" w:name="_Toc513029213"/>
      <w:r/>
      <w:bookmarkStart w:id="106" w:name="_Toc462564072"/>
      <w:r/>
      <w:bookmarkStart w:id="107" w:name="_Toc14577351"/>
      <w:r/>
      <w:bookmarkStart w:id="108" w:name="_Toc61149553"/>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spacing w:line="360" w:lineRule="auto"/>
        <w:tabs>
          <w:tab w:val="left" w:pos="900" w:leader="none"/>
        </w:tabs>
        <w:rPr>
          <w:rFonts w:ascii="宋体" w:hAnsi="宋体"/>
          <w:color w:val="auto"/>
          <w:szCs w:val="21"/>
          <w:highlight w:val="none"/>
        </w:rPr>
      </w:pPr>
      <w:r/>
      <w:bookmarkStart w:id="110" w:name="_Hlt26954834"/>
      <w:r/>
      <w:bookmarkEnd w:id="110"/>
      <w:r/>
      <w:bookmarkStart w:id="111" w:name="_Toc513029215"/>
      <w:r/>
      <w:bookmarkStart w:id="112" w:name="_Toc14577353"/>
      <w:r/>
      <w:bookmarkStart w:id="113" w:name="_Toc462564074"/>
      <w:r/>
      <w:bookmarkStart w:id="114" w:name="_Toc61149555"/>
      <w:r/>
      <w:bookmarkStart w:id="115" w:name="_Toc61149554"/>
      <w:r/>
      <w:bookmarkStart w:id="116" w:name="_Toc462564073"/>
      <w:r/>
      <w:bookmarkStart w:id="117" w:name="_Toc513029214"/>
      <w:r/>
      <w:bookmarkStart w:id="118" w:name="_Toc14577352"/>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19" w:name="_Hlt26670357"/>
      <w:r/>
      <w:bookmarkEnd w:id="119"/>
      <w:r/>
      <w:bookmarkStart w:id="120" w:name="_Hlt26954836"/>
      <w:r/>
      <w:bookmarkEnd w:id="120"/>
      <w:r/>
      <w:bookmarkStart w:id="121" w:name="_Toc14577357"/>
      <w:r/>
      <w:bookmarkStart w:id="122" w:name="_Toc513029219"/>
      <w:r/>
      <w:bookmarkStart w:id="123" w:name="_Toc61149558"/>
      <w:r/>
      <w:bookmarkStart w:id="124" w:name="_Toc61149557"/>
      <w:r/>
      <w:bookmarkStart w:id="125" w:name="_Toc513029217"/>
      <w:r/>
      <w:bookmarkStart w:id="126" w:name="_Toc14577355"/>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w:t>
      </w:r>
      <w:r>
        <w:rPr>
          <w:rFonts w:hint="eastAsia" w:ascii="宋体" w:hAnsi="宋体" w:eastAsia="宋体" w:cs="宋体"/>
          <w:color w:val="auto"/>
          <w:sz w:val="21"/>
          <w:szCs w:val="21"/>
          <w:highlight w:val="none"/>
          <w:u w:val="none"/>
          <w:lang w:val="en-US" w:eastAsia="zh-CN" w:bidi="ar-SA"/>
        </w:rPr>
        <w:t xml:space="preserve">《工程量清单项目计量标准(2024-江苏)》、《建设工程工程量清单计价标准》（GB/T 50500-2024）及9本对应专业工程量计算标准、《江苏省市政工程消耗量》(2026版)、《江苏省仿古建筑与园林工程计价表》、《江苏省建设工程施工机具台班费用编制参考表》（2026 版）《江苏省建设工程费用组成规则》(2026版)、《江苏省建设工程费用参考》(2026版))及</w:t>
      </w:r>
      <w:r>
        <w:rPr>
          <w:rFonts w:hint="eastAsia" w:ascii="宋体" w:hAnsi="宋体"/>
          <w:color w:val="auto"/>
          <w:szCs w:val="21"/>
          <w:highlight w:val="none"/>
        </w:rPr>
        <w:t xml:space="preserve">近期的《建设工程材料信息价》。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539"/>
        <w:spacing w:line="360" w:lineRule="auto"/>
        <w:rPr>
          <w:rFonts w:hint="eastAsia" w:ascii="宋体" w:hAnsi="宋体" w:eastAsia="宋体" w:cs="宋体"/>
          <w:b/>
          <w:bCs/>
          <w:color w:val="auto"/>
          <w:szCs w:val="22"/>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w:t>
      </w:r>
      <w:r>
        <w:rPr>
          <w:rFonts w:hint="eastAsia" w:ascii="宋体" w:hAnsi="宋体" w:eastAsia="宋体" w:cs="宋体"/>
          <w:b/>
          <w:bCs/>
          <w:color w:val="auto"/>
          <w:szCs w:val="22"/>
          <w:highlight w:val="none"/>
        </w:rPr>
        <w:t xml:space="preserve">通用措施项目</w:t>
      </w:r>
      <w:r>
        <w:rPr>
          <w:rFonts w:hint="eastAsia" w:ascii="宋体" w:hAnsi="宋体" w:eastAsia="宋体" w:cs="宋体"/>
          <w:b/>
          <w:bCs/>
          <w:color w:val="auto"/>
          <w:szCs w:val="22"/>
          <w:highlight w:val="none"/>
          <w:lang w:eastAsia="zh-CN"/>
        </w:rPr>
        <w:t xml:space="preserve">中</w:t>
      </w:r>
      <w:r>
        <w:rPr>
          <w:rFonts w:hint="eastAsia" w:ascii="宋体" w:hAnsi="宋体" w:eastAsia="宋体" w:cs="宋体"/>
          <w:b/>
          <w:bCs/>
          <w:color w:val="auto"/>
          <w:szCs w:val="22"/>
          <w:highlight w:val="none"/>
        </w:rPr>
        <w:t xml:space="preserve">安全生产费用单独列项，依据《企业安全生产费用提取和使用管理办法》（财资〔2022〕136 号）及有关文件规定足额计取。投标人报价不得下浮、删减，具体计取费率如下：</w:t>
      </w:r>
      <w:r/>
    </w:p>
    <w:p>
      <w:pPr>
        <w:ind w:firstLine="542"/>
        <w:spacing w:line="360" w:lineRule="auto"/>
      </w:pPr>
      <w:r>
        <w:rPr>
          <w:rFonts w:hint="eastAsia" w:ascii="宋体" w:hAnsi="宋体" w:eastAsia="宋体" w:cs="宋体"/>
          <w:b/>
          <w:bCs/>
          <w:color w:val="auto"/>
          <w:szCs w:val="22"/>
          <w:highlight w:val="none"/>
        </w:rPr>
        <w:t xml:space="preserve">（1）房屋建筑与装饰工程：一般计税费率3.8%；</w:t>
      </w:r>
      <w:r/>
    </w:p>
    <w:p>
      <w:pPr>
        <w:ind w:firstLine="542"/>
        <w:spacing w:line="360" w:lineRule="auto"/>
      </w:pPr>
      <w:r>
        <w:rPr>
          <w:rFonts w:hint="eastAsia" w:ascii="宋体" w:hAnsi="宋体" w:eastAsia="宋体" w:cs="宋体"/>
          <w:b/>
          <w:bCs/>
          <w:color w:val="auto"/>
          <w:szCs w:val="22"/>
          <w:highlight w:val="none"/>
        </w:rPr>
        <w:t xml:space="preserve">（2）通用安装工程：一般计税费率2.9%；</w:t>
      </w:r>
      <w:r/>
    </w:p>
    <w:p>
      <w:pPr>
        <w:ind w:firstLine="542"/>
        <w:spacing w:line="360" w:lineRule="auto"/>
      </w:pPr>
      <w:r>
        <w:rPr>
          <w:rFonts w:hint="eastAsia" w:ascii="宋体" w:hAnsi="宋体" w:eastAsia="宋体" w:cs="宋体"/>
          <w:b/>
          <w:bCs/>
          <w:color w:val="auto"/>
          <w:szCs w:val="22"/>
          <w:highlight w:val="none"/>
        </w:rPr>
        <w:t xml:space="preserve">（3）市政工程：一般计税费率1.9%；</w:t>
      </w:r>
      <w:r/>
    </w:p>
    <w:p>
      <w:pPr>
        <w:ind w:firstLine="542"/>
        <w:spacing w:line="360"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（4）园林绿化工程：一般计税费率0.9%</w:t>
      </w:r>
      <w:r>
        <w:rPr>
          <w:rFonts w:hint="eastAsia" w:ascii="宋体" w:hAnsi="宋体" w:eastAsia="宋体" w:cs="宋体"/>
          <w:b/>
          <w:bCs/>
          <w:color w:val="auto"/>
          <w:szCs w:val="22"/>
          <w:highlight w:val="none"/>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28" w:name="_Hlt26668983"/>
      <w:r/>
      <w:bookmarkEnd w:id="128"/>
      <w:r/>
      <w:bookmarkStart w:id="129" w:name="_Hlt26954842"/>
      <w:r/>
      <w:bookmarkEnd w:id="129"/>
      <w:r/>
      <w:bookmarkStart w:id="130" w:name="_Hlt26670486"/>
      <w:r/>
      <w:bookmarkEnd w:id="130"/>
      <w:r/>
      <w:bookmarkStart w:id="131" w:name="_Hlt26670425"/>
      <w:r/>
      <w:bookmarkEnd w:id="131"/>
      <w:r/>
      <w:bookmarkStart w:id="132" w:name="_Hlt26954731"/>
      <w:r/>
      <w:bookmarkEnd w:id="132"/>
      <w:r/>
      <w:bookmarkStart w:id="133" w:name="_Hlt26954844"/>
      <w:r/>
      <w:bookmarkEnd w:id="133"/>
      <w:r/>
      <w:bookmarkStart w:id="134" w:name="_Hlt26670403"/>
      <w:r/>
      <w:bookmarkEnd w:id="134"/>
      <w:r/>
      <w:bookmarkStart w:id="135" w:name="_Hlt26954846"/>
      <w:r/>
      <w:bookmarkEnd w:id="135"/>
      <w:r/>
      <w:bookmarkStart w:id="136" w:name="_Hlt26954848"/>
      <w:r/>
      <w:bookmarkEnd w:id="136"/>
      <w:r/>
      <w:bookmarkStart w:id="137" w:name="_Hlt26670482"/>
      <w:r/>
      <w:bookmarkEnd w:id="137"/>
      <w:r/>
      <w:bookmarkStart w:id="138" w:name="_Toc61149559"/>
      <w:r/>
      <w:bookmarkStart w:id="139" w:name="_Toc513029221"/>
      <w:r/>
      <w:bookmarkStart w:id="140" w:name="_Toc14577359"/>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1" w:name="_Hlt26954852"/>
      <w:r/>
      <w:bookmarkEnd w:id="141"/>
      <w:r/>
      <w:bookmarkStart w:id="142" w:name="_Hlt26954850"/>
      <w:r/>
      <w:bookmarkEnd w:id="142"/>
      <w:r/>
      <w:bookmarkStart w:id="143" w:name="_Hlt26954734"/>
      <w:r/>
      <w:bookmarkEnd w:id="143"/>
      <w:r/>
      <w:bookmarkStart w:id="144" w:name="_Hlt26670493"/>
      <w:r/>
      <w:bookmarkEnd w:id="144"/>
      <w:r/>
      <w:bookmarkStart w:id="145" w:name="_Hlt26670489"/>
      <w:r/>
      <w:bookmarkEnd w:id="145"/>
      <w:r/>
      <w:bookmarkStart w:id="146" w:name="_Hlt26954749"/>
      <w:r/>
      <w:bookmarkEnd w:id="146"/>
      <w:r/>
      <w:bookmarkStart w:id="147" w:name="_Hlt26954739"/>
      <w:r/>
      <w:bookmarkEnd w:id="147"/>
      <w:r/>
      <w:bookmarkStart w:id="148" w:name="_Hlt26954854"/>
      <w:r/>
      <w:bookmarkEnd w:id="148"/>
      <w:r/>
      <w:bookmarkStart w:id="149" w:name="_Toc1959"/>
      <w:r/>
      <w:bookmarkStart w:id="150" w:name="_Toc14577362"/>
      <w:r/>
      <w:bookmarkStart w:id="151" w:name="_Toc513029224"/>
      <w:r/>
      <w:bookmarkStart w:id="152" w:name="_Toc61149562"/>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4" w:name="_Hlt26670523"/>
      <w:r/>
      <w:bookmarkEnd w:id="154"/>
      <w:r/>
      <w:bookmarkStart w:id="155" w:name="_Hlt26954864"/>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spacing w:line="360" w:lineRule="auto"/>
        <w:tabs>
          <w:tab w:val="left" w:pos="900" w:leader="none"/>
        </w:tabs>
        <w:rPr>
          <w:rFonts w:hint="eastAsia" w:ascii="宋体" w:hAnsi="宋体"/>
          <w:color w:val="auto"/>
          <w:szCs w:val="21"/>
          <w:highlight w:val="none"/>
        </w:rPr>
      </w:pPr>
      <w:r/>
      <w:bookmarkStart w:id="157" w:name="_Toc513029230"/>
      <w:r/>
      <w:bookmarkStart w:id="158" w:name="_Toc20823302"/>
      <w:r/>
      <w:bookmarkStart w:id="159" w:name="_Toc16938546"/>
      <w:r/>
      <w:bookmarkStart w:id="160" w:name="_Toc513029235"/>
      <w:r/>
      <w:bookmarkStart w:id="161" w:name="_Toc20823307"/>
      <w:r/>
      <w:bookmarkStart w:id="162" w:name="_Toc16938551"/>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color w:val="auto"/>
          <w:szCs w:val="21"/>
          <w:highlight w:val="none"/>
        </w:rPr>
      </w:pPr>
      <w:r/>
      <w:bookmarkStart w:id="163" w:name="_Toc20823303"/>
      <w:r/>
      <w:bookmarkStart w:id="164" w:name="_Toc16938547"/>
      <w:r/>
      <w:bookmarkStart w:id="165" w:name="_Toc513029231"/>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color w:val="auto"/>
          <w:szCs w:val="21"/>
          <w:highlight w:val="none"/>
        </w:rPr>
      </w:pPr>
      <w:r/>
      <w:bookmarkStart w:id="166" w:name="_Toc513029232"/>
      <w:r/>
      <w:bookmarkStart w:id="167" w:name="_Toc16938548"/>
      <w:r/>
      <w:bookmarkStart w:id="168" w:name="_Toc20823304"/>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color w:val="auto"/>
          <w:szCs w:val="21"/>
          <w:highlight w:val="none"/>
        </w:rPr>
      </w:pPr>
      <w:r/>
      <w:bookmarkStart w:id="169" w:name="_Toc16938549"/>
      <w:r/>
      <w:bookmarkStart w:id="170" w:name="_Toc20823305"/>
      <w:r/>
      <w:bookmarkStart w:id="171" w:name="_Toc513029233"/>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51"/>
        <w:contextualSpacing/>
        <w:ind w:firstLine="422"/>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51"/>
        <w:contextualSpacing/>
        <w:ind w:firstLine="422"/>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color w:val="auto"/>
          <w:szCs w:val="21"/>
          <w:highlight w:val="none"/>
        </w:rPr>
      </w:pPr>
      <w:r/>
      <w:bookmarkStart w:id="172" w:name="_Toc513029234"/>
      <w:r/>
      <w:bookmarkStart w:id="173" w:name="_Toc16938550"/>
      <w:r/>
      <w:bookmarkStart w:id="174" w:name="_Toc20823306"/>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spacing w:line="360" w:lineRule="auto"/>
        <w:tabs>
          <w:tab w:val="left" w:pos="900" w:leader="none"/>
        </w:tabs>
        <w:rPr>
          <w:rFonts w:ascii="宋体" w:hAnsi="宋体"/>
          <w:color w:val="auto"/>
          <w:szCs w:val="21"/>
          <w:highlight w:val="none"/>
        </w:rPr>
      </w:pPr>
      <w:r/>
      <w:bookmarkStart w:id="176" w:name="_Toc513029238"/>
      <w:r/>
      <w:bookmarkStart w:id="177" w:name="_Toc16938554"/>
      <w:r/>
      <w:bookmarkStart w:id="178" w:name="_Toc20823310"/>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spacing w:line="360" w:lineRule="auto"/>
        <w:tabs>
          <w:tab w:val="left" w:pos="900" w:leader="none"/>
        </w:tabs>
        <w:rPr>
          <w:rFonts w:hint="eastAsia" w:ascii="宋体" w:hAnsi="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1029"/>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139966427"/>
      <w:r/>
      <w:bookmarkStart w:id="182" w:name="_Toc139967211"/>
      <w:r/>
      <w:bookmarkStart w:id="183" w:name="_Toc32045"/>
      <w:r/>
      <w:bookmarkStart w:id="184" w:name="_Toc513622228"/>
      <w:r/>
      <w:r/>
    </w:p>
    <w:p>
      <w:pPr>
        <w:pStyle w:val="823"/>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125"/>
        <w:ind w:firstLine="0"/>
        <w:jc w:val="center"/>
        <w:rPr>
          <w:rFonts w:hAnsi="宋体" w:cs="宋体"/>
          <w:b/>
          <w:bCs/>
          <w:color w:val="auto"/>
          <w:sz w:val="21"/>
          <w:szCs w:val="21"/>
          <w:highlight w:val="none"/>
        </w:rPr>
      </w:pPr>
      <w:r>
        <w:rPr>
          <w:rFonts w:hint="eastAsia" w:hAnsi="宋体" w:cs="宋体"/>
          <w:b/>
          <w:bCs/>
          <w:color w:val="auto"/>
          <w:sz w:val="21"/>
          <w:szCs w:val="21"/>
          <w:highlight w:val="none"/>
          <w:lang w:val="en-US" w:eastAsia="zh-CN"/>
        </w:rPr>
        <w:t xml:space="preserve">第一部分  合同</w:t>
      </w:r>
      <w:r>
        <w:rPr>
          <w:rFonts w:hint="eastAsia" w:hAnsi="宋体" w:cs="宋体"/>
          <w:b/>
          <w:bCs/>
          <w:color w:val="auto"/>
          <w:sz w:val="21"/>
          <w:szCs w:val="21"/>
          <w:highlight w:val="none"/>
        </w:rPr>
        <w:t xml:space="preserve">协议书</w:t>
      </w:r>
      <w:r/>
    </w:p>
    <w:p>
      <w:pPr>
        <w:pStyle w:val="1125"/>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连云区青少年校外活动中心分部(原平山幼儿园)装修工程（含消防）</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连云区青少年校外活动中心分部(原平山幼儿园)装修工程（含消防）</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cs="宋体"/>
          <w:sz w:val="21"/>
          <w:szCs w:val="21"/>
          <w:highlight w:val="none"/>
          <w:u w:val="single"/>
          <w:lang w:eastAsia="zh-CN"/>
        </w:rPr>
        <w:t xml:space="preserve">连云区青少年校外活动中心</w:t>
      </w:r>
      <w:r>
        <w:rPr>
          <w:rFonts w:hint="eastAsia" w:ascii="宋体" w:hAnsi="宋体" w:cs="宋体"/>
          <w:sz w:val="21"/>
          <w:szCs w:val="21"/>
          <w:highlight w:val="none"/>
          <w:u w:val="single"/>
          <w:lang w:val="en-US" w:eastAsia="zh-CN"/>
        </w:rPr>
        <w:t xml:space="preserve">分部(原平山幼儿园)</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cs="宋体"/>
          <w:sz w:val="21"/>
          <w:szCs w:val="21"/>
          <w:highlight w:val="none"/>
          <w:u w:val="single"/>
          <w:lang w:eastAsia="zh-CN"/>
        </w:rPr>
        <w:t xml:space="preserve">连云区青少年校外活动中心分部(原平山幼儿园)装修工程（含消防）</w:t>
      </w:r>
      <w:r>
        <w:rPr>
          <w:rFonts w:hint="eastAsia" w:ascii="宋体" w:hAnsi="宋体" w:eastAsia="宋体" w:cs="宋体"/>
          <w:sz w:val="21"/>
          <w:szCs w:val="21"/>
          <w:highlight w:val="none"/>
          <w:u w:val="single"/>
          <w:lang w:eastAsia="zh-CN"/>
        </w:rPr>
        <w:t xml:space="preserve">施工</w:t>
      </w:r>
      <w:r>
        <w:rPr>
          <w:rFonts w:hint="eastAsia" w:ascii="宋体" w:hAnsi="宋体" w:eastAsia="宋体" w:cs="宋体"/>
          <w:sz w:val="21"/>
          <w:szCs w:val="21"/>
          <w:highlight w:val="none"/>
          <w:u w:val="single"/>
        </w:rPr>
        <w:t xml:space="preserve">，具体详见工程量清单</w:t>
      </w:r>
      <w:r>
        <w:rPr>
          <w:rFonts w:hint="eastAsia" w:ascii="宋体" w:hAnsi="宋体" w:eastAsia="宋体" w:cs="宋体"/>
          <w:sz w:val="21"/>
          <w:szCs w:val="21"/>
          <w:highlight w:val="none"/>
          <w:u w:val="single"/>
          <w:lang w:eastAsia="zh-CN"/>
        </w:rPr>
        <w:t xml:space="preserve">及施工图纸</w:t>
      </w:r>
      <w:r>
        <w:rPr>
          <w:rFonts w:hint="eastAsia" w:ascii="宋体" w:hAnsi="宋体" w:eastAsia="宋体" w:cs="宋体"/>
          <w:sz w:val="21"/>
          <w:szCs w:val="21"/>
          <w:highlight w:val="none"/>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cs="Times New Roman"/>
          <w:bCs/>
          <w:sz w:val="21"/>
          <w:szCs w:val="21"/>
          <w:highlight w:val="none"/>
          <w:u w:val="single"/>
          <w:lang w:val="en-US" w:eastAsia="zh-CN"/>
        </w:rPr>
        <w:tab/>
      </w:r>
      <w:r>
        <w:rPr>
          <w:rFonts w:hint="eastAsia" w:cs="Times New Roman"/>
          <w:bCs/>
          <w:sz w:val="21"/>
          <w:szCs w:val="21"/>
          <w:highlight w:val="none"/>
          <w:u w:val="single"/>
          <w:lang w:val="en-US" w:eastAsia="zh-CN"/>
        </w:rPr>
        <w:tab/>
      </w:r>
      <w:r>
        <w:rPr>
          <w:rFonts w:hint="eastAsia" w:cs="Times New Roman"/>
          <w:bCs/>
          <w:sz w:val="21"/>
          <w:szCs w:val="21"/>
          <w:highlight w:val="none"/>
          <w:u w:val="single"/>
          <w:lang w:val="en-US" w:eastAsia="zh-CN"/>
        </w:rPr>
        <w:tab/>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69"/>
          <w:rFonts w:hint="eastAsia" w:cs="Times New Roman"/>
          <w:sz w:val="21"/>
          <w:szCs w:val="21"/>
          <w:highlight w:val="none"/>
          <w:lang w:val="en-US" w:eastAsia="zh-CN"/>
        </w:rPr>
        <w:t xml:space="preserve">谈判</w:t>
      </w:r>
      <w:r>
        <w:rPr>
          <w:rStyle w:val="869"/>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77"/>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77"/>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77"/>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127"/>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127"/>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部分 </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部分</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 专用合同条款</w:t>
      </w:r>
      <w:r/>
    </w:p>
    <w:p>
      <w:pPr>
        <w:ind w:firstLine="48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pStyle w:val="811"/>
        <w:pageBreakBefore w:val="0"/>
        <w:spacing w:before="0" w:after="0" w:line="360" w:lineRule="auto"/>
        <w:rPr>
          <w:rFonts w:hint="eastAsia" w:ascii="宋体" w:hAnsi="宋体" w:eastAsia="宋体" w:cs="宋体"/>
          <w:b/>
          <w:bCs w:val="0"/>
          <w:color w:val="auto"/>
          <w:sz w:val="21"/>
          <w:szCs w:val="21"/>
          <w:highlight w:val="none"/>
        </w:rPr>
      </w:pPr>
      <w:r/>
      <w:bookmarkStart w:id="199" w:name="_Toc351203633"/>
      <w:r>
        <w:rPr>
          <w:rFonts w:hint="eastAsia" w:ascii="宋体" w:hAnsi="宋体" w:eastAsia="宋体" w:cs="宋体"/>
          <w:b/>
          <w:bCs w:val="0"/>
          <w:color w:val="auto"/>
          <w:sz w:val="21"/>
          <w:szCs w:val="21"/>
          <w:highlight w:val="none"/>
        </w:rPr>
        <w:t xml:space="preserve">1</w:t>
      </w:r>
      <w:bookmarkStart w:id="200" w:name="_Toc296890984"/>
      <w:r/>
      <w:bookmarkStart w:id="201" w:name="_Toc296891196"/>
      <w:r/>
      <w:bookmarkStart w:id="202" w:name="_Toc292559361"/>
      <w:r/>
      <w:bookmarkStart w:id="203" w:name="_Toc296503156"/>
      <w:r/>
      <w:bookmarkStart w:id="204" w:name="_Toc297048342"/>
      <w:r/>
      <w:bookmarkStart w:id="205" w:name="_Toc297120456"/>
      <w:r/>
      <w:bookmarkStart w:id="206" w:name="_Toc292559866"/>
      <w:r/>
      <w:bookmarkStart w:id="207" w:name="_Toc296347155"/>
      <w:r/>
      <w:bookmarkStart w:id="208" w:name="_Toc296346657"/>
      <w:r/>
      <w:bookmarkStart w:id="209" w:name="_Toc296944495"/>
      <w:r>
        <w:rPr>
          <w:rFonts w:hint="eastAsia" w:ascii="宋体" w:hAnsi="宋体" w:eastAsia="宋体" w:cs="宋体"/>
          <w:b/>
          <w:bCs w:val="0"/>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1.1.1合同：合同协议书、中标通知书（如果有）、投标函、专用合同条款及其附件、通用合同条款、技术标准和要求、图纸、已标价工程量清单或预算书以及其他合同文件。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招标文件、标准、规范及有关技术资料，合同履行中，发包人、承包人有关工程的洽商、变更等书面协议或文件视为本合同的组成部分。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临时设施及永久占地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596"/>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适用于合同的其他规范性文件：《中华人民共和国建筑法》、《中华人民共和国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详见设计文件。同类标准中若国家有新颁布实施的，按新标准执行。当对同一问题颁布的标准、规范以及合同文件要求产生不一致时，以要求严格者为准。</w:t>
      </w:r>
      <w:r/>
    </w:p>
    <w:p>
      <w:pPr>
        <w:ind w:firstLine="420"/>
        <w:pageBreakBefore w:val="0"/>
        <w:spacing w:line="360" w:lineRule="auto"/>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（1）合同协议书；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（2）中标通知书（如果有）；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（4）投标函及其附录（如果有）；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（5）专用合同条款及其附件；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（6）通用合同条款；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（7）技术标准和要求；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（8）图纸；</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（9）已标价工程量清单或预算书；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合同协议书签订后3天内；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开工前提供全套施工图纸4套，若承包人需增加图纸份数，经发包人同意后由承包人复制，费用由承包人承担。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63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书面文件</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收到书面文件后7日内。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承包人应在施工现场保留一套完整图纸，供工程师及有关人员进行工程检查时使用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项目所在地发包人项目部或项目所在地监理人办公室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0" w:name="_Toc303539100"/>
      <w:r/>
      <w:bookmarkStart w:id="211" w:name="_Toc318581155"/>
      <w:r/>
      <w:bookmarkStart w:id="212" w:name="_Toc300934943"/>
      <w:r/>
      <w:bookmarkStart w:id="213" w:name="_Toc304295521"/>
      <w:r/>
      <w:bookmarkStart w:id="214" w:name="_Toc312677986"/>
      <w:r>
        <w:rPr>
          <w:rFonts w:hint="eastAsia" w:ascii="宋体" w:hAnsi="宋体" w:eastAsia="宋体" w:cs="宋体"/>
          <w:color w:val="auto"/>
          <w:sz w:val="21"/>
          <w:szCs w:val="21"/>
          <w:highlight w:val="none"/>
        </w:rPr>
        <w:t xml:space="preserve">.10.1 出入现场的权利</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由承包人统一管理</w:t>
      </w:r>
      <w:r>
        <w:rPr>
          <w:rFonts w:hint="eastAsia" w:ascii="宋体" w:hAnsi="宋体" w:eastAsia="宋体" w:cs="宋体"/>
          <w:color w:val="auto"/>
          <w:sz w:val="21"/>
          <w:szCs w:val="21"/>
          <w:highlight w:val="none"/>
        </w:rPr>
        <w:t xml:space="preserve">。</w:t>
      </w:r>
      <w:bookmarkEnd w:id="210"/>
      <w:r/>
      <w:bookmarkEnd w:id="211"/>
      <w:r/>
      <w:bookmarkEnd w:id="212"/>
      <w:r/>
      <w:bookmarkEnd w:id="213"/>
      <w:r/>
      <w:bookmarkEnd w:id="214"/>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5" w:name="_Toc304295522"/>
      <w:r/>
      <w:bookmarkStart w:id="216" w:name="_Toc300934944"/>
      <w:r/>
      <w:bookmarkStart w:id="217" w:name="_Toc318581156"/>
      <w:r/>
      <w:bookmarkStart w:id="218" w:name="_Toc303539101"/>
      <w:r/>
      <w:bookmarkStart w:id="219" w:name="_Toc312677987"/>
      <w:r>
        <w:rPr>
          <w:rFonts w:hint="eastAsia" w:ascii="宋体" w:hAnsi="宋体" w:eastAsia="宋体" w:cs="宋体"/>
          <w:color w:val="auto"/>
          <w:sz w:val="21"/>
          <w:szCs w:val="21"/>
          <w:highlight w:val="none"/>
        </w:rPr>
        <w:t xml:space="preserve">.10.3 场内交通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根据现场实际情况而定。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w:t>
      </w:r>
      <w:r>
        <w:rPr>
          <w:rFonts w:hint="eastAsia" w:ascii="宋体" w:hAnsi="宋体" w:eastAsia="宋体" w:cs="宋体"/>
          <w:color w:val="auto"/>
          <w:sz w:val="21"/>
          <w:szCs w:val="21"/>
          <w:highlight w:val="none"/>
          <w:u w:val="single"/>
        </w:rPr>
        <w:t xml:space="preserve">现状</w:t>
      </w:r>
      <w:r>
        <w:rPr>
          <w:rFonts w:hint="eastAsia" w:ascii="宋体" w:hAnsi="宋体" w:eastAsia="宋体" w:cs="宋体"/>
          <w:color w:val="auto"/>
          <w:sz w:val="21"/>
          <w:szCs w:val="21"/>
          <w:highlight w:val="none"/>
        </w:rPr>
        <w:t xml:space="preserve">。</w:t>
      </w:r>
      <w:bookmarkEnd w:id="215"/>
      <w:r/>
      <w:bookmarkEnd w:id="216"/>
      <w:r/>
      <w:bookmarkEnd w:id="217"/>
      <w:r/>
      <w:bookmarkEnd w:id="218"/>
      <w:r/>
      <w:bookmarkEnd w:id="219"/>
      <w:r>
        <w:rPr>
          <w:rFonts w:hint="eastAsia" w:ascii="宋体" w:hAnsi="宋体" w:eastAsia="宋体" w:cs="宋体"/>
          <w:color w:val="auto"/>
          <w:sz w:val="21"/>
          <w:szCs w:val="21"/>
          <w:highlight w:val="none"/>
        </w:rPr>
        <w:t xml:space="preserve">  </w:t>
      </w:r>
      <w:bookmarkStart w:id="220" w:name="_Toc31858115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w:t>
      </w:r>
      <w:r>
        <w:rPr>
          <w:rFonts w:hint="eastAsia" w:ascii="宋体" w:hAnsi="宋体" w:eastAsia="宋体" w:cs="宋体"/>
          <w:color w:val="auto"/>
          <w:sz w:val="21"/>
          <w:szCs w:val="21"/>
          <w:highlight w:val="none"/>
        </w:rPr>
        <w:t xml:space="preserve">承担。</w:t>
      </w:r>
      <w:bookmarkEnd w:id="220"/>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由承包人承担，结算时不予调整，已含在合同价中。</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调整合同价款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书面上报发包人，由发包人确认后方可调整</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工程量按实际完成量进行计量，综合单价不调整。</w:t>
      </w:r>
      <w:r/>
    </w:p>
    <w:p>
      <w:pPr>
        <w:pStyle w:val="811"/>
        <w:pageBreakBefore w:val="0"/>
        <w:spacing w:before="0" w:after="0" w:line="360" w:lineRule="auto"/>
        <w:rPr>
          <w:rFonts w:hint="eastAsia" w:ascii="宋体" w:hAnsi="宋体" w:eastAsia="宋体" w:cs="宋体"/>
          <w:b/>
          <w:bCs w:val="0"/>
          <w:color w:val="auto"/>
          <w:sz w:val="21"/>
          <w:szCs w:val="21"/>
          <w:highlight w:val="none"/>
        </w:rPr>
      </w:pPr>
      <w:r/>
      <w:bookmarkStart w:id="221" w:name="_Toc351203634"/>
      <w:r>
        <w:rPr>
          <w:rFonts w:hint="eastAsia" w:ascii="宋体" w:hAnsi="宋体" w:eastAsia="宋体" w:cs="宋体"/>
          <w:b/>
          <w:bCs w:val="0"/>
          <w:color w:val="auto"/>
          <w:sz w:val="21"/>
          <w:szCs w:val="21"/>
          <w:highlight w:val="none"/>
        </w:rPr>
        <w:t xml:space="preserve">2</w:t>
      </w:r>
      <w:bookmarkStart w:id="222" w:name="_Toc296347156"/>
      <w:r/>
      <w:bookmarkStart w:id="223" w:name="_Toc292559867"/>
      <w:r/>
      <w:bookmarkStart w:id="224" w:name="_Toc297048343"/>
      <w:r/>
      <w:bookmarkStart w:id="225" w:name="_Toc296890985"/>
      <w:r/>
      <w:bookmarkStart w:id="226" w:name="_Toc296503157"/>
      <w:r/>
      <w:bookmarkStart w:id="227" w:name="_Toc296346658"/>
      <w:r/>
      <w:bookmarkStart w:id="228" w:name="_Toc296891197"/>
      <w:r/>
      <w:bookmarkStart w:id="229" w:name="_Toc292559362"/>
      <w:r/>
      <w:bookmarkStart w:id="230" w:name="_Toc296944496"/>
      <w:r/>
      <w:bookmarkStart w:id="231" w:name="_Toc297120457"/>
      <w:r>
        <w:rPr>
          <w:rFonts w:hint="eastAsia" w:ascii="宋体" w:hAnsi="宋体" w:eastAsia="宋体" w:cs="宋体"/>
          <w:b/>
          <w:bCs w:val="0"/>
          <w:color w:val="auto"/>
          <w:sz w:val="21"/>
          <w:szCs w:val="21"/>
          <w:highlight w:val="none"/>
        </w:rPr>
        <w:t xml:space="preserve">. 发包人</w:t>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已具备</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发包人不提供水、电源，相关费用由承包人自理  。</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24"/>
        <w:ind w:firstLine="482"/>
        <w:keepLines/>
        <w:keepNext/>
        <w:pageBreakBefore w:val="0"/>
        <w:spacing w:before="0" w:after="0" w:line="360" w:lineRule="auto"/>
        <w:widowControl w:val="off"/>
        <w:rPr>
          <w:rFonts w:hint="eastAsia" w:ascii="宋体" w:hAnsi="宋体" w:eastAsia="宋体" w:cs="宋体"/>
          <w:color w:val="000000"/>
          <w:sz w:val="21"/>
          <w:szCs w:val="21"/>
          <w:highlight w:val="none"/>
        </w:rPr>
      </w:pPr>
      <w:r/>
      <w:bookmarkStart w:id="232" w:name="_Toc351203635"/>
      <w:r/>
      <w:bookmarkStart w:id="233" w:name="_Toc351203636"/>
      <w:r>
        <w:rPr>
          <w:rFonts w:hint="eastAsia" w:ascii="宋体" w:hAnsi="宋体" w:eastAsia="宋体" w:cs="宋体"/>
          <w:color w:val="000000"/>
          <w:sz w:val="21"/>
          <w:szCs w:val="21"/>
          <w:highlight w:val="none"/>
        </w:rPr>
        <w:t xml:space="preserve">3</w:t>
      </w:r>
      <w:bookmarkStart w:id="234" w:name="_Toc292559363"/>
      <w:r/>
      <w:bookmarkStart w:id="235" w:name="_Toc292559868"/>
      <w:r/>
      <w:bookmarkStart w:id="236" w:name="_Toc297048344"/>
      <w:r/>
      <w:bookmarkStart w:id="237" w:name="_Toc296890986"/>
      <w:r/>
      <w:bookmarkStart w:id="238" w:name="_Toc297120458"/>
      <w:r/>
      <w:bookmarkStart w:id="239" w:name="_Toc296346659"/>
      <w:r/>
      <w:bookmarkStart w:id="240" w:name="_Toc296944497"/>
      <w:r/>
      <w:bookmarkStart w:id="241" w:name="_Toc296891198"/>
      <w:r/>
      <w:bookmarkStart w:id="242" w:name="_Toc296347157"/>
      <w:r/>
      <w:bookmarkStart w:id="243" w:name="_Toc296503158"/>
      <w:r>
        <w:rPr>
          <w:rFonts w:hint="eastAsia" w:ascii="宋体" w:hAnsi="宋体" w:eastAsia="宋体" w:cs="宋体"/>
          <w:color w:val="000000"/>
          <w:sz w:val="21"/>
          <w:szCs w:val="21"/>
          <w:highlight w:val="none"/>
        </w:rPr>
        <w:t xml:space="preserve">. 承包人</w:t>
      </w:r>
      <w:bookmarkEnd w:id="232"/>
      <w:r/>
      <w:bookmarkEnd w:id="234"/>
      <w:r/>
      <w:bookmarkEnd w:id="235"/>
      <w:r/>
      <w:bookmarkEnd w:id="236"/>
      <w:r/>
      <w:bookmarkEnd w:id="237"/>
      <w:r/>
      <w:bookmarkEnd w:id="238"/>
      <w:r/>
      <w:bookmarkEnd w:id="239"/>
      <w:r/>
      <w:bookmarkEnd w:id="240"/>
      <w:r/>
      <w:bookmarkEnd w:id="241"/>
      <w:r/>
      <w:bookmarkEnd w:id="242"/>
      <w:r/>
      <w:bookmarkEnd w:id="243"/>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承包人的一般义务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⑴需由设计资质等级和业务范围允许的承包人完成的设计文件提交时间：</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含工程变更及签证预算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、乙购材料清单、材料进场计划、劳动力及用款计划等资料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总进度计划要以横道图和网络图两种形式提供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⑶承担施工安全保卫工作及非夜间施工照明的责任和要求：</w:t>
      </w:r>
      <w:r>
        <w:rPr>
          <w:rFonts w:hint="eastAsia" w:ascii="宋体" w:hAnsi="宋体" w:eastAsia="宋体" w:cs="宋体"/>
          <w:color w:val="000000"/>
          <w:sz w:val="21"/>
          <w:szCs w:val="21"/>
          <w:highlight w:val="none"/>
          <w:u w:val="single"/>
        </w:rPr>
        <w:t xml:space="preserve">安全保卫工作由承包人负责实施，费用自理；非夜间照明由承包人负责，费用自理</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pacing w:val="4"/>
          <w:sz w:val="21"/>
          <w:szCs w:val="21"/>
          <w:highlight w:val="none"/>
          <w:u w:val="single"/>
        </w:rPr>
      </w:pPr>
      <w:r>
        <w:rPr>
          <w:rFonts w:hint="eastAsia" w:ascii="宋体" w:hAnsi="宋体" w:eastAsia="宋体" w:cs="宋体"/>
          <w:color w:val="000000"/>
          <w:sz w:val="21"/>
          <w:szCs w:val="21"/>
          <w:highlight w:val="none"/>
        </w:rPr>
        <w:t xml:space="preserve">⑷向发包人提供的办公和生活房屋及设施的要求：</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根据现场情况定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⑸需承包人办理的有关施工场地交通、环卫和施工噪音管理等手续：</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⑹已完工程成品保护的特殊要求及费用承担：</w:t>
      </w:r>
      <w:r>
        <w:rPr>
          <w:rFonts w:hint="eastAsia" w:ascii="宋体" w:hAnsi="宋体" w:eastAsia="宋体" w:cs="宋体"/>
          <w:color w:val="000000"/>
          <w:sz w:val="21"/>
          <w:szCs w:val="21"/>
          <w:highlight w:val="none"/>
          <w:u w:val="single"/>
        </w:rPr>
        <w:t xml:space="preserve">承包人必须保证安全文明施工，对已完成工程进行成品保护，因承包方原因造成破坏的，承包方必须无条件及时修复，并承担由此发生的全部费用和责任</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⑺施工场地周围地下管线和邻近建筑物、构筑物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含文物保护建筑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、古树名木的保护要求及费用承担：</w:t>
      </w:r>
      <w:r>
        <w:rPr>
          <w:rFonts w:hint="eastAsia" w:ascii="宋体" w:hAnsi="宋体" w:eastAsia="宋体" w:cs="宋体"/>
          <w:color w:val="000000"/>
          <w:sz w:val="21"/>
          <w:szCs w:val="21"/>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⑻施工场地清洁卫生的要求：</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⑼双方约定承包人应做的其他工作：</w:t>
      </w:r>
      <w:r>
        <w:rPr>
          <w:rFonts w:hint="eastAsia" w:ascii="宋体" w:hAnsi="宋体" w:eastAsia="宋体" w:cs="宋体"/>
          <w:color w:val="000000"/>
          <w:sz w:val="21"/>
          <w:szCs w:val="21"/>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u w:val="single"/>
        </w:rPr>
        <w:t xml:space="preserve">1、竣工资料符合连云港市城建档案局关于档案资料的要求；2、准时参加监理组织的每周工程例会和专题会议；3、其它事宜由双方协商另定。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sz w:val="21"/>
          <w:szCs w:val="21"/>
          <w:highlight w:val="none"/>
        </w:rPr>
        <w:t xml:space="preserve">。 </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发包人每发现一次项目经理擅自离开施工现场的，承包人</w:t>
      </w:r>
      <w:r>
        <w:rPr>
          <w:rFonts w:hint="eastAsia" w:ascii="宋体" w:hAnsi="宋体" w:eastAsia="宋体" w:cs="宋体"/>
          <w:b/>
          <w:color w:val="000000"/>
          <w:sz w:val="21"/>
          <w:szCs w:val="21"/>
          <w:highlight w:val="none"/>
          <w:u w:val="single"/>
        </w:rPr>
        <w:t xml:space="preserve">向发包人支付违约金</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rPr>
        <w:t xml:space="preserve">000元，</w:t>
      </w:r>
      <w:r>
        <w:rPr>
          <w:rFonts w:hint="eastAsia" w:ascii="宋体" w:hAnsi="宋体" w:eastAsia="宋体" w:cs="宋体"/>
          <w:color w:val="000000"/>
          <w:sz w:val="21"/>
          <w:szCs w:val="21"/>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承包人擅自更换项目经理的违约责任：</w:t>
      </w:r>
      <w:r>
        <w:rPr>
          <w:rFonts w:hint="eastAsia" w:ascii="宋体" w:hAnsi="宋体" w:eastAsia="宋体" w:cs="宋体"/>
          <w:color w:val="000000"/>
          <w:sz w:val="21"/>
          <w:szCs w:val="21"/>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3.2.3承包人无正当理由拒绝更换项目经理的违约责任：</w:t>
      </w:r>
      <w:r>
        <w:rPr>
          <w:rFonts w:hint="eastAsia" w:ascii="宋体" w:hAnsi="宋体" w:eastAsia="宋体" w:cs="宋体"/>
          <w:color w:val="000000"/>
          <w:sz w:val="21"/>
          <w:szCs w:val="21"/>
          <w:highlight w:val="none"/>
          <w:u w:val="single"/>
        </w:rPr>
        <w:t xml:space="preserve">扣除承包人的全部质保金并解除施工合同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 接到开工令3天内</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3.3.2 承包人无正当理由拒绝撤换主要施工管理人员的违约责任：</w:t>
      </w:r>
      <w:r>
        <w:rPr>
          <w:rFonts w:hint="eastAsia" w:ascii="宋体" w:hAnsi="宋体" w:eastAsia="宋体" w:cs="宋体"/>
          <w:color w:val="000000"/>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color w:val="000000"/>
          <w:sz w:val="21"/>
          <w:szCs w:val="21"/>
          <w:highlight w:val="none"/>
          <w:u w:val="single"/>
          <w:lang w:val="en-US" w:eastAsia="zh-CN"/>
        </w:rPr>
        <w:t xml:space="preserve">500</w:t>
      </w:r>
      <w:r>
        <w:rPr>
          <w:rFonts w:hint="eastAsia" w:ascii="宋体" w:hAnsi="宋体" w:eastAsia="宋体" w:cs="宋体"/>
          <w:color w:val="000000"/>
          <w:sz w:val="21"/>
          <w:szCs w:val="21"/>
          <w:highlight w:val="none"/>
          <w:u w:val="single"/>
        </w:rPr>
        <w:t xml:space="preserve">元/人。</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承包人主要施工管理人员离开施工现场的批准要求：</w:t>
      </w:r>
      <w:r>
        <w:rPr>
          <w:rFonts w:hint="eastAsia" w:ascii="宋体" w:hAnsi="宋体" w:eastAsia="宋体" w:cs="宋体"/>
          <w:color w:val="000000"/>
          <w:sz w:val="21"/>
          <w:szCs w:val="21"/>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color w:val="000000"/>
          <w:sz w:val="21"/>
          <w:szCs w:val="21"/>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44" w:name="_Toc292559364"/>
      <w:r/>
      <w:bookmarkStart w:id="245" w:name="_Toc296503159"/>
      <w:r/>
      <w:bookmarkStart w:id="246" w:name="_Toc296347158"/>
      <w:r/>
      <w:bookmarkStart w:id="247" w:name="_Toc312677988"/>
      <w:r/>
      <w:bookmarkStart w:id="248" w:name="_Toc304295523"/>
      <w:r/>
      <w:bookmarkStart w:id="249" w:name="_Toc297048345"/>
      <w:r/>
      <w:bookmarkStart w:id="250" w:name="_Toc303539102"/>
      <w:r/>
      <w:bookmarkStart w:id="251" w:name="_Toc296346660"/>
      <w:r/>
      <w:bookmarkStart w:id="252" w:name="_Toc297123492"/>
      <w:r/>
      <w:bookmarkStart w:id="253" w:name="_Toc296890987"/>
      <w:r/>
      <w:bookmarkStart w:id="254" w:name="_Toc296944498"/>
      <w:r/>
      <w:bookmarkStart w:id="255" w:name="_Toc297120459"/>
      <w:r/>
      <w:bookmarkStart w:id="256" w:name="_Toc292559869"/>
      <w:r/>
      <w:bookmarkStart w:id="257" w:name="_Toc296891199"/>
      <w:r/>
      <w:bookmarkStart w:id="258" w:name="_Toc297216151"/>
      <w:r/>
      <w:bookmarkStart w:id="259" w:name="_Toc300934945"/>
      <w:r>
        <w:rPr>
          <w:rFonts w:hint="eastAsia" w:ascii="宋体" w:hAnsi="宋体" w:eastAsia="宋体" w:cs="宋体"/>
          <w:color w:val="000000"/>
          <w:sz w:val="21"/>
          <w:szCs w:val="21"/>
          <w:highlight w:val="none"/>
        </w:rPr>
        <w:t xml:space="preserve">.4 分包</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60" w:name="_Toc297048346"/>
      <w:r/>
      <w:bookmarkStart w:id="261" w:name="_Toc296503160"/>
      <w:r/>
      <w:bookmarkStart w:id="262" w:name="_Toc296891200"/>
      <w:r/>
      <w:bookmarkStart w:id="263" w:name="_Toc297216152"/>
      <w:r/>
      <w:bookmarkStart w:id="264" w:name="_Toc292559870"/>
      <w:r/>
      <w:bookmarkStart w:id="265" w:name="_Toc318581158"/>
      <w:r/>
      <w:bookmarkStart w:id="266" w:name="_Toc312677989"/>
      <w:r/>
      <w:bookmarkStart w:id="267" w:name="_Toc296346661"/>
      <w:r/>
      <w:bookmarkStart w:id="268" w:name="_Toc292559365"/>
      <w:r/>
      <w:bookmarkStart w:id="269" w:name="_Toc297120460"/>
      <w:r/>
      <w:bookmarkStart w:id="270" w:name="_Toc303539103"/>
      <w:r/>
      <w:bookmarkStart w:id="271" w:name="_Toc297123493"/>
      <w:r/>
      <w:bookmarkStart w:id="272" w:name="_Toc296944499"/>
      <w:r/>
      <w:bookmarkStart w:id="273" w:name="_Toc296890988"/>
      <w:r/>
      <w:bookmarkStart w:id="274" w:name="_Toc304295524"/>
      <w:r/>
      <w:bookmarkStart w:id="275" w:name="_Toc296347159"/>
      <w:r/>
      <w:bookmarkStart w:id="276" w:name="_Toc300934946"/>
      <w:r>
        <w:rPr>
          <w:rFonts w:hint="eastAsia" w:ascii="宋体" w:hAnsi="宋体" w:eastAsia="宋体" w:cs="宋体"/>
          <w:color w:val="000000"/>
          <w:sz w:val="21"/>
          <w:szCs w:val="21"/>
          <w:highlight w:val="none"/>
        </w:rPr>
        <w:t xml:space="preserve">.4.1 分包的一般约定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000000"/>
          <w:sz w:val="21"/>
          <w:szCs w:val="21"/>
          <w:highlight w:val="none"/>
          <w:u w:val="single"/>
          <w:lang w:eastAsia="zh-CN"/>
        </w:rPr>
        <w:t xml:space="preserve">终</w:t>
      </w:r>
      <w:r>
        <w:rPr>
          <w:rFonts w:hint="eastAsia" w:ascii="宋体" w:hAnsi="宋体" w:eastAsia="宋体" w:cs="宋体"/>
          <w:color w:val="000000"/>
          <w:sz w:val="21"/>
          <w:szCs w:val="21"/>
          <w:highlight w:val="none"/>
          <w:u w:val="single"/>
        </w:rPr>
        <w:t xml:space="preserve">止合同，承包方并负违约责任。</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Start w:id="277" w:name="_Toc296891201"/>
      <w:r/>
      <w:bookmarkEnd w:id="277"/>
      <w:r/>
      <w:bookmarkStart w:id="278" w:name="_Toc303539104"/>
      <w:r/>
      <w:bookmarkEnd w:id="278"/>
      <w:r/>
      <w:bookmarkStart w:id="279" w:name="_Toc304295525"/>
      <w:r/>
      <w:bookmarkEnd w:id="279"/>
      <w:r/>
      <w:bookmarkStart w:id="280" w:name="_Toc297120461"/>
      <w:r/>
      <w:bookmarkEnd w:id="280"/>
      <w:r/>
      <w:bookmarkStart w:id="281" w:name="_Toc296346662"/>
      <w:r/>
      <w:bookmarkEnd w:id="281"/>
      <w:r/>
      <w:bookmarkStart w:id="282" w:name="_Toc296944500"/>
      <w:r/>
      <w:bookmarkEnd w:id="282"/>
      <w:r/>
      <w:bookmarkStart w:id="283" w:name="_Toc300934947"/>
      <w:r/>
      <w:bookmarkEnd w:id="283"/>
      <w:r/>
      <w:bookmarkStart w:id="284" w:name="_Toc296347160"/>
      <w:r/>
      <w:bookmarkEnd w:id="284"/>
      <w:r/>
      <w:bookmarkStart w:id="285" w:name="_Toc297216153"/>
      <w:r/>
      <w:bookmarkEnd w:id="285"/>
      <w:r/>
      <w:bookmarkStart w:id="286" w:name="_Toc296890989"/>
      <w:r/>
      <w:bookmarkEnd w:id="286"/>
      <w:r/>
      <w:bookmarkStart w:id="287" w:name="_Toc297048347"/>
      <w:r/>
      <w:bookmarkEnd w:id="287"/>
      <w:r/>
      <w:bookmarkStart w:id="288" w:name="_Toc296503161"/>
      <w:r/>
      <w:bookmarkEnd w:id="288"/>
      <w:r/>
      <w:bookmarkStart w:id="289" w:name="_Toc297123494"/>
      <w:r/>
      <w:bookmarkEnd w:id="28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90" w:name="_Toc318581159"/>
      <w:r/>
      <w:bookmarkStart w:id="291" w:name="_Toc312677990"/>
      <w:r>
        <w:rPr>
          <w:rFonts w:hint="eastAsia" w:ascii="宋体" w:hAnsi="宋体" w:eastAsia="宋体" w:cs="宋体"/>
          <w:color w:val="000000"/>
          <w:sz w:val="21"/>
          <w:szCs w:val="21"/>
          <w:highlight w:val="none"/>
        </w:rPr>
        <w:t xml:space="preserve">.4.2分包的确定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招标人有权决定分包内容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 分包合同价款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90"/>
      <w:r/>
      <w:bookmarkEnd w:id="291"/>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履约担保</w:t>
      </w:r>
      <w:r/>
    </w:p>
    <w:p>
      <w:pPr>
        <w:ind w:firstLine="48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承包人是否提</w:t>
      </w:r>
      <w:r>
        <w:rPr>
          <w:rFonts w:hint="eastAsia" w:ascii="宋体" w:hAnsi="宋体" w:eastAsia="宋体" w:cs="宋体"/>
          <w:color w:val="000000"/>
          <w:sz w:val="21"/>
          <w:szCs w:val="21"/>
          <w:highlight w:val="none"/>
          <w:lang w:val="en-US" w:eastAsia="zh-CN"/>
        </w:rPr>
        <w:t xml:space="preserve">供履约担保：</w:t>
      </w:r>
      <w:r>
        <w:rPr>
          <w:rFonts w:hint="eastAsia" w:ascii="宋体" w:hAnsi="宋体" w:eastAsia="宋体" w:cs="宋体"/>
          <w:color w:val="000000"/>
          <w:sz w:val="21"/>
          <w:szCs w:val="21"/>
          <w:highlight w:val="none"/>
          <w:u w:val="single"/>
          <w:lang w:val="en-US" w:eastAsia="zh-CN"/>
        </w:rPr>
        <w:t xml:space="preserve">是；</w:t>
      </w:r>
      <w:r/>
    </w:p>
    <w:p>
      <w:pPr>
        <w:ind w:firstLine="48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履约保证金的形式:</w:t>
      </w:r>
      <w:r>
        <w:rPr>
          <w:rFonts w:hint="eastAsia" w:ascii="宋体" w:hAnsi="宋体" w:eastAsia="宋体" w:cs="宋体"/>
          <w:color w:val="000000"/>
          <w:sz w:val="21"/>
          <w:szCs w:val="21"/>
          <w:highlight w:val="none"/>
          <w:u w:val="single"/>
          <w:lang w:val="en-US" w:eastAsia="zh-CN"/>
        </w:rPr>
        <w:t xml:space="preserve">支票、汇票、本票或者金融机构、担保机构出具的保函（保险）等非现金形式提交。(承包人可自愿使用履约保函(保险)代替交纳履约保证金，详情请见《关于在全省政府采购领域推行电子履约保函(保险)的通知》(苏财购(2023)150号)规定)。</w:t>
      </w:r>
      <w:r/>
    </w:p>
    <w:p>
      <w:pPr>
        <w:ind w:firstLine="48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履约担保的金额：</w:t>
      </w:r>
      <w:r>
        <w:rPr>
          <w:rFonts w:hint="eastAsia" w:ascii="宋体" w:hAnsi="宋体" w:eastAsia="宋体" w:cs="宋体"/>
          <w:color w:val="000000"/>
          <w:sz w:val="21"/>
          <w:szCs w:val="21"/>
          <w:highlight w:val="none"/>
          <w:u w:val="single"/>
          <w:lang w:val="en-US" w:eastAsia="zh-CN"/>
        </w:rPr>
        <w:t xml:space="preserve">签约合同价的10%；承包人必须在中标结果公告发出之日起7日内，向发包人提交合同价10%的履约担保，否则发包人可以取消其中标资格。</w:t>
      </w:r>
      <w:r/>
    </w:p>
    <w:p>
      <w:pPr>
        <w:ind w:firstLine="48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承包人违约的，发包人将按照合同约定扣除其全部或部分履约保证金。如承包人违约给发包人造成的损失超过履约保证金的，应当依法赔偿超过部分的损失。</w:t>
      </w:r>
      <w:r/>
    </w:p>
    <w:p>
      <w:pPr>
        <w:ind w:firstLine="48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履约保证金自合同生效之日起至合同约定的承包人主要义务履行完毕止，发包人应当按合同约定及时退还履约保证金。</w:t>
      </w:r>
      <w:r/>
    </w:p>
    <w:p>
      <w:pPr>
        <w:ind w:firstLine="48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逾期退还履约保证金的发包人承担违约责任，按照中国人民银行同期贷款基准利率向成交供应商支付超期资金占用费。</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bookmarkStart w:id="292" w:name="_Toc296891202"/>
      <w:r/>
      <w:bookmarkStart w:id="293" w:name="_Toc292559366"/>
      <w:r/>
      <w:bookmarkStart w:id="294" w:name="_Toc296347161"/>
      <w:r/>
      <w:bookmarkStart w:id="295" w:name="_Toc297120462"/>
      <w:r/>
      <w:bookmarkStart w:id="296" w:name="_Toc292559871"/>
      <w:r/>
      <w:bookmarkStart w:id="297" w:name="_Toc297048348"/>
      <w:r/>
      <w:bookmarkStart w:id="298" w:name="_Toc267251413"/>
      <w:r/>
      <w:bookmarkStart w:id="299" w:name="_Toc296503162"/>
      <w:r/>
      <w:bookmarkStart w:id="300" w:name="_Toc296944501"/>
      <w:r/>
      <w:bookmarkStart w:id="301" w:name="_Toc296346663"/>
      <w:r/>
      <w:bookmarkStart w:id="302" w:name="_Toc296890990"/>
      <w:r>
        <w:rPr>
          <w:rFonts w:hint="eastAsia" w:ascii="宋体" w:hAnsi="宋体" w:eastAsia="宋体" w:cs="宋体"/>
          <w:b/>
          <w:bCs/>
          <w:color w:val="auto"/>
          <w:sz w:val="21"/>
          <w:szCs w:val="21"/>
          <w:highlight w:val="none"/>
        </w:rPr>
        <w:t xml:space="preserve">. 监</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b/>
          <w:bCs/>
          <w:color w:val="auto"/>
          <w:sz w:val="21"/>
          <w:szCs w:val="21"/>
          <w:highlight w:val="none"/>
        </w:rPr>
        <w:t xml:space="preserve">理人</w:t>
      </w:r>
      <w:bookmarkEnd w:id="23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施工及保修阶段的“三控”“三管”及“组织协调”全部内容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停工、复工令、重大协调事项及有关设计变更的确认，工程价款的调整报告、工程款支付、施工进度的提前或顺延。</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提供办公场所、办公桌椅，其余自理。  </w:t>
      </w:r>
      <w:bookmarkStart w:id="303" w:name="_Toc267251418"/>
      <w:r/>
      <w:bookmarkStart w:id="304" w:name="_Toc351203637"/>
      <w:r/>
      <w:r/>
    </w:p>
    <w:p>
      <w:pPr>
        <w:ind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w:t>
      </w:r>
      <w:bookmarkEnd w:id="303"/>
      <w:r/>
      <w:bookmarkStart w:id="305" w:name="_Toc297120463"/>
      <w:r/>
      <w:bookmarkStart w:id="306" w:name="_Toc296890991"/>
      <w:r/>
      <w:bookmarkStart w:id="307" w:name="_Toc296944502"/>
      <w:r/>
      <w:bookmarkStart w:id="308" w:name="_Toc296891203"/>
      <w:r/>
      <w:bookmarkStart w:id="309" w:name="_Toc296503163"/>
      <w:r/>
      <w:bookmarkStart w:id="310" w:name="_Toc296346664"/>
      <w:r/>
      <w:bookmarkStart w:id="311" w:name="_Toc297048349"/>
      <w:r/>
      <w:bookmarkStart w:id="312" w:name="_Toc292559367"/>
      <w:r/>
      <w:bookmarkStart w:id="313" w:name="_Toc292559872"/>
      <w:r/>
      <w:bookmarkStart w:id="314" w:name="_Toc296347162"/>
      <w:r>
        <w:rPr>
          <w:rFonts w:hint="eastAsia" w:ascii="宋体" w:hAnsi="宋体" w:eastAsia="宋体" w:cs="宋体"/>
          <w:b/>
          <w:color w:val="auto"/>
          <w:sz w:val="21"/>
          <w:szCs w:val="21"/>
          <w:highlight w:val="none"/>
        </w:rPr>
        <w:t xml:space="preserve">. 工程质量</w:t>
      </w:r>
      <w:bookmarkEnd w:id="304"/>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w:t>
      </w:r>
      <w:bookmarkStart w:id="315" w:name="_Toc300934949"/>
      <w:r/>
      <w:bookmarkStart w:id="316" w:name="_Toc303539106"/>
      <w:r/>
      <w:bookmarkStart w:id="317" w:name="_Toc312677997"/>
      <w:r/>
      <w:bookmarkStart w:id="318" w:name="_Toc297123496"/>
      <w:r/>
      <w:bookmarkStart w:id="319" w:name="_Toc318581164"/>
      <w:r/>
      <w:bookmarkStart w:id="320" w:name="_Toc297216155"/>
      <w:r/>
      <w:bookmarkStart w:id="321" w:name="_Toc30429552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承包人在检查前12小时以书面形式通知监理人。通知中应载明包括隐蔽检查的内容、时间和地点，并附有自检记录和必要的检查资料。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322" w:name="_Toc351203638"/>
      <w:r>
        <w:rPr>
          <w:rFonts w:hint="eastAsia" w:ascii="宋体" w:hAnsi="宋体" w:eastAsia="宋体" w:cs="宋体"/>
          <w:b w:val="0"/>
          <w:color w:val="auto"/>
          <w:sz w:val="21"/>
          <w:szCs w:val="21"/>
          <w:highlight w:val="none"/>
        </w:rPr>
        <w:t xml:space="preserve">6. 安全文明施工与环境保护</w:t>
      </w:r>
      <w:bookmarkEnd w:id="32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w:t>
      </w:r>
      <w:r>
        <w:rPr>
          <w:rFonts w:hint="eastAsia" w:ascii="宋体" w:hAnsi="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费支付比例和支付期限的约定：</w:t>
      </w:r>
      <w:r>
        <w:rPr>
          <w:rFonts w:hint="eastAsia" w:ascii="宋体" w:hAnsi="宋体" w:eastAsia="宋体" w:cs="宋体"/>
          <w:color w:val="auto"/>
          <w:sz w:val="21"/>
          <w:szCs w:val="21"/>
          <w:highlight w:val="none"/>
          <w:u w:val="single"/>
          <w:lang w:eastAsia="zh-CN"/>
        </w:rPr>
        <w:t xml:space="preserve">在预付款中</w:t>
      </w:r>
      <w:r>
        <w:rPr>
          <w:rFonts w:hint="eastAsia" w:ascii="宋体" w:hAnsi="宋体" w:eastAsia="宋体" w:cs="宋体"/>
          <w:color w:val="auto"/>
          <w:sz w:val="21"/>
          <w:szCs w:val="21"/>
          <w:highlight w:val="none"/>
          <w:u w:val="single"/>
        </w:rPr>
        <w:t xml:space="preserve">支付</w:t>
      </w:r>
      <w:r>
        <w:rPr>
          <w:rFonts w:hint="eastAsia" w:ascii="宋体" w:hAnsi="宋体" w:eastAsia="宋体" w:cs="宋体"/>
          <w:color w:val="auto"/>
          <w:sz w:val="21"/>
          <w:szCs w:val="21"/>
          <w:highlight w:val="none"/>
        </w:rPr>
        <w:t xml:space="preserve">。</w:t>
      </w:r>
      <w:bookmarkEnd w:id="315"/>
      <w:r/>
      <w:bookmarkEnd w:id="316"/>
      <w:r/>
      <w:bookmarkEnd w:id="317"/>
      <w:r/>
      <w:bookmarkEnd w:id="318"/>
      <w:r/>
      <w:bookmarkEnd w:id="319"/>
      <w:r/>
      <w:bookmarkEnd w:id="320"/>
      <w:r/>
      <w:bookmarkEnd w:id="321"/>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323" w:name="_Toc351203639"/>
      <w:r>
        <w:rPr>
          <w:rFonts w:hint="eastAsia" w:ascii="宋体" w:hAnsi="宋体" w:eastAsia="宋体" w:cs="宋体"/>
          <w:b w:val="0"/>
          <w:color w:val="auto"/>
          <w:sz w:val="21"/>
          <w:szCs w:val="21"/>
          <w:highlight w:val="none"/>
        </w:rPr>
        <w:t xml:space="preserve">7. 工期和进度</w:t>
      </w:r>
      <w:bookmarkEnd w:id="32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7.1.1 合同当事人约定的施工组织设计应包括的其他内容：</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施工组织总体设想、方案针对性及施工段划分；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充分考虑现场施工场地条件，做出合理的现场平面布置；</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施工进度计划和各阶段进度的保证措施；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分部分项工程的完整施工方案及质量保证措施；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安全文明施工及环境保护措施；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项目管理班子的人员配备、成本控制措施；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劳动力、机械设备和材料投入计划；</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关键施工技术、工艺及工程项目实施的重点、难点和解决方案；</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外部矛盾协调措施；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冬季、雨季施工，已有设施、管线的加固、成品保护等特殊情况下的施工措施。</w:t>
      </w:r>
      <w:r/>
    </w:p>
    <w:p>
      <w:pPr>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投标人应保证一旦中标，在施工组织设计中列明的人员应确保参加工程的实施，列明的机具应保证工程随时调用，否则承担违约责任。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合同签订后，开工前7天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收到后7天内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24" w:name="_Toc312677479"/>
      <w:r/>
      <w:bookmarkStart w:id="325" w:name="_Toc300934966"/>
      <w:r/>
      <w:bookmarkStart w:id="326" w:name="_Toc304295541"/>
      <w:r/>
      <w:bookmarkStart w:id="327" w:name="_Toc297216173"/>
      <w:r/>
      <w:bookmarkStart w:id="328" w:name="_Toc312678005"/>
      <w:r/>
      <w:bookmarkStart w:id="329" w:name="_Toc303539123"/>
      <w:r/>
      <w:bookmarkStart w:id="330" w:name="_Toc297123514"/>
      <w:r>
        <w:rPr>
          <w:rFonts w:hint="eastAsia" w:ascii="宋体" w:hAnsi="宋体" w:eastAsia="宋体" w:cs="宋体"/>
          <w:color w:val="auto"/>
          <w:sz w:val="21"/>
          <w:szCs w:val="21"/>
          <w:highlight w:val="none"/>
        </w:rPr>
        <w:t xml:space="preserve">.2 施工进度计划</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收到后7天内完成审核和批准或提出修改意见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合同签订后7日内   </w:t>
      </w:r>
      <w:r>
        <w:rPr>
          <w:rFonts w:hint="eastAsia" w:ascii="宋体" w:hAnsi="宋体" w:eastAsia="宋体" w:cs="宋体"/>
          <w:color w:val="auto"/>
          <w:sz w:val="21"/>
          <w:szCs w:val="21"/>
          <w:highlight w:val="none"/>
        </w:rPr>
        <w:t xml:space="preserve">。</w:t>
      </w:r>
      <w:r/>
    </w:p>
    <w:p>
      <w:pPr>
        <w:ind w:firstLine="64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324"/>
      <w:r/>
      <w:bookmarkEnd w:id="325"/>
      <w:r/>
      <w:bookmarkEnd w:id="326"/>
      <w:r/>
      <w:bookmarkEnd w:id="327"/>
      <w:r/>
      <w:bookmarkEnd w:id="328"/>
      <w:r/>
      <w:bookmarkEnd w:id="329"/>
      <w:r/>
      <w:bookmarkEnd w:id="33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开工日期前7天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1" w:name="_Toc297216175"/>
      <w:r/>
      <w:bookmarkStart w:id="332" w:name="_Toc300934968"/>
      <w:r/>
      <w:bookmarkStart w:id="333" w:name="_Toc312677484"/>
      <w:r/>
      <w:bookmarkStart w:id="334" w:name="_Toc304295546"/>
      <w:r/>
      <w:bookmarkStart w:id="335" w:name="_Toc303539125"/>
      <w:r/>
      <w:bookmarkStart w:id="336" w:name="_Toc297123516"/>
      <w:r/>
      <w:bookmarkStart w:id="337" w:name="_Toc312678010"/>
      <w:r>
        <w:rPr>
          <w:rFonts w:hint="eastAsia" w:ascii="宋体" w:hAnsi="宋体" w:eastAsia="宋体" w:cs="宋体"/>
          <w:color w:val="auto"/>
          <w:sz w:val="21"/>
          <w:szCs w:val="21"/>
          <w:highlight w:val="none"/>
        </w:rPr>
        <w:t xml:space="preserve">.5 工期延误</w:t>
      </w:r>
      <w:bookmarkEnd w:id="331"/>
      <w:r/>
      <w:bookmarkEnd w:id="332"/>
      <w:r/>
      <w:bookmarkEnd w:id="333"/>
      <w:r/>
      <w:bookmarkEnd w:id="334"/>
      <w:r/>
      <w:bookmarkEnd w:id="335"/>
      <w:r/>
      <w:bookmarkEnd w:id="336"/>
      <w:r/>
      <w:bookmarkEnd w:id="33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8" w:name="_Toc318581169"/>
      <w:r/>
      <w:bookmarkStart w:id="339" w:name="_Toc312677486"/>
      <w:r/>
      <w:bookmarkStart w:id="340" w:name="_Toc312678012"/>
      <w:r/>
      <w:bookmarkStart w:id="341" w:name="_Toc297216177"/>
      <w:r/>
      <w:bookmarkStart w:id="342" w:name="_Toc297123518"/>
      <w:r/>
      <w:bookmarkStart w:id="343" w:name="_Toc300934970"/>
      <w:r/>
      <w:bookmarkStart w:id="344" w:name="_Toc304295548"/>
      <w:r/>
      <w:bookmarkStart w:id="345" w:name="_Toc303539127"/>
      <w:r>
        <w:rPr>
          <w:rFonts w:hint="eastAsia" w:ascii="宋体" w:hAnsi="宋体" w:eastAsia="宋体" w:cs="宋体"/>
          <w:color w:val="auto"/>
          <w:sz w:val="21"/>
          <w:szCs w:val="21"/>
          <w:highlight w:val="none"/>
        </w:rPr>
        <w:t xml:space="preserve">.5.2 因承包人原因导致工期延误</w:t>
      </w:r>
      <w:bookmarkEnd w:id="338"/>
      <w:r/>
      <w:bookmarkEnd w:id="339"/>
      <w:r/>
      <w:bookmarkEnd w:id="340"/>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346" w:name="_Toc312677487"/>
      <w:r/>
      <w:bookmarkStart w:id="347" w:name="_Toc312678013"/>
      <w:r/>
      <w:bookmarkStart w:id="34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每延误一天，承包人赔偿给发包人合同价的千分之五违约金，误期赔偿费列入竣工结算文件中，在结算款中扣除  </w:t>
      </w:r>
      <w:r>
        <w:rPr>
          <w:rFonts w:hint="eastAsia" w:ascii="宋体" w:hAnsi="宋体" w:eastAsia="宋体" w:cs="宋体"/>
          <w:color w:val="auto"/>
          <w:sz w:val="21"/>
          <w:szCs w:val="21"/>
          <w:highlight w:val="none"/>
        </w:rPr>
        <w:t xml:space="preserve">。</w:t>
      </w:r>
      <w:bookmarkEnd w:id="341"/>
      <w:r/>
      <w:bookmarkEnd w:id="342"/>
      <w:r/>
      <w:bookmarkEnd w:id="343"/>
      <w:r/>
      <w:bookmarkEnd w:id="344"/>
      <w:r/>
      <w:bookmarkEnd w:id="345"/>
      <w:r/>
      <w:bookmarkEnd w:id="346"/>
      <w:r/>
      <w:bookmarkEnd w:id="347"/>
      <w:r/>
      <w:bookmarkEnd w:id="348"/>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因承包人原因造成工期延误，逾</w:t>
      </w:r>
      <w:bookmarkStart w:id="349" w:name="_Toc318581171"/>
      <w:r/>
      <w:bookmarkStart w:id="350"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签约合同价的3％  </w:t>
      </w:r>
      <w:r>
        <w:rPr>
          <w:rFonts w:hint="eastAsia" w:ascii="宋体" w:hAnsi="宋体" w:eastAsia="宋体" w:cs="宋体"/>
          <w:color w:val="auto"/>
          <w:sz w:val="21"/>
          <w:szCs w:val="21"/>
          <w:highlight w:val="none"/>
        </w:rPr>
        <w:t xml:space="preserve">。</w:t>
      </w:r>
      <w:bookmarkEnd w:id="349"/>
      <w:r/>
      <w:bookmarkEnd w:id="35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51" w:name="_Toc297216178"/>
      <w:r/>
      <w:bookmarkStart w:id="352" w:name="_Toc312678015"/>
      <w:r/>
      <w:bookmarkStart w:id="353" w:name="_Toc304295549"/>
      <w:r/>
      <w:bookmarkStart w:id="354" w:name="_Toc303539128"/>
      <w:r/>
      <w:bookmarkStart w:id="355" w:name="_Toc300934971"/>
      <w:r/>
      <w:bookmarkStart w:id="356" w:name="_Toc297123519"/>
      <w:r>
        <w:rPr>
          <w:rFonts w:hint="eastAsia" w:ascii="宋体" w:hAnsi="宋体" w:eastAsia="宋体" w:cs="宋体"/>
          <w:color w:val="auto"/>
          <w:sz w:val="21"/>
          <w:szCs w:val="21"/>
          <w:highlight w:val="none"/>
        </w:rPr>
        <w:t xml:space="preserve">.6 不</w:t>
      </w:r>
      <w:bookmarkEnd w:id="351"/>
      <w:r/>
      <w:bookmarkEnd w:id="352"/>
      <w:r/>
      <w:bookmarkEnd w:id="353"/>
      <w:r/>
      <w:bookmarkEnd w:id="354"/>
      <w:r/>
      <w:bookmarkEnd w:id="355"/>
      <w:r/>
      <w:bookmarkEnd w:id="356"/>
      <w:r>
        <w:rPr>
          <w:rFonts w:hint="eastAsia" w:ascii="宋体" w:hAnsi="宋体" w:eastAsia="宋体" w:cs="宋体"/>
          <w:color w:val="auto"/>
          <w:sz w:val="21"/>
          <w:szCs w:val="21"/>
          <w:highlight w:val="none"/>
        </w:rPr>
        <w:t xml:space="preserve">利物质条件</w:t>
      </w:r>
      <w:r/>
    </w:p>
    <w:p>
      <w:pPr>
        <w:ind w:firstLine="420"/>
        <w:jc w:val="left"/>
        <w:pageBreakBefore w:val="0"/>
        <w:spacing w:line="360" w:lineRule="auto"/>
        <w:rPr>
          <w:rFonts w:hint="eastAsia" w:ascii="宋体" w:hAnsi="宋体" w:eastAsia="宋体" w:cs="宋体"/>
          <w:color w:val="auto"/>
          <w:sz w:val="21"/>
          <w:szCs w:val="21"/>
          <w:highlight w:val="none"/>
        </w:rPr>
      </w:pPr>
      <w:r/>
      <w:bookmarkStart w:id="357" w:name="_Toc297123520"/>
      <w:r/>
      <w:bookmarkStart w:id="358" w:name="_Toc300934972"/>
      <w:r/>
      <w:bookmarkStart w:id="359" w:name="_Toc303539129"/>
      <w:r/>
      <w:bookmarkStart w:id="360" w:name="_Toc318581172"/>
      <w:r/>
      <w:bookmarkStart w:id="361" w:name="_Toc304295550"/>
      <w:r/>
      <w:bookmarkStart w:id="362" w:name="_Toc297216179"/>
      <w:r/>
      <w:bookmarkStart w:id="363" w:name="_Toc312678016"/>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1"/>
          <w:szCs w:val="21"/>
          <w:highlight w:val="none"/>
        </w:rPr>
        <w:t xml:space="preserve">。</w:t>
      </w:r>
      <w:bookmarkEnd w:id="357"/>
      <w:r/>
      <w:bookmarkEnd w:id="358"/>
      <w:r/>
      <w:bookmarkEnd w:id="359"/>
      <w:r/>
      <w:bookmarkEnd w:id="360"/>
      <w:r/>
      <w:bookmarkEnd w:id="361"/>
      <w:r/>
      <w:bookmarkEnd w:id="362"/>
      <w:r/>
      <w:bookmarkEnd w:id="3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64" w:name="_Toc300934973"/>
      <w:r/>
      <w:bookmarkStart w:id="365" w:name="_Toc312678017"/>
      <w:r/>
      <w:bookmarkStart w:id="366" w:name="_Toc304295551"/>
      <w:r/>
      <w:bookmarkStart w:id="367" w:name="_Toc297123521"/>
      <w:r/>
      <w:bookmarkStart w:id="368" w:name="_Toc303539130"/>
      <w:r/>
      <w:bookmarkStart w:id="369" w:name="_Toc297216180"/>
      <w:r>
        <w:rPr>
          <w:rFonts w:hint="eastAsia" w:ascii="宋体" w:hAnsi="宋体" w:eastAsia="宋体" w:cs="宋体"/>
          <w:color w:val="auto"/>
          <w:sz w:val="21"/>
          <w:szCs w:val="21"/>
          <w:highlight w:val="none"/>
        </w:rPr>
        <w:t xml:space="preserve">.7异常恶劣的气候条件</w:t>
      </w:r>
      <w:bookmarkEnd w:id="364"/>
      <w:r/>
      <w:bookmarkEnd w:id="365"/>
      <w:r/>
      <w:bookmarkEnd w:id="366"/>
      <w:r/>
      <w:bookmarkEnd w:id="367"/>
      <w:r/>
      <w:bookmarkEnd w:id="368"/>
      <w:r/>
      <w:bookmarkEnd w:id="36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(1）日降雨量大于50mm的雨日超过1天；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(2）6级以上台风灾害；</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(3）日气温超过38℃的高温大于3天；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(4）日气温低于-20℃ 的严寒大于3天；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(5）造成工程损坏的冰雹和大雪灾害：日降雪量10mm及以上；</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370" w:name="_Toc351203640"/>
      <w:r>
        <w:rPr>
          <w:rFonts w:hint="eastAsia" w:ascii="宋体" w:hAnsi="宋体" w:eastAsia="宋体" w:cs="宋体"/>
          <w:b w:val="0"/>
          <w:color w:val="auto"/>
          <w:sz w:val="21"/>
          <w:szCs w:val="21"/>
          <w:highlight w:val="none"/>
        </w:rPr>
        <w:t xml:space="preserve">8. 材料与设备</w:t>
      </w:r>
      <w:bookmarkEnd w:id="305"/>
      <w:r/>
      <w:bookmarkEnd w:id="306"/>
      <w:r/>
      <w:bookmarkEnd w:id="307"/>
      <w:r/>
      <w:bookmarkEnd w:id="308"/>
      <w:r/>
      <w:bookmarkEnd w:id="309"/>
      <w:r/>
      <w:bookmarkEnd w:id="310"/>
      <w:r/>
      <w:bookmarkEnd w:id="311"/>
      <w:r/>
      <w:bookmarkEnd w:id="312"/>
      <w:r/>
      <w:bookmarkEnd w:id="313"/>
      <w:r/>
      <w:bookmarkEnd w:id="314"/>
      <w:r/>
      <w:bookmarkEnd w:id="37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71" w:name="_Toc312678019"/>
      <w:r/>
      <w:bookmarkStart w:id="372" w:name="_Toc296503167"/>
      <w:r/>
      <w:bookmarkStart w:id="373" w:name="_Toc297216186"/>
      <w:r/>
      <w:bookmarkStart w:id="374" w:name="_Toc296891207"/>
      <w:r/>
      <w:bookmarkStart w:id="375" w:name="_Toc280868654"/>
      <w:r/>
      <w:bookmarkStart w:id="376" w:name="_Toc296890995"/>
      <w:r/>
      <w:bookmarkStart w:id="377" w:name="_Toc312677493"/>
      <w:r/>
      <w:bookmarkStart w:id="378" w:name="_Toc292559372"/>
      <w:r/>
      <w:bookmarkStart w:id="379" w:name="_Toc297123527"/>
      <w:r/>
      <w:bookmarkStart w:id="380" w:name="_Toc296347166"/>
      <w:r/>
      <w:bookmarkStart w:id="381" w:name="_Toc303539136"/>
      <w:r/>
      <w:bookmarkStart w:id="382" w:name="_Toc300934979"/>
      <w:r/>
      <w:bookmarkStart w:id="383" w:name="_Toc297048353"/>
      <w:r/>
      <w:bookmarkStart w:id="384" w:name="_Toc296346668"/>
      <w:r/>
      <w:bookmarkStart w:id="385" w:name="_Toc292559877"/>
      <w:r/>
      <w:bookmarkStart w:id="386" w:name="_Toc296944506"/>
      <w:r/>
      <w:bookmarkStart w:id="387" w:name="_Toc297120467"/>
      <w:r/>
      <w:bookmarkStart w:id="388" w:name="_Toc304295556"/>
      <w:r/>
      <w:bookmarkStart w:id="389" w:name="_Toc280868655"/>
      <w:r/>
      <w:bookmarkStart w:id="390" w:name="_Toc280868656"/>
      <w:r/>
      <w:bookmarkStart w:id="391" w:name="_Toc267251424"/>
      <w:r>
        <w:rPr>
          <w:rFonts w:hint="eastAsia" w:ascii="宋体" w:hAnsi="宋体" w:eastAsia="宋体" w:cs="宋体"/>
          <w:color w:val="auto"/>
          <w:sz w:val="21"/>
          <w:szCs w:val="21"/>
          <w:highlight w:val="none"/>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92" w:name="_Toc292559373"/>
      <w:r/>
      <w:bookmarkStart w:id="393" w:name="_Toc292559878"/>
      <w:r/>
      <w:bookmarkStart w:id="394" w:name="_Toc303539137"/>
      <w:r/>
      <w:bookmarkStart w:id="395" w:name="_Toc296346669"/>
      <w:r/>
      <w:bookmarkStart w:id="396" w:name="_Toc297123528"/>
      <w:r/>
      <w:bookmarkStart w:id="397" w:name="_Toc300934980"/>
      <w:r/>
      <w:bookmarkStart w:id="398" w:name="_Toc318581173"/>
      <w:r/>
      <w:bookmarkStart w:id="399" w:name="_Toc312678020"/>
      <w:r/>
      <w:bookmarkStart w:id="400" w:name="_Toc296890996"/>
      <w:r/>
      <w:bookmarkStart w:id="401" w:name="_Toc296891208"/>
      <w:r/>
      <w:bookmarkStart w:id="402" w:name="_Toc296503168"/>
      <w:r/>
      <w:bookmarkStart w:id="403" w:name="_Toc297048354"/>
      <w:r/>
      <w:bookmarkStart w:id="404" w:name="_Toc297120468"/>
      <w:r/>
      <w:bookmarkStart w:id="405" w:name="_Toc296347167"/>
      <w:r/>
      <w:bookmarkStart w:id="406" w:name="_Toc297216187"/>
      <w:r/>
      <w:bookmarkStart w:id="407" w:name="_Toc296944507"/>
      <w:r/>
      <w:bookmarkStart w:id="408" w:name="_Toc304295557"/>
      <w:r/>
      <w:bookmarkStart w:id="409" w:name="_Toc312677494"/>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1"/>
          <w:szCs w:val="21"/>
          <w:highlight w:val="none"/>
        </w:rPr>
        <w:t xml:space="preserve">。</w:t>
      </w:r>
      <w:bookmarkEnd w:id="392"/>
      <w:r/>
      <w:bookmarkEnd w:id="393"/>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      按发包人需求确定，费用包含在签约合同价中</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由承包人承担，承包人负责施工临时设施、环保及环卫的相关手续，由承包人办理报批手续，并承担与之相关费用。</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351203641"/>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bookmarkEnd w:id="389"/>
      <w:r/>
      <w:bookmarkEnd w:id="390"/>
      <w:r/>
      <w:bookmarkEnd w:id="391"/>
      <w:r/>
      <w:bookmarkStart w:id="411" w:name="_Toc312677495"/>
      <w:r/>
      <w:bookmarkStart w:id="412" w:name="_Toc303539139"/>
      <w:r/>
      <w:bookmarkStart w:id="413" w:name="_Toc297216192"/>
      <w:r/>
      <w:bookmarkStart w:id="414" w:name="_Toc297123533"/>
      <w:r/>
      <w:bookmarkStart w:id="415" w:name="_Toc304295559"/>
      <w:r/>
      <w:bookmarkStart w:id="416" w:name="_Toc312678021"/>
      <w:r/>
      <w:bookmarkStart w:id="417" w:name="_Toc300934982"/>
      <w:r/>
      <w:bookmarkStart w:id="418" w:name="_Toc297120473"/>
      <w:r/>
      <w:bookmarkStart w:id="419" w:name="_Toc296891213"/>
      <w:r/>
      <w:bookmarkStart w:id="420" w:name="_Toc267251428"/>
      <w:r/>
      <w:bookmarkStart w:id="421" w:name="_Toc292559378"/>
      <w:r/>
      <w:bookmarkStart w:id="422" w:name="_Toc296346674"/>
      <w:r/>
      <w:bookmarkStart w:id="423" w:name="_Toc296944512"/>
      <w:r/>
      <w:bookmarkStart w:id="424" w:name="_Toc296891001"/>
      <w:r/>
      <w:bookmarkStart w:id="425" w:name="_Toc297048359"/>
      <w:r/>
      <w:bookmarkStart w:id="426" w:name="_Toc296503173"/>
      <w:r/>
      <w:bookmarkStart w:id="427" w:name="_Toc296347172"/>
      <w:r/>
      <w:bookmarkStart w:id="428" w:name="_Toc292559883"/>
      <w:r/>
      <w:bookmarkStart w:id="429" w:name="_Toc267251427"/>
      <w:r>
        <w:rPr>
          <w:rFonts w:hint="eastAsia" w:ascii="宋体" w:hAnsi="宋体" w:eastAsia="宋体" w:cs="宋体"/>
          <w:b/>
          <w:color w:val="auto"/>
          <w:sz w:val="21"/>
          <w:szCs w:val="21"/>
          <w:highlight w:val="none"/>
        </w:rPr>
        <w:t xml:space="preserve">. 试验与检验</w:t>
      </w:r>
      <w:bookmarkEnd w:id="410"/>
      <w:r/>
      <w:bookmarkEnd w:id="411"/>
      <w:r/>
      <w:bookmarkEnd w:id="412"/>
      <w:r/>
      <w:bookmarkEnd w:id="413"/>
      <w:r/>
      <w:bookmarkEnd w:id="414"/>
      <w:r/>
      <w:bookmarkEnd w:id="415"/>
      <w:r/>
      <w:bookmarkEnd w:id="416"/>
      <w:r/>
      <w:bookmarkEnd w:id="41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0" w:name="_Toc297123534"/>
      <w:r/>
      <w:bookmarkStart w:id="431" w:name="_Toc312677496"/>
      <w:r/>
      <w:bookmarkStart w:id="432" w:name="_Toc304295560"/>
      <w:r/>
      <w:bookmarkStart w:id="433" w:name="_Toc312678022"/>
      <w:r/>
      <w:bookmarkStart w:id="434" w:name="_Toc300934983"/>
      <w:r/>
      <w:bookmarkStart w:id="435" w:name="_Toc297216193"/>
      <w:r/>
      <w:bookmarkStart w:id="436" w:name="_Toc303539140"/>
      <w:r>
        <w:rPr>
          <w:rFonts w:hint="eastAsia" w:ascii="宋体" w:hAnsi="宋体" w:eastAsia="宋体" w:cs="宋体"/>
          <w:color w:val="auto"/>
          <w:sz w:val="21"/>
          <w:szCs w:val="21"/>
          <w:highlight w:val="none"/>
        </w:rPr>
        <w:t xml:space="preserve">.1试验设备与试验人员</w:t>
      </w:r>
      <w:bookmarkEnd w:id="430"/>
      <w:r/>
      <w:bookmarkEnd w:id="431"/>
      <w:r/>
      <w:bookmarkEnd w:id="432"/>
      <w:r/>
      <w:bookmarkEnd w:id="433"/>
      <w:r/>
      <w:bookmarkEnd w:id="434"/>
      <w:r/>
      <w:bookmarkEnd w:id="435"/>
      <w:r/>
      <w:bookmarkEnd w:id="436"/>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7" w:name="_Toc312678023"/>
      <w:r/>
      <w:bookmarkStart w:id="438" w:name="_Toc297123535"/>
      <w:r/>
      <w:bookmarkStart w:id="439" w:name="_Toc297216194"/>
      <w:r/>
      <w:bookmarkStart w:id="440" w:name="_Toc303539141"/>
      <w:r/>
      <w:bookmarkStart w:id="441" w:name="_Toc304295561"/>
      <w:r/>
      <w:bookmarkStart w:id="442" w:name="_Toc300934984"/>
      <w:r/>
      <w:bookmarkStart w:id="443" w:name="_Toc312677497"/>
      <w:r/>
      <w:bookmarkStart w:id="444"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437"/>
      <w:r/>
      <w:bookmarkEnd w:id="438"/>
      <w:r/>
      <w:bookmarkEnd w:id="439"/>
      <w:r/>
      <w:bookmarkEnd w:id="440"/>
      <w:r/>
      <w:bookmarkEnd w:id="441"/>
      <w:r/>
      <w:bookmarkEnd w:id="442"/>
      <w:r/>
      <w:bookmarkEnd w:id="443"/>
      <w:r/>
      <w:bookmarkStart w:id="445" w:name="_Toc303539142"/>
      <w:r/>
      <w:bookmarkStart w:id="446" w:name="_Toc297216195"/>
      <w:r/>
      <w:bookmarkStart w:id="447" w:name="_Toc297123536"/>
      <w:r/>
      <w:bookmarkStart w:id="448" w:name="_Toc312677498"/>
      <w:r/>
      <w:bookmarkStart w:id="449" w:name="_Toc300934985"/>
      <w:r/>
      <w:bookmarkStart w:id="450" w:name="_Toc312678024"/>
      <w:r/>
      <w:bookmarkStart w:id="451" w:name="_Toc304295562"/>
      <w:r>
        <w:rPr>
          <w:rFonts w:hint="eastAsia" w:ascii="宋体" w:hAnsi="宋体" w:eastAsia="宋体" w:cs="宋体"/>
          <w:color w:val="auto"/>
          <w:sz w:val="21"/>
          <w:szCs w:val="21"/>
          <w:highlight w:val="none"/>
          <w:u w:val="single"/>
        </w:rPr>
        <w:t xml:space="preserve">  按照相关规定，由承包人提供。</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由承包人提供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44"/>
      <w:r/>
      <w:bookmarkEnd w:id="445"/>
      <w:r/>
      <w:bookmarkEnd w:id="446"/>
      <w:r/>
      <w:bookmarkEnd w:id="447"/>
      <w:r/>
      <w:bookmarkEnd w:id="448"/>
      <w:r/>
      <w:bookmarkEnd w:id="449"/>
      <w:r/>
      <w:bookmarkEnd w:id="450"/>
      <w:r/>
      <w:bookmarkEnd w:id="451"/>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452" w:name="_Toc351203642"/>
      <w:r>
        <w:rPr>
          <w:rFonts w:hint="eastAsia" w:ascii="宋体" w:hAnsi="宋体" w:eastAsia="宋体" w:cs="宋体"/>
          <w:b w:val="0"/>
          <w:color w:val="auto"/>
          <w:sz w:val="21"/>
          <w:szCs w:val="21"/>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300934989"/>
      <w:r/>
      <w:bookmarkStart w:id="454" w:name="_Toc296347192"/>
      <w:r/>
      <w:bookmarkStart w:id="455" w:name="_Toc297048379"/>
      <w:r/>
      <w:bookmarkStart w:id="456" w:name="_Toc296346694"/>
      <w:r/>
      <w:bookmarkStart w:id="457" w:name="_Toc292559903"/>
      <w:r/>
      <w:bookmarkStart w:id="458" w:name="_Toc303539146"/>
      <w:r/>
      <w:bookmarkStart w:id="459" w:name="_Toc296891021"/>
      <w:r/>
      <w:bookmarkStart w:id="460" w:name="_Toc297216199"/>
      <w:r/>
      <w:bookmarkStart w:id="461" w:name="_Toc296503193"/>
      <w:r/>
      <w:bookmarkStart w:id="462" w:name="_Toc297120493"/>
      <w:r/>
      <w:bookmarkStart w:id="463" w:name="_Toc304295566"/>
      <w:r/>
      <w:bookmarkStart w:id="464" w:name="_Toc292559398"/>
      <w:r/>
      <w:bookmarkStart w:id="465" w:name="_Toc296944532"/>
      <w:r/>
      <w:bookmarkStart w:id="466" w:name="_Toc297123540"/>
      <w:r/>
      <w:bookmarkStart w:id="467" w:name="_Toc296891233"/>
      <w:r/>
      <w:bookmarkStart w:id="468" w:name="_Toc312677499"/>
      <w:r/>
      <w:bookmarkStart w:id="469" w:name="_Toc312678025"/>
      <w:r/>
      <w:bookmarkStart w:id="470" w:name="_Toc267251439"/>
      <w:r/>
      <w:bookmarkStart w:id="471" w:name="_Toc267251441"/>
      <w:r/>
      <w:bookmarkStart w:id="472" w:name="_Toc267251435"/>
      <w:r/>
      <w:bookmarkStart w:id="473" w:name="_Toc267251440"/>
      <w:r/>
      <w:bookmarkStart w:id="474" w:name="_Toc267251433"/>
      <w:r/>
      <w:bookmarkStart w:id="475" w:name="_Toc267251437"/>
      <w:r/>
      <w:bookmarkStart w:id="476" w:name="_Toc267251442"/>
      <w:r>
        <w:rPr>
          <w:rFonts w:hint="eastAsia" w:ascii="宋体" w:hAnsi="宋体" w:eastAsia="宋体" w:cs="宋体"/>
          <w:b w:val="0"/>
          <w:color w:val="auto"/>
          <w:sz w:val="21"/>
          <w:szCs w:val="21"/>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77" w:name="_Toc296347193"/>
      <w:r/>
      <w:bookmarkStart w:id="478" w:name="_Toc292559399"/>
      <w:r/>
      <w:bookmarkStart w:id="479" w:name="_Toc297123541"/>
      <w:r/>
      <w:bookmarkStart w:id="480" w:name="_Toc304295567"/>
      <w:r/>
      <w:bookmarkStart w:id="481" w:name="_Toc296891234"/>
      <w:r/>
      <w:bookmarkStart w:id="482" w:name="_Toc312678026"/>
      <w:r/>
      <w:bookmarkStart w:id="483" w:name="_Toc297120494"/>
      <w:r/>
      <w:bookmarkStart w:id="484" w:name="_Toc292559904"/>
      <w:r/>
      <w:bookmarkStart w:id="485" w:name="_Toc296944533"/>
      <w:r/>
      <w:bookmarkStart w:id="486" w:name="_Toc297048380"/>
      <w:r/>
      <w:bookmarkStart w:id="487" w:name="_Toc296503194"/>
      <w:r/>
      <w:bookmarkStart w:id="488" w:name="_Toc297216200"/>
      <w:r/>
      <w:bookmarkStart w:id="489" w:name="_Toc312677500"/>
      <w:r/>
      <w:bookmarkStart w:id="490" w:name="_Toc303539147"/>
      <w:r/>
      <w:bookmarkStart w:id="491" w:name="_Toc296346695"/>
      <w:r/>
      <w:bookmarkStart w:id="492" w:name="_Toc300934990"/>
      <w:r/>
      <w:bookmarkStart w:id="493" w:name="_Toc296891022"/>
      <w:r>
        <w:rPr>
          <w:rFonts w:hint="eastAsia" w:ascii="宋体" w:hAnsi="宋体" w:eastAsia="宋体" w:cs="宋体"/>
          <w:color w:val="auto"/>
          <w:sz w:val="21"/>
          <w:szCs w:val="21"/>
          <w:highlight w:val="none"/>
        </w:rPr>
        <w:t xml:space="preserve">0.1变更的范围</w:t>
      </w:r>
      <w:r/>
    </w:p>
    <w:p>
      <w:pPr>
        <w:ind w:firstLine="60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  按通用条款执行，施工过程中涉及的工程变更、签证单需经发包人加盖公章认可后方可执行，否则审计决算不予认可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b/>
          <w:bCs/>
          <w:color w:val="auto"/>
          <w:sz w:val="21"/>
          <w:szCs w:val="21"/>
          <w:highlight w:val="none"/>
        </w:rPr>
        <w:t xml:space="preserve">本公司(中标单位)郑重承诺:在本工程实施期间，实时进行已完工程量核算，保证不超过合同价的10%；工程结算时，本公司无条件放弃超过合同价10%以上部分的工程款。该条为优先执行条款，且不接受任何形式(口头、书面及录音等)的解释。</w:t>
      </w:r>
      <w:r>
        <w:rPr>
          <w:rFonts w:hint="eastAsia" w:ascii="宋体" w:hAnsi="宋体" w:eastAsia="宋体" w:cs="宋体"/>
          <w:b/>
          <w:bCs/>
          <w:color w:val="auto"/>
          <w:sz w:val="21"/>
          <w:szCs w:val="21"/>
          <w:highlight w:val="none"/>
          <w:lang w:val="en-US" w:eastAsia="zh-CN"/>
        </w:rPr>
        <w:t xml:space="preserve">工程竣工验收后不再补签任何变更或签证资料。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关于变更估价的约定： </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承包人在工程变更确定后 14 天内，提出变更工程价款的报告，经采购人和监理工程师确认后调整合同价款，变更合同价款按下列方法进行：</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（1）已标价工程量清单或投标书有相同项目的，按照相同项目单价认定；</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（2）已标价工程量清单或投标书中无相同项目，但有类似项目的，参照类似项目的单价认定；</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（3）合同中没有适用或类似的综合单价，按以下方法确定综合单价：</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合同中没有适用或类似的综合单价，按以下方法确定综合单价：执行</w:t>
      </w:r>
      <w:r>
        <w:rPr>
          <w:rFonts w:hint="eastAsia" w:ascii="宋体" w:hAnsi="宋体" w:eastAsia="宋体" w:cs="宋体"/>
          <w:b/>
          <w:color w:val="auto"/>
          <w:sz w:val="21"/>
          <w:szCs w:val="21"/>
          <w:highlight w:val="none"/>
          <w:lang w:eastAsia="zh-CN"/>
        </w:rPr>
        <w:t xml:space="preserve">江苏</w:t>
      </w:r>
      <w:r>
        <w:rPr>
          <w:rFonts w:hint="eastAsia" w:ascii="宋体" w:hAnsi="宋体" w:eastAsia="宋体" w:cs="宋体"/>
          <w:b/>
          <w:color w:val="auto"/>
          <w:sz w:val="21"/>
          <w:szCs w:val="21"/>
          <w:highlight w:val="none"/>
        </w:rPr>
        <w:t xml:space="preserve">现行</w:t>
      </w:r>
      <w:r>
        <w:rPr>
          <w:rFonts w:hint="eastAsia" w:ascii="宋体" w:hAnsi="宋体" w:eastAsia="宋体" w:cs="宋体"/>
          <w:b/>
          <w:color w:val="auto"/>
          <w:sz w:val="21"/>
          <w:szCs w:val="21"/>
          <w:highlight w:val="none"/>
          <w:lang w:eastAsia="zh-CN"/>
        </w:rPr>
        <w:t xml:space="preserve">消耗量</w:t>
      </w:r>
      <w:r>
        <w:rPr>
          <w:rFonts w:hint="eastAsia" w:ascii="宋体" w:hAnsi="宋体" w:eastAsia="宋体" w:cs="宋体"/>
          <w:b/>
          <w:color w:val="auto"/>
          <w:sz w:val="21"/>
          <w:szCs w:val="21"/>
          <w:highlight w:val="none"/>
        </w:rPr>
        <w:t xml:space="preserve">及其他使用中定额，材料价格参照施工期间连云港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b/>
          <w:color w:val="auto"/>
          <w:sz w:val="21"/>
          <w:szCs w:val="21"/>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工程变更价款的调整：</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7123544"/>
      <w:r/>
      <w:bookmarkStart w:id="495" w:name="_Toc296503197"/>
      <w:r/>
      <w:bookmarkStart w:id="496" w:name="_Toc296891237"/>
      <w:r/>
      <w:bookmarkStart w:id="497" w:name="_Toc303539150"/>
      <w:r/>
      <w:bookmarkStart w:id="498" w:name="_Toc297216203"/>
      <w:r/>
      <w:bookmarkStart w:id="499" w:name="_Toc296891025"/>
      <w:r/>
      <w:bookmarkStart w:id="500" w:name="_Toc292559402"/>
      <w:r/>
      <w:bookmarkStart w:id="501" w:name="_Toc296346698"/>
      <w:r/>
      <w:bookmarkStart w:id="502" w:name="_Toc292559907"/>
      <w:r/>
      <w:bookmarkStart w:id="503" w:name="_Toc297048383"/>
      <w:r/>
      <w:bookmarkStart w:id="504" w:name="_Toc296347196"/>
      <w:r/>
      <w:bookmarkStart w:id="505" w:name="_Toc297120497"/>
      <w:r/>
      <w:bookmarkStart w:id="506" w:name="_Toc300934993"/>
      <w:r/>
      <w:bookmarkStart w:id="507" w:name="_Toc296944536"/>
      <w:r/>
      <w:bookmarkStart w:id="508" w:name="_Toc304295570"/>
      <w:r/>
      <w:bookmarkStart w:id="509" w:name="_Toc312677503"/>
      <w:r/>
      <w:bookmarkStart w:id="510" w:name="_Toc312678029"/>
      <w:r>
        <w:rPr>
          <w:rFonts w:hint="eastAsia" w:ascii="宋体" w:hAnsi="宋体" w:eastAsia="宋体" w:cs="宋体"/>
          <w:color w:val="auto"/>
          <w:sz w:val="21"/>
          <w:szCs w:val="21"/>
          <w:highlight w:val="none"/>
        </w:rPr>
        <w:t xml:space="preserve">0.5承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7048389"/>
      <w:r/>
      <w:bookmarkStart w:id="512" w:name="_Toc296891031"/>
      <w:r/>
      <w:bookmarkStart w:id="513" w:name="_Toc297123545"/>
      <w:r/>
      <w:bookmarkStart w:id="514" w:name="_Toc300934994"/>
      <w:r/>
      <w:bookmarkStart w:id="515" w:name="_Toc296346704"/>
      <w:r/>
      <w:bookmarkStart w:id="516" w:name="_Toc297216204"/>
      <w:r/>
      <w:bookmarkStart w:id="517" w:name="_Toc296503203"/>
      <w:r/>
      <w:bookmarkStart w:id="518" w:name="_Toc303539151"/>
      <w:r/>
      <w:bookmarkStart w:id="519" w:name="_Toc296347202"/>
      <w:r/>
      <w:bookmarkStart w:id="520" w:name="_Toc296891243"/>
      <w:r/>
      <w:bookmarkStart w:id="521" w:name="_Toc296944542"/>
      <w:r/>
      <w:bookmarkStart w:id="522" w:name="_Toc292559913"/>
      <w:r/>
      <w:bookmarkStart w:id="523" w:name="_Toc297120503"/>
      <w:r/>
      <w:bookmarkStart w:id="524" w:name="_Toc292559408"/>
      <w:r>
        <w:rPr>
          <w:rFonts w:hint="eastAsia" w:ascii="宋体" w:hAnsi="宋体" w:eastAsia="宋体" w:cs="宋体"/>
          <w:color w:val="auto"/>
          <w:sz w:val="21"/>
          <w:szCs w:val="21"/>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收到承包人提交的合理化建议后7日内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收到监理人报送的合理化建议后7日内</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525" w:name="_Toc297216205"/>
      <w:r/>
      <w:bookmarkStart w:id="526" w:name="_Toc303539152"/>
      <w:r/>
      <w:bookmarkStart w:id="527" w:name="_Toc292559409"/>
      <w:r/>
      <w:bookmarkStart w:id="528" w:name="_Toc296347203"/>
      <w:r/>
      <w:bookmarkStart w:id="529" w:name="_Toc296503204"/>
      <w:r/>
      <w:bookmarkStart w:id="530" w:name="_Toc304295571"/>
      <w:r/>
      <w:bookmarkStart w:id="531" w:name="_Toc300934995"/>
      <w:r/>
      <w:bookmarkStart w:id="532" w:name="_Toc312678030"/>
      <w:r/>
      <w:bookmarkStart w:id="533" w:name="_Toc318581175"/>
      <w:r/>
      <w:bookmarkStart w:id="534" w:name="_Toc296346705"/>
      <w:r/>
      <w:bookmarkStart w:id="535" w:name="_Toc312677504"/>
      <w:r/>
      <w:bookmarkStart w:id="536" w:name="_Toc297123546"/>
      <w:r/>
      <w:bookmarkStart w:id="537" w:name="_Toc296944543"/>
      <w:r/>
      <w:bookmarkStart w:id="538" w:name="_Toc296891032"/>
      <w:r/>
      <w:bookmarkStart w:id="539" w:name="_Toc296891244"/>
      <w:r/>
      <w:bookmarkStart w:id="540" w:name="_Toc297048390"/>
      <w:r/>
      <w:bookmarkStart w:id="541" w:name="_Toc297120504"/>
      <w:r/>
      <w:bookmarkStart w:id="542" w:name="_Toc29255991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543" w:name="_Toc296944538"/>
      <w:r/>
      <w:bookmarkStart w:id="544" w:name="_Toc312677507"/>
      <w:r/>
      <w:bookmarkStart w:id="545" w:name="_Toc292559909"/>
      <w:r/>
      <w:bookmarkStart w:id="546" w:name="_Toc312678033"/>
      <w:r/>
      <w:bookmarkStart w:id="547" w:name="_Toc297048385"/>
      <w:r/>
      <w:bookmarkStart w:id="548" w:name="_Toc297216207"/>
      <w:r/>
      <w:bookmarkStart w:id="549" w:name="_Toc296347198"/>
      <w:r/>
      <w:bookmarkStart w:id="550" w:name="_Toc296346700"/>
      <w:r/>
      <w:bookmarkStart w:id="551" w:name="_Toc304295574"/>
      <w:r/>
      <w:bookmarkStart w:id="552" w:name="_Toc296503199"/>
      <w:r/>
      <w:bookmarkStart w:id="553" w:name="_Toc297123548"/>
      <w:r/>
      <w:bookmarkStart w:id="554" w:name="_Toc292559404"/>
      <w:r/>
      <w:bookmarkStart w:id="555" w:name="_Toc296891239"/>
      <w:r/>
      <w:bookmarkStart w:id="556" w:name="_Toc297120499"/>
      <w:r/>
      <w:bookmarkStart w:id="557" w:name="_Toc296891027"/>
      <w:r/>
      <w:bookmarkStart w:id="558" w:name="_Toc300934997"/>
      <w:r/>
      <w:bookmarkStart w:id="559" w:name="_Toc303539154"/>
      <w:r>
        <w:rPr>
          <w:rFonts w:hint="eastAsia" w:ascii="宋体" w:hAnsi="宋体" w:eastAsia="宋体" w:cs="宋体"/>
          <w:color w:val="auto"/>
          <w:sz w:val="21"/>
          <w:szCs w:val="21"/>
          <w:highlight w:val="none"/>
        </w:rPr>
        <w:t xml:space="preserve">0.7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560" w:name="_Toc312678034"/>
      <w:r/>
      <w:bookmarkStart w:id="561" w:name="_Toc312677508"/>
      <w:r/>
      <w:bookmarkStart w:id="562" w:name="_Toc318581176"/>
      <w:r>
        <w:rPr>
          <w:rFonts w:hint="eastAsia" w:ascii="宋体" w:hAnsi="宋体" w:eastAsia="宋体" w:cs="宋体"/>
          <w:color w:val="auto"/>
          <w:sz w:val="21"/>
          <w:szCs w:val="21"/>
          <w:highlight w:val="none"/>
        </w:rPr>
        <w:t xml:space="preserve">估价材料和工程设备的明细详见附件11：《暂估价一览表》。</w:t>
      </w:r>
      <w:bookmarkEnd w:id="560"/>
      <w:r/>
      <w:bookmarkEnd w:id="561"/>
      <w:r/>
      <w:bookmarkEnd w:id="562"/>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63" w:name="_Toc312678035"/>
      <w:r/>
      <w:bookmarkStart w:id="564" w:name="_Toc318581177"/>
      <w:r/>
      <w:bookmarkStart w:id="565" w:name="_Toc312677509"/>
      <w:r>
        <w:rPr>
          <w:rFonts w:hint="eastAsia" w:ascii="宋体" w:hAnsi="宋体" w:eastAsia="宋体" w:cs="宋体"/>
          <w:color w:val="auto"/>
          <w:sz w:val="21"/>
          <w:szCs w:val="21"/>
          <w:highlight w:val="none"/>
        </w:rPr>
        <w:t xml:space="preserve">0.7.1 依法必须招标的暂估价项目</w:t>
      </w:r>
      <w:bookmarkEnd w:id="563"/>
      <w:r/>
      <w:bookmarkEnd w:id="564"/>
      <w:r/>
      <w:bookmarkEnd w:id="565"/>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由发包人依法组织招标选择暂估价的供应商或分包人。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不属于依法招标的暂估价项目，在实施过程中发包人可将部分不属于依法必须招标的暂估价项目直接委托给承包人，并由发包人确认暂估价价格。</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暂列金额应按照发包人的要求使用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566" w:name="_Toc351203643"/>
      <w:r>
        <w:rPr>
          <w:rFonts w:hint="eastAsia" w:ascii="宋体" w:hAnsi="宋体" w:eastAsia="宋体" w:cs="宋体"/>
          <w:b w:val="0"/>
          <w:color w:val="auto"/>
          <w:sz w:val="21"/>
          <w:szCs w:val="21"/>
          <w:highlight w:val="none"/>
        </w:rPr>
        <w:t xml:space="preserve">11. 价格调整</w:t>
      </w:r>
      <w:bookmarkEnd w:id="566"/>
      <w:r/>
      <w:r/>
    </w:p>
    <w:p>
      <w:pPr>
        <w:ind w:firstLine="420"/>
        <w:pageBreakBefore w:val="0"/>
        <w:spacing w:line="360" w:lineRule="auto"/>
        <w:rPr>
          <w:rFonts w:hint="eastAsia" w:ascii="宋体" w:hAnsi="宋体" w:eastAsia="宋体" w:cs="宋体"/>
          <w:color w:val="auto"/>
          <w:sz w:val="21"/>
          <w:szCs w:val="21"/>
          <w:highlight w:val="none"/>
        </w:rPr>
      </w:pPr>
      <w:r/>
      <w:bookmarkStart w:id="567" w:name="_Toc297120501"/>
      <w:r/>
      <w:bookmarkStart w:id="568" w:name="_Toc304295577"/>
      <w:r/>
      <w:bookmarkStart w:id="569" w:name="_Toc296347200"/>
      <w:r/>
      <w:bookmarkStart w:id="570" w:name="_Toc296891241"/>
      <w:r/>
      <w:bookmarkStart w:id="571" w:name="_Toc292559406"/>
      <w:r/>
      <w:bookmarkStart w:id="572" w:name="_Toc296503201"/>
      <w:r/>
      <w:bookmarkStart w:id="573" w:name="_Toc297216209"/>
      <w:r/>
      <w:bookmarkStart w:id="574" w:name="_Toc296891029"/>
      <w:r/>
      <w:bookmarkStart w:id="575" w:name="_Toc297123550"/>
      <w:r/>
      <w:bookmarkStart w:id="576" w:name="_Toc303539157"/>
      <w:r/>
      <w:bookmarkStart w:id="577" w:name="_Toc297048387"/>
      <w:r/>
      <w:bookmarkStart w:id="578" w:name="_Toc292559911"/>
      <w:r/>
      <w:bookmarkStart w:id="579" w:name="_Toc300935000"/>
      <w:r/>
      <w:bookmarkStart w:id="580" w:name="_Toc312678039"/>
      <w:r/>
      <w:bookmarkStart w:id="581" w:name="_Toc296944540"/>
      <w:r/>
      <w:bookmarkStart w:id="582" w:name="_Toc296346702"/>
      <w:r>
        <w:rPr>
          <w:rFonts w:hint="eastAsia" w:ascii="宋体" w:hAnsi="宋体" w:eastAsia="宋体" w:cs="宋体"/>
          <w:color w:val="auto"/>
          <w:sz w:val="21"/>
          <w:szCs w:val="21"/>
          <w:highlight w:val="none"/>
        </w:rPr>
        <w:t xml:space="preserve">11.1 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不调整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材料差价（风险）：</w:t>
      </w:r>
      <w:r>
        <w:rPr>
          <w:rFonts w:hint="eastAsia" w:ascii="宋体" w:hAnsi="宋体" w:eastAsia="宋体" w:cs="宋体"/>
          <w:color w:val="auto"/>
          <w:sz w:val="21"/>
          <w:szCs w:val="21"/>
          <w:highlight w:val="none"/>
          <w:u w:val="single"/>
        </w:rPr>
        <w:t xml:space="preserve">不调整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11.2政策性调整</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政策性文件是否调整合同价格的约定：</w:t>
      </w:r>
      <w:r>
        <w:rPr>
          <w:rFonts w:hint="eastAsia" w:ascii="宋体" w:hAnsi="宋体" w:eastAsia="宋体" w:cs="宋体"/>
          <w:color w:val="auto"/>
          <w:sz w:val="21"/>
          <w:szCs w:val="21"/>
          <w:highlight w:val="none"/>
          <w:u w:val="single"/>
        </w:rPr>
        <w:t xml:space="preserve">不调整。</w:t>
      </w:r>
      <w:bookmarkEnd w:id="470"/>
      <w:r/>
      <w:bookmarkEnd w:id="471"/>
      <w:r/>
      <w:bookmarkEnd w:id="472"/>
      <w:r/>
      <w:bookmarkEnd w:id="473"/>
      <w:r/>
      <w:bookmarkEnd w:id="474"/>
      <w:r/>
      <w:bookmarkEnd w:id="475"/>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583" w:name="_Toc296346706"/>
      <w:r/>
      <w:bookmarkStart w:id="584" w:name="_Toc296944544"/>
      <w:r/>
      <w:bookmarkStart w:id="585" w:name="_Toc296891033"/>
      <w:r/>
      <w:bookmarkStart w:id="586" w:name="_Toc292559410"/>
      <w:r/>
      <w:bookmarkStart w:id="587" w:name="_Toc296347204"/>
      <w:r/>
      <w:bookmarkStart w:id="588" w:name="_Toc296891245"/>
      <w:r/>
      <w:bookmarkStart w:id="589" w:name="_Toc292559915"/>
      <w:r/>
      <w:bookmarkStart w:id="590" w:name="_Toc297048391"/>
      <w:r/>
      <w:bookmarkStart w:id="591" w:name="_Toc297120505"/>
      <w:r/>
      <w:bookmarkStart w:id="592" w:name="_Toc296503205"/>
      <w:r/>
      <w:bookmarkStart w:id="593" w:name="_Toc351203644"/>
      <w:r/>
      <w:bookmarkStart w:id="594" w:name="_Toc297123552"/>
      <w:r/>
      <w:bookmarkStart w:id="595" w:name="_Toc300935002"/>
      <w:r/>
      <w:bookmarkStart w:id="596" w:name="_Toc304295579"/>
      <w:r/>
      <w:bookmarkStart w:id="597" w:name="_Toc312678040"/>
      <w:r/>
      <w:bookmarkStart w:id="598" w:name="_Toc303539159"/>
      <w:r/>
      <w:bookmarkStart w:id="599" w:name="_Toc297216211"/>
      <w:r>
        <w:rPr>
          <w:rFonts w:hint="eastAsia" w:ascii="宋体" w:hAnsi="宋体" w:eastAsia="宋体" w:cs="宋体"/>
          <w:b w:val="0"/>
          <w:color w:val="auto"/>
          <w:sz w:val="21"/>
          <w:szCs w:val="21"/>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eastAsia="宋体" w:cs="宋体"/>
          <w:b w:val="0"/>
          <w:color w:val="auto"/>
          <w:sz w:val="21"/>
          <w:szCs w:val="21"/>
          <w:highlight w:val="none"/>
        </w:rPr>
        <w:t xml:space="preserve">合同价格、计量与支付</w:t>
      </w:r>
      <w:bookmarkEnd w:id="593"/>
      <w:r/>
      <w:bookmarkEnd w:id="594"/>
      <w:r/>
      <w:bookmarkEnd w:id="595"/>
      <w:r/>
      <w:bookmarkEnd w:id="596"/>
      <w:r/>
      <w:bookmarkEnd w:id="597"/>
      <w:r/>
      <w:bookmarkEnd w:id="598"/>
      <w:r/>
      <w:bookmarkEnd w:id="599"/>
      <w:r/>
      <w:r/>
    </w:p>
    <w:p>
      <w:pPr>
        <w:ind w:firstLine="420"/>
        <w:pageBreakBefore w:val="0"/>
        <w:spacing w:line="360" w:lineRule="auto"/>
        <w:rPr>
          <w:rFonts w:hint="eastAsia" w:ascii="宋体" w:hAnsi="宋体" w:eastAsia="宋体" w:cs="宋体"/>
          <w:color w:val="auto"/>
          <w:sz w:val="21"/>
          <w:szCs w:val="21"/>
          <w:highlight w:val="none"/>
        </w:rPr>
      </w:pPr>
      <w:r/>
      <w:bookmarkStart w:id="600" w:name="_Toc267251461"/>
      <w:r/>
      <w:bookmarkStart w:id="601" w:name="_Toc292559411"/>
      <w:r/>
      <w:bookmarkStart w:id="602" w:name="_Toc292559916"/>
      <w:r/>
      <w:bookmarkStart w:id="603" w:name="_Toc296944545"/>
      <w:r/>
      <w:bookmarkStart w:id="604" w:name="_Toc297120506"/>
      <w:r/>
      <w:bookmarkStart w:id="605" w:name="_Toc296347205"/>
      <w:r/>
      <w:bookmarkStart w:id="606" w:name="_Toc296503206"/>
      <w:r/>
      <w:bookmarkStart w:id="607" w:name="_Toc296891034"/>
      <w:r/>
      <w:bookmarkStart w:id="608" w:name="_Toc296891246"/>
      <w:r/>
      <w:bookmarkStart w:id="609" w:name="_Toc296346707"/>
      <w:r/>
      <w:bookmarkStart w:id="610" w:name="_Toc297048392"/>
      <w:r/>
      <w:bookmarkStart w:id="611" w:name="_Toc312678041"/>
      <w:r/>
      <w:bookmarkStart w:id="612" w:name="_Toc300935003"/>
      <w:r/>
      <w:bookmarkStart w:id="613" w:name="_Toc297123553"/>
      <w:r/>
      <w:bookmarkStart w:id="614" w:name="_Toc304295580"/>
      <w:r/>
      <w:bookmarkStart w:id="615" w:name="_Toc303539160"/>
      <w:r/>
      <w:bookmarkStart w:id="616" w:name="_Toc297216212"/>
      <w:r>
        <w:rPr>
          <w:rFonts w:hint="eastAsia" w:ascii="宋体" w:hAnsi="宋体" w:eastAsia="宋体" w:cs="宋体"/>
          <w:color w:val="auto"/>
          <w:sz w:val="21"/>
          <w:szCs w:val="21"/>
          <w:highlight w:val="none"/>
        </w:rPr>
        <w:t xml:space="preserve">12.1 合</w:t>
      </w:r>
      <w:bookmarkEnd w:id="600"/>
      <w:r/>
      <w:bookmarkEnd w:id="601"/>
      <w:r/>
      <w:bookmarkEnd w:id="602"/>
      <w:r>
        <w:rPr>
          <w:rFonts w:hint="eastAsia" w:ascii="宋体" w:hAnsi="宋体" w:eastAsia="宋体" w:cs="宋体"/>
          <w:color w:val="auto"/>
          <w:sz w:val="21"/>
          <w:szCs w:val="21"/>
          <w:highlight w:val="none"/>
        </w:rPr>
        <w:t xml:space="preserve">同价</w:t>
      </w:r>
      <w:bookmarkEnd w:id="603"/>
      <w:r/>
      <w:bookmarkEnd w:id="604"/>
      <w:r/>
      <w:bookmarkEnd w:id="605"/>
      <w:r/>
      <w:bookmarkEnd w:id="606"/>
      <w:r/>
      <w:bookmarkEnd w:id="607"/>
      <w:r/>
      <w:bookmarkEnd w:id="608"/>
      <w:r/>
      <w:bookmarkEnd w:id="609"/>
      <w:r/>
      <w:bookmarkEnd w:id="610"/>
      <w:r>
        <w:rPr>
          <w:rFonts w:hint="eastAsia" w:ascii="宋体" w:hAnsi="宋体" w:eastAsia="宋体" w:cs="宋体"/>
          <w:color w:val="auto"/>
          <w:sz w:val="21"/>
          <w:szCs w:val="21"/>
          <w:highlight w:val="none"/>
        </w:rPr>
        <w:t xml:space="preserve">格形式</w:t>
      </w:r>
      <w:bookmarkEnd w:id="611"/>
      <w:r/>
      <w:bookmarkEnd w:id="612"/>
      <w:r/>
      <w:bookmarkEnd w:id="613"/>
      <w:r/>
      <w:bookmarkEnd w:id="614"/>
      <w:r/>
      <w:bookmarkEnd w:id="615"/>
      <w:r/>
      <w:bookmarkEnd w:id="616"/>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本工程采用</w:t>
      </w:r>
      <w:r>
        <w:rPr>
          <w:rFonts w:hint="eastAsia" w:ascii="宋体" w:hAnsi="宋体" w:eastAsia="宋体" w:cs="宋体"/>
          <w:b/>
          <w:color w:val="auto"/>
          <w:sz w:val="21"/>
          <w:szCs w:val="21"/>
          <w:highlight w:val="none"/>
        </w:rPr>
        <w:t xml:space="preserve">固定单价合同</w:t>
      </w:r>
      <w:r>
        <w:rPr>
          <w:rFonts w:hint="eastAsia" w:ascii="宋体" w:hAnsi="宋体" w:eastAsia="宋体" w:cs="宋体"/>
          <w:color w:val="auto"/>
          <w:sz w:val="21"/>
          <w:szCs w:val="21"/>
          <w:highlight w:val="none"/>
        </w:rPr>
        <w:t xml:space="preserve">，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投标人投标报价时自行考虑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bookmarkStart w:id="617" w:name="_Toc296346708"/>
      <w:r/>
      <w:bookmarkStart w:id="618" w:name="_Toc297048393"/>
      <w:r/>
      <w:bookmarkStart w:id="619" w:name="_Toc297120507"/>
      <w:r/>
      <w:bookmarkStart w:id="620" w:name="_Toc292559917"/>
      <w:r/>
      <w:bookmarkStart w:id="621" w:name="_Toc296891247"/>
      <w:r/>
      <w:bookmarkStart w:id="622" w:name="_Toc296891035"/>
      <w:r/>
      <w:bookmarkStart w:id="623" w:name="_Toc296944546"/>
      <w:r/>
      <w:bookmarkStart w:id="624" w:name="_Toc300935004"/>
      <w:r/>
      <w:bookmarkStart w:id="625" w:name="_Toc292559412"/>
      <w:r/>
      <w:bookmarkStart w:id="626" w:name="_Toc304295581"/>
      <w:r/>
      <w:bookmarkStart w:id="627" w:name="_Toc296503207"/>
      <w:r/>
      <w:bookmarkStart w:id="628" w:name="_Toc296347206"/>
      <w:r/>
      <w:bookmarkStart w:id="629" w:name="_Toc297216213"/>
      <w:r/>
      <w:bookmarkStart w:id="630" w:name="_Toc312678042"/>
      <w:r/>
      <w:bookmarkStart w:id="631" w:name="_Toc297123554"/>
      <w:r/>
      <w:bookmarkStart w:id="632" w:name="_Toc303539161"/>
      <w:r>
        <w:rPr>
          <w:rFonts w:hint="eastAsia" w:ascii="宋体" w:hAnsi="宋体" w:eastAsia="宋体" w:cs="宋体"/>
          <w:color w:val="auto"/>
          <w:sz w:val="21"/>
          <w:szCs w:val="21"/>
          <w:highlight w:val="none"/>
        </w:rPr>
        <w:t xml:space="preserve">12.2 预付款</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b/>
          <w:bCs/>
          <w:color w:val="auto"/>
          <w:sz w:val="21"/>
          <w:szCs w:val="21"/>
          <w:highlight w:val="none"/>
          <w:u w:val="single"/>
        </w:rPr>
        <w:t xml:space="preserve">发包人向承包人预付工程款为签约合同价的10%（凭承包人出具正规发票）</w:t>
      </w:r>
      <w:r>
        <w:rPr>
          <w:rFonts w:hint="eastAsia" w:ascii="宋体" w:hAnsi="宋体" w:eastAsia="宋体" w:cs="宋体"/>
          <w:b/>
          <w:b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auto"/>
          <w:sz w:val="21"/>
          <w:szCs w:val="21"/>
          <w:highlight w:val="none"/>
        </w:rPr>
        <w:t xml:space="preserve">预付款支付期限：</w:t>
      </w:r>
      <w:r>
        <w:rPr>
          <w:rFonts w:hint="eastAsia" w:ascii="宋体" w:hAnsi="宋体" w:cs="宋体"/>
          <w:b/>
          <w:bCs/>
          <w:color w:val="000000"/>
          <w:sz w:val="21"/>
          <w:szCs w:val="21"/>
          <w:highlight w:val="none"/>
          <w:u w:val="single"/>
          <w:lang w:val="en-US" w:eastAsia="zh-CN"/>
        </w:rPr>
        <w:t xml:space="preserve">施工单位完成施工许可证办理的相关工作后支付</w:t>
      </w:r>
      <w:r>
        <w:rPr>
          <w:rFonts w:hint="eastAsia" w:ascii="宋体" w:hAnsi="宋体" w:eastAsia="宋体" w:cs="宋体"/>
          <w:b/>
          <w:bCs/>
          <w:color w:val="000000"/>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b/>
          <w:bCs/>
          <w:color w:val="000000"/>
          <w:sz w:val="21"/>
          <w:szCs w:val="21"/>
          <w:highlight w:val="none"/>
          <w:u w:val="single"/>
        </w:rPr>
        <w:t xml:space="preserve">不扣回，直接视为进度款。</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keepLines w:val="0"/>
        <w:keepNext w:val="0"/>
        <w:pageBreakBefore w:val="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cs="宋体"/>
          <w:b/>
          <w:bCs/>
          <w:spacing w:val="6"/>
          <w:sz w:val="21"/>
          <w:szCs w:val="21"/>
          <w:highlight w:val="none"/>
          <w:u w:val="single"/>
          <w:lang w:val="en-US" w:eastAsia="zh-CN"/>
        </w:rPr>
        <w:t xml:space="preserve">自提交电子履约保函（保险）之日至本工程竣工验收合格之日</w:t>
      </w:r>
      <w:r>
        <w:rPr>
          <w:rFonts w:hint="eastAsia" w:ascii="宋体" w:hAnsi="宋体" w:eastAsia="宋体" w:cs="宋体"/>
          <w:spacing w:val="8"/>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cs="宋体"/>
          <w:b/>
          <w:bCs/>
          <w:spacing w:val="7"/>
          <w:sz w:val="21"/>
          <w:szCs w:val="21"/>
          <w:highlight w:val="none"/>
          <w:u w:val="single"/>
          <w:lang w:val="en-US" w:eastAsia="zh-CN"/>
        </w:rPr>
        <w:t xml:space="preserve">“政府采购电子履约保函（保险）平台”出具的电子履约保函（保险）</w:t>
      </w:r>
      <w:r>
        <w:rPr>
          <w:rFonts w:hint="eastAsia" w:ascii="宋体" w:hAnsi="宋体" w:eastAsia="宋体" w:cs="宋体"/>
          <w:b/>
          <w:sz w:val="21"/>
          <w:szCs w:val="21"/>
          <w:highlight w:val="none"/>
          <w:u w:val="singl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  执行《建设工程工程量清单计价标准》（GB/T50500-2024）和《江苏省建筑与装饰工程消耗量》《江苏省市政工程消耗量》《江苏省通用安装工程消耗量》《江苏省建设工程费用参考》《江苏建设工程施工机具台班费用参考表》、江苏省和连云港市的有关计价文件及相关图集；承包人实际完成的工程量按约定的工程量计算规则和有合同约束力的图纸进行计量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bookmarkStart w:id="633" w:name="_Toc292559921"/>
      <w:r/>
      <w:bookmarkStart w:id="634" w:name="_Toc296891251"/>
      <w:r/>
      <w:bookmarkStart w:id="635" w:name="_Toc296346712"/>
      <w:r/>
      <w:bookmarkStart w:id="636" w:name="_Toc296891039"/>
      <w:r/>
      <w:bookmarkStart w:id="637" w:name="_Toc292559416"/>
      <w:r/>
      <w:bookmarkStart w:id="638" w:name="_Toc297120511"/>
      <w:r/>
      <w:bookmarkStart w:id="639" w:name="_Toc300935006"/>
      <w:r/>
      <w:bookmarkStart w:id="640" w:name="_Toc297216215"/>
      <w:r/>
      <w:bookmarkStart w:id="641" w:name="_Toc297048397"/>
      <w:r/>
      <w:bookmarkStart w:id="642" w:name="_Toc296503211"/>
      <w:r/>
      <w:bookmarkStart w:id="643" w:name="_Toc303539163"/>
      <w:r/>
      <w:bookmarkStart w:id="644" w:name="_Toc296944550"/>
      <w:r/>
      <w:bookmarkStart w:id="645" w:name="_Toc296347210"/>
      <w:r/>
      <w:bookmarkStart w:id="646" w:name="_Toc297123556"/>
      <w:r>
        <w:rPr>
          <w:rFonts w:hint="eastAsia" w:ascii="宋体" w:hAnsi="宋体" w:eastAsia="宋体" w:cs="宋体"/>
          <w:color w:val="auto"/>
          <w:sz w:val="21"/>
          <w:szCs w:val="21"/>
          <w:highlight w:val="none"/>
        </w:rPr>
        <w:t xml:space="preserve">12.4.1 付款周期</w:t>
      </w:r>
      <w:r/>
    </w:p>
    <w:p>
      <w:pPr>
        <w:ind w:firstLine="42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付款方式：本项目</w:t>
      </w:r>
      <w:r>
        <w:rPr>
          <w:rFonts w:hint="eastAsia" w:ascii="宋体" w:hAnsi="宋体" w:eastAsia="宋体" w:cs="宋体"/>
          <w:b/>
          <w:bCs/>
          <w:color w:val="auto"/>
          <w:sz w:val="21"/>
          <w:szCs w:val="21"/>
          <w:highlight w:val="none"/>
          <w:lang w:val="en-US" w:eastAsia="zh-CN"/>
        </w:rPr>
        <w:t xml:space="preserve">预付工程款为签约合同价的10%（需提供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政府采购电子履约保函（保险）平台</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出具的电子履约保函（保险），否则不予支付）；</w:t>
      </w:r>
      <w:r>
        <w:rPr>
          <w:rFonts w:ascii="SimSun" w:hAnsi="SimSun" w:eastAsia="SimSun" w:cs="SimSun"/>
          <w:b/>
          <w:color w:val="000000"/>
          <w:sz w:val="21"/>
          <w:highlight w:val="none"/>
        </w:rPr>
        <w:t xml:space="preserve">农历春节前支付已完工程量50%的合同价款（不超过签约合同价的20%。如超过按照签约合同价的20%支付）</w:t>
      </w:r>
      <w:r>
        <w:rPr>
          <w:rFonts w:ascii="SimSun" w:hAnsi="SimSun" w:eastAsia="SimSun" w:cs="SimSun"/>
          <w:b/>
          <w:color w:val="000000"/>
          <w:sz w:val="21"/>
          <w:highlight w:val="none"/>
        </w:rPr>
        <w:t xml:space="preserve">；</w:t>
      </w:r>
      <w:r>
        <w:rPr>
          <w:rFonts w:hint="eastAsia" w:ascii="宋体" w:hAnsi="宋体" w:eastAsia="宋体" w:cs="宋体"/>
          <w:b/>
          <w:bCs/>
          <w:color w:val="auto"/>
          <w:sz w:val="21"/>
          <w:szCs w:val="21"/>
          <w:highlight w:val="none"/>
        </w:rPr>
        <w:t xml:space="preserve">工程完工经验收合格(出具竣工验收报告)后付至合同价款的</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0%，工程结算审计完成(出具审计报告)后付至结算价款的 97%，余款在缺陷期满后一次性付清(无息)。</w:t>
      </w:r>
      <w:r/>
    </w:p>
    <w:p>
      <w:pPr>
        <w:ind w:firstLine="42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注：每次付款前乙方应根据招标人要求向甲方出具正规发票，甲方自收到发票后10个工作日内将资金支付至合同约定的乙方账户（发票开具日期计算）。</w:t>
      </w:r>
      <w:r/>
    </w:p>
    <w:p>
      <w:pPr>
        <w:ind w:firstLine="42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乙方账户信息：</w:t>
      </w:r>
      <w:r/>
    </w:p>
    <w:p>
      <w:pPr>
        <w:ind w:firstLine="42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单位名称：</w:t>
      </w:r>
      <w:r/>
    </w:p>
    <w:p>
      <w:pPr>
        <w:ind w:firstLine="42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纳税人识别号：</w:t>
      </w:r>
      <w:r/>
    </w:p>
    <w:p>
      <w:pPr>
        <w:ind w:firstLine="42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开户银行：</w:t>
      </w:r>
      <w:r/>
    </w:p>
    <w:p>
      <w:pPr>
        <w:ind w:firstLine="420"/>
        <w:jc w:val="left"/>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银行帐号：</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不含工程变更、签证、索赔费用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施工至合同约定付款节点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在收到承包人进度付款申请单以及相关资料后7日内完成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在收到监理人报送的进度付款申请单及相关资料后30日内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在进度款支付证书签发后14天内完成支付 </w:t>
      </w:r>
      <w:r>
        <w:rPr>
          <w:rFonts w:hint="eastAsia" w:ascii="宋体" w:hAnsi="宋体" w:eastAsia="宋体" w:cs="宋体"/>
          <w:color w:val="auto"/>
          <w:sz w:val="21"/>
          <w:szCs w:val="21"/>
          <w:highlight w:val="none"/>
        </w:rPr>
        <w:t xml:space="preserve">。</w:t>
      </w:r>
      <w:r/>
    </w:p>
    <w:p>
      <w:pPr>
        <w:ind w:firstLine="52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52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76"/>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647" w:name="_Toc351203645"/>
      <w:r/>
      <w:bookmarkStart w:id="648" w:name="_Toc304295593"/>
      <w:r/>
      <w:bookmarkStart w:id="649" w:name="_Toc292559929"/>
      <w:r/>
      <w:bookmarkStart w:id="650" w:name="_Toc297120519"/>
      <w:r/>
      <w:bookmarkStart w:id="651" w:name="_Toc296891047"/>
      <w:r/>
      <w:bookmarkStart w:id="652" w:name="_Toc292559424"/>
      <w:r/>
      <w:bookmarkStart w:id="653" w:name="_Toc303539172"/>
      <w:r/>
      <w:bookmarkStart w:id="654" w:name="_Toc296346720"/>
      <w:r/>
      <w:bookmarkStart w:id="655" w:name="_Toc312678053"/>
      <w:r/>
      <w:bookmarkStart w:id="656" w:name="_Toc296503219"/>
      <w:r/>
      <w:bookmarkStart w:id="657" w:name="_Toc296944558"/>
      <w:r/>
      <w:bookmarkStart w:id="658" w:name="_Toc296891259"/>
      <w:r/>
      <w:bookmarkStart w:id="659" w:name="_Toc300935015"/>
      <w:r/>
      <w:bookmarkStart w:id="660" w:name="_Toc297048405"/>
      <w:r/>
      <w:bookmarkStart w:id="661" w:name="_Toc296347218"/>
      <w:r/>
      <w:bookmarkStart w:id="662" w:name="_Toc297123564"/>
      <w:r/>
      <w:bookmarkStart w:id="663" w:name="_Toc297216223"/>
      <w:r>
        <w:rPr>
          <w:rFonts w:hint="eastAsia" w:ascii="宋体" w:hAnsi="宋体" w:eastAsia="宋体" w:cs="宋体"/>
          <w:b w:val="0"/>
          <w:color w:val="auto"/>
          <w:sz w:val="21"/>
          <w:szCs w:val="21"/>
          <w:highlight w:val="none"/>
        </w:rPr>
        <w:t xml:space="preserve">13. 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firstLine="420"/>
        <w:pageBreakBefore w:val="0"/>
        <w:spacing w:line="360" w:lineRule="auto"/>
        <w:rPr>
          <w:rFonts w:hint="eastAsia" w:ascii="宋体" w:hAnsi="宋体" w:eastAsia="宋体" w:cs="宋体"/>
          <w:color w:val="auto"/>
          <w:sz w:val="21"/>
          <w:szCs w:val="21"/>
          <w:highlight w:val="none"/>
        </w:rPr>
      </w:pPr>
      <w:r/>
      <w:bookmarkStart w:id="664" w:name="_Toc297123565"/>
      <w:r/>
      <w:bookmarkStart w:id="665" w:name="_Toc304295596"/>
      <w:r/>
      <w:bookmarkStart w:id="666" w:name="_Toc312678056"/>
      <w:r/>
      <w:bookmarkStart w:id="667" w:name="_Toc300935016"/>
      <w:r/>
      <w:bookmarkStart w:id="668" w:name="_Toc297216224"/>
      <w:r/>
      <w:bookmarkStart w:id="669" w:name="_Toc303539173"/>
      <w:r/>
      <w:bookmarkStart w:id="670" w:name="_Toc296503223"/>
      <w:r/>
      <w:bookmarkStart w:id="671" w:name="_Toc297120523"/>
      <w:r/>
      <w:bookmarkStart w:id="672" w:name="_Toc292559428"/>
      <w:r/>
      <w:bookmarkStart w:id="673" w:name="_Toc297048409"/>
      <w:r/>
      <w:bookmarkStart w:id="674" w:name="_Toc292559933"/>
      <w:r/>
      <w:bookmarkStart w:id="675" w:name="_Toc296346724"/>
      <w:r/>
      <w:bookmarkStart w:id="676" w:name="_Toc296891051"/>
      <w:r/>
      <w:bookmarkStart w:id="677" w:name="_Toc296891263"/>
      <w:r/>
      <w:bookmarkStart w:id="678" w:name="_Toc296347222"/>
      <w:r/>
      <w:bookmarkStart w:id="679" w:name="_Toc296944562"/>
      <w:r/>
      <w:bookmarkStart w:id="680" w:name="_Toc267251472"/>
      <w:r/>
      <w:bookmarkStart w:id="681" w:name="_Toc267251471"/>
      <w:r/>
      <w:bookmarkStart w:id="682" w:name="_Toc267251473"/>
      <w:r/>
      <w:bookmarkStart w:id="683" w:name="_Toc267251470"/>
      <w:r/>
      <w:bookmarkStart w:id="684" w:name="_Toc267251476"/>
      <w:r/>
      <w:bookmarkStart w:id="685" w:name="_Toc267251474"/>
      <w:r/>
      <w:bookmarkStart w:id="686" w:name="_Toc267251475"/>
      <w:r>
        <w:rPr>
          <w:rFonts w:hint="eastAsia" w:ascii="宋体" w:hAnsi="宋体" w:eastAsia="宋体" w:cs="宋体"/>
          <w:color w:val="auto"/>
          <w:sz w:val="21"/>
          <w:szCs w:val="21"/>
          <w:highlight w:val="none"/>
        </w:rPr>
        <w:t xml:space="preserve">13.2 竣工验收</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ind w:firstLine="420"/>
        <w:jc w:val="left"/>
        <w:pageBreakBefore w:val="0"/>
        <w:spacing w:line="360" w:lineRule="auto"/>
        <w:rPr>
          <w:rFonts w:hint="eastAsia" w:ascii="宋体" w:hAnsi="宋体" w:eastAsia="宋体" w:cs="宋体"/>
          <w:color w:val="auto"/>
          <w:sz w:val="21"/>
          <w:szCs w:val="21"/>
          <w:highlight w:val="none"/>
        </w:rPr>
      </w:pPr>
      <w:r/>
      <w:bookmarkStart w:id="687" w:name="_Toc280868704"/>
      <w:r/>
      <w:bookmarkStart w:id="688" w:name="_Toc280868705"/>
      <w:r/>
      <w:bookmarkStart w:id="689" w:name="_Toc280868706"/>
      <w:r/>
      <w:bookmarkStart w:id="690" w:name="_Toc280868707"/>
      <w:r/>
      <w:bookmarkStart w:id="691" w:name="_Toc280868708"/>
      <w:r/>
      <w:bookmarkStart w:id="692" w:name="_Toc280868709"/>
      <w:r>
        <w:rPr>
          <w:rFonts w:hint="eastAsia" w:ascii="宋体" w:hAnsi="宋体" w:eastAsia="宋体" w:cs="宋体"/>
          <w:color w:val="auto"/>
          <w:sz w:val="21"/>
          <w:szCs w:val="21"/>
          <w:highlight w:val="none"/>
        </w:rPr>
        <w:t xml:space="preserve">13.2.2竣工验收程序</w:t>
      </w:r>
      <w:bookmarkEnd w:id="68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bookmarkEnd w:id="688"/>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68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在颁发工程接收证书后7日内完成工程的移交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bookmarkEnd w:id="690"/>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  每推迟一天，承包人赔偿给发包人工程总价款5‰的违约金，违约金从工程竣工结算款中扣除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691"/>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在移交结束后7日内完成竣工退场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693" w:name="_Toc351203646"/>
      <w:r>
        <w:rPr>
          <w:rFonts w:hint="eastAsia" w:ascii="宋体" w:hAnsi="宋体" w:eastAsia="宋体" w:cs="宋体"/>
          <w:b w:val="0"/>
          <w:color w:val="auto"/>
          <w:sz w:val="21"/>
          <w:szCs w:val="21"/>
          <w:highlight w:val="none"/>
        </w:rPr>
        <w:t xml:space="preserve">14. 竣工结算</w:t>
      </w:r>
      <w:bookmarkEnd w:id="69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在工程竣工验收合格后28天内向发包人和监理人提交竣工结算申请单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（1）竣工结算合同价格；</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（2）发包人已支付承包人的款项；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（3）应扣留的质量保证金；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（4）发包人应支付承包人的合同价款。 </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发包人在收到承包人提交竣工结算申请书后6个月内完成审批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发包人应在签发竣工付款证书后，完成对承包人的竣工付款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w:t>
      </w:r>
      <w:r>
        <w:rPr>
          <w:rFonts w:hint="eastAsia" w:ascii="宋体" w:hAnsi="宋体" w:eastAsia="宋体" w:cs="宋体"/>
          <w:color w:val="auto"/>
          <w:sz w:val="21"/>
          <w:szCs w:val="21"/>
          <w:highlight w:val="none"/>
        </w:rPr>
        <w:t xml:space="preserve">。</w:t>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工程结算值经最终审定后，核减额5%以内的审计费由发包人支付，超过5%部分的审计费由承包人支付，从工程款中扣除。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按发包人要求执行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在缺陷责任期终止证书颁发后7日内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按发包人工作流程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在颁发最终结清证书后完成支付</w:t>
      </w:r>
      <w:r>
        <w:rPr>
          <w:rFonts w:hint="eastAsia" w:ascii="宋体" w:hAnsi="宋体" w:eastAsia="宋体" w:cs="宋体"/>
          <w:color w:val="auto"/>
          <w:sz w:val="21"/>
          <w:szCs w:val="21"/>
          <w:highlight w:val="none"/>
        </w:rPr>
        <w:t xml:space="preserve">。     </w:t>
      </w:r>
      <w:bookmarkEnd w:id="680"/>
      <w:r/>
      <w:bookmarkEnd w:id="681"/>
      <w:r/>
      <w:bookmarkEnd w:id="682"/>
      <w:r/>
      <w:bookmarkEnd w:id="683"/>
      <w:r/>
      <w:bookmarkEnd w:id="684"/>
      <w:r/>
      <w:bookmarkEnd w:id="685"/>
      <w:r/>
      <w:bookmarkEnd w:id="686"/>
      <w:r/>
      <w:bookmarkEnd w:id="692"/>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694" w:name="_Toc351203647"/>
      <w:r/>
      <w:bookmarkStart w:id="695" w:name="_Toc267251483"/>
      <w:r/>
      <w:bookmarkStart w:id="696" w:name="_Toc267251484"/>
      <w:r/>
      <w:bookmarkStart w:id="697" w:name="_Toc267251482"/>
      <w:r/>
      <w:bookmarkStart w:id="698" w:name="_Toc267251485"/>
      <w:r/>
      <w:bookmarkStart w:id="699" w:name="_Toc267251489"/>
      <w:r/>
      <w:bookmarkStart w:id="700" w:name="_Toc267251490"/>
      <w:r/>
      <w:bookmarkStart w:id="701" w:name="_Toc267251486"/>
      <w:r/>
      <w:bookmarkStart w:id="702" w:name="_Toc267251488"/>
      <w:r/>
      <w:bookmarkStart w:id="703" w:name="_Toc267251491"/>
      <w:r/>
      <w:bookmarkStart w:id="704" w:name="_Toc267251502"/>
      <w:r/>
      <w:bookmarkStart w:id="705" w:name="_Toc267251499"/>
      <w:r/>
      <w:bookmarkStart w:id="706" w:name="_Toc267251497"/>
      <w:r/>
      <w:bookmarkStart w:id="707" w:name="_Toc267251495"/>
      <w:r/>
      <w:bookmarkStart w:id="708" w:name="_Toc267251503"/>
      <w:r/>
      <w:bookmarkStart w:id="709" w:name="_Toc267251498"/>
      <w:r/>
      <w:bookmarkStart w:id="710" w:name="_Toc267251494"/>
      <w:r/>
      <w:bookmarkStart w:id="711" w:name="_Toc267251492"/>
      <w:r/>
      <w:bookmarkStart w:id="712" w:name="_Toc267251493"/>
      <w:r/>
      <w:bookmarkStart w:id="713" w:name="_Toc267251496"/>
      <w:r/>
      <w:bookmarkStart w:id="714" w:name="_Toc267251501"/>
      <w:r/>
      <w:bookmarkStart w:id="715" w:name="_Toc267251506"/>
      <w:r/>
      <w:bookmarkStart w:id="716" w:name="_Toc267251504"/>
      <w:r/>
      <w:bookmarkStart w:id="717" w:name="_Toc267251507"/>
      <w:r/>
      <w:bookmarkStart w:id="718" w:name="_Toc267251508"/>
      <w:r/>
      <w:bookmarkStart w:id="719" w:name="_Toc267251514"/>
      <w:r/>
      <w:bookmarkStart w:id="720" w:name="_Toc267251510"/>
      <w:r/>
      <w:bookmarkStart w:id="721" w:name="_Toc267251509"/>
      <w:r/>
      <w:bookmarkStart w:id="722" w:name="_Toc267251511"/>
      <w:r/>
      <w:bookmarkStart w:id="723" w:name="_Toc267251513"/>
      <w:r/>
      <w:bookmarkStart w:id="724" w:name="_Toc267251515"/>
      <w:r>
        <w:rPr>
          <w:rFonts w:hint="eastAsia" w:ascii="宋体" w:hAnsi="宋体" w:eastAsia="宋体" w:cs="宋体"/>
          <w:b w:val="0"/>
          <w:color w:val="auto"/>
          <w:sz w:val="21"/>
          <w:szCs w:val="21"/>
          <w:highlight w:val="none"/>
        </w:rPr>
        <w:t xml:space="preserve">15. 缺陷责任期与保修</w:t>
      </w:r>
      <w:bookmarkEnd w:id="694"/>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695"/>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自实际竣工日期起</w:t>
      </w:r>
      <w:r>
        <w:rPr>
          <w:rFonts w:hint="eastAsia" w:ascii="宋体" w:hAnsi="宋体" w:eastAsia="宋体" w:cs="宋体"/>
          <w:b/>
          <w:color w:val="auto"/>
          <w:sz w:val="21"/>
          <w:szCs w:val="21"/>
          <w:highlight w:val="none"/>
          <w:u w:val="single"/>
          <w:lang w:val="en-US" w:eastAsia="zh-CN"/>
        </w:rPr>
        <w:t xml:space="preserve">24</w:t>
      </w:r>
      <w:r>
        <w:rPr>
          <w:rFonts w:hint="eastAsia" w:ascii="宋体" w:hAnsi="宋体" w:eastAsia="宋体" w:cs="宋体"/>
          <w:b/>
          <w:color w:val="auto"/>
          <w:sz w:val="21"/>
          <w:szCs w:val="21"/>
          <w:highlight w:val="none"/>
          <w:u w:val="single"/>
        </w:rPr>
        <w:t xml:space="preserve">个月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 质量保证金</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扣留    </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15.3.1 承包人提供质量保证金的方式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%的工程款；</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工程结算价的3%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15.3.2 质量保证金的扣留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（2）工程竣工结算时一次性扣留质量保证金；</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在颁发最终结清证书后30日内无息退还   </w:t>
      </w:r>
      <w:r>
        <w:rPr>
          <w:rFonts w:hint="eastAsia" w:ascii="宋体" w:hAnsi="宋体" w:eastAsia="宋体" w:cs="宋体"/>
          <w:color w:val="auto"/>
          <w:sz w:val="21"/>
          <w:szCs w:val="21"/>
          <w:highlight w:val="none"/>
        </w:rPr>
        <w:t xml:space="preserve">。</w:t>
      </w:r>
      <w:bookmarkEnd w:id="696"/>
      <w:r/>
      <w:bookmarkEnd w:id="69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698"/>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2</w:t>
      </w:r>
      <w:r>
        <w:rPr>
          <w:rFonts w:hint="eastAsia" w:ascii="宋体" w:hAnsi="宋体" w:eastAsia="宋体" w:cs="宋体"/>
          <w:color w:val="auto"/>
          <w:sz w:val="21"/>
          <w:szCs w:val="21"/>
          <w:highlight w:val="none"/>
          <w:u w:val="single"/>
        </w:rPr>
        <w:t xml:space="preserve">年  </w:t>
      </w:r>
      <w:r>
        <w:rPr>
          <w:rFonts w:hint="eastAsia" w:ascii="宋体" w:hAnsi="宋体" w:eastAsia="宋体" w:cs="宋体"/>
          <w:color w:val="auto"/>
          <w:sz w:val="21"/>
          <w:szCs w:val="21"/>
          <w:highlight w:val="none"/>
        </w:rPr>
        <w:t xml:space="preserve">。</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收到保修通知或口头通知后48小时内</w:t>
      </w:r>
      <w:r>
        <w:rPr>
          <w:rFonts w:hint="eastAsia" w:ascii="宋体" w:hAnsi="宋体" w:eastAsia="宋体" w:cs="宋体"/>
          <w:color w:val="auto"/>
          <w:sz w:val="21"/>
          <w:szCs w:val="21"/>
          <w:highlight w:val="none"/>
        </w:rPr>
        <w:t xml:space="preserve">。</w:t>
      </w:r>
      <w:bookmarkEnd w:id="699"/>
      <w:r/>
      <w:bookmarkEnd w:id="700"/>
      <w:r/>
      <w:bookmarkEnd w:id="701"/>
      <w:r/>
      <w:bookmarkEnd w:id="702"/>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25" w:name="_Toc351203648"/>
      <w:r/>
      <w:bookmarkStart w:id="726" w:name="_Toc280868717"/>
      <w:r/>
      <w:bookmarkStart w:id="727" w:name="_Toc280868718"/>
      <w:r>
        <w:rPr>
          <w:rFonts w:hint="eastAsia" w:ascii="宋体" w:hAnsi="宋体" w:eastAsia="宋体" w:cs="宋体"/>
          <w:b w:val="0"/>
          <w:color w:val="auto"/>
          <w:sz w:val="21"/>
          <w:szCs w:val="21"/>
          <w:highlight w:val="none"/>
        </w:rPr>
        <w:t xml:space="preserve">16. 违约</w:t>
      </w:r>
      <w:bookmarkEnd w:id="725"/>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left="1050" w:hanging="105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发包人承担</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 承包人承担全部费用，费用工期不顺延 。工期延误每延误一天，承包人赔偿给发包人合同总价款5‰的违约金。</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  发包人没收全部履约保证金并暂停对承包人的付款 </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施工现场的材料、设备由发包人承担费用，其它费用由承包人承担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28" w:name="_Toc351203649"/>
      <w:r>
        <w:rPr>
          <w:rFonts w:hint="eastAsia" w:ascii="宋体" w:hAnsi="宋体" w:eastAsia="宋体" w:cs="宋体"/>
          <w:b w:val="0"/>
          <w:color w:val="auto"/>
          <w:sz w:val="21"/>
          <w:szCs w:val="21"/>
          <w:highlight w:val="none"/>
        </w:rPr>
        <w:t xml:space="preserve">17. 不可抗力</w:t>
      </w:r>
      <w:bookmarkEnd w:id="728"/>
      <w:r>
        <w:rPr>
          <w:rFonts w:hint="eastAsia" w:ascii="宋体" w:hAnsi="宋体" w:eastAsia="宋体" w:cs="宋体"/>
          <w:b w:val="0"/>
          <w:color w:val="auto"/>
          <w:sz w:val="21"/>
          <w:szCs w:val="21"/>
          <w:highlight w:val="none"/>
        </w:rPr>
        <w:t xml:space="preserve"> </w:t>
      </w:r>
      <w:bookmarkEnd w:id="726"/>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战争、动乱、空中飞行物体坠落以及洪水、地震、重大疫情等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29" w:name="_Toc351203650"/>
      <w:r>
        <w:rPr>
          <w:rFonts w:hint="eastAsia" w:ascii="宋体" w:hAnsi="宋体" w:eastAsia="宋体" w:cs="宋体"/>
          <w:b w:val="0"/>
          <w:color w:val="auto"/>
          <w:sz w:val="21"/>
          <w:szCs w:val="21"/>
          <w:highlight w:val="none"/>
        </w:rPr>
        <w:t xml:space="preserve">18. 保险</w:t>
      </w:r>
      <w:bookmarkEnd w:id="727"/>
      <w:r/>
      <w:bookmarkEnd w:id="72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为工程购买建筑工程一切险，保险费用由承包人支付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承包人为施工现场的全部人员办理意外伤害保险、工程事故保险。一切事故均与发包方无关。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承包人为其施工设备等办理财产保险</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变更前应事先征得对方同意并通知监理人</w:t>
      </w:r>
      <w:r>
        <w:rPr>
          <w:rFonts w:hint="eastAsia" w:ascii="宋体" w:hAnsi="宋体" w:eastAsia="宋体" w:cs="宋体"/>
          <w:color w:val="auto"/>
          <w:sz w:val="21"/>
          <w:szCs w:val="21"/>
          <w:highlight w:val="none"/>
        </w:rPr>
        <w:t xml:space="preserve">。</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30" w:name="_Toc351203651"/>
      <w:r>
        <w:rPr>
          <w:rFonts w:hint="eastAsia" w:ascii="宋体" w:hAnsi="宋体" w:eastAsia="宋体" w:cs="宋体"/>
          <w:b w:val="0"/>
          <w:color w:val="auto"/>
          <w:sz w:val="21"/>
          <w:szCs w:val="21"/>
          <w:highlight w:val="none"/>
        </w:rPr>
        <w:t xml:space="preserve">20. 争议解决</w:t>
      </w:r>
      <w:bookmarkEnd w:id="715"/>
      <w:r/>
      <w:bookmarkEnd w:id="716"/>
      <w:r/>
      <w:bookmarkEnd w:id="730"/>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717"/>
      <w:r>
        <w:rPr>
          <w:rFonts w:hint="eastAsia" w:ascii="宋体" w:hAnsi="宋体" w:eastAsia="宋体" w:cs="宋体"/>
          <w:color w:val="auto"/>
          <w:sz w:val="21"/>
          <w:szCs w:val="21"/>
          <w:highlight w:val="none"/>
        </w:rPr>
        <w:t xml:space="preserve">议评审</w:t>
      </w:r>
      <w:r/>
    </w:p>
    <w:p>
      <w:pPr>
        <w:ind w:left="149" w:firstLine="31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718"/>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工程所在地有管辖权   </w:t>
      </w:r>
      <w:r>
        <w:rPr>
          <w:rFonts w:hint="eastAsia" w:ascii="宋体" w:hAnsi="宋体" w:eastAsia="宋体" w:cs="宋体"/>
          <w:color w:val="auto"/>
          <w:sz w:val="21"/>
          <w:szCs w:val="21"/>
          <w:highlight w:val="none"/>
        </w:rPr>
        <w:t xml:space="preserve">人民法院起诉。</w:t>
      </w:r>
      <w:bookmarkEnd w:id="719"/>
      <w:r/>
      <w:bookmarkEnd w:id="720"/>
      <w:r/>
      <w:bookmarkEnd w:id="721"/>
      <w:r/>
      <w:bookmarkEnd w:id="722"/>
      <w:r/>
      <w:bookmarkEnd w:id="723"/>
      <w:r/>
      <w:bookmarkEnd w:id="724"/>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rPr>
        <w:t xml:space="preserve">结算时，以</w:t>
      </w:r>
      <w:r>
        <w:rPr>
          <w:rFonts w:hint="eastAsia" w:ascii="宋体" w:hAnsi="宋体" w:eastAsia="宋体" w:cs="宋体"/>
          <w:color w:val="000000"/>
          <w:sz w:val="21"/>
          <w:szCs w:val="21"/>
          <w:highlight w:val="none"/>
          <w:lang w:val="en-US" w:eastAsia="zh-CN"/>
        </w:rPr>
        <w:t xml:space="preserve">成交价</w:t>
      </w:r>
      <w:r>
        <w:rPr>
          <w:rFonts w:hint="eastAsia" w:ascii="宋体" w:hAnsi="宋体" w:eastAsia="宋体" w:cs="宋体"/>
          <w:color w:val="000000"/>
          <w:sz w:val="21"/>
          <w:szCs w:val="21"/>
          <w:highlight w:val="none"/>
        </w:rPr>
        <w:t xml:space="preserve">及本合同中明确的调整因素、办法为依据进行调整。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为了确保工程顺利完成，施工期间若承包人有违背</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含合同条件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有关规定之行为，承包人无条件接受</w:t>
      </w:r>
      <w:r>
        <w:rPr>
          <w:rFonts w:hint="eastAsia" w:ascii="宋体" w:hAnsi="宋体" w:eastAsia="宋体" w:cs="宋体"/>
          <w:color w:val="000000"/>
          <w:sz w:val="21"/>
          <w:szCs w:val="21"/>
          <w:highlight w:val="none"/>
          <w:lang w:eastAsia="zh-CN"/>
        </w:rPr>
        <w:t xml:space="preserve">发包</w:t>
      </w:r>
      <w:r>
        <w:rPr>
          <w:rFonts w:hint="eastAsia" w:ascii="宋体" w:hAnsi="宋体" w:eastAsia="宋体" w:cs="宋体"/>
          <w:color w:val="000000"/>
          <w:sz w:val="21"/>
          <w:szCs w:val="21"/>
          <w:highlight w:val="none"/>
        </w:rPr>
        <w:t xml:space="preserve">人的一切处罚并赔偿所造成的一切损失，在</w:t>
      </w:r>
      <w:r>
        <w:rPr>
          <w:rFonts w:hint="eastAsia" w:ascii="宋体" w:hAnsi="宋体" w:eastAsia="宋体" w:cs="宋体"/>
          <w:color w:val="000000"/>
          <w:sz w:val="21"/>
          <w:szCs w:val="21"/>
          <w:highlight w:val="none"/>
          <w:lang w:val="en-US" w:eastAsia="zh-CN"/>
        </w:rPr>
        <w:t xml:space="preserve">发包人</w:t>
      </w:r>
      <w:r>
        <w:rPr>
          <w:rFonts w:hint="eastAsia" w:ascii="宋体" w:hAnsi="宋体" w:eastAsia="宋体" w:cs="宋体"/>
          <w:color w:val="000000"/>
          <w:sz w:val="21"/>
          <w:szCs w:val="21"/>
          <w:highlight w:val="none"/>
        </w:rPr>
        <w:t xml:space="preserve">规定的时间内无条件撤出施工现场。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rPr>
        <w:t xml:space="preserve">承包人必须保证施工期间的民工工资发放，向有关部门足额缴纳该项保证金。若出现拖欠民工工资，视同承包人违约，发包人</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含拖欠的民工工资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的10%违约金，直至扣完为止。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特别申明：承包人未按施工进度计划要求完成施工内容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21.6</w:t>
      </w:r>
      <w:r>
        <w:rPr>
          <w:rFonts w:hint="eastAsia" w:ascii="宋体" w:hAnsi="宋体" w:eastAsia="宋体" w:cs="宋体"/>
          <w:color w:val="000000"/>
          <w:sz w:val="21"/>
          <w:szCs w:val="21"/>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21.7</w:t>
      </w:r>
      <w:r>
        <w:rPr>
          <w:rFonts w:hint="eastAsia" w:ascii="宋体" w:hAnsi="宋体" w:eastAsia="宋体" w:cs="宋体"/>
          <w:color w:val="000000"/>
          <w:sz w:val="21"/>
          <w:szCs w:val="21"/>
          <w:highlight w:val="none"/>
        </w:rPr>
        <w:t xml:space="preserve">施工过程中，如发生扰民及正常施工过程民扰的现象，所产生的费用均由承包单位承担。</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21.8</w:t>
      </w:r>
      <w:r>
        <w:rPr>
          <w:rFonts w:hint="eastAsia" w:ascii="宋体" w:hAnsi="宋体" w:eastAsia="宋体" w:cs="宋体"/>
          <w:color w:val="000000"/>
          <w:sz w:val="21"/>
          <w:szCs w:val="21"/>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21.9</w:t>
      </w:r>
      <w:r>
        <w:rPr>
          <w:rFonts w:hint="eastAsia" w:ascii="宋体" w:hAnsi="宋体" w:eastAsia="宋体" w:cs="宋体"/>
          <w:color w:val="000000"/>
          <w:sz w:val="21"/>
          <w:szCs w:val="21"/>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21.10</w:t>
      </w:r>
      <w:r>
        <w:rPr>
          <w:rFonts w:hint="eastAsia" w:ascii="宋体" w:hAnsi="宋体" w:eastAsia="宋体" w:cs="宋体"/>
          <w:color w:val="000000"/>
          <w:sz w:val="21"/>
          <w:szCs w:val="21"/>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ageBreakBefore w:val="0"/>
        <w:spacing w:line="440" w:lineRule="exact"/>
        <w:rPr>
          <w:rFonts w:hint="eastAsia" w:ascii="宋体" w:hAnsi="宋体" w:eastAsia="宋体" w:cs="宋体"/>
          <w:b/>
          <w:color w:val="000000"/>
          <w:sz w:val="21"/>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s="宋体"/>
          <w:b/>
          <w:color w:val="000000"/>
          <w:sz w:val="21"/>
          <w:szCs w:val="21"/>
          <w:highlight w:val="none"/>
        </w:rPr>
      </w:r>
      <w:r/>
    </w:p>
    <w:p>
      <w:pPr>
        <w:pStyle w:val="1127"/>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keepLines w:val="0"/>
        <w:keepNext w:val="0"/>
        <w:pageBreakBefore w:val="0"/>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keepLines w:val="0"/>
        <w:keepNext w:val="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连云区青少年校外活动中心分部(原平山幼儿园)装修工程（含消防）</w:t>
      </w:r>
      <w:r>
        <w:rPr>
          <w:rFonts w:ascii="宋体" w:hAnsi="宋体"/>
          <w:color w:val="000000"/>
          <w:sz w:val="21"/>
          <w:szCs w:val="21"/>
          <w:highlight w:val="none"/>
        </w:rPr>
        <w:t xml:space="preserve">签订工程质量保修书。</w:t>
      </w:r>
      <w:r/>
    </w:p>
    <w:p>
      <w:pPr>
        <w:ind w:firstLine="420"/>
        <w:keepLines w:val="0"/>
        <w:keepNext w:val="0"/>
        <w:pageBreakBefore w:val="0"/>
        <w:spacing w:line="360" w:lineRule="auto"/>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供应商在质量保修期内，按照有关法律规定和合同约定，承担工程质量保修责任。</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质量保修范围，双方约定如下：供应商施工范围内的全部内容。</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二、质量保修期</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质量保修期从工程实际竣工之日算起。分单项竣工验收的工程，按单项工程分别计算质量保修期。</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双方根据国家有关规定，结合具体工程约定质量保修期如下：</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土建工程为   2  年，屋面防水工程为   </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  年；</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电气管线、上下水管线安装工程为   2  年；</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供热及供冷为   2  个采暖期及供冷期；</w:t>
      </w:r>
      <w:r/>
    </w:p>
    <w:p>
      <w:pPr>
        <w:ind w:firstLine="420"/>
        <w:keepLines w:val="0"/>
        <w:keepNext w:val="0"/>
        <w:pageBreakBefore w:val="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室外的上下水和小区道路等市政公用工程为   2  年</w:t>
      </w:r>
      <w:r>
        <w:rPr>
          <w:rFonts w:hint="eastAsia" w:ascii="宋体" w:hAnsi="宋体" w:eastAsia="宋体" w:cs="Times New Roman"/>
          <w:color w:val="000000"/>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其他约定</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 本项目质保期2年   。</w:t>
      </w:r>
      <w:r>
        <w:rPr>
          <w:rFonts w:hint="eastAsia" w:ascii="宋体" w:hAnsi="宋体" w:eastAsia="宋体" w:cs="Times New Roman"/>
          <w:color w:val="000000"/>
          <w:sz w:val="21"/>
          <w:szCs w:val="21"/>
          <w:highlight w:val="none"/>
        </w:rPr>
        <w:t xml:space="preserve">          </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质量保修期自工程竣工验收合格之日起计算。</w:t>
      </w:r>
      <w:r/>
    </w:p>
    <w:p>
      <w:pPr>
        <w:ind w:firstLine="420"/>
        <w:keepLines w:val="0"/>
        <w:keepNext w:val="0"/>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三、缺陷责任期</w:t>
      </w:r>
      <w:r/>
    </w:p>
    <w:p>
      <w:pPr>
        <w:ind w:firstLine="420"/>
        <w:keepLines w:val="0"/>
        <w:keepNext w:val="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keepLines w:val="0"/>
        <w:keepNext w:val="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keepLines w:val="0"/>
        <w:keepNext w:val="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　　五、保修费用</w:t>
      </w:r>
      <w:r/>
    </w:p>
    <w:p>
      <w:pPr>
        <w:keepLines w:val="0"/>
        <w:keepNext w:val="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keepLines w:val="0"/>
        <w:keepNext w:val="0"/>
        <w:pageBreakBefore w:val="0"/>
        <w:spacing w:line="360" w:lineRule="auto"/>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keepLines w:val="0"/>
        <w:keepNext w:val="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keepLines w:val="0"/>
        <w:keepNext w:val="0"/>
        <w:pageBreakBefore w:val="0"/>
        <w:spacing w:line="360" w:lineRule="auto"/>
        <w:rPr>
          <w:rFonts w:ascii="宋体" w:hAnsi="宋体"/>
          <w:color w:val="000000"/>
          <w:sz w:val="21"/>
          <w:szCs w:val="21"/>
          <w:highlight w:val="none"/>
        </w:rPr>
      </w:pPr>
      <w:r>
        <w:rPr>
          <w:rFonts w:ascii="宋体" w:hAnsi="宋体"/>
          <w:color w:val="000000"/>
          <w:sz w:val="21"/>
          <w:szCs w:val="21"/>
          <w:highlight w:val="none"/>
        </w:rPr>
      </w:r>
      <w:r/>
    </w:p>
    <w:p>
      <w:pPr>
        <w:ind w:firstLine="420"/>
        <w:keepLines w:val="0"/>
        <w:keepNext w:val="0"/>
        <w:pageBreakBefore w:val="0"/>
        <w:spacing w:line="360" w:lineRule="auto"/>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keepLines w:val="0"/>
        <w:keepNext w:val="0"/>
        <w:pageBreakBefore w:val="0"/>
        <w:spacing w:line="360" w:lineRule="auto"/>
        <w:rPr>
          <w:rFonts w:ascii="宋体" w:hAnsi="宋体"/>
          <w:sz w:val="21"/>
          <w:szCs w:val="21"/>
          <w:highlight w:val="none"/>
        </w:rPr>
      </w:pPr>
      <w:r>
        <w:rPr>
          <w:rFonts w:ascii="宋体" w:hAnsi="宋体"/>
          <w:sz w:val="21"/>
          <w:szCs w:val="21"/>
          <w:highlight w:val="none"/>
        </w:rPr>
      </w:r>
      <w:r/>
    </w:p>
    <w:p>
      <w:pPr>
        <w:pStyle w:val="1110"/>
        <w:ind w:left="359" w:right="23"/>
        <w:keepLines w:val="0"/>
        <w:keepNext w:val="0"/>
        <w:pageBreakBefore w:val="0"/>
        <w:spacing w:before="0" w:after="0" w:line="360" w:lineRule="auto"/>
        <w:widowControl/>
        <w:rPr>
          <w:rFonts w:ascii="宋体" w:hAnsi="宋体"/>
          <w:sz w:val="21"/>
          <w:szCs w:val="21"/>
          <w:highlight w:val="none"/>
        </w:rPr>
      </w:pPr>
      <w:r>
        <w:rPr>
          <w:rFonts w:ascii="宋体" w:hAnsi="宋体"/>
          <w:sz w:val="21"/>
          <w:szCs w:val="21"/>
          <w:highlight w:val="none"/>
        </w:rPr>
      </w:r>
      <w:r/>
    </w:p>
    <w:p>
      <w:pPr>
        <w:ind w:firstLine="420"/>
        <w:keepLines w:val="0"/>
        <w:keepNext w:val="0"/>
        <w:pageBreakBefore w:val="0"/>
        <w:spacing w:line="360" w:lineRule="auto"/>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110"/>
        <w:ind w:left="359" w:right="23"/>
        <w:keepLines w:val="0"/>
        <w:keepNext w:val="0"/>
        <w:pageBreakBefore w:val="0"/>
        <w:spacing w:before="0" w:after="0" w:line="360" w:lineRule="auto"/>
        <w:widowControl/>
        <w:rPr>
          <w:rFonts w:ascii="宋体" w:hAnsi="宋体"/>
          <w:sz w:val="21"/>
          <w:szCs w:val="21"/>
          <w:highlight w:val="none"/>
        </w:rPr>
      </w:pPr>
      <w:r>
        <w:rPr>
          <w:rFonts w:ascii="宋体" w:hAnsi="宋体"/>
          <w:sz w:val="21"/>
          <w:szCs w:val="21"/>
          <w:highlight w:val="none"/>
        </w:rPr>
      </w:r>
      <w:r/>
    </w:p>
    <w:p>
      <w:pPr>
        <w:ind w:firstLine="420"/>
        <w:keepLines w:val="0"/>
        <w:keepNext w:val="0"/>
        <w:pageBreakBefore w:val="0"/>
        <w:spacing w:line="360" w:lineRule="auto"/>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110"/>
        <w:ind w:left="359" w:right="23"/>
        <w:keepLines w:val="0"/>
        <w:keepNext w:val="0"/>
        <w:pageBreakBefore w:val="0"/>
        <w:spacing w:before="0" w:after="0" w:line="360" w:lineRule="auto"/>
        <w:widowControl/>
        <w:rPr>
          <w:rFonts w:ascii="宋体" w:hAnsi="宋体"/>
          <w:sz w:val="21"/>
          <w:szCs w:val="21"/>
          <w:highlight w:val="none"/>
        </w:rPr>
      </w:pPr>
      <w:r>
        <w:rPr>
          <w:rFonts w:ascii="宋体" w:hAnsi="宋体"/>
          <w:sz w:val="21"/>
          <w:szCs w:val="21"/>
          <w:highlight w:val="none"/>
        </w:rPr>
      </w:r>
      <w:r/>
    </w:p>
    <w:p>
      <w:pPr>
        <w:ind w:firstLine="420"/>
        <w:keepLines w:val="0"/>
        <w:keepNext w:val="0"/>
        <w:pageBreakBefore w:val="0"/>
        <w:spacing w:line="360" w:lineRule="auto"/>
        <w:rPr>
          <w:rFonts w:ascii="宋体" w:hAnsi="宋体"/>
          <w:sz w:val="21"/>
          <w:szCs w:val="21"/>
          <w:highlight w:val="none"/>
        </w:rPr>
      </w:pPr>
      <w:r>
        <w:rPr>
          <w:rFonts w:ascii="宋体" w:hAnsi="宋体"/>
          <w:sz w:val="21"/>
          <w:szCs w:val="21"/>
          <w:highlight w:val="none"/>
        </w:rPr>
        <w:t xml:space="preserve">住      所：                        住      所：</w:t>
      </w:r>
      <w:r/>
    </w:p>
    <w:p>
      <w:pPr>
        <w:ind w:firstLine="420"/>
        <w:keepLines w:val="0"/>
        <w:keepNext w:val="0"/>
        <w:pageBreakBefore w:val="0"/>
        <w:spacing w:line="360" w:lineRule="auto"/>
        <w:rPr>
          <w:rFonts w:ascii="宋体" w:hAnsi="宋体"/>
          <w:sz w:val="21"/>
          <w:szCs w:val="21"/>
          <w:highlight w:val="none"/>
        </w:rPr>
      </w:pPr>
      <w:r>
        <w:rPr>
          <w:rFonts w:ascii="宋体" w:hAnsi="宋体"/>
          <w:sz w:val="21"/>
          <w:szCs w:val="21"/>
          <w:highlight w:val="none"/>
        </w:rPr>
        <w:t xml:space="preserve">电      话：                        电      话：</w:t>
      </w:r>
      <w:r/>
    </w:p>
    <w:p>
      <w:pPr>
        <w:ind w:firstLine="420"/>
        <w:keepLines w:val="0"/>
        <w:keepNext w:val="0"/>
        <w:pageBreakBefore w:val="0"/>
        <w:spacing w:line="360" w:lineRule="auto"/>
        <w:rPr>
          <w:rFonts w:ascii="宋体" w:hAnsi="宋体"/>
          <w:sz w:val="21"/>
          <w:szCs w:val="21"/>
          <w:highlight w:val="none"/>
        </w:rPr>
      </w:pPr>
      <w:r>
        <w:rPr>
          <w:rFonts w:ascii="宋体" w:hAnsi="宋体"/>
          <w:sz w:val="21"/>
          <w:szCs w:val="21"/>
          <w:highlight w:val="none"/>
        </w:rPr>
        <w:t xml:space="preserve">传      真：                        传      真：</w:t>
      </w:r>
      <w:r/>
    </w:p>
    <w:p>
      <w:pPr>
        <w:ind w:firstLine="420"/>
        <w:keepLines w:val="0"/>
        <w:keepNext w:val="0"/>
        <w:pageBreakBefore w:val="0"/>
        <w:spacing w:line="360" w:lineRule="auto"/>
        <w:rPr>
          <w:rFonts w:ascii="宋体" w:hAnsi="宋体"/>
          <w:sz w:val="21"/>
          <w:szCs w:val="21"/>
          <w:highlight w:val="none"/>
        </w:rPr>
      </w:pPr>
      <w:r>
        <w:rPr>
          <w:rFonts w:ascii="宋体" w:hAnsi="宋体"/>
          <w:sz w:val="21"/>
          <w:szCs w:val="21"/>
          <w:highlight w:val="none"/>
        </w:rPr>
        <w:t xml:space="preserve">邮 政 编 码：                       邮 政 编 码：</w:t>
      </w:r>
      <w:r/>
    </w:p>
    <w:p>
      <w:pPr>
        <w:pStyle w:val="1127"/>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27"/>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77"/>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7"/>
        <w:rPr>
          <w:rFonts w:hint="eastAsia" w:ascii="宋体" w:hAnsi="宋体" w:eastAsia="宋体"/>
          <w:color w:val="auto"/>
          <w:sz w:val="21"/>
          <w:szCs w:val="21"/>
          <w:highlight w:val="none"/>
        </w:rPr>
        <w:sectPr>
          <w:headerReference w:type="default" r:id="rId11"/>
          <w:footerReference w:type="default" r:id="rId16"/>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77"/>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110"/>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w:t>
      </w:r>
      <w:r>
        <w:rPr>
          <w:rFonts w:hint="eastAsia" w:ascii="宋体" w:hAnsi="宋体" w:cs="宋体"/>
          <w:highlight w:val="none"/>
          <w:u w:val="single"/>
          <w:lang w:val="en-US" w:eastAsia="zh-CN"/>
        </w:rPr>
        <w:tab/>
      </w:r>
      <w:r>
        <w:rPr>
          <w:rFonts w:hint="eastAsia" w:ascii="宋体" w:hAnsi="宋体" w:cs="宋体"/>
          <w:highlight w:val="none"/>
          <w:u w:val="single"/>
          <w:lang w:val="en-US" w:eastAsia="zh-CN"/>
        </w:rPr>
        <w:tab/>
      </w:r>
      <w:r>
        <w:rPr>
          <w:rFonts w:hint="eastAsia" w:ascii="宋体" w:hAnsi="宋体" w:cs="宋体"/>
          <w:highlight w:val="none"/>
          <w:u w:val="single"/>
          <w:lang w:val="en-US" w:eastAsia="zh-CN"/>
        </w:rPr>
        <w:tab/>
      </w:r>
      <w:r>
        <w:rPr>
          <w:rFonts w:hint="eastAsia" w:ascii="宋体" w:hAnsi="宋体" w:cs="宋体"/>
          <w:highlight w:val="none"/>
        </w:rPr>
        <w:t xml:space="preserve">作为</w:t>
      </w:r>
      <w:r>
        <w:rPr>
          <w:rFonts w:hint="eastAsia"/>
          <w:color w:val="000000"/>
          <w:szCs w:val="21"/>
          <w:highlight w:val="none"/>
          <w:u w:val="single"/>
          <w:lang w:eastAsia="zh-CN"/>
        </w:rPr>
        <w:t xml:space="preserve">连云区青少年校外活动中心分部(原平山幼儿园)装修工程（含消防）</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连云区青少年校外活动中心分部(原平山幼儿园)装修工程（含消防）</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77"/>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b/>
          <w:bCs/>
          <w:highlight w:val="none"/>
        </w:rPr>
      </w:pPr>
      <w:r>
        <w:rPr>
          <w:rFonts w:hint="eastAsia" w:ascii="宋体" w:hAnsi="宋体" w:cs="宋体"/>
          <w:b/>
          <w:bCs/>
          <w:highlight w:val="none"/>
        </w:rPr>
        <w:br w:type="page" w:clear="all"/>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6</w:t>
      </w:r>
      <w:r>
        <w:rPr>
          <w:rFonts w:hint="eastAsia" w:ascii="宋体" w:hAnsi="宋体" w:cs="宋体"/>
          <w:b/>
          <w:bCs/>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110"/>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10"/>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本单位承建</w:t>
      </w:r>
      <w:r>
        <w:rPr>
          <w:rFonts w:hint="eastAsia" w:ascii="宋体" w:hAnsi="宋体" w:cs="宋体"/>
          <w:sz w:val="21"/>
          <w:szCs w:val="21"/>
          <w:highlight w:val="none"/>
          <w:u w:val="single"/>
          <w:lang w:eastAsia="zh-CN"/>
        </w:rPr>
        <w:t xml:space="preserve">连云区青少年校外活动中心分部(原平山幼儿园)装修工程（含消防）</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10"/>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pStyle w:val="877"/>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731"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731"/>
      <w:r/>
      <w:r/>
    </w:p>
    <w:p>
      <w:pPr>
        <w:ind w:firstLine="517"/>
        <w:jc w:val="left"/>
        <w:keepLines w:val="0"/>
        <w:keepNext w:val="0"/>
        <w:pageBreakBefore w:val="0"/>
        <w:spacing w:line="360" w:lineRule="auto"/>
        <w:rPr>
          <w:rFonts w:hint="eastAsia" w:ascii="宋体" w:hAnsi="宋体" w:eastAsia="宋体" w:cs="宋体"/>
          <w:b/>
          <w:bCs/>
          <w:color w:val="auto"/>
          <w:sz w:val="21"/>
          <w:szCs w:val="21"/>
          <w:highlight w:val="none"/>
        </w:rPr>
      </w:pPr>
      <w:r/>
      <w:bookmarkStart w:id="732" w:name="_Toc61149622"/>
      <w:r/>
      <w:bookmarkStart w:id="733" w:name="_Toc26554097"/>
      <w:r/>
      <w:bookmarkStart w:id="734" w:name="_Toc23828480"/>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keepLines w:val="0"/>
        <w:keepNext w:val="0"/>
        <w:pageBreakBefore w:val="0"/>
        <w:spacing w:line="360" w:lineRule="auto"/>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ind w:firstLine="422"/>
        <w:jc w:val="left"/>
        <w:keepLines w:val="0"/>
        <w:keepNext w:val="0"/>
        <w:pageBreakBefore w:val="0"/>
        <w:spacing w:line="360" w:lineRule="auto"/>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一</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连云区青少年校外活动中心分部(原平山幼儿园)装修工程（含消防）</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本工程施工图纸。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、商务条款</w:t>
      </w:r>
      <w:r/>
    </w:p>
    <w:p>
      <w:pPr>
        <w:ind w:firstLine="422"/>
        <w:keepLines w:val="0"/>
        <w:keepNext w:val="0"/>
        <w:pageBreakBefore w:val="0"/>
        <w:spacing w:line="360" w:lineRule="auto"/>
        <w:shd w:val="clear" w:color="auto" w:fill="ffffff"/>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1、付款方式：本项目预付工程款为签约合同价的10%（需提供“政府采购电子履约保函（保险）平台”出具的电子履约保函（保险），否则不予支付）；</w:t>
      </w:r>
      <w:r>
        <w:rPr>
          <w:rFonts w:hint="eastAsia" w:ascii="宋体" w:hAnsi="宋体" w:eastAsia="宋体" w:cs="宋体"/>
          <w:b/>
          <w:bCs/>
          <w:i/>
          <w:iCs/>
          <w:color w:val="auto"/>
          <w:sz w:val="21"/>
          <w:szCs w:val="21"/>
          <w:highlight w:val="none"/>
          <w:u w:val="single"/>
          <w:lang w:val="en-US" w:eastAsia="zh-CN" w:bidi="ar-SA"/>
        </w:rPr>
        <w:t xml:space="preserve">农历春节前支付已完工程量50%的合同价款（不超过签约合同价的20%。如超过按照签约合同价的20%支付）；</w:t>
      </w:r>
      <w:r>
        <w:rPr>
          <w:rFonts w:hint="eastAsia" w:ascii="宋体" w:hAnsi="宋体" w:eastAsia="宋体" w:cs="宋体"/>
          <w:b/>
          <w:bCs/>
          <w:i/>
          <w:iCs/>
          <w:color w:val="auto"/>
          <w:sz w:val="21"/>
          <w:szCs w:val="21"/>
          <w:highlight w:val="none"/>
          <w:u w:val="single"/>
          <w:lang w:val="en-US" w:eastAsia="zh-CN" w:bidi="ar-SA"/>
        </w:rPr>
        <w:t xml:space="preserve">工程完工经验收合格(出具竣工验收报告)后付至合同价款的70%，工程结算审计完成(出具审计报告)后付至结算价款的 97%，余款在缺陷期满后一次性付清(无息)。</w:t>
      </w:r>
      <w:r/>
    </w:p>
    <w:p>
      <w:pPr>
        <w:ind w:firstLine="422"/>
        <w:keepLines w:val="0"/>
        <w:keepNext w:val="0"/>
        <w:pageBreakBefore w:val="0"/>
        <w:spacing w:line="360" w:lineRule="auto"/>
        <w:shd w:val="clear" w:color="auto" w:fill="ffffff"/>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注：每次付款前乙方应根据招标人要求向甲方出具正规发票，甲方自收到发票后10个工作日内将资金支付至合同约定的乙方账户（发票开具日期计算）。</w:t>
      </w:r>
      <w:r/>
    </w:p>
    <w:p>
      <w:pPr>
        <w:pStyle w:val="832"/>
        <w:ind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hAnsi="宋体" w:cs="宋体"/>
          <w:b/>
          <w:bCs/>
          <w:i/>
          <w:iCs/>
          <w:color w:val="auto"/>
          <w:sz w:val="21"/>
          <w:szCs w:val="21"/>
          <w:highlight w:val="none"/>
          <w:u w:val="single"/>
          <w:lang w:val="en-US" w:eastAsia="zh-CN"/>
        </w:rPr>
        <w:t xml:space="preserve">150日历天</w:t>
      </w:r>
      <w:r>
        <w:rPr>
          <w:rFonts w:hint="eastAsia" w:ascii="宋体" w:hAnsi="宋体" w:eastAsia="宋体" w:cs="宋体"/>
          <w:b/>
          <w:bCs/>
          <w:i/>
          <w:iCs/>
          <w:color w:val="auto"/>
          <w:sz w:val="21"/>
          <w:szCs w:val="21"/>
          <w:highlight w:val="none"/>
          <w:u w:val="single"/>
        </w:rPr>
        <w:t xml:space="preserve">（以实际开工日起计算）。</w:t>
      </w:r>
      <w:r/>
    </w:p>
    <w:p>
      <w:pPr>
        <w:ind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keepLines w:val="0"/>
        <w:keepNext w:val="0"/>
        <w:pageBreakBefore w:val="0"/>
        <w:spacing w:line="360" w:lineRule="auto"/>
        <w:rPr>
          <w:rFonts w:ascii="宋体" w:hAnsi="宋体" w:cs="宋体"/>
          <w:b/>
          <w:bCs/>
          <w:color w:val="auto"/>
          <w:sz w:val="21"/>
          <w:szCs w:val="21"/>
          <w:highlight w:val="none"/>
        </w:rPr>
      </w:pPr>
      <w:r/>
      <w:bookmarkStart w:id="735" w:name="_Toc9279"/>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、报价及其他要求</w:t>
      </w:r>
      <w:bookmarkEnd w:id="735"/>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736" w:name="_Toc20093"/>
      <w:r/>
      <w:r/>
    </w:p>
    <w:p>
      <w:pPr>
        <w:rPr>
          <w:highlight w:val="none"/>
        </w:rPr>
      </w:pPr>
      <w:r>
        <w:rPr>
          <w:highlight w:val="none"/>
        </w:rPr>
      </w:r>
      <w:r/>
    </w:p>
    <w:p>
      <w:pPr>
        <w:pStyle w:val="80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736"/>
      <w:r/>
      <w:r/>
    </w:p>
    <w:p>
      <w:pPr>
        <w:rPr>
          <w:color w:val="auto"/>
          <w:highlight w:val="none"/>
        </w:rPr>
      </w:pPr>
      <w:r>
        <w:rPr>
          <w:color w:val="auto"/>
          <w:highlight w:val="none"/>
        </w:rPr>
      </w:r>
      <w:r/>
    </w:p>
    <w:p>
      <w:pPr>
        <w:rPr>
          <w:color w:val="auto"/>
          <w:highlight w:val="none"/>
        </w:rPr>
      </w:pPr>
      <w:r>
        <w:rPr>
          <w:color w:val="auto"/>
          <w:highlight w:val="none"/>
        </w:rPr>
      </w:r>
      <w:r/>
    </w:p>
    <w:p>
      <w:pPr>
        <w:pStyle w:val="1081"/>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81"/>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81"/>
        <w:ind w:firstLine="420"/>
        <w:keepLines w:val="0"/>
        <w:keepNext w:val="0"/>
        <w:pageBreakBefore w:val="0"/>
        <w:spacing w:before="0" w:after="0" w:line="360" w:lineRule="auto"/>
        <w:widowControl w:val="off"/>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81"/>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81"/>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32"/>
        <w:ind w:firstLine="420"/>
        <w:jc w:val="left"/>
        <w:keepLines w:val="0"/>
        <w:keepNext w:val="0"/>
        <w:pageBreakBefore w:val="0"/>
        <w:spacing w:line="360" w:lineRule="auto"/>
        <w:widowControl w:val="off"/>
        <w:rPr>
          <w:rFonts w:hAnsi="宋体"/>
          <w:color w:val="auto"/>
          <w:szCs w:val="21"/>
          <w:highlight w:val="none"/>
        </w:rPr>
      </w:pPr>
      <w:r>
        <w:rPr>
          <w:rFonts w:hint="eastAsia" w:hAnsi="宋体"/>
          <w:color w:val="auto"/>
          <w:szCs w:val="21"/>
          <w:highlight w:val="none"/>
        </w:rPr>
        <w:t xml:space="preserve">四、评审标准： </w:t>
      </w:r>
      <w:r/>
    </w:p>
    <w:p>
      <w:pPr>
        <w:pStyle w:val="832"/>
        <w:ind w:firstLine="420"/>
        <w:jc w:val="left"/>
        <w:keepLines w:val="0"/>
        <w:keepNext w:val="0"/>
        <w:pageBreakBefore w:val="0"/>
        <w:spacing w:line="360" w:lineRule="auto"/>
        <w:widowControl w:val="off"/>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32"/>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32"/>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hAnsi="宋体" w:cs="宋体"/>
          <w:b/>
          <w:bCs/>
          <w:color w:val="000000"/>
          <w:sz w:val="21"/>
          <w:szCs w:val="21"/>
          <w:highlight w:val="none"/>
          <w:lang w:val="en-US" w:eastAsia="zh-CN"/>
        </w:rPr>
        <w:t xml:space="preserve">详见项目需求。</w:t>
      </w:r>
      <w:r/>
    </w:p>
    <w:p>
      <w:pPr>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818"/>
        <w:tblW w:w="0" w:type="auto"/>
        <w:jc w:val="center"/>
        <w:tblLayout w:type="fixed"/>
        <w:tblCellMar>
          <w:left w:w="108" w:type="dxa"/>
          <w:top w:w="0" w:type="dxa"/>
          <w:right w:w="108" w:type="dxa"/>
          <w:bottom w:w="0" w:type="dxa"/>
        </w:tblCellMar>
        <w:tblLook w:val="04A0" w:firstRow="1" w:lastRow="0" w:firstColumn="1" w:lastColumn="0" w:noHBand="0" w:noVBand="1"/>
      </w:tblPr>
      <w:tblGrid>
        <w:gridCol w:w="729"/>
        <w:gridCol w:w="1260"/>
        <w:gridCol w:w="6516"/>
        <w:gridCol w:w="714"/>
      </w:tblGrid>
      <w:tr>
        <w:trPr>
          <w:jc w:val="center"/>
          <w:trHeight w:val="468"/>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评分因素</w:t>
            </w:r>
            <w:r/>
          </w:p>
        </w:tc>
        <w:tc>
          <w:tcPr>
            <w:tcBorders>
              <w:top w:val="single" w:color="auto" w:sz="4" w:space="0"/>
              <w:left w:val="none" w:color="000000" w:sz="4" w:space="0"/>
              <w:bottom w:val="single" w:color="auto" w:sz="4" w:space="0"/>
              <w:right w:val="single" w:color="auto" w:sz="4" w:space="0"/>
            </w:tcBorders>
            <w:tcW w:w="6516"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评审标准</w:t>
            </w:r>
            <w:r/>
          </w:p>
        </w:tc>
        <w:tc>
          <w:tcPr>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分值</w:t>
            </w:r>
            <w:r/>
          </w:p>
        </w:tc>
      </w:tr>
      <w:tr>
        <w:trPr>
          <w:jc w:val="center"/>
          <w:trHeight w:val="48"/>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w:t>
            </w:r>
            <w:r/>
          </w:p>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0分</w:t>
            </w:r>
            <w:r/>
          </w:p>
        </w:tc>
        <w:tc>
          <w:tcPr>
            <w:tcBorders>
              <w:top w:val="single" w:color="auto" w:sz="4" w:space="0"/>
              <w:left w:val="none" w:color="000000" w:sz="4" w:space="0"/>
              <w:bottom w:val="single" w:color="auto" w:sz="4" w:space="0"/>
              <w:right w:val="single" w:color="auto" w:sz="4" w:space="0"/>
            </w:tcBorders>
            <w:tcW w:w="6516" w:type="dxa"/>
            <w:vAlign w:val="center"/>
            <w:textDirection w:val="lrTb"/>
            <w:noWrap/>
          </w:tcPr>
          <w:p>
            <w:pPr>
              <w:ind w:firstLine="0"/>
              <w:jc w:val="left"/>
              <w:spacing w:before="0" w:after="0"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ind w:firstLine="420"/>
              <w:jc w:val="left"/>
              <w:spacing w:before="0" w:after="0"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磋商报价得分=（磋商基准价/最后磋商报价）×50分</w:t>
            </w:r>
            <w:r/>
          </w:p>
        </w:tc>
        <w:tc>
          <w:tcPr>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0</w:t>
            </w:r>
            <w:r/>
          </w:p>
        </w:tc>
      </w:tr>
      <w:tr>
        <w:trPr>
          <w:jc w:val="center"/>
          <w:trHeight w:val="415"/>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施工组织设计</w:t>
            </w:r>
            <w:r/>
          </w:p>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0分</w:t>
            </w:r>
            <w:r/>
          </w:p>
        </w:tc>
        <w:tc>
          <w:tcPr>
            <w:tcBorders>
              <w:top w:val="single" w:color="auto" w:sz="4" w:space="0"/>
              <w:left w:val="none" w:color="000000" w:sz="4" w:space="0"/>
              <w:bottom w:val="single" w:color="auto" w:sz="4" w:space="0"/>
              <w:right w:val="single" w:color="auto" w:sz="4" w:space="0"/>
            </w:tcBorders>
            <w:tcW w:w="6516" w:type="dxa"/>
            <w:vAlign w:val="center"/>
            <w:textDirection w:val="lrTb"/>
            <w:noWrap/>
          </w:tcPr>
          <w:p>
            <w:pPr>
              <w:spacing w:line="360" w:lineRule="auto"/>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1.施工组织总体设想：</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供应商提供项目实施总体方案表述的全面性、合理性、可行性强得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供应商提供项目实施总体方案表述的全面性、合理性、可行性较强得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供应商提供项目实施总体方案表述的全面性、合理性、可行性一般得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供应商提供项目实施总体方案表述的全面性、合理性、可行性较差得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未提供不得分。</w:t>
            </w:r>
            <w:r/>
          </w:p>
          <w:p>
            <w:pPr>
              <w:numPr>
                <w:ilvl w:val="0"/>
                <w:numId w:val="0"/>
              </w:numPr>
              <w:spacing w:line="360" w:lineRule="auto"/>
              <w:rPr>
                <w:rFonts w:hint="default" w:ascii="宋体" w:hAnsi="宋体" w:eastAsia="宋体" w:cs="宋体"/>
                <w:b/>
                <w:bCs/>
                <w:color w:val="000000"/>
                <w:szCs w:val="21"/>
                <w:highlight w:val="none"/>
              </w:rPr>
            </w:pPr>
            <w:r>
              <w:rPr>
                <w:rFonts w:hint="default"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Cs w:val="21"/>
                <w:highlight w:val="none"/>
              </w:rPr>
              <w:t xml:space="preserve">难点、重点及合理化建议：</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供应商针对本项目关键施工技术的难点、重点的分析及针对性合理化建议的科学性、可行性、针对性强得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供应商针对本项目关键施工技术的难点、重点的分析及针对性合理化建议的科学性、可行性、针对性较强得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供应商针对本项目关键施工技术的难点、重点的分析及针对性合理化建议的科学性、可行性、针对性一般得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供应商针对本项目关键施工技术的难点、重点的分析及针对性合理化建议的科学性、可行性、针对性较差得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未提供不得分。</w:t>
            </w:r>
            <w:r/>
          </w:p>
          <w:p>
            <w:pPr>
              <w:numPr>
                <w:ilvl w:val="0"/>
                <w:numId w:val="0"/>
              </w:numPr>
              <w:spacing w:line="360" w:lineRule="auto"/>
              <w:rPr>
                <w:rFonts w:hint="default" w:ascii="宋体" w:hAnsi="宋体" w:eastAsia="宋体" w:cs="宋体"/>
                <w:b/>
                <w:bCs/>
                <w:color w:val="000000"/>
                <w:szCs w:val="21"/>
                <w:highlight w:val="none"/>
              </w:rPr>
            </w:pPr>
            <w:r>
              <w:rPr>
                <w:rFonts w:hint="default"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Cs w:val="21"/>
                <w:highlight w:val="none"/>
              </w:rPr>
              <w:t xml:space="preserve">施工进度计划和各阶段进度的保证措施：</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供应商针对本项目施工进度计划编制的完整性、合理性及可行性强得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供应商针对本项目施工进度计划编制的完整性、合理性及可行性较强得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供应商针对本项目施工进度计划编制的完整性、合理性及可行性一般得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供应商针对本项目施工进度计划编制的完整性、合理性及可行性较差得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未提供不得分。</w:t>
            </w:r>
            <w:r/>
          </w:p>
          <w:p>
            <w:pPr>
              <w:numPr>
                <w:ilvl w:val="0"/>
                <w:numId w:val="0"/>
              </w:numPr>
              <w:spacing w:line="360" w:lineRule="auto"/>
              <w:rPr>
                <w:rFonts w:hint="default" w:ascii="宋体" w:hAnsi="宋体" w:eastAsia="宋体" w:cs="宋体"/>
                <w:b/>
                <w:bCs/>
                <w:color w:val="000000"/>
                <w:szCs w:val="21"/>
                <w:highlight w:val="none"/>
              </w:rPr>
            </w:pPr>
            <w:r>
              <w:rPr>
                <w:rFonts w:hint="default"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Cs w:val="21"/>
                <w:highlight w:val="none"/>
              </w:rPr>
              <w:t xml:space="preserve">施工质量保证措施：</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供应商提供施工质量保证措施的科学性、合理性、可行性强得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分；供应商提供施工质量保证措施的科学性、合理性、可行性较强得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供应商提供施工质量保证措施的科学性、合理性、可行性一般得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供应商提供施工质量保证措施的科学性、合理性、可行性较差得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未提供不得分。</w:t>
            </w:r>
            <w:r/>
          </w:p>
          <w:p>
            <w:pPr>
              <w:numPr>
                <w:ilvl w:val="0"/>
                <w:numId w:val="0"/>
              </w:numPr>
              <w:spacing w:line="360" w:lineRule="auto"/>
              <w:rPr>
                <w:rFonts w:hint="default" w:ascii="宋体" w:hAnsi="宋体" w:eastAsia="宋体" w:cs="宋体"/>
                <w:b/>
                <w:bCs/>
                <w:color w:val="000000"/>
                <w:szCs w:val="21"/>
                <w:highlight w:val="none"/>
              </w:rPr>
            </w:pPr>
            <w:r>
              <w:rPr>
                <w:rFonts w:hint="default" w:ascii="宋体" w:hAnsi="宋体" w:eastAsia="宋体" w:cs="宋体"/>
                <w:b/>
                <w:bCs/>
                <w:color w:val="000000"/>
                <w:sz w:val="21"/>
                <w:szCs w:val="21"/>
                <w:highlight w:val="none"/>
                <w:lang w:val="en-US" w:eastAsia="zh-CN" w:bidi="ar-SA"/>
              </w:rPr>
              <w:t xml:space="preserve">5.</w:t>
            </w:r>
            <w:r>
              <w:rPr>
                <w:rFonts w:hint="eastAsia" w:ascii="宋体" w:hAnsi="宋体" w:eastAsia="宋体" w:cs="宋体"/>
                <w:b/>
                <w:bCs/>
                <w:color w:val="000000"/>
                <w:szCs w:val="21"/>
                <w:highlight w:val="none"/>
              </w:rPr>
              <w:t xml:space="preserve">现场管理：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供应商提供针对本项目现场管理的规范性、全面性、合理性强得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供应商提供针对本项目现场管理的规范性、全面性、合理性较强得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供应商提供针对本项目现场管理的规范性、全面性、合理性一般得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供应商提供针对本项目现场管理的规范性、全面性、合理性较差得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0</w:t>
            </w:r>
            <w:r/>
          </w:p>
        </w:tc>
      </w:tr>
      <w:tr>
        <w:trPr>
          <w:jc w:val="center"/>
          <w:trHeight w:val="887"/>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hint="default" w:ascii="宋体" w:hAnsi="宋体" w:eastAsia="宋体" w:cs="宋体"/>
                <w:szCs w:val="21"/>
                <w:highlight w:val="none"/>
              </w:rPr>
            </w:pPr>
            <w:r>
              <w:rPr>
                <w:rFonts w:hint="eastAsia" w:ascii="宋体" w:hAnsi="宋体" w:eastAsia="宋体" w:cs="宋体"/>
                <w:szCs w:val="21"/>
                <w:highlight w:val="none"/>
              </w:rPr>
              <w:t xml:space="preserve">服务方案</w:t>
            </w:r>
            <w:r/>
          </w:p>
          <w:p>
            <w:pPr>
              <w:jc w:val="center"/>
              <w:spacing w:line="360" w:lineRule="auto"/>
              <w:rPr>
                <w:rFonts w:hint="default"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516" w:type="dxa"/>
            <w:textDirection w:val="lrTb"/>
            <w:noWrap/>
          </w:tcPr>
          <w:p>
            <w:pPr>
              <w:spacing w:line="360" w:lineRule="auto"/>
              <w:rPr>
                <w:rFonts w:hint="default" w:ascii="宋体" w:hAnsi="宋体" w:eastAsia="宋体" w:cs="宋体"/>
                <w:szCs w:val="21"/>
                <w:highlight w:val="none"/>
              </w:rPr>
            </w:pPr>
            <w:r>
              <w:rPr>
                <w:rFonts w:hint="eastAsia" w:ascii="宋体" w:hAnsi="宋体" w:eastAsia="宋体" w:cs="宋体"/>
                <w:szCs w:val="21"/>
                <w:highlight w:val="none"/>
              </w:rPr>
              <w:t xml:space="preserve">供应商提供服务承诺、服务措施、及优惠承诺（承诺应包含但不限于误期赔偿及承诺的实质性及可信性等方面）得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分，未提供不得分。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p>
        </w:tc>
      </w:tr>
      <w:tr>
        <w:trPr>
          <w:jc w:val="center"/>
          <w:trHeight w:val="339"/>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p>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516" w:type="dxa"/>
            <w:textDirection w:val="lrTb"/>
            <w:noWrap/>
          </w:tcPr>
          <w:p>
            <w:pPr>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年1月1日（含）以来，供应商承担过类似</w:t>
            </w:r>
            <w:r>
              <w:rPr>
                <w:rFonts w:hint="eastAsia" w:ascii="宋体" w:hAnsi="宋体" w:eastAsia="宋体" w:cs="宋体"/>
                <w:color w:val="000000"/>
                <w:szCs w:val="21"/>
                <w:highlight w:val="none"/>
                <w:lang w:val="en-US" w:eastAsia="zh-CN"/>
              </w:rPr>
              <w:t xml:space="preserve">业绩</w:t>
            </w:r>
            <w:r>
              <w:rPr>
                <w:rFonts w:hint="eastAsia" w:ascii="宋体" w:hAnsi="宋体" w:eastAsia="宋体" w:cs="宋体"/>
                <w:color w:val="000000"/>
                <w:szCs w:val="21"/>
                <w:highlight w:val="none"/>
              </w:rPr>
              <w:t xml:space="preserve">，每提供―个得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 分，最高得 </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w:t>
            </w:r>
            <w:r/>
          </w:p>
          <w:p>
            <w:pPr>
              <w:spacing w:line="340" w:lineRule="exact"/>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2.拟派项目负责人具有类似业绩，每有一个得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分，最高得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p>
          <w:p>
            <w:pPr>
              <w:spacing w:line="360" w:lineRule="auto"/>
              <w:rPr>
                <w:rFonts w:hint="default"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注：提供中标通知</w:t>
            </w:r>
            <w:r>
              <w:rPr>
                <w:rFonts w:hint="eastAsia" w:ascii="宋体" w:hAnsi="宋体" w:eastAsia="宋体" w:cs="宋体"/>
                <w:b/>
                <w:color w:val="000000"/>
                <w:szCs w:val="21"/>
                <w:highlight w:val="none"/>
              </w:rPr>
              <w:t xml:space="preserve">书（或直接发包通知书）、施工合同、竣工验收证明（竣工验收证明须由建设单位、监理单位、施工单位共同盖公章，否则不予认可）彩色扫描件并加盖公章制作到响应文件中，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1-2条业绩不重复计取。</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w:t>
            </w:r>
            <w:r/>
          </w:p>
        </w:tc>
      </w:tr>
      <w:tr>
        <w:trPr>
          <w:jc w:val="center"/>
          <w:trHeight w:val="339"/>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人员配备</w:t>
            </w:r>
            <w:r/>
          </w:p>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6516" w:type="dxa"/>
            <w:textDirection w:val="lrTb"/>
            <w:noWrap/>
          </w:tcPr>
          <w:p>
            <w:pPr>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1.拟投入项目负责人具有中级及以上职称得1分。</w:t>
            </w:r>
            <w:r/>
          </w:p>
          <w:p>
            <w:pPr>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2.拟投入项目组成员中（不含项目负责人）具有安全员、质量员、施工员、资料员、材料员的，每有一个得1分，最高得5分。</w:t>
            </w:r>
            <w:r/>
          </w:p>
          <w:p>
            <w:pPr>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3.拟投入项目组成员中（不含项目负责人）中级及以上职称的，每有一个得1分，最高得2分。</w:t>
            </w:r>
            <w:r/>
          </w:p>
          <w:p>
            <w:pPr>
              <w:spacing w:line="360" w:lineRule="auto"/>
              <w:rPr>
                <w:rFonts w:hint="default" w:ascii="宋体" w:hAnsi="宋体" w:eastAsia="宋体" w:cs="宋体"/>
                <w:color w:val="000000"/>
                <w:szCs w:val="21"/>
                <w:highlight w:val="none"/>
              </w:rPr>
            </w:pPr>
            <w:r>
              <w:rPr>
                <w:rFonts w:hint="eastAsia" w:ascii="宋体" w:hAnsi="宋体" w:eastAsia="宋体" w:cs="宋体"/>
                <w:b/>
                <w:color w:val="000000"/>
                <w:szCs w:val="21"/>
                <w:highlight w:val="none"/>
              </w:rPr>
              <w:t xml:space="preserve">注：禁止一人身兼多职。磋商供应商应提供有效的证书原件彩色扫描件及供应商为其缴纳</w:t>
            </w:r>
            <w:r>
              <w:rPr>
                <w:rFonts w:hint="eastAsia" w:ascii="宋体" w:hAnsi="宋体" w:eastAsia="宋体" w:cs="宋体"/>
                <w:b/>
                <w:color w:val="000000"/>
                <w:szCs w:val="21"/>
                <w:highlight w:val="none"/>
              </w:rPr>
              <w:t xml:space="preserve">的</w:t>
            </w:r>
            <w:r>
              <w:rPr>
                <w:rFonts w:hint="eastAsia" w:ascii="宋体" w:hAnsi="宋体" w:eastAsia="宋体" w:cs="宋体"/>
                <w:b/>
                <w:color w:val="000000"/>
                <w:szCs w:val="21"/>
                <w:highlight w:val="none"/>
                <w:lang w:val="en-US" w:eastAsia="zh-CN"/>
              </w:rPr>
              <w:t xml:space="preserve">2025年12月以来</w:t>
            </w:r>
            <w:r>
              <w:rPr>
                <w:rFonts w:hint="eastAsia" w:ascii="宋体" w:hAnsi="宋体" w:eastAsia="宋体" w:cs="宋体"/>
                <w:b/>
                <w:color w:val="000000"/>
                <w:szCs w:val="21"/>
                <w:highlight w:val="none"/>
              </w:rPr>
              <w:t xml:space="preserve">任意一</w:t>
            </w:r>
            <w:r>
              <w:rPr>
                <w:rFonts w:hint="eastAsia" w:ascii="宋体" w:hAnsi="宋体" w:eastAsia="宋体" w:cs="宋体"/>
                <w:b/>
                <w:color w:val="000000"/>
                <w:szCs w:val="21"/>
                <w:highlight w:val="none"/>
              </w:rPr>
              <w:t xml:space="preserve">个月由社保机构出具的社保缴纳证明（加盖社保中心章或社保中心参保缴费证明电子专用章）上传响应文件，以上材料未提供或提供不全的不得分。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r>
      <w:tr>
        <w:trPr>
          <w:jc w:val="center"/>
          <w:trHeight w:val="1122"/>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响应文件的规范化</w:t>
            </w:r>
            <w:r/>
          </w:p>
          <w:p>
            <w:pPr>
              <w:jc w:val="cente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4分</w:t>
            </w:r>
            <w:r/>
          </w:p>
        </w:tc>
        <w:tc>
          <w:tcPr>
            <w:tcBorders>
              <w:top w:val="single" w:color="auto" w:sz="4" w:space="0"/>
              <w:left w:val="single" w:color="auto" w:sz="4" w:space="0"/>
              <w:bottom w:val="single" w:color="auto" w:sz="4" w:space="0"/>
              <w:right w:val="single" w:color="auto" w:sz="4" w:space="0"/>
            </w:tcBorders>
            <w:tcW w:w="6516" w:type="dxa"/>
            <w:vAlign w:val="center"/>
            <w:textDirection w:val="lrTb"/>
            <w:noWrap/>
          </w:tcPr>
          <w:p>
            <w:pPr>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针对投标文件规范化评分，包括投标文件编制完整、格式规范、有详细目录、编制逐页连续页码，本项满分4分，全部满足得4分，有一项不满足扣1分，扣完为止。</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50"/>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08"/>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737" w:name="_Toc2747"/>
      <w:r/>
      <w:r/>
    </w:p>
    <w:p>
      <w:pPr>
        <w:rPr>
          <w:highlight w:val="none"/>
        </w:rPr>
      </w:pPr>
      <w:r>
        <w:rPr>
          <w:highlight w:val="none"/>
        </w:rPr>
      </w:r>
      <w:r/>
    </w:p>
    <w:p>
      <w:pPr>
        <w:pStyle w:val="80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737"/>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81"/>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732"/>
      <w:r/>
      <w:bookmarkEnd w:id="733"/>
      <w:r/>
      <w:bookmarkEnd w:id="734"/>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38" w:name="_Toc2818"/>
      <w:r/>
      <w:bookmarkStart w:id="739" w:name="_Toc24878535"/>
      <w:r/>
      <w:bookmarkStart w:id="740" w:name="_Toc120614284"/>
      <w:r/>
      <w:bookmarkStart w:id="741" w:name="_Toc513029281"/>
      <w:r/>
      <w:bookmarkStart w:id="742" w:name="_Toc49090582"/>
      <w:r/>
      <w:bookmarkStart w:id="743" w:name="_Toc26554103"/>
      <w:r/>
      <w:bookmarkStart w:id="744" w:name="_Toc120614291"/>
      <w:r/>
      <w:bookmarkStart w:id="745" w:name="_Toc22356583"/>
      <w:r/>
      <w:bookmarkStart w:id="746" w:name="_Toc23828483"/>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73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47" w:name="_Toc6743"/>
      <w:r>
        <w:rPr>
          <w:rFonts w:hint="eastAsia" w:ascii="宋体" w:hAnsi="宋体" w:eastAsia="宋体" w:cs="宋体"/>
          <w:b/>
          <w:bCs/>
          <w:i/>
          <w:color w:val="auto"/>
          <w:sz w:val="24"/>
          <w:szCs w:val="24"/>
          <w:highlight w:val="none"/>
          <w:u w:val="single"/>
        </w:rPr>
        <w:t xml:space="preserve">二、上一年度的财务状况报告</w:t>
      </w:r>
      <w:bookmarkEnd w:id="747"/>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8"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74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9"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749"/>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0"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750"/>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1"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75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2"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75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3" w:name="_Toc26018"/>
      <w:r>
        <w:rPr>
          <w:rFonts w:hint="eastAsia" w:ascii="宋体" w:hAnsi="宋体" w:eastAsia="宋体" w:cs="宋体"/>
          <w:b/>
          <w:bCs/>
          <w:i/>
          <w:iCs/>
          <w:color w:val="auto"/>
          <w:sz w:val="24"/>
          <w:szCs w:val="24"/>
          <w:highlight w:val="none"/>
          <w:u w:val="single"/>
        </w:rPr>
        <w:t xml:space="preserve">八、特定资格要求的证明文件</w:t>
      </w:r>
      <w:bookmarkEnd w:id="753"/>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4"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754"/>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755" w:name="_Toc625"/>
      <w:r>
        <w:rPr>
          <w:rFonts w:hint="eastAsia" w:ascii="宋体" w:hAnsi="宋体" w:eastAsia="宋体" w:cs="宋体"/>
          <w:b/>
          <w:bCs/>
          <w:i/>
          <w:iCs/>
          <w:color w:val="auto"/>
          <w:sz w:val="24"/>
          <w:szCs w:val="24"/>
          <w:highlight w:val="none"/>
          <w:u w:val="single"/>
        </w:rPr>
        <w:t xml:space="preserve">十、磋商响应函</w:t>
      </w:r>
      <w:bookmarkEnd w:id="755"/>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756"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中小企业声明函（工程）</w:t>
      </w:r>
      <w:bookmarkEnd w:id="756"/>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 </w:t>
      </w:r>
      <w:r>
        <w:rPr>
          <w:rFonts w:hint="eastAsia" w:ascii="宋体" w:hAnsi="宋体" w:eastAsia="宋体" w:cs="宋体"/>
          <w:color w:val="000000"/>
          <w:sz w:val="21"/>
          <w:szCs w:val="21"/>
          <w:highlight w:val="none"/>
        </w:rPr>
        <w:t xml:space="preserve">行业；承建企业为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560" w:lineRule="exact"/>
        <w:rPr>
          <w:rFonts w:hint="eastAsia" w:ascii="宋体" w:hAnsi="宋体" w:eastAsia="宋体" w:cs="宋体"/>
          <w:color w:val="000000"/>
          <w:sz w:val="21"/>
          <w:szCs w:val="18"/>
          <w:highlight w:val="none"/>
        </w:rPr>
      </w:pPr>
      <w:r>
        <w:rPr>
          <w:rFonts w:hint="eastAsia" w:ascii="宋体" w:hAnsi="宋体" w:eastAsia="宋体" w:cs="宋体"/>
          <w:bCs/>
          <w:color w:val="000000"/>
          <w:sz w:val="21"/>
          <w:szCs w:val="21"/>
          <w:highlight w:val="none"/>
        </w:rPr>
        <w:t xml:space="preserve">企业名称（盖章）</w:t>
      </w:r>
      <w:r>
        <w:rPr>
          <w:rFonts w:hint="eastAsia" w:ascii="宋体" w:hAnsi="宋体" w:eastAsia="宋体" w:cs="宋体"/>
          <w:color w:val="000000"/>
          <w:sz w:val="21"/>
          <w:szCs w:val="18"/>
          <w:highlight w:val="none"/>
        </w:rPr>
        <w:t xml:space="preserve">：</w:t>
      </w:r>
      <w:r/>
    </w:p>
    <w:p>
      <w:pPr>
        <w:ind w:firstLine="5040"/>
        <w:spacing w:line="560" w:lineRule="exact"/>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rPr>
        <w:t xml:space="preserve">日期：   年   月   日</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757"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lang w:eastAsia="zh-CN"/>
        </w:rPr>
        <w:t xml:space="preserve">）</w:t>
      </w:r>
      <w:bookmarkEnd w:id="757"/>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中国残疾人联合会关于促进残疾人就业政府采购政策的通知》（财库〔2017〕141号）的规定，本单位为符合条件的残疾人福利性单位，且本单位参加单位的项目由本单位承建。</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758"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758"/>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59"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75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60" w:name="_Hlt26955054"/>
      <w:r/>
      <w:bookmarkEnd w:id="760"/>
      <w:r/>
      <w:bookmarkStart w:id="761"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76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1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762" w:name="_Hlt26580838"/>
            <w:r/>
            <w:bookmarkEnd w:id="762"/>
            <w:r/>
            <w:bookmarkStart w:id="763" w:name="_Hlt26609391"/>
            <w:r/>
            <w:bookmarkEnd w:id="763"/>
            <w:r/>
            <w:bookmarkStart w:id="764" w:name="_Hlt26782999"/>
            <w:r/>
            <w:bookmarkEnd w:id="764"/>
            <w:r/>
            <w:bookmarkStart w:id="765" w:name="_Hlt26955064"/>
            <w:r/>
            <w:bookmarkEnd w:id="765"/>
            <w:r/>
            <w:bookmarkStart w:id="766" w:name="_Hlt26955056"/>
            <w:r/>
            <w:bookmarkEnd w:id="766"/>
            <w:r/>
            <w:bookmarkStart w:id="767" w:name="_Hlt26671343"/>
            <w:r/>
            <w:bookmarkEnd w:id="767"/>
            <w:r/>
            <w:bookmarkStart w:id="768" w:name="_Hlt26671372"/>
            <w:r/>
            <w:bookmarkEnd w:id="768"/>
            <w:r/>
            <w:bookmarkStart w:id="769" w:name="_Hlt24879081"/>
            <w:r/>
            <w:bookmarkEnd w:id="769"/>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770"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77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771"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77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1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2119"/>
        <w:gridCol w:w="3280"/>
        <w:gridCol w:w="2346"/>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810"/>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bookmarkEnd w:id="739"/>
      <w:r/>
      <w:bookmarkEnd w:id="740"/>
      <w:r/>
      <w:bookmarkEnd w:id="741"/>
      <w:r/>
      <w:bookmarkEnd w:id="742"/>
      <w:r/>
      <w:bookmarkEnd w:id="743"/>
      <w:r/>
      <w:bookmarkEnd w:id="744"/>
      <w:r/>
      <w:bookmarkEnd w:id="745"/>
      <w:r/>
      <w:bookmarkEnd w:id="746"/>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77"/>
        <w:rPr>
          <w:color w:val="auto"/>
          <w:highlight w:val="none"/>
        </w:rPr>
      </w:pPr>
      <w:r>
        <w:rPr>
          <w:color w:val="auto"/>
          <w:highlight w:val="none"/>
        </w:rPr>
      </w:r>
      <w:r/>
    </w:p>
    <w:p>
      <w:pPr>
        <w:jc w:val="left"/>
        <w:rPr>
          <w:rFonts w:hint="eastAsia" w:ascii="宋体" w:hAnsi="宋体" w:eastAsia="宋体" w:cs="宋体"/>
          <w:b/>
          <w:bCs w:val="0"/>
          <w:i/>
          <w:color w:val="auto"/>
          <w:sz w:val="24"/>
          <w:szCs w:val="24"/>
          <w:highlight w:val="none"/>
          <w:u w:val="single"/>
          <w:lang w:val="en-US" w:eastAsia="zh-CN"/>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val="en-US" w:eastAsia="zh-CN"/>
        </w:rPr>
        <w:t xml:space="preserve">二十</w:t>
      </w:r>
      <w:r>
        <w:rPr>
          <w:rFonts w:hint="eastAsia" w:ascii="宋体" w:hAnsi="宋体" w:eastAsia="宋体" w:cs="宋体"/>
          <w:b/>
          <w:bCs w:val="0"/>
          <w:i/>
          <w:color w:val="auto"/>
          <w:sz w:val="24"/>
          <w:szCs w:val="24"/>
          <w:highlight w:val="none"/>
          <w:u w:val="single"/>
          <w:lang w:eastAsia="zh-CN"/>
        </w:rPr>
        <w:t xml:space="preserve">、承诺函</w:t>
      </w:r>
      <w:r/>
    </w:p>
    <w:p>
      <w:pPr>
        <w:pStyle w:val="1137"/>
        <w:jc w:val="center"/>
        <w:rPr>
          <w:rFonts w:hint="eastAsia" w:ascii="宋体" w:hAnsi="宋体" w:cs="宋体"/>
          <w:i/>
          <w:iCs/>
          <w:sz w:val="24"/>
          <w:szCs w:val="24"/>
          <w:highlight w:val="none"/>
          <w:u w:val="none"/>
        </w:rPr>
      </w:pPr>
      <w:r>
        <w:rPr>
          <w:rFonts w:hint="eastAsia" w:ascii="宋体" w:hAnsi="宋体" w:cs="宋体"/>
          <w:b/>
          <w:i/>
          <w:iCs/>
          <w:sz w:val="24"/>
          <w:szCs w:val="24"/>
          <w:highlight w:val="none"/>
          <w:u w:val="none"/>
          <w:lang w:eastAsia="zh-CN"/>
        </w:rPr>
        <w:t xml:space="preserve">项目负责人无在建等</w:t>
      </w:r>
      <w:r>
        <w:rPr>
          <w:rFonts w:hint="eastAsia" w:ascii="宋体" w:hAnsi="宋体" w:cs="宋体"/>
          <w:b/>
          <w:i/>
          <w:iCs/>
          <w:sz w:val="24"/>
          <w:szCs w:val="24"/>
          <w:highlight w:val="none"/>
          <w:u w:val="none"/>
        </w:rPr>
        <w:t xml:space="preserve">承诺书</w:t>
      </w:r>
      <w:r/>
    </w:p>
    <w:p>
      <w:pPr>
        <w:keepLines w:val="0"/>
        <w:keepNext w:val="0"/>
        <w:pageBreakBefore w:val="0"/>
        <w:spacing w:line="240" w:lineRule="exact"/>
        <w:widowControl w:val="off"/>
        <w:rPr>
          <w:rFonts w:hint="eastAsia" w:ascii="宋体" w:hAnsi="宋体" w:cs="宋体"/>
          <w:szCs w:val="21"/>
          <w:highlight w:val="none"/>
          <w:u w:val="single"/>
        </w:rPr>
      </w:pPr>
      <w:r>
        <w:rPr>
          <w:rFonts w:hint="eastAsia" w:ascii="宋体" w:hAnsi="宋体" w:cs="宋体"/>
          <w:szCs w:val="21"/>
          <w:highlight w:val="none"/>
          <w:u w:val="single"/>
        </w:rPr>
      </w:r>
      <w:r/>
    </w:p>
    <w:p>
      <w:pPr>
        <w:spacing w:line="336" w:lineRule="auto"/>
        <w:rPr>
          <w:rFonts w:ascii="宋体" w:hAnsi="宋体" w:cs="宋体"/>
          <w:szCs w:val="21"/>
          <w:highlight w:val="none"/>
          <w:u w:val="single"/>
        </w:rPr>
      </w:pPr>
      <w:r>
        <w:rPr>
          <w:rFonts w:hint="eastAsia" w:ascii="宋体" w:hAnsi="宋体" w:cs="宋体"/>
          <w:szCs w:val="21"/>
          <w:highlight w:val="none"/>
          <w:u w:val="single"/>
        </w:rPr>
        <w:t xml:space="preserve">致：           </w:t>
      </w:r>
      <w:r/>
    </w:p>
    <w:p>
      <w:pPr>
        <w:ind w:firstLine="420"/>
        <w:spacing w:line="336" w:lineRule="auto"/>
        <w:rPr>
          <w:rFonts w:ascii="宋体" w:hAnsi="宋体" w:cs="宋体"/>
          <w:szCs w:val="21"/>
          <w:highlight w:val="none"/>
        </w:rPr>
      </w:pPr>
      <w:r>
        <w:rPr>
          <w:rFonts w:hint="eastAsia" w:ascii="宋体" w:hAnsi="宋体" w:cs="宋体"/>
          <w:szCs w:val="21"/>
          <w:highlight w:val="none"/>
        </w:rPr>
        <w:t xml:space="preserve">我公司参与贵单位</w:t>
      </w:r>
      <w:r>
        <w:rPr>
          <w:rFonts w:hint="eastAsia" w:ascii="宋体" w:hAnsi="宋体" w:cs="宋体"/>
          <w:szCs w:val="21"/>
          <w:highlight w:val="none"/>
          <w:u w:val="single"/>
        </w:rPr>
        <w:t xml:space="preserve">  （标段名称）  </w:t>
      </w:r>
      <w:r>
        <w:rPr>
          <w:rFonts w:hint="eastAsia" w:ascii="宋体" w:hAnsi="宋体" w:cs="宋体"/>
          <w:szCs w:val="21"/>
          <w:highlight w:val="none"/>
        </w:rPr>
        <w:t xml:space="preserve">工程项目的投标工作，我单位郑重承诺：</w:t>
      </w:r>
      <w:r/>
    </w:p>
    <w:p>
      <w:pPr>
        <w:ind w:firstLine="420"/>
        <w:spacing w:line="336" w:lineRule="auto"/>
        <w:rPr>
          <w:rFonts w:ascii="宋体" w:hAnsi="宋体" w:cs="宋体"/>
          <w:szCs w:val="21"/>
          <w:highlight w:val="none"/>
        </w:rPr>
      </w:pPr>
      <w:r>
        <w:rPr>
          <w:rFonts w:hint="eastAsia" w:ascii="宋体" w:hAnsi="宋体" w:cs="宋体"/>
          <w:szCs w:val="21"/>
          <w:highlight w:val="none"/>
        </w:rPr>
        <w:t xml:space="preserve">1、所报项目负责人</w:t>
      </w:r>
      <w:r>
        <w:rPr>
          <w:rFonts w:hint="eastAsia" w:ascii="宋体" w:hAnsi="宋体" w:cs="宋体"/>
          <w:szCs w:val="21"/>
          <w:highlight w:val="none"/>
          <w:u w:val="single"/>
        </w:rPr>
        <w:t xml:space="preserve">         </w:t>
      </w:r>
      <w:r>
        <w:rPr>
          <w:rFonts w:hint="eastAsia" w:ascii="宋体" w:hAnsi="宋体" w:cs="宋体"/>
          <w:szCs w:val="21"/>
          <w:highlight w:val="none"/>
        </w:rPr>
        <w:t xml:space="preserve">同志无在建工程，项目负责人按规定到岗履职；若我公司作出虚假承诺，则取消其中标资格，由此产生的一切后果由我单位自行承担；</w:t>
      </w:r>
      <w:r/>
    </w:p>
    <w:p>
      <w:pPr>
        <w:ind w:firstLine="420"/>
        <w:spacing w:line="336"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、我单位及项目经理未被行政监督主管部门限制在招标项目所在地投标。</w:t>
      </w:r>
      <w:r/>
    </w:p>
    <w:p>
      <w:pPr>
        <w:ind w:firstLine="420"/>
        <w:spacing w:line="336"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、将委托授权项目负责人参与</w:t>
      </w:r>
      <w:r>
        <w:rPr>
          <w:rFonts w:hint="eastAsia" w:ascii="宋体" w:hAnsi="宋体" w:cs="宋体"/>
          <w:szCs w:val="21"/>
          <w:highlight w:val="none"/>
          <w:lang w:eastAsia="zh-CN"/>
        </w:rPr>
        <w:t xml:space="preserve">磋商</w:t>
      </w:r>
      <w:r>
        <w:rPr>
          <w:rFonts w:hint="eastAsia" w:ascii="宋体" w:hAnsi="宋体" w:cs="宋体"/>
          <w:szCs w:val="21"/>
          <w:highlight w:val="none"/>
        </w:rPr>
        <w:t xml:space="preserve">全过程（含</w:t>
      </w:r>
      <w:r>
        <w:rPr>
          <w:rFonts w:hint="eastAsia" w:ascii="宋体" w:hAnsi="宋体" w:cs="宋体"/>
          <w:szCs w:val="21"/>
          <w:highlight w:val="none"/>
          <w:lang w:eastAsia="zh-CN"/>
        </w:rPr>
        <w:t xml:space="preserve">磋商、</w:t>
      </w:r>
      <w:r>
        <w:rPr>
          <w:rFonts w:hint="eastAsia" w:ascii="宋体" w:hAnsi="宋体" w:cs="宋体"/>
          <w:szCs w:val="21"/>
          <w:highlight w:val="none"/>
        </w:rPr>
        <w:t xml:space="preserve">异议、投诉环节）工作。</w:t>
      </w:r>
      <w:r>
        <w:rPr>
          <w:rFonts w:hint="eastAsia" w:ascii="宋体" w:hAnsi="宋体" w:cs="宋体"/>
          <w:szCs w:val="21"/>
          <w:highlight w:val="none"/>
          <w:lang w:eastAsia="zh-CN"/>
        </w:rPr>
        <w:t xml:space="preserve">上述过程中</w:t>
      </w:r>
      <w:r>
        <w:rPr>
          <w:rFonts w:hint="eastAsia" w:ascii="宋体" w:hAnsi="宋体" w:cs="宋体"/>
          <w:szCs w:val="21"/>
          <w:highlight w:val="none"/>
        </w:rPr>
        <w:t xml:space="preserve">如非该委托授权代理人参与，则视为未实质响应招标文件要求；后期如发生异议或投诉，也将授权投标项目负责人本人参与处理，本单位法定代表人将在异议或投诉书中真实署名并实际参与</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或监管部门的质询，否则，异议或投诉不成立；我单位不会对此提起行政复议或行政诉讼。</w:t>
      </w:r>
      <w:r/>
    </w:p>
    <w:p>
      <w:pPr>
        <w:ind w:firstLine="420"/>
        <w:spacing w:line="336" w:lineRule="auto"/>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w:t>
      </w:r>
      <w:r>
        <w:rPr>
          <w:rFonts w:hint="eastAsia" w:ascii="宋体" w:hAnsi="宋体" w:cs="宋体"/>
          <w:szCs w:val="21"/>
          <w:highlight w:val="none"/>
          <w:lang w:eastAsia="zh-CN"/>
        </w:rPr>
        <w:t xml:space="preserve">磋商</w:t>
      </w:r>
      <w:r>
        <w:rPr>
          <w:rFonts w:hint="eastAsia" w:ascii="宋体" w:hAnsi="宋体" w:cs="宋体"/>
          <w:szCs w:val="21"/>
          <w:highlight w:val="none"/>
        </w:rPr>
        <w:t xml:space="preserve">全过程（含异议、投诉环节）出示的文件资料均是真实、有效的。</w:t>
      </w:r>
      <w:r/>
    </w:p>
    <w:p>
      <w:pPr>
        <w:ind w:firstLine="420"/>
        <w:spacing w:line="336" w:lineRule="auto"/>
        <w:rPr>
          <w:rFonts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、未在“信用中国”被列为失信被执行人。</w:t>
      </w:r>
      <w:r/>
    </w:p>
    <w:p>
      <w:pPr>
        <w:ind w:firstLine="420"/>
        <w:spacing w:line="336"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、参与本</w:t>
      </w:r>
      <w:r>
        <w:rPr>
          <w:rFonts w:hint="eastAsia" w:ascii="宋体" w:hAnsi="宋体" w:cs="宋体"/>
          <w:szCs w:val="21"/>
          <w:highlight w:val="none"/>
          <w:lang w:eastAsia="zh-CN"/>
        </w:rPr>
        <w:t xml:space="preserve">磋商</w:t>
      </w:r>
      <w:r>
        <w:rPr>
          <w:rFonts w:hint="eastAsia" w:ascii="宋体" w:hAnsi="宋体" w:cs="宋体"/>
          <w:szCs w:val="21"/>
          <w:highlight w:val="none"/>
        </w:rPr>
        <w:t xml:space="preserve">标段没有弄虚作假或串通投标（或视为串通投标）等违法行为</w:t>
      </w:r>
      <w:r>
        <w:rPr>
          <w:rFonts w:hint="eastAsia" w:ascii="宋体" w:hAnsi="宋体" w:cs="宋体"/>
          <w:szCs w:val="21"/>
          <w:highlight w:val="none"/>
          <w:lang w:eastAsia="zh-CN"/>
        </w:rPr>
        <w:t xml:space="preserve">。</w:t>
      </w:r>
      <w:r/>
    </w:p>
    <w:p>
      <w:pPr>
        <w:ind w:firstLine="420"/>
        <w:spacing w:line="336" w:lineRule="auto"/>
        <w:rPr>
          <w:rFonts w:ascii="宋体" w:hAnsi="宋体" w:cs="宋体"/>
          <w:szCs w:val="21"/>
          <w:highlight w:val="none"/>
        </w:rPr>
      </w:pPr>
      <w:r>
        <w:rPr>
          <w:rFonts w:hint="eastAsia" w:ascii="宋体" w:hAnsi="宋体" w:cs="宋体"/>
          <w:szCs w:val="21"/>
          <w:highlight w:val="none"/>
        </w:rPr>
        <w:t xml:space="preserve">综上，我单位承诺：参与本标段如有弄虚作假或串通投标（或视为串通投标）等违法行为，愿意无条件接受被取消后审（合格）资格、投标或中标（候选人）资格、履约保证金不予退还、合同解除及清除出场，一切损失由我单位自行承担，同时愿意接受相关处罚，特此承诺！</w:t>
      </w:r>
      <w:r/>
    </w:p>
    <w:p>
      <w:pPr>
        <w:ind w:firstLine="5040"/>
        <w:spacing w:line="336" w:lineRule="auto"/>
        <w:rPr>
          <w:rFonts w:hint="eastAsia" w:ascii="宋体" w:hAnsi="宋体" w:cs="宋体"/>
          <w:szCs w:val="21"/>
          <w:highlight w:val="none"/>
        </w:rPr>
      </w:pPr>
      <w:r>
        <w:rPr>
          <w:rFonts w:hint="eastAsia" w:ascii="宋体" w:hAnsi="宋体" w:cs="宋体"/>
          <w:szCs w:val="21"/>
          <w:highlight w:val="none"/>
        </w:rPr>
      </w:r>
      <w:r/>
    </w:p>
    <w:p>
      <w:pPr>
        <w:ind w:firstLine="5040"/>
        <w:spacing w:line="336" w:lineRule="auto"/>
        <w:rPr>
          <w:rFonts w:ascii="宋体" w:hAnsi="宋体" w:cs="宋体"/>
          <w:szCs w:val="21"/>
          <w:highlight w:val="none"/>
        </w:rPr>
      </w:pPr>
      <w:r>
        <w:rPr>
          <w:rFonts w:hint="eastAsia" w:ascii="宋体" w:hAnsi="宋体" w:cs="宋体"/>
          <w:szCs w:val="21"/>
          <w:highlight w:val="none"/>
        </w:rPr>
        <w:t xml:space="preserve">投标人：（盖章）</w:t>
      </w:r>
      <w:r/>
    </w:p>
    <w:p>
      <w:pPr>
        <w:ind w:firstLine="5040"/>
        <w:spacing w:line="336" w:lineRule="auto"/>
        <w:rPr>
          <w:rFonts w:ascii="宋体" w:hAnsi="宋体" w:cs="宋体"/>
          <w:szCs w:val="21"/>
          <w:highlight w:val="none"/>
        </w:rPr>
      </w:pPr>
      <w:r>
        <w:rPr>
          <w:rFonts w:hint="eastAsia" w:ascii="宋体" w:hAnsi="宋体" w:cs="宋体"/>
          <w:szCs w:val="21"/>
          <w:highlight w:val="none"/>
        </w:rPr>
        <w:t xml:space="preserve">法定代表人：（签字或盖章）</w:t>
      </w:r>
      <w:r/>
    </w:p>
    <w:p>
      <w:pPr>
        <w:ind w:firstLine="5040"/>
        <w:spacing w:line="336" w:lineRule="auto"/>
        <w:rPr>
          <w:rFonts w:ascii="宋体" w:hAnsi="宋体" w:cs="宋体"/>
          <w:szCs w:val="21"/>
          <w:highlight w:val="none"/>
        </w:rPr>
      </w:pPr>
      <w:r>
        <w:rPr>
          <w:rFonts w:hint="eastAsia" w:ascii="宋体" w:hAnsi="宋体" w:cs="宋体"/>
          <w:szCs w:val="21"/>
          <w:highlight w:val="none"/>
        </w:rPr>
        <w:t xml:space="preserve">项目负责人：（签字）</w:t>
      </w:r>
      <w:r/>
    </w:p>
    <w:p>
      <w:pPr>
        <w:ind w:firstLine="5040"/>
        <w:spacing w:line="336" w:lineRule="auto"/>
        <w:rPr>
          <w:rFonts w:ascii="宋体" w:hAnsi="宋体" w:cs="宋体"/>
          <w:szCs w:val="21"/>
          <w:highlight w:val="none"/>
        </w:rPr>
      </w:pPr>
      <w:r>
        <w:rPr>
          <w:rFonts w:hint="eastAsia" w:ascii="宋体" w:hAnsi="宋体" w:cs="宋体"/>
          <w:szCs w:val="21"/>
          <w:highlight w:val="none"/>
        </w:rPr>
        <w:t xml:space="preserve">项目负责人证书编号：</w:t>
      </w:r>
      <w:r/>
    </w:p>
    <w:p>
      <w:pPr>
        <w:ind w:firstLine="5040"/>
        <w:spacing w:line="336" w:lineRule="auto"/>
        <w:rPr>
          <w:szCs w:val="21"/>
          <w:highlight w:val="none"/>
        </w:rPr>
      </w:pPr>
      <w:r>
        <w:rPr>
          <w:rFonts w:hint="eastAsia" w:ascii="宋体" w:hAnsi="宋体" w:cs="宋体"/>
          <w:szCs w:val="21"/>
          <w:highlight w:val="none"/>
        </w:rPr>
        <w:t xml:space="preserve">日期：  年  月  日</w:t>
      </w:r>
      <w:r/>
    </w:p>
    <w:p>
      <w:pPr>
        <w:jc w:val="left"/>
        <w:widowControl/>
        <w:rPr>
          <w:rFonts w:hint="eastAsia" w:ascii="宋体" w:hAnsi="宋体" w:cs="宋体"/>
          <w:b/>
          <w:bCs/>
          <w:szCs w:val="21"/>
          <w:highlight w:val="none"/>
        </w:rPr>
      </w:pPr>
      <w:r>
        <w:rPr>
          <w:rFonts w:hint="eastAsia" w:ascii="宋体" w:hAnsi="宋体" w:cs="宋体"/>
          <w:b/>
          <w:bCs/>
          <w:szCs w:val="21"/>
          <w:highlight w:val="none"/>
        </w:rPr>
      </w:r>
      <w:r/>
    </w:p>
    <w:p>
      <w:pPr>
        <w:ind w:firstLine="211"/>
        <w:jc w:val="left"/>
        <w:widowControl/>
        <w:rPr>
          <w:b/>
          <w:bCs/>
          <w:highlight w:val="none"/>
        </w:rPr>
      </w:pPr>
      <w:r>
        <w:rPr>
          <w:rFonts w:hint="eastAsia" w:ascii="宋体" w:hAnsi="宋体" w:cs="宋体"/>
          <w:b/>
          <w:bCs/>
          <w:szCs w:val="21"/>
          <w:highlight w:val="none"/>
        </w:rPr>
        <w:t xml:space="preserve">说明：项目负责人签字一栏可将本表打印签字并扫描上传。</w:t>
      </w:r>
      <w:r/>
    </w:p>
    <w:p>
      <w:pPr>
        <w:pStyle w:val="1136"/>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val="en-US" w:eastAsia="zh-CN"/>
        </w:rPr>
        <w:t xml:space="preserve">二十</w:t>
      </w:r>
      <w:r>
        <w:rPr>
          <w:rFonts w:hint="eastAsia" w:ascii="宋体" w:hAnsi="宋体" w:cs="宋体"/>
          <w:b/>
          <w:bCs w:val="0"/>
          <w:i/>
          <w:color w:val="auto"/>
          <w:sz w:val="24"/>
          <w:szCs w:val="24"/>
          <w:highlight w:val="none"/>
          <w:u w:val="single"/>
          <w:lang w:val="en-US" w:eastAsia="zh-CN"/>
        </w:rPr>
        <w:t xml:space="preserve">一</w:t>
      </w:r>
      <w:r>
        <w:rPr>
          <w:rFonts w:hint="eastAsia" w:ascii="宋体" w:hAnsi="宋体" w:eastAsia="宋体" w:cs="宋体"/>
          <w:b/>
          <w:bCs w:val="0"/>
          <w:i/>
          <w:color w:val="auto"/>
          <w:sz w:val="24"/>
          <w:szCs w:val="24"/>
          <w:highlight w:val="none"/>
          <w:u w:val="single"/>
          <w:lang w:eastAsia="zh-CN"/>
        </w:rPr>
        <w:t xml:space="preserve">、</w:t>
      </w:r>
      <w:r>
        <w:rPr>
          <w:rFonts w:hint="eastAsia" w:ascii="宋体" w:hAnsi="宋体" w:eastAsia="宋体" w:cs="宋体"/>
          <w:b/>
          <w:bCs w:val="0"/>
          <w:i/>
          <w:color w:val="auto"/>
          <w:sz w:val="24"/>
          <w:szCs w:val="24"/>
          <w:highlight w:val="none"/>
          <w:u w:val="single"/>
          <w:lang w:val="en-US" w:eastAsia="zh-CN"/>
        </w:rPr>
        <w:t xml:space="preserve">不拖欠农民工工资</w:t>
      </w:r>
      <w:r>
        <w:rPr>
          <w:rFonts w:hint="eastAsia" w:ascii="宋体" w:hAnsi="宋体" w:eastAsia="宋体" w:cs="宋体"/>
          <w:b/>
          <w:bCs w:val="0"/>
          <w:i/>
          <w:color w:val="auto"/>
          <w:sz w:val="24"/>
          <w:szCs w:val="24"/>
          <w:highlight w:val="none"/>
          <w:u w:val="single"/>
          <w:lang w:eastAsia="zh-CN"/>
        </w:rPr>
        <w:t xml:space="preserve">承诺函</w:t>
      </w:r>
      <w:r/>
    </w:p>
    <w:p>
      <w:pPr>
        <w:ind w:left="1" w:firstLine="422"/>
        <w:jc w:val="center"/>
        <w:spacing w:line="360" w:lineRule="auto"/>
        <w:rPr>
          <w:rFonts w:hint="eastAsia" w:ascii="宋体" w:hAnsi="宋体" w:cs="宋体"/>
          <w:b/>
          <w:bCs/>
          <w:i/>
          <w:iCs/>
          <w:highlight w:val="none"/>
          <w:lang w:bidi="en-US"/>
        </w:rPr>
      </w:pPr>
      <w:r>
        <w:rPr>
          <w:rFonts w:hint="eastAsia" w:ascii="宋体" w:hAnsi="宋体" w:cs="宋体"/>
          <w:b/>
          <w:bCs/>
          <w:i/>
          <w:iCs/>
          <w:highlight w:val="none"/>
          <w:lang w:bidi="en-US"/>
        </w:rPr>
      </w:r>
      <w:r/>
    </w:p>
    <w:p>
      <w:pPr>
        <w:ind w:left="1" w:firstLine="422"/>
        <w:jc w:val="center"/>
        <w:spacing w:line="360" w:lineRule="auto"/>
        <w:rPr>
          <w:rFonts w:hint="eastAsia" w:ascii="宋体" w:hAnsi="宋体" w:eastAsia="宋体" w:cs="宋体"/>
          <w:b/>
          <w:bCs/>
          <w:i/>
          <w:iCs/>
          <w:highlight w:val="none"/>
          <w:lang w:eastAsia="zh-CN" w:bidi="en-US"/>
        </w:rPr>
      </w:pPr>
      <w:r>
        <w:rPr>
          <w:rFonts w:hint="eastAsia" w:ascii="宋体" w:hAnsi="宋体" w:cs="宋体"/>
          <w:b/>
          <w:bCs/>
          <w:i/>
          <w:iCs/>
          <w:highlight w:val="none"/>
          <w:lang w:bidi="en-US"/>
        </w:rPr>
        <w:t xml:space="preserve">不拖欠农民工工资承诺</w:t>
      </w:r>
      <w:r>
        <w:rPr>
          <w:rFonts w:hint="eastAsia" w:ascii="宋体" w:hAnsi="宋体" w:cs="宋体"/>
          <w:b/>
          <w:bCs/>
          <w:i/>
          <w:iCs/>
          <w:highlight w:val="none"/>
          <w:lang w:val="en-US" w:eastAsia="zh-CN" w:bidi="en-US"/>
        </w:rPr>
        <w:t xml:space="preserve">函</w:t>
      </w:r>
      <w:r/>
    </w:p>
    <w:p>
      <w:pPr>
        <w:ind w:left="1334" w:hanging="1334"/>
        <w:spacing w:line="360" w:lineRule="auto"/>
        <w:rPr>
          <w:rFonts w:ascii="宋体" w:hAnsi="宋体" w:cs="宋体"/>
          <w:b/>
          <w:highlight w:val="none"/>
        </w:rPr>
      </w:pPr>
      <w:r>
        <w:rPr>
          <w:rFonts w:ascii="宋体" w:hAnsi="宋体" w:cs="宋体"/>
          <w:b/>
          <w:highlight w:val="none"/>
        </w:rPr>
      </w:r>
      <w:r/>
    </w:p>
    <w:p>
      <w:pPr>
        <w:spacing w:line="600" w:lineRule="exact"/>
        <w:rPr>
          <w:sz w:val="21"/>
          <w:szCs w:val="21"/>
          <w:highlight w:val="none"/>
        </w:rPr>
      </w:pPr>
      <w:r>
        <w:rPr>
          <w:sz w:val="21"/>
          <w:szCs w:val="21"/>
          <w:highlight w:val="none"/>
          <w:u w:val="single"/>
        </w:rPr>
        <w:t xml:space="preserve">致：（采购人名称）：</w:t>
      </w:r>
      <w:r/>
    </w:p>
    <w:p>
      <w:pPr>
        <w:pStyle w:val="1110"/>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10"/>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连云区青少年校外活动中心分部(原平山幼儿园)装修工程（含消防）</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10"/>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rPr>
          <w:rFonts w:hint="eastAsia" w:ascii="宋体" w:hAnsi="宋体" w:cs="宋体"/>
          <w:highlight w:val="none"/>
        </w:rPr>
      </w:pPr>
      <w:r>
        <w:rPr>
          <w:rFonts w:hint="eastAsia" w:ascii="宋体" w:hAnsi="宋体" w:cs="宋体"/>
          <w:highlight w:val="none"/>
        </w:rPr>
        <w:br w:type="page" w:clear="all"/>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60"/>
      </w:rPr>
      <w:framePr w:wrap="around" w:vAnchor="text" w:hAnchor="margin" w:xAlign="center" w:y="1"/>
    </w:pPr>
    <w:r>
      <w:fldChar w:fldCharType="begin"/>
    </w:r>
    <w:r>
      <w:rPr>
        <w:rStyle w:val="860"/>
      </w:rPr>
      <w:instrText xml:space="preserve"> PAGE   \* MERGEFORMAT </w:instrText>
    </w:r>
    <w:r>
      <w:fldChar w:fldCharType="separate"/>
    </w:r>
    <w:r>
      <w:rPr>
        <w:rStyle w:val="860"/>
        <w:lang w:val="zh-CN"/>
      </w:rPr>
      <w:t xml:space="preserve">55</w:t>
    </w:r>
    <w:r>
      <w:fldChar w:fldCharType="end"/>
    </w:r>
    <w:r/>
  </w:p>
  <w:p>
    <w:pPr>
      <w:pStyle w:val="8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9"/>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60"/>
      </w:rPr>
      <w:framePr w:wrap="around" w:vAnchor="text" w:hAnchor="margin" w:xAlign="center" w:y="1"/>
    </w:pPr>
    <w:r>
      <w:fldChar w:fldCharType="begin"/>
    </w:r>
    <w:r>
      <w:rPr>
        <w:rStyle w:val="860"/>
      </w:rPr>
      <w:instrText xml:space="preserve"> PAGE   \* MERGEFORMAT </w:instrText>
    </w:r>
    <w:r>
      <w:fldChar w:fldCharType="separate"/>
    </w:r>
    <w:r>
      <w:rPr>
        <w:rStyle w:val="860"/>
        <w:lang w:val="zh-CN"/>
      </w:rPr>
      <w:t xml:space="preserve">55</w:t>
    </w:r>
    <w:r>
      <w:fldChar w:fldCharType="end"/>
    </w:r>
    <w:r/>
  </w:p>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both"/>
    </w:pPr>
    <w:r>
      <w:rPr>
        <w:rFonts w:hint="eastAsia"/>
        <w:i/>
        <w:color w:val="000000"/>
        <w:lang w:eastAsia="zh-CN"/>
      </w:rPr>
      <w:t xml:space="preserve">连云区青少年校外活动中心分部(原平山幼儿园)装修工程（含消防）</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both"/>
    </w:pPr>
    <w:r>
      <w:rPr>
        <w:rFonts w:hint="eastAsia"/>
        <w:i/>
        <w:color w:val="000000"/>
        <w:lang w:eastAsia="zh-CN"/>
      </w:rPr>
      <w:t xml:space="preserve">连云区青少年校外活动中心分部(原平山幼儿园)装修工程（含消防）</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left" w:pos="3480" w:leader="none"/>
        <w:tab w:val="clear" w:pos="4153" w:leader="none"/>
        <w:tab w:val="clear" w:pos="8306" w:leader="none"/>
      </w:tabs>
      <w:rPr>
        <w:i/>
        <w:color w:val="000000"/>
      </w:rPr>
    </w:pPr>
    <w:r>
      <w:rPr>
        <w:rFonts w:hint="eastAsia"/>
        <w:i/>
        <w:color w:val="000000"/>
        <w:lang w:eastAsia="zh-CN"/>
      </w:rPr>
      <w:t xml:space="preserve">连云区青少年校外活动中心分部(原平山幼儿园)装修工程（含消防）竞争性磋商文件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left" w:pos="3480" w:leader="none"/>
        <w:tab w:val="clear" w:pos="4153" w:leader="none"/>
        <w:tab w:val="clear" w:pos="8306" w:leader="none"/>
      </w:tabs>
      <w:rPr>
        <w:i/>
        <w:color w:val="000000"/>
      </w:rPr>
    </w:pPr>
    <w:r>
      <w:rPr>
        <w:rFonts w:hint="eastAsia"/>
        <w:i/>
        <w:color w:val="000000"/>
        <w:lang w:eastAsia="zh-CN"/>
      </w:rPr>
      <w:t xml:space="preserve">连云区青少年校外活动中心分部(原平山幼儿园)装修工程（含消防）</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name w:val="Heading 1"/>
    <w:basedOn w:val="807"/>
    <w:next w:val="807"/>
    <w:link w:val="879"/>
    <w:uiPriority w:val="0"/>
    <w:qFormat/>
    <w:pPr>
      <w:keepNext/>
      <w:outlineLvl w:val="0"/>
    </w:pPr>
    <w:rPr>
      <w:rFonts w:ascii="楷体_GB2312" w:eastAsia="楷体_GB2312"/>
      <w:sz w:val="28"/>
      <w:szCs w:val="20"/>
    </w:rPr>
  </w:style>
  <w:style w:type="paragraph" w:styleId="809">
    <w:name w:val="Heading 2"/>
    <w:basedOn w:val="807"/>
    <w:next w:val="807"/>
    <w:link w:val="878"/>
    <w:uiPriority w:val="0"/>
    <w:qFormat/>
    <w:pPr>
      <w:jc w:val="center"/>
      <w:keepLines/>
      <w:keepNext/>
      <w:spacing w:before="260" w:after="260" w:line="415" w:lineRule="auto"/>
      <w:outlineLvl w:val="1"/>
    </w:pPr>
    <w:rPr>
      <w:rFonts w:ascii="Arial" w:hAnsi="Arial" w:eastAsia="幼圆"/>
      <w:b/>
      <w:sz w:val="44"/>
      <w:szCs w:val="20"/>
    </w:rPr>
  </w:style>
  <w:style w:type="paragraph" w:styleId="810">
    <w:name w:val="Heading 3"/>
    <w:basedOn w:val="807"/>
    <w:next w:val="807"/>
    <w:link w:val="1045"/>
    <w:uiPriority w:val="0"/>
    <w:qFormat/>
    <w:pPr>
      <w:keepLines/>
      <w:keepNext/>
      <w:spacing w:before="260" w:after="260" w:line="415" w:lineRule="auto"/>
      <w:outlineLvl w:val="2"/>
    </w:pPr>
    <w:rPr>
      <w:b/>
      <w:sz w:val="32"/>
      <w:szCs w:val="20"/>
    </w:rPr>
  </w:style>
  <w:style w:type="paragraph" w:styleId="811">
    <w:name w:val="Heading 4"/>
    <w:basedOn w:val="807"/>
    <w:next w:val="807"/>
    <w:link w:val="1043"/>
    <w:uiPriority w:val="0"/>
    <w:qFormat/>
    <w:pPr>
      <w:keepLines/>
      <w:keepNext/>
      <w:spacing w:before="280" w:after="290" w:line="376" w:lineRule="auto"/>
      <w:outlineLvl w:val="3"/>
    </w:pPr>
    <w:rPr>
      <w:rFonts w:ascii="Arial" w:hAnsi="Arial" w:eastAsia="黑体"/>
      <w:b/>
      <w:bCs/>
      <w:sz w:val="28"/>
      <w:szCs w:val="28"/>
    </w:rPr>
  </w:style>
  <w:style w:type="paragraph" w:styleId="812">
    <w:name w:val="Heading 5"/>
    <w:basedOn w:val="807"/>
    <w:next w:val="807"/>
    <w:link w:val="1040"/>
    <w:uiPriority w:val="0"/>
    <w:qFormat/>
    <w:pPr>
      <w:keepNext/>
      <w:outlineLvl w:val="4"/>
    </w:pPr>
    <w:rPr>
      <w:rFonts w:ascii="宋体"/>
      <w:b/>
      <w:bCs/>
    </w:rPr>
  </w:style>
  <w:style w:type="paragraph" w:styleId="813">
    <w:name w:val="Heading 6"/>
    <w:basedOn w:val="807"/>
    <w:next w:val="807"/>
    <w:link w:val="885"/>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887"/>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888"/>
    <w:uiPriority w:val="9"/>
    <w:unhideWhenUsed/>
    <w:qFormat/>
    <w:pPr>
      <w:keepLines/>
      <w:keepNext/>
      <w:spacing w:before="320" w:after="200"/>
      <w:outlineLvl w:val="8"/>
    </w:pPr>
    <w:rPr>
      <w:rFonts w:ascii="Arial" w:hAnsi="Arial" w:eastAsia="Arial" w:cs="Arial"/>
      <w:i/>
      <w:iCs/>
      <w:sz w:val="21"/>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toc 7"/>
    <w:basedOn w:val="807"/>
    <w:next w:val="807"/>
    <w:uiPriority w:val="0"/>
    <w:qFormat/>
    <w:pPr>
      <w:ind w:left="1200"/>
    </w:pPr>
  </w:style>
  <w:style w:type="paragraph" w:styleId="820">
    <w:name w:val="Normal Indent"/>
    <w:basedOn w:val="807"/>
    <w:next w:val="807"/>
    <w:uiPriority w:val="0"/>
    <w:qFormat/>
    <w:pPr>
      <w:ind w:firstLine="420"/>
    </w:pPr>
    <w:rPr>
      <w:szCs w:val="20"/>
    </w:rPr>
  </w:style>
  <w:style w:type="paragraph" w:styleId="821">
    <w:name w:val="Caption"/>
    <w:basedOn w:val="807"/>
    <w:next w:val="8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Document Map"/>
    <w:basedOn w:val="807"/>
    <w:link w:val="1046"/>
    <w:uiPriority w:val="0"/>
    <w:qFormat/>
    <w:pPr>
      <w:shd w:val="clear" w:color="auto" w:fill="000080"/>
    </w:pPr>
  </w:style>
  <w:style w:type="paragraph" w:styleId="823">
    <w:name w:val="annotation text"/>
    <w:basedOn w:val="807"/>
    <w:link w:val="1038"/>
    <w:uiPriority w:val="0"/>
    <w:qFormat/>
    <w:pPr>
      <w:jc w:val="left"/>
    </w:pPr>
  </w:style>
  <w:style w:type="paragraph" w:styleId="824">
    <w:name w:val="Body Text 3"/>
    <w:basedOn w:val="807"/>
    <w:link w:val="1054"/>
    <w:uiPriority w:val="0"/>
    <w:qFormat/>
    <w:rPr>
      <w:rFonts w:ascii="仿宋_GB2312" w:eastAsia="仿宋_GB2312"/>
      <w:sz w:val="32"/>
      <w:szCs w:val="20"/>
    </w:rPr>
  </w:style>
  <w:style w:type="paragraph" w:styleId="825">
    <w:name w:val="Body Text"/>
    <w:basedOn w:val="807"/>
    <w:link w:val="1056"/>
    <w:uiPriority w:val="0"/>
    <w:qFormat/>
    <w:rPr>
      <w:rFonts w:ascii="楷体_GB2312" w:eastAsia="楷体_GB2312"/>
      <w:sz w:val="28"/>
      <w:szCs w:val="20"/>
    </w:rPr>
  </w:style>
  <w:style w:type="paragraph" w:styleId="826">
    <w:name w:val="Body Text Indent"/>
    <w:basedOn w:val="807"/>
    <w:next w:val="827"/>
    <w:link w:val="1050"/>
    <w:uiPriority w:val="0"/>
    <w:qFormat/>
    <w:pPr>
      <w:ind w:firstLine="645"/>
    </w:pPr>
    <w:rPr>
      <w:rFonts w:ascii="楷体_GB2312" w:eastAsia="楷体_GB2312"/>
      <w:sz w:val="32"/>
      <w:szCs w:val="20"/>
    </w:rPr>
  </w:style>
  <w:style w:type="paragraph" w:styleId="827">
    <w:name w:val="envelope return"/>
    <w:basedOn w:val="807"/>
    <w:uiPriority w:val="99"/>
    <w:unhideWhenUsed/>
    <w:qFormat/>
    <w:rPr>
      <w:rFonts w:ascii="Arial" w:hAnsi="Arial" w:cs="Arial"/>
    </w:rPr>
  </w:style>
  <w:style w:type="paragraph" w:styleId="828">
    <w:name w:val="Block Text"/>
    <w:basedOn w:val="807"/>
    <w:next w:val="807"/>
    <w:uiPriority w:val="0"/>
    <w:unhideWhenUsed/>
    <w:qFormat/>
    <w:pPr>
      <w:ind w:left="420" w:right="33"/>
    </w:pPr>
    <w:rPr>
      <w:sz w:val="24"/>
    </w:rPr>
  </w:style>
  <w:style w:type="paragraph" w:styleId="829">
    <w:name w:val="index 4"/>
    <w:basedOn w:val="807"/>
    <w:next w:val="807"/>
    <w:uiPriority w:val="0"/>
    <w:semiHidden/>
    <w:qFormat/>
    <w:pPr>
      <w:ind w:left="600" w:firstLine="480"/>
      <w:spacing w:line="288" w:lineRule="auto"/>
      <w:tabs>
        <w:tab w:val="left" w:pos="1440" w:leader="none"/>
        <w:tab w:val="right" w:pos="8505" w:leader="dot"/>
      </w:tabs>
    </w:pPr>
  </w:style>
  <w:style w:type="paragraph" w:styleId="830">
    <w:name w:val="toc 5"/>
    <w:basedOn w:val="807"/>
    <w:next w:val="807"/>
    <w:uiPriority w:val="0"/>
    <w:qFormat/>
    <w:pPr>
      <w:ind w:left="800"/>
    </w:pPr>
  </w:style>
  <w:style w:type="paragraph" w:styleId="831">
    <w:name w:val="toc 3"/>
    <w:basedOn w:val="807"/>
    <w:next w:val="807"/>
    <w:uiPriority w:val="0"/>
    <w:qFormat/>
    <w:pPr>
      <w:ind w:left="539"/>
      <w:jc w:val="left"/>
      <w:spacing w:line="240" w:lineRule="exact"/>
      <w:tabs>
        <w:tab w:val="right" w:pos="9440" w:leader="dot"/>
      </w:tabs>
    </w:pPr>
    <w:rPr>
      <w:rFonts w:ascii="黑体" w:eastAsia="黑体"/>
      <w:bCs/>
      <w:iCs/>
      <w:sz w:val="18"/>
      <w:szCs w:val="32"/>
    </w:rPr>
  </w:style>
  <w:style w:type="paragraph" w:styleId="832">
    <w:name w:val="Plain Text"/>
    <w:basedOn w:val="807"/>
    <w:link w:val="1057"/>
    <w:uiPriority w:val="0"/>
    <w:qFormat/>
    <w:rPr>
      <w:rFonts w:ascii="宋体"/>
      <w:szCs w:val="20"/>
    </w:rPr>
  </w:style>
  <w:style w:type="paragraph" w:styleId="833">
    <w:name w:val="toc 8"/>
    <w:basedOn w:val="807"/>
    <w:next w:val="807"/>
    <w:uiPriority w:val="0"/>
    <w:qFormat/>
    <w:pPr>
      <w:ind w:left="1400"/>
    </w:pPr>
  </w:style>
  <w:style w:type="paragraph" w:styleId="834">
    <w:name w:val="Date"/>
    <w:basedOn w:val="807"/>
    <w:next w:val="807"/>
    <w:link w:val="1052"/>
    <w:uiPriority w:val="0"/>
    <w:qFormat/>
    <w:rPr>
      <w:sz w:val="24"/>
      <w:szCs w:val="20"/>
    </w:rPr>
  </w:style>
  <w:style w:type="paragraph" w:styleId="835">
    <w:name w:val="Body Text Indent 2"/>
    <w:basedOn w:val="807"/>
    <w:link w:val="1051"/>
    <w:uiPriority w:val="0"/>
    <w:qFormat/>
    <w:pPr>
      <w:ind w:firstLine="200"/>
    </w:pPr>
    <w:rPr>
      <w:rFonts w:ascii="宋体"/>
      <w:sz w:val="28"/>
    </w:rPr>
  </w:style>
  <w:style w:type="paragraph" w:styleId="836">
    <w:name w:val="endnote text"/>
    <w:basedOn w:val="807"/>
    <w:link w:val="1025"/>
    <w:uiPriority w:val="99"/>
    <w:semiHidden/>
    <w:unhideWhenUsed/>
    <w:qFormat/>
    <w:pPr>
      <w:spacing w:after="0" w:line="240" w:lineRule="auto"/>
    </w:pPr>
    <w:rPr>
      <w:sz w:val="20"/>
    </w:rPr>
  </w:style>
  <w:style w:type="paragraph" w:styleId="837">
    <w:name w:val="Balloon Text"/>
    <w:basedOn w:val="807"/>
    <w:link w:val="1042"/>
    <w:uiPriority w:val="0"/>
    <w:qFormat/>
    <w:rPr>
      <w:sz w:val="18"/>
      <w:szCs w:val="18"/>
    </w:rPr>
  </w:style>
  <w:style w:type="paragraph" w:styleId="838">
    <w:name w:val="Footer"/>
    <w:basedOn w:val="807"/>
    <w:link w:val="1041"/>
    <w:uiPriority w:val="0"/>
    <w:qFormat/>
    <w:pPr>
      <w:jc w:val="left"/>
      <w:tabs>
        <w:tab w:val="center" w:pos="4153" w:leader="none"/>
        <w:tab w:val="right" w:pos="8306" w:leader="none"/>
      </w:tabs>
    </w:pPr>
    <w:rPr>
      <w:sz w:val="18"/>
      <w:szCs w:val="20"/>
    </w:rPr>
  </w:style>
  <w:style w:type="paragraph" w:styleId="839">
    <w:name w:val="Header"/>
    <w:basedOn w:val="807"/>
    <w:link w:val="1055"/>
    <w:uiPriority w:val="99"/>
    <w:qFormat/>
    <w:pPr>
      <w:jc w:val="center"/>
      <w:tabs>
        <w:tab w:val="center" w:pos="4153" w:leader="none"/>
        <w:tab w:val="right" w:pos="8306" w:leader="none"/>
      </w:tabs>
      <w:pBdr>
        <w:bottom w:val="single" w:color="auto" w:sz="6" w:space="1"/>
      </w:pBdr>
    </w:pPr>
    <w:rPr>
      <w:sz w:val="18"/>
      <w:szCs w:val="18"/>
    </w:rPr>
  </w:style>
  <w:style w:type="paragraph" w:styleId="840">
    <w:name w:val="toc 1"/>
    <w:basedOn w:val="807"/>
    <w:next w:val="807"/>
    <w:uiPriority w:val="39"/>
    <w:qFormat/>
    <w:pPr>
      <w:jc w:val="left"/>
      <w:spacing w:before="120" w:after="120" w:line="300" w:lineRule="exact"/>
      <w:tabs>
        <w:tab w:val="right" w:pos="9440" w:leader="dot"/>
      </w:tabs>
    </w:pPr>
    <w:rPr>
      <w:rFonts w:ascii="黑体" w:eastAsia="黑体"/>
      <w:b/>
      <w:caps/>
      <w:sz w:val="18"/>
      <w:szCs w:val="28"/>
    </w:rPr>
  </w:style>
  <w:style w:type="paragraph" w:styleId="841">
    <w:name w:val="toc 4"/>
    <w:basedOn w:val="807"/>
    <w:next w:val="807"/>
    <w:uiPriority w:val="0"/>
    <w:qFormat/>
    <w:pPr>
      <w:ind w:left="600"/>
    </w:pPr>
  </w:style>
  <w:style w:type="paragraph" w:styleId="842">
    <w:name w:val="Subtitle"/>
    <w:basedOn w:val="807"/>
    <w:next w:val="807"/>
    <w:link w:val="1047"/>
    <w:uiPriority w:val="0"/>
    <w:qFormat/>
    <w:pPr>
      <w:jc w:val="center"/>
      <w:spacing w:before="240" w:after="60" w:line="312" w:lineRule="auto"/>
      <w:outlineLvl w:val="1"/>
    </w:pPr>
    <w:rPr>
      <w:rFonts w:ascii="Cambria" w:hAnsi="Cambria"/>
      <w:b/>
      <w:bCs/>
      <w:sz w:val="32"/>
      <w:szCs w:val="32"/>
    </w:rPr>
  </w:style>
  <w:style w:type="paragraph" w:styleId="843">
    <w:name w:val="footnote text"/>
    <w:basedOn w:val="807"/>
    <w:link w:val="1024"/>
    <w:uiPriority w:val="99"/>
    <w:semiHidden/>
    <w:unhideWhenUsed/>
    <w:qFormat/>
    <w:pPr>
      <w:spacing w:after="40" w:line="240" w:lineRule="auto"/>
    </w:pPr>
    <w:rPr>
      <w:sz w:val="18"/>
    </w:rPr>
  </w:style>
  <w:style w:type="paragraph" w:styleId="844">
    <w:name w:val="toc 6"/>
    <w:basedOn w:val="807"/>
    <w:next w:val="807"/>
    <w:uiPriority w:val="0"/>
    <w:qFormat/>
    <w:pPr>
      <w:ind w:left="1000"/>
    </w:pPr>
  </w:style>
  <w:style w:type="paragraph" w:styleId="845">
    <w:name w:val="Body Text Indent 3"/>
    <w:basedOn w:val="807"/>
    <w:link w:val="1049"/>
    <w:uiPriority w:val="0"/>
    <w:qFormat/>
    <w:pPr>
      <w:ind w:firstLine="523"/>
    </w:pPr>
    <w:rPr>
      <w:rFonts w:ascii="仿宋_GB2312" w:eastAsia="仿宋_GB2312"/>
      <w:sz w:val="24"/>
    </w:rPr>
  </w:style>
  <w:style w:type="paragraph" w:styleId="846">
    <w:name w:val="table of figures"/>
    <w:basedOn w:val="807"/>
    <w:next w:val="807"/>
    <w:uiPriority w:val="99"/>
    <w:unhideWhenUsed/>
    <w:qFormat/>
    <w:pPr>
      <w:spacing w:after="0" w:afterAutospacing="0"/>
    </w:pPr>
  </w:style>
  <w:style w:type="paragraph" w:styleId="847">
    <w:name w:val="toc 2"/>
    <w:basedOn w:val="807"/>
    <w:next w:val="807"/>
    <w:uiPriority w:val="39"/>
    <w:qFormat/>
    <w:pPr>
      <w:jc w:val="left"/>
      <w:spacing w:line="260" w:lineRule="exact"/>
      <w:tabs>
        <w:tab w:val="right" w:pos="9440" w:leader="dot"/>
      </w:tabs>
    </w:pPr>
    <w:rPr>
      <w:rFonts w:ascii="黑体" w:eastAsia="黑体"/>
      <w:b/>
      <w:bCs/>
      <w:smallCaps/>
      <w:sz w:val="18"/>
      <w:szCs w:val="44"/>
    </w:rPr>
  </w:style>
  <w:style w:type="paragraph" w:styleId="848">
    <w:name w:val="toc 9"/>
    <w:basedOn w:val="807"/>
    <w:next w:val="807"/>
    <w:uiPriority w:val="0"/>
    <w:qFormat/>
    <w:pPr>
      <w:ind w:left="1600"/>
    </w:pPr>
  </w:style>
  <w:style w:type="paragraph" w:styleId="849">
    <w:name w:val="Body Text 2"/>
    <w:basedOn w:val="807"/>
    <w:link w:val="1044"/>
    <w:uiPriority w:val="0"/>
    <w:qFormat/>
    <w:pPr>
      <w:jc w:val="center"/>
    </w:pPr>
    <w:rPr>
      <w:rFonts w:ascii="仿宋_GB2312" w:eastAsia="仿宋_GB2312"/>
      <w:sz w:val="44"/>
    </w:rPr>
  </w:style>
  <w:style w:type="paragraph" w:styleId="850">
    <w:name w:val="HTML Preformatted"/>
    <w:basedOn w:val="807"/>
    <w:link w:val="10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51">
    <w:name w:val="Normal (Web)"/>
    <w:basedOn w:val="807"/>
    <w:uiPriority w:val="99"/>
    <w:qFormat/>
    <w:pPr>
      <w:jc w:val="left"/>
      <w:spacing w:before="100" w:beforeAutospacing="1" w:after="100" w:afterAutospacing="1"/>
      <w:widowControl/>
    </w:pPr>
    <w:rPr>
      <w:rFonts w:ascii="宋体" w:cs="宋体"/>
      <w:sz w:val="24"/>
    </w:rPr>
  </w:style>
  <w:style w:type="paragraph" w:styleId="852">
    <w:name w:val="index 1"/>
    <w:basedOn w:val="807"/>
    <w:next w:val="807"/>
    <w:uiPriority w:val="0"/>
    <w:qFormat/>
    <w:rPr>
      <w:rFonts w:ascii="宋体"/>
      <w:szCs w:val="18"/>
    </w:rPr>
  </w:style>
  <w:style w:type="paragraph" w:styleId="853">
    <w:name w:val="Title"/>
    <w:basedOn w:val="807"/>
    <w:next w:val="807"/>
    <w:link w:val="890"/>
    <w:uiPriority w:val="10"/>
    <w:qFormat/>
    <w:pPr>
      <w:contextualSpacing/>
      <w:spacing w:before="300" w:after="200"/>
    </w:pPr>
    <w:rPr>
      <w:sz w:val="48"/>
      <w:szCs w:val="48"/>
    </w:rPr>
  </w:style>
  <w:style w:type="paragraph" w:styleId="854">
    <w:name w:val="annotation subject"/>
    <w:basedOn w:val="823"/>
    <w:next w:val="823"/>
    <w:link w:val="1037"/>
    <w:uiPriority w:val="0"/>
    <w:qFormat/>
    <w:rPr>
      <w:b/>
      <w:bCs/>
    </w:rPr>
  </w:style>
  <w:style w:type="paragraph" w:styleId="855">
    <w:name w:val="Body Text First Indent"/>
    <w:basedOn w:val="825"/>
    <w:uiPriority w:val="0"/>
    <w:qFormat/>
    <w:pPr>
      <w:ind w:firstLine="420"/>
      <w:spacing w:after="120"/>
    </w:pPr>
    <w:rPr>
      <w:rFonts w:ascii="Times New Roman" w:hAnsi="Times New Roman" w:eastAsia="宋体"/>
      <w:spacing w:val="0"/>
      <w:sz w:val="21"/>
      <w:szCs w:val="24"/>
    </w:rPr>
  </w:style>
  <w:style w:type="paragraph" w:styleId="856">
    <w:name w:val="Body Text First Indent 2"/>
    <w:basedOn w:val="826"/>
    <w:uiPriority w:val="99"/>
    <w:unhideWhenUsed/>
    <w:qFormat/>
    <w:pPr>
      <w:ind w:firstLine="420"/>
    </w:pPr>
  </w:style>
  <w:style w:type="table" w:styleId="857">
    <w:name w:val="Table Grid"/>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Strong"/>
    <w:uiPriority w:val="0"/>
    <w:qFormat/>
    <w:rPr>
      <w:b/>
      <w:bCs/>
    </w:rPr>
  </w:style>
  <w:style w:type="character" w:styleId="859">
    <w:name w:val="endnote reference"/>
    <w:basedOn w:val="817"/>
    <w:uiPriority w:val="99"/>
    <w:semiHidden/>
    <w:unhideWhenUsed/>
    <w:qFormat/>
    <w:rPr>
      <w:vertAlign w:val="superscript"/>
    </w:rPr>
  </w:style>
  <w:style w:type="character" w:styleId="860">
    <w:name w:val="page number"/>
    <w:basedOn w:val="817"/>
    <w:uiPriority w:val="0"/>
    <w:qFormat/>
  </w:style>
  <w:style w:type="character" w:styleId="861">
    <w:name w:val="FollowedHyperlink"/>
    <w:basedOn w:val="817"/>
    <w:uiPriority w:val="99"/>
    <w:qFormat/>
    <w:rPr>
      <w:color w:val="800080"/>
      <w:u w:val="none"/>
    </w:rPr>
  </w:style>
  <w:style w:type="character" w:styleId="862">
    <w:name w:val="Emphasis"/>
    <w:basedOn w:val="817"/>
    <w:uiPriority w:val="20"/>
    <w:qFormat/>
    <w:rPr>
      <w:b/>
      <w:bCs/>
    </w:rPr>
  </w:style>
  <w:style w:type="character" w:styleId="863">
    <w:name w:val="HTML Definition"/>
    <w:basedOn w:val="817"/>
    <w:uiPriority w:val="99"/>
    <w:semiHidden/>
    <w:unhideWhenUsed/>
    <w:qFormat/>
  </w:style>
  <w:style w:type="character" w:styleId="864">
    <w:name w:val="HTML Typewriter"/>
    <w:basedOn w:val="817"/>
    <w:uiPriority w:val="99"/>
    <w:semiHidden/>
    <w:unhideWhenUsed/>
    <w:qFormat/>
    <w:rPr>
      <w:rFonts w:hint="default" w:ascii="monospace" w:hAnsi="monospace" w:eastAsia="monospace" w:cs="monospace"/>
      <w:sz w:val="20"/>
    </w:rPr>
  </w:style>
  <w:style w:type="character" w:styleId="865">
    <w:name w:val="HTML Acronym"/>
    <w:basedOn w:val="817"/>
    <w:uiPriority w:val="99"/>
    <w:semiHidden/>
    <w:unhideWhenUsed/>
    <w:qFormat/>
  </w:style>
  <w:style w:type="character" w:styleId="866">
    <w:name w:val="HTML Variable"/>
    <w:basedOn w:val="817"/>
    <w:uiPriority w:val="99"/>
    <w:semiHidden/>
    <w:unhideWhenUsed/>
    <w:qFormat/>
  </w:style>
  <w:style w:type="character" w:styleId="867">
    <w:name w:val="Hyperlink"/>
    <w:basedOn w:val="817"/>
    <w:uiPriority w:val="99"/>
    <w:qFormat/>
    <w:rPr>
      <w:color w:val="0000ff"/>
      <w:u w:val="none"/>
    </w:rPr>
  </w:style>
  <w:style w:type="character" w:styleId="868">
    <w:name w:val="HTML Code"/>
    <w:basedOn w:val="817"/>
    <w:uiPriority w:val="99"/>
    <w:semiHidden/>
    <w:unhideWhenUsed/>
    <w:qFormat/>
    <w:rPr>
      <w:rFonts w:hint="default" w:ascii="monospace" w:hAnsi="monospace" w:eastAsia="monospace" w:cs="monospace"/>
      <w:sz w:val="20"/>
    </w:rPr>
  </w:style>
  <w:style w:type="character" w:styleId="869">
    <w:name w:val="annotation reference"/>
    <w:uiPriority w:val="0"/>
    <w:qFormat/>
    <w:rPr>
      <w:sz w:val="21"/>
      <w:szCs w:val="21"/>
    </w:rPr>
  </w:style>
  <w:style w:type="character" w:styleId="870">
    <w:name w:val="HTML Cite"/>
    <w:basedOn w:val="817"/>
    <w:uiPriority w:val="99"/>
    <w:semiHidden/>
    <w:unhideWhenUsed/>
    <w:qFormat/>
  </w:style>
  <w:style w:type="character" w:styleId="871">
    <w:name w:val="footnote reference"/>
    <w:basedOn w:val="817"/>
    <w:uiPriority w:val="99"/>
    <w:unhideWhenUsed/>
    <w:qFormat/>
    <w:rPr>
      <w:vertAlign w:val="superscript"/>
    </w:rPr>
  </w:style>
  <w:style w:type="character" w:styleId="872">
    <w:name w:val="HTML Keyboard"/>
    <w:basedOn w:val="817"/>
    <w:uiPriority w:val="99"/>
    <w:semiHidden/>
    <w:unhideWhenUsed/>
    <w:qFormat/>
    <w:rPr>
      <w:rFonts w:hint="default" w:ascii="monospace" w:hAnsi="monospace" w:eastAsia="monospace" w:cs="monospace"/>
      <w:sz w:val="20"/>
    </w:rPr>
  </w:style>
  <w:style w:type="character" w:styleId="873">
    <w:name w:val="HTML Sample"/>
    <w:basedOn w:val="817"/>
    <w:uiPriority w:val="99"/>
    <w:semiHidden/>
    <w:unhideWhenUsed/>
    <w:qFormat/>
    <w:rPr>
      <w:rFonts w:ascii="monospace" w:hAnsi="monospace" w:eastAsia="monospace" w:cs="monospace"/>
      <w:u w:val="none"/>
      <w:shd w:val="clear" w:color="auto" w:fill="ffffff"/>
    </w:rPr>
  </w:style>
  <w:style w:type="paragraph" w:styleId="874" w:customStyle="1">
    <w:name w:val="正文文本11"/>
    <w:basedOn w:val="875"/>
    <w:next w:val="807"/>
    <w:uiPriority w:val="0"/>
    <w:qFormat/>
    <w:pPr>
      <w:spacing w:after="120"/>
    </w:pPr>
  </w:style>
  <w:style w:type="paragraph" w:styleId="875" w:customStyle="1">
    <w:name w:val="正文112"/>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首行缩进"/>
    <w:basedOn w:val="807"/>
    <w:uiPriority w:val="0"/>
    <w:qFormat/>
    <w:pPr>
      <w:ind w:firstLine="480"/>
    </w:pPr>
    <w:rPr>
      <w:lang w:val="zh-CN"/>
    </w:rPr>
  </w:style>
  <w:style w:type="paragraph" w:styleId="877"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78" w:customStyle="1">
    <w:name w:val="标题 2 Char"/>
    <w:basedOn w:val="817"/>
    <w:link w:val="809"/>
    <w:uiPriority w:val="0"/>
    <w:qFormat/>
    <w:rPr>
      <w:rFonts w:ascii="Arial" w:hAnsi="Arial" w:eastAsia="幼圆"/>
      <w:b/>
      <w:sz w:val="44"/>
    </w:rPr>
  </w:style>
  <w:style w:type="character" w:styleId="879" w:customStyle="1">
    <w:name w:val="标题 1 Char"/>
    <w:basedOn w:val="817"/>
    <w:link w:val="808"/>
    <w:uiPriority w:val="0"/>
    <w:qFormat/>
    <w:rPr>
      <w:rFonts w:ascii="楷体_GB2312" w:eastAsia="楷体_GB2312"/>
      <w:sz w:val="28"/>
    </w:rPr>
  </w:style>
  <w:style w:type="character" w:styleId="880" w:customStyle="1">
    <w:name w:val="Heading 1 Char"/>
    <w:basedOn w:val="817"/>
    <w:uiPriority w:val="9"/>
    <w:qFormat/>
    <w:rPr>
      <w:rFonts w:ascii="Arial" w:hAnsi="Arial" w:eastAsia="Arial" w:cs="Arial"/>
      <w:sz w:val="40"/>
      <w:szCs w:val="40"/>
    </w:rPr>
  </w:style>
  <w:style w:type="character" w:styleId="881" w:customStyle="1">
    <w:name w:val="Heading 2 Char"/>
    <w:basedOn w:val="817"/>
    <w:uiPriority w:val="9"/>
    <w:qFormat/>
    <w:rPr>
      <w:rFonts w:ascii="Arial" w:hAnsi="Arial" w:eastAsia="Arial" w:cs="Arial"/>
      <w:sz w:val="34"/>
    </w:rPr>
  </w:style>
  <w:style w:type="character" w:styleId="882" w:customStyle="1">
    <w:name w:val="Heading 3 Char"/>
    <w:basedOn w:val="817"/>
    <w:uiPriority w:val="9"/>
    <w:qFormat/>
    <w:rPr>
      <w:rFonts w:ascii="Arial" w:hAnsi="Arial" w:eastAsia="Arial" w:cs="Arial"/>
      <w:sz w:val="30"/>
      <w:szCs w:val="30"/>
    </w:rPr>
  </w:style>
  <w:style w:type="character" w:styleId="883" w:customStyle="1">
    <w:name w:val="Heading 4 Char"/>
    <w:basedOn w:val="817"/>
    <w:uiPriority w:val="9"/>
    <w:qFormat/>
    <w:rPr>
      <w:rFonts w:ascii="Arial" w:hAnsi="Arial" w:eastAsia="Arial" w:cs="Arial"/>
      <w:b/>
      <w:bCs/>
      <w:sz w:val="26"/>
      <w:szCs w:val="26"/>
    </w:rPr>
  </w:style>
  <w:style w:type="character" w:styleId="884" w:customStyle="1">
    <w:name w:val="Heading 5 Char"/>
    <w:basedOn w:val="817"/>
    <w:uiPriority w:val="9"/>
    <w:qFormat/>
    <w:rPr>
      <w:rFonts w:ascii="Arial" w:hAnsi="Arial" w:eastAsia="Arial" w:cs="Arial"/>
      <w:b/>
      <w:bCs/>
      <w:sz w:val="24"/>
      <w:szCs w:val="24"/>
    </w:rPr>
  </w:style>
  <w:style w:type="character" w:styleId="885" w:customStyle="1">
    <w:name w:val="Heading 6 Char"/>
    <w:basedOn w:val="817"/>
    <w:link w:val="813"/>
    <w:uiPriority w:val="9"/>
    <w:qFormat/>
    <w:rPr>
      <w:rFonts w:ascii="Arial" w:hAnsi="Arial" w:eastAsia="Arial" w:cs="Arial"/>
      <w:b/>
      <w:bCs/>
      <w:sz w:val="22"/>
      <w:szCs w:val="22"/>
    </w:rPr>
  </w:style>
  <w:style w:type="character" w:styleId="886" w:customStyle="1">
    <w:name w:val="Heading 7 Char"/>
    <w:basedOn w:val="817"/>
    <w:link w:val="814"/>
    <w:uiPriority w:val="9"/>
    <w:qFormat/>
    <w:rPr>
      <w:rFonts w:ascii="Arial" w:hAnsi="Arial" w:eastAsia="Arial" w:cs="Arial"/>
      <w:b/>
      <w:bCs/>
      <w:i/>
      <w:iCs/>
      <w:sz w:val="22"/>
      <w:szCs w:val="22"/>
    </w:rPr>
  </w:style>
  <w:style w:type="character" w:styleId="887" w:customStyle="1">
    <w:name w:val="Heading 8 Char"/>
    <w:basedOn w:val="817"/>
    <w:link w:val="815"/>
    <w:uiPriority w:val="9"/>
    <w:qFormat/>
    <w:rPr>
      <w:rFonts w:ascii="Arial" w:hAnsi="Arial" w:eastAsia="Arial" w:cs="Arial"/>
      <w:i/>
      <w:iCs/>
      <w:sz w:val="22"/>
      <w:szCs w:val="22"/>
    </w:rPr>
  </w:style>
  <w:style w:type="character" w:styleId="888" w:customStyle="1">
    <w:name w:val="Heading 9 Char"/>
    <w:basedOn w:val="817"/>
    <w:link w:val="816"/>
    <w:uiPriority w:val="9"/>
    <w:qFormat/>
    <w:rPr>
      <w:rFonts w:ascii="Arial" w:hAnsi="Arial" w:eastAsia="Arial" w:cs="Arial"/>
      <w:i/>
      <w:iCs/>
      <w:sz w:val="21"/>
      <w:szCs w:val="21"/>
    </w:rPr>
  </w:style>
  <w:style w:type="paragraph" w:styleId="889">
    <w:name w:val="No Spacing"/>
    <w:uiPriority w:val="1"/>
    <w:qFormat/>
    <w:pPr>
      <w:spacing w:before="0" w:after="0" w:line="240" w:lineRule="auto"/>
    </w:pPr>
    <w:rPr>
      <w:rFonts w:hint="default" w:ascii="Times New Roman" w:hAnsi="Times New Roman" w:eastAsia="宋体" w:cs="Times New Roman"/>
    </w:rPr>
  </w:style>
  <w:style w:type="character" w:styleId="890" w:customStyle="1">
    <w:name w:val="Title Char"/>
    <w:basedOn w:val="817"/>
    <w:link w:val="853"/>
    <w:uiPriority w:val="10"/>
    <w:qFormat/>
    <w:rPr>
      <w:sz w:val="48"/>
      <w:szCs w:val="48"/>
    </w:rPr>
  </w:style>
  <w:style w:type="character" w:styleId="891" w:customStyle="1">
    <w:name w:val="Subtitle Char"/>
    <w:basedOn w:val="817"/>
    <w:uiPriority w:val="11"/>
    <w:qFormat/>
    <w:rPr>
      <w:sz w:val="24"/>
      <w:szCs w:val="24"/>
    </w:rPr>
  </w:style>
  <w:style w:type="paragraph" w:styleId="892">
    <w:name w:val="Quote"/>
    <w:basedOn w:val="807"/>
    <w:next w:val="807"/>
    <w:link w:val="893"/>
    <w:uiPriority w:val="29"/>
    <w:qFormat/>
    <w:pPr>
      <w:ind w:left="720" w:right="720"/>
    </w:pPr>
    <w:rPr>
      <w:i/>
    </w:rPr>
  </w:style>
  <w:style w:type="character" w:styleId="893" w:customStyle="1">
    <w:name w:val="Quote Char"/>
    <w:link w:val="892"/>
    <w:uiPriority w:val="29"/>
    <w:qFormat/>
    <w:rPr>
      <w:i/>
    </w:rPr>
  </w:style>
  <w:style w:type="paragraph" w:styleId="894">
    <w:name w:val="Intense Quote"/>
    <w:basedOn w:val="807"/>
    <w:next w:val="807"/>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Intense Quote Char"/>
    <w:link w:val="894"/>
    <w:uiPriority w:val="30"/>
    <w:qFormat/>
    <w:rPr>
      <w:i/>
    </w:rPr>
  </w:style>
  <w:style w:type="character" w:styleId="896" w:customStyle="1">
    <w:name w:val="Header Char"/>
    <w:basedOn w:val="817"/>
    <w:uiPriority w:val="99"/>
    <w:qFormat/>
  </w:style>
  <w:style w:type="character" w:styleId="897" w:customStyle="1">
    <w:name w:val="Footer Char"/>
    <w:basedOn w:val="817"/>
    <w:uiPriority w:val="99"/>
    <w:qFormat/>
  </w:style>
  <w:style w:type="character" w:styleId="898" w:customStyle="1">
    <w:name w:val="Caption Char"/>
    <w:uiPriority w:val="99"/>
    <w:qFormat/>
  </w:style>
  <w:style w:type="table" w:styleId="899" w:customStyle="1">
    <w:name w:val="Table Grid Light"/>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Plain Table 1"/>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w:basedOn w:val="8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1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basedOn w:val="81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basedOn w:val="81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basedOn w:val="81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basedOn w:val="81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basedOn w:val="81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Grid Table 5 Dark"/>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Grid Table 6 Colorful"/>
    <w:basedOn w:val="8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81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81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4" w:customStyle="1">
    <w:name w:val="Grid Table 6 Colorful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81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basedOn w:val="81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Grid Table 7 Colorful"/>
    <w:basedOn w:val="8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1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1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1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1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1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1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List Table 1 Light"/>
    <w:basedOn w:val="8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1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1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1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1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1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1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List Table 2"/>
    <w:basedOn w:val="8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81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81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basedOn w:val="81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81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81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81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List Table 3"/>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1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1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1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1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List Table 4"/>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1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basedOn w:val="81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basedOn w:val="81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basedOn w:val="81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basedOn w:val="81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basedOn w:val="81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List Table 5 Dark"/>
    <w:basedOn w:val="8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81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81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81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81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81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81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w:basedOn w:val="8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81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basedOn w:val="81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basedOn w:val="81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basedOn w:val="81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basedOn w:val="81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basedOn w:val="81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List Table 7 Colorful"/>
    <w:basedOn w:val="8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1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1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1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1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1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1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basedOn w:val="81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81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basedOn w:val="81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basedOn w:val="81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basedOn w:val="81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basedOn w:val="81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basedOn w:val="81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basedOn w:val="81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Footnote Text Char"/>
    <w:link w:val="843"/>
    <w:uiPriority w:val="99"/>
    <w:qFormat/>
    <w:rPr>
      <w:sz w:val="18"/>
    </w:rPr>
  </w:style>
  <w:style w:type="character" w:styleId="1025" w:customStyle="1">
    <w:name w:val="Endnote Text Char"/>
    <w:link w:val="836"/>
    <w:uiPriority w:val="99"/>
    <w:qFormat/>
    <w:rPr>
      <w:sz w:val="20"/>
    </w:rPr>
  </w:style>
  <w:style w:type="paragraph" w:styleId="1026" w:customStyle="1">
    <w:name w:val="TOC Heading"/>
    <w:uiPriority w:val="39"/>
    <w:unhideWhenUsed/>
    <w:qFormat/>
    <w:rPr>
      <w:rFonts w:hint="default" w:ascii="Times New Roman" w:hAnsi="Times New Roman" w:eastAsia="宋体" w:cs="Times New Roman"/>
    </w:rPr>
  </w:style>
  <w:style w:type="paragraph" w:styleId="1027" w:customStyle="1">
    <w:name w:val="正文首行缩进11"/>
    <w:basedOn w:val="1028"/>
    <w:next w:val="807"/>
    <w:uiPriority w:val="99"/>
    <w:unhideWhenUsed/>
    <w:qFormat/>
    <w:pPr>
      <w:ind w:firstLine="420"/>
    </w:pPr>
    <w:rPr>
      <w:szCs w:val="24"/>
    </w:rPr>
  </w:style>
  <w:style w:type="paragraph" w:styleId="1028" w:customStyle="1">
    <w:name w:val="正文文本111"/>
    <w:basedOn w:val="807"/>
    <w:next w:val="807"/>
    <w:uiPriority w:val="0"/>
    <w:qFormat/>
    <w:rPr>
      <w:rFonts w:eastAsia="楷体_GB2312"/>
      <w:b/>
      <w:bCs/>
      <w:color w:val="ff0000"/>
      <w:sz w:val="32"/>
      <w:szCs w:val="32"/>
      <w:lang w:val="zh-CN"/>
    </w:rPr>
  </w:style>
  <w:style w:type="paragraph" w:styleId="1029" w:customStyle="1">
    <w:name w:val="段"/>
    <w:next w:val="807"/>
    <w:uiPriority w:val="0"/>
    <w:qFormat/>
    <w:pPr>
      <w:ind w:firstLine="200"/>
      <w:jc w:val="both"/>
    </w:pPr>
    <w:rPr>
      <w:rFonts w:hint="default" w:ascii="宋体" w:hAnsi="Times New Roman" w:eastAsia="宋体" w:cs="Times New Roman"/>
      <w:sz w:val="21"/>
      <w:lang w:val="en-US" w:eastAsia="zh-CN" w:bidi="ar-SA"/>
    </w:rPr>
  </w:style>
  <w:style w:type="paragraph" w:styleId="1030" w:customStyle="1">
    <w:name w:val="Heading 4"/>
    <w:basedOn w:val="807"/>
    <w:next w:val="807"/>
    <w:uiPriority w:val="0"/>
    <w:qFormat/>
    <w:pPr>
      <w:keepLines/>
      <w:keepNext/>
      <w:spacing w:before="280" w:after="290" w:line="376" w:lineRule="auto"/>
    </w:pPr>
    <w:rPr>
      <w:rFonts w:ascii="Arial" w:hAnsi="Arial" w:eastAsia="黑体"/>
      <w:b/>
      <w:bCs/>
      <w:sz w:val="28"/>
      <w:szCs w:val="28"/>
    </w:rPr>
  </w:style>
  <w:style w:type="paragraph" w:styleId="1031" w:customStyle="1">
    <w:name w:val="正文1"/>
    <w:basedOn w:val="1032"/>
    <w:next w:val="1035"/>
    <w:uiPriority w:val="99"/>
    <w:qFormat/>
    <w:pPr>
      <w:jc w:val="both"/>
    </w:pPr>
    <w:rPr>
      <w:rFonts w:hint="default" w:ascii="Calibri" w:hAnsi="Calibri" w:eastAsia="宋体" w:cs="Times New Roman"/>
      <w:sz w:val="21"/>
      <w:szCs w:val="21"/>
      <w:lang w:val="en-US" w:eastAsia="zh-CN" w:bidi="ar-SA"/>
    </w:rPr>
  </w:style>
  <w:style w:type="paragraph" w:styleId="1032" w:customStyle="1">
    <w:name w:val="正文11"/>
    <w:basedOn w:val="807"/>
    <w:next w:val="1033"/>
    <w:uiPriority w:val="0"/>
    <w:qFormat/>
  </w:style>
  <w:style w:type="paragraph" w:styleId="1033" w:customStyle="1">
    <w:name w:val="目录 11"/>
    <w:basedOn w:val="1034"/>
    <w:next w:val="1032"/>
    <w:uiPriority w:val="39"/>
    <w:unhideWhenUsed/>
    <w:qFormat/>
    <w:pPr>
      <w:jc w:val="left"/>
      <w:spacing w:after="100" w:line="259" w:lineRule="auto"/>
      <w:widowControl/>
    </w:pPr>
    <w:rPr>
      <w:rFonts w:ascii="Calibri" w:hAnsi="Calibri"/>
      <w:sz w:val="22"/>
      <w:szCs w:val="22"/>
    </w:rPr>
  </w:style>
  <w:style w:type="paragraph" w:styleId="1034" w:customStyle="1">
    <w:name w:val="正文12"/>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正文文本1"/>
    <w:basedOn w:val="807"/>
    <w:next w:val="1031"/>
    <w:uiPriority w:val="0"/>
    <w:qFormat/>
    <w:pPr>
      <w:jc w:val="center"/>
    </w:pPr>
    <w:rPr>
      <w:sz w:val="21"/>
    </w:rPr>
  </w:style>
  <w:style w:type="character" w:styleId="1036" w:customStyle="1">
    <w:name w:val="HTML 预设格式 Char"/>
    <w:link w:val="850"/>
    <w:uiPriority w:val="0"/>
    <w:qFormat/>
    <w:rPr>
      <w:rFonts w:ascii="黑体" w:eastAsia="黑体"/>
    </w:rPr>
  </w:style>
  <w:style w:type="character" w:styleId="1037" w:customStyle="1">
    <w:name w:val="批注主题 Char"/>
    <w:basedOn w:val="1038"/>
    <w:link w:val="854"/>
    <w:uiPriority w:val="0"/>
    <w:qFormat/>
    <w:rPr>
      <w:b/>
      <w:bCs/>
      <w:sz w:val="21"/>
      <w:szCs w:val="24"/>
    </w:rPr>
  </w:style>
  <w:style w:type="character" w:styleId="1038" w:customStyle="1">
    <w:name w:val="批注文字 Char"/>
    <w:basedOn w:val="817"/>
    <w:link w:val="823"/>
    <w:uiPriority w:val="0"/>
    <w:qFormat/>
    <w:rPr>
      <w:sz w:val="21"/>
      <w:szCs w:val="24"/>
    </w:rPr>
  </w:style>
  <w:style w:type="character" w:styleId="1039" w:customStyle="1">
    <w:name w:val="标题2 Char"/>
    <w:uiPriority w:val="0"/>
    <w:qFormat/>
    <w:rPr>
      <w:rFonts w:ascii="方正楷体_GBK" w:eastAsia="方正楷体_GBK"/>
      <w:sz w:val="32"/>
      <w:lang w:val="en-US" w:eastAsia="zh-CN" w:bidi="ar-SA"/>
    </w:rPr>
  </w:style>
  <w:style w:type="character" w:styleId="1040" w:customStyle="1">
    <w:name w:val="标题 5 Char"/>
    <w:basedOn w:val="817"/>
    <w:link w:val="812"/>
    <w:uiPriority w:val="0"/>
    <w:qFormat/>
    <w:rPr>
      <w:rFonts w:ascii="宋体"/>
      <w:b/>
      <w:bCs/>
      <w:sz w:val="21"/>
      <w:szCs w:val="24"/>
    </w:rPr>
  </w:style>
  <w:style w:type="character" w:styleId="1041" w:customStyle="1">
    <w:name w:val="页脚 Char"/>
    <w:link w:val="838"/>
    <w:uiPriority w:val="0"/>
    <w:qFormat/>
    <w:rPr>
      <w:sz w:val="18"/>
    </w:rPr>
  </w:style>
  <w:style w:type="character" w:styleId="1042" w:customStyle="1">
    <w:name w:val="批注框文本 Char"/>
    <w:link w:val="837"/>
    <w:uiPriority w:val="0"/>
    <w:qFormat/>
    <w:rPr>
      <w:sz w:val="18"/>
      <w:szCs w:val="18"/>
    </w:rPr>
  </w:style>
  <w:style w:type="character" w:styleId="1043" w:customStyle="1">
    <w:name w:val="标题 4 Char"/>
    <w:basedOn w:val="817"/>
    <w:link w:val="811"/>
    <w:uiPriority w:val="0"/>
    <w:qFormat/>
    <w:rPr>
      <w:rFonts w:ascii="Arial" w:hAnsi="Arial" w:eastAsia="黑体"/>
      <w:b/>
      <w:bCs/>
      <w:sz w:val="28"/>
      <w:szCs w:val="28"/>
    </w:rPr>
  </w:style>
  <w:style w:type="character" w:styleId="1044" w:customStyle="1">
    <w:name w:val="正文文本 2 Char"/>
    <w:basedOn w:val="817"/>
    <w:link w:val="849"/>
    <w:uiPriority w:val="0"/>
    <w:qFormat/>
    <w:rPr>
      <w:rFonts w:ascii="仿宋_GB2312" w:eastAsia="仿宋_GB2312"/>
      <w:sz w:val="44"/>
      <w:szCs w:val="24"/>
    </w:rPr>
  </w:style>
  <w:style w:type="character" w:styleId="1045" w:customStyle="1">
    <w:name w:val="标题 3 Char"/>
    <w:basedOn w:val="817"/>
    <w:link w:val="810"/>
    <w:uiPriority w:val="0"/>
    <w:qFormat/>
    <w:rPr>
      <w:b/>
      <w:sz w:val="32"/>
    </w:rPr>
  </w:style>
  <w:style w:type="character" w:styleId="1046" w:customStyle="1">
    <w:name w:val="文档结构图 Char"/>
    <w:basedOn w:val="817"/>
    <w:link w:val="822"/>
    <w:uiPriority w:val="0"/>
    <w:qFormat/>
    <w:rPr>
      <w:sz w:val="21"/>
      <w:szCs w:val="24"/>
      <w:shd w:val="clear" w:color="auto" w:fill="000080"/>
    </w:rPr>
  </w:style>
  <w:style w:type="character" w:styleId="1047" w:customStyle="1">
    <w:name w:val="副标题 Char"/>
    <w:basedOn w:val="817"/>
    <w:link w:val="842"/>
    <w:uiPriority w:val="0"/>
    <w:qFormat/>
    <w:rPr>
      <w:rFonts w:ascii="Cambria" w:hAnsi="Cambria"/>
      <w:b/>
      <w:bCs/>
      <w:sz w:val="32"/>
      <w:szCs w:val="32"/>
    </w:rPr>
  </w:style>
  <w:style w:type="character" w:styleId="1048" w:customStyle="1">
    <w:name w:val="副标题 Char1"/>
    <w:basedOn w:val="817"/>
    <w:uiPriority w:val="11"/>
    <w:qFormat/>
    <w:rPr>
      <w:rFonts w:ascii="Cambria" w:hAnsi="Cambria" w:cs="Times New Roman"/>
      <w:b/>
      <w:bCs/>
      <w:sz w:val="32"/>
      <w:szCs w:val="32"/>
    </w:rPr>
  </w:style>
  <w:style w:type="character" w:styleId="1049" w:customStyle="1">
    <w:name w:val="正文文本缩进 3 Char"/>
    <w:basedOn w:val="817"/>
    <w:link w:val="845"/>
    <w:uiPriority w:val="0"/>
    <w:qFormat/>
    <w:rPr>
      <w:rFonts w:ascii="仿宋_GB2312" w:eastAsia="仿宋_GB2312"/>
      <w:sz w:val="24"/>
      <w:szCs w:val="24"/>
    </w:rPr>
  </w:style>
  <w:style w:type="character" w:styleId="1050" w:customStyle="1">
    <w:name w:val="正文文本缩进 Char"/>
    <w:basedOn w:val="817"/>
    <w:link w:val="826"/>
    <w:uiPriority w:val="0"/>
    <w:qFormat/>
    <w:rPr>
      <w:rFonts w:ascii="楷体_GB2312" w:eastAsia="楷体_GB2312"/>
      <w:sz w:val="32"/>
    </w:rPr>
  </w:style>
  <w:style w:type="character" w:styleId="1051" w:customStyle="1">
    <w:name w:val="正文文本缩进 2 Char"/>
    <w:basedOn w:val="817"/>
    <w:link w:val="835"/>
    <w:uiPriority w:val="0"/>
    <w:qFormat/>
    <w:rPr>
      <w:rFonts w:ascii="宋体"/>
      <w:sz w:val="28"/>
      <w:szCs w:val="24"/>
    </w:rPr>
  </w:style>
  <w:style w:type="character" w:styleId="1052" w:customStyle="1">
    <w:name w:val="日期 Char"/>
    <w:basedOn w:val="817"/>
    <w:link w:val="834"/>
    <w:uiPriority w:val="0"/>
    <w:qFormat/>
    <w:rPr>
      <w:sz w:val="24"/>
    </w:rPr>
  </w:style>
  <w:style w:type="character" w:styleId="1053" w:customStyle="1">
    <w:name w:val="jj1"/>
    <w:uiPriority w:val="0"/>
    <w:qFormat/>
    <w:rPr>
      <w:sz w:val="20"/>
      <w:szCs w:val="20"/>
      <w:u w:val="none"/>
    </w:rPr>
  </w:style>
  <w:style w:type="character" w:styleId="1054" w:customStyle="1">
    <w:name w:val="正文文本 3 Char"/>
    <w:basedOn w:val="817"/>
    <w:link w:val="824"/>
    <w:uiPriority w:val="0"/>
    <w:qFormat/>
    <w:rPr>
      <w:rFonts w:ascii="仿宋_GB2312" w:eastAsia="仿宋_GB2312"/>
      <w:sz w:val="32"/>
    </w:rPr>
  </w:style>
  <w:style w:type="character" w:styleId="1055" w:customStyle="1">
    <w:name w:val="页眉 Char"/>
    <w:basedOn w:val="817"/>
    <w:link w:val="839"/>
    <w:uiPriority w:val="99"/>
    <w:qFormat/>
    <w:rPr>
      <w:sz w:val="18"/>
      <w:szCs w:val="18"/>
    </w:rPr>
  </w:style>
  <w:style w:type="character" w:styleId="1056" w:customStyle="1">
    <w:name w:val="正文文本 Char"/>
    <w:basedOn w:val="817"/>
    <w:link w:val="825"/>
    <w:uiPriority w:val="0"/>
    <w:qFormat/>
    <w:rPr>
      <w:rFonts w:ascii="楷体_GB2312" w:eastAsia="楷体_GB2312"/>
      <w:sz w:val="28"/>
    </w:rPr>
  </w:style>
  <w:style w:type="character" w:styleId="1057" w:customStyle="1">
    <w:name w:val="纯文本 Char"/>
    <w:basedOn w:val="817"/>
    <w:link w:val="832"/>
    <w:uiPriority w:val="0"/>
    <w:qFormat/>
    <w:rPr>
      <w:rFonts w:ascii="宋体"/>
      <w:sz w:val="21"/>
    </w:rPr>
  </w:style>
  <w:style w:type="paragraph" w:styleId="1058" w:customStyle="1">
    <w:name w:val="标题3"/>
    <w:basedOn w:val="807"/>
    <w:next w:val="807"/>
    <w:uiPriority w:val="0"/>
    <w:qFormat/>
    <w:rPr>
      <w:rFonts w:eastAsia="方正黑体_GBK"/>
    </w:rPr>
  </w:style>
  <w:style w:type="paragraph" w:styleId="1059" w:customStyle="1">
    <w:name w:val="xl83"/>
    <w:basedOn w:val="807"/>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60"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61" w:customStyle="1">
    <w:name w:val="TOC 标题1"/>
    <w:basedOn w:val="808"/>
    <w:next w:val="807"/>
    <w:uiPriority w:val="0"/>
    <w:qFormat/>
    <w:pPr>
      <w:jc w:val="left"/>
      <w:keepLines/>
      <w:spacing w:before="480" w:line="276" w:lineRule="auto"/>
      <w:widowControl/>
      <w:outlineLvl w:val="9"/>
    </w:pPr>
    <w:rPr>
      <w:rFonts w:ascii="Cambria" w:hAnsi="Cambria" w:eastAsia="宋体"/>
      <w:b/>
      <w:bCs/>
      <w:color w:val="365f91"/>
      <w:szCs w:val="28"/>
    </w:rPr>
  </w:style>
  <w:style w:type="paragraph" w:styleId="1062" w:customStyle="1">
    <w:name w:val="第四级"/>
    <w:basedOn w:val="807"/>
    <w:next w:val="807"/>
    <w:uiPriority w:val="0"/>
    <w:qFormat/>
    <w:pPr>
      <w:spacing w:line="360" w:lineRule="auto"/>
      <w:tabs>
        <w:tab w:val="left" w:pos="1134" w:leader="none"/>
      </w:tabs>
    </w:pPr>
    <w:rPr>
      <w:rFonts w:ascii="宋体" w:hAnsi="宋体" w:eastAsia="仿宋"/>
      <w:sz w:val="28"/>
      <w:szCs w:val="21"/>
    </w:rPr>
  </w:style>
  <w:style w:type="paragraph" w:styleId="1063" w:customStyle="1">
    <w:name w:val="Char Char Char Char1 Char Char Char"/>
    <w:basedOn w:val="822"/>
    <w:uiPriority w:val="0"/>
    <w:qFormat/>
    <w:pPr>
      <w:spacing w:line="360" w:lineRule="auto"/>
    </w:pPr>
    <w:rPr>
      <w:rFonts w:ascii="Tahoma" w:hAnsi="Tahoma"/>
      <w:sz w:val="24"/>
    </w:rPr>
  </w:style>
  <w:style w:type="paragraph" w:styleId="1064" w:customStyle="1">
    <w:name w:val="xl77"/>
    <w:basedOn w:val="80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65" w:customStyle="1">
    <w:name w:val="xl47"/>
    <w:basedOn w:val="807"/>
    <w:uiPriority w:val="0"/>
    <w:qFormat/>
    <w:pPr>
      <w:jc w:val="center"/>
      <w:spacing w:before="100" w:beforeAutospacing="1" w:after="100" w:afterAutospacing="1"/>
      <w:widowControl/>
    </w:pPr>
    <w:rPr>
      <w:rFonts w:ascii="方正姚体" w:eastAsia="方正姚体"/>
      <w:b/>
      <w:bCs/>
      <w:sz w:val="36"/>
      <w:szCs w:val="36"/>
    </w:rPr>
  </w:style>
  <w:style w:type="paragraph" w:styleId="1066" w:customStyle="1">
    <w:name w:val="标题2"/>
    <w:basedOn w:val="807"/>
    <w:next w:val="807"/>
    <w:uiPriority w:val="0"/>
    <w:qFormat/>
    <w:pPr>
      <w:jc w:val="center"/>
    </w:pPr>
    <w:rPr>
      <w:rFonts w:eastAsia="方正楷体_GBK"/>
    </w:rPr>
  </w:style>
  <w:style w:type="paragraph" w:styleId="1067" w:customStyle="1">
    <w:name w:val="HTML 预先格式化"/>
    <w:basedOn w:val="8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68" w:customStyle="1">
    <w:name w:val="正文 1.1.1"/>
    <w:basedOn w:val="807"/>
    <w:next w:val="807"/>
    <w:uiPriority w:val="0"/>
    <w:qFormat/>
    <w:pPr>
      <w:spacing w:line="360" w:lineRule="auto"/>
      <w:tabs>
        <w:tab w:val="left" w:pos="851" w:leader="none"/>
      </w:tabs>
      <w:outlineLvl w:val="2"/>
    </w:pPr>
    <w:rPr>
      <w:rFonts w:ascii="宋体"/>
      <w:color w:val="000000"/>
      <w:sz w:val="28"/>
      <w:szCs w:val="21"/>
    </w:rPr>
  </w:style>
  <w:style w:type="paragraph" w:styleId="1069" w:customStyle="1">
    <w:name w:val="默认段落字体 Para Char Char Char Char Char Char Char Char Char1 Char Char Char Char Char Char Char"/>
    <w:basedOn w:val="822"/>
    <w:uiPriority w:val="0"/>
    <w:qFormat/>
    <w:rPr>
      <w:rFonts w:ascii="Tahoma" w:hAnsi="Tahoma"/>
      <w:sz w:val="24"/>
    </w:rPr>
  </w:style>
  <w:style w:type="paragraph" w:styleId="1070" w:customStyle="1">
    <w:name w:val="xl79"/>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71" w:customStyle="1">
    <w:name w:val="xl86"/>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2" w:customStyle="1">
    <w:name w:val="xl69"/>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73" w:customStyle="1">
    <w:name w:val="标题1"/>
    <w:basedOn w:val="807"/>
    <w:next w:val="807"/>
    <w:uiPriority w:val="0"/>
    <w:qFormat/>
    <w:pPr>
      <w:jc w:val="center"/>
      <w:spacing w:line="700" w:lineRule="atLeast"/>
      <w:tabs>
        <w:tab w:val="left" w:pos="9193" w:leader="none"/>
        <w:tab w:val="left" w:pos="9827" w:leader="none"/>
      </w:tabs>
    </w:pPr>
    <w:rPr>
      <w:rFonts w:eastAsia="方正小标宋_GBK"/>
      <w:sz w:val="44"/>
    </w:rPr>
  </w:style>
  <w:style w:type="paragraph" w:styleId="1074" w:customStyle="1">
    <w:name w:val="正文 第一章"/>
    <w:basedOn w:val="807"/>
    <w:next w:val="1075"/>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75" w:customStyle="1">
    <w:name w:val="正文 1.1"/>
    <w:basedOn w:val="807"/>
    <w:next w:val="1068"/>
    <w:uiPriority w:val="0"/>
    <w:qFormat/>
    <w:pPr>
      <w:ind w:left="350" w:hanging="350"/>
      <w:spacing w:line="360" w:lineRule="auto"/>
      <w:outlineLvl w:val="1"/>
    </w:pPr>
    <w:rPr>
      <w:rFonts w:ascii="仿宋" w:eastAsia="仿宋"/>
      <w:b/>
      <w:sz w:val="28"/>
      <w:szCs w:val="21"/>
    </w:rPr>
  </w:style>
  <w:style w:type="paragraph" w:styleId="1076" w:customStyle="1">
    <w:name w:val="Char1"/>
    <w:basedOn w:val="807"/>
    <w:uiPriority w:val="0"/>
    <w:qFormat/>
    <w:pPr>
      <w:tabs>
        <w:tab w:val="left" w:pos="360" w:leader="none"/>
      </w:tabs>
    </w:pPr>
    <w:rPr>
      <w:sz w:val="24"/>
    </w:rPr>
  </w:style>
  <w:style w:type="paragraph" w:styleId="1077" w:customStyle="1">
    <w:name w:val="xl43"/>
    <w:basedOn w:val="8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78" w:customStyle="1">
    <w:name w:val="xl74"/>
    <w:basedOn w:val="807"/>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79" w:customStyle="1">
    <w:name w:val="xl67"/>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列出段落3"/>
    <w:basedOn w:val="807"/>
    <w:uiPriority w:val="0"/>
    <w:qFormat/>
    <w:pPr>
      <w:ind w:firstLine="420"/>
    </w:pPr>
    <w:rPr>
      <w:rFonts w:ascii="Calibri" w:hAnsi="Calibri"/>
      <w:szCs w:val="22"/>
    </w:rPr>
  </w:style>
  <w:style w:type="paragraph" w:styleId="1081" w:customStyle="1">
    <w:name w:val="普通正文"/>
    <w:basedOn w:val="807"/>
    <w:uiPriority w:val="0"/>
    <w:qFormat/>
    <w:pPr>
      <w:ind w:firstLine="480"/>
      <w:jc w:val="left"/>
      <w:spacing w:before="120" w:after="120" w:line="360" w:lineRule="auto"/>
    </w:pPr>
    <w:rPr>
      <w:rFonts w:ascii="Arial" w:hAnsi="Arial"/>
      <w:sz w:val="24"/>
    </w:rPr>
  </w:style>
  <w:style w:type="paragraph" w:styleId="1082">
    <w:name w:val="List Paragraph"/>
    <w:basedOn w:val="807"/>
    <w:uiPriority w:val="0"/>
    <w:qFormat/>
    <w:pPr>
      <w:ind w:firstLine="200"/>
    </w:pPr>
    <w:rPr>
      <w:rFonts w:ascii="Calibri" w:hAnsi="Calibri"/>
      <w:szCs w:val="22"/>
    </w:rPr>
  </w:style>
  <w:style w:type="paragraph" w:styleId="1083" w:customStyle="1">
    <w:name w:val="列出段落2"/>
    <w:basedOn w:val="807"/>
    <w:uiPriority w:val="0"/>
    <w:qFormat/>
    <w:pPr>
      <w:ind w:firstLine="420"/>
    </w:pPr>
    <w:rPr>
      <w:rFonts w:ascii="Calibri" w:hAnsi="Calibri"/>
      <w:szCs w:val="22"/>
    </w:rPr>
  </w:style>
  <w:style w:type="paragraph" w:styleId="1084" w:customStyle="1">
    <w:name w:val="xl71"/>
    <w:basedOn w:val="807"/>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85" w:customStyle="1">
    <w:name w:val="xl81"/>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6" w:customStyle="1">
    <w:name w:val="xl80"/>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87" w:customStyle="1">
    <w:name w:val="xl73"/>
    <w:basedOn w:val="807"/>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88" w:customStyle="1">
    <w:name w:val="BioQuote Tekst"/>
    <w:basedOn w:val="807"/>
    <w:uiPriority w:val="0"/>
    <w:qFormat/>
    <w:pPr>
      <w:ind w:right="-1"/>
    </w:pPr>
    <w:rPr>
      <w:rFonts w:ascii="Arial" w:hAnsi="Arial"/>
      <w:sz w:val="22"/>
      <w:szCs w:val="20"/>
      <w:lang w:eastAsia="en-US"/>
    </w:rPr>
  </w:style>
  <w:style w:type="paragraph" w:styleId="1089" w:customStyle="1">
    <w:name w:val="xl65"/>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customStyle="1">
    <w:name w:val="xl75"/>
    <w:basedOn w:val="807"/>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91" w:customStyle="1">
    <w:name w:val="xl87"/>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92" w:customStyle="1">
    <w:name w:val="xl78"/>
    <w:basedOn w:val="80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93" w:customStyle="1">
    <w:name w:val="正文格式"/>
    <w:basedOn w:val="831"/>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94" w:customStyle="1">
    <w:name w:val="Char"/>
    <w:basedOn w:val="807"/>
    <w:uiPriority w:val="0"/>
    <w:qFormat/>
    <w:rPr>
      <w:rFonts w:ascii="Tahoma" w:hAnsi="Tahoma"/>
      <w:sz w:val="24"/>
      <w:szCs w:val="20"/>
    </w:rPr>
  </w:style>
  <w:style w:type="paragraph" w:styleId="1095"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96" w:customStyle="1">
    <w:name w:val="列出段落1"/>
    <w:basedOn w:val="807"/>
    <w:uiPriority w:val="0"/>
    <w:qFormat/>
    <w:pPr>
      <w:contextualSpacing/>
      <w:ind w:left="720"/>
      <w:jc w:val="left"/>
      <w:widowControl/>
    </w:pPr>
    <w:rPr>
      <w:rFonts w:ascii="Calibri" w:hAnsi="Calibri"/>
      <w:sz w:val="24"/>
      <w:lang w:eastAsia="en-US" w:bidi="en-US"/>
    </w:rPr>
  </w:style>
  <w:style w:type="paragraph" w:styleId="1097" w:customStyle="1">
    <w:name w:val="xl88"/>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8" w:customStyle="1">
    <w:name w:val="xl72"/>
    <w:basedOn w:val="807"/>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99" w:customStyle="1">
    <w:name w:val="正文空2格  1."/>
    <w:basedOn w:val="807"/>
    <w:uiPriority w:val="0"/>
    <w:qFormat/>
    <w:pPr>
      <w:ind w:firstLine="200"/>
      <w:spacing w:line="360" w:lineRule="auto"/>
    </w:pPr>
    <w:rPr>
      <w:rFonts w:ascii="宋体" w:hAnsi="宋体" w:eastAsia="仿宋" w:cs="宋体"/>
      <w:sz w:val="28"/>
      <w:szCs w:val="20"/>
    </w:rPr>
  </w:style>
  <w:style w:type="paragraph" w:styleId="110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01" w:customStyle="1">
    <w:name w:val="Coms Alinea"/>
    <w:uiPriority w:val="0"/>
    <w:qFormat/>
    <w:pPr>
      <w:widowControl w:val="off"/>
    </w:pPr>
    <w:rPr>
      <w:rFonts w:hint="default" w:ascii="Arial" w:hAnsi="Arial" w:eastAsia="宋体" w:cs="Arial"/>
      <w:lang w:val="en-US" w:eastAsia="zh-CN" w:bidi="ar-SA"/>
    </w:rPr>
  </w:style>
  <w:style w:type="paragraph" w:styleId="1102" w:customStyle="1">
    <w:name w:val="xl70"/>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103" w:customStyle="1">
    <w:name w:val="xl66"/>
    <w:basedOn w:val="807"/>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64"/>
    <w:basedOn w:val="80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05" w:customStyle="1">
    <w:name w:val="xl85"/>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06" w:customStyle="1">
    <w:name w:val="xl68"/>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07" w:customStyle="1">
    <w:name w:val="xl84"/>
    <w:basedOn w:val="807"/>
    <w:uiPriority w:val="0"/>
    <w:qFormat/>
    <w:pPr>
      <w:jc w:val="right"/>
      <w:spacing w:before="100" w:beforeAutospacing="1" w:after="100" w:afterAutospacing="1"/>
      <w:shd w:val="clear" w:color="ffffff" w:fill="ffffff"/>
      <w:widowControl/>
    </w:pPr>
    <w:rPr>
      <w:rFonts w:ascii="宋体" w:hAnsi="宋体" w:cs="宋体"/>
      <w:sz w:val="24"/>
    </w:rPr>
  </w:style>
  <w:style w:type="paragraph" w:styleId="1108" w:customStyle="1">
    <w:name w:val="Char Char Char Char"/>
    <w:basedOn w:val="822"/>
    <w:uiPriority w:val="0"/>
    <w:qFormat/>
    <w:pPr>
      <w:spacing w:line="360" w:lineRule="auto"/>
    </w:pPr>
    <w:rPr>
      <w:rFonts w:ascii="Tahoma" w:hAnsi="Tahoma"/>
      <w:sz w:val="24"/>
    </w:rPr>
  </w:style>
  <w:style w:type="paragraph" w:styleId="1109" w:customStyle="1">
    <w:name w:val="xl82"/>
    <w:basedOn w:val="807"/>
    <w:uiPriority w:val="0"/>
    <w:qFormat/>
    <w:pPr>
      <w:jc w:val="left"/>
      <w:spacing w:before="100" w:beforeAutospacing="1" w:after="100" w:afterAutospacing="1"/>
      <w:shd w:val="clear" w:color="ffffff" w:fill="ffffff"/>
      <w:widowControl/>
    </w:pPr>
    <w:rPr>
      <w:rFonts w:ascii="宋体" w:hAnsi="宋体" w:cs="宋体"/>
      <w:sz w:val="24"/>
    </w:rPr>
  </w:style>
  <w:style w:type="paragraph" w:styleId="1110" w:customStyle="1">
    <w:name w:val="Blockquote"/>
    <w:basedOn w:val="807"/>
    <w:uiPriority w:val="0"/>
    <w:qFormat/>
    <w:pPr>
      <w:ind w:left="360" w:right="360"/>
      <w:jc w:val="left"/>
      <w:spacing w:before="100" w:after="100"/>
    </w:pPr>
    <w:rPr>
      <w:sz w:val="24"/>
      <w:szCs w:val="20"/>
    </w:rPr>
  </w:style>
  <w:style w:type="paragraph" w:styleId="1111" w:customStyle="1">
    <w:name w:val="xl33"/>
    <w:basedOn w:val="8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112" w:customStyle="1">
    <w:name w:val="xl76"/>
    <w:basedOn w:val="80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11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Char Char Char Char1 Char Char"/>
    <w:basedOn w:val="807"/>
    <w:uiPriority w:val="0"/>
    <w:qFormat/>
    <w:pPr>
      <w:tabs>
        <w:tab w:val="left" w:pos="360" w:leader="none"/>
      </w:tabs>
    </w:pPr>
    <w:rPr>
      <w:sz w:val="24"/>
    </w:rPr>
  </w:style>
  <w:style w:type="paragraph" w:styleId="1115" w:customStyle="1">
    <w:name w:val="样式 标题 2 + 黑色 行距: 1.5 倍行距"/>
    <w:basedOn w:val="809"/>
    <w:uiPriority w:val="0"/>
    <w:qFormat/>
    <w:pPr>
      <w:spacing w:line="360" w:lineRule="auto"/>
    </w:pPr>
    <w:rPr>
      <w:rFonts w:eastAsia="宋体"/>
      <w:color w:val="000000"/>
    </w:rPr>
  </w:style>
  <w:style w:type="character" w:styleId="1116" w:customStyle="1">
    <w:name w:val="hover"/>
    <w:basedOn w:val="817"/>
    <w:uiPriority w:val="0"/>
    <w:qFormat/>
    <w:rPr>
      <w:color w:val="5fb878"/>
    </w:rPr>
  </w:style>
  <w:style w:type="character" w:styleId="1117" w:customStyle="1">
    <w:name w:val="hover1"/>
    <w:basedOn w:val="817"/>
    <w:uiPriority w:val="0"/>
    <w:qFormat/>
    <w:rPr>
      <w:color w:val="ffffff"/>
    </w:rPr>
  </w:style>
  <w:style w:type="character" w:styleId="1118" w:customStyle="1">
    <w:name w:val="hover2"/>
    <w:basedOn w:val="817"/>
    <w:uiPriority w:val="0"/>
    <w:qFormat/>
    <w:rPr>
      <w:color w:val="5fb878"/>
    </w:rPr>
  </w:style>
  <w:style w:type="paragraph" w:styleId="1119" w:customStyle="1">
    <w:name w:val="Table Paragraph"/>
    <w:basedOn w:val="807"/>
    <w:uiPriority w:val="1"/>
    <w:qFormat/>
  </w:style>
  <w:style w:type="character" w:styleId="1120" w:customStyle="1">
    <w:name w:val="NormalCharacter"/>
    <w:uiPriority w:val="0"/>
    <w:semiHidden/>
    <w:qFormat/>
    <w:rPr>
      <w:sz w:val="21"/>
      <w:szCs w:val="24"/>
      <w:lang w:val="en-US" w:eastAsia="zh-CN" w:bidi="ar-SA"/>
    </w:rPr>
  </w:style>
  <w:style w:type="character" w:styleId="1121" w:customStyle="1">
    <w:name w:val="font11"/>
    <w:basedOn w:val="817"/>
    <w:uiPriority w:val="0"/>
    <w:qFormat/>
    <w:rPr>
      <w:rFonts w:hint="eastAsia" w:ascii="宋体" w:hAnsi="宋体" w:eastAsia="宋体" w:cs="宋体"/>
      <w:color w:val="000000"/>
      <w:sz w:val="20"/>
      <w:szCs w:val="20"/>
      <w:u w:val="none"/>
    </w:rPr>
  </w:style>
  <w:style w:type="paragraph" w:styleId="1122"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123" w:customStyle="1">
    <w:name w:val="纯文本1"/>
    <w:basedOn w:val="807"/>
    <w:uiPriority w:val="0"/>
    <w:qFormat/>
    <w:rPr>
      <w:rFonts w:ascii="宋体" w:hAnsi="Courier New" w:eastAsia="宋体" w:cs="Times New Roman"/>
      <w:szCs w:val="20"/>
    </w:rPr>
  </w:style>
  <w:style w:type="paragraph" w:styleId="1124" w:customStyle="1">
    <w:name w:val="标题 31"/>
    <w:basedOn w:val="807"/>
    <w:next w:val="807"/>
    <w:uiPriority w:val="9"/>
    <w:qFormat/>
    <w:pPr>
      <w:keepLines/>
      <w:keepNext/>
      <w:spacing w:before="260" w:after="260" w:line="416" w:lineRule="auto"/>
      <w:outlineLvl w:val="2"/>
    </w:pPr>
    <w:rPr>
      <w:b/>
      <w:bCs/>
      <w:sz w:val="32"/>
      <w:szCs w:val="32"/>
    </w:rPr>
  </w:style>
  <w:style w:type="paragraph" w:styleId="1125" w:customStyle="1">
    <w:name w:val="纯文本11"/>
    <w:basedOn w:val="807"/>
    <w:next w:val="1126"/>
    <w:uiPriority w:val="0"/>
    <w:qFormat/>
    <w:rPr>
      <w:rFonts w:ascii="宋体" w:hAnsi="Courier New"/>
      <w:sz w:val="21"/>
      <w:szCs w:val="20"/>
    </w:rPr>
  </w:style>
  <w:style w:type="paragraph" w:styleId="1126" w:customStyle="1">
    <w:name w:val="正文缩进11"/>
    <w:basedOn w:val="807"/>
    <w:uiPriority w:val="0"/>
    <w:qFormat/>
    <w:pPr>
      <w:ind w:firstLine="420"/>
      <w:spacing w:line="360" w:lineRule="atLeast"/>
    </w:pPr>
    <w:rPr>
      <w:sz w:val="21"/>
      <w:szCs w:val="20"/>
    </w:rPr>
  </w:style>
  <w:style w:type="paragraph" w:styleId="1127" w:customStyle="1">
    <w:name w:val="正文文本缩进 31"/>
    <w:basedOn w:val="807"/>
    <w:uiPriority w:val="0"/>
    <w:qFormat/>
    <w:pPr>
      <w:ind w:left="360"/>
      <w:spacing w:line="400" w:lineRule="exact"/>
    </w:pPr>
  </w:style>
  <w:style w:type="paragraph" w:styleId="1128" w:customStyle="1">
    <w:name w:val="目录 31"/>
    <w:basedOn w:val="807"/>
    <w:next w:val="807"/>
    <w:uiPriority w:val="39"/>
    <w:qFormat/>
    <w:pPr>
      <w:ind w:left="840"/>
    </w:pPr>
    <w:rPr>
      <w:rFonts w:ascii="Calibri" w:hAnsi="Calibri"/>
      <w:szCs w:val="22"/>
    </w:rPr>
  </w:style>
  <w:style w:type="paragraph" w:styleId="1129" w:customStyle="1">
    <w:name w:val="页脚1"/>
    <w:basedOn w:val="807"/>
    <w:uiPriority w:val="0"/>
    <w:qFormat/>
    <w:pPr>
      <w:jc w:val="left"/>
      <w:tabs>
        <w:tab w:val="center" w:pos="4153" w:leader="none"/>
        <w:tab w:val="right" w:pos="8306" w:leader="none"/>
      </w:tabs>
    </w:pPr>
    <w:rPr>
      <w:sz w:val="18"/>
      <w:szCs w:val="18"/>
    </w:rPr>
  </w:style>
  <w:style w:type="paragraph" w:styleId="1130" w:customStyle="1">
    <w:name w:val="列表接续 21"/>
    <w:basedOn w:val="807"/>
    <w:next w:val="807"/>
    <w:uiPriority w:val="0"/>
    <w:qFormat/>
    <w:pPr>
      <w:ind w:left="840"/>
      <w:spacing w:after="120"/>
    </w:pPr>
  </w:style>
  <w:style w:type="paragraph" w:styleId="1131" w:customStyle="1">
    <w:name w:val="批注文字1"/>
    <w:basedOn w:val="807"/>
    <w:uiPriority w:val="0"/>
    <w:qFormat/>
    <w:pPr>
      <w:jc w:val="left"/>
    </w:pPr>
    <w:rPr>
      <w:sz w:val="21"/>
    </w:rPr>
  </w:style>
  <w:style w:type="paragraph" w:styleId="1132" w:customStyle="1">
    <w:name w:val="正文首行缩进1"/>
    <w:basedOn w:val="1035"/>
    <w:uiPriority w:val="99"/>
    <w:unhideWhenUsed/>
    <w:qFormat/>
    <w:pPr>
      <w:ind w:firstLine="420"/>
    </w:pPr>
  </w:style>
  <w:style w:type="paragraph" w:styleId="1133" w:customStyle="1">
    <w:name w:val="正文文本缩进1"/>
    <w:basedOn w:val="1031"/>
    <w:next w:val="1134"/>
    <w:uiPriority w:val="0"/>
    <w:qFormat/>
    <w:pPr>
      <w:ind w:firstLine="645"/>
    </w:pPr>
    <w:rPr>
      <w:rFonts w:ascii="楷体_GB2312" w:eastAsia="楷体_GB2312"/>
      <w:sz w:val="32"/>
      <w:szCs w:val="20"/>
    </w:rPr>
  </w:style>
  <w:style w:type="paragraph" w:styleId="1134" w:customStyle="1">
    <w:name w:val="寄信人地址1"/>
    <w:basedOn w:val="807"/>
    <w:uiPriority w:val="99"/>
    <w:qFormat/>
    <w:rPr>
      <w:rFonts w:ascii="Arial" w:hAnsi="Arial"/>
    </w:rPr>
  </w:style>
  <w:style w:type="table" w:styleId="1135" w:customStyle="1">
    <w:name w:val="Table Normal"/>
    <w:uiPriority w:val="0"/>
    <w:unhideWhenUsed/>
    <w:qFormat/>
    <w:tblPr>
      <w:tblCellMar>
        <w:left w:w="0" w:type="dxa"/>
        <w:top w:w="0" w:type="dxa"/>
        <w:right w:w="0" w:type="dxa"/>
        <w:bottom w:w="0" w:type="dxa"/>
      </w:tblCellMar>
    </w:tblPr>
  </w:style>
  <w:style w:type="paragraph" w:styleId="1136" w:customStyle="1">
    <w:name w:val="Normal_6"/>
    <w:uiPriority w:val="0"/>
    <w:qFormat/>
    <w:rPr>
      <w:rFonts w:hint="default" w:ascii="黑体" w:hAnsi="黑体" w:eastAsia="黑体" w:cs="Times New Roman"/>
      <w:b/>
      <w:sz w:val="32"/>
      <w:szCs w:val="24"/>
      <w:lang w:val="en-US" w:eastAsia="zh-CN" w:bidi="ar-SA"/>
    </w:rPr>
  </w:style>
  <w:style w:type="paragraph" w:styleId="113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卜思允</cp:lastModifiedBy>
  <cp:revision>13</cp:revision>
  <dcterms:created xsi:type="dcterms:W3CDTF">2024-03-07T06:53:00Z</dcterms:created>
  <dcterms:modified xsi:type="dcterms:W3CDTF">2026-09-15T03:19:30Z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SaveFontToCloudKey">
    <vt:lpwstr>462357053_btnclosed</vt:lpwstr>
  </property>
  <property fmtid="{D5CDD505-2E9C-101B-9397-08002B2CF9AE}" pid="4" name="ICV">
    <vt:lpwstr>39779738C90F4C218F133DDEC03032A0_13</vt:lpwstr>
  </property>
  <property fmtid="{D5CDD505-2E9C-101B-9397-08002B2CF9AE}" pid="5" name="KSOTemplateDocerSaveRecord">
    <vt:lpwstr>eyJoZGlkIjoiZTY4MDdmYjg4M2ZhNjQ1YTViNjI5YzUzMTk5NTI4Y2IiLCJ1c2VySWQiOiIzNDYyNjUwNjEifQ==</vt:lpwstr>
  </property>
</Properties>
</file>