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采购包2</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69"/>
        <w:gridCol w:w="717"/>
        <w:gridCol w:w="7026"/>
      </w:tblGrid>
      <w:tr w14:paraId="43F633A9">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single" w:color="auto" w:sz="4" w:space="0"/>
              <w:left w:val="nil"/>
              <w:bottom w:val="single" w:color="auto" w:sz="4" w:space="0"/>
              <w:right w:val="nil"/>
            </w:tcBorders>
            <w:tcMar>
              <w:top w:w="20" w:type="dxa"/>
              <w:left w:w="20" w:type="dxa"/>
              <w:bottom w:w="20" w:type="dxa"/>
              <w:right w:w="20" w:type="dxa"/>
            </w:tcMar>
            <w:vAlign w:val="center"/>
          </w:tcPr>
          <w:p w14:paraId="597A4D59">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包二：</w:t>
            </w:r>
          </w:p>
        </w:tc>
      </w:tr>
      <w:tr w14:paraId="2252674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728BC8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0D6451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2645D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55B174C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E50F9A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385E32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68B34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14897B1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3DA61B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BE39EB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64DC32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1043963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0BE7866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4C1C6BB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795C67A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690233C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94ED89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942F4D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8B8E39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8008E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18543D9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72CA938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608B8B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64622A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25145D5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1101E6E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0D89D0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0C226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98FB61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394A31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6E5889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55AEE85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321321E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2308506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3431AA8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102D63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4E1210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BBDA91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760DC2F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08FE044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13F7039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0652867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26FE24D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7ED7B46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3BDDDE07">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067599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7E5460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1BB854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51F4EAB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w:t>
            </w:r>
            <w:r>
              <w:rPr>
                <w:rFonts w:hint="eastAsia" w:ascii="宋体" w:hAnsi="宋体" w:cs="宋体"/>
                <w:color w:val="000000" w:themeColor="text1"/>
                <w:highlight w:val="none"/>
                <w:lang w:val="en-US" w:eastAsia="zh-CN"/>
                <w14:textFill>
                  <w14:solidFill>
                    <w14:schemeClr w14:val="tx1"/>
                  </w14:solidFill>
                </w14:textFill>
              </w:rPr>
              <w:t>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324C40A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99B811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体检服务点接待能力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DB350C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32FAA5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为保障教职工可以就近选择，方便教职工体检，供应商可以提供在南京市主城区内（玄武区、秦淮区、建邺区、鼓楼区、栖霞区、雨花台区）自由选择体检点并完成体检的，每个区得1分，最多得3分。</w:t>
            </w:r>
          </w:p>
          <w:p w14:paraId="26A63B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（1）如为自有产权的，提供自有产权证明及现场照片，无法体现相关内容或缺少材料的不得分。</w:t>
            </w:r>
          </w:p>
          <w:p w14:paraId="52340FB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（2）如为租赁场所的，提供租赁协议及现场照片，若租赁协议期限无法覆盖本项目服务期限的，还须提供到期续签的承诺书，无法体现相关内容或缺少材料的不得分。</w:t>
            </w:r>
          </w:p>
        </w:tc>
      </w:tr>
      <w:tr w14:paraId="12B6BEF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58A6E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E079EC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63B86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供应商承诺提供的体检报告有电子和纸质两种方式，且能实时在微信公众号或体检网站或app在线查询、下载个人体检报告的得3分。</w:t>
            </w:r>
          </w:p>
          <w:p w14:paraId="6DA5F50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11890C90">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7C8583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BEC9A4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EE6A7E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供应商须保证体检的各项结果准确率不低于98％，体检结束后，可安排专家上门进行体检后报告解读的得3分。</w:t>
            </w:r>
          </w:p>
          <w:p w14:paraId="61C3044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27DE9B5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B3BD3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76DC23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8C08169">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1C317349">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2分；</w:t>
            </w:r>
          </w:p>
          <w:p w14:paraId="30207EB4">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1分；</w:t>
            </w:r>
          </w:p>
          <w:p w14:paraId="69A9884B">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41384C1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877" w:hRule="atLeast"/>
          <w:jc w:val="center"/>
        </w:trPr>
        <w:tc>
          <w:tcPr>
            <w:tcW w:w="656"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21F9EFE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C7583EE">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6D7C11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72B913C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7AC2607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78FA557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ED62FE8">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A8062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3FA5E1D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7CC4BB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380EC1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3EE14E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体检主检医师</w:t>
            </w:r>
            <w:r>
              <w:rPr>
                <w:rFonts w:hint="eastAsia" w:ascii="宋体" w:hAnsi="宋体" w:cs="宋体"/>
                <w:color w:val="000000" w:themeColor="text1"/>
                <w:highlight w:val="none"/>
                <w:lang w:val="en-US" w:eastAsia="zh-CN"/>
                <w14:textFill>
                  <w14:solidFill>
                    <w14:schemeClr w14:val="tx1"/>
                  </w14:solidFill>
                </w14:textFill>
              </w:rPr>
              <w:t>具有</w:t>
            </w:r>
            <w:r>
              <w:rPr>
                <w:rFonts w:hint="eastAsia" w:ascii="宋体" w:hAnsi="宋体" w:cs="宋体"/>
                <w:color w:val="000000" w:themeColor="text1"/>
                <w:highlight w:val="none"/>
                <w14:textFill>
                  <w14:solidFill>
                    <w14:schemeClr w14:val="tx1"/>
                  </w14:solidFill>
                </w14:textFill>
              </w:rPr>
              <w:t>主任医师职称的得4分。（同时提供体检主检医师简历表、体检主检医师与响应供应商签订的劳动合同、医师资格证书、医师职称证书和执业证书（须有显示执业地点的页面，材料提供不全或者未提供的，不得分）</w:t>
            </w:r>
          </w:p>
        </w:tc>
      </w:tr>
      <w:tr w14:paraId="74671C6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9D6378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项目团队人员</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1DB70D">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10422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参检医师具有副主任医师职称的，每提供1人得1分；</w:t>
            </w:r>
          </w:p>
          <w:p w14:paraId="06A2B16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具有主任医师职称的，每提供1人得2分。</w:t>
            </w:r>
          </w:p>
          <w:p w14:paraId="2A7C0F6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本项满分</w:t>
            </w:r>
            <w:r>
              <w:rPr>
                <w:rFonts w:ascii="宋体" w:hAnsi="宋体" w:cs="宋体"/>
                <w:color w:val="000000" w:themeColor="text1"/>
                <w:highlight w:val="none"/>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分。（同时提供医师资格证书、医师职称证书和执业证书（须有显示执业地点的页面）</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。不提供或材料不全者不得分。</w:t>
            </w:r>
          </w:p>
        </w:tc>
      </w:tr>
      <w:tr w14:paraId="50A18DE1">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2BAB58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FD1CDF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ED81842">
            <w:pPr>
              <w:wordWrap w:val="0"/>
              <w:spacing w:line="240" w:lineRule="auto"/>
              <w:ind w:firstLine="480"/>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在采购需求中已明确的体检项目基础上，提供增加项目的，增加项目市场价值以江苏省医保局公布的三类医院医疗服务收费价格为依据。</w:t>
            </w:r>
            <w:r>
              <w:rPr>
                <w:rFonts w:hint="eastAsia" w:ascii="宋体" w:hAnsi="宋体" w:cs="宋体"/>
                <w:color w:val="000000" w:themeColor="text1"/>
                <w:highlight w:val="none"/>
                <w:lang w:val="en-US" w:eastAsia="zh-CN"/>
                <w14:textFill>
                  <w14:solidFill>
                    <w14:schemeClr w14:val="tx1"/>
                  </w14:solidFill>
                </w14:textFill>
              </w:rPr>
              <w:t>评委根据供应商提供的增加项目的</w:t>
            </w:r>
            <w:r>
              <w:rPr>
                <w:rFonts w:hint="eastAsia" w:ascii="宋体" w:hAnsi="宋体" w:cs="宋体"/>
                <w:color w:val="000000" w:themeColor="text1"/>
                <w:highlight w:val="none"/>
                <w14:textFill>
                  <w14:solidFill>
                    <w14:schemeClr w14:val="tx1"/>
                  </w14:solidFill>
                </w14:textFill>
              </w:rPr>
              <w:t>市场价值总额</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临床意义、</w:t>
            </w:r>
            <w:r>
              <w:rPr>
                <w:rFonts w:hint="eastAsia" w:ascii="宋体" w:hAnsi="宋体" w:cs="宋体"/>
                <w:color w:val="000000" w:themeColor="text1"/>
                <w:highlight w:val="none"/>
                <w14:textFill>
                  <w14:solidFill>
                    <w14:schemeClr w14:val="tx1"/>
                  </w14:solidFill>
                </w14:textFill>
              </w:rPr>
              <w:t>项目设置合理</w:t>
            </w:r>
            <w:r>
              <w:rPr>
                <w:rFonts w:hint="eastAsia" w:ascii="宋体" w:hAnsi="宋体" w:cs="宋体"/>
                <w:color w:val="000000" w:themeColor="text1"/>
                <w:highlight w:val="none"/>
                <w:lang w:val="en-US" w:eastAsia="zh-CN"/>
                <w14:textFill>
                  <w14:solidFill>
                    <w14:schemeClr w14:val="tx1"/>
                  </w14:solidFill>
                </w14:textFill>
              </w:rPr>
              <w:t>性、</w:t>
            </w:r>
            <w:r>
              <w:rPr>
                <w:rFonts w:hint="eastAsia" w:ascii="宋体" w:hAnsi="宋体" w:cs="宋体"/>
                <w:color w:val="000000" w:themeColor="text1"/>
                <w:highlight w:val="none"/>
                <w14:textFill>
                  <w14:solidFill>
                    <w14:schemeClr w14:val="tx1"/>
                  </w14:solidFill>
                </w14:textFill>
              </w:rPr>
              <w:t>覆盖教职工健康风险筛查范围</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lang w:val="en-US" w:eastAsia="zh-CN"/>
                <w14:textFill>
                  <w14:solidFill>
                    <w14:schemeClr w14:val="tx1"/>
                  </w14:solidFill>
                </w14:textFill>
              </w:rPr>
              <w:t>是否</w:t>
            </w:r>
            <w:r>
              <w:rPr>
                <w:rFonts w:hint="eastAsia" w:ascii="宋体" w:hAnsi="宋体" w:cs="宋体"/>
                <w:color w:val="000000" w:themeColor="text1"/>
                <w:highlight w:val="none"/>
                <w14:textFill>
                  <w14:solidFill>
                    <w14:schemeClr w14:val="tx1"/>
                  </w14:solidFill>
                </w14:textFill>
              </w:rPr>
              <w:t>贴合实际体检</w:t>
            </w:r>
            <w:r>
              <w:rPr>
                <w:rFonts w:hint="eastAsia" w:ascii="宋体" w:hAnsi="宋体" w:cs="宋体"/>
                <w:color w:val="000000" w:themeColor="text1"/>
                <w:highlight w:val="none"/>
                <w:lang w:val="en-US" w:eastAsia="zh-CN"/>
                <w14:textFill>
                  <w14:solidFill>
                    <w14:schemeClr w14:val="tx1"/>
                  </w14:solidFill>
                </w14:textFill>
              </w:rPr>
              <w:t>进行综合打分：</w:t>
            </w:r>
          </w:p>
          <w:p w14:paraId="7327826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增加项目市场价值总额高、临床意义好，项目设置合理、覆盖教职工健康风险筛查范围广，非常贴合实际体检需求的，得15分；</w:t>
            </w:r>
          </w:p>
          <w:p w14:paraId="4DC28E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增加项目市场价值总额较高、临床意义较好，项目设置较合理、覆盖教职工健康风险筛查范围尚可，较好贴合实际体检需求的，得12分；</w:t>
            </w:r>
            <w:r>
              <w:rPr>
                <w:rFonts w:ascii="宋体" w:hAnsi="宋体" w:cs="宋体"/>
                <w:color w:val="000000" w:themeColor="text1"/>
                <w:highlight w:val="none"/>
                <w14:textFill>
                  <w14:solidFill>
                    <w14:schemeClr w14:val="tx1"/>
                  </w14:solidFill>
                </w14:textFill>
              </w:rPr>
              <w:t xml:space="preserve"> </w:t>
            </w:r>
          </w:p>
          <w:p w14:paraId="3BF2B88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增加项目市场价值一般、临床意义一般，项目设置维度单一、覆盖教职工健康风险筛查范围一般，与实际体检需求贴合度一般的，得9分；</w:t>
            </w:r>
          </w:p>
          <w:p w14:paraId="699EBC8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增加项目市场价值大部分较低、大部分无临床意义，大部分项目设置欠合理、覆盖教职工健康风险筛查范围有限，与实际体检需求贴合度有偏差的，得6分；</w:t>
            </w:r>
          </w:p>
          <w:p w14:paraId="09B2A56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增加项目市场价值低、无临床意义，项目设置不合理、覆盖教职工健康风险筛查范围差，不能贴合实际体检需求的，得3分；</w:t>
            </w:r>
          </w:p>
          <w:p w14:paraId="2580935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须提供</w:t>
            </w:r>
            <w:r>
              <w:rPr>
                <w:rFonts w:hint="eastAsia" w:ascii="宋体" w:hAnsi="宋体" w:cs="宋体"/>
                <w:color w:val="000000" w:themeColor="text1"/>
                <w:highlight w:val="none"/>
                <w14:textFill>
                  <w14:solidFill>
                    <w14:schemeClr w14:val="tx1"/>
                  </w14:solidFill>
                </w14:textFill>
              </w:rPr>
              <w:t>增加项目的清单（包含项</w:t>
            </w:r>
            <w:r>
              <w:rPr>
                <w:rFonts w:hint="eastAsia" w:ascii="宋体" w:hAnsi="宋体" w:cs="宋体"/>
                <w:color w:val="000000" w:themeColor="text1"/>
                <w:highlight w:val="none"/>
                <w:lang w:val="en-US" w:eastAsia="zh-CN"/>
                <w14:textFill>
                  <w14:solidFill>
                    <w14:schemeClr w14:val="tx1"/>
                  </w14:solidFill>
                </w14:textFill>
              </w:rPr>
              <w:t>目</w:t>
            </w:r>
            <w:r>
              <w:rPr>
                <w:rFonts w:hint="eastAsia" w:ascii="宋体" w:hAnsi="宋体" w:cs="宋体"/>
                <w:color w:val="000000" w:themeColor="text1"/>
                <w:highlight w:val="none"/>
                <w14:textFill>
                  <w14:solidFill>
                    <w14:schemeClr w14:val="tx1"/>
                  </w14:solidFill>
                </w14:textFill>
              </w:rPr>
              <w:t>名称、</w:t>
            </w:r>
            <w:r>
              <w:rPr>
                <w:rFonts w:hint="eastAsia" w:ascii="宋体" w:hAnsi="宋体" w:cs="宋体"/>
                <w:color w:val="000000" w:themeColor="text1"/>
                <w:highlight w:val="none"/>
                <w:lang w:val="en-US" w:eastAsia="zh-CN"/>
                <w14:textFill>
                  <w14:solidFill>
                    <w14:schemeClr w14:val="tx1"/>
                  </w14:solidFill>
                </w14:textFill>
              </w:rPr>
              <w:t>体检</w:t>
            </w:r>
            <w:r>
              <w:rPr>
                <w:rFonts w:hint="eastAsia" w:ascii="宋体" w:hAnsi="宋体" w:cs="宋体"/>
                <w:color w:val="000000" w:themeColor="text1"/>
                <w:highlight w:val="none"/>
                <w14:textFill>
                  <w14:solidFill>
                    <w14:schemeClr w14:val="tx1"/>
                  </w14:solidFill>
                </w14:textFill>
              </w:rPr>
              <w:t>内容、对应的三类医院医疗服务收费价格、检查目的）并加盖公章，未提供或内容不全不得分。</w:t>
            </w:r>
          </w:p>
        </w:tc>
      </w:tr>
      <w:tr w14:paraId="5DAB1BDD">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6"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0CCD4B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086FFB">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37BCB6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0905489D">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包二：</w:t>
      </w:r>
    </w:p>
    <w:p w14:paraId="2ABF5879">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09B1EA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采购包2为南京地区教职工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00人。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03E1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096E6B8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6C20033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2327CC5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48D67A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6715F0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4FB002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2E499F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59883BF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5A70F41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3A50877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3E68F4A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5B7DCA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208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69F467A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6039AC1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1F8BC53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5018FD0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76</w:t>
            </w:r>
          </w:p>
        </w:tc>
        <w:tc>
          <w:tcPr>
            <w:tcW w:w="1552" w:type="dxa"/>
            <w:gridSpan w:val="2"/>
            <w:vAlign w:val="center"/>
          </w:tcPr>
          <w:p w14:paraId="69AF1A8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210</w:t>
            </w:r>
          </w:p>
        </w:tc>
        <w:tc>
          <w:tcPr>
            <w:tcW w:w="692" w:type="dxa"/>
            <w:vAlign w:val="center"/>
          </w:tcPr>
          <w:p w14:paraId="7D98AC7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692" w:type="dxa"/>
            <w:vAlign w:val="center"/>
          </w:tcPr>
          <w:p w14:paraId="651D36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345</w:t>
            </w:r>
          </w:p>
        </w:tc>
        <w:tc>
          <w:tcPr>
            <w:tcW w:w="936" w:type="dxa"/>
            <w:vAlign w:val="center"/>
          </w:tcPr>
          <w:p w14:paraId="2CCA8F1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71E10ED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62026C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tbl>
    <w:p w14:paraId="622E89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2E56A1E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45岁以上做甲状腺B超</w:t>
      </w:r>
      <w:r>
        <w:rPr>
          <w:color w:val="000000" w:themeColor="text1"/>
          <w:highlight w:val="none"/>
          <w14:textFill>
            <w14:solidFill>
              <w14:schemeClr w14:val="tx1"/>
            </w14:solidFill>
          </w14:textFill>
        </w:rPr>
        <w:t>、C13呼气试验。</w:t>
      </w:r>
    </w:p>
    <w:p w14:paraId="4C8DB43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液基薄层细胞学检测（TCT）、35岁以上女性查妇科B超；45岁（含45）以上的女同志加查糖类抗原153（CA-153）、糖类抗原125（CA-125）、神经元特异性烯醇化酶（NSE）；35岁以上男性加查前列腺肛检；45岁（含45）以上男性加查前列腺B超、前列腺特异抗原（PSA）和神经元特异性烯醇化酶（NSE）。</w:t>
      </w:r>
    </w:p>
    <w:p w14:paraId="7348977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动脉粥样硬化指数（ABI）、肝功能由五项增至十项、甲状腺功能三项（TSH、T3、T4）、肿瘤标志物由七项增至九项、头颅CT平扫及头颅血管MRA、颈动脉彩超；女性增加人乳头瘤病毒HPV25分型检测。</w:t>
      </w:r>
    </w:p>
    <w:p w14:paraId="68FAE28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0BB6603F">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3C2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6E971A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35DF2F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E26A8B7">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61A2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01EE15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2BB8B4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67F94A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E33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C2989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2089FB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6878D297">
            <w:pPr>
              <w:spacing w:line="240" w:lineRule="auto"/>
              <w:ind w:firstLine="0" w:firstLineChars="0"/>
              <w:jc w:val="center"/>
              <w:rPr>
                <w:color w:val="000000" w:themeColor="text1"/>
                <w:highlight w:val="none"/>
                <w14:textFill>
                  <w14:solidFill>
                    <w14:schemeClr w14:val="tx1"/>
                  </w14:solidFill>
                </w14:textFill>
              </w:rPr>
            </w:pPr>
          </w:p>
        </w:tc>
      </w:tr>
      <w:tr w14:paraId="5CBD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44704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537A7CC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1D12290D">
            <w:pPr>
              <w:spacing w:line="240" w:lineRule="auto"/>
              <w:ind w:firstLine="0" w:firstLineChars="0"/>
              <w:jc w:val="center"/>
              <w:rPr>
                <w:color w:val="000000" w:themeColor="text1"/>
                <w:highlight w:val="none"/>
                <w14:textFill>
                  <w14:solidFill>
                    <w14:schemeClr w14:val="tx1"/>
                  </w14:solidFill>
                </w14:textFill>
              </w:rPr>
            </w:pPr>
          </w:p>
        </w:tc>
      </w:tr>
      <w:tr w14:paraId="4517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18E92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05A285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6F5219B">
            <w:pPr>
              <w:spacing w:line="240" w:lineRule="auto"/>
              <w:ind w:firstLine="0" w:firstLineChars="0"/>
              <w:jc w:val="center"/>
              <w:rPr>
                <w:color w:val="000000" w:themeColor="text1"/>
                <w:highlight w:val="none"/>
                <w14:textFill>
                  <w14:solidFill>
                    <w14:schemeClr w14:val="tx1"/>
                  </w14:solidFill>
                </w14:textFill>
              </w:rPr>
            </w:pPr>
          </w:p>
        </w:tc>
      </w:tr>
      <w:tr w14:paraId="595A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341363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17CA098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3CDBDA81">
            <w:pPr>
              <w:spacing w:line="240" w:lineRule="auto"/>
              <w:ind w:firstLine="0" w:firstLineChars="0"/>
              <w:jc w:val="center"/>
              <w:rPr>
                <w:color w:val="000000" w:themeColor="text1"/>
                <w:highlight w:val="none"/>
                <w14:textFill>
                  <w14:solidFill>
                    <w14:schemeClr w14:val="tx1"/>
                  </w14:solidFill>
                </w14:textFill>
              </w:rPr>
            </w:pPr>
          </w:p>
        </w:tc>
      </w:tr>
      <w:tr w14:paraId="39E4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B39CB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7334F4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18D6EEA">
            <w:pPr>
              <w:spacing w:line="240" w:lineRule="auto"/>
              <w:ind w:firstLine="0" w:firstLineChars="0"/>
              <w:jc w:val="center"/>
              <w:rPr>
                <w:color w:val="000000" w:themeColor="text1"/>
                <w:highlight w:val="none"/>
                <w14:textFill>
                  <w14:solidFill>
                    <w14:schemeClr w14:val="tx1"/>
                  </w14:solidFill>
                </w14:textFill>
              </w:rPr>
            </w:pPr>
          </w:p>
        </w:tc>
      </w:tr>
      <w:tr w14:paraId="3A5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B0048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74EE63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786E4B73">
            <w:pPr>
              <w:spacing w:line="240" w:lineRule="auto"/>
              <w:ind w:firstLine="0" w:firstLineChars="0"/>
              <w:jc w:val="center"/>
              <w:rPr>
                <w:color w:val="000000" w:themeColor="text1"/>
                <w:highlight w:val="none"/>
                <w14:textFill>
                  <w14:solidFill>
                    <w14:schemeClr w14:val="tx1"/>
                  </w14:solidFill>
                </w14:textFill>
              </w:rPr>
            </w:pPr>
          </w:p>
        </w:tc>
      </w:tr>
      <w:tr w14:paraId="17A2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F0E3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374417A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4A4D6EDD">
            <w:pPr>
              <w:spacing w:line="240" w:lineRule="auto"/>
              <w:ind w:firstLine="0" w:firstLineChars="0"/>
              <w:jc w:val="center"/>
              <w:rPr>
                <w:color w:val="000000" w:themeColor="text1"/>
                <w:highlight w:val="none"/>
                <w14:textFill>
                  <w14:solidFill>
                    <w14:schemeClr w14:val="tx1"/>
                  </w14:solidFill>
                </w14:textFill>
              </w:rPr>
            </w:pPr>
          </w:p>
        </w:tc>
      </w:tr>
      <w:tr w14:paraId="2C92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E0FB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551B14E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0AFD2574">
            <w:pPr>
              <w:spacing w:line="240" w:lineRule="auto"/>
              <w:ind w:firstLine="0" w:firstLineChars="0"/>
              <w:jc w:val="center"/>
              <w:rPr>
                <w:color w:val="000000" w:themeColor="text1"/>
                <w:highlight w:val="none"/>
                <w14:textFill>
                  <w14:solidFill>
                    <w14:schemeClr w14:val="tx1"/>
                  </w14:solidFill>
                </w14:textFill>
              </w:rPr>
            </w:pPr>
          </w:p>
        </w:tc>
      </w:tr>
      <w:tr w14:paraId="6EB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EA7718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48BAFFA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48EE07E0">
            <w:pPr>
              <w:spacing w:line="240" w:lineRule="auto"/>
              <w:ind w:firstLine="0" w:firstLineChars="0"/>
              <w:jc w:val="center"/>
              <w:rPr>
                <w:color w:val="000000" w:themeColor="text1"/>
                <w:highlight w:val="none"/>
                <w14:textFill>
                  <w14:solidFill>
                    <w14:schemeClr w14:val="tx1"/>
                  </w14:solidFill>
                </w14:textFill>
              </w:rPr>
            </w:pPr>
          </w:p>
        </w:tc>
      </w:tr>
      <w:tr w14:paraId="3A46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65848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53DC6E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4A8DBADC">
            <w:pPr>
              <w:spacing w:line="240" w:lineRule="auto"/>
              <w:ind w:firstLine="0" w:firstLineChars="0"/>
              <w:jc w:val="center"/>
              <w:rPr>
                <w:color w:val="000000" w:themeColor="text1"/>
                <w:highlight w:val="none"/>
                <w14:textFill>
                  <w14:solidFill>
                    <w14:schemeClr w14:val="tx1"/>
                  </w14:solidFill>
                </w14:textFill>
              </w:rPr>
            </w:pPr>
          </w:p>
        </w:tc>
      </w:tr>
      <w:tr w14:paraId="3EAE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380F51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74D72D51">
      <w:pPr>
        <w:ind w:firstLine="480"/>
        <w:rPr>
          <w:color w:val="000000" w:themeColor="text1"/>
          <w:highlight w:val="none"/>
          <w14:textFill>
            <w14:solidFill>
              <w14:schemeClr w14:val="tx1"/>
            </w14:solidFill>
          </w14:textFill>
        </w:rPr>
      </w:pPr>
    </w:p>
    <w:p w14:paraId="7F2892E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7C43E962">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97A1F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23D808F4">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4F7A05D1">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04588D9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bookmarkStart w:id="1" w:name="_GoBack"/>
      <w:bookmarkEnd w:id="1"/>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1C16D6E"/>
    <w:rsid w:val="02F23A71"/>
    <w:rsid w:val="03E531F1"/>
    <w:rsid w:val="05343D27"/>
    <w:rsid w:val="05552367"/>
    <w:rsid w:val="05C1353C"/>
    <w:rsid w:val="0627193B"/>
    <w:rsid w:val="0911176A"/>
    <w:rsid w:val="09297455"/>
    <w:rsid w:val="0F1862DA"/>
    <w:rsid w:val="0F342331"/>
    <w:rsid w:val="0F853FF2"/>
    <w:rsid w:val="10227809"/>
    <w:rsid w:val="10721F1D"/>
    <w:rsid w:val="11785740"/>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B1251C2"/>
    <w:rsid w:val="2B6210DC"/>
    <w:rsid w:val="2BEE5153"/>
    <w:rsid w:val="2D807E3C"/>
    <w:rsid w:val="31630496"/>
    <w:rsid w:val="319838CA"/>
    <w:rsid w:val="31ED53DA"/>
    <w:rsid w:val="32A43020"/>
    <w:rsid w:val="33C12A99"/>
    <w:rsid w:val="33C84F40"/>
    <w:rsid w:val="342D3925"/>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9624A5"/>
    <w:rsid w:val="72A9667D"/>
    <w:rsid w:val="7563566C"/>
    <w:rsid w:val="79D31AEC"/>
    <w:rsid w:val="7E98382C"/>
    <w:rsid w:val="7EB00139"/>
    <w:rsid w:val="7EE6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12911</Words>
  <Characters>13795</Characters>
  <Lines>268</Lines>
  <Paragraphs>75</Paragraphs>
  <TotalTime>4</TotalTime>
  <ScaleCrop>false</ScaleCrop>
  <LinksUpToDate>false</LinksUpToDate>
  <CharactersWithSpaces>13921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2026-09-28T08:38:40Z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62C166B0836C4C268A55662A8D260303_13</vt:lpwstr>
  </property>
  <property fmtid="{D5CDD505-2E9C-101B-9397-08002B2CF9AE}" pid="4" name="KSOTemplateDocerSaveRecord">
    <vt:lpwstr>eyJoZGlkIjoiZGI4OGE1MzAzZDVmOTFjNmE2ZjdjMjE4MWFmMWJkZTAiLCJ1c2VySWQiOiIxMTc5MTU0ODc0In0=</vt:lpwstr>
  </property>
</Properties>
</file>