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jc w:val="center"/>
        <w:spacing w:before="240" w:after="240" w:line="360" w:lineRule="auto"/>
        <w:rPr>
          <w:rFonts w:hint="eastAsia" w:ascii="宋体" w:hAnsi="宋体" w:eastAsia="宋体" w:cs="宋体"/>
          <w:b/>
          <w:color w:val="auto"/>
          <w:sz w:val="4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江苏省特检院试验机类设备采购</w:t>
      </w:r>
      <w:r/>
    </w:p>
    <w:p>
      <w:pPr>
        <w:jc w:val="center"/>
        <w:spacing w:line="360" w:lineRule="auto"/>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t xml:space="preserve">招标文件</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JSZC-320000-NJJC-G2026-0124</w:t>
      </w:r>
      <w:r>
        <w:rPr>
          <w:rFonts w:hint="eastAsia" w:ascii="宋体" w:hAnsi="宋体" w:cs="宋体"/>
          <w:b/>
          <w:bCs/>
          <w:color w:val="auto"/>
          <w:sz w:val="32"/>
          <w:szCs w:val="32"/>
          <w:highlight w:val="none"/>
          <w:lang w:val="en-US" w:eastAsia="zh-CN"/>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1201"/>
        <w:ind w:left="698"/>
        <w:rPr>
          <w:rFonts w:hint="eastAsia" w:ascii="宋体" w:hAnsi="宋体" w:eastAsia="宋体" w:cs="宋体"/>
          <w:b/>
          <w:bCs/>
          <w:color w:val="auto"/>
          <w:highlight w:val="none"/>
        </w:rPr>
      </w:pPr>
      <w:r/>
      <w:bookmarkStart w:id="0" w:name="_Toc7632"/>
      <w:r/>
      <w:bookmarkStart w:id="1" w:name="_Toc1644"/>
      <w:r>
        <w:rPr>
          <w:rFonts w:hint="eastAsia" w:ascii="宋体" w:hAnsi="宋体" w:eastAsia="宋体" w:cs="宋体"/>
          <w:b/>
          <w:bCs/>
          <w:color w:val="auto"/>
          <w:highlight w:val="none"/>
        </w:rPr>
        <w:t xml:space="preserve">采购人：江苏省特种设备安全监督检验研究院</w:t>
      </w:r>
      <w:bookmarkEnd w:id="0"/>
      <w:r/>
      <w:bookmarkEnd w:id="1"/>
      <w:r/>
      <w:r/>
    </w:p>
    <w:p>
      <w:pPr>
        <w:rPr>
          <w:rFonts w:hint="eastAsia"/>
          <w:b/>
          <w:bCs/>
          <w:color w:val="auto"/>
          <w:highlight w:val="none"/>
        </w:rPr>
      </w:pPr>
      <w:r>
        <w:rPr>
          <w:rFonts w:hint="eastAsia"/>
          <w:b/>
          <w:bCs/>
          <w:color w:val="auto"/>
          <w:highlight w:val="none"/>
        </w:rPr>
      </w:r>
      <w:r/>
    </w:p>
    <w:p>
      <w:pPr>
        <w:pStyle w:val="1201"/>
        <w:ind w:left="698"/>
        <w:rPr>
          <w:rFonts w:hint="eastAsia" w:ascii="宋体" w:hAnsi="宋体" w:eastAsia="宋体" w:cs="宋体"/>
          <w:b/>
          <w:bCs/>
          <w:color w:val="auto"/>
          <w:highlight w:val="none"/>
        </w:rPr>
      </w:pPr>
      <w:r/>
      <w:bookmarkStart w:id="2" w:name="_Toc5962"/>
      <w:r/>
      <w:bookmarkStart w:id="3" w:name="_Toc10179"/>
      <w:r>
        <w:rPr>
          <w:rFonts w:hint="eastAsia" w:ascii="宋体" w:hAnsi="宋体" w:eastAsia="宋体" w:cs="宋体"/>
          <w:b/>
          <w:bCs/>
          <w:color w:val="auto"/>
          <w:highlight w:val="none"/>
        </w:rPr>
        <w:t xml:space="preserve">采购代理机构：南京江城工程项目管理有限公司</w:t>
      </w:r>
      <w:bookmarkEnd w:id="2"/>
      <w:r/>
      <w:bookmarkEnd w:id="3"/>
      <w:r/>
      <w:r/>
    </w:p>
    <w:p>
      <w:pPr>
        <w:rPr>
          <w:rFonts w:hint="eastAsia"/>
          <w:color w:val="auto"/>
          <w:highlight w:val="none"/>
        </w:rPr>
      </w:pPr>
      <w:r>
        <w:rPr>
          <w:rFonts w:hint="eastAsia"/>
          <w:color w:val="auto"/>
          <w:highlight w:val="none"/>
        </w:rPr>
      </w:r>
      <w:r/>
    </w:p>
    <w:p>
      <w:pPr>
        <w:ind w:left="1572" w:right="1933"/>
        <w:jc w:val="center"/>
        <w:spacing w:line="357"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r>
      <w:r/>
    </w:p>
    <w:p>
      <w:pPr>
        <w:ind w:left="1572" w:right="1933"/>
        <w:jc w:val="center"/>
        <w:spacing w:line="357"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1572" w:right="1933"/>
        <w:jc w:val="center"/>
        <w:spacing w:line="357"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1572" w:right="1933"/>
        <w:jc w:val="center"/>
        <w:spacing w:line="357"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二○二</w:t>
      </w:r>
      <w:r>
        <w:rPr>
          <w:rFonts w:hint="eastAsia" w:ascii="宋体" w:hAnsi="宋体" w:eastAsia="宋体" w:cs="宋体"/>
          <w:b/>
          <w:bCs/>
          <w:color w:val="auto"/>
          <w:sz w:val="36"/>
          <w:szCs w:val="36"/>
          <w:highlight w:val="none"/>
          <w:lang w:val="en-US" w:eastAsia="zh-CN"/>
        </w:rPr>
        <w:t xml:space="preserve">六</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八</w:t>
      </w:r>
      <w:r>
        <w:rPr>
          <w:rFonts w:hint="eastAsia" w:ascii="宋体" w:hAnsi="宋体" w:eastAsia="宋体" w:cs="宋体"/>
          <w:b/>
          <w:bCs/>
          <w:color w:val="auto"/>
          <w:sz w:val="36"/>
          <w:szCs w:val="36"/>
          <w:highlight w:val="none"/>
        </w:rPr>
        <w:t xml:space="preserve">月</w:t>
      </w:r>
      <w:r/>
    </w:p>
    <w:p>
      <w:pPr>
        <w:ind w:left="1572" w:right="1933"/>
        <w:jc w:val="center"/>
        <w:spacing w:line="357" w:lineRule="auto"/>
        <w:rPr>
          <w:rFonts w:hint="eastAsia" w:ascii="宋体" w:hAnsi="宋体" w:eastAsia="宋体" w:cs="宋体"/>
          <w:b/>
          <w:bCs/>
          <w:color w:val="auto"/>
          <w:sz w:val="36"/>
          <w:szCs w:val="36"/>
          <w:highlight w:val="none"/>
        </w:rPr>
        <w:sectPr>
          <w:headerReference w:type="default" r:id="rId9"/>
          <w:headerReference w:type="first" r:id="rId10"/>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eastAsia="宋体" w:cs="宋体"/>
          <w:b/>
          <w:bCs/>
          <w:color w:val="auto"/>
          <w:sz w:val="36"/>
          <w:szCs w:val="36"/>
          <w:highlight w:val="none"/>
        </w:rPr>
      </w:r>
      <w:r/>
    </w:p>
    <w:sdt>
      <w:sdtPr>
        <w15:appearance w15:val="boundingBox"/>
        <w15:color w:val="dbdbdb"/>
        <w:id w:val="147465402"/>
        <w:docPartObj>
          <w:docPartGallery w:val="Table of Contents"/>
          <w:docPartUnique w:val="true"/>
        </w:docPartObj>
        <w:rPr>
          <w:rFonts w:ascii="宋体" w:hAnsi="宋体" w:eastAsia="宋体" w:cs="Times New Roman"/>
          <w:color w:val="auto"/>
          <w:sz w:val="28"/>
          <w:szCs w:val="24"/>
          <w:highlight w:val="none"/>
          <w:lang w:val="en-US" w:eastAsia="zh-CN" w:bidi="ar-SA"/>
        </w:rPr>
      </w:sdtPr>
      <w:sdtContent>
        <w:p>
          <w:pPr>
            <w:ind w:left="0" w:right="0" w:firstLine="0"/>
            <w:jc w:val="center"/>
            <w:spacing w:before="0" w:after="0" w:line="360" w:lineRule="auto"/>
            <w:rPr>
              <w:color w:val="auto"/>
              <w:sz w:val="32"/>
              <w:szCs w:val="28"/>
              <w:highlight w:val="none"/>
            </w:rPr>
          </w:pPr>
          <w:r>
            <w:rPr>
              <w:rFonts w:ascii="宋体" w:hAnsi="宋体" w:eastAsia="宋体"/>
              <w:color w:val="auto"/>
              <w:sz w:val="32"/>
              <w:szCs w:val="28"/>
              <w:highlight w:val="none"/>
            </w:rPr>
            <w:t xml:space="preserve">目录</w:t>
          </w:r>
          <w:r/>
        </w:p>
        <w:p>
          <w:pPr>
            <w:pStyle w:val="1225"/>
            <w:ind w:left="0" w:firstLine="0"/>
            <w:spacing w:line="360" w:lineRule="auto"/>
            <w:tabs>
              <w:tab w:val="right" w:pos="8910" w:leader="dot"/>
            </w:tabs>
            <w:rPr>
              <w:color w:val="auto"/>
              <w:sz w:val="22"/>
              <w:szCs w:val="21"/>
              <w:highlight w:val="none"/>
            </w:rPr>
          </w:pPr>
          <w:r>
            <w:rPr>
              <w:rFonts w:hint="eastAsia" w:ascii="宋体" w:hAnsi="宋体" w:eastAsia="宋体" w:cs="宋体"/>
              <w:b/>
              <w:bCs/>
              <w:color w:val="auto"/>
              <w:sz w:val="40"/>
              <w:szCs w:val="40"/>
              <w:highlight w:val="none"/>
            </w:rPr>
            <w:fldChar w:fldCharType="begin"/>
          </w:r>
          <w:r>
            <w:rPr>
              <w:rFonts w:hint="eastAsia" w:ascii="宋体" w:hAnsi="宋体" w:eastAsia="宋体" w:cs="宋体"/>
              <w:b/>
              <w:bCs/>
              <w:color w:val="auto"/>
              <w:sz w:val="40"/>
              <w:szCs w:val="40"/>
              <w:highlight w:val="none"/>
            </w:rPr>
            <w:instrText xml:space="preserve">TOC \o "1-3" \h \u </w:instrText>
          </w:r>
          <w:r>
            <w:rPr>
              <w:rFonts w:hint="eastAsia" w:ascii="宋体" w:hAnsi="宋体" w:eastAsia="宋体" w:cs="宋体"/>
              <w:b/>
              <w:bCs/>
              <w:color w:val="auto"/>
              <w:sz w:val="40"/>
              <w:szCs w:val="40"/>
              <w:highlight w:val="none"/>
            </w:rPr>
            <w:fldChar w:fldCharType="separate"/>
          </w:r>
          <w:r>
            <w:rPr>
              <w:rFonts w:hint="eastAsia" w:ascii="宋体" w:hAnsi="宋体" w:eastAsia="宋体" w:cs="宋体"/>
              <w:bCs/>
              <w:color w:val="auto"/>
              <w:sz w:val="22"/>
              <w:szCs w:val="40"/>
              <w:highlight w:val="none"/>
            </w:rPr>
            <w:fldChar w:fldCharType="begin"/>
          </w:r>
          <w:r>
            <w:rPr>
              <w:rFonts w:hint="eastAsia" w:ascii="宋体" w:hAnsi="宋体" w:eastAsia="宋体" w:cs="宋体"/>
              <w:bCs/>
              <w:color w:val="auto"/>
              <w:sz w:val="22"/>
              <w:szCs w:val="40"/>
              <w:highlight w:val="none"/>
            </w:rPr>
            <w:instrText xml:space="preserve"> HYPERLINK \l _Toc23765 </w:instrText>
          </w:r>
          <w:r>
            <w:rPr>
              <w:rFonts w:hint="eastAsia" w:ascii="宋体" w:hAnsi="宋体" w:eastAsia="宋体" w:cs="宋体"/>
              <w:bCs/>
              <w:color w:val="auto"/>
              <w:sz w:val="22"/>
              <w:szCs w:val="40"/>
              <w:highlight w:val="none"/>
            </w:rPr>
            <w:fldChar w:fldCharType="separate"/>
          </w:r>
          <w:r>
            <w:rPr>
              <w:rFonts w:hint="eastAsia" w:ascii="宋体" w:hAnsi="宋体" w:cs="宋体"/>
              <w:color w:val="auto"/>
              <w:sz w:val="22"/>
              <w:szCs w:val="32"/>
              <w:highlight w:val="none"/>
              <w:lang w:val="en-US" w:eastAsia="zh-CN"/>
            </w:rPr>
            <w:t xml:space="preserve">第一章 </w:t>
          </w:r>
          <w:r>
            <w:rPr>
              <w:rFonts w:hint="eastAsia" w:ascii="宋体" w:hAnsi="宋体" w:cs="宋体"/>
              <w:color w:val="auto"/>
              <w:sz w:val="22"/>
              <w:szCs w:val="32"/>
              <w:highlight w:val="none"/>
            </w:rPr>
            <w:t xml:space="preserve">招标公告</w:t>
          </w:r>
          <w:r>
            <w:rPr>
              <w:color w:val="auto"/>
              <w:sz w:val="22"/>
              <w:szCs w:val="21"/>
              <w:highlight w:val="none"/>
            </w:rPr>
            <w:tab/>
          </w:r>
          <w:r>
            <w:rPr>
              <w:color w:val="auto"/>
              <w:sz w:val="22"/>
              <w:szCs w:val="21"/>
              <w:highlight w:val="none"/>
            </w:rPr>
            <w:fldChar w:fldCharType="begin"/>
          </w:r>
          <w:r>
            <w:rPr>
              <w:color w:val="auto"/>
              <w:sz w:val="22"/>
              <w:szCs w:val="21"/>
              <w:highlight w:val="none"/>
            </w:rPr>
            <w:instrText xml:space="preserve"> PAGEREF _Toc23765 \h </w:instrText>
          </w:r>
          <w:r>
            <w:rPr>
              <w:color w:val="auto"/>
              <w:sz w:val="22"/>
              <w:szCs w:val="21"/>
              <w:highlight w:val="none"/>
            </w:rPr>
            <w:fldChar w:fldCharType="separate"/>
          </w:r>
          <w:r>
            <w:rPr>
              <w:color w:val="auto"/>
              <w:sz w:val="22"/>
              <w:szCs w:val="21"/>
              <w:highlight w:val="none"/>
            </w:rPr>
            <w:t xml:space="preserve">1</w:t>
          </w:r>
          <w:r>
            <w:rPr>
              <w:color w:val="auto"/>
              <w:sz w:val="22"/>
              <w:szCs w:val="21"/>
              <w:highlight w:val="none"/>
            </w:rPr>
            <w:fldChar w:fldCharType="end"/>
          </w:r>
          <w:r>
            <w:rPr>
              <w:rFonts w:hint="eastAsia" w:ascii="宋体" w:hAnsi="宋体" w:eastAsia="宋体" w:cs="宋体"/>
              <w:bCs/>
              <w:color w:val="auto"/>
              <w:sz w:val="22"/>
              <w:szCs w:val="40"/>
              <w:highlight w:val="none"/>
            </w:rPr>
            <w:fldChar w:fldCharType="end"/>
          </w:r>
          <w:r/>
        </w:p>
        <w:p>
          <w:pPr>
            <w:pStyle w:val="1234"/>
            <w:spacing w:line="360" w:lineRule="auto"/>
            <w:tabs>
              <w:tab w:val="right" w:pos="8910" w:leader="dot"/>
            </w:tabs>
            <w:rPr>
              <w:color w:val="auto"/>
              <w:sz w:val="22"/>
              <w:szCs w:val="21"/>
              <w:highlight w:val="none"/>
            </w:rPr>
          </w:pPr>
          <w:r>
            <w:rPr>
              <w:rFonts w:hint="eastAsia" w:ascii="宋体" w:hAnsi="宋体" w:eastAsia="宋体" w:cs="宋体"/>
              <w:bCs/>
              <w:color w:val="auto"/>
              <w:sz w:val="22"/>
              <w:szCs w:val="40"/>
              <w:highlight w:val="none"/>
            </w:rPr>
            <w:fldChar w:fldCharType="begin"/>
          </w:r>
          <w:r>
            <w:rPr>
              <w:rFonts w:hint="eastAsia" w:ascii="宋体" w:hAnsi="宋体" w:eastAsia="宋体" w:cs="宋体"/>
              <w:bCs/>
              <w:color w:val="auto"/>
              <w:sz w:val="22"/>
              <w:szCs w:val="40"/>
              <w:highlight w:val="none"/>
            </w:rPr>
            <w:instrText xml:space="preserve"> HYPERLINK \l _Toc15733 </w:instrText>
          </w:r>
          <w:r>
            <w:rPr>
              <w:rFonts w:hint="eastAsia" w:ascii="宋体" w:hAnsi="宋体" w:eastAsia="宋体" w:cs="宋体"/>
              <w:bCs/>
              <w:color w:val="auto"/>
              <w:sz w:val="22"/>
              <w:szCs w:val="40"/>
              <w:highlight w:val="none"/>
            </w:rPr>
            <w:fldChar w:fldCharType="separate"/>
          </w:r>
          <w:r>
            <w:rPr>
              <w:rFonts w:hint="eastAsia" w:ascii="宋体" w:hAnsi="宋体" w:cs="宋体"/>
              <w:color w:val="auto"/>
              <w:sz w:val="22"/>
              <w:szCs w:val="32"/>
              <w:highlight w:val="none"/>
            </w:rPr>
            <w:t xml:space="preserve">第二章 投标人须知前附表</w:t>
          </w:r>
          <w:r>
            <w:rPr>
              <w:color w:val="auto"/>
              <w:sz w:val="22"/>
              <w:szCs w:val="21"/>
              <w:highlight w:val="none"/>
            </w:rPr>
            <w:tab/>
          </w:r>
          <w:r>
            <w:rPr>
              <w:color w:val="auto"/>
              <w:sz w:val="22"/>
              <w:szCs w:val="21"/>
              <w:highlight w:val="none"/>
            </w:rPr>
            <w:fldChar w:fldCharType="begin"/>
          </w:r>
          <w:r>
            <w:rPr>
              <w:color w:val="auto"/>
              <w:sz w:val="22"/>
              <w:szCs w:val="21"/>
              <w:highlight w:val="none"/>
            </w:rPr>
            <w:instrText xml:space="preserve"> PAGEREF _Toc15733 \h </w:instrText>
          </w:r>
          <w:r>
            <w:rPr>
              <w:color w:val="auto"/>
              <w:sz w:val="22"/>
              <w:szCs w:val="21"/>
              <w:highlight w:val="none"/>
            </w:rPr>
            <w:fldChar w:fldCharType="separate"/>
          </w:r>
          <w:r>
            <w:rPr>
              <w:color w:val="auto"/>
              <w:sz w:val="22"/>
              <w:szCs w:val="21"/>
              <w:highlight w:val="none"/>
            </w:rPr>
            <w:t xml:space="preserve">6</w:t>
          </w:r>
          <w:r>
            <w:rPr>
              <w:color w:val="auto"/>
              <w:sz w:val="22"/>
              <w:szCs w:val="21"/>
              <w:highlight w:val="none"/>
            </w:rPr>
            <w:fldChar w:fldCharType="end"/>
          </w:r>
          <w:r>
            <w:rPr>
              <w:rFonts w:hint="eastAsia" w:ascii="宋体" w:hAnsi="宋体" w:eastAsia="宋体" w:cs="宋体"/>
              <w:bCs/>
              <w:color w:val="auto"/>
              <w:sz w:val="22"/>
              <w:szCs w:val="40"/>
              <w:highlight w:val="none"/>
            </w:rPr>
            <w:fldChar w:fldCharType="end"/>
          </w:r>
          <w:r/>
        </w:p>
        <w:p>
          <w:pPr>
            <w:pStyle w:val="1234"/>
            <w:spacing w:line="360" w:lineRule="auto"/>
            <w:tabs>
              <w:tab w:val="right" w:pos="8910" w:leader="dot"/>
            </w:tabs>
            <w:rPr>
              <w:color w:val="auto"/>
              <w:sz w:val="22"/>
              <w:szCs w:val="21"/>
              <w:highlight w:val="none"/>
            </w:rPr>
          </w:pPr>
          <w:r>
            <w:rPr>
              <w:rFonts w:hint="eastAsia" w:ascii="宋体" w:hAnsi="宋体" w:eastAsia="宋体" w:cs="宋体"/>
              <w:bCs/>
              <w:color w:val="auto"/>
              <w:sz w:val="22"/>
              <w:szCs w:val="40"/>
              <w:highlight w:val="none"/>
            </w:rPr>
            <w:fldChar w:fldCharType="begin"/>
          </w:r>
          <w:r>
            <w:rPr>
              <w:rFonts w:hint="eastAsia" w:ascii="宋体" w:hAnsi="宋体" w:eastAsia="宋体" w:cs="宋体"/>
              <w:bCs/>
              <w:color w:val="auto"/>
              <w:sz w:val="22"/>
              <w:szCs w:val="40"/>
              <w:highlight w:val="none"/>
            </w:rPr>
            <w:instrText xml:space="preserve"> HYPERLINK \l _Toc20291 </w:instrText>
          </w:r>
          <w:r>
            <w:rPr>
              <w:rFonts w:hint="eastAsia" w:ascii="宋体" w:hAnsi="宋体" w:eastAsia="宋体" w:cs="宋体"/>
              <w:bCs/>
              <w:color w:val="auto"/>
              <w:sz w:val="22"/>
              <w:szCs w:val="40"/>
              <w:highlight w:val="none"/>
            </w:rPr>
            <w:fldChar w:fldCharType="separate"/>
          </w:r>
          <w:r>
            <w:rPr>
              <w:rFonts w:hint="eastAsia" w:ascii="宋体" w:hAnsi="宋体" w:cs="宋体"/>
              <w:color w:val="auto"/>
              <w:sz w:val="22"/>
              <w:szCs w:val="32"/>
              <w:highlight w:val="none"/>
            </w:rPr>
            <w:t xml:space="preserve">第三章 评标标准</w:t>
          </w:r>
          <w:r>
            <w:rPr>
              <w:color w:val="auto"/>
              <w:sz w:val="22"/>
              <w:szCs w:val="21"/>
              <w:highlight w:val="none"/>
            </w:rPr>
            <w:tab/>
          </w:r>
          <w:r>
            <w:rPr>
              <w:color w:val="auto"/>
              <w:sz w:val="22"/>
              <w:szCs w:val="21"/>
              <w:highlight w:val="none"/>
            </w:rPr>
            <w:fldChar w:fldCharType="begin"/>
          </w:r>
          <w:r>
            <w:rPr>
              <w:color w:val="auto"/>
              <w:sz w:val="22"/>
              <w:szCs w:val="21"/>
              <w:highlight w:val="none"/>
            </w:rPr>
            <w:instrText xml:space="preserve"> PAGEREF _Toc20291 \h </w:instrText>
          </w:r>
          <w:r>
            <w:rPr>
              <w:color w:val="auto"/>
              <w:sz w:val="22"/>
              <w:szCs w:val="21"/>
              <w:highlight w:val="none"/>
            </w:rPr>
            <w:fldChar w:fldCharType="separate"/>
          </w:r>
          <w:r>
            <w:rPr>
              <w:color w:val="auto"/>
              <w:sz w:val="22"/>
              <w:szCs w:val="21"/>
              <w:highlight w:val="none"/>
            </w:rPr>
            <w:t xml:space="preserve">20</w:t>
          </w:r>
          <w:r>
            <w:rPr>
              <w:color w:val="auto"/>
              <w:sz w:val="22"/>
              <w:szCs w:val="21"/>
              <w:highlight w:val="none"/>
            </w:rPr>
            <w:fldChar w:fldCharType="end"/>
          </w:r>
          <w:r>
            <w:rPr>
              <w:rFonts w:hint="eastAsia" w:ascii="宋体" w:hAnsi="宋体" w:eastAsia="宋体" w:cs="宋体"/>
              <w:bCs/>
              <w:color w:val="auto"/>
              <w:sz w:val="22"/>
              <w:szCs w:val="40"/>
              <w:highlight w:val="none"/>
            </w:rPr>
            <w:fldChar w:fldCharType="end"/>
          </w:r>
          <w:r/>
        </w:p>
        <w:p>
          <w:pPr>
            <w:pStyle w:val="1234"/>
            <w:spacing w:line="360" w:lineRule="auto"/>
            <w:tabs>
              <w:tab w:val="right" w:pos="8910" w:leader="dot"/>
            </w:tabs>
            <w:rPr>
              <w:color w:val="auto"/>
              <w:sz w:val="22"/>
              <w:szCs w:val="21"/>
              <w:highlight w:val="none"/>
            </w:rPr>
          </w:pPr>
          <w:r>
            <w:rPr>
              <w:rFonts w:hint="eastAsia" w:ascii="宋体" w:hAnsi="宋体" w:eastAsia="宋体" w:cs="宋体"/>
              <w:bCs/>
              <w:color w:val="auto"/>
              <w:sz w:val="22"/>
              <w:szCs w:val="40"/>
              <w:highlight w:val="none"/>
            </w:rPr>
            <w:fldChar w:fldCharType="begin"/>
          </w:r>
          <w:r>
            <w:rPr>
              <w:rFonts w:hint="eastAsia" w:ascii="宋体" w:hAnsi="宋体" w:eastAsia="宋体" w:cs="宋体"/>
              <w:bCs/>
              <w:color w:val="auto"/>
              <w:sz w:val="22"/>
              <w:szCs w:val="40"/>
              <w:highlight w:val="none"/>
            </w:rPr>
            <w:instrText xml:space="preserve"> HYPERLINK \l _Toc32548 </w:instrText>
          </w:r>
          <w:r>
            <w:rPr>
              <w:rFonts w:hint="eastAsia" w:ascii="宋体" w:hAnsi="宋体" w:eastAsia="宋体" w:cs="宋体"/>
              <w:bCs/>
              <w:color w:val="auto"/>
              <w:sz w:val="22"/>
              <w:szCs w:val="40"/>
              <w:highlight w:val="none"/>
            </w:rPr>
            <w:fldChar w:fldCharType="separate"/>
          </w:r>
          <w:r>
            <w:rPr>
              <w:rFonts w:hint="eastAsia" w:ascii="宋体" w:hAnsi="宋体" w:cs="宋体"/>
              <w:color w:val="auto"/>
              <w:sz w:val="22"/>
              <w:szCs w:val="32"/>
              <w:highlight w:val="none"/>
            </w:rPr>
            <w:t xml:space="preserve">第四章 招标技术规格及要求</w:t>
          </w:r>
          <w:r>
            <w:rPr>
              <w:color w:val="auto"/>
              <w:sz w:val="22"/>
              <w:szCs w:val="21"/>
              <w:highlight w:val="none"/>
            </w:rPr>
            <w:tab/>
          </w:r>
          <w:r>
            <w:rPr>
              <w:color w:val="auto"/>
              <w:sz w:val="22"/>
              <w:szCs w:val="21"/>
              <w:highlight w:val="none"/>
            </w:rPr>
            <w:fldChar w:fldCharType="begin"/>
          </w:r>
          <w:r>
            <w:rPr>
              <w:color w:val="auto"/>
              <w:sz w:val="22"/>
              <w:szCs w:val="21"/>
              <w:highlight w:val="none"/>
            </w:rPr>
            <w:instrText xml:space="preserve"> PAGEREF _Toc32548 \h </w:instrText>
          </w:r>
          <w:r>
            <w:rPr>
              <w:color w:val="auto"/>
              <w:sz w:val="22"/>
              <w:szCs w:val="21"/>
              <w:highlight w:val="none"/>
            </w:rPr>
            <w:fldChar w:fldCharType="separate"/>
          </w:r>
          <w:r>
            <w:rPr>
              <w:color w:val="auto"/>
              <w:sz w:val="22"/>
              <w:szCs w:val="21"/>
              <w:highlight w:val="none"/>
            </w:rPr>
            <w:t xml:space="preserve">25</w:t>
          </w:r>
          <w:r>
            <w:rPr>
              <w:color w:val="auto"/>
              <w:sz w:val="22"/>
              <w:szCs w:val="21"/>
              <w:highlight w:val="none"/>
            </w:rPr>
            <w:fldChar w:fldCharType="end"/>
          </w:r>
          <w:r>
            <w:rPr>
              <w:rFonts w:hint="eastAsia" w:ascii="宋体" w:hAnsi="宋体" w:eastAsia="宋体" w:cs="宋体"/>
              <w:bCs/>
              <w:color w:val="auto"/>
              <w:sz w:val="22"/>
              <w:szCs w:val="40"/>
              <w:highlight w:val="none"/>
            </w:rPr>
            <w:fldChar w:fldCharType="end"/>
          </w:r>
          <w:r/>
        </w:p>
        <w:p>
          <w:pPr>
            <w:pStyle w:val="1234"/>
            <w:spacing w:line="360" w:lineRule="auto"/>
            <w:tabs>
              <w:tab w:val="right" w:pos="8910" w:leader="dot"/>
            </w:tabs>
            <w:rPr>
              <w:color w:val="auto"/>
              <w:sz w:val="22"/>
              <w:szCs w:val="21"/>
              <w:highlight w:val="none"/>
            </w:rPr>
          </w:pPr>
          <w:r>
            <w:rPr>
              <w:rFonts w:hint="eastAsia" w:ascii="宋体" w:hAnsi="宋体" w:eastAsia="宋体" w:cs="宋体"/>
              <w:bCs/>
              <w:color w:val="auto"/>
              <w:sz w:val="22"/>
              <w:szCs w:val="40"/>
              <w:highlight w:val="none"/>
            </w:rPr>
            <w:fldChar w:fldCharType="begin"/>
          </w:r>
          <w:r>
            <w:rPr>
              <w:rFonts w:hint="eastAsia" w:ascii="宋体" w:hAnsi="宋体" w:eastAsia="宋体" w:cs="宋体"/>
              <w:bCs/>
              <w:color w:val="auto"/>
              <w:sz w:val="22"/>
              <w:szCs w:val="40"/>
              <w:highlight w:val="none"/>
            </w:rPr>
            <w:instrText xml:space="preserve"> HYPERLINK \l _Toc4544 </w:instrText>
          </w:r>
          <w:r>
            <w:rPr>
              <w:rFonts w:hint="eastAsia" w:ascii="宋体" w:hAnsi="宋体" w:eastAsia="宋体" w:cs="宋体"/>
              <w:bCs/>
              <w:color w:val="auto"/>
              <w:sz w:val="22"/>
              <w:szCs w:val="40"/>
              <w:highlight w:val="none"/>
            </w:rPr>
            <w:fldChar w:fldCharType="separate"/>
          </w:r>
          <w:r>
            <w:rPr>
              <w:rFonts w:hint="eastAsia"/>
              <w:bCs/>
              <w:color w:val="auto"/>
              <w:sz w:val="22"/>
              <w:szCs w:val="22"/>
              <w:highlight w:val="none"/>
            </w:rPr>
            <w:t xml:space="preserve">第五章 拟签订的合同文本</w:t>
          </w:r>
          <w:r>
            <w:rPr>
              <w:color w:val="auto"/>
              <w:sz w:val="22"/>
              <w:szCs w:val="21"/>
              <w:highlight w:val="none"/>
            </w:rPr>
            <w:tab/>
          </w:r>
          <w:r>
            <w:rPr>
              <w:color w:val="auto"/>
              <w:sz w:val="22"/>
              <w:szCs w:val="21"/>
              <w:highlight w:val="none"/>
            </w:rPr>
            <w:fldChar w:fldCharType="begin"/>
          </w:r>
          <w:r>
            <w:rPr>
              <w:color w:val="auto"/>
              <w:sz w:val="22"/>
              <w:szCs w:val="21"/>
              <w:highlight w:val="none"/>
            </w:rPr>
            <w:instrText xml:space="preserve"> PAGEREF _Toc4544 \h </w:instrText>
          </w:r>
          <w:r>
            <w:rPr>
              <w:color w:val="auto"/>
              <w:sz w:val="22"/>
              <w:szCs w:val="21"/>
              <w:highlight w:val="none"/>
            </w:rPr>
            <w:fldChar w:fldCharType="separate"/>
          </w:r>
          <w:r>
            <w:rPr>
              <w:color w:val="auto"/>
              <w:sz w:val="22"/>
              <w:szCs w:val="21"/>
              <w:highlight w:val="none"/>
            </w:rPr>
            <w:t xml:space="preserve">40</w:t>
          </w:r>
          <w:r>
            <w:rPr>
              <w:color w:val="auto"/>
              <w:sz w:val="22"/>
              <w:szCs w:val="21"/>
              <w:highlight w:val="none"/>
            </w:rPr>
            <w:fldChar w:fldCharType="end"/>
          </w:r>
          <w:r>
            <w:rPr>
              <w:rFonts w:hint="eastAsia" w:ascii="宋体" w:hAnsi="宋体" w:eastAsia="宋体" w:cs="宋体"/>
              <w:bCs/>
              <w:color w:val="auto"/>
              <w:sz w:val="22"/>
              <w:szCs w:val="40"/>
              <w:highlight w:val="none"/>
            </w:rPr>
            <w:fldChar w:fldCharType="end"/>
          </w:r>
          <w:r/>
        </w:p>
        <w:p>
          <w:pPr>
            <w:ind w:left="1572" w:right="1933"/>
            <w:jc w:val="center"/>
            <w:spacing w:line="357" w:lineRule="auto"/>
            <w:rPr>
              <w:rFonts w:hint="eastAsia" w:ascii="宋体" w:hAnsi="宋体" w:eastAsia="宋体" w:cs="宋体"/>
              <w:bCs/>
              <w:color w:val="auto"/>
              <w:sz w:val="21"/>
              <w:szCs w:val="36"/>
              <w:highlight w:val="none"/>
              <w:lang w:val="en-US" w:eastAsia="zh-CN" w:bidi="ar-SA"/>
            </w:rPr>
          </w:pPr>
          <w:r>
            <w:rPr>
              <w:rFonts w:hint="eastAsia" w:ascii="宋体" w:hAnsi="宋体" w:eastAsia="宋体" w:cs="宋体"/>
              <w:bCs/>
              <w:color w:val="auto"/>
              <w:sz w:val="22"/>
              <w:szCs w:val="40"/>
              <w:highlight w:val="none"/>
            </w:rPr>
            <w:fldChar w:fldCharType="end"/>
          </w:r>
          <w:r/>
        </w:p>
      </w:sdtContent>
    </w:sdt>
    <w:p>
      <w:pPr>
        <w:ind w:left="1572" w:right="1933"/>
        <w:jc w:val="center"/>
        <w:spacing w:line="357" w:lineRule="auto"/>
        <w:rPr>
          <w:rFonts w:hint="eastAsia" w:ascii="宋体" w:hAnsi="宋体" w:eastAsia="宋体" w:cs="宋体"/>
          <w:bCs/>
          <w:color w:val="auto"/>
          <w:sz w:val="21"/>
          <w:szCs w:val="36"/>
          <w:highlight w:val="none"/>
          <w:lang w:val="en-US" w:eastAsia="zh-CN" w:bidi="ar-SA"/>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eastAsia="宋体" w:cs="宋体"/>
          <w:bCs/>
          <w:color w:val="auto"/>
          <w:sz w:val="21"/>
          <w:szCs w:val="36"/>
          <w:highlight w:val="none"/>
          <w:lang w:val="en-US" w:eastAsia="zh-CN" w:bidi="ar-SA"/>
        </w:rPr>
      </w:r>
      <w:r/>
    </w:p>
    <w:p>
      <w:pPr>
        <w:spacing w:line="440" w:lineRule="exact"/>
        <w:rPr>
          <w:rFonts w:hint="eastAsia" w:ascii="宋体" w:hAnsi="宋体" w:cs="宋体"/>
          <w:bCs/>
          <w:color w:val="auto"/>
          <w:highlight w:val="none"/>
        </w:rPr>
      </w:pPr>
      <w:r>
        <w:rPr>
          <w:rFonts w:hint="eastAsia" w:ascii="宋体" w:hAnsi="宋体" w:cs="宋体"/>
          <w:bCs/>
          <w:color w:val="auto"/>
          <w:highlight w:val="none"/>
        </w:rPr>
      </w:r>
      <w:r/>
    </w:p>
    <w:p>
      <w:pPr>
        <w:numPr>
          <w:ilvl w:val="0"/>
          <w:numId w:val="0"/>
        </w:numPr>
        <w:jc w:val="center"/>
        <w:spacing w:line="360" w:lineRule="auto"/>
        <w:rPr>
          <w:rFonts w:hint="eastAsia" w:ascii="宋体" w:hAnsi="宋体" w:cs="宋体"/>
          <w:b/>
          <w:color w:val="auto"/>
          <w:sz w:val="28"/>
          <w:szCs w:val="28"/>
          <w:highlight w:val="none"/>
        </w:rPr>
        <w:outlineLvl w:val="0"/>
      </w:pPr>
      <w:r/>
      <w:bookmarkStart w:id="4" w:name="_Toc23765"/>
      <w:r/>
      <w:bookmarkStart w:id="5" w:name="_Toc20619"/>
      <w:r/>
      <w:bookmarkStart w:id="6" w:name="_Toc1826"/>
      <w:r/>
      <w:bookmarkStart w:id="7" w:name="_Toc4696384"/>
      <w:r/>
      <w:bookmarkStart w:id="8" w:name="_Toc11991"/>
      <w:r/>
      <w:bookmarkStart w:id="9" w:name="_Toc15509"/>
      <w:r/>
      <w:bookmarkStart w:id="10" w:name="_Toc13535"/>
      <w:r/>
      <w:bookmarkStart w:id="11" w:name="_Toc24606"/>
      <w:r/>
      <w:bookmarkStart w:id="12" w:name="_Toc22298"/>
      <w:r/>
      <w:bookmarkStart w:id="13" w:name="_Toc7777"/>
      <w:r/>
      <w:bookmarkStart w:id="14" w:name="_Toc19726"/>
      <w:r/>
      <w:bookmarkStart w:id="15" w:name="_Toc20112"/>
      <w:r>
        <w:rPr>
          <w:rFonts w:hint="eastAsia" w:ascii="宋体" w:hAnsi="宋体" w:cs="宋体"/>
          <w:b/>
          <w:color w:val="auto"/>
          <w:sz w:val="28"/>
          <w:szCs w:val="28"/>
          <w:highlight w:val="none"/>
          <w:lang w:val="en-US" w:eastAsia="zh-CN"/>
        </w:rPr>
        <w:t xml:space="preserve">第一章 </w:t>
      </w:r>
      <w:r>
        <w:rPr>
          <w:rFonts w:hint="eastAsia" w:ascii="宋体" w:hAnsi="宋体" w:cs="宋体"/>
          <w:b/>
          <w:color w:val="auto"/>
          <w:sz w:val="28"/>
          <w:szCs w:val="28"/>
          <w:highlight w:val="none"/>
        </w:rPr>
        <w:t xml:space="preserve">招标公告</w:t>
      </w:r>
      <w:bookmarkEnd w:id="4"/>
      <w:r/>
      <w:bookmarkEnd w:id="5"/>
      <w:r/>
      <w:bookmarkEnd w:id="6"/>
      <w:r/>
      <w:bookmarkEnd w:id="7"/>
      <w:r/>
      <w:r/>
    </w:p>
    <w:p>
      <w:pPr>
        <w:spacing w:line="360" w:lineRule="auto"/>
        <w:rPr>
          <w:rFonts w:hint="eastAsia" w:ascii="宋体" w:hAnsi="宋体" w:cs="宋体"/>
          <w:b/>
          <w:bCs/>
          <w:color w:val="auto"/>
          <w:szCs w:val="21"/>
          <w:highlight w:val="none"/>
        </w:rPr>
      </w:pPr>
      <w:r/>
      <w:bookmarkStart w:id="16" w:name="_Toc21304"/>
      <w:r>
        <w:rPr>
          <w:rFonts w:hint="eastAsia" w:ascii="宋体" w:hAnsi="宋体" w:cs="宋体"/>
          <w:b/>
          <w:bCs/>
          <w:color w:val="auto"/>
          <w:szCs w:val="21"/>
          <w:highlight w:val="none"/>
        </w:rPr>
        <w:t xml:space="preserve">项目概况</w:t>
      </w:r>
      <w:bookmarkEnd w:id="16"/>
      <w:r/>
      <w:r/>
    </w:p>
    <w:p>
      <w:pPr>
        <w:ind w:firstLine="420"/>
        <w:spacing w:line="360" w:lineRule="auto"/>
        <w:rPr>
          <w:rFonts w:hint="eastAsia" w:ascii="宋体" w:hAnsi="宋体" w:cs="宋体"/>
          <w:color w:val="auto"/>
          <w:szCs w:val="21"/>
          <w:highlight w:val="none"/>
          <w:u w:val="single"/>
        </w:rPr>
        <w:pBdr>
          <w:top w:val="single" w:color="auto" w:sz="4" w:space="0"/>
          <w:left w:val="single" w:color="auto" w:sz="4" w:space="0"/>
          <w:bottom w:val="single" w:color="auto" w:sz="4" w:space="0"/>
          <w:right w:val="single" w:color="auto" w:sz="4" w:space="0"/>
        </w:pBdr>
      </w:pPr>
      <w:r/>
      <w:bookmarkStart w:id="17" w:name="_Toc20859"/>
      <w:r/>
      <w:bookmarkStart w:id="18" w:name="_Toc35393790"/>
      <w:r/>
      <w:bookmarkStart w:id="19" w:name="_Toc28359079"/>
      <w:r/>
      <w:bookmarkStart w:id="20" w:name="_Toc15613"/>
      <w:r/>
      <w:bookmarkStart w:id="21" w:name="_Toc28359002"/>
      <w:r/>
      <w:bookmarkStart w:id="22" w:name="_Hlk24379207"/>
      <w:r/>
      <w:bookmarkStart w:id="23" w:name="_Toc35393621"/>
      <w:r>
        <w:rPr>
          <w:rFonts w:hint="eastAsia" w:ascii="宋体" w:hAnsi="宋体" w:cs="宋体"/>
          <w:color w:val="auto"/>
          <w:szCs w:val="21"/>
          <w:highlight w:val="none"/>
          <w:u w:val="single"/>
          <w:lang w:eastAsia="zh-CN"/>
        </w:rPr>
        <w:t xml:space="preserve">江苏省特检院试验机类设备采购</w:t>
      </w:r>
      <w:r>
        <w:rPr>
          <w:rFonts w:hint="eastAsia" w:ascii="宋体" w:hAnsi="宋体" w:cs="宋体"/>
          <w:color w:val="auto"/>
          <w:szCs w:val="21"/>
          <w:highlight w:val="none"/>
          <w:u w:val="single"/>
        </w:rPr>
        <w:t xml:space="preserve">的潜在投标人应在</w:t>
      </w:r>
      <w:r>
        <w:rPr>
          <w:rFonts w:hint="eastAsia" w:ascii="宋体" w:hAnsi="宋体" w:eastAsia="宋体" w:cs="宋体"/>
          <w:color w:val="auto"/>
          <w:szCs w:val="21"/>
          <w:highlight w:val="none"/>
          <w:u w:val="single"/>
        </w:rPr>
        <w:t xml:space="preserve">“苏采云”系统内免费下载</w:t>
      </w:r>
      <w:r>
        <w:rPr>
          <w:rFonts w:hint="eastAsia" w:ascii="宋体" w:hAnsi="宋体" w:cs="宋体"/>
          <w:color w:val="auto"/>
          <w:szCs w:val="21"/>
          <w:highlight w:val="none"/>
          <w:u w:val="single"/>
        </w:rPr>
        <w:t xml:space="preserve">招标文件，并于</w:t>
      </w:r>
      <w:r>
        <w:rPr>
          <w:rFonts w:hint="eastAsia" w:ascii="宋体" w:hAnsi="宋体" w:cs="宋体"/>
          <w:color w:val="auto"/>
          <w:szCs w:val="21"/>
          <w:highlight w:val="none"/>
          <w:u w:val="single"/>
          <w:lang w:eastAsia="zh-CN"/>
        </w:rPr>
        <w:t xml:space="preserve">2026年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21</w:t>
      </w:r>
      <w:r>
        <w:rPr>
          <w:rFonts w:hint="eastAsia" w:ascii="宋体" w:hAnsi="宋体" w:cs="宋体"/>
          <w:color w:val="auto"/>
          <w:szCs w:val="21"/>
          <w:highlight w:val="none"/>
          <w:u w:val="single"/>
        </w:rPr>
        <w:t xml:space="preserve">日09点30分（北京时间）前递交投标文件。</w:t>
      </w:r>
      <w:bookmarkEnd w:id="17"/>
      <w:r/>
      <w:bookmarkEnd w:id="18"/>
      <w:r/>
      <w:bookmarkEnd w:id="19"/>
      <w:r/>
      <w:bookmarkEnd w:id="20"/>
      <w:r/>
      <w:bookmarkEnd w:id="21"/>
      <w:r/>
      <w:bookmarkEnd w:id="22"/>
      <w:r/>
      <w:bookmarkEnd w:id="23"/>
      <w:r/>
      <w:r/>
    </w:p>
    <w:p>
      <w:pPr>
        <w:pStyle w:val="1200"/>
        <w:spacing w:before="0" w:after="0" w:line="360" w:lineRule="auto"/>
        <w:rPr>
          <w:rFonts w:hint="eastAsia" w:ascii="宋体" w:hAnsi="宋体" w:eastAsia="宋体" w:cs="宋体"/>
          <w:bCs w:val="0"/>
          <w:color w:val="auto"/>
          <w:sz w:val="21"/>
          <w:szCs w:val="21"/>
          <w:highlight w:val="none"/>
        </w:rPr>
      </w:pPr>
      <w:r/>
      <w:bookmarkStart w:id="24" w:name="_Toc975"/>
      <w:r/>
      <w:bookmarkStart w:id="25" w:name="_Toc8615"/>
      <w:r/>
      <w:bookmarkStart w:id="26" w:name="_Toc29932"/>
      <w:r/>
      <w:bookmarkStart w:id="27" w:name="_Toc31638"/>
      <w:r/>
      <w:bookmarkStart w:id="28" w:name="_Toc35393791"/>
      <w:r/>
      <w:bookmarkStart w:id="29" w:name="_Toc28359003"/>
      <w:r/>
      <w:bookmarkStart w:id="30" w:name="_Toc5396"/>
      <w:r/>
      <w:bookmarkStart w:id="31" w:name="_Toc35393622"/>
      <w:r/>
      <w:bookmarkStart w:id="32" w:name="_Toc3342"/>
      <w:r/>
      <w:bookmarkStart w:id="33" w:name="_Toc28359080"/>
      <w:r>
        <w:rPr>
          <w:rFonts w:hint="eastAsia" w:ascii="宋体" w:hAnsi="宋体" w:eastAsia="宋体" w:cs="宋体"/>
          <w:bCs w:val="0"/>
          <w:color w:val="auto"/>
          <w:sz w:val="21"/>
          <w:szCs w:val="21"/>
          <w:highlight w:val="none"/>
        </w:rPr>
        <w:t xml:space="preserve">一、项目基本情况</w:t>
      </w:r>
      <w:bookmarkEnd w:id="24"/>
      <w:r/>
      <w:bookmarkEnd w:id="25"/>
      <w:r/>
      <w:bookmarkEnd w:id="26"/>
      <w:r/>
      <w:r/>
    </w:p>
    <w:p>
      <w:pPr>
        <w:ind w:firstLine="21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JSZC-320000-NJJC-G2026-0124</w:t>
      </w:r>
      <w:r>
        <w:rPr>
          <w:rFonts w:hint="eastAsia" w:ascii="宋体" w:hAnsi="宋体" w:cs="宋体"/>
          <w:color w:val="auto"/>
          <w:szCs w:val="21"/>
          <w:highlight w:val="none"/>
          <w:lang w:val="en-US" w:eastAsia="zh-CN"/>
        </w:rPr>
        <w:t xml:space="preserve"> </w:t>
      </w:r>
      <w:r/>
    </w:p>
    <w:p>
      <w:pPr>
        <w:ind w:firstLine="21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江苏省特检院试验机类设备采购</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3、采购方式：公开招标</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4、预算金额：114.1万元，其中分包一预算：</w:t>
      </w:r>
      <w:r>
        <w:rPr>
          <w:rFonts w:hint="eastAsia" w:ascii="宋体" w:hAnsi="宋体" w:cs="宋体"/>
          <w:color w:val="auto"/>
          <w:szCs w:val="21"/>
          <w:highlight w:val="none"/>
          <w:lang w:val="en-US" w:eastAsia="zh-CN"/>
        </w:rPr>
        <w:t xml:space="preserve">58</w:t>
      </w:r>
      <w:r>
        <w:rPr>
          <w:rFonts w:hint="eastAsia" w:ascii="宋体" w:hAnsi="宋体" w:cs="宋体"/>
          <w:color w:val="auto"/>
          <w:szCs w:val="21"/>
          <w:highlight w:val="none"/>
        </w:rPr>
        <w:t xml:space="preserve">万元，分包二预算：</w:t>
      </w:r>
      <w:r>
        <w:rPr>
          <w:rFonts w:hint="eastAsia" w:ascii="宋体" w:hAnsi="宋体" w:cs="宋体"/>
          <w:color w:val="auto"/>
          <w:szCs w:val="21"/>
          <w:highlight w:val="none"/>
          <w:lang w:val="en-US" w:eastAsia="zh-CN"/>
        </w:rPr>
        <w:t xml:space="preserve">56.1</w:t>
      </w:r>
      <w:r>
        <w:rPr>
          <w:rFonts w:hint="eastAsia" w:ascii="宋体" w:hAnsi="宋体" w:cs="宋体"/>
          <w:color w:val="auto"/>
          <w:szCs w:val="21"/>
          <w:highlight w:val="none"/>
        </w:rPr>
        <w:t xml:space="preserve">万元</w:t>
      </w:r>
      <w:r/>
    </w:p>
    <w:p>
      <w:pPr>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5、最高总限价：114.1万元，其中分包一预算：58万元，分包二预算：56.1万元，</w:t>
      </w:r>
      <w:r>
        <w:rPr>
          <w:rFonts w:hint="eastAsia" w:ascii="宋体" w:hAnsi="宋体" w:cs="宋体"/>
          <w:b/>
          <w:color w:val="auto"/>
          <w:szCs w:val="21"/>
          <w:highlight w:val="none"/>
        </w:rPr>
        <w:t xml:space="preserve">投标人所投报价不得超过所对应的分项最高限价，超过对应分项的最高限价将作无效投标处理。</w:t>
      </w:r>
      <w:r/>
    </w:p>
    <w:p>
      <w:pPr>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6、采购需求：</w:t>
      </w:r>
      <w:r/>
    </w:p>
    <w:tbl>
      <w:tblPr>
        <w:tblStyle w:val="1209"/>
        <w:tblW w:w="9900" w:type="dxa"/>
        <w:tblInd w:w="113" w:type="dxa"/>
        <w:tblLayout w:type="fixed"/>
        <w:tblCellMar>
          <w:left w:w="108" w:type="dxa"/>
          <w:top w:w="0" w:type="dxa"/>
          <w:right w:w="108" w:type="dxa"/>
          <w:bottom w:w="0" w:type="dxa"/>
        </w:tblCellMar>
        <w:tblLook w:val="04A0" w:firstRow="1" w:lastRow="0" w:firstColumn="1" w:lastColumn="0" w:noHBand="0" w:noVBand="1"/>
      </w:tblPr>
      <w:tblGrid>
        <w:gridCol w:w="655"/>
        <w:gridCol w:w="1426"/>
        <w:gridCol w:w="1059"/>
        <w:gridCol w:w="1518"/>
        <w:gridCol w:w="1292"/>
        <w:gridCol w:w="2083"/>
        <w:gridCol w:w="967"/>
        <w:gridCol w:w="900"/>
      </w:tblGrid>
      <w:tr>
        <w:trPr>
          <w:trHeight w:val="493"/>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设备名称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数量(台/套)</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简要技术要求</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bCs/>
                <w:color w:val="auto"/>
                <w:szCs w:val="21"/>
                <w:highlight w:val="none"/>
              </w:rPr>
              <w:t xml:space="preserve">（万元/人民币）</w:t>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合同履行期</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是否接受进口产品</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备注</w:t>
            </w:r>
            <w:r/>
          </w:p>
        </w:tc>
      </w:tr>
      <w:tr>
        <w:trPr>
          <w:trHeight w:val="651"/>
        </w:trPr>
        <w:tc>
          <w:tcPr>
            <w:tcBorders>
              <w:top w:val="none" w:color="000000" w:sz="4" w:space="0"/>
              <w:left w:val="single" w:color="auto" w:sz="4" w:space="0"/>
              <w:bottom w:val="single" w:color="auto" w:sz="4" w:space="0"/>
              <w:right w:val="single" w:color="auto" w:sz="4" w:space="0"/>
            </w:tcBorders>
            <w:tcW w:w="655"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分包一</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微机控制拉力试验机</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3.50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微机控制原位拉伸试验机</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8.00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拉伸试验自动标距仪</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钢丝反复弯曲试验机</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4.80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密封非金属材料高低温大变形力学</w:t>
            </w:r>
            <w:r>
              <w:rPr>
                <w:rFonts w:hint="eastAsia" w:ascii="宋体" w:hAnsi="宋体" w:cs="宋体"/>
                <w:color w:val="auto"/>
                <w:szCs w:val="21"/>
                <w:highlight w:val="none"/>
                <w:lang w:val="en-US" w:eastAsia="zh-CN"/>
              </w:rPr>
              <w:t xml:space="preserve">测试</w:t>
            </w:r>
            <w:r>
              <w:rPr>
                <w:rFonts w:hint="eastAsia" w:ascii="宋体" w:hAnsi="宋体" w:cs="宋体"/>
                <w:color w:val="auto"/>
                <w:szCs w:val="21"/>
                <w:highlight w:val="none"/>
                <w:lang w:eastAsia="zh-CN"/>
              </w:rPr>
              <w:t xml:space="preserve">系统</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19.00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核心产品</w:t>
            </w:r>
            <w:r/>
          </w:p>
        </w:tc>
      </w:tr>
      <w:tr>
        <w:trPr>
          <w:trHeight w:val="493"/>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激光跟踪仪反射球</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19.8</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rHeight w:val="525"/>
        </w:trPr>
        <w:tc>
          <w:tcPr>
            <w:tcBorders>
              <w:top w:val="none" w:color="000000" w:sz="4" w:space="0"/>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漏电开关测试仪</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0.40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86"/>
        </w:trPr>
        <w:tc>
          <w:tcPr>
            <w:tcBorders>
              <w:top w:val="none" w:color="000000" w:sz="4" w:space="0"/>
              <w:left w:val="single" w:color="auto" w:sz="4" w:space="0"/>
              <w:bottom w:val="single" w:color="auto" w:sz="4" w:space="0"/>
              <w:right w:val="single" w:color="auto" w:sz="4" w:space="0"/>
            </w:tcBorders>
            <w:tcW w:w="655"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分包二</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两箱式冷热冲击箱</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17.00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核心产品</w:t>
            </w:r>
            <w:r/>
          </w:p>
        </w:tc>
      </w:tr>
      <w:tr>
        <w:trPr>
          <w:trHeight w:val="96"/>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火烧试验机</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2.00</w:t>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4"/>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冲击试验低温仪A</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7.00</w:t>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251"/>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冲击试验低温仪B</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4.00</w:t>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95"/>
        </w:trPr>
        <w:tc>
          <w:tcPr>
            <w:tcBorders>
              <w:left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热变形维卡软化试验机</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10.00</w:t>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279"/>
        </w:trPr>
        <w:tc>
          <w:tcPr>
            <w:tcBorders>
              <w:top w:val="none" w:color="000000" w:sz="4" w:space="0"/>
              <w:left w:val="single" w:color="auto" w:sz="4" w:space="0"/>
              <w:bottom w:val="none" w:color="000000"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盐雾试验箱A</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2.40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279"/>
        </w:trPr>
        <w:tc>
          <w:tcPr>
            <w:tcBorders>
              <w:top w:val="none" w:color="000000" w:sz="4" w:space="0"/>
              <w:left w:val="single" w:color="auto" w:sz="4" w:space="0"/>
              <w:bottom w:val="none" w:color="000000"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盐雾试验箱B</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4.80</w:t>
            </w:r>
            <w:r/>
          </w:p>
        </w:tc>
        <w:tc>
          <w:tcPr>
            <w:tcBorders>
              <w:top w:val="none" w:color="000000"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243"/>
        </w:trPr>
        <w:tc>
          <w:tcPr>
            <w:tcBorders>
              <w:left w:val="single" w:color="auto" w:sz="4" w:space="0"/>
              <w:bottom w:val="single" w:color="auto" w:sz="4" w:space="0"/>
              <w:right w:val="single" w:color="auto" w:sz="4" w:space="0"/>
            </w:tcBorders>
            <w:tcW w:w="655"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转矩转速传感器</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2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8.90</w:t>
            </w:r>
            <w:r/>
          </w:p>
        </w:tc>
        <w:tc>
          <w:tcPr>
            <w:tcBorders>
              <w:top w:val="single" w:color="auto" w:sz="4" w:space="0"/>
              <w:left w:val="none" w:color="000000" w:sz="4" w:space="0"/>
              <w:bottom w:val="single" w:color="auto" w:sz="4" w:space="0"/>
              <w:right w:val="single" w:color="auto" w:sz="4" w:space="0"/>
            </w:tcBorders>
            <w:tcW w:w="208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96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ind w:firstLine="210"/>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备注：本项目</w:t>
      </w:r>
      <w:r>
        <w:rPr>
          <w:rFonts w:hint="eastAsia" w:ascii="宋体" w:hAnsi="宋体" w:eastAsia="宋体" w:cs="宋体"/>
          <w:b/>
          <w:bCs/>
          <w:color w:val="auto"/>
          <w:szCs w:val="21"/>
          <w:highlight w:val="none"/>
          <w:lang w:val="en-US" w:eastAsia="zh-CN"/>
        </w:rPr>
        <w:t xml:space="preserve">同一投标人可以同时参加2个分包，</w:t>
      </w:r>
      <w:r>
        <w:rPr>
          <w:rFonts w:hint="eastAsia" w:ascii="宋体" w:hAnsi="宋体" w:cs="宋体"/>
          <w:b/>
          <w:bCs/>
          <w:color w:val="auto"/>
          <w:szCs w:val="21"/>
          <w:highlight w:val="none"/>
        </w:rPr>
        <w:t xml:space="preserve">采用兼投</w:t>
      </w:r>
      <w:r>
        <w:rPr>
          <w:rFonts w:hint="eastAsia" w:ascii="宋体" w:hAnsi="宋体" w:cs="宋体"/>
          <w:b/>
          <w:bCs/>
          <w:color w:val="auto"/>
          <w:szCs w:val="21"/>
          <w:highlight w:val="none"/>
          <w:lang w:val="en-US" w:eastAsia="zh-CN"/>
        </w:rPr>
        <w:t xml:space="preserve">不</w:t>
      </w:r>
      <w:r>
        <w:rPr>
          <w:rFonts w:hint="eastAsia" w:ascii="宋体" w:hAnsi="宋体" w:cs="宋体"/>
          <w:b/>
          <w:bCs/>
          <w:color w:val="auto"/>
          <w:szCs w:val="21"/>
          <w:highlight w:val="none"/>
        </w:rPr>
        <w:t xml:space="preserve">兼中的方式选择中标人，本项目评标委员会按照分包升序：分包一、分包二顺序依次逐个进行评审，并按照得分由高到低的顺序推荐中标候选人，并标明排序</w:t>
      </w:r>
      <w:r>
        <w:rPr>
          <w:rFonts w:hint="eastAsia" w:ascii="宋体" w:hAnsi="宋体" w:cs="宋体"/>
          <w:b/>
          <w:bCs/>
          <w:color w:val="auto"/>
          <w:szCs w:val="21"/>
          <w:highlight w:val="none"/>
          <w:lang w:eastAsia="zh-CN"/>
        </w:rPr>
        <w:t xml:space="preserve">，若投标供应商在前面任意一个分包中已经被推荐为第一中标候选人，则在后续分包中继续参与评审但不被推荐为中标候选人。</w:t>
      </w:r>
      <w:r/>
    </w:p>
    <w:p>
      <w:pPr>
        <w:ind w:firstLine="21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7、本项目不接受联合体投标</w:t>
      </w:r>
      <w:r>
        <w:rPr>
          <w:rFonts w:hint="eastAsia" w:ascii="宋体" w:hAnsi="宋体" w:cs="宋体"/>
          <w:color w:val="auto"/>
          <w:szCs w:val="21"/>
          <w:highlight w:val="none"/>
          <w:lang w:eastAsia="zh-CN"/>
        </w:rPr>
        <w:t xml:space="preserve">。</w:t>
      </w:r>
      <w:r/>
    </w:p>
    <w:p>
      <w:pPr>
        <w:ind w:left="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8、集中考察：不组织</w:t>
      </w:r>
      <w:r/>
    </w:p>
    <w:p>
      <w:pPr>
        <w:ind w:left="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9、所属行业：工业</w:t>
      </w:r>
      <w:r/>
    </w:p>
    <w:p>
      <w:pPr>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注：投标人所投报价不得超过所对应的分项控制价，超过对应分项的控制价将作无效投标处理。</w:t>
      </w:r>
      <w:r/>
    </w:p>
    <w:p>
      <w:pPr>
        <w:numPr>
          <w:ilvl w:val="0"/>
          <w:numId w:val="2"/>
        </w:numPr>
        <w:jc w:val="left"/>
        <w:spacing w:line="360"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申请人的资格要求（分包一/分包二）：</w:t>
      </w:r>
      <w:bookmarkEnd w:id="27"/>
      <w:r/>
      <w:bookmarkEnd w:id="28"/>
      <w:r/>
      <w:bookmarkEnd w:id="29"/>
      <w:r/>
      <w:bookmarkEnd w:id="30"/>
      <w:r/>
      <w:bookmarkEnd w:id="31"/>
      <w:r/>
      <w:bookmarkEnd w:id="32"/>
      <w:r/>
      <w:bookmarkEnd w:id="33"/>
      <w:r/>
      <w:bookmarkStart w:id="34" w:name="_Toc193"/>
      <w:r/>
      <w:bookmarkStart w:id="35" w:name="_Toc13065"/>
      <w:r/>
      <w:bookmarkStart w:id="36" w:name="_Toc6688"/>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2.1.满足《中华人民共和国政府采购法》第二十二条规定；</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（1）具有独立承担民事责任的能力（提供法人或者其他组织的营业执照，自然人的身份证明）；</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具有良好的商业信誉和健全的财务会计制度（提供以下三种材料的任意一种扫描件加盖公章）：①上一年度的经第三方会计师事务所审计的财务报告扫描件（包括报告及报表等内容，并由注册会计师签名、盖章以及会计师事务所盖章）；②提交投标文件截止日前六个月内基本开户银行出具的资信证明；③提交投标文件截止时间前六个月内任意一个月的财务状况记录（至少包括资产负债表和损益表，并加盖公章）。（3）具有履行合同所必需的设备和专业技术能力（根据项目需求提供履行合同所必需的设备和专业技术能力的声明或证明材料加盖公章）；</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加盖公章，自拟文件无效】；</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（5）参加本次采购活动前三年内，在经营活动中没有重大违法记录（提供参加本次采购活动前三年内在经营活动中没有重大违法记录的书面声明加盖公章）；</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（6）法律、行政法规规定的其他条件。</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2.2 落实政府采购政策需满足的资格要求：</w:t>
      </w:r>
      <w:r>
        <w:rPr>
          <w:rFonts w:hint="eastAsia" w:ascii="宋体" w:hAnsi="宋体" w:eastAsia="宋体" w:cs="宋体"/>
          <w:b/>
          <w:bCs w:val="0"/>
          <w:color w:val="auto"/>
          <w:sz w:val="21"/>
          <w:szCs w:val="21"/>
          <w:highlight w:val="none"/>
        </w:rPr>
        <w:t xml:space="preserve">本项目非专门面向中小企业采购</w:t>
      </w:r>
      <w:r>
        <w:rPr>
          <w:rFonts w:hint="eastAsia" w:ascii="宋体" w:hAnsi="宋体" w:eastAsia="宋体" w:cs="宋体"/>
          <w:b w:val="0"/>
          <w:color w:val="auto"/>
          <w:sz w:val="21"/>
          <w:szCs w:val="21"/>
          <w:highlight w:val="none"/>
        </w:rPr>
        <w:t xml:space="preserve">。</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2.3.本项目的特定资格要求：无。</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4</w:t>
      </w:r>
      <w:r>
        <w:rPr>
          <w:rFonts w:hint="eastAsia" w:ascii="宋体" w:hAnsi="宋体" w:cs="宋体"/>
          <w:b w:val="0"/>
          <w:color w:val="auto"/>
          <w:sz w:val="21"/>
          <w:szCs w:val="21"/>
          <w:highlight w:val="none"/>
          <w:lang w:val="en-US" w:eastAsia="zh-CN"/>
        </w:rPr>
        <w:t xml:space="preserve">.</w:t>
      </w:r>
      <w:r>
        <w:rPr>
          <w:rFonts w:hint="eastAsia" w:ascii="宋体" w:hAnsi="宋体" w:eastAsia="宋体" w:cs="宋体"/>
          <w:b w:val="0"/>
          <w:color w:val="auto"/>
          <w:sz w:val="21"/>
          <w:szCs w:val="21"/>
          <w:highlight w:val="none"/>
        </w:rPr>
        <w:t xml:space="preserve">拒绝下述供应商参加本次采购活动的情形：</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（1）供应商单位负责人为同一人或者存在直接控股、管理关系的不同供应商，不得参加同一合同项下的政府采购活动。</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（2）凡为采购项目提供整体设计、规范编制或者项目管理、监理、检测等服务的供应商，不得再参加本项目的采购活动。</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（3）拒绝列入失信被执行人、重大税收违法案件当事人名单、政府采购严重违法失信行为记录名单的供应商参与政府采购活动。</w:t>
      </w:r>
      <w:r/>
    </w:p>
    <w:p>
      <w:pPr>
        <w:numPr>
          <w:ilvl w:val="0"/>
          <w:numId w:val="0"/>
        </w:numPr>
        <w:jc w:val="left"/>
        <w:spacing w:line="360" w:lineRule="auto"/>
        <w:widowControl/>
        <w:rPr>
          <w:rFonts w:hint="eastAsia" w:ascii="宋体" w:hAnsi="宋体" w:eastAsia="宋体" w:cs="宋体"/>
          <w:b w:val="0"/>
          <w:color w:val="auto"/>
          <w:sz w:val="21"/>
          <w:szCs w:val="21"/>
          <w:highlight w:val="none"/>
        </w:rPr>
      </w:pPr>
      <w:r>
        <w:rPr>
          <w:rFonts w:hint="eastAsia" w:ascii="宋体" w:hAnsi="宋体" w:cs="宋体"/>
          <w:b w:val="0"/>
          <w:color w:val="auto"/>
          <w:sz w:val="21"/>
          <w:szCs w:val="21"/>
          <w:highlight w:val="none"/>
          <w:lang w:val="en-US" w:eastAsia="zh-CN"/>
        </w:rPr>
        <w:t xml:space="preserve">2.5</w:t>
      </w:r>
      <w:r>
        <w:rPr>
          <w:rFonts w:hint="eastAsia" w:ascii="宋体" w:hAnsi="宋体" w:eastAsia="宋体" w:cs="宋体"/>
          <w:b w:val="0"/>
          <w:color w:val="auto"/>
          <w:sz w:val="21"/>
          <w:szCs w:val="21"/>
          <w:highlight w:val="none"/>
        </w:rPr>
        <w:t xml:space="preserve">中标后不允许转包、分包。</w:t>
      </w:r>
      <w:r/>
    </w:p>
    <w:p>
      <w:pPr>
        <w:numPr>
          <w:ilvl w:val="0"/>
          <w:numId w:val="0"/>
        </w:numPr>
        <w:jc w:val="left"/>
        <w:spacing w:line="360"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三、获取招标文件</w:t>
      </w:r>
      <w:bookmarkEnd w:id="34"/>
      <w:r/>
      <w:bookmarkEnd w:id="35"/>
      <w:r/>
      <w:bookmarkEnd w:id="36"/>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left="220" w:hanging="1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3.2地点：“苏采云”系统内免费下载（投标人必须在苏采云系统中获取采购文件，方能参与本次政府采购项目）</w:t>
      </w:r>
      <w:r/>
    </w:p>
    <w:p>
      <w:pPr>
        <w:ind w:left="220" w:hanging="1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3.3方式：苏采云系统注册登记成功后系统内免费下载。</w:t>
      </w:r>
      <w:r/>
    </w:p>
    <w:p>
      <w:pPr>
        <w:ind w:left="220" w:hanging="1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3.4售价：0元。</w:t>
      </w:r>
      <w:r/>
    </w:p>
    <w:p>
      <w:pPr>
        <w:pStyle w:val="1200"/>
        <w:spacing w:before="0" w:after="0" w:line="360" w:lineRule="auto"/>
        <w:rPr>
          <w:rFonts w:hint="eastAsia" w:ascii="宋体" w:hAnsi="宋体" w:eastAsia="宋体" w:cs="宋体"/>
          <w:bCs w:val="0"/>
          <w:color w:val="auto"/>
          <w:sz w:val="21"/>
          <w:szCs w:val="21"/>
          <w:highlight w:val="none"/>
        </w:rPr>
      </w:pPr>
      <w:r/>
      <w:bookmarkStart w:id="37" w:name="_Toc29481"/>
      <w:r/>
      <w:bookmarkStart w:id="38" w:name="_Toc3667"/>
      <w:r/>
      <w:bookmarkStart w:id="39" w:name="_Toc18950"/>
      <w:r/>
      <w:bookmarkStart w:id="40" w:name="_Toc18434"/>
      <w:r/>
      <w:bookmarkStart w:id="41" w:name="_Toc698"/>
      <w:r>
        <w:rPr>
          <w:rFonts w:hint="eastAsia" w:ascii="宋体" w:hAnsi="宋体" w:eastAsia="宋体" w:cs="宋体"/>
          <w:bCs w:val="0"/>
          <w:color w:val="auto"/>
          <w:sz w:val="21"/>
          <w:szCs w:val="21"/>
          <w:highlight w:val="none"/>
        </w:rPr>
        <w:t xml:space="preserve">四、提交投标文件截止时间、开标时间和地点</w:t>
      </w:r>
      <w:bookmarkEnd w:id="37"/>
      <w:r/>
      <w:bookmarkEnd w:id="38"/>
      <w:r/>
      <w:bookmarkEnd w:id="39"/>
      <w:r/>
      <w:bookmarkEnd w:id="40"/>
      <w:r/>
      <w:bookmarkEnd w:id="41"/>
      <w:r/>
      <w:r/>
    </w:p>
    <w:p>
      <w:pPr>
        <w:ind w:firstLine="210"/>
        <w:spacing w:line="360" w:lineRule="auto"/>
        <w:rPr>
          <w:rFonts w:hint="eastAsia" w:ascii="宋体" w:hAnsi="宋体" w:cs="宋体"/>
          <w:bCs/>
          <w:color w:val="auto"/>
          <w:szCs w:val="21"/>
          <w:highlight w:val="none"/>
          <w:u w:val="none"/>
        </w:rPr>
      </w:pPr>
      <w:r/>
      <w:bookmarkStart w:id="42" w:name="_Toc35393794"/>
      <w:r/>
      <w:bookmarkStart w:id="43" w:name="_Toc35393625"/>
      <w:r/>
      <w:bookmarkStart w:id="44" w:name="_Toc28359007"/>
      <w:r/>
      <w:bookmarkStart w:id="45" w:name="_Toc28359084"/>
      <w:r>
        <w:rPr>
          <w:rFonts w:hint="eastAsia" w:ascii="宋体" w:hAnsi="宋体" w:cs="宋体"/>
          <w:bCs/>
          <w:color w:val="auto"/>
          <w:szCs w:val="21"/>
          <w:highlight w:val="none"/>
          <w:u w:val="none"/>
          <w:lang w:val="en-US" w:eastAsia="zh-CN"/>
        </w:rPr>
        <w:t xml:space="preserve">4.1</w:t>
      </w:r>
      <w:r>
        <w:rPr>
          <w:rFonts w:hint="eastAsia" w:ascii="宋体" w:hAnsi="宋体" w:cs="宋体"/>
          <w:bCs/>
          <w:color w:val="auto"/>
          <w:szCs w:val="21"/>
          <w:highlight w:val="none"/>
          <w:u w:val="none"/>
        </w:rPr>
        <w:t xml:space="preserve">提交投标文件截止时间、开标时间：2026年</w:t>
      </w:r>
      <w:r>
        <w:rPr>
          <w:rFonts w:hint="eastAsia" w:ascii="宋体" w:hAnsi="宋体" w:cs="宋体"/>
          <w:bCs/>
          <w:color w:val="auto"/>
          <w:szCs w:val="21"/>
          <w:highlight w:val="none"/>
          <w:u w:val="none"/>
          <w:lang w:val="en-US" w:eastAsia="zh-CN"/>
        </w:rPr>
        <w:t xml:space="preserve">9</w:t>
      </w:r>
      <w:r>
        <w:rPr>
          <w:rFonts w:hint="eastAsia" w:ascii="宋体" w:hAnsi="宋体" w:cs="宋体"/>
          <w:bCs/>
          <w:color w:val="auto"/>
          <w:szCs w:val="21"/>
          <w:highlight w:val="none"/>
          <w:u w:val="none"/>
        </w:rPr>
        <w:t xml:space="preserve">月2</w:t>
      </w:r>
      <w:r>
        <w:rPr>
          <w:rFonts w:hint="eastAsia" w:ascii="宋体" w:hAnsi="宋体" w:cs="宋体"/>
          <w:bCs/>
          <w:color w:val="auto"/>
          <w:szCs w:val="21"/>
          <w:highlight w:val="none"/>
          <w:u w:val="none"/>
          <w:lang w:val="en-US" w:eastAsia="zh-CN"/>
        </w:rPr>
        <w:t xml:space="preserve">1</w:t>
      </w:r>
      <w:r>
        <w:rPr>
          <w:rFonts w:hint="eastAsia" w:ascii="宋体" w:hAnsi="宋体" w:cs="宋体"/>
          <w:bCs/>
          <w:color w:val="auto"/>
          <w:szCs w:val="21"/>
          <w:highlight w:val="none"/>
          <w:u w:val="none"/>
        </w:rPr>
        <w:t xml:space="preserve">日09点30分（北京时间）</w:t>
      </w:r>
      <w:r/>
    </w:p>
    <w:p>
      <w:pPr>
        <w:ind w:firstLine="210"/>
        <w:spacing w:line="360" w:lineRule="auto"/>
        <w:rPr>
          <w:rFonts w:hint="eastAsia" w:ascii="宋体" w:hAnsi="宋体" w:cs="宋体"/>
          <w:bCs/>
          <w:color w:val="auto"/>
          <w:szCs w:val="21"/>
          <w:highlight w:val="none"/>
          <w:u w:val="none"/>
        </w:rPr>
      </w:pPr>
      <w:r>
        <w:rPr>
          <w:rFonts w:hint="eastAsia" w:ascii="宋体" w:hAnsi="宋体" w:cs="宋体"/>
          <w:bCs/>
          <w:color w:val="auto"/>
          <w:szCs w:val="21"/>
          <w:highlight w:val="none"/>
          <w:u w:val="none"/>
          <w:lang w:val="en-US" w:eastAsia="zh-CN"/>
        </w:rPr>
        <w:t xml:space="preserve">4.2</w:t>
      </w:r>
      <w:r>
        <w:rPr>
          <w:rFonts w:hint="eastAsia" w:ascii="宋体" w:hAnsi="宋体" w:cs="宋体"/>
          <w:bCs/>
          <w:color w:val="auto"/>
          <w:szCs w:val="21"/>
          <w:highlight w:val="none"/>
          <w:u w:val="none"/>
        </w:rPr>
        <w:t xml:space="preserve">地点：江苏省政府采购交易系统（以下简称“苏采云系统”）网上开标大厅</w:t>
      </w:r>
      <w:r/>
    </w:p>
    <w:p>
      <w:pPr>
        <w:pStyle w:val="1200"/>
        <w:spacing w:before="0" w:after="0" w:line="360" w:lineRule="auto"/>
        <w:rPr>
          <w:rFonts w:hint="eastAsia" w:ascii="宋体" w:hAnsi="宋体" w:eastAsia="宋体" w:cs="宋体"/>
          <w:bCs w:val="0"/>
          <w:color w:val="auto"/>
          <w:sz w:val="21"/>
          <w:szCs w:val="21"/>
          <w:highlight w:val="none"/>
        </w:rPr>
      </w:pPr>
      <w:r/>
      <w:bookmarkStart w:id="46" w:name="_Toc28374"/>
      <w:r/>
      <w:bookmarkStart w:id="47" w:name="_Toc2476"/>
      <w:r/>
      <w:bookmarkStart w:id="48" w:name="_Toc32448"/>
      <w:r/>
      <w:bookmarkStart w:id="49" w:name="_Toc27890"/>
      <w:r/>
      <w:bookmarkStart w:id="50" w:name="_Toc27623"/>
      <w:r>
        <w:rPr>
          <w:rFonts w:hint="eastAsia" w:ascii="宋体" w:hAnsi="宋体" w:eastAsia="宋体" w:cs="宋体"/>
          <w:bCs w:val="0"/>
          <w:color w:val="auto"/>
          <w:sz w:val="21"/>
          <w:szCs w:val="21"/>
          <w:highlight w:val="none"/>
        </w:rPr>
        <w:t xml:space="preserve">五、公告期限</w:t>
      </w:r>
      <w:bookmarkEnd w:id="42"/>
      <w:r/>
      <w:bookmarkEnd w:id="43"/>
      <w:r/>
      <w:bookmarkEnd w:id="44"/>
      <w:r/>
      <w:bookmarkEnd w:id="45"/>
      <w:r/>
      <w:bookmarkEnd w:id="46"/>
      <w:r/>
      <w:bookmarkEnd w:id="47"/>
      <w:r/>
      <w:bookmarkEnd w:id="48"/>
      <w:r/>
      <w:bookmarkEnd w:id="49"/>
      <w:r/>
      <w:bookmarkEnd w:id="50"/>
      <w:r/>
      <w:r/>
    </w:p>
    <w:p>
      <w:pPr>
        <w:ind w:left="210" w:firstLine="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1200"/>
        <w:spacing w:before="0" w:after="0" w:line="360" w:lineRule="auto"/>
        <w:rPr>
          <w:rFonts w:hint="eastAsia" w:ascii="宋体" w:hAnsi="宋体" w:eastAsia="宋体" w:cs="宋体"/>
          <w:bCs w:val="0"/>
          <w:color w:val="auto"/>
          <w:sz w:val="21"/>
          <w:szCs w:val="21"/>
          <w:highlight w:val="none"/>
        </w:rPr>
      </w:pPr>
      <w:r/>
      <w:bookmarkStart w:id="51" w:name="_Toc27208"/>
      <w:r/>
      <w:bookmarkStart w:id="52" w:name="_Toc4792"/>
      <w:r/>
      <w:bookmarkStart w:id="53" w:name="_Toc35393795"/>
      <w:r/>
      <w:bookmarkStart w:id="54" w:name="_Toc35393626"/>
      <w:r/>
      <w:bookmarkStart w:id="55" w:name="_Toc14246"/>
      <w:r/>
      <w:bookmarkStart w:id="56" w:name="_Toc7611"/>
      <w:r/>
      <w:bookmarkStart w:id="57" w:name="_Toc4129"/>
      <w:r>
        <w:rPr>
          <w:rFonts w:hint="eastAsia" w:ascii="宋体" w:hAnsi="宋体" w:eastAsia="宋体" w:cs="宋体"/>
          <w:bCs w:val="0"/>
          <w:color w:val="auto"/>
          <w:sz w:val="21"/>
          <w:szCs w:val="21"/>
          <w:highlight w:val="none"/>
        </w:rPr>
        <w:t xml:space="preserve">六、其他补充事宜</w:t>
      </w:r>
      <w:bookmarkEnd w:id="8"/>
      <w:r/>
      <w:bookmarkEnd w:id="51"/>
      <w:r/>
      <w:bookmarkEnd w:id="52"/>
      <w:r/>
      <w:bookmarkEnd w:id="53"/>
      <w:r/>
      <w:bookmarkEnd w:id="54"/>
      <w:r/>
      <w:bookmarkEnd w:id="55"/>
      <w:r/>
      <w:bookmarkEnd w:id="56"/>
      <w:r/>
      <w:bookmarkEnd w:id="57"/>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6.1</w:t>
      </w:r>
      <w:r>
        <w:rPr>
          <w:rFonts w:hint="eastAsia" w:ascii="宋体" w:hAnsi="宋体" w:cs="宋体"/>
          <w:color w:val="auto"/>
          <w:szCs w:val="21"/>
          <w:highlight w:val="none"/>
        </w:rPr>
        <w:t xml:space="preserve">本次招标不收取投标保证金。</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落实政府采购政策需满足：</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（1）《关于进一步加大政府采购支持中小企业力度的通知》</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（2）《关于政府采购支持监狱企业发展有关问题的通知》</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（3）《关于促进残疾人就业政府采购政策的通知》</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（4）《关于调整优化节能产品、环境标志产品政府采购执行机制的通知》</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（5）《国务院办公厅关于在政府采购中实施本国产品标准及相关政策的通知》</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集中现场考察或答疑：本项目不组织。</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w:t>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标文件。</w:t>
      </w:r>
      <w:r/>
    </w:p>
    <w:p>
      <w:pPr>
        <w:pStyle w:val="1200"/>
        <w:spacing w:before="0" w:after="0" w:line="360" w:lineRule="auto"/>
        <w:rPr>
          <w:rFonts w:hint="eastAsia" w:ascii="宋体" w:hAnsi="宋体" w:eastAsia="宋体" w:cs="宋体"/>
          <w:bCs w:val="0"/>
          <w:color w:val="auto"/>
          <w:sz w:val="21"/>
          <w:szCs w:val="21"/>
          <w:highlight w:val="none"/>
        </w:rPr>
      </w:pPr>
      <w:r/>
      <w:bookmarkStart w:id="58" w:name="_Toc26643"/>
      <w:r/>
      <w:bookmarkStart w:id="59" w:name="_Toc10646"/>
      <w:r>
        <w:rPr>
          <w:rFonts w:hint="eastAsia" w:ascii="宋体" w:hAnsi="宋体" w:eastAsia="宋体" w:cs="宋体"/>
          <w:bCs w:val="0"/>
          <w:color w:val="auto"/>
          <w:sz w:val="21"/>
          <w:szCs w:val="21"/>
          <w:highlight w:val="none"/>
        </w:rPr>
        <w:t xml:space="preserve">七、对本次招标提出询问，请按以下方式联系。</w:t>
      </w:r>
      <w:bookmarkEnd w:id="58"/>
      <w:r/>
      <w:bookmarkEnd w:id="59"/>
      <w:r/>
      <w:r/>
    </w:p>
    <w:p>
      <w:pPr>
        <w:pStyle w:val="1244"/>
        <w:ind w:left="214" w:hanging="6"/>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1244"/>
        <w:ind w:firstLine="21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称：江苏省特种设备安全监督检验研究院</w:t>
      </w:r>
      <w:r/>
    </w:p>
    <w:p>
      <w:pPr>
        <w:pStyle w:val="1244"/>
        <w:ind w:left="214" w:hanging="6"/>
        <w:spacing w:before="0" w:beforeAutospacing="0" w:after="0" w:afterAutospacing="0" w:line="360" w:lineRule="auto"/>
        <w:rPr>
          <w:rFonts w:hint="eastAsia" w:ascii="宋体" w:hAnsi="宋体" w:eastAsia="宋体" w:cs="宋体"/>
          <w:color w:val="auto"/>
          <w:sz w:val="21"/>
          <w:szCs w:val="21"/>
          <w:highlight w:val="none"/>
        </w:rPr>
      </w:pPr>
      <w:r/>
      <w:bookmarkStart w:id="60" w:name="_Toc28359009"/>
      <w:r/>
      <w:bookmarkStart w:id="61" w:name="_Toc28359086"/>
      <w:r>
        <w:rPr>
          <w:rFonts w:hint="eastAsia" w:ascii="宋体" w:hAnsi="宋体" w:eastAsia="宋体" w:cs="宋体"/>
          <w:color w:val="auto"/>
          <w:sz w:val="21"/>
          <w:szCs w:val="21"/>
          <w:highlight w:val="none"/>
        </w:rPr>
        <w:t xml:space="preserve">地址：江苏省南京市鼓楼区草场门大街107号龙江大厦</w:t>
      </w:r>
      <w:r/>
    </w:p>
    <w:p>
      <w:pPr>
        <w:pStyle w:val="1244"/>
        <w:ind w:left="214" w:hanging="6"/>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联系人：李风华 </w:t>
      </w:r>
      <w:r/>
    </w:p>
    <w:p>
      <w:pPr>
        <w:pStyle w:val="1244"/>
        <w:ind w:left="214" w:hanging="6"/>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话：025-89621099</w:t>
      </w:r>
      <w:r/>
    </w:p>
    <w:p>
      <w:pPr>
        <w:ind w:firstLine="210"/>
        <w:jc w:val="left"/>
        <w:spacing w:line="360" w:lineRule="auto"/>
        <w:rPr>
          <w:rFonts w:hint="eastAsia" w:ascii="宋体" w:hAnsi="宋体" w:cs="宋体"/>
          <w:color w:val="auto"/>
          <w:szCs w:val="21"/>
          <w:highlight w:val="none"/>
        </w:rPr>
        <w:outlineLvl w:val="0"/>
      </w:pPr>
      <w:r/>
      <w:bookmarkStart w:id="62" w:name="_Toc18092"/>
      <w:r/>
      <w:bookmarkStart w:id="63" w:name="_Toc3167"/>
      <w:r>
        <w:rPr>
          <w:rFonts w:hint="eastAsia" w:ascii="宋体" w:hAnsi="宋体" w:cs="宋体"/>
          <w:color w:val="auto"/>
          <w:szCs w:val="21"/>
          <w:highlight w:val="none"/>
        </w:rPr>
        <w:t xml:space="preserve">2、</w:t>
      </w:r>
      <w:bookmarkEnd w:id="60"/>
      <w:r/>
      <w:bookmarkEnd w:id="61"/>
      <w:r>
        <w:rPr>
          <w:rFonts w:hint="eastAsia" w:ascii="宋体" w:hAnsi="宋体" w:cs="宋体"/>
          <w:color w:val="auto"/>
          <w:szCs w:val="21"/>
          <w:highlight w:val="none"/>
        </w:rPr>
        <w:t xml:space="preserve">采购代理机构信息</w:t>
      </w:r>
      <w:bookmarkEnd w:id="62"/>
      <w:r/>
      <w:bookmarkEnd w:id="63"/>
      <w:r/>
      <w:r/>
    </w:p>
    <w:p>
      <w:pPr>
        <w:ind w:firstLine="210"/>
        <w:jc w:val="left"/>
        <w:spacing w:line="360" w:lineRule="auto"/>
        <w:rPr>
          <w:rFonts w:hint="eastAsia" w:ascii="宋体" w:hAnsi="宋体" w:cs="宋体"/>
          <w:color w:val="auto"/>
          <w:szCs w:val="21"/>
          <w:highlight w:val="none"/>
        </w:rPr>
        <w:outlineLvl w:val="0"/>
      </w:pPr>
      <w:r/>
      <w:bookmarkStart w:id="64" w:name="_Toc30123"/>
      <w:r/>
      <w:bookmarkStart w:id="65" w:name="_Toc14037"/>
      <w:r>
        <w:rPr>
          <w:rFonts w:hint="eastAsia" w:ascii="宋体" w:hAnsi="宋体" w:cs="宋体"/>
          <w:color w:val="auto"/>
          <w:szCs w:val="21"/>
          <w:highlight w:val="none"/>
        </w:rPr>
        <w:t xml:space="preserve">名 称：南京江城工程项目管理有限公司</w:t>
      </w:r>
      <w:bookmarkEnd w:id="64"/>
      <w:r/>
      <w:bookmarkEnd w:id="65"/>
      <w:r>
        <w:rPr>
          <w:rFonts w:hint="eastAsia" w:ascii="宋体" w:hAnsi="宋体" w:cs="宋体"/>
          <w:color w:val="auto"/>
          <w:szCs w:val="21"/>
          <w:highlight w:val="none"/>
        </w:rPr>
        <w:t xml:space="preserve">　</w:t>
      </w:r>
      <w:r/>
    </w:p>
    <w:p>
      <w:pPr>
        <w:ind w:firstLine="210"/>
        <w:jc w:val="left"/>
        <w:spacing w:line="360" w:lineRule="auto"/>
        <w:rPr>
          <w:rFonts w:hint="eastAsia" w:ascii="宋体" w:hAnsi="宋体" w:cs="宋体"/>
          <w:color w:val="auto"/>
          <w:szCs w:val="21"/>
          <w:highlight w:val="none"/>
        </w:rPr>
        <w:outlineLvl w:val="0"/>
      </w:pPr>
      <w:r/>
      <w:bookmarkStart w:id="66" w:name="_Toc4735"/>
      <w:r/>
      <w:bookmarkStart w:id="67" w:name="_Toc2732"/>
      <w:r>
        <w:rPr>
          <w:rFonts w:hint="eastAsia" w:ascii="宋体" w:hAnsi="宋体" w:cs="宋体"/>
          <w:color w:val="auto"/>
          <w:szCs w:val="21"/>
          <w:highlight w:val="none"/>
        </w:rPr>
        <w:t xml:space="preserve">地　址：南京市建邺区云龙山路89号龙湖时代上城写字楼1栋29楼（高区3号电梯厅进入）</w:t>
      </w:r>
      <w:bookmarkEnd w:id="66"/>
      <w:r/>
      <w:bookmarkEnd w:id="67"/>
      <w:r/>
      <w:r/>
    </w:p>
    <w:p>
      <w:pPr>
        <w:ind w:firstLine="210"/>
        <w:jc w:val="left"/>
        <w:spacing w:line="360" w:lineRule="auto"/>
        <w:rPr>
          <w:rFonts w:hint="eastAsia" w:ascii="宋体" w:hAnsi="宋体" w:cs="宋体"/>
          <w:color w:val="auto"/>
          <w:szCs w:val="21"/>
          <w:highlight w:val="none"/>
        </w:rPr>
        <w:outlineLvl w:val="0"/>
      </w:pPr>
      <w:r/>
      <w:bookmarkStart w:id="68" w:name="_Toc2462"/>
      <w:r/>
      <w:bookmarkStart w:id="69" w:name="_Toc18633"/>
      <w:r>
        <w:rPr>
          <w:rFonts w:hint="eastAsia" w:ascii="宋体" w:hAnsi="宋体" w:cs="宋体"/>
          <w:color w:val="auto"/>
          <w:szCs w:val="21"/>
          <w:highlight w:val="none"/>
        </w:rPr>
        <w:t xml:space="preserve">项目联系人：曹雪</w:t>
      </w:r>
      <w:bookmarkEnd w:id="68"/>
      <w:r/>
      <w:bookmarkEnd w:id="69"/>
      <w:r/>
      <w:r/>
    </w:p>
    <w:p>
      <w:pPr>
        <w:ind w:firstLine="210"/>
        <w:jc w:val="left"/>
        <w:spacing w:line="360" w:lineRule="auto"/>
        <w:rPr>
          <w:rFonts w:hint="eastAsia" w:ascii="宋体" w:hAnsi="宋体" w:cs="宋体"/>
          <w:color w:val="auto"/>
          <w:szCs w:val="21"/>
          <w:highlight w:val="none"/>
        </w:rPr>
        <w:outlineLvl w:val="0"/>
      </w:pPr>
      <w:r/>
      <w:bookmarkStart w:id="70" w:name="_Toc31434"/>
      <w:r/>
      <w:bookmarkStart w:id="71" w:name="_Toc10005"/>
      <w:r>
        <w:rPr>
          <w:rFonts w:hint="eastAsia" w:ascii="宋体" w:hAnsi="宋体" w:cs="宋体"/>
          <w:color w:val="auto"/>
          <w:szCs w:val="21"/>
          <w:highlight w:val="none"/>
        </w:rPr>
        <w:t xml:space="preserve">联系方式：</w:t>
      </w:r>
      <w:r>
        <w:rPr>
          <w:rFonts w:hint="eastAsia" w:ascii="宋体" w:hAnsi="宋体" w:eastAsia="宋体" w:cs="宋体"/>
          <w:color w:val="auto"/>
          <w:szCs w:val="21"/>
          <w:highlight w:val="none"/>
        </w:rPr>
        <w:t xml:space="preserve">025-</w:t>
      </w:r>
      <w:r>
        <w:rPr>
          <w:rFonts w:hint="eastAsia" w:ascii="宋体" w:hAnsi="宋体" w:eastAsia="宋体" w:cs="宋体"/>
          <w:color w:val="auto"/>
          <w:szCs w:val="21"/>
          <w:highlight w:val="none"/>
          <w:lang w:val="en-US" w:eastAsia="zh-CN"/>
        </w:rPr>
        <w:t xml:space="preserve">58066836、025-58835827-0</w:t>
      </w:r>
      <w:bookmarkEnd w:id="70"/>
      <w:r/>
      <w:bookmarkEnd w:id="71"/>
      <w:r/>
      <w:r/>
    </w:p>
    <w:p>
      <w:pPr>
        <w:ind w:firstLine="210"/>
        <w:jc w:val="left"/>
        <w:spacing w:line="360" w:lineRule="auto"/>
        <w:rPr>
          <w:rFonts w:hint="eastAsia" w:ascii="宋体" w:hAnsi="宋体" w:cs="宋体"/>
          <w:color w:val="auto"/>
          <w:szCs w:val="21"/>
          <w:highlight w:val="none"/>
        </w:rPr>
        <w:outlineLvl w:val="0"/>
      </w:pPr>
      <w:r/>
      <w:bookmarkStart w:id="72" w:name="_Toc13461"/>
      <w:r/>
      <w:bookmarkStart w:id="73" w:name="_Toc8893"/>
      <w:r>
        <w:rPr>
          <w:rFonts w:hint="eastAsia" w:ascii="宋体" w:hAnsi="宋体" w:cs="宋体"/>
          <w:color w:val="auto"/>
          <w:szCs w:val="21"/>
          <w:highlight w:val="none"/>
        </w:rPr>
        <w:t xml:space="preserve">3.项目联系方式</w:t>
      </w:r>
      <w:bookmarkEnd w:id="72"/>
      <w:r/>
      <w:bookmarkEnd w:id="73"/>
      <w:r/>
      <w:r/>
    </w:p>
    <w:p>
      <w:pPr>
        <w:ind w:firstLine="210"/>
        <w:jc w:val="left"/>
        <w:spacing w:line="360" w:lineRule="auto"/>
        <w:rPr>
          <w:rFonts w:hint="eastAsia" w:ascii="宋体" w:hAnsi="宋体" w:cs="宋体"/>
          <w:color w:val="auto"/>
          <w:szCs w:val="21"/>
          <w:highlight w:val="none"/>
        </w:rPr>
        <w:outlineLvl w:val="0"/>
      </w:pPr>
      <w:r/>
      <w:bookmarkStart w:id="74" w:name="_Toc2768"/>
      <w:r/>
      <w:bookmarkStart w:id="75" w:name="_Toc27772"/>
      <w:r>
        <w:rPr>
          <w:rFonts w:hint="eastAsia" w:ascii="宋体" w:hAnsi="宋体" w:cs="宋体"/>
          <w:color w:val="auto"/>
          <w:szCs w:val="21"/>
          <w:highlight w:val="none"/>
        </w:rPr>
        <w:t xml:space="preserve">项目联系人：曹雪</w:t>
      </w:r>
      <w:bookmarkEnd w:id="74"/>
      <w:r/>
      <w:bookmarkEnd w:id="75"/>
      <w:r>
        <w:rPr>
          <w:rFonts w:hint="eastAsia" w:ascii="宋体" w:hAnsi="宋体" w:cs="宋体"/>
          <w:color w:val="auto"/>
          <w:szCs w:val="21"/>
          <w:highlight w:val="none"/>
        </w:rPr>
        <w:tab/>
      </w:r>
      <w:r/>
    </w:p>
    <w:p>
      <w:pPr>
        <w:ind w:firstLine="210"/>
        <w:jc w:val="left"/>
        <w:spacing w:line="360" w:lineRule="auto"/>
        <w:rPr>
          <w:rFonts w:hint="eastAsia" w:ascii="宋体" w:hAnsi="宋体" w:cs="宋体"/>
          <w:color w:val="auto"/>
          <w:szCs w:val="21"/>
          <w:highlight w:val="none"/>
        </w:rPr>
        <w:outlineLvl w:val="0"/>
      </w:pPr>
      <w:r/>
      <w:bookmarkStart w:id="76" w:name="_Toc22239"/>
      <w:r/>
      <w:bookmarkStart w:id="77" w:name="_Toc31715"/>
      <w:r>
        <w:rPr>
          <w:rFonts w:hint="eastAsia" w:ascii="宋体" w:hAnsi="宋体" w:cs="宋体"/>
          <w:color w:val="auto"/>
          <w:szCs w:val="21"/>
          <w:highlight w:val="none"/>
        </w:rPr>
        <w:t xml:space="preserve">电　话：</w:t>
      </w:r>
      <w:r>
        <w:rPr>
          <w:rFonts w:hint="eastAsia" w:ascii="宋体" w:hAnsi="宋体" w:eastAsia="宋体" w:cs="宋体"/>
          <w:color w:val="auto"/>
          <w:szCs w:val="21"/>
          <w:highlight w:val="none"/>
        </w:rPr>
        <w:t xml:space="preserve">025-</w:t>
      </w:r>
      <w:r>
        <w:rPr>
          <w:rFonts w:hint="eastAsia" w:ascii="宋体" w:hAnsi="宋体" w:eastAsia="宋体" w:cs="宋体"/>
          <w:color w:val="auto"/>
          <w:szCs w:val="21"/>
          <w:highlight w:val="none"/>
          <w:lang w:val="en-US" w:eastAsia="zh-CN"/>
        </w:rPr>
        <w:t xml:space="preserve">58066836、025-58835827-0</w:t>
      </w:r>
      <w:bookmarkEnd w:id="76"/>
      <w:r/>
      <w:bookmarkEnd w:id="77"/>
      <w:r>
        <w:rPr>
          <w:rFonts w:hint="eastAsia" w:ascii="宋体" w:hAnsi="宋体" w:cs="宋体"/>
          <w:color w:val="auto"/>
          <w:szCs w:val="21"/>
          <w:highlight w:val="none"/>
        </w:rPr>
        <w:t xml:space="preserve">　</w:t>
      </w:r>
      <w:r/>
    </w:p>
    <w:p>
      <w:pPr>
        <w:rPr>
          <w:rFonts w:hint="eastAsia"/>
          <w:color w:val="auto"/>
          <w:highlight w:val="none"/>
        </w:rPr>
      </w:pPr>
      <w:r>
        <w:rPr>
          <w:rFonts w:hint="eastAsia"/>
          <w:color w:val="auto"/>
          <w:highlight w:val="none"/>
        </w:rPr>
      </w:r>
      <w:r/>
    </w:p>
    <w:p>
      <w:pPr>
        <w:ind w:firstLine="210"/>
        <w:jc w:val="center"/>
        <w:spacing w:line="360" w:lineRule="auto"/>
        <w:rPr>
          <w:rFonts w:hint="eastAsia" w:ascii="宋体" w:hAnsi="宋体" w:cs="宋体"/>
          <w:b/>
          <w:color w:val="auto"/>
          <w:szCs w:val="21"/>
          <w:highlight w:val="none"/>
        </w:rPr>
        <w:outlineLvl w:val="0"/>
      </w:pPr>
      <w:r>
        <w:rPr>
          <w:rFonts w:hint="eastAsia" w:ascii="宋体" w:hAnsi="宋体" w:cs="宋体"/>
          <w:color w:val="auto"/>
          <w:szCs w:val="21"/>
          <w:highlight w:val="none"/>
        </w:rPr>
        <w:br w:type="page" w:clear="all"/>
      </w:r>
      <w:bookmarkStart w:id="78" w:name="_Toc5585"/>
      <w:r/>
      <w:bookmarkStart w:id="79" w:name="_Toc28996"/>
      <w:r/>
      <w:bookmarkStart w:id="80" w:name="_Toc7074"/>
      <w:r/>
      <w:bookmarkStart w:id="81" w:name="_Toc15733"/>
      <w:r>
        <w:rPr>
          <w:rFonts w:hint="eastAsia" w:ascii="宋体" w:hAnsi="宋体" w:cs="宋体"/>
          <w:b/>
          <w:color w:val="auto"/>
          <w:sz w:val="28"/>
          <w:szCs w:val="28"/>
          <w:highlight w:val="none"/>
        </w:rPr>
        <w:t xml:space="preserve">第二章 </w:t>
      </w:r>
      <w:bookmarkEnd w:id="78"/>
      <w:r/>
      <w:bookmarkEnd w:id="79"/>
      <w:r/>
      <w:bookmarkEnd w:id="80"/>
      <w:r>
        <w:rPr>
          <w:rFonts w:hint="eastAsia" w:ascii="宋体" w:hAnsi="宋体" w:cs="宋体"/>
          <w:b/>
          <w:color w:val="auto"/>
          <w:sz w:val="28"/>
          <w:szCs w:val="28"/>
          <w:highlight w:val="none"/>
        </w:rPr>
        <w:t xml:space="preserve">投标人须知前附表</w:t>
      </w:r>
      <w:bookmarkEnd w:id="81"/>
      <w:r/>
      <w:r/>
    </w:p>
    <w:tbl>
      <w:tblPr>
        <w:tblStyle w:val="1209"/>
        <w:tblW w:w="97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886"/>
      </w:tblGrid>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888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主要内容</w:t>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8886" w:type="dxa"/>
            <w:vAlign w:val="center"/>
            <w:textDirection w:val="lrTb"/>
            <w:noWrap w:val="false"/>
          </w:tcPr>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采购人：江苏省特种设备安全监督检验研究院</w:t>
            </w:r>
            <w:r/>
          </w:p>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联系人：李风华</w:t>
            </w:r>
            <w:r/>
          </w:p>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电话：025-89621099</w:t>
            </w:r>
            <w:r/>
          </w:p>
          <w:p>
            <w:pPr>
              <w:pStyle w:val="1244"/>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地址：江苏省南京市鼓楼区草场门大街107号龙江大厦</w:t>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8886" w:type="dxa"/>
            <w:vAlign w:val="center"/>
            <w:textDirection w:val="lrTb"/>
            <w:noWrap w:val="false"/>
          </w:tcPr>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采购代理机构信息</w:t>
            </w:r>
            <w:r/>
          </w:p>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称：南京江城工程项目管理有限公司　</w:t>
            </w:r>
            <w:r/>
          </w:p>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址：南京市建邺区云龙山路89号龙湖时代上城写字楼1栋29楼（高区3号电梯厅进入）</w:t>
            </w:r>
            <w:r/>
          </w:p>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联系人：曹雪</w:t>
            </w:r>
            <w:r/>
          </w:p>
          <w:p>
            <w:pPr>
              <w:pStyle w:val="1244"/>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电话：025-58066836、025-58835827</w:t>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W w:w="8886" w:type="dxa"/>
            <w:vAlign w:val="center"/>
            <w:textDirection w:val="lrTb"/>
            <w:noWrap w:val="false"/>
          </w:tcPr>
          <w:p>
            <w:pPr>
              <w:spacing w:line="360" w:lineRule="auto"/>
              <w:shd w:val="clear" w:color="auto" w:fill="ffffff"/>
              <w:widowControl/>
              <w:rPr>
                <w:rFonts w:hint="eastAsia" w:ascii="宋体" w:hAnsi="宋体" w:cs="宋体"/>
                <w:b/>
                <w:color w:val="auto"/>
                <w:szCs w:val="21"/>
                <w:highlight w:val="none"/>
              </w:rPr>
            </w:pPr>
            <w:r>
              <w:rPr>
                <w:rFonts w:hint="eastAsia" w:ascii="宋体" w:hAnsi="宋体" w:cs="宋体"/>
                <w:color w:val="auto"/>
                <w:szCs w:val="21"/>
                <w:highlight w:val="none"/>
              </w:rPr>
              <w:t xml:space="preserve">项目名称：江苏省特种设备安全监督检验研究院</w:t>
            </w:r>
            <w:r>
              <w:rPr>
                <w:rFonts w:hint="eastAsia" w:ascii="宋体" w:hAnsi="宋体" w:cs="宋体"/>
                <w:color w:val="auto"/>
                <w:szCs w:val="21"/>
                <w:highlight w:val="none"/>
                <w:lang w:eastAsia="zh-CN"/>
              </w:rPr>
              <w:t xml:space="preserve">江苏省特检院试验机类设备采购</w:t>
            </w:r>
            <w:r>
              <w:rPr>
                <w:rFonts w:hint="eastAsia" w:ascii="宋体" w:hAnsi="宋体" w:cs="宋体"/>
                <w:color w:val="auto"/>
                <w:szCs w:val="21"/>
                <w:highlight w:val="none"/>
              </w:rPr>
              <w:t xml:space="preserve"> </w:t>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w:t>
            </w:r>
            <w:r/>
          </w:p>
        </w:tc>
        <w:tc>
          <w:tcPr>
            <w:tcW w:w="8886" w:type="dxa"/>
            <w:vAlign w:val="center"/>
            <w:textDirection w:val="lrTb"/>
            <w:noWrap w:val="false"/>
          </w:tcPr>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采购方式：</w:t>
            </w:r>
            <w:r>
              <w:rPr>
                <w:rFonts w:hint="eastAsia" w:ascii="宋体" w:hAnsi="宋体" w:cs="宋体"/>
                <w:b/>
                <w:bCs/>
                <w:color w:val="auto"/>
                <w:szCs w:val="21"/>
                <w:highlight w:val="none"/>
              </w:rPr>
              <w:t xml:space="preserve">公开招标</w:t>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8886" w:type="dxa"/>
            <w:vAlign w:val="center"/>
            <w:textDirection w:val="lrTb"/>
            <w:noWrap w:val="false"/>
          </w:tcPr>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投标有效期</w:t>
            </w:r>
            <w:r>
              <w:rPr>
                <w:rFonts w:hint="eastAsia" w:ascii="宋体" w:hAnsi="宋体" w:cs="宋体"/>
                <w:color w:val="auto"/>
                <w:szCs w:val="21"/>
                <w:highlight w:val="none"/>
              </w:rPr>
              <w:t xml:space="preserve">：开标之日起90天</w:t>
            </w:r>
            <w:r/>
          </w:p>
        </w:tc>
      </w:tr>
      <w:tr>
        <w:trPr>
          <w:trHeight w:val="240"/>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w:t>
            </w:r>
            <w:r/>
          </w:p>
        </w:tc>
        <w:tc>
          <w:tcPr>
            <w:tcW w:w="8886" w:type="dxa"/>
            <w:vAlign w:val="center"/>
            <w:textDirection w:val="lrTb"/>
            <w:noWrap w:val="false"/>
          </w:tcPr>
          <w:p>
            <w:pPr>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投标保证金：本次不收取投标保证金</w:t>
            </w:r>
            <w:r/>
          </w:p>
        </w:tc>
      </w:tr>
      <w:tr>
        <w:trPr>
          <w:trHeight w:val="621"/>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w:t>
            </w:r>
            <w:r/>
          </w:p>
        </w:tc>
        <w:tc>
          <w:tcPr>
            <w:tcW w:w="8886" w:type="dxa"/>
            <w:vAlign w:val="center"/>
            <w:textDirection w:val="lrTb"/>
            <w:noWrap w:val="false"/>
          </w:tcPr>
          <w:p>
            <w:pPr>
              <w:pStyle w:val="1463"/>
              <w:ind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电子投标文件一份(通过系统提交)；纸质投标文件正本一份，副本三份（评审结束后由中标人邮寄至采购代理机构，未中标单位不需要提供）。</w:t>
            </w:r>
            <w:r/>
          </w:p>
        </w:tc>
      </w:tr>
      <w:tr>
        <w:trPr>
          <w:trHeight w:val="559"/>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w:t>
            </w:r>
            <w:r/>
          </w:p>
        </w:tc>
        <w:tc>
          <w:tcPr>
            <w:tcW w:w="8886" w:type="dxa"/>
            <w:vAlign w:val="center"/>
            <w:textDirection w:val="lrTb"/>
            <w:noWrap w:val="false"/>
          </w:tcPr>
          <w:p>
            <w:pPr>
              <w:spacing w:line="360" w:lineRule="auto"/>
              <w:rPr>
                <w:rFonts w:hint="eastAsia" w:hAnsi="宋体" w:cs="宋体"/>
                <w:color w:val="auto"/>
                <w:sz w:val="21"/>
                <w:szCs w:val="21"/>
                <w:highlight w:val="none"/>
              </w:rPr>
            </w:pPr>
            <w:r>
              <w:rPr>
                <w:rFonts w:hint="eastAsia" w:ascii="宋体" w:hAnsi="宋体" w:cs="宋体"/>
                <w:b/>
                <w:bCs/>
                <w:color w:val="auto"/>
                <w:szCs w:val="21"/>
                <w:highlight w:val="none"/>
              </w:rPr>
              <w:t xml:space="preserve">投标报价：所有投标响应均以人民币报价</w:t>
            </w:r>
            <w:r>
              <w:rPr>
                <w:rFonts w:hint="eastAsia" w:ascii="宋体" w:hAnsi="宋体" w:cs="宋体"/>
                <w:color w:val="auto"/>
                <w:szCs w:val="21"/>
                <w:highlight w:val="none"/>
              </w:rPr>
              <w:t xml:space="preserve">。投标人的投标响应报价应遵守“中华人民共和国价格法”。该报价为到江苏省特种设备安全监督检验研究院现场的全部费用，含相关税费，运输费，保险费，安装费及相关服务费等一切可能发生的费用。</w:t>
            </w:r>
            <w:r/>
          </w:p>
        </w:tc>
      </w:tr>
      <w:tr>
        <w:trPr>
          <w:trHeight w:val="1219"/>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w:t>
            </w:r>
            <w:r/>
          </w:p>
        </w:tc>
        <w:tc>
          <w:tcPr>
            <w:tcW w:w="8886" w:type="dxa"/>
            <w:vAlign w:val="center"/>
            <w:textDirection w:val="lrTb"/>
            <w:noWrap w:val="false"/>
          </w:tcPr>
          <w:p>
            <w:pPr>
              <w:ind w:firstLine="15"/>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现场勘查要求：</w:t>
            </w:r>
            <w:r/>
          </w:p>
          <w:p>
            <w:pPr>
              <w:ind w:firstLine="15"/>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组织，采购人不统一组织现场踏勘，各供应商可在获取采购文件后投标截止时间前自行踏勘现场。请各供应商务必对采购文件进行仔细认真阅读，在随后的采购中，对采购文件所作出的推论、解释和结论及由此造成的后果由供应商负责。</w:t>
            </w:r>
            <w:r/>
          </w:p>
        </w:tc>
      </w:tr>
      <w:tr>
        <w:trPr>
          <w:trHeight w:val="505"/>
        </w:trPr>
        <w:tc>
          <w:tcPr>
            <w:tcW w:w="81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w:t>
            </w:r>
            <w:r/>
          </w:p>
        </w:tc>
        <w:tc>
          <w:tcPr>
            <w:tcW w:w="8886" w:type="dxa"/>
            <w:vAlign w:val="center"/>
            <w:textDirection w:val="lrTb"/>
            <w:noWrap w:val="false"/>
          </w:tcPr>
          <w:p>
            <w:pPr>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投标报价中的投标价不得超过招标公告预算价、分项控制价，超过规定的报价按无效投标处理。 </w:t>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11</w:t>
            </w:r>
            <w:r/>
          </w:p>
        </w:tc>
        <w:tc>
          <w:tcPr>
            <w:tcW w:w="8886" w:type="dxa"/>
            <w:vAlign w:val="center"/>
            <w:textDirection w:val="lrTb"/>
            <w:noWrap w:val="false"/>
          </w:tcPr>
          <w:p>
            <w:pPr>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本项目同一投标人可以同时参加2个分包，采用兼投不兼中的方式选择中标人，本项目评标委员会按照分包升序：分包一、分包二、顺序依次逐个进行评审，并按照得分由高到低的顺序推荐中标候选人，并标明排序。</w:t>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cs="宋体"/>
                <w:b/>
                <w:bCs/>
                <w:color w:val="auto"/>
                <w:szCs w:val="21"/>
                <w:highlight w:val="none"/>
              </w:rPr>
            </w:pPr>
            <w:r/>
            <w:bookmarkStart w:id="82" w:name="_Toc9454"/>
            <w:r>
              <w:rPr>
                <w:rFonts w:hint="eastAsia" w:ascii="宋体" w:hAnsi="宋体" w:cs="宋体"/>
                <w:b/>
                <w:bCs/>
                <w:color w:val="auto"/>
                <w:szCs w:val="21"/>
                <w:highlight w:val="none"/>
              </w:rPr>
              <w:t xml:space="preserve">12</w:t>
            </w:r>
            <w:r/>
          </w:p>
        </w:tc>
        <w:tc>
          <w:tcPr>
            <w:tcW w:w="8886" w:type="dxa"/>
            <w:vAlign w:val="center"/>
            <w:textDirection w:val="lrTb"/>
            <w:noWrap w:val="false"/>
          </w:tcPr>
          <w:p>
            <w:pPr>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相同品牌产品投标要求</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1）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bCs/>
                <w:color w:val="auto"/>
                <w:szCs w:val="21"/>
                <w:highlight w:val="none"/>
                <w:lang w:eastAsia="zh-CN"/>
              </w:rPr>
              <w:t xml:space="preserve">。</w:t>
            </w:r>
            <w:r/>
          </w:p>
          <w:p>
            <w:pPr>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分包一核心产品：密封非金属材料高低温大变形力学测试系统</w:t>
            </w:r>
            <w:r/>
          </w:p>
          <w:p>
            <w:pPr>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分包二核心产品：两箱式冷热冲击箱</w:t>
            </w:r>
            <w:r/>
          </w:p>
        </w:tc>
      </w:tr>
      <w:tr>
        <w:trPr>
          <w:trHeight w:val="1069"/>
        </w:trPr>
        <w:tc>
          <w:tcPr>
            <w:tcW w:w="819" w:type="dxa"/>
            <w:vAlign w:val="center"/>
            <w:textDirection w:val="lrTb"/>
            <w:noWrap w:val="false"/>
          </w:tcPr>
          <w:p>
            <w:pPr>
              <w:jc w:val="center"/>
              <w:spacing w:line="360" w:lineRule="auto"/>
              <w:shd w:val="clear" w:color="auto" w:fill="ffffff"/>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13</w:t>
            </w:r>
            <w:r/>
          </w:p>
        </w:tc>
        <w:tc>
          <w:tcPr>
            <w:tcW w:w="8886" w:type="dxa"/>
            <w:vAlign w:val="center"/>
            <w:textDirection w:val="lrTb"/>
            <w:noWrap w:val="false"/>
          </w:tcPr>
          <w:p>
            <w:pPr>
              <w:pStyle w:val="1465"/>
              <w:ind w:firstLine="0"/>
              <w:spacing w:line="360" w:lineRule="auto"/>
              <w:rPr>
                <w:rFonts w:hint="eastAsia" w:eastAsia="宋体" w:cs="宋体"/>
                <w:color w:val="auto"/>
                <w:sz w:val="21"/>
                <w:szCs w:val="21"/>
                <w:highlight w:val="none"/>
              </w:rPr>
            </w:pPr>
            <w:r>
              <w:rPr>
                <w:rFonts w:hint="eastAsia" w:ascii="宋体" w:hAnsi="宋体" w:eastAsia="宋体" w:cs="宋体"/>
                <w:color w:val="auto"/>
                <w:highlight w:val="none"/>
              </w:rPr>
              <w:t xml:space="preserve">关于异常低价审查</w:t>
            </w:r>
            <w:r>
              <w:rPr>
                <w:rFonts w:hint="eastAsia" w:ascii="宋体" w:hAnsi="宋体" w:eastAsia="宋体" w:cs="宋体"/>
                <w:color w:val="auto"/>
                <w:highlight w:val="none"/>
                <w:lang w:eastAsia="zh-CN"/>
              </w:rPr>
              <w:t xml:space="preserve">：</w:t>
            </w:r>
            <w:r>
              <w:rPr>
                <w:rFonts w:hint="eastAsia" w:eastAsia="宋体" w:cs="宋体"/>
                <w:color w:val="auto"/>
                <w:sz w:val="21"/>
                <w:szCs w:val="21"/>
                <w:highlight w:val="none"/>
              </w:rPr>
              <w:t xml:space="preserve">根据《财政部关于推动解决政府采购异常低价问题的通知》（财库〔2026〕2 号）要求：</w:t>
            </w:r>
            <w:r/>
          </w:p>
          <w:p>
            <w:pPr>
              <w:pStyle w:val="1465"/>
              <w:ind w:left="0" w:firstLine="0"/>
              <w:spacing w:line="360" w:lineRule="auto"/>
              <w:rPr>
                <w:rFonts w:hint="eastAsia" w:eastAsia="宋体" w:cs="宋体"/>
                <w:color w:val="auto"/>
                <w:sz w:val="21"/>
                <w:szCs w:val="21"/>
                <w:highlight w:val="none"/>
              </w:rPr>
            </w:pPr>
            <w:r>
              <w:rPr>
                <w:rFonts w:hint="eastAsia" w:eastAsia="宋体" w:cs="宋体"/>
                <w:color w:val="auto"/>
                <w:sz w:val="21"/>
                <w:szCs w:val="21"/>
                <w:highlight w:val="none"/>
              </w:rPr>
              <w:t xml:space="preserve">评标过程中出现下列情形之一的，评标委员会应当启动异常低价投标（响应）审查程序：</w:t>
            </w:r>
            <w:r/>
          </w:p>
          <w:p>
            <w:pPr>
              <w:pStyle w:val="1465"/>
              <w:ind w:firstLine="0"/>
              <w:spacing w:line="360" w:lineRule="auto"/>
              <w:rPr>
                <w:rFonts w:hint="eastAsia" w:eastAsia="宋体" w:cs="宋体"/>
                <w:color w:val="auto"/>
                <w:sz w:val="21"/>
                <w:szCs w:val="21"/>
                <w:highlight w:val="none"/>
              </w:rPr>
            </w:pPr>
            <w:r>
              <w:rPr>
                <w:rFonts w:hint="eastAsia" w:eastAsia="宋体" w:cs="宋体"/>
                <w:color w:val="auto"/>
                <w:sz w:val="21"/>
                <w:szCs w:val="21"/>
                <w:highlight w:val="none"/>
              </w:rPr>
              <w:t xml:space="preserve">①投标（响应）报价低于全部通过符合性审查供应商投标（响应）报价平均值</w:t>
            </w:r>
            <w:r>
              <w:rPr>
                <w:rFonts w:hint="eastAsia" w:eastAsia="宋体" w:cs="宋体"/>
                <w:color w:val="auto"/>
                <w:sz w:val="21"/>
                <w:szCs w:val="21"/>
                <w:highlight w:val="none"/>
                <w:lang w:val="en-US" w:eastAsia="zh-CN"/>
              </w:rPr>
              <w:t xml:space="preserve">65</w:t>
            </w:r>
            <w:r>
              <w:rPr>
                <w:rFonts w:hint="eastAsia" w:eastAsia="宋体" w:cs="宋体"/>
                <w:color w:val="auto"/>
                <w:sz w:val="21"/>
                <w:szCs w:val="21"/>
                <w:highlight w:val="none"/>
              </w:rPr>
              <w:t xml:space="preserve">%的，即投标（响应）报价&lt;全部通过符合性审查供应商投标（响应）报价平均值×</w:t>
            </w:r>
            <w:r>
              <w:rPr>
                <w:rFonts w:hint="eastAsia" w:eastAsia="宋体" w:cs="宋体"/>
                <w:color w:val="auto"/>
                <w:sz w:val="21"/>
                <w:szCs w:val="21"/>
                <w:highlight w:val="none"/>
                <w:lang w:val="en-US" w:eastAsia="zh-CN"/>
              </w:rPr>
              <w:t xml:space="preserve">65</w:t>
            </w:r>
            <w:r>
              <w:rPr>
                <w:rFonts w:hint="eastAsia" w:eastAsia="宋体" w:cs="宋体"/>
                <w:color w:val="auto"/>
                <w:sz w:val="21"/>
                <w:szCs w:val="21"/>
                <w:highlight w:val="none"/>
              </w:rPr>
              <w:t xml:space="preserve">%；</w:t>
            </w:r>
            <w:r/>
          </w:p>
          <w:p>
            <w:pPr>
              <w:pStyle w:val="1465"/>
              <w:ind w:firstLine="0"/>
              <w:spacing w:line="360" w:lineRule="auto"/>
              <w:rPr>
                <w:rFonts w:hint="eastAsia" w:eastAsia="宋体" w:cs="宋体"/>
                <w:color w:val="auto"/>
                <w:sz w:val="21"/>
                <w:szCs w:val="21"/>
                <w:highlight w:val="none"/>
              </w:rPr>
            </w:pPr>
            <w:r>
              <w:rPr>
                <w:rFonts w:hint="eastAsia" w:eastAsia="宋体" w:cs="宋体"/>
                <w:color w:val="auto"/>
                <w:sz w:val="21"/>
                <w:szCs w:val="21"/>
                <w:highlight w:val="none"/>
              </w:rPr>
              <w:t xml:space="preserve">②投标（响应）报价低于通过符合性审查的次低报价供应商投标（响应）报价</w:t>
            </w:r>
            <w:r>
              <w:rPr>
                <w:rFonts w:hint="eastAsia" w:eastAsia="宋体" w:cs="宋体"/>
                <w:color w:val="auto"/>
                <w:sz w:val="21"/>
                <w:szCs w:val="21"/>
                <w:highlight w:val="none"/>
                <w:lang w:val="en-US" w:eastAsia="zh-CN"/>
              </w:rPr>
              <w:t xml:space="preserve">65</w:t>
            </w:r>
            <w:r>
              <w:rPr>
                <w:rFonts w:hint="eastAsia" w:eastAsia="宋体" w:cs="宋体"/>
                <w:color w:val="auto"/>
                <w:sz w:val="21"/>
                <w:szCs w:val="21"/>
                <w:highlight w:val="none"/>
              </w:rPr>
              <w:t xml:space="preserve">%的，即投标（响应）报价&lt;通过符合性审查的次低报价供应商投标（响应）报价×</w:t>
            </w:r>
            <w:r>
              <w:rPr>
                <w:rFonts w:hint="eastAsia" w:eastAsia="宋体" w:cs="宋体"/>
                <w:color w:val="auto"/>
                <w:sz w:val="21"/>
                <w:szCs w:val="21"/>
                <w:highlight w:val="none"/>
                <w:lang w:val="en-US" w:eastAsia="zh-CN"/>
              </w:rPr>
              <w:t xml:space="preserve">65</w:t>
            </w:r>
            <w:r>
              <w:rPr>
                <w:rFonts w:hint="eastAsia" w:eastAsia="宋体" w:cs="宋体"/>
                <w:color w:val="auto"/>
                <w:sz w:val="21"/>
                <w:szCs w:val="21"/>
                <w:highlight w:val="none"/>
              </w:rPr>
              <w:t xml:space="preserve">%；</w:t>
            </w:r>
            <w:r/>
          </w:p>
          <w:p>
            <w:pPr>
              <w:pStyle w:val="1465"/>
              <w:ind w:firstLine="0"/>
              <w:spacing w:line="360" w:lineRule="auto"/>
              <w:rPr>
                <w:rFonts w:hint="eastAsia" w:eastAsia="宋体" w:cs="宋体"/>
                <w:color w:val="auto"/>
                <w:sz w:val="21"/>
                <w:szCs w:val="21"/>
                <w:highlight w:val="none"/>
              </w:rPr>
            </w:pPr>
            <w:r>
              <w:rPr>
                <w:rFonts w:hint="eastAsia" w:eastAsia="宋体" w:cs="宋体"/>
                <w:color w:val="auto"/>
                <w:sz w:val="21"/>
                <w:szCs w:val="21"/>
                <w:highlight w:val="none"/>
              </w:rPr>
              <w:t xml:space="preserve">③投标（响应）报价低于采购项目最高限价</w:t>
            </w:r>
            <w:r>
              <w:rPr>
                <w:rFonts w:hint="eastAsia" w:eastAsia="宋体" w:cs="宋体"/>
                <w:color w:val="auto"/>
                <w:sz w:val="21"/>
                <w:szCs w:val="21"/>
                <w:highlight w:val="none"/>
                <w:lang w:val="en-US" w:eastAsia="zh-CN"/>
              </w:rPr>
              <w:t xml:space="preserve">65</w:t>
            </w:r>
            <w:r>
              <w:rPr>
                <w:rFonts w:hint="eastAsia" w:eastAsia="宋体" w:cs="宋体"/>
                <w:color w:val="auto"/>
                <w:sz w:val="21"/>
                <w:szCs w:val="21"/>
                <w:highlight w:val="none"/>
              </w:rPr>
              <w:t xml:space="preserve">%的，即投标（响应）报价&lt;采购项目最高限价×</w:t>
            </w:r>
            <w:r>
              <w:rPr>
                <w:rFonts w:hint="eastAsia" w:eastAsia="宋体" w:cs="宋体"/>
                <w:color w:val="auto"/>
                <w:sz w:val="21"/>
                <w:szCs w:val="21"/>
                <w:highlight w:val="none"/>
                <w:lang w:val="en-US" w:eastAsia="zh-CN"/>
              </w:rPr>
              <w:t xml:space="preserve">65</w:t>
            </w:r>
            <w:r>
              <w:rPr>
                <w:rFonts w:hint="eastAsia" w:eastAsia="宋体" w:cs="宋体"/>
                <w:color w:val="auto"/>
                <w:sz w:val="21"/>
                <w:szCs w:val="21"/>
                <w:highlight w:val="none"/>
              </w:rPr>
              <w:t xml:space="preserve">%；</w:t>
            </w:r>
            <w:r/>
          </w:p>
          <w:p>
            <w:pPr>
              <w:pStyle w:val="1465"/>
              <w:ind w:firstLine="0"/>
              <w:spacing w:line="360" w:lineRule="auto"/>
              <w:rPr>
                <w:rFonts w:hint="eastAsia" w:eastAsia="宋体" w:cs="宋体"/>
                <w:color w:val="auto"/>
                <w:sz w:val="21"/>
                <w:szCs w:val="21"/>
                <w:highlight w:val="none"/>
              </w:rPr>
            </w:pPr>
            <w:r>
              <w:rPr>
                <w:rFonts w:hint="eastAsia" w:eastAsia="宋体" w:cs="宋体"/>
                <w:color w:val="auto"/>
                <w:sz w:val="21"/>
                <w:szCs w:val="21"/>
                <w:highlight w:val="none"/>
              </w:rPr>
              <w:t xml:space="preserve">④评标委员会基于专业判断，认为供应商报价过低，有可能影响产品质量或者不能诚信履约的其他情形。</w:t>
            </w:r>
            <w:r/>
          </w:p>
          <w:p>
            <w:pPr>
              <w:pStyle w:val="1465"/>
              <w:ind w:left="0" w:firstLine="0"/>
              <w:spacing w:line="360" w:lineRule="auto"/>
              <w:rPr>
                <w:rFonts w:hint="eastAsia" w:eastAsia="宋体" w:cs="宋体"/>
                <w:color w:val="auto"/>
                <w:sz w:val="21"/>
                <w:szCs w:val="21"/>
                <w:highlight w:val="none"/>
              </w:rPr>
            </w:pPr>
            <w:r>
              <w:rPr>
                <w:rFonts w:hint="eastAsia" w:eastAsia="宋体" w:cs="宋体"/>
                <w:color w:val="auto"/>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eastAsia="宋体" w:cs="宋体"/>
                <w:color w:val="auto"/>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tc>
      </w:tr>
      <w:tr>
        <w:trPr>
          <w:trHeight w:val="1069"/>
        </w:trPr>
        <w:tc>
          <w:tcPr>
            <w:tcW w:w="819" w:type="dxa"/>
            <w:vAlign w:val="center"/>
            <w:textDirection w:val="lrTb"/>
            <w:noWrap w:val="false"/>
          </w:tcPr>
          <w:p>
            <w:pPr>
              <w:jc w:val="center"/>
              <w:spacing w:line="360" w:lineRule="auto"/>
              <w:shd w:val="clear" w:color="auto" w:fill="ffffff"/>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14</w:t>
            </w:r>
            <w:r/>
          </w:p>
        </w:tc>
        <w:tc>
          <w:tcPr>
            <w:tcW w:w="8886" w:type="dxa"/>
            <w:vAlign w:val="center"/>
            <w:textDirection w:val="lrTb"/>
            <w:noWrap w:val="false"/>
          </w:tcPr>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关于“苏采云”系统的提示说明</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eastAsia="zh-CN"/>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2.潜在供应商访问“苏采云”系统的网络地址和方法：“苏采云”系统的网址：http://jszfcg.jsczt.cn/。</w:t>
            </w:r>
            <w:r/>
          </w:p>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3.“CA数字证书”的获取：</w:t>
            </w:r>
            <w:r/>
          </w:p>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供应商需办理“CA数字证书”，CA办理指南及“苏采云”操作手册可至江苏省政府采购网―办事指南-资料下载中心下载。</w:t>
            </w:r>
            <w:r/>
          </w:p>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4.采购文件（后缀名为“.kedt”）、供应商操作手册及政府采购客户端工具可通过“苏采云”系统--已报名项目--报名详情页面内相应链接进行下载。</w:t>
            </w:r>
            <w:r/>
          </w:p>
          <w:p>
            <w:pPr>
              <w:spacing w:line="360" w:lineRule="auto"/>
              <w:shd w:val="clear" w:color="auto" w:fill="ffffff"/>
              <w:widowControl/>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5.请潜在供应商提前安装相应的控件（详见《江苏省政府采购管理交易系统（苏采云）供应商操作手册》）并使用谷歌浏览器登录“苏采云”系统参与不见面开评标。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eastAsia="zh-CN"/>
              </w:rPr>
              <w:t xml:space="preserve">注：如潜在供应商未按上述要求操作，将自行承担所产生的风险。</w:t>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eastAsia="zh-CN"/>
              </w:rPr>
              <w:t xml:space="preserve">1</w:t>
            </w:r>
            <w:r>
              <w:rPr>
                <w:rFonts w:hint="eastAsia" w:ascii="宋体" w:hAnsi="宋体" w:eastAsia="宋体" w:cs="宋体"/>
                <w:b w:val="0"/>
                <w:bCs w:val="0"/>
                <w:color w:val="auto"/>
                <w:szCs w:val="21"/>
                <w:highlight w:val="none"/>
                <w:lang w:val="en-US" w:eastAsia="zh-CN"/>
              </w:rPr>
              <w:t xml:space="preserve">5</w:t>
            </w:r>
            <w:r/>
          </w:p>
        </w:tc>
        <w:tc>
          <w:tcPr>
            <w:tcW w:w="8886" w:type="dxa"/>
            <w:vAlign w:val="center"/>
            <w:textDirection w:val="lrTb"/>
            <w:noWrap w:val="false"/>
          </w:tcPr>
          <w:p>
            <w:pPr>
              <w:spacing w:line="360" w:lineRule="auto"/>
              <w:shd w:val="clear" w:color="auto" w:fill="ffffff"/>
              <w:widowControl/>
              <w:rPr>
                <w:rFonts w:hint="eastAsia" w:ascii="宋体" w:hAnsi="宋体" w:eastAsia="宋体" w:cs="宋体"/>
                <w:b w:val="0"/>
                <w:bCs w:val="0"/>
                <w:color w:val="auto"/>
                <w:szCs w:val="21"/>
                <w:highlight w:val="none"/>
                <w:lang w:eastAsia="zh-CN"/>
              </w:rPr>
            </w:pPr>
            <w:r/>
            <w:bookmarkStart w:id="83" w:name="OLE_LINK4"/>
            <w:r>
              <w:rPr>
                <w:rFonts w:hint="eastAsia" w:ascii="宋体" w:hAnsi="宋体" w:eastAsia="宋体" w:cs="宋体"/>
                <w:b w:val="0"/>
                <w:bCs w:val="0"/>
                <w:color w:val="auto"/>
                <w:szCs w:val="21"/>
                <w:highlight w:val="none"/>
                <w:lang w:val="en-US" w:eastAsia="zh-CN"/>
              </w:rPr>
              <w:t xml:space="preserve">本项目采购代理服务费用已纳入采购预算，根据苏财规【2026】1号文的相关规定，</w:t>
            </w:r>
            <w:r>
              <w:rPr>
                <w:rFonts w:hint="eastAsia" w:ascii="宋体" w:hAnsi="宋体" w:eastAsia="宋体" w:cs="宋体"/>
                <w:b w:val="0"/>
                <w:bCs w:val="0"/>
                <w:color w:val="auto"/>
                <w:szCs w:val="21"/>
                <w:highlight w:val="none"/>
                <w:lang w:val="zh-CN" w:eastAsia="zh-CN"/>
              </w:rPr>
              <w:t xml:space="preserve">代理费由</w:t>
            </w:r>
            <w:r>
              <w:rPr>
                <w:rFonts w:hint="eastAsia" w:ascii="宋体" w:hAnsi="宋体" w:eastAsia="宋体" w:cs="宋体"/>
                <w:b w:val="0"/>
                <w:bCs w:val="0"/>
                <w:color w:val="auto"/>
                <w:szCs w:val="21"/>
                <w:highlight w:val="none"/>
                <w:lang w:val="en-US" w:eastAsia="zh-CN"/>
              </w:rPr>
              <w:t xml:space="preserve">中标</w:t>
            </w:r>
            <w:r>
              <w:rPr>
                <w:rFonts w:hint="eastAsia" w:ascii="宋体" w:hAnsi="宋体" w:eastAsia="宋体" w:cs="宋体"/>
                <w:b w:val="0"/>
                <w:bCs w:val="0"/>
                <w:color w:val="auto"/>
                <w:szCs w:val="21"/>
                <w:highlight w:val="none"/>
                <w:lang w:val="zh-CN" w:eastAsia="zh-CN"/>
              </w:rPr>
              <w:t xml:space="preserve">供应商在领取</w:t>
            </w:r>
            <w:r>
              <w:rPr>
                <w:rFonts w:hint="eastAsia" w:ascii="宋体" w:hAnsi="宋体" w:cs="宋体"/>
                <w:b w:val="0"/>
                <w:bCs w:val="0"/>
                <w:color w:val="auto"/>
                <w:szCs w:val="21"/>
                <w:highlight w:val="none"/>
                <w:lang w:val="en-US" w:eastAsia="zh-CN"/>
              </w:rPr>
              <w:t xml:space="preserve">中标</w:t>
            </w:r>
            <w:r>
              <w:rPr>
                <w:rFonts w:hint="eastAsia" w:ascii="宋体" w:hAnsi="宋体" w:eastAsia="宋体" w:cs="宋体"/>
                <w:b w:val="0"/>
                <w:bCs w:val="0"/>
                <w:color w:val="auto"/>
                <w:szCs w:val="21"/>
                <w:highlight w:val="none"/>
                <w:lang w:val="zh-CN" w:eastAsia="zh-CN"/>
              </w:rPr>
              <w:t xml:space="preserve">通知书时一次性支付给代理机构。其中代理费按照国家计委印发的《</w:t>
            </w:r>
            <w:r>
              <w:rPr>
                <w:rFonts w:hint="eastAsia" w:ascii="宋体" w:hAnsi="宋体" w:eastAsia="宋体" w:cs="宋体"/>
                <w:b w:val="0"/>
                <w:bCs w:val="0"/>
                <w:color w:val="auto"/>
                <w:szCs w:val="21"/>
                <w:highlight w:val="none"/>
                <w:lang w:eastAsia="zh-CN"/>
              </w:rPr>
              <w:t xml:space="preserve">招标</w:t>
            </w:r>
            <w:r>
              <w:rPr>
                <w:rFonts w:hint="eastAsia" w:ascii="宋体" w:hAnsi="宋体" w:eastAsia="宋体" w:cs="宋体"/>
                <w:b w:val="0"/>
                <w:bCs w:val="0"/>
                <w:color w:val="auto"/>
                <w:szCs w:val="21"/>
                <w:highlight w:val="none"/>
                <w:lang w:val="zh-CN" w:eastAsia="zh-CN"/>
              </w:rPr>
              <w:t xml:space="preserve">代理服务收费管理暂行办法》（计价格[2002]1980号）取费标准下浮20%计取，计算基准值为每个分包中标价，不足3000元按3000元计取。</w:t>
            </w:r>
            <w:bookmarkEnd w:id="83"/>
            <w:r>
              <w:rPr>
                <w:rFonts w:hint="eastAsia" w:ascii="宋体" w:hAnsi="宋体" w:eastAsia="宋体" w:cs="宋体"/>
                <w:b w:val="0"/>
                <w:bCs w:val="0"/>
                <w:color w:val="auto"/>
                <w:szCs w:val="21"/>
                <w:highlight w:val="none"/>
                <w:lang w:val="zh-CN" w:eastAsia="zh-CN"/>
              </w:rPr>
              <w:t xml:space="preserve">以上费用已包含在响应报价中，不单独立项、不予单独结算，请各供应商在编制报价文件时务必充分考虑该费用因素，避免因报价疏漏造成损失</w:t>
            </w:r>
            <w:r>
              <w:rPr>
                <w:rFonts w:hint="eastAsia" w:ascii="宋体" w:hAnsi="宋体" w:eastAsia="宋体" w:cs="宋体"/>
                <w:b w:val="0"/>
                <w:bCs w:val="0"/>
                <w:color w:val="auto"/>
                <w:szCs w:val="21"/>
                <w:highlight w:val="none"/>
                <w:lang w:eastAsia="zh-CN"/>
              </w:rPr>
              <w:t xml:space="preserve">。</w:t>
            </w:r>
            <w:r/>
          </w:p>
        </w:tc>
      </w:tr>
      <w:tr>
        <w:trPr>
          <w:trHeight w:val="1069"/>
        </w:trPr>
        <w:tc>
          <w:tcPr>
            <w:tcW w:w="819" w:type="dxa"/>
            <w:vAlign w:val="center"/>
            <w:textDirection w:val="lrTb"/>
            <w:noWrap w:val="false"/>
          </w:tcPr>
          <w:p>
            <w:pPr>
              <w:jc w:val="cente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6</w:t>
            </w:r>
            <w:r/>
          </w:p>
        </w:tc>
        <w:tc>
          <w:tcPr>
            <w:tcW w:w="8886" w:type="dxa"/>
            <w:vAlign w:val="center"/>
            <w:textDirection w:val="lrTb"/>
            <w:noWrap w:val="false"/>
          </w:tcPr>
          <w:p>
            <w:pPr>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本项目所属行业：工业</w:t>
            </w:r>
            <w:r/>
          </w:p>
        </w:tc>
      </w:tr>
      <w:tr>
        <w:trPr>
          <w:trHeight w:val="1069"/>
        </w:trPr>
        <w:tc>
          <w:tcPr>
            <w:tcW w:w="819" w:type="dxa"/>
            <w:vAlign w:val="center"/>
            <w:textDirection w:val="lrTb"/>
            <w:noWrap w:val="false"/>
          </w:tcPr>
          <w:p>
            <w:pPr>
              <w:jc w:val="center"/>
              <w:spacing w:line="360" w:lineRule="auto"/>
              <w:shd w:val="clear" w:color="auto" w:fill="ffffff"/>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17</w:t>
            </w:r>
            <w:r/>
          </w:p>
        </w:tc>
        <w:tc>
          <w:tcPr>
            <w:tcW w:w="8886" w:type="dxa"/>
            <w:vAlign w:val="center"/>
            <w:textDirection w:val="lrTb"/>
            <w:noWrap w:val="false"/>
          </w:tcPr>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同一投标人可以同时参加2个分包，采用兼投不兼中的方式选择中标人，本项目评标委员会按照分包升序：分包一、分包二、顺序依次逐个进行评审，并按照得分由高到低的顺序推荐中标候选人，并标明排序，若投标供应商在前面任意一个分包中已经被推荐为第一中标候选人，则在后续分包中继续参与评审但不被推荐为中标候选人。</w:t>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04"/>
        <w:rPr>
          <w:rFonts w:hint="eastAsia" w:ascii="宋体" w:hAnsi="宋体" w:eastAsia="宋体" w:cs="宋体"/>
          <w:color w:val="auto"/>
          <w:highlight w:val="none"/>
        </w:rPr>
      </w:pPr>
      <w:r>
        <w:rPr>
          <w:rFonts w:hint="eastAsia" w:ascii="宋体" w:hAnsi="宋体" w:eastAsia="宋体" w:cs="宋体"/>
          <w:color w:val="auto"/>
          <w:highlight w:val="none"/>
        </w:rPr>
      </w:r>
      <w:bookmarkEnd w:id="9"/>
      <w:r/>
      <w:bookmarkEnd w:id="10"/>
      <w:r/>
      <w:bookmarkEnd w:id="11"/>
      <w:r/>
      <w:bookmarkEnd w:id="12"/>
      <w:r/>
      <w:bookmarkEnd w:id="13"/>
      <w:r/>
      <w:bookmarkEnd w:id="14"/>
      <w:r/>
      <w:bookmarkEnd w:id="15"/>
      <w:r/>
      <w:bookmarkEnd w:id="82"/>
      <w:r/>
      <w:r/>
    </w:p>
    <w:p>
      <w:pPr>
        <w:ind w:firstLine="48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bookmarkStart w:id="84" w:name="_Toc24788"/>
      <w:r/>
      <w:bookmarkEnd w:id="84"/>
      <w:r/>
      <w:bookmarkStart w:id="85" w:name="_Toc21286"/>
      <w:r/>
      <w:bookmarkStart w:id="86" w:name="_Toc18510"/>
      <w:r>
        <w:rPr>
          <w:rFonts w:hint="eastAsia" w:ascii="宋体" w:hAnsi="宋体" w:eastAsia="宋体" w:cs="宋体"/>
          <w:b/>
          <w:bCs/>
          <w:color w:val="auto"/>
          <w:szCs w:val="21"/>
          <w:highlight w:val="none"/>
        </w:rPr>
        <w:t xml:space="preserve">一、总 则</w:t>
      </w:r>
      <w:bookmarkEnd w:id="85"/>
      <w:r/>
      <w:bookmarkEnd w:id="86"/>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1.适用法律</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 《中华人民共和国政府采购法》《政府采购货物和服务招标投标管理办法》等有关法律、规章和规定等。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2.供应商定义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 “供应商”是指参加投标竞争，并符合招标文件规定资格条件的法人、其他组织或者自然人。</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3.货物和服务、用户或使用单位定义。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 “货物和服务”指本招标文件中所述产品及相关服务。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 “用户或使用单位”是指使用货物及接受服务的单位。</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4.政策功能</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4.1 中小企业政策</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（2）本项目非专门面向中小企业或小型、微型企业的项目，对符合规定的小微企业报价给予10%的扣除，用扣除后的价格参加评审。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（7）中小企业依据《政府采购促进中小企业发展管理办法》的通知（财库〔2020〕46号）、《关于</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4.2 </w:t>
      </w:r>
      <w:r>
        <w:rPr>
          <w:rFonts w:hint="eastAsia" w:ascii="宋体" w:hAnsi="宋体" w:eastAsia="宋体" w:cs="宋体"/>
          <w:color w:val="auto"/>
          <w:szCs w:val="21"/>
          <w:highlight w:val="none"/>
          <w:lang w:val="zh-CN"/>
        </w:rPr>
        <w:t xml:space="preserve">节能产品政策</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auto"/>
          <w:szCs w:val="21"/>
          <w:highlight w:val="none"/>
        </w:rPr>
        <w:t xml:space="preserve">评标标准</w:t>
      </w:r>
      <w:r>
        <w:rPr>
          <w:rFonts w:hint="eastAsia" w:ascii="宋体" w:hAnsi="宋体" w:eastAsia="宋体" w:cs="宋体"/>
          <w:color w:val="auto"/>
          <w:szCs w:val="21"/>
          <w:highlight w:val="none"/>
          <w:lang w:val="zh-CN"/>
        </w:rPr>
        <w:t xml:space="preserve">。</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4.3 </w:t>
      </w:r>
      <w:r>
        <w:rPr>
          <w:rFonts w:hint="eastAsia" w:ascii="宋体" w:hAnsi="宋体" w:eastAsia="宋体" w:cs="宋体"/>
          <w:color w:val="auto"/>
          <w:szCs w:val="21"/>
          <w:highlight w:val="none"/>
          <w:lang w:val="zh-CN"/>
        </w:rPr>
        <w:t xml:space="preserve">环境标志产品政策</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firstLine="480"/>
        <w:spacing w:line="360" w:lineRule="auto"/>
        <w:rPr>
          <w:rFonts w:hint="eastAsia" w:ascii="宋体" w:hAnsi="宋体" w:eastAsia="宋体" w:cs="宋体"/>
          <w:color w:val="auto"/>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auto"/>
          <w:szCs w:val="21"/>
          <w:highlight w:val="none"/>
        </w:rPr>
        <w:t xml:space="preserve">评标标准</w:t>
      </w:r>
      <w:r>
        <w:rPr>
          <w:rFonts w:hint="eastAsia" w:ascii="宋体" w:hAnsi="宋体" w:eastAsia="宋体" w:cs="宋体"/>
          <w:color w:val="auto"/>
          <w:szCs w:val="21"/>
          <w:highlight w:val="none"/>
          <w:lang w:val="zh-CN"/>
        </w:rPr>
        <w:t xml:space="preserve">。</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4.4 进口产品政策</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（2）允许进口产品参加的，满足需求的国内产品可以参加。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4.5 采购本国产品的支持政策</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蒸汽和热水、水，食品、饮料和烟草原料，无形资产。</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本国产品应当在中国境内生产，即在中华人民共和国关境内实现从原材料、组件到产品的属性改变。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具体内容如下：</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二、招标文件构成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5.1 招标文件由以下部分组成：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第一章 招标公告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w:instrText>
      </w:r>
      <w:r>
        <w:rPr>
          <w:rFonts w:hint="eastAsia" w:ascii="宋体" w:hAnsi="宋体" w:eastAsia="宋体" w:cs="宋体"/>
          <w:color w:val="auto"/>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auto"/>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第二章  投标供应商须知</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w:instrText>
      </w:r>
      <w:r>
        <w:rPr>
          <w:rFonts w:hint="eastAsia" w:ascii="宋体" w:hAnsi="宋体" w:eastAsia="宋体" w:cs="宋体"/>
          <w:color w:val="auto"/>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auto"/>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第三章 评标标准</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w:instrText>
      </w:r>
      <w:r>
        <w:rPr>
          <w:rFonts w:hint="eastAsia" w:ascii="宋体" w:hAnsi="宋体" w:eastAsia="宋体" w:cs="宋体"/>
          <w:color w:val="auto"/>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auto"/>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第四章 招标项目的技术规格、要求和数量等</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w:instrText>
      </w:r>
      <w:r>
        <w:rPr>
          <w:rFonts w:hint="eastAsia" w:ascii="宋体" w:hAnsi="宋体" w:eastAsia="宋体" w:cs="宋体"/>
          <w:color w:val="auto"/>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auto"/>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第五章 合同草案条款及格式</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w:instrText>
      </w:r>
      <w:r>
        <w:rPr>
          <w:rFonts w:hint="eastAsia" w:ascii="宋体" w:hAnsi="宋体" w:eastAsia="宋体" w:cs="宋体"/>
          <w:color w:val="auto"/>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auto"/>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第六章 投标文件格式</w:t>
      </w:r>
      <w:r>
        <w:rPr>
          <w:rFonts w:hint="eastAsia" w:ascii="宋体" w:hAnsi="宋体" w:eastAsia="宋体" w:cs="宋体"/>
          <w:color w:val="auto"/>
          <w:szCs w:val="21"/>
          <w:highlight w:val="none"/>
        </w:rPr>
        <w:fldChar w:fldCharType="end"/>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5.3 代理机构如果要求供应商按照招标文件规定提交备选供应商方案的，供应商可以提交备选方案；否则，备选方案将被拒绝。</w:t>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6.招标文件的澄清、补充或修改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三、投标文件的编制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7.投标文件的语言、计量单位、货币和编制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7.2 供应商所使用的计量单位应为国家法定计量单位。</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7.3 供应商应用人民币报价。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8.投标文件的组成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8.2投标文件由商务部分、技术部分、价格部分以及其他部分组成。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9.投标文件的商务部分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（1）★投标函（投标申请及声明）；</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（2）★法定代表人授权委托书及委托代理人的身份证明文件的</w:t>
      </w:r>
      <w:r>
        <w:rPr>
          <w:rFonts w:hint="eastAsia" w:ascii="宋体" w:hAnsi="宋体" w:eastAsia="宋体" w:cs="宋体"/>
          <w:color w:val="auto"/>
          <w:szCs w:val="21"/>
          <w:highlight w:val="none"/>
          <w:lang w:eastAsia="zh-CN"/>
        </w:rPr>
        <w:t xml:space="preserve">扫描件</w:t>
      </w:r>
      <w:r>
        <w:rPr>
          <w:rFonts w:hint="eastAsia" w:ascii="宋体" w:hAnsi="宋体" w:eastAsia="宋体" w:cs="宋体"/>
          <w:color w:val="auto"/>
          <w:szCs w:val="21"/>
          <w:highlight w:val="none"/>
        </w:rPr>
        <w:t xml:space="preserve">；</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（3）★第一章投标邀请书中《中华人民共和国政府采购法》规定的资格条件证明文件；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（4）第一章投标邀请书中采购人根据采购项目的特殊要求规定的特定条件证明文件；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（5）★《开标一览表》；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（6）《分项报价表》（如有）；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（7）★《商务条款偏离表》；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（8）合同草案条款；</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（9）供应商认为需要提供的其他资格证明文件和商务资料。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10.投标文件的技术部分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技术部分是证明供应商提供的货物或服务是合格的、并符合招标文件要求的证明文件，以及对服务</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（1）技术说明和服务方案；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（2）★《技术条款偏离表》；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（3）服务承诺；</w:t>
      </w:r>
      <w:r/>
    </w:p>
    <w:p>
      <w:pPr>
        <w:ind w:firstLine="688"/>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（4）供应商拟投入本项目的设备、人员情况一览表；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（5）供应商认为需要提供的其他技术资料。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11.投标文件的价格部分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11.1 价格部分是对货物或服务价格构成的说明，招标文件如没有特别说明的话，对每一项货物或服务仅接受一个价格。</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11.3 供应商的任何错漏、优惠、竞争性报价不得作为减轻责任、减少货物/服务、增加收费、降低质量的理由。</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11.6 本项目预算及</w:t>
      </w:r>
      <w:r>
        <w:rPr>
          <w:rFonts w:hint="eastAsia" w:ascii="宋体" w:hAnsi="宋体" w:eastAsia="宋体" w:cs="宋体"/>
          <w:b/>
          <w:bCs/>
          <w:color w:val="auto"/>
          <w:szCs w:val="21"/>
          <w:highlight w:val="none"/>
        </w:rPr>
        <w:t xml:space="preserve">最高限价</w:t>
      </w:r>
      <w:r>
        <w:rPr>
          <w:rFonts w:hint="eastAsia" w:ascii="宋体" w:hAnsi="宋体" w:eastAsia="宋体" w:cs="宋体"/>
          <w:b/>
          <w:bCs/>
          <w:color w:val="auto"/>
          <w:szCs w:val="21"/>
          <w:highlight w:val="none"/>
          <w:lang w:val="en-US" w:eastAsia="zh-CN"/>
        </w:rPr>
        <w:t xml:space="preserve">及分项限价</w:t>
      </w:r>
      <w:r>
        <w:rPr>
          <w:rFonts w:hint="eastAsia" w:ascii="宋体" w:hAnsi="宋体" w:eastAsia="宋体" w:cs="宋体"/>
          <w:color w:val="auto"/>
          <w:szCs w:val="21"/>
          <w:highlight w:val="none"/>
        </w:rPr>
        <w:t xml:space="preserve">详见招标公告，供应商的投标报价不得超过预算或</w:t>
      </w:r>
      <w:r>
        <w:rPr>
          <w:rFonts w:hint="eastAsia" w:ascii="宋体" w:hAnsi="宋体" w:eastAsia="宋体" w:cs="宋体"/>
          <w:b/>
          <w:bCs/>
          <w:color w:val="auto"/>
          <w:szCs w:val="21"/>
          <w:highlight w:val="none"/>
        </w:rPr>
        <w:t xml:space="preserve">最高限价</w:t>
      </w:r>
      <w:r>
        <w:rPr>
          <w:rFonts w:hint="eastAsia" w:ascii="宋体" w:hAnsi="宋体" w:eastAsia="宋体" w:cs="宋体"/>
          <w:b/>
          <w:bCs/>
          <w:color w:val="auto"/>
          <w:szCs w:val="21"/>
          <w:highlight w:val="none"/>
          <w:lang w:val="en-US" w:eastAsia="zh-CN"/>
        </w:rPr>
        <w:t xml:space="preserve">及分项限价</w:t>
      </w:r>
      <w:r>
        <w:rPr>
          <w:rFonts w:hint="eastAsia" w:ascii="宋体" w:hAnsi="宋体" w:eastAsia="宋体" w:cs="宋体"/>
          <w:color w:val="auto"/>
          <w:szCs w:val="21"/>
          <w:highlight w:val="none"/>
        </w:rPr>
        <w:t xml:space="preserve">。超过预算或</w:t>
      </w:r>
      <w:r>
        <w:rPr>
          <w:rFonts w:hint="eastAsia" w:ascii="宋体" w:hAnsi="宋体" w:eastAsia="宋体" w:cs="宋体"/>
          <w:b/>
          <w:bCs/>
          <w:color w:val="auto"/>
          <w:szCs w:val="21"/>
          <w:highlight w:val="none"/>
        </w:rPr>
        <w:t xml:space="preserve">最高限价</w:t>
      </w:r>
      <w:r>
        <w:rPr>
          <w:rFonts w:hint="eastAsia" w:ascii="宋体" w:hAnsi="宋体" w:eastAsia="宋体" w:cs="宋体"/>
          <w:b/>
          <w:bCs/>
          <w:color w:val="auto"/>
          <w:szCs w:val="21"/>
          <w:highlight w:val="none"/>
          <w:lang w:val="en-US" w:eastAsia="zh-CN"/>
        </w:rPr>
        <w:t xml:space="preserve">或分项限价</w:t>
      </w:r>
      <w:r>
        <w:rPr>
          <w:rFonts w:hint="eastAsia" w:ascii="宋体" w:hAnsi="宋体" w:eastAsia="宋体" w:cs="宋体"/>
          <w:color w:val="auto"/>
          <w:szCs w:val="21"/>
          <w:highlight w:val="none"/>
        </w:rPr>
        <w:t xml:space="preserve">的投标文件，按无效投标处理。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12.投标文件的其他部分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12.1 其他部分由供应商根据编制投标文件需要提供的其他相关文件。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13.投标保证金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本项目无需缴纳投标保证金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14.投标有效期</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14.1 自开标之日起90天内投标有效。</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15.投标文件签署</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15.1 投标文件由投标供应商法定代表人或经正式授权并对投标供应商有约束力的委托代理人签字。</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16.投标费用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16.1 供应商应承担所有与准备和参加投标有关的费用，无论采购结果如何，代理机构和采购人在任何情况下均无义务和责任承担这些费用。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16.2 本项目采购代理服务费用已纳入采购预算，根据苏财规【2026】1号文的相关规定，代理费由中标供应商在领取中标通知书时一次性支付给代理机构。其中代理费按照国家计委印发的《招标代理服务收费管理暂行办法》（计价格[2002]1980号）取费标准下浮20%计取，计算基准值为每个分包中标价，不足3000元按3000元计取。以上费用已包含在响应报价中，不单独立项、不予单独结算，请各供应商在编制报价文件时务必充分考虑该费用因素，避免因报价疏漏造成损失。</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四、投标文件的递交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17.投标文件的递交</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17.1 电子投标文件的递交：投标人应当按照《操作手册》规定，在投标截止时间前制作并上传电子投标文件。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18.有下列情形的投标文件将拒收：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18.1 采购人（代理机构）拒绝接收在其规定的投标截止时间后上传的任何投标文件。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19.投标文件的修改和撤回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 投标文件的撤回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19.1.1 电子投标文件的撤回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19.1.2 投标人撤回电子投标文件，则认为其不再参与本项目投标活动。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 投标文件的修改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19.2.1投标人可在投标截止时间前，对其电子投标文件进行修改，具体操作方法见《操作手册》。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19.2.2 在投标截止时间之后，投标人不得对其电子投标文件作任何修改。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19.3 在投标截止时间至招标文件中规定的投标有效期满之间的这段时间内，投标人不得撤回其投标文件。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20.诚实信用</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20.1 投标供应商之间不得相互串通投标报价，不得妨碍其他投标供应商的公平竞争，不得损害采购人和其他投标供应商的合法权益。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20.2 投标供应商不得以向代理机构工作人员、评标委员会成员行贿或者采取其他不正当手段谋取中标。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五、开标、评标与定标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21.开标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21.2 开标仪式由代理机构组织。苏采云系统将自动对项目进行开标，并宣布各投标人名称和投标价格。</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21.5 开标时，《开标一览表》内容与投标文件中明细表内容不一致的，以《开标一览表》为准。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21.7 投标截止时间结束后参加投标的供应商不足三家的，不得开标。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22.评标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 评标组织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22.1.1 评标工作由代理机构负责组织，具体评标事务由依法组建的评标委员会负责，并独立履行下列职责：</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（1）审查投标文件是否符合招标文件要求，并作出评价；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（2）要求投标供应商对投标文件有关事项作出解释或者澄清；</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（3）推荐中标候选供应商名单，或者按照招标文件规定直接确定中标供应商；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（4）向代理机构或者有关部门报告非法干预评标工作的行为。</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22.1.2 评标委员会由采购人代表和有关技术方面的专家组成，独立开展评审工作。</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 评标程序</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（1）不具备招标文件中规定的资格条件的；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（2）未按照招标文件规定要求签署、盖章的 ；</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（3）供应商被“信用中国”网站（www.creditchina.gov.cn）、“中国政府采购网”（www.ccgp.gov.cn）列入失信被执行人、重大税收违法失信主体名单、政府采购严重违法失信行为记录名单的。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（4）未实质性响应招标要求的；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（5）提供虚假材料的（包括营业执照、财务报表、资格证明文件等）；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（7）改变采购文件提供的项目清单中的计量单位、数量；</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（8）响应文件载明的采购项目完成期限超过采购文件规定的期限；</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（9）明显不符合技术规范、技术标准的要求；</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（10）法律法规和招标文件规定的其他无效情形。</w:t>
      </w:r>
      <w:r/>
    </w:p>
    <w:p>
      <w:pPr>
        <w:ind w:firstLine="480"/>
        <w:spacing w:line="360" w:lineRule="auto"/>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（11）不同供应商的响应文件以及响应文件制作过程出现了评标委员会认为不应当雷同的情况的</w:t>
      </w:r>
      <w:r>
        <w:rPr>
          <w:rFonts w:hint="eastAsia" w:ascii="宋体" w:hAnsi="宋体" w:eastAsia="宋体" w:cs="宋体"/>
          <w:color w:val="auto"/>
          <w:szCs w:val="21"/>
          <w:highlight w:val="none"/>
          <w:lang w:eastAsia="zh-CN"/>
        </w:rPr>
        <w:t xml:space="preserve">。</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不符合法律法规和采购文件规定的其他实质性要求的。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22.2.2.1 实质性要求是指：</w:t>
      </w:r>
      <w:r>
        <w:rPr>
          <w:rFonts w:hint="eastAsia" w:ascii="宋体" w:hAnsi="宋体" w:eastAsia="宋体" w:cs="宋体"/>
          <w:color w:val="auto"/>
          <w:sz w:val="21"/>
          <w:szCs w:val="21"/>
          <w:highlight w:val="none"/>
          <w:lang w:val="zh-CN" w:eastAsia="zh-CN"/>
        </w:rPr>
        <w:t xml:space="preserve">用“★”加注或特别说明的内容为实质性要求。</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22.2.2.2有下列情形之一的予以废标，同时将废标理由通知所有供应商：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（1）符合专业条件的供应商或者对招标文件做实质性响应的供应商不足三家的；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（2）出现影响采购公正的违法、违规行为的；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（3）供应商的报价均超过了采购预算或者最高限价的，采购人不能支付的；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（4）因重大变故，采购任务取消的。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（5）投标文件存在歧义、重大缺陷，或者招标文件内容违反国家有关强制性规定的。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22.2.2.3</w:t>
      </w:r>
      <w:r>
        <w:rPr>
          <w:rFonts w:hint="eastAsia" w:ascii="宋体" w:hAnsi="宋体" w:eastAsia="宋体" w:cs="宋体"/>
          <w:color w:val="auto"/>
          <w:szCs w:val="21"/>
          <w:highlight w:val="none"/>
        </w:rPr>
        <w:t xml:space="preserve"> 在评标期间，出现符合专业条件的供应商或者对招标文件作出实质性响应的供应商不足三家情形的，不得继续进行评标。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22.2.3 澄清有关问题。对投标文件中含</w:t>
      </w:r>
      <w:r>
        <w:rPr>
          <w:rFonts w:hint="eastAsia" w:ascii="宋体" w:hAnsi="宋体" w:eastAsia="宋体" w:cs="宋体"/>
          <w:color w:val="auto"/>
          <w:szCs w:val="21"/>
          <w:highlight w:val="none"/>
        </w:rPr>
        <w:t xml:space="preserve">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项权利。</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22.2.4 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 评标方法和标准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22.3.2 综合评分的主要因素是：价格、商务部分、技术部分等；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22.3.3 评分标准详见第三章</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23.1 采用综合评分法的，评标结果按评审后得分由高到低顺序排列，并编写评审报告。</w:t>
      </w:r>
      <w:r>
        <w:rPr>
          <w:rFonts w:hint="eastAsia" w:ascii="宋体" w:hAnsi="宋体" w:cs="宋体"/>
          <w:color w:val="auto"/>
          <w:szCs w:val="21"/>
          <w:highlight w:val="none"/>
        </w:rPr>
        <w:t xml:space="preserve">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color w:val="auto"/>
          <w:szCs w:val="21"/>
          <w:highlight w:val="none"/>
        </w:rPr>
        <w:t xml:space="preserve">。</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23.2 中标候选人确定后，默认按照以下第（2）种方式确定中标供应商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（1）评标委员会直接确定排名第一的中标候选人为中标供应商；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（2）采购人在评标报告确定的中标候选人名单中按顺序确定中标供应商。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23.4 中标通知书对采购人和中标供应商具有同等法律效力。</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23.7 代理机构对未中标的投标供应商不作未中标原因的解释。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23.8 所有投标文件都将作为档案保存，不论中标与否，代理机构均不退回。</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24.编写评标报告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24.1 评标委员会根据全体评标成员签字的原始评标记录和评标结果编写评标报告。</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25.评标过程的保密性</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 代理机构将采取必要措施，保证评标在严格保密的情况下进行。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25.2 任何单位和个人不得非法干预、影响评标办法的确定，以及评标过程和结果。</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25.3 凡是与审查、澄清、评价和比较投标的有关资料等，均不向投标供应商及与评标无关的其他人员透露。</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六、签订合同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26.签订合同</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26.3 中标供应商因不可抗力或者自身原因不能履行政府采购合同的，采购人可以重新招标。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七、质疑和投诉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27.质疑</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27.1 供应商对采购活动事项有疑问的，可以向代理机构提出询问，代理机构将依法作出答复，但答复的内容不涉及商业秘密。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上述应知其权益受到损害之日，是指：</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（2）对采购过程提出质疑的，为各采购程序环节结束之日；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质疑文件接收信息：</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（1）接收单位：采购代理机构</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（2）联 系 人：</w:t>
      </w:r>
      <w:r>
        <w:rPr>
          <w:rFonts w:hint="eastAsia" w:ascii="宋体" w:hAnsi="宋体" w:eastAsia="宋体" w:cs="宋体"/>
          <w:color w:val="auto"/>
          <w:szCs w:val="21"/>
          <w:highlight w:val="none"/>
          <w:lang w:val="en-US" w:eastAsia="zh-CN"/>
        </w:rPr>
        <w:t xml:space="preserve">曹雪</w:t>
      </w:r>
      <w:r>
        <w:rPr>
          <w:rFonts w:hint="eastAsia" w:ascii="宋体" w:hAnsi="宋体" w:eastAsia="宋体" w:cs="宋体"/>
          <w:color w:val="auto"/>
          <w:szCs w:val="21"/>
          <w:highlight w:val="none"/>
        </w:rPr>
        <w:t xml:space="preserve">  </w:t>
      </w:r>
      <w:r/>
    </w:p>
    <w:p>
      <w:pPr>
        <w:ind w:firstLine="480"/>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（3）联系电话：025-</w:t>
      </w:r>
      <w:r>
        <w:rPr>
          <w:rFonts w:hint="eastAsia" w:ascii="宋体" w:hAnsi="宋体" w:eastAsia="宋体" w:cs="宋体"/>
          <w:color w:val="auto"/>
          <w:szCs w:val="21"/>
          <w:highlight w:val="none"/>
          <w:lang w:val="en-US" w:eastAsia="zh-CN"/>
        </w:rPr>
        <w:t xml:space="preserve">58066836</w:t>
      </w:r>
      <w:r/>
    </w:p>
    <w:p>
      <w:pPr>
        <w:ind w:firstLine="480"/>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（4）联系邮箱：</w:t>
      </w:r>
      <w:r>
        <w:rPr>
          <w:rFonts w:hint="eastAsia" w:ascii="宋体" w:hAnsi="宋体" w:eastAsia="宋体" w:cs="宋体"/>
          <w:color w:val="auto"/>
          <w:szCs w:val="21"/>
          <w:highlight w:val="none"/>
          <w:lang w:val="en-US" w:eastAsia="zh-CN"/>
        </w:rPr>
        <w:t xml:space="preserve">274365730@qq.com</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（5）接收地址：南京市建邺区云龙山路89号龙湖时代1栋29楼</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（6）邮  编：210019</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27.3 质疑文件应包括以下主要内容，并按照“谁主张、谁举证”的原则，附上相关证明材料。否则，代理机构不予受理：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（1）质疑项目名称、项目编号、招标公告发布时间、开标时间；</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（2）具体的质疑事项及法律依据（具体条款）；</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（3）质疑相关证明文件或证明材料，如果涉及产品功能或技术指标的，应出具相关制造商的证明文件；</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（4）质疑供应商名称、地址、联系方式（包括手机、传真号码）；</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28.投诉</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28.1 质疑投标供应商对代理机构的答复不满意，或代理机构未在规定的时间内作出答复的，可以在答复期满后十五个工作日内向采购人同级财政部门投诉。</w:t>
      </w:r>
      <w:r/>
    </w:p>
    <w:p>
      <w:pPr>
        <w:rPr>
          <w:color w:val="auto"/>
          <w:highlight w:val="none"/>
        </w:rPr>
      </w:pPr>
      <w:r>
        <w:rPr>
          <w:color w:val="auto"/>
          <w:highlight w:val="none"/>
        </w:rPr>
      </w:r>
      <w:r/>
    </w:p>
    <w:p>
      <w:pPr>
        <w:ind w:firstLine="420"/>
        <w:spacing w:line="360" w:lineRule="auto"/>
        <w:rPr>
          <w:rFonts w:hint="eastAsia" w:ascii="宋体" w:hAnsi="宋体" w:cs="宋体"/>
          <w:bCs/>
          <w:color w:val="auto"/>
          <w:szCs w:val="21"/>
          <w:highlight w:val="none"/>
        </w:rPr>
        <w:sectPr>
          <w:headerReference w:type="default" r:id="rId11"/>
          <w:footerReference w:type="default" r:id="rId13"/>
          <w:footnotePr/>
          <w:endnotePr/>
          <w:type w:val="nextPage"/>
          <w:pgSz w:w="11910" w:h="16840" w:orient="portrait"/>
          <w:pgMar w:top="1480" w:right="1200" w:bottom="1200" w:left="1000" w:header="850" w:footer="964" w:gutter="0"/>
          <w:pgNumType w:start="1"/>
          <w:cols w:num="1" w:sep="0" w:space="720" w:equalWidth="1"/>
          <w:docGrid w:linePitch="360"/>
        </w:sectPr>
      </w:pPr>
      <w:r>
        <w:rPr>
          <w:rFonts w:hint="eastAsia" w:ascii="宋体" w:hAnsi="宋体" w:cs="宋体"/>
          <w:bCs/>
          <w:color w:val="auto"/>
          <w:szCs w:val="21"/>
          <w:highlight w:val="none"/>
        </w:rPr>
      </w:r>
      <w:r/>
    </w:p>
    <w:p>
      <w:pPr>
        <w:jc w:val="center"/>
        <w:spacing w:line="360" w:lineRule="auto"/>
        <w:shd w:val="clear" w:color="auto" w:fill="ffffff"/>
        <w:widowControl/>
        <w:rPr>
          <w:rFonts w:hint="eastAsia" w:ascii="宋体" w:hAnsi="宋体" w:cs="宋体"/>
          <w:color w:val="auto"/>
          <w:highlight w:val="none"/>
        </w:rPr>
        <w:outlineLvl w:val="0"/>
      </w:pPr>
      <w:r/>
      <w:bookmarkStart w:id="87" w:name="_Toc20291"/>
      <w:r>
        <w:rPr>
          <w:rFonts w:hint="eastAsia" w:ascii="宋体" w:hAnsi="宋体" w:cs="宋体"/>
          <w:b/>
          <w:color w:val="auto"/>
          <w:sz w:val="28"/>
          <w:szCs w:val="28"/>
          <w:highlight w:val="none"/>
        </w:rPr>
        <w:t xml:space="preserve">第三章 评标标准</w:t>
      </w:r>
      <w:bookmarkEnd w:id="87"/>
      <w:r/>
      <w:bookmarkStart w:id="88" w:name="_Toc522347554"/>
      <w:r/>
      <w:bookmarkEnd w:id="88"/>
      <w:r/>
      <w:bookmarkStart w:id="89" w:name="_Toc25032666"/>
      <w:r/>
      <w:bookmarkEnd w:id="89"/>
      <w:r/>
      <w:bookmarkStart w:id="90" w:name="_Toc189726853"/>
      <w:r/>
      <w:bookmarkEnd w:id="90"/>
      <w:r/>
      <w:bookmarkStart w:id="91" w:name="_Hlk297273538"/>
      <w:r/>
      <w:bookmarkEnd w:id="91"/>
      <w:r/>
      <w:bookmarkStart w:id="92" w:name="_Toc142623417"/>
      <w:r/>
      <w:bookmarkEnd w:id="92"/>
      <w:r/>
      <w:bookmarkStart w:id="93" w:name="_Toc163629751"/>
      <w:r/>
      <w:bookmarkEnd w:id="93"/>
      <w:r/>
      <w:bookmarkStart w:id="94" w:name="_Toc521839351"/>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w:t>
      </w:r>
      <w:r>
        <w:rPr>
          <w:rFonts w:hint="eastAsia" w:ascii="宋体" w:hAnsi="宋体" w:cs="宋体"/>
          <w:b/>
          <w:bCs/>
          <w:color w:val="auto"/>
          <w:szCs w:val="21"/>
          <w:highlight w:val="none"/>
        </w:rPr>
        <w:t xml:space="preserve">综合评分法</w:t>
      </w:r>
      <w:r>
        <w:rPr>
          <w:rFonts w:hint="eastAsia" w:ascii="宋体" w:hAnsi="宋体" w:cs="宋体"/>
          <w:color w:val="auto"/>
          <w:szCs w:val="21"/>
          <w:highlight w:val="none"/>
        </w:rPr>
        <w:t xml:space="preserve">确定中标候选人。评标委员会将按以下评标办法和标准进行评分。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总分值为100分，小数点后保留两位。</w:t>
      </w:r>
      <w:r>
        <w:rPr>
          <w:rFonts w:hint="eastAsia" w:ascii="宋体" w:hAnsi="宋体" w:eastAsia="宋体" w:cs="宋体"/>
          <w:color w:val="auto"/>
          <w:szCs w:val="21"/>
          <w:highlight w:val="none"/>
        </w:rPr>
        <w:t xml:space="preserve">评标结果按评审后得分由高到低顺序排列，并编写评审报告。</w:t>
      </w:r>
      <w:r>
        <w:rPr>
          <w:rFonts w:hint="eastAsia" w:ascii="宋体" w:hAnsi="宋体" w:cs="宋体"/>
          <w:color w:val="auto"/>
          <w:szCs w:val="21"/>
          <w:highlight w:val="none"/>
        </w:rPr>
        <w:t xml:space="preserve">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分包一：</w:t>
      </w:r>
      <w:r/>
    </w:p>
    <w:tbl>
      <w:tblPr>
        <w:tblStyle w:val="1209"/>
        <w:tblpPr w:horzAnchor="page" w:tblpX="1429" w:vertAnchor="text" w:tblpY="1" w:leftFromText="181" w:topFromText="0" w:rightFromText="181" w:bottomFromText="0"/>
        <w:tblW w:w="9325" w:type="dxa"/>
        <w:tblInd w:w="0" w:type="dxa"/>
        <w:tblLayout w:type="fixed"/>
        <w:tblCellMar>
          <w:left w:w="108" w:type="dxa"/>
          <w:top w:w="0" w:type="dxa"/>
          <w:right w:w="108" w:type="dxa"/>
          <w:bottom w:w="0" w:type="dxa"/>
        </w:tblCellMar>
        <w:tblLook w:val="04A0" w:firstRow="1" w:lastRow="0" w:firstColumn="1" w:lastColumn="0" w:noHBand="0" w:noVBand="1"/>
      </w:tblPr>
      <w:tblGrid>
        <w:gridCol w:w="1000"/>
        <w:gridCol w:w="1525"/>
        <w:gridCol w:w="6800"/>
      </w:tblGrid>
      <w:tr>
        <w:trPr>
          <w:trHeight w:val="529"/>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1218"/>
              <w:jc w:val="center"/>
              <w:spacing w:line="360" w:lineRule="auto"/>
              <w:rPr>
                <w:rFonts w:hint="eastAsia" w:cs="仿宋"/>
                <w:b/>
                <w:color w:val="auto"/>
                <w:highlight w:val="none"/>
                <w:lang w:val="en-US"/>
              </w:rPr>
            </w:pPr>
            <w:r/>
            <w:bookmarkStart w:id="95" w:name="OLE_LINK7"/>
            <w:r>
              <w:rPr>
                <w:rFonts w:hint="eastAsia" w:cs="仿宋"/>
                <w:b/>
                <w:color w:val="auto"/>
                <w:sz w:val="22"/>
                <w:szCs w:val="22"/>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仿宋"/>
                <w:b/>
                <w:color w:val="auto"/>
                <w:highlight w:val="none"/>
              </w:rPr>
            </w:pPr>
            <w:r>
              <w:rPr>
                <w:rFonts w:hint="eastAsia" w:ascii="宋体" w:hAnsi="宋体" w:eastAsia="宋体" w:cs="仿宋"/>
                <w:b/>
                <w:color w:val="auto"/>
                <w:highlight w:val="none"/>
              </w:rPr>
              <w:t xml:space="preserve">评分因素</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ind w:firstLine="482"/>
              <w:jc w:val="center"/>
              <w:spacing w:line="360" w:lineRule="auto"/>
              <w:rPr>
                <w:rFonts w:hint="eastAsia" w:ascii="宋体" w:hAnsi="宋体" w:eastAsia="宋体" w:cs="仿宋"/>
                <w:b/>
                <w:color w:val="auto"/>
                <w:highlight w:val="none"/>
                <w:lang w:eastAsia="zh-CN"/>
              </w:rPr>
            </w:pPr>
            <w:r>
              <w:rPr>
                <w:rFonts w:hint="eastAsia" w:ascii="宋体" w:hAnsi="宋体" w:eastAsia="宋体" w:cs="仿宋"/>
                <w:b/>
                <w:color w:val="auto"/>
                <w:highlight w:val="none"/>
                <w:lang w:val="en-US" w:eastAsia="zh-CN"/>
              </w:rPr>
              <w:t xml:space="preserve">评标</w:t>
            </w:r>
            <w:r>
              <w:rPr>
                <w:rFonts w:hint="eastAsia" w:ascii="宋体" w:hAnsi="宋体" w:eastAsia="宋体" w:cs="仿宋"/>
                <w:b/>
                <w:color w:val="auto"/>
                <w:highlight w:val="none"/>
                <w:lang w:eastAsia="zh-CN"/>
              </w:rPr>
              <w:t xml:space="preserve">标准</w:t>
            </w:r>
            <w:r/>
          </w:p>
        </w:tc>
      </w:tr>
      <w:tr>
        <w:trPr>
          <w:trHeight w:val="1081"/>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1</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ind w:firstLine="210"/>
              <w:jc w:val="both"/>
              <w:spacing w:line="360" w:lineRule="auto"/>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报价</w:t>
            </w:r>
            <w:r/>
          </w:p>
          <w:p>
            <w:pPr>
              <w:jc w:val="both"/>
              <w:spacing w:line="360" w:lineRule="auto"/>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w:t>
            </w:r>
            <w:r>
              <w:rPr>
                <w:rFonts w:hint="eastAsia" w:ascii="宋体" w:hAnsi="宋体" w:eastAsia="宋体" w:cs="仿宋"/>
                <w:color w:val="auto"/>
                <w:sz w:val="21"/>
                <w:szCs w:val="21"/>
                <w:highlight w:val="none"/>
                <w:lang w:eastAsia="zh-CN"/>
              </w:rPr>
              <w:t xml:space="preserve">30</w:t>
            </w:r>
            <w:r>
              <w:rPr>
                <w:rFonts w:hint="eastAsia" w:ascii="宋体" w:hAnsi="宋体" w:eastAsia="宋体" w:cs="仿宋"/>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仿宋"/>
                <w:color w:val="auto"/>
                <w:highlight w:val="none"/>
                <w:lang w:val="en-US" w:eastAsia="zh-CN"/>
              </w:rPr>
            </w:pPr>
            <w:r/>
            <w:bookmarkStart w:id="96" w:name="_Toc22810"/>
            <w:r/>
            <w:bookmarkStart w:id="97" w:name="_Toc16723"/>
            <w:r>
              <w:rPr>
                <w:rFonts w:hint="eastAsia" w:ascii="Times New Roman" w:hAnsi="Times New Roman" w:eastAsia="宋体" w:cs="Times New Roman"/>
                <w:color w:val="auto"/>
                <w:sz w:val="21"/>
                <w:szCs w:val="22"/>
                <w:highlight w:val="none"/>
                <w:lang w:val="en-US" w:eastAsia="zh-CN" w:bidi="ar-SA"/>
              </w:rPr>
              <w:t xml:space="preserve">满足采购文件要求且最低的报价为评标基准价，其价格分为满分</w:t>
            </w:r>
            <w:r>
              <w:rPr>
                <w:rFonts w:hint="eastAsia" w:ascii="宋体" w:hAnsi="宋体" w:eastAsia="宋体"/>
                <w:bCs/>
                <w:color w:val="auto"/>
                <w:sz w:val="21"/>
                <w:szCs w:val="21"/>
                <w:highlight w:val="none"/>
                <w:lang w:val="en-US" w:eastAsia="zh-CN"/>
              </w:rPr>
              <w:t xml:space="preserve">。其他供应商的价格分统一按照下列公式计算：响应报价得分=(评审基准价/投标报价)×30（小数点保留两位）</w:t>
            </w:r>
            <w:bookmarkEnd w:id="96"/>
            <w:r/>
            <w:bookmarkEnd w:id="97"/>
            <w:r/>
            <w:r/>
          </w:p>
        </w:tc>
      </w:tr>
      <w:tr>
        <w:trPr>
          <w:trHeight w:val="4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2</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技术参数</w:t>
            </w:r>
            <w:r/>
          </w:p>
          <w:p>
            <w:pPr>
              <w:jc w:val="both"/>
              <w:spacing w:line="360" w:lineRule="auto"/>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（30分）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Times New Roman"/>
                <w:bCs/>
                <w:color w:val="auto"/>
                <w:sz w:val="21"/>
                <w:szCs w:val="21"/>
                <w:highlight w:val="none"/>
                <w:lang w:val="en-US" w:eastAsia="zh-CN" w:bidi="ar-SA"/>
              </w:rPr>
            </w:pPr>
            <w:r/>
            <w:bookmarkStart w:id="98" w:name="_Toc25374"/>
            <w:r/>
            <w:bookmarkStart w:id="99" w:name="_Toc7688"/>
            <w:r>
              <w:rPr>
                <w:rFonts w:hint="eastAsia" w:ascii="宋体" w:hAnsi="宋体" w:eastAsia="宋体" w:cs="Times New Roman"/>
                <w:bCs/>
                <w:color w:val="auto"/>
                <w:sz w:val="21"/>
                <w:szCs w:val="21"/>
                <w:highlight w:val="none"/>
                <w:lang w:val="en-US" w:eastAsia="zh-CN" w:bidi="ar-SA"/>
              </w:rPr>
              <w:t xml:space="preserve">根据 “采购项目需求”响应情况进行打分。完全符合技术参数及配置要求且提供了技术条款偏离表的得满分30分。1.带“★”项的技术指标，负偏离为无效投标。2.带“▲”项的技术指标，每负偏离一项扣1.5分，扣完为止。3.非“▲”项</w:t>
            </w:r>
            <w:r>
              <w:rPr>
                <w:rFonts w:hint="eastAsia" w:ascii="宋体" w:hAnsi="宋体" w:eastAsia="宋体" w:cs="Times New Roman"/>
                <w:bCs/>
                <w:color w:val="auto"/>
                <w:sz w:val="21"/>
                <w:szCs w:val="21"/>
                <w:highlight w:val="none"/>
                <w:lang w:val="en-US" w:eastAsia="zh-CN" w:bidi="ar-SA"/>
              </w:rPr>
              <w:t xml:space="preserve">的技术指标，每负偏离一项扣0.5分，扣完为止。（备注：凡标有最低一级序号的指标项即为一项技术条款，无论是否隶属于上一级编号；投标人需在技术条款偏离表中逐条进行应答，列明所投产品详细技术特性，并说明偏离情况。带“▲”项的技术指标需提供列有技术参数且完整的厂家产品彩页或产品说明书或网站截图（附官网链接）或实物照片等证明材料（需求中有其他要求的从其要求），以佐证所投产品的主要技术参数及功能。非“▲”项技术指标未有要求的则以技术条款偏离表中应答为准（需求中有其他要求的从其要求）。未按要求提供证明材料的视为负偏离。）</w:t>
            </w:r>
            <w:bookmarkEnd w:id="98"/>
            <w:r/>
            <w:bookmarkEnd w:id="99"/>
            <w:r/>
            <w:r/>
          </w:p>
        </w:tc>
      </w:tr>
      <w:tr>
        <w:trPr>
          <w:trHeight w:val="233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3</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供货方案</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7</w:t>
            </w:r>
            <w:r>
              <w:rPr>
                <w:rFonts w:hint="eastAsia" w:ascii="宋体" w:hAnsi="宋体" w:eastAsia="宋体" w:cs="仿宋"/>
                <w:color w:val="auto"/>
                <w:sz w:val="21"/>
                <w:szCs w:val="21"/>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根据供应商针对本项目的采购方案（包括购买、包装、运输）、设备使用应急替换方案、进度、质量、安全控制措施等进行综合评分。</w:t>
            </w:r>
            <w:r/>
          </w:p>
          <w:p>
            <w:pPr>
              <w:jc w:val="both"/>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方案具有全面性、科学性、合理性和可操作性的得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eastAsia="zh-TW"/>
              </w:rPr>
              <w:t xml:space="preserve">分；</w:t>
            </w:r>
            <w:r/>
          </w:p>
          <w:p>
            <w:pPr>
              <w:jc w:val="both"/>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方案略有瑕疵，具有的科学性、合理性和可操作性一般的得5分；</w:t>
            </w:r>
            <w:r/>
          </w:p>
          <w:p>
            <w:pPr>
              <w:jc w:val="both"/>
              <w:spacing w:line="360" w:lineRule="auto"/>
              <w:widowControl/>
              <w:rPr>
                <w:rFonts w:hint="eastAsia" w:ascii="宋体" w:hAnsi="宋体" w:eastAsia="PMingLiU"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方案片面，且具有的科学性、合理性和可操作性较差的得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分；未提供不得分。</w:t>
            </w:r>
            <w:r/>
          </w:p>
        </w:tc>
      </w:tr>
      <w:tr>
        <w:trPr>
          <w:trHeight w:val="416"/>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zh-TW" w:eastAsia="zh-CN"/>
              </w:rPr>
              <w:t xml:space="preserve">产品详细配置、备品备件（</w:t>
            </w:r>
            <w:r>
              <w:rPr>
                <w:rFonts w:hint="eastAsia" w:ascii="宋体" w:hAnsi="宋体" w:cs="仿宋"/>
                <w:color w:val="auto"/>
                <w:sz w:val="21"/>
                <w:szCs w:val="21"/>
                <w:highlight w:val="none"/>
                <w:lang w:val="en-US" w:eastAsia="zh-CN"/>
              </w:rPr>
              <w:t xml:space="preserve">7</w:t>
            </w:r>
            <w:r>
              <w:rPr>
                <w:rFonts w:hint="eastAsia" w:ascii="宋体" w:hAnsi="宋体" w:eastAsia="宋体" w:cs="仿宋"/>
                <w:color w:val="auto"/>
                <w:sz w:val="21"/>
                <w:szCs w:val="21"/>
                <w:highlight w:val="none"/>
                <w:lang w:val="en-US" w:eastAsia="zh-CN"/>
              </w:rPr>
              <w:t xml:space="preserve">分</w:t>
            </w:r>
            <w:r>
              <w:rPr>
                <w:rFonts w:hint="eastAsia" w:ascii="宋体" w:hAnsi="宋体" w:eastAsia="宋体" w:cs="仿宋"/>
                <w:color w:val="auto"/>
                <w:sz w:val="21"/>
                <w:szCs w:val="21"/>
                <w:highlight w:val="none"/>
                <w:lang w:val="zh-TW" w:eastAsia="zh-CN"/>
              </w:rPr>
              <w:t xml:space="preserve">）</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根据供应商提供的所投产品的详细配置、备品备件等满足</w:t>
            </w:r>
            <w:r>
              <w:rPr>
                <w:rFonts w:hint="eastAsia" w:ascii="宋体" w:hAnsi="宋体" w:eastAsia="宋体" w:cs="仿宋"/>
                <w:color w:val="auto"/>
                <w:sz w:val="21"/>
                <w:szCs w:val="21"/>
                <w:highlight w:val="none"/>
                <w:lang w:val="en-US" w:eastAsia="zh-CN"/>
              </w:rPr>
              <w:t xml:space="preserve">采购</w:t>
            </w:r>
            <w:r>
              <w:rPr>
                <w:rFonts w:hint="eastAsia" w:ascii="宋体" w:hAnsi="宋体" w:eastAsia="宋体" w:cs="仿宋"/>
                <w:color w:val="auto"/>
                <w:sz w:val="21"/>
                <w:szCs w:val="21"/>
                <w:highlight w:val="none"/>
                <w:lang w:val="zh-TW" w:eastAsia="zh-CN"/>
              </w:rPr>
              <w:t xml:space="preserve">要求的情况进行综合评分。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方案详细，全面，满足招标文件要求的，得</w:t>
            </w:r>
            <w:r>
              <w:rPr>
                <w:rFonts w:hint="eastAsia" w:ascii="宋体" w:hAnsi="宋体" w:cs="仿宋"/>
                <w:color w:val="auto"/>
                <w:sz w:val="21"/>
                <w:szCs w:val="21"/>
                <w:highlight w:val="none"/>
                <w:lang w:val="en-US" w:eastAsia="zh-CN"/>
              </w:rPr>
              <w:t xml:space="preserve">7</w:t>
            </w:r>
            <w:r>
              <w:rPr>
                <w:rFonts w:hint="eastAsia" w:ascii="宋体" w:hAnsi="宋体" w:eastAsia="宋体" w:cs="仿宋"/>
                <w:color w:val="auto"/>
                <w:sz w:val="21"/>
                <w:szCs w:val="21"/>
                <w:highlight w:val="none"/>
                <w:lang w:val="zh-TW" w:eastAsia="zh-CN"/>
              </w:rPr>
              <w:t xml:space="preserve">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方案较为详细，全面，基本满足招标文件要求的，得5分；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方案不详细，不全面，但能满足招标文件要求的，得</w:t>
            </w:r>
            <w:r>
              <w:rPr>
                <w:rFonts w:hint="eastAsia" w:ascii="宋体" w:hAnsi="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val="zh-TW" w:eastAsia="zh-CN"/>
              </w:rPr>
              <w:t xml:space="preserve">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方案不能满足招标文件要求或者未提供的不得分。</w:t>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en-US" w:eastAsia="zh-CN"/>
              </w:rPr>
              <w:t xml:space="preserve">7分</w:t>
            </w:r>
            <w:r>
              <w:rPr>
                <w:rFonts w:hint="eastAsia" w:ascii="宋体" w:hAnsi="宋体" w:eastAsia="宋体" w:cs="仿宋"/>
                <w:color w:val="auto"/>
                <w:sz w:val="21"/>
                <w:szCs w:val="21"/>
                <w:highlight w:val="none"/>
                <w:lang w:val="zh-TW" w:eastAsia="zh-CN"/>
              </w:rPr>
              <w:t xml:space="preserve">）</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根据供应商提供售后服务方案（售后服务机构及人员、售后服务措施、应答）进行评分。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售后服务方案要素齐全得7分；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售后服务方案符合要求的得5分；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售后服务方案有缺失、低于要求的得3分；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未提供具体实施方案的不得分。</w:t>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en-US" w:eastAsia="zh-CN"/>
              </w:rPr>
              <w:t xml:space="preserve">7分</w:t>
            </w:r>
            <w:r>
              <w:rPr>
                <w:rFonts w:hint="eastAsia" w:ascii="宋体" w:hAnsi="宋体" w:eastAsia="宋体" w:cs="仿宋"/>
                <w:color w:val="auto"/>
                <w:sz w:val="21"/>
                <w:szCs w:val="21"/>
                <w:highlight w:val="none"/>
                <w:lang w:val="zh-TW" w:eastAsia="zh-CN"/>
              </w:rPr>
              <w:t xml:space="preserve">）</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根据供应商提供的培训方案（包含培训计划、培训内容及时间等）进行评分。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培训方案要素齐全、培训时间满足采购人要求的得7分；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培训方案要素基本齐全、培训时间基本满足采购人要求得5分；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培训方案有缺失的得3分；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未提供具体实施方案的不得分。</w:t>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企业业绩</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8</w:t>
            </w:r>
            <w:r>
              <w:rPr>
                <w:rFonts w:hint="eastAsia" w:ascii="宋体" w:hAnsi="宋体" w:eastAsia="宋体" w:cs="仿宋"/>
                <w:color w:val="auto"/>
                <w:sz w:val="21"/>
                <w:szCs w:val="21"/>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供应商（或所投品牌制造商）提供的202</w:t>
            </w:r>
            <w:r>
              <w:rPr>
                <w:rFonts w:hint="eastAsia" w:ascii="宋体" w:hAnsi="宋体" w:eastAsia="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val="zh-TW" w:eastAsia="zh-CN"/>
              </w:rPr>
              <w:t xml:space="preserve">年1月以来同类产品</w:t>
            </w:r>
            <w:r>
              <w:rPr>
                <w:rFonts w:hint="eastAsia" w:ascii="宋体" w:hAnsi="宋体" w:cs="仿宋"/>
                <w:color w:val="auto"/>
                <w:sz w:val="21"/>
                <w:szCs w:val="21"/>
                <w:highlight w:val="none"/>
                <w:lang w:val="zh-TW" w:eastAsia="zh-CN"/>
              </w:rPr>
              <w:t xml:space="preserve">（</w:t>
            </w:r>
            <w:r>
              <w:rPr>
                <w:rFonts w:hint="eastAsia" w:ascii="宋体" w:hAnsi="宋体" w:cs="仿宋"/>
                <w:color w:val="auto"/>
                <w:sz w:val="21"/>
                <w:szCs w:val="21"/>
                <w:highlight w:val="none"/>
                <w:lang w:val="en-US" w:eastAsia="zh-CN"/>
              </w:rPr>
              <w:t xml:space="preserve">至少包含核心产品</w:t>
            </w:r>
            <w:r>
              <w:rPr>
                <w:rFonts w:hint="eastAsia" w:ascii="宋体" w:hAnsi="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zh-TW" w:eastAsia="zh-CN"/>
              </w:rPr>
              <w:t xml:space="preserve">业绩证明有一个得2分，满分</w:t>
            </w:r>
            <w:r>
              <w:rPr>
                <w:rFonts w:hint="eastAsia" w:ascii="宋体" w:hAnsi="宋体" w:cs="仿宋"/>
                <w:color w:val="auto"/>
                <w:sz w:val="21"/>
                <w:szCs w:val="21"/>
                <w:highlight w:val="none"/>
                <w:lang w:val="en-US" w:eastAsia="zh-CN"/>
              </w:rPr>
              <w:t xml:space="preserve">8</w:t>
            </w:r>
            <w:r>
              <w:rPr>
                <w:rFonts w:hint="eastAsia" w:ascii="宋体" w:hAnsi="宋体" w:eastAsia="宋体" w:cs="仿宋"/>
                <w:color w:val="auto"/>
                <w:sz w:val="21"/>
                <w:szCs w:val="21"/>
                <w:highlight w:val="none"/>
                <w:lang w:val="zh-TW" w:eastAsia="zh-CN"/>
              </w:rPr>
              <w:t xml:space="preserve">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en-US" w:eastAsia="zh-CN"/>
              </w:rPr>
              <w:t xml:space="preserve">①、提供合同加盖公章，时间以合同签订时间为准，合同至少包括合同的甲乙双方、采购内容、双方签章及生效时间，并对真实性负责；同个单位多份业绩只能按一份计算；②提供案例联系人、电话以供查验；③合同期内任意一张发票；④未按要求提供或提供信息不全的业绩，不得分）</w:t>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质保承诺</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4</w:t>
            </w:r>
            <w:r>
              <w:rPr>
                <w:rFonts w:hint="eastAsia" w:ascii="宋体" w:hAnsi="宋体" w:eastAsia="宋体" w:cs="仿宋"/>
                <w:color w:val="auto"/>
                <w:sz w:val="21"/>
                <w:szCs w:val="21"/>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cs="仿宋"/>
                <w:color w:val="auto"/>
                <w:sz w:val="21"/>
                <w:szCs w:val="21"/>
                <w:highlight w:val="none"/>
                <w:lang w:val="en-US" w:eastAsia="zh-CN"/>
              </w:rPr>
              <w:t xml:space="preserve">供应商承诺</w:t>
            </w:r>
            <w:r>
              <w:rPr>
                <w:rFonts w:hint="eastAsia" w:ascii="宋体" w:hAnsi="宋体" w:eastAsia="宋体" w:cs="仿宋"/>
                <w:color w:val="auto"/>
                <w:sz w:val="21"/>
                <w:szCs w:val="21"/>
                <w:highlight w:val="none"/>
                <w:lang w:val="zh-TW" w:eastAsia="zh-CN"/>
              </w:rPr>
              <w:t xml:space="preserve">所投所有产品均满足招标文件基本要求的，不得分;在此基础上，所投所有产品都增加1年免费质保期的得2分，都增加2年免费质保期的得4分，本项最多得4分。(若投标文件中出现质保期前后不一致或多个产品质保期不统一的，以投标文件中最低免费质保期作为评分依据</w:t>
            </w:r>
            <w:r>
              <w:rPr>
                <w:rFonts w:hint="eastAsia" w:ascii="宋体" w:hAnsi="宋体" w:cs="仿宋"/>
                <w:color w:val="auto"/>
                <w:sz w:val="21"/>
                <w:szCs w:val="21"/>
                <w:highlight w:val="none"/>
                <w:lang w:val="zh-TW" w:eastAsia="zh-CN"/>
              </w:rPr>
              <w:t xml:space="preserve">，</w:t>
            </w:r>
            <w:r>
              <w:rPr>
                <w:rFonts w:hint="eastAsia" w:ascii="宋体" w:hAnsi="宋体" w:cs="仿宋"/>
                <w:color w:val="auto"/>
                <w:sz w:val="21"/>
                <w:szCs w:val="21"/>
                <w:highlight w:val="none"/>
                <w:lang w:val="en-US" w:eastAsia="zh-CN"/>
              </w:rPr>
              <w:t xml:space="preserve">提供承诺书原件扫描上传</w:t>
            </w:r>
            <w:r>
              <w:rPr>
                <w:rFonts w:hint="eastAsia" w:ascii="宋体" w:hAnsi="宋体" w:eastAsia="宋体" w:cs="仿宋"/>
                <w:color w:val="auto"/>
                <w:sz w:val="21"/>
                <w:szCs w:val="21"/>
                <w:highlight w:val="none"/>
                <w:lang w:val="zh-TW" w:eastAsia="zh-CN"/>
              </w:rPr>
              <w:t xml:space="preserve">。)</w:t>
            </w:r>
            <w:bookmarkEnd w:id="95"/>
            <w:r/>
            <w:r/>
          </w:p>
        </w:tc>
      </w:tr>
    </w:tbl>
    <w:p>
      <w:pPr>
        <w:jc w:val="both"/>
        <w:spacing w:line="360" w:lineRule="auto"/>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分包二：</w:t>
      </w:r>
      <w:r/>
    </w:p>
    <w:tbl>
      <w:tblPr>
        <w:tblStyle w:val="1209"/>
        <w:tblpPr w:horzAnchor="page" w:tblpX="1429" w:vertAnchor="text" w:tblpY="1" w:leftFromText="181" w:topFromText="0" w:rightFromText="181" w:bottomFromText="0"/>
        <w:tblW w:w="9325" w:type="dxa"/>
        <w:tblInd w:w="0" w:type="dxa"/>
        <w:tblLayout w:type="fixed"/>
        <w:tblCellMar>
          <w:left w:w="108" w:type="dxa"/>
          <w:top w:w="0" w:type="dxa"/>
          <w:right w:w="108" w:type="dxa"/>
          <w:bottom w:w="0" w:type="dxa"/>
        </w:tblCellMar>
        <w:tblLook w:val="04A0" w:firstRow="1" w:lastRow="0" w:firstColumn="1" w:lastColumn="0" w:noHBand="0" w:noVBand="1"/>
      </w:tblPr>
      <w:tblGrid>
        <w:gridCol w:w="1000"/>
        <w:gridCol w:w="1525"/>
        <w:gridCol w:w="6800"/>
      </w:tblGrid>
      <w:tr>
        <w:trPr>
          <w:trHeight w:val="529"/>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1218"/>
              <w:jc w:val="center"/>
              <w:spacing w:line="360" w:lineRule="auto"/>
              <w:rPr>
                <w:rFonts w:hint="eastAsia" w:cs="仿宋"/>
                <w:b/>
                <w:color w:val="auto"/>
                <w:highlight w:val="none"/>
                <w:lang w:val="en-US"/>
              </w:rPr>
            </w:pPr>
            <w:r>
              <w:rPr>
                <w:rFonts w:hint="eastAsia" w:cs="仿宋"/>
                <w:b/>
                <w:color w:val="auto"/>
                <w:sz w:val="22"/>
                <w:szCs w:val="22"/>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仿宋"/>
                <w:b/>
                <w:color w:val="auto"/>
                <w:highlight w:val="none"/>
              </w:rPr>
            </w:pPr>
            <w:r>
              <w:rPr>
                <w:rFonts w:hint="eastAsia" w:ascii="宋体" w:hAnsi="宋体" w:eastAsia="宋体" w:cs="仿宋"/>
                <w:b/>
                <w:color w:val="auto"/>
                <w:highlight w:val="none"/>
              </w:rPr>
              <w:t xml:space="preserve">评分因素</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ind w:firstLine="482"/>
              <w:jc w:val="center"/>
              <w:spacing w:line="360" w:lineRule="auto"/>
              <w:rPr>
                <w:rFonts w:hint="eastAsia" w:ascii="宋体" w:hAnsi="宋体" w:eastAsia="宋体" w:cs="仿宋"/>
                <w:b/>
                <w:color w:val="auto"/>
                <w:highlight w:val="none"/>
                <w:lang w:eastAsia="zh-CN"/>
              </w:rPr>
            </w:pPr>
            <w:r>
              <w:rPr>
                <w:rFonts w:hint="eastAsia" w:ascii="宋体" w:hAnsi="宋体" w:eastAsia="宋体" w:cs="仿宋"/>
                <w:b/>
                <w:color w:val="auto"/>
                <w:highlight w:val="none"/>
                <w:lang w:val="en-US" w:eastAsia="zh-CN"/>
              </w:rPr>
              <w:t xml:space="preserve">评标</w:t>
            </w:r>
            <w:r>
              <w:rPr>
                <w:rFonts w:hint="eastAsia" w:ascii="宋体" w:hAnsi="宋体" w:eastAsia="宋体" w:cs="仿宋"/>
                <w:b/>
                <w:color w:val="auto"/>
                <w:highlight w:val="none"/>
                <w:lang w:eastAsia="zh-CN"/>
              </w:rPr>
              <w:t xml:space="preserve">标准</w:t>
            </w:r>
            <w:r/>
          </w:p>
        </w:tc>
      </w:tr>
      <w:tr>
        <w:trPr>
          <w:trHeight w:val="1081"/>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1</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ind w:firstLine="210"/>
              <w:jc w:val="both"/>
              <w:spacing w:line="360" w:lineRule="auto"/>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报价</w:t>
            </w:r>
            <w:r/>
          </w:p>
          <w:p>
            <w:pPr>
              <w:jc w:val="both"/>
              <w:spacing w:line="360" w:lineRule="auto"/>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 xml:space="preserve">（</w:t>
            </w:r>
            <w:r>
              <w:rPr>
                <w:rFonts w:hint="eastAsia" w:ascii="宋体" w:hAnsi="宋体" w:eastAsia="宋体" w:cs="仿宋"/>
                <w:color w:val="auto"/>
                <w:sz w:val="21"/>
                <w:szCs w:val="21"/>
                <w:highlight w:val="none"/>
                <w:lang w:eastAsia="zh-CN"/>
              </w:rPr>
              <w:t xml:space="preserve">30</w:t>
            </w:r>
            <w:r>
              <w:rPr>
                <w:rFonts w:hint="eastAsia" w:ascii="宋体" w:hAnsi="宋体" w:eastAsia="宋体" w:cs="仿宋"/>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仿宋"/>
                <w:color w:val="auto"/>
                <w:highlight w:val="none"/>
                <w:lang w:val="en-US" w:eastAsia="zh-CN"/>
              </w:rPr>
            </w:pPr>
            <w:r/>
            <w:bookmarkStart w:id="100" w:name="_Toc10319"/>
            <w:r/>
            <w:bookmarkStart w:id="101" w:name="_Toc22569"/>
            <w:r>
              <w:rPr>
                <w:rFonts w:hint="eastAsia" w:ascii="Times New Roman" w:hAnsi="Times New Roman" w:eastAsia="宋体" w:cs="Times New Roman"/>
                <w:color w:val="auto"/>
                <w:sz w:val="21"/>
                <w:szCs w:val="22"/>
                <w:highlight w:val="none"/>
                <w:lang w:val="en-US" w:eastAsia="zh-CN" w:bidi="ar-SA"/>
              </w:rPr>
              <w:t xml:space="preserve">满足采购文件要求且最低的报价为评标基准价，其价格分为满分</w:t>
            </w:r>
            <w:r>
              <w:rPr>
                <w:rFonts w:hint="eastAsia" w:ascii="宋体" w:hAnsi="宋体" w:eastAsia="宋体"/>
                <w:bCs/>
                <w:color w:val="auto"/>
                <w:sz w:val="21"/>
                <w:szCs w:val="21"/>
                <w:highlight w:val="none"/>
                <w:lang w:val="en-US" w:eastAsia="zh-CN"/>
              </w:rPr>
              <w:t xml:space="preserve">。其他供应商的价格分统一按照下列公式计算：响应报价得分=(评审基准价/投标报价)×30（小数点保留两位）</w:t>
            </w:r>
            <w:bookmarkEnd w:id="100"/>
            <w:r/>
            <w:bookmarkEnd w:id="101"/>
            <w:r/>
            <w:r/>
          </w:p>
        </w:tc>
      </w:tr>
      <w:tr>
        <w:trPr>
          <w:trHeight w:val="4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2</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技术参数</w:t>
            </w:r>
            <w:r/>
          </w:p>
          <w:p>
            <w:pPr>
              <w:jc w:val="both"/>
              <w:spacing w:line="360" w:lineRule="auto"/>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（30分）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pStyle w:val="1199"/>
              <w:jc w:val="both"/>
              <w:spacing w:line="360" w:lineRule="auto"/>
              <w:rPr>
                <w:rFonts w:hint="eastAsia" w:ascii="宋体" w:hAnsi="宋体" w:eastAsia="宋体" w:cs="Times New Roman"/>
                <w:bCs/>
                <w:color w:val="auto"/>
                <w:sz w:val="21"/>
                <w:szCs w:val="21"/>
                <w:highlight w:val="none"/>
                <w:lang w:val="en-US" w:eastAsia="zh-CN" w:bidi="ar-SA"/>
              </w:rPr>
            </w:pPr>
            <w:r/>
            <w:bookmarkStart w:id="102" w:name="_Toc8629"/>
            <w:r/>
            <w:bookmarkStart w:id="103" w:name="_Toc15929"/>
            <w:r>
              <w:rPr>
                <w:rFonts w:hint="eastAsia" w:ascii="宋体" w:hAnsi="宋体" w:eastAsia="宋体" w:cs="Times New Roman"/>
                <w:bCs/>
                <w:color w:val="auto"/>
                <w:sz w:val="21"/>
                <w:szCs w:val="21"/>
                <w:highlight w:val="none"/>
                <w:lang w:val="en-US" w:eastAsia="zh-CN" w:bidi="ar-SA"/>
              </w:rPr>
              <w:t xml:space="preserve">根据 “采购项目需求”响应情况进行打分。完全符合技术参数及配置要求且提供了技术条款偏离表的得满分30分。1.带“★”项的技术指标，负偏离为无效投标。2.带“▲”项的技术指标，每负偏离一项扣1分，扣完为止。3.非“▲”项</w:t>
            </w:r>
            <w:r>
              <w:rPr>
                <w:rFonts w:hint="eastAsia" w:ascii="宋体" w:hAnsi="宋体" w:eastAsia="宋体" w:cs="Times New Roman"/>
                <w:bCs/>
                <w:color w:val="auto"/>
                <w:sz w:val="21"/>
                <w:szCs w:val="21"/>
                <w:highlight w:val="none"/>
                <w:lang w:val="en-US" w:eastAsia="zh-CN" w:bidi="ar-SA"/>
              </w:rPr>
              <w:t xml:space="preserve">的技术指标，每负偏离一项扣0.4分，扣完为止。（备注：凡标有最低一级序号的指标项即为一项技术条款，无论是否隶属于上一级编号；投标人需在技术条款偏离表中逐条进行应答，列明所投产品详细技术特性，并说明偏离情况。带“▲”项的技术指标需提供列有技术参数且完整的厂家产品彩页或产品说明书或网站截图（附官网链接）或实物照片等证明材料（需求中有其他要求的从其要求），以佐证所投产品的主要技术参数及功能。非“▲”项技术指标未有要求的则以技术条款偏离表中应答为准（需求中有其他要求的从其要求）。未按要求提供证明材料的视为负偏离。）</w:t>
            </w:r>
            <w:bookmarkEnd w:id="102"/>
            <w:r/>
            <w:bookmarkEnd w:id="103"/>
            <w:r/>
            <w:r/>
          </w:p>
        </w:tc>
      </w:tr>
      <w:tr>
        <w:trPr>
          <w:trHeight w:val="233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3</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供货方案</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7</w:t>
            </w:r>
            <w:r>
              <w:rPr>
                <w:rFonts w:hint="eastAsia" w:ascii="宋体" w:hAnsi="宋体" w:eastAsia="宋体" w:cs="仿宋"/>
                <w:color w:val="auto"/>
                <w:sz w:val="21"/>
                <w:szCs w:val="21"/>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根据供应商针对本项目的采购方案（包括购买、包装、运输）、设备使用应急替换方案、进度、质量、安全控制措施等进行综合评分。</w:t>
            </w:r>
            <w:r/>
          </w:p>
          <w:p>
            <w:pPr>
              <w:jc w:val="both"/>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方案具有全面性、科学性、合理性和可操作性的得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eastAsia="zh-TW"/>
              </w:rPr>
              <w:t xml:space="preserve">分；</w:t>
            </w:r>
            <w:r/>
          </w:p>
          <w:p>
            <w:pPr>
              <w:jc w:val="both"/>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方案略有瑕疵，具有的科学性、合理性和可操作性一般的得5分；</w:t>
            </w:r>
            <w:r/>
          </w:p>
          <w:p>
            <w:pPr>
              <w:jc w:val="both"/>
              <w:spacing w:line="360" w:lineRule="auto"/>
              <w:widowControl/>
              <w:rPr>
                <w:rFonts w:hint="eastAsia" w:ascii="宋体" w:hAnsi="宋体" w:eastAsia="PMingLiU"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方案片面，且具有的科学性、合理性和可操作性较差的得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分；未提供不得分。</w:t>
            </w:r>
            <w:r/>
          </w:p>
        </w:tc>
      </w:tr>
      <w:tr>
        <w:trPr>
          <w:trHeight w:val="416"/>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zh-TW" w:eastAsia="zh-CN"/>
              </w:rPr>
              <w:t xml:space="preserve">产品详细配置、备品备件（</w:t>
            </w:r>
            <w:r>
              <w:rPr>
                <w:rFonts w:hint="eastAsia" w:ascii="宋体" w:hAnsi="宋体" w:cs="仿宋"/>
                <w:color w:val="auto"/>
                <w:sz w:val="21"/>
                <w:szCs w:val="21"/>
                <w:highlight w:val="none"/>
                <w:lang w:val="en-US" w:eastAsia="zh-CN"/>
              </w:rPr>
              <w:t xml:space="preserve">7</w:t>
            </w:r>
            <w:r>
              <w:rPr>
                <w:rFonts w:hint="eastAsia" w:ascii="宋体" w:hAnsi="宋体" w:eastAsia="宋体" w:cs="仿宋"/>
                <w:color w:val="auto"/>
                <w:sz w:val="21"/>
                <w:szCs w:val="21"/>
                <w:highlight w:val="none"/>
                <w:lang w:val="en-US" w:eastAsia="zh-CN"/>
              </w:rPr>
              <w:t xml:space="preserve">分</w:t>
            </w:r>
            <w:r>
              <w:rPr>
                <w:rFonts w:hint="eastAsia" w:ascii="宋体" w:hAnsi="宋体" w:eastAsia="宋体" w:cs="仿宋"/>
                <w:color w:val="auto"/>
                <w:sz w:val="21"/>
                <w:szCs w:val="21"/>
                <w:highlight w:val="none"/>
                <w:lang w:val="zh-TW" w:eastAsia="zh-CN"/>
              </w:rPr>
              <w:t xml:space="preserve">）</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根据供应商提供的所投产品的详细配置、备品备件等满足</w:t>
            </w:r>
            <w:r>
              <w:rPr>
                <w:rFonts w:hint="eastAsia" w:ascii="宋体" w:hAnsi="宋体" w:eastAsia="宋体" w:cs="仿宋"/>
                <w:color w:val="auto"/>
                <w:sz w:val="21"/>
                <w:szCs w:val="21"/>
                <w:highlight w:val="none"/>
                <w:lang w:val="en-US" w:eastAsia="zh-CN"/>
              </w:rPr>
              <w:t xml:space="preserve">采购</w:t>
            </w:r>
            <w:r>
              <w:rPr>
                <w:rFonts w:hint="eastAsia" w:ascii="宋体" w:hAnsi="宋体" w:eastAsia="宋体" w:cs="仿宋"/>
                <w:color w:val="auto"/>
                <w:sz w:val="21"/>
                <w:szCs w:val="21"/>
                <w:highlight w:val="none"/>
                <w:lang w:val="zh-TW" w:eastAsia="zh-CN"/>
              </w:rPr>
              <w:t xml:space="preserve">要求的情况进行综合评分。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方案详细，全面，满足招标文件要求的，得</w:t>
            </w:r>
            <w:r>
              <w:rPr>
                <w:rFonts w:hint="eastAsia" w:ascii="宋体" w:hAnsi="宋体" w:cs="仿宋"/>
                <w:color w:val="auto"/>
                <w:sz w:val="21"/>
                <w:szCs w:val="21"/>
                <w:highlight w:val="none"/>
                <w:lang w:val="en-US" w:eastAsia="zh-CN"/>
              </w:rPr>
              <w:t xml:space="preserve">7</w:t>
            </w:r>
            <w:r>
              <w:rPr>
                <w:rFonts w:hint="eastAsia" w:ascii="宋体" w:hAnsi="宋体" w:eastAsia="宋体" w:cs="仿宋"/>
                <w:color w:val="auto"/>
                <w:sz w:val="21"/>
                <w:szCs w:val="21"/>
                <w:highlight w:val="none"/>
                <w:lang w:val="zh-TW" w:eastAsia="zh-CN"/>
              </w:rPr>
              <w:t xml:space="preserve">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方案较为详细，全面，基本满足招标文件要求的，得5分；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方案不详细，不全面，但能满足招标文件要求的，得</w:t>
            </w:r>
            <w:r>
              <w:rPr>
                <w:rFonts w:hint="eastAsia" w:ascii="宋体" w:hAnsi="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val="zh-TW" w:eastAsia="zh-CN"/>
              </w:rPr>
              <w:t xml:space="preserve">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方案不能满足招标文件要求或者未提供的不得分。</w:t>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en-US" w:eastAsia="zh-CN"/>
              </w:rPr>
              <w:t xml:space="preserve">7分</w:t>
            </w:r>
            <w:r>
              <w:rPr>
                <w:rFonts w:hint="eastAsia" w:ascii="宋体" w:hAnsi="宋体" w:eastAsia="宋体" w:cs="仿宋"/>
                <w:color w:val="auto"/>
                <w:sz w:val="21"/>
                <w:szCs w:val="21"/>
                <w:highlight w:val="none"/>
                <w:lang w:val="zh-TW" w:eastAsia="zh-CN"/>
              </w:rPr>
              <w:t xml:space="preserve">）</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根据供应商提供售后服务方案（售后服务机构及人员、售后服务措施、应答）进行评分。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售后服务方案要素齐全得7分；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售后服务方案符合要求的得5分；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售后服务方案有缺失、低于要求的得3分；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未提供具体实施方案的不得分。</w:t>
            </w:r>
            <w:r/>
          </w:p>
        </w:tc>
      </w:tr>
      <w:tr>
        <w:trPr>
          <w:trHeight w:val="13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en-US" w:eastAsia="zh-CN"/>
              </w:rPr>
              <w:t xml:space="preserve">7分</w:t>
            </w:r>
            <w:r>
              <w:rPr>
                <w:rFonts w:hint="eastAsia" w:ascii="宋体" w:hAnsi="宋体" w:eastAsia="宋体" w:cs="仿宋"/>
                <w:color w:val="auto"/>
                <w:sz w:val="21"/>
                <w:szCs w:val="21"/>
                <w:highlight w:val="none"/>
                <w:lang w:val="zh-TW" w:eastAsia="zh-CN"/>
              </w:rPr>
              <w:t xml:space="preserve">）</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根据供应商提供的培训方案（包含培训计划、培训内容及时间等）进行评分。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培训方案要素齐全、培训时间满足采购人要求的得7分；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培训方案要素基本齐全、培训时间基本满足采购人要求得5分；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培训方案有缺失的得3分；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未提供具体实施方案的不得分。</w:t>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企业业绩</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8</w:t>
            </w:r>
            <w:r>
              <w:rPr>
                <w:rFonts w:hint="eastAsia" w:ascii="宋体" w:hAnsi="宋体" w:eastAsia="宋体" w:cs="仿宋"/>
                <w:color w:val="auto"/>
                <w:sz w:val="21"/>
                <w:szCs w:val="21"/>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供应商（或所投品牌制造商）提供的202</w:t>
            </w:r>
            <w:r>
              <w:rPr>
                <w:rFonts w:hint="eastAsia" w:ascii="宋体" w:hAnsi="宋体" w:eastAsia="宋体" w:cs="仿宋"/>
                <w:color w:val="auto"/>
                <w:sz w:val="21"/>
                <w:szCs w:val="21"/>
                <w:highlight w:val="none"/>
                <w:lang w:val="en-US" w:eastAsia="zh-CN"/>
              </w:rPr>
              <w:t xml:space="preserve">3</w:t>
            </w:r>
            <w:r>
              <w:rPr>
                <w:rFonts w:hint="eastAsia" w:ascii="宋体" w:hAnsi="宋体" w:eastAsia="宋体" w:cs="仿宋"/>
                <w:color w:val="auto"/>
                <w:sz w:val="21"/>
                <w:szCs w:val="21"/>
                <w:highlight w:val="none"/>
                <w:lang w:val="zh-TW" w:eastAsia="zh-CN"/>
              </w:rPr>
              <w:t xml:space="preserve">年1月以来同类产品</w:t>
            </w:r>
            <w:r>
              <w:rPr>
                <w:rFonts w:hint="eastAsia" w:ascii="宋体" w:hAnsi="宋体" w:cs="仿宋"/>
                <w:color w:val="auto"/>
                <w:sz w:val="21"/>
                <w:szCs w:val="21"/>
                <w:highlight w:val="none"/>
                <w:lang w:val="zh-TW" w:eastAsia="zh-CN"/>
              </w:rPr>
              <w:t xml:space="preserve">（</w:t>
            </w:r>
            <w:r>
              <w:rPr>
                <w:rFonts w:hint="eastAsia" w:ascii="宋体" w:hAnsi="宋体" w:cs="仿宋"/>
                <w:color w:val="auto"/>
                <w:sz w:val="21"/>
                <w:szCs w:val="21"/>
                <w:highlight w:val="none"/>
                <w:lang w:val="en-US" w:eastAsia="zh-CN"/>
              </w:rPr>
              <w:t xml:space="preserve">至少包含核心产品</w:t>
            </w:r>
            <w:r>
              <w:rPr>
                <w:rFonts w:hint="eastAsia" w:ascii="宋体" w:hAnsi="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zh-TW" w:eastAsia="zh-CN"/>
              </w:rPr>
              <w:t xml:space="preserve">业绩证明有一个得2分，满分</w:t>
            </w:r>
            <w:r>
              <w:rPr>
                <w:rFonts w:hint="eastAsia" w:ascii="宋体" w:hAnsi="宋体" w:cs="仿宋"/>
                <w:color w:val="auto"/>
                <w:sz w:val="21"/>
                <w:szCs w:val="21"/>
                <w:highlight w:val="none"/>
                <w:lang w:val="en-US" w:eastAsia="zh-CN"/>
              </w:rPr>
              <w:t xml:space="preserve">8</w:t>
            </w:r>
            <w:r>
              <w:rPr>
                <w:rFonts w:hint="eastAsia" w:ascii="宋体" w:hAnsi="宋体" w:eastAsia="宋体" w:cs="仿宋"/>
                <w:color w:val="auto"/>
                <w:sz w:val="21"/>
                <w:szCs w:val="21"/>
                <w:highlight w:val="none"/>
                <w:lang w:val="zh-TW" w:eastAsia="zh-CN"/>
              </w:rPr>
              <w:t xml:space="preserve">分。</w:t>
            </w:r>
            <w:r/>
          </w:p>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eastAsia="宋体" w:cs="仿宋"/>
                <w:color w:val="auto"/>
                <w:sz w:val="21"/>
                <w:szCs w:val="21"/>
                <w:highlight w:val="none"/>
                <w:lang w:val="zh-TW" w:eastAsia="zh-CN"/>
              </w:rPr>
              <w:t xml:space="preserve">（</w:t>
            </w:r>
            <w:r>
              <w:rPr>
                <w:rFonts w:hint="eastAsia" w:ascii="宋体" w:hAnsi="宋体" w:eastAsia="宋体" w:cs="仿宋"/>
                <w:color w:val="auto"/>
                <w:sz w:val="21"/>
                <w:szCs w:val="21"/>
                <w:highlight w:val="none"/>
                <w:lang w:val="en-US" w:eastAsia="zh-CN"/>
              </w:rPr>
              <w:t xml:space="preserve">①、提供合同加盖公章，时间以合同签订时间为准，合同至少包括合同的甲乙双方、采购内容、双方签章及生效时间，并对真实性负责；同个单位多份业绩只能按一份计算；②提供案例联系人、电话以供查验；③合同期内任意一张发票；④未按要求提供或提供信息不全的业绩，不得分）</w:t>
            </w:r>
            <w:r/>
          </w:p>
        </w:tc>
      </w:tr>
      <w:tr>
        <w:trP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rFonts w:hint="eastAsia" w:ascii="宋体" w:hAnsi="宋体" w:eastAsia="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525" w:type="dxa"/>
            <w:vAlign w:val="center"/>
            <w:textDirection w:val="lrTb"/>
            <w:noWrap w:val="false"/>
          </w:tcPr>
          <w:p>
            <w:pPr>
              <w:jc w:val="both"/>
              <w:spacing w:line="360" w:lineRule="auto"/>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质保承诺</w:t>
            </w:r>
            <w:r/>
          </w:p>
          <w:p>
            <w:pPr>
              <w:jc w:val="both"/>
              <w:spacing w:line="360" w:lineRule="auto"/>
              <w:rPr>
                <w:rFonts w:hint="eastAsia" w:ascii="宋体" w:hAnsi="宋体" w:eastAsia="宋体" w:cs="仿宋"/>
                <w:color w:val="auto"/>
                <w:sz w:val="21"/>
                <w:szCs w:val="21"/>
                <w:highlight w:val="none"/>
                <w:lang w:eastAsia="zh-CN"/>
              </w:rPr>
            </w:pPr>
            <w:r>
              <w:rPr>
                <w:rFonts w:hint="eastAsia" w:ascii="宋体" w:hAnsi="宋体" w:eastAsia="宋体" w:cs="仿宋"/>
                <w:color w:val="auto"/>
                <w:sz w:val="21"/>
                <w:szCs w:val="21"/>
                <w:highlight w:val="none"/>
                <w:lang w:eastAsia="zh-CN"/>
              </w:rPr>
              <w:t xml:space="preserve">(</w:t>
            </w:r>
            <w:r>
              <w:rPr>
                <w:rFonts w:hint="eastAsia" w:ascii="宋体" w:hAnsi="宋体" w:cs="仿宋"/>
                <w:color w:val="auto"/>
                <w:sz w:val="21"/>
                <w:szCs w:val="21"/>
                <w:highlight w:val="none"/>
                <w:lang w:val="en-US" w:eastAsia="zh-CN"/>
              </w:rPr>
              <w:t xml:space="preserve">4</w:t>
            </w:r>
            <w:r>
              <w:rPr>
                <w:rFonts w:hint="eastAsia" w:ascii="宋体" w:hAnsi="宋体" w:eastAsia="宋体" w:cs="仿宋"/>
                <w:color w:val="auto"/>
                <w:sz w:val="21"/>
                <w:szCs w:val="21"/>
                <w:highlight w:val="none"/>
                <w:lang w:eastAsia="zh-CN"/>
              </w:rPr>
              <w:t xml:space="preserve">分）</w:t>
            </w:r>
            <w:r/>
          </w:p>
        </w:tc>
        <w:tc>
          <w:tcPr>
            <w:tcBorders>
              <w:top w:val="single" w:color="auto" w:sz="4" w:space="0"/>
              <w:left w:val="none" w:color="000000" w:sz="4" w:space="0"/>
              <w:bottom w:val="single" w:color="auto" w:sz="4" w:space="0"/>
              <w:right w:val="single" w:color="auto" w:sz="4" w:space="0"/>
            </w:tcBorders>
            <w:tcW w:w="6800" w:type="dxa"/>
            <w:vAlign w:val="center"/>
            <w:textDirection w:val="lrTb"/>
            <w:noWrap w:val="false"/>
          </w:tcPr>
          <w:p>
            <w:pPr>
              <w:jc w:val="both"/>
              <w:spacing w:line="360" w:lineRule="auto"/>
              <w:rPr>
                <w:rFonts w:hint="eastAsia" w:ascii="宋体" w:hAnsi="宋体" w:eastAsia="宋体" w:cs="仿宋"/>
                <w:color w:val="auto"/>
                <w:sz w:val="21"/>
                <w:szCs w:val="21"/>
                <w:highlight w:val="none"/>
                <w:lang w:val="zh-TW" w:eastAsia="zh-CN"/>
              </w:rPr>
            </w:pPr>
            <w:r>
              <w:rPr>
                <w:rFonts w:hint="eastAsia" w:ascii="宋体" w:hAnsi="宋体" w:cs="仿宋"/>
                <w:color w:val="auto"/>
                <w:sz w:val="21"/>
                <w:szCs w:val="21"/>
                <w:highlight w:val="none"/>
                <w:lang w:val="en-US" w:eastAsia="zh-CN"/>
              </w:rPr>
              <w:t xml:space="preserve">供应商承诺</w:t>
            </w:r>
            <w:r>
              <w:rPr>
                <w:rFonts w:hint="eastAsia" w:ascii="宋体" w:hAnsi="宋体" w:eastAsia="宋体" w:cs="仿宋"/>
                <w:color w:val="auto"/>
                <w:sz w:val="21"/>
                <w:szCs w:val="21"/>
                <w:highlight w:val="none"/>
                <w:lang w:val="zh-TW" w:eastAsia="zh-CN"/>
              </w:rPr>
              <w:t xml:space="preserve">所投所有产品均满足招标文件基本要求的，不得分;在此基础上，所投所有产品都增加1年免费质保期的得2分，都增加2年免费质保期的得4分，本项最多得4分。(若投标文件中出现质保期前后不一致或多个产品质保期不统一的，以投标文件中最低免费质保期作为评分依据</w:t>
            </w:r>
            <w:r>
              <w:rPr>
                <w:rFonts w:hint="eastAsia" w:ascii="宋体" w:hAnsi="宋体" w:cs="仿宋"/>
                <w:color w:val="auto"/>
                <w:sz w:val="21"/>
                <w:szCs w:val="21"/>
                <w:highlight w:val="none"/>
                <w:lang w:val="zh-TW" w:eastAsia="zh-CN"/>
              </w:rPr>
              <w:t xml:space="preserve">，</w:t>
            </w:r>
            <w:r>
              <w:rPr>
                <w:rFonts w:hint="eastAsia" w:ascii="宋体" w:hAnsi="宋体" w:cs="仿宋"/>
                <w:color w:val="auto"/>
                <w:sz w:val="21"/>
                <w:szCs w:val="21"/>
                <w:highlight w:val="none"/>
                <w:lang w:val="en-US" w:eastAsia="zh-CN"/>
              </w:rPr>
              <w:t xml:space="preserve">提供承诺书原件扫描上传</w:t>
            </w:r>
            <w:r>
              <w:rPr>
                <w:rFonts w:hint="eastAsia" w:ascii="宋体" w:hAnsi="宋体" w:eastAsia="宋体" w:cs="仿宋"/>
                <w:color w:val="auto"/>
                <w:sz w:val="21"/>
                <w:szCs w:val="21"/>
                <w:highlight w:val="none"/>
                <w:lang w:val="zh-TW" w:eastAsia="zh-CN"/>
              </w:rPr>
              <w:t xml:space="preserve">。)</w:t>
            </w:r>
            <w:r/>
          </w:p>
        </w:tc>
      </w:tr>
    </w:tbl>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说明：</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1.小微企业的价格扣除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（1）对于非专门面向中小企业的采购项目，给予小微企业报价10%的价格扣除，用扣除后的价格参与评审。</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（2）对于非专门面向中小企业的货物采购项目，</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（无论为大型企业、中型企业或小微企业）提供的货物均为小微企业制造的货物，即可享受上述价格评审优惠政策，除此之外的情形，不享受小微企业价格评审优惠政策。</w:t>
      </w:r>
      <w:r/>
    </w:p>
    <w:p>
      <w:pPr>
        <w:ind w:firstLine="421"/>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w:t>
      </w:r>
      <w:r>
        <w:rPr>
          <w:rFonts w:hint="eastAsia" w:ascii="宋体" w:hAnsi="宋体" w:eastAsia="宋体" w:cs="宋体"/>
          <w:color w:val="auto"/>
          <w:highlight w:val="none"/>
        </w:rPr>
        <w:t xml:space="preserve">投标供应商</w:t>
      </w:r>
      <w:r>
        <w:rPr>
          <w:rFonts w:ascii="宋体" w:hAnsi="宋体" w:eastAsia="宋体" w:cs="宋体"/>
          <w:color w:val="auto"/>
          <w:highlight w:val="none"/>
        </w:rPr>
        <w:t xml:space="preserve">需按照采购文件的要求提供相应的《中小企业声明函》。 </w:t>
      </w:r>
      <w:r/>
    </w:p>
    <w:p>
      <w:pPr>
        <w:ind w:firstLine="421"/>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（4）企业标准请参照《关于印发中小企业划型标准规定的通知》（工信部联企业</w:t>
      </w:r>
      <w:r>
        <w:rPr>
          <w:rFonts w:hint="eastAsia" w:ascii="宋体" w:hAnsi="宋体" w:eastAsia="宋体" w:cs="宋体"/>
          <w:color w:val="auto"/>
          <w:highlight w:val="none"/>
        </w:rPr>
        <w:t xml:space="preserve">〔2011〕300号</w:t>
      </w:r>
      <w:r>
        <w:rPr>
          <w:rFonts w:ascii="宋体" w:hAnsi="宋体" w:eastAsia="宋体" w:cs="宋体"/>
          <w:color w:val="auto"/>
          <w:highlight w:val="none"/>
        </w:rPr>
        <w:t xml:space="preserve">）文件规定自行填写。 </w:t>
      </w:r>
      <w:r/>
    </w:p>
    <w:p>
      <w:pPr>
        <w:ind w:firstLine="421"/>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2.监狱和戒毒企业的价格扣除</w:t>
      </w:r>
      <w:r/>
    </w:p>
    <w:p>
      <w:pPr>
        <w:ind w:firstLine="42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（1）本项目对监狱和戒毒企业（简称监狱企业），给予报价10%的价格扣除，用扣除后的价格参与评审。</w:t>
      </w:r>
      <w:r/>
    </w:p>
    <w:p>
      <w:pPr>
        <w:ind w:firstLine="42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（2）监狱企业需提供由省级以上监狱管理局、戒毒管理局（含新疆生产建设兵团）出具的属于监狱</w:t>
      </w:r>
      <w:r/>
    </w:p>
    <w:p>
      <w:pPr>
        <w:ind w:firstLine="420"/>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企业的证明文件。</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（3）监狱企业标准请参照《关于政府采购支持监狱企业发展有关问题的通知》（财库〔2014〕68号）。</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3.残疾人福利性单位的价格扣除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（1）本项目对残疾人福利性单位，给予报价10%的价格扣除，用扣除后的价格参与评审。</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（2）残疾人福利单位需按照招标文件的要求提供《残疾人福利性单位声明函》。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（3）残疾人福利单位标准请参照《关于促进残疾人就业政府采购政策的通知》（财库〔2017〕141号）。</w:t>
      </w:r>
      <w:r/>
    </w:p>
    <w:p>
      <w:pPr>
        <w:ind w:firstLine="422"/>
        <w:spacing w:line="360" w:lineRule="auto"/>
        <w:rPr>
          <w:rFonts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4.监狱企业、残疾人福利性单位属于小微企业的，不重复享受政策。</w:t>
      </w:r>
      <w:r/>
    </w:p>
    <w:p>
      <w:pPr>
        <w:ind w:firstLine="422"/>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w:t>
      </w:r>
      <w:r>
        <w:rPr>
          <w:rFonts w:hint="eastAsia" w:ascii="宋体" w:hAnsi="宋体" w:cs="宋体"/>
          <w:color w:val="auto"/>
          <w:szCs w:val="21"/>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eastAsia="宋体" w:cs="宋体"/>
          <w:color w:val="auto"/>
          <w:szCs w:val="21"/>
          <w:highlight w:val="none"/>
          <w:lang w:eastAsia="zh-CN"/>
        </w:rPr>
        <w:t xml:space="preserve">扫描件</w:t>
      </w:r>
      <w:r>
        <w:rPr>
          <w:rFonts w:hint="eastAsia" w:ascii="宋体" w:hAnsi="宋体" w:cs="宋体"/>
          <w:color w:val="auto"/>
          <w:szCs w:val="21"/>
          <w:highlight w:val="none"/>
        </w:rPr>
        <w:t xml:space="preserve">为准）。</w:t>
      </w:r>
      <w:r/>
    </w:p>
    <w:p>
      <w:pPr>
        <w:ind w:firstLine="422"/>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6.采购本国产品的支持政策</w:t>
      </w:r>
      <w:r/>
    </w:p>
    <w:p>
      <w:pPr>
        <w:ind w:firstLine="422"/>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jc w:val="both"/>
        <w:spacing w:line="360" w:lineRule="auto"/>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color w:val="auto"/>
          <w:sz w:val="28"/>
          <w:szCs w:val="28"/>
          <w:highlight w:val="none"/>
        </w:rPr>
      </w:pPr>
      <w:r/>
      <w:bookmarkStart w:id="104" w:name="_Toc17947"/>
      <w:r>
        <w:rPr>
          <w:rFonts w:hint="eastAsia" w:ascii="宋体" w:hAnsi="宋体" w:cs="宋体"/>
          <w:b/>
          <w:color w:val="auto"/>
          <w:sz w:val="28"/>
          <w:szCs w:val="28"/>
          <w:highlight w:val="none"/>
        </w:rPr>
        <w:br w:type="page" w:clear="all"/>
      </w:r>
      <w:r/>
    </w:p>
    <w:p>
      <w:pPr>
        <w:rPr>
          <w:rFonts w:hint="eastAsia"/>
          <w:color w:val="auto"/>
          <w:highlight w:val="none"/>
        </w:rPr>
      </w:pPr>
      <w:r>
        <w:rPr>
          <w:rFonts w:hint="eastAsia"/>
          <w:color w:val="auto"/>
          <w:highlight w:val="none"/>
        </w:rPr>
      </w:r>
      <w:bookmarkEnd w:id="104"/>
      <w:r/>
      <w:r/>
    </w:p>
    <w:p>
      <w:pPr>
        <w:jc w:val="center"/>
        <w:spacing w:line="360" w:lineRule="auto"/>
        <w:rPr>
          <w:rFonts w:hint="eastAsia" w:ascii="宋体" w:hAnsi="宋体" w:cs="宋体"/>
          <w:b/>
          <w:color w:val="auto"/>
          <w:sz w:val="28"/>
          <w:szCs w:val="28"/>
          <w:highlight w:val="none"/>
        </w:rPr>
        <w:outlineLvl w:val="0"/>
      </w:pPr>
      <w:r/>
      <w:bookmarkStart w:id="105" w:name="_Toc32548"/>
      <w:r>
        <w:rPr>
          <w:rFonts w:hint="eastAsia" w:ascii="宋体" w:hAnsi="宋体" w:cs="宋体"/>
          <w:b/>
          <w:color w:val="auto"/>
          <w:sz w:val="28"/>
          <w:szCs w:val="28"/>
          <w:highlight w:val="none"/>
        </w:rPr>
        <w:t xml:space="preserve">第四章 招标技术规格及要求</w:t>
      </w:r>
      <w:bookmarkEnd w:id="105"/>
      <w:r/>
      <w:r/>
    </w:p>
    <w:p>
      <w:pPr>
        <w:pStyle w:val="1461"/>
        <w:numPr>
          <w:ilvl w:val="0"/>
          <w:numId w:val="3"/>
        </w:numPr>
        <w:spacing w:line="360" w:lineRule="auto"/>
        <w:rPr>
          <w:rFonts w:hint="eastAsia"/>
          <w:b/>
          <w:bCs/>
          <w:color w:val="auto"/>
          <w:szCs w:val="21"/>
          <w:highlight w:val="none"/>
        </w:rPr>
      </w:pPr>
      <w:r>
        <w:rPr>
          <w:rFonts w:hint="eastAsia"/>
          <w:b/>
          <w:bCs/>
          <w:color w:val="auto"/>
          <w:szCs w:val="21"/>
          <w:highlight w:val="none"/>
        </w:rPr>
        <w:t xml:space="preserve">采购清单</w:t>
      </w:r>
      <w:r/>
    </w:p>
    <w:tbl>
      <w:tblPr>
        <w:tblStyle w:val="1209"/>
        <w:tblW w:w="9718" w:type="dxa"/>
        <w:tblInd w:w="113" w:type="dxa"/>
        <w:tblLayout w:type="fixed"/>
        <w:tblCellMar>
          <w:left w:w="108" w:type="dxa"/>
          <w:top w:w="0" w:type="dxa"/>
          <w:right w:w="108" w:type="dxa"/>
          <w:bottom w:w="0" w:type="dxa"/>
        </w:tblCellMar>
        <w:tblLook w:val="04A0" w:firstRow="1" w:lastRow="0" w:firstColumn="1" w:lastColumn="0" w:noHBand="0" w:noVBand="1"/>
      </w:tblPr>
      <w:tblGrid>
        <w:gridCol w:w="617"/>
        <w:gridCol w:w="1345"/>
        <w:gridCol w:w="999"/>
        <w:gridCol w:w="1657"/>
        <w:gridCol w:w="1025"/>
        <w:gridCol w:w="2392"/>
        <w:gridCol w:w="891"/>
        <w:gridCol w:w="792"/>
      </w:tblGrid>
      <w:tr>
        <w:trPr>
          <w:trHeight w:val="1103"/>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序号</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设备名称</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数量(台/套)</w:t>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简要技术要求</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bCs/>
                <w:color w:val="auto"/>
                <w:szCs w:val="21"/>
                <w:highlight w:val="none"/>
              </w:rPr>
              <w:t xml:space="preserve">（万元/人民币）</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合同履行期</w:t>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是否接受进口产品</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备注</w:t>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分包一</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微机控制拉力试验机</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3.50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微机控制原位拉伸试验机</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8.00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拉伸试验自动标距仪</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钢丝反复弯曲试验机</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4.80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密封非金属材料高低温大变形力学</w:t>
            </w:r>
            <w:r>
              <w:rPr>
                <w:rFonts w:hint="eastAsia" w:ascii="宋体" w:hAnsi="宋体" w:cs="宋体"/>
                <w:color w:val="auto"/>
                <w:szCs w:val="21"/>
                <w:highlight w:val="none"/>
                <w:lang w:val="en-US" w:eastAsia="zh-CN"/>
              </w:rPr>
              <w:t xml:space="preserve">测试</w:t>
            </w:r>
            <w:r>
              <w:rPr>
                <w:rFonts w:hint="eastAsia" w:ascii="宋体" w:hAnsi="宋体" w:cs="宋体"/>
                <w:color w:val="auto"/>
                <w:szCs w:val="21"/>
                <w:highlight w:val="none"/>
                <w:lang w:eastAsia="zh-CN"/>
              </w:rPr>
              <w:t xml:space="preserve">系统</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19.00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核心产品</w:t>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激光跟踪仪反射球</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19.8</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rHeight w:val="738"/>
        </w:trPr>
        <w:tc>
          <w:tcPr>
            <w:tcBorders>
              <w:top w:val="none" w:color="000000" w:sz="4" w:space="0"/>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漏电开关测试仪</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0.40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single" w:color="auto" w:sz="4" w:space="0"/>
              <w:right w:val="single" w:color="auto" w:sz="4" w:space="0"/>
            </w:tcBorders>
            <w:tcW w:w="617"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分包二</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两箱式冷热冲击箱</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17.00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核心产品</w:t>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火烧试验机</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2.00</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冲击试验低温仪A</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7.00</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冲击试验低温仪B</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4.00</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left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en-US" w:eastAsia="zh-CN"/>
              </w:rPr>
              <w:t xml:space="preserve">   </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热变形维卡软化试验机</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10.00</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none" w:color="000000"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盐雾试验箱A</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2.40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1468"/>
        </w:trPr>
        <w:tc>
          <w:tcPr>
            <w:tcBorders>
              <w:top w:val="none" w:color="000000" w:sz="4" w:space="0"/>
              <w:left w:val="single" w:color="auto" w:sz="4" w:space="0"/>
              <w:bottom w:val="none" w:color="000000"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盐雾试验箱B</w:t>
            </w:r>
            <w:r/>
          </w:p>
        </w:tc>
        <w:tc>
          <w:tcPr>
            <w:tcBorders>
              <w:top w:val="none" w:color="000000"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none" w:color="000000"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none" w:color="000000"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4.80</w:t>
            </w:r>
            <w:r/>
          </w:p>
        </w:tc>
        <w:tc>
          <w:tcPr>
            <w:tcBorders>
              <w:top w:val="none" w:color="000000"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none" w:color="000000"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r>
        <w:trPr>
          <w:trHeight w:val="382"/>
        </w:trPr>
        <w:tc>
          <w:tcPr>
            <w:tcBorders>
              <w:left w:val="single" w:color="auto" w:sz="4" w:space="0"/>
              <w:bottom w:val="single" w:color="auto" w:sz="4" w:space="0"/>
              <w:right w:val="single" w:color="auto" w:sz="4" w:space="0"/>
            </w:tcBorders>
            <w:tcW w:w="617"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转矩转速传感器</w:t>
            </w:r>
            <w:r/>
          </w:p>
        </w:tc>
        <w:tc>
          <w:tcPr>
            <w:tcBorders>
              <w:top w:val="single" w:color="auto" w:sz="4" w:space="0"/>
              <w:left w:val="none" w:color="000000" w:sz="4" w:space="0"/>
              <w:bottom w:val="single" w:color="auto" w:sz="4" w:space="0"/>
              <w:right w:val="single" w:color="auto" w:sz="4" w:space="0"/>
            </w:tcBorders>
            <w:tcW w:w="999"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1.00</w:t>
            </w:r>
            <w:r/>
          </w:p>
        </w:tc>
        <w:tc>
          <w:tcPr>
            <w:tcBorders>
              <w:top w:val="single" w:color="auto" w:sz="4" w:space="0"/>
              <w:left w:val="none" w:color="000000" w:sz="4" w:space="0"/>
              <w:bottom w:val="single" w:color="auto" w:sz="4" w:space="0"/>
              <w:right w:val="single" w:color="auto" w:sz="4" w:space="0"/>
            </w:tcBorders>
            <w:tcW w:w="165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详见招标文件第四章招标技术规格及要求</w:t>
            </w:r>
            <w:r/>
          </w:p>
        </w:tc>
        <w:tc>
          <w:tcPr>
            <w:tcBorders>
              <w:top w:val="single" w:color="auto" w:sz="4" w:space="0"/>
              <w:left w:val="none" w:color="000000" w:sz="4" w:space="0"/>
              <w:bottom w:val="single" w:color="auto" w:sz="4" w:space="0"/>
              <w:right w:val="single" w:color="auto" w:sz="4" w:space="0"/>
            </w:tcBorders>
            <w:tcW w:w="102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8.90</w:t>
            </w:r>
            <w:r/>
          </w:p>
        </w:tc>
        <w:tc>
          <w:tcPr>
            <w:tcBorders>
              <w:top w:val="single" w:color="auto" w:sz="4" w:space="0"/>
              <w:left w:val="none" w:color="000000" w:sz="4" w:space="0"/>
              <w:bottom w:val="single" w:color="auto" w:sz="4" w:space="0"/>
              <w:right w:val="single" w:color="auto" w:sz="4" w:space="0"/>
            </w:tcBorders>
            <w:tcW w:w="2392"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lang w:eastAsia="zh-CN"/>
              </w:rPr>
            </w:pPr>
            <w:r>
              <w:rPr>
                <w:rFonts w:hint="eastAsia" w:ascii="宋体" w:hAnsi="宋体" w:eastAsia="宋体"/>
                <w:color w:val="auto"/>
                <w:szCs w:val="21"/>
                <w:highlight w:val="none"/>
              </w:rPr>
              <w:t xml:space="preserve">合同签订后</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个月内到江苏省特种设备安全监督检验研究院指定地点</w:t>
            </w:r>
            <w:r/>
          </w:p>
        </w:tc>
        <w:tc>
          <w:tcPr>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否</w:t>
            </w:r>
            <w:r/>
          </w:p>
        </w:tc>
        <w:tc>
          <w:tcPr>
            <w:tcBorders>
              <w:top w:val="single" w:color="auto" w:sz="4" w:space="0"/>
              <w:left w:val="none" w:color="000000" w:sz="4" w:space="0"/>
              <w:bottom w:val="single" w:color="auto" w:sz="4" w:space="0"/>
              <w:right w:val="single" w:color="auto" w:sz="4" w:space="0"/>
            </w:tcBorders>
            <w:tcW w:w="79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r>
    </w:tbl>
    <w:p>
      <w:pPr>
        <w:rPr>
          <w:rFonts w:hint="eastAsia"/>
          <w:b/>
          <w:bCs/>
          <w:color w:val="auto"/>
          <w:szCs w:val="21"/>
          <w:highlight w:val="none"/>
          <w:lang w:bidi="ar"/>
        </w:rPr>
      </w:pPr>
      <w:r>
        <w:rPr>
          <w:rFonts w:hint="eastAsia"/>
          <w:b/>
          <w:bCs/>
          <w:color w:val="auto"/>
          <w:szCs w:val="21"/>
          <w:highlight w:val="none"/>
          <w:lang w:bidi="ar"/>
        </w:rPr>
        <w:br w:type="page" w:clear="all"/>
      </w:r>
      <w:r/>
    </w:p>
    <w:p>
      <w:pPr>
        <w:rPr>
          <w:rFonts w:hint="eastAsia"/>
          <w:b/>
          <w:bCs/>
          <w:color w:val="auto"/>
          <w:szCs w:val="21"/>
          <w:highlight w:val="none"/>
          <w:lang w:bidi="ar"/>
        </w:rPr>
      </w:pPr>
      <w:r>
        <w:rPr>
          <w:rFonts w:hint="eastAsia"/>
          <w:b/>
          <w:bCs/>
          <w:color w:val="auto"/>
          <w:szCs w:val="21"/>
          <w:highlight w:val="none"/>
          <w:lang w:bidi="ar"/>
        </w:rPr>
      </w:r>
      <w:r/>
    </w:p>
    <w:p>
      <w:pPr>
        <w:ind w:firstLine="422"/>
        <w:rPr>
          <w:b/>
          <w:bCs/>
          <w:color w:val="auto"/>
          <w:szCs w:val="21"/>
          <w:highlight w:val="none"/>
        </w:rPr>
      </w:pPr>
      <w:r>
        <w:rPr>
          <w:rFonts w:hint="eastAsia"/>
          <w:b/>
          <w:bCs/>
          <w:color w:val="auto"/>
          <w:szCs w:val="21"/>
          <w:highlight w:val="none"/>
          <w:lang w:bidi="ar"/>
        </w:rPr>
        <w:t xml:space="preserve">二、技术参数</w:t>
      </w:r>
      <w:r>
        <w:rPr>
          <w:rFonts w:hint="eastAsia"/>
          <w:b/>
          <w:bCs/>
          <w:color w:val="auto"/>
          <w:szCs w:val="21"/>
          <w:highlight w:val="none"/>
        </w:rPr>
        <w:t xml:space="preserve">：</w:t>
      </w:r>
      <w:r/>
    </w:p>
    <w:p>
      <w:pPr>
        <w:pStyle w:val="1461"/>
        <w:ind w:left="0" w:firstLine="422"/>
        <w:spacing w:line="360" w:lineRule="auto"/>
        <w:rPr>
          <w:rFonts w:hint="eastAsia"/>
          <w:b/>
          <w:bCs/>
          <w:color w:val="auto"/>
          <w:szCs w:val="21"/>
          <w:highlight w:val="none"/>
          <w:lang w:val="en-US"/>
        </w:rPr>
      </w:pPr>
      <w:r>
        <w:rPr>
          <w:rFonts w:hint="eastAsia"/>
          <w:b/>
          <w:bCs/>
          <w:color w:val="auto"/>
          <w:szCs w:val="21"/>
          <w:highlight w:val="none"/>
          <w:lang w:val="en-US"/>
        </w:rPr>
      </w:r>
      <w:r/>
    </w:p>
    <w:p>
      <w:pPr>
        <w:pStyle w:val="1461"/>
        <w:ind w:left="0" w:firstLine="422"/>
        <w:spacing w:line="360" w:lineRule="auto"/>
        <w:rPr>
          <w:rFonts w:hint="eastAsia"/>
          <w:b/>
          <w:bCs/>
          <w:color w:val="auto"/>
          <w:szCs w:val="21"/>
          <w:highlight w:val="none"/>
          <w:lang w:val="en-US"/>
        </w:rPr>
      </w:pPr>
      <w:r>
        <w:rPr>
          <w:rFonts w:hint="eastAsia"/>
          <w:b/>
          <w:bCs/>
          <w:color w:val="auto"/>
          <w:szCs w:val="21"/>
          <w:highlight w:val="none"/>
          <w:lang w:val="en-US"/>
        </w:rPr>
        <w:t xml:space="preserve">分包一</w:t>
      </w:r>
      <w:r>
        <w:rPr>
          <w:rFonts w:hint="eastAsia"/>
          <w:b/>
          <w:bCs/>
          <w:color w:val="auto"/>
          <w:szCs w:val="21"/>
          <w:highlight w:val="none"/>
          <w:lang w:bidi="ar"/>
        </w:rPr>
        <w:t xml:space="preserve">技术参数</w:t>
      </w:r>
      <w:r>
        <w:rPr>
          <w:rFonts w:hint="eastAsia"/>
          <w:b/>
          <w:bCs/>
          <w:color w:val="auto"/>
          <w:szCs w:val="21"/>
          <w:highlight w:val="none"/>
          <w:lang w:val="en-US"/>
        </w:rPr>
        <w:t xml:space="preserve">：</w:t>
      </w:r>
      <w:r/>
    </w:p>
    <w:tbl>
      <w:tblPr>
        <w:tblStyle w:val="1209"/>
        <w:tblpPr w:horzAnchor="page" w:tblpX="1532" w:vertAnchor="text" w:tblpY="309" w:leftFromText="180" w:topFromText="0" w:rightFromText="180" w:bottomFromText="0"/>
        <w:tblW w:w="9047" w:type="dxa"/>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371"/>
        <w:gridCol w:w="5073"/>
        <w:gridCol w:w="867"/>
        <w:gridCol w:w="900"/>
      </w:tblGrid>
      <w:tr>
        <w:trPr>
          <w:trHeight w:val="457"/>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技术参数与配置</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数量</w:t>
            </w:r>
            <w:r/>
          </w:p>
        </w:tc>
      </w:tr>
      <w:tr>
        <w:trPr>
          <w:trHeight w:val="1335"/>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微机控制拉力试验机</w:t>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auto"/>
                <w:szCs w:val="21"/>
                <w:highlight w:val="none"/>
              </w:rPr>
            </w:pPr>
            <w:r/>
            <w:bookmarkStart w:id="106" w:name="OLE_LINK5"/>
            <w:r>
              <w:rPr>
                <w:rFonts w:hint="eastAsia" w:ascii="宋体" w:hAnsi="宋体"/>
                <w:color w:val="auto"/>
                <w:szCs w:val="21"/>
                <w:highlight w:val="none"/>
              </w:rPr>
              <w:t xml:space="preserve">1、试验力20～2000N；</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2、试验速度0.01～500mm/min；</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▲3、钢丝直径0.25～1.00mm；</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★4、精度0.5级；</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5、配钢丝缠绕夹具；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6、试验设备为双柱机架。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7配置：</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（1）试验主机一台:双柱机架；</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（2）驱动系统一套；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（3）2000N负荷传感器一套；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（4）采集系统一套；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（5）缠绕式夹具一套；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（6）软件一套；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（7）控制主机一台</w:t>
            </w:r>
            <w:r>
              <w:rPr>
                <w:rFonts w:hint="eastAsia"/>
                <w:color w:val="auto"/>
                <w:highlight w:val="none"/>
              </w:rPr>
              <w:t xml:space="preserve">  </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（8）打印机一套。</w:t>
            </w:r>
            <w:bookmarkEnd w:id="106"/>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1.00 </w:t>
            </w:r>
            <w:r/>
          </w:p>
        </w:tc>
      </w:tr>
      <w:tr>
        <w:trPr>
          <w:trHeight w:val="3593"/>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微机控制原位拉伸试验机</w:t>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numPr>
                <w:ilvl w:val="0"/>
                <w:numId w:val="4"/>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试验力10N～2000N；</w:t>
            </w:r>
            <w:r/>
          </w:p>
          <w:p>
            <w:pPr>
              <w:numPr>
                <w:ilvl w:val="0"/>
                <w:numId w:val="4"/>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行程0～60mm，拉伸速度：0.01mm/min～2mm/min；</w:t>
            </w:r>
            <w:r/>
          </w:p>
          <w:p>
            <w:pPr>
              <w:numPr>
                <w:ilvl w:val="0"/>
                <w:numId w:val="4"/>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整体结构尺寸：长度247mm，精度0.5级，宽度150mm，最大高度58mm。</w:t>
            </w:r>
            <w:r/>
          </w:p>
          <w:p>
            <w:pPr>
              <w:numPr>
                <w:ilvl w:val="0"/>
                <w:numId w:val="4"/>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配置：</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（1）试验主机一台:双柱机架；</w:t>
            </w:r>
            <w:r/>
          </w:p>
          <w:p>
            <w:pPr>
              <w:jc w:val="left"/>
              <w:spacing w:line="360" w:lineRule="auto"/>
              <w:rPr>
                <w:color w:val="auto"/>
                <w:highlight w:val="none"/>
              </w:rPr>
            </w:pPr>
            <w:r>
              <w:rPr>
                <w:rFonts w:hint="eastAsia" w:ascii="宋体" w:hAnsi="宋体"/>
                <w:color w:val="auto"/>
                <w:szCs w:val="21"/>
                <w:highlight w:val="none"/>
              </w:rPr>
              <w:t xml:space="preserve">（2）配小试样拉伸夹具，满足10mm*10mm*0.5mm试样的拉伸测试。</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1.00 </w:t>
            </w:r>
            <w:r/>
          </w:p>
        </w:tc>
      </w:tr>
      <w:tr>
        <w:trPr>
          <w:trHeight w:val="1451"/>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拉伸试验自动标距仪</w:t>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1、自动选择5mm或10mm分格，进行自动打点或刻线；</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2、适用于圆棒、螺纹钢、板材、钢管等试样的标距；</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▲3、标距范围5～400mm，标距等分格5和10mm两档；</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★4、标距精度0.5%L0；</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5、体积700mm×180mm×250mm。</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2.00 </w:t>
            </w:r>
            <w:r/>
          </w:p>
        </w:tc>
      </w:tr>
      <w:tr>
        <w:trPr>
          <w:trHeight w:val="29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钢丝反复弯曲试验机</w:t>
            </w:r>
            <w:r/>
          </w:p>
        </w:tc>
        <w:tc>
          <w:tcPr>
            <w:tcBorders>
              <w:top w:val="single" w:color="000000"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★1、试样直径：Φ0.3-Φ10mm；</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2、弯曲角度：±90°（平面弯曲）；</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★3、弯曲速度：≤60rpm；</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计数范围：9999999</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5、显示方式：触屏显示，自动记录次数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配置；</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立式</w:t>
            </w:r>
            <w:r>
              <w:rPr>
                <w:rFonts w:hint="eastAsia" w:ascii="宋体" w:hAnsi="宋体"/>
                <w:color w:val="auto"/>
                <w:szCs w:val="21"/>
                <w:highlight w:val="none"/>
              </w:rPr>
              <w:t xml:space="preserve">试验机</w:t>
            </w:r>
            <w:r>
              <w:rPr>
                <w:rFonts w:ascii="宋体" w:hAnsi="宋体"/>
                <w:color w:val="auto"/>
                <w:szCs w:val="21"/>
                <w:highlight w:val="none"/>
              </w:rPr>
              <w:t xml:space="preserve"> 1 台</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伺服系统 1 套</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伺服直连减速系统加载系统 1 套</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液晶操作触摸屏 1 套</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随机供应钳口直径 R1.25、1.75、2.5、3.75、 5.0、7.510 </w:t>
            </w:r>
            <w:r>
              <w:rPr>
                <w:rFonts w:hint="eastAsia" w:ascii="宋体" w:hAnsi="宋体"/>
                <w:color w:val="auto"/>
                <w:szCs w:val="21"/>
                <w:highlight w:val="none"/>
              </w:rPr>
              <w:t xml:space="preserve">、</w:t>
            </w:r>
            <w:r>
              <w:rPr>
                <w:rFonts w:ascii="宋体" w:hAnsi="宋体"/>
                <w:color w:val="auto"/>
                <w:szCs w:val="21"/>
                <w:highlight w:val="none"/>
              </w:rPr>
              <w:t xml:space="preserve">15</w:t>
            </w:r>
            <w:r>
              <w:rPr>
                <w:rFonts w:hint="eastAsia" w:ascii="宋体" w:hAnsi="宋体"/>
                <w:color w:val="auto"/>
                <w:szCs w:val="21"/>
                <w:highlight w:val="none"/>
              </w:rPr>
              <w:t xml:space="preserve">、</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25各一套</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随机供应导套直径¢2.0、2.5、3.5、4.5、7、9、11 各一套</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夹紧钳口座 1 套</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rPr>
                <w:rFonts w:ascii="宋体" w:hAnsi="宋体"/>
                <w:color w:val="auto"/>
                <w:szCs w:val="21"/>
                <w:highlight w:val="none"/>
              </w:rPr>
              <w:t xml:space="preserve">预紧力砝码装置 1 套</w:t>
            </w:r>
            <w:r>
              <w:rPr>
                <w:rFonts w:hint="eastAsia" w:ascii="宋体" w:hAnsi="宋体"/>
                <w:color w:val="auto"/>
                <w:szCs w:val="21"/>
                <w:highlight w:val="none"/>
              </w:rPr>
              <w:t xml:space="preserve">：含500g、200g、100g、50g、20g、10g、5g、2g、2g、1g，至少十个以满足试验要求为准；</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加紧装置手轮 1 套</w:t>
            </w:r>
            <w:r>
              <w:rPr>
                <w:rFonts w:hint="eastAsia"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1.00 </w:t>
            </w:r>
            <w:r/>
          </w:p>
        </w:tc>
      </w:tr>
      <w:tr>
        <w:trPr>
          <w:trHeight w:val="1108"/>
        </w:trPr>
        <w:tc>
          <w:tcPr>
            <w:tcBorders>
              <w:top w:val="single" w:color="000000" w:sz="4" w:space="0"/>
              <w:left w:val="single" w:color="000000" w:sz="4" w:space="0"/>
              <w:bottom w:val="single" w:color="auto"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auto"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密封非金属材料高低温大变形力学测试系统</w:t>
            </w:r>
            <w:r/>
          </w:p>
        </w:tc>
        <w:tc>
          <w:tcPr>
            <w:tcBorders>
              <w:top w:val="single" w:color="000000" w:sz="4" w:space="0"/>
              <w:left w:val="single" w:color="000000" w:sz="4" w:space="0"/>
              <w:bottom w:val="single" w:color="auto" w:sz="4" w:space="0"/>
              <w:right w:val="single" w:color="000000" w:sz="4" w:space="0"/>
            </w:tcBorders>
            <w:tcW w:w="507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1、力值：30KN，精度0.5级；</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★2、试验速度：0.00005mm/min～900mm/min(提供软件界面截图)；</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▲3、横梁行程≥1600mm；</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▲4、试验力、变形分辨率：1/600000FS；</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★5、试验控制步骤使用流程化设置，可以添加多种步骤；可绝对斜线、相对斜线，可实现低频低周（余弦波、方波、三角波）疲劳试验（提供软件界面截图）；</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6、环境箱温度范围-180°C</w:t>
            </w:r>
            <w:bookmarkStart w:id="107" w:name="OLE_LINK2"/>
            <w:r>
              <w:rPr>
                <w:rFonts w:hint="eastAsia" w:ascii="宋体" w:hAnsi="宋体"/>
                <w:color w:val="auto"/>
                <w:szCs w:val="21"/>
                <w:highlight w:val="none"/>
              </w:rPr>
              <w:t xml:space="preserve"> ～</w:t>
            </w:r>
            <w:bookmarkEnd w:id="107"/>
            <w:r>
              <w:rPr>
                <w:rFonts w:hint="eastAsia" w:ascii="宋体" w:hAnsi="宋体"/>
                <w:color w:val="auto"/>
                <w:szCs w:val="21"/>
                <w:highlight w:val="none"/>
              </w:rPr>
              <w:t xml:space="preserve">350°C ，内腔尺寸240*200*800mm；</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★7、液晶触摸彩屏手控盒一套，带触感反馈的精密定位调整拨轮，支持双模式通讯方式，既能与控制器直连，也可与PC直连，通过手控盒直接控制气动夹具（必要验收条件）；</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8、通过软件可调节气动夹具加持力大小，设置预应力功能，无需重新调节夹持力。</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▲9、LVDT位移传感器：位移测量范围: ±10mm(回弹式)，精度不低于±0.25% FS，传感器耐受温度不低于150℃；</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▲10.具备视频引伸计扩展功能。</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配置：</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1、试验机一台；</w:t>
            </w:r>
            <w:r/>
          </w:p>
          <w:p>
            <w:pPr>
              <w:spacing w:line="360" w:lineRule="auto"/>
              <w:rPr>
                <w:rFonts w:hint="eastAsia" w:ascii="宋体" w:hAnsi="宋体"/>
                <w:color w:val="auto"/>
                <w:szCs w:val="21"/>
                <w:highlight w:val="none"/>
              </w:rPr>
            </w:pPr>
            <w:r>
              <w:rPr>
                <w:rFonts w:ascii="宋体" w:hAnsi="宋体"/>
                <w:color w:val="auto"/>
                <w:szCs w:val="21"/>
                <w:highlight w:val="none"/>
              </w:rPr>
              <w:t xml:space="preserve">2、软件一套；</w:t>
            </w:r>
            <w:r/>
          </w:p>
          <w:p>
            <w:pPr>
              <w:spacing w:line="360" w:lineRule="auto"/>
              <w:rPr>
                <w:rFonts w:hint="eastAsia" w:ascii="宋体" w:hAnsi="宋体"/>
                <w:color w:val="auto"/>
                <w:szCs w:val="21"/>
                <w:highlight w:val="none"/>
              </w:rPr>
            </w:pPr>
            <w:r>
              <w:rPr>
                <w:rFonts w:ascii="宋体" w:hAnsi="宋体"/>
                <w:color w:val="auto"/>
                <w:szCs w:val="21"/>
                <w:highlight w:val="none"/>
              </w:rPr>
              <w:t xml:space="preserve">3、原厂手控盒</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4、智能光感交互系统一套（采用呼吸频闪、动态流光、稳态高亮搭配不同颜色等灯语直观展示当前主机运行状态）</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5、一体式触控电脑含打印机（要求软件支持触屏操作模式，可手指滑动实现曲线缩放及平移功能提高工作效率）</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6、高低温箱一套：内腔尺寸240*200*800mm；</w:t>
            </w:r>
            <w:r/>
          </w:p>
          <w:p>
            <w:pPr>
              <w:spacing w:line="360" w:lineRule="auto"/>
              <w:rPr>
                <w:rFonts w:hint="eastAsia" w:ascii="宋体" w:hAnsi="宋体"/>
                <w:color w:val="auto"/>
                <w:szCs w:val="21"/>
                <w:highlight w:val="none"/>
              </w:rPr>
            </w:pPr>
            <w:r>
              <w:rPr>
                <w:rFonts w:ascii="宋体" w:hAnsi="宋体"/>
                <w:color w:val="auto"/>
                <w:szCs w:val="21"/>
                <w:highlight w:val="none"/>
              </w:rPr>
              <w:t xml:space="preserve">7、高温压缩夹具（含LVDT位移传感器）一套</w:t>
            </w:r>
            <w:r>
              <w:rPr>
                <w:rFonts w:hint="eastAsia" w:ascii="宋体" w:hAnsi="宋体"/>
                <w:color w:val="auto"/>
                <w:szCs w:val="21"/>
                <w:highlight w:val="none"/>
              </w:rPr>
              <w:t xml:space="preserve">，能够</w:t>
            </w:r>
            <w:r>
              <w:rPr>
                <w:rFonts w:ascii="宋体" w:hAnsi="宋体"/>
                <w:color w:val="auto"/>
                <w:szCs w:val="21"/>
                <w:highlight w:val="none"/>
              </w:rPr>
              <w:t xml:space="preserve">应变</w:t>
            </w:r>
            <w:r>
              <w:rPr>
                <w:rFonts w:hint="eastAsia" w:ascii="宋体" w:hAnsi="宋体"/>
                <w:color w:val="auto"/>
                <w:szCs w:val="21"/>
                <w:highlight w:val="none"/>
              </w:rPr>
              <w:t xml:space="preserve">控制；</w:t>
            </w:r>
            <w:r/>
          </w:p>
          <w:p>
            <w:pPr>
              <w:spacing w:line="360" w:lineRule="auto"/>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高低温</w:t>
            </w:r>
            <w:r>
              <w:rPr>
                <w:rFonts w:ascii="宋体" w:hAnsi="宋体"/>
                <w:color w:val="auto"/>
                <w:szCs w:val="21"/>
                <w:highlight w:val="none"/>
              </w:rPr>
              <w:t xml:space="preserve">拉伸夹具一套</w:t>
            </w:r>
            <w:r>
              <w:rPr>
                <w:rFonts w:hint="eastAsia" w:ascii="宋体" w:hAnsi="宋体"/>
                <w:color w:val="auto"/>
                <w:szCs w:val="21"/>
                <w:highlight w:val="none"/>
              </w:rPr>
              <w:t xml:space="preserve">，耐受温度-180°C ～350°C</w:t>
            </w:r>
            <w:r>
              <w:rPr>
                <w:rFonts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9、大变形一套</w:t>
            </w:r>
            <w:r>
              <w:rPr>
                <w:rFonts w:hint="eastAsia" w:ascii="宋体" w:hAnsi="宋体"/>
                <w:color w:val="auto"/>
                <w:szCs w:val="21"/>
                <w:highlight w:val="none"/>
              </w:rPr>
              <w:t xml:space="preserve">:最大量程850mm、准确度≤0.5%、标距10、15、20、25、50、75、100(mm)</w:t>
            </w:r>
            <w:r>
              <w:rPr>
                <w:rFonts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lang w:eastAsia="zh-CN"/>
              </w:rPr>
              <w:t xml:space="preserve">、</w:t>
            </w:r>
            <w:r>
              <w:rPr>
                <w:rFonts w:ascii="宋体" w:hAnsi="宋体"/>
                <w:color w:val="auto"/>
                <w:szCs w:val="21"/>
                <w:highlight w:val="none"/>
              </w:rPr>
              <w:t xml:space="preserve">气动拉伸夹具一套</w:t>
            </w:r>
            <w:r>
              <w:rPr>
                <w:rFonts w:hint="eastAsia" w:ascii="宋体" w:hAnsi="宋体"/>
                <w:color w:val="auto"/>
                <w:szCs w:val="21"/>
                <w:highlight w:val="none"/>
              </w:rPr>
              <w:t xml:space="preserve">，最大力10KN</w:t>
            </w:r>
            <w:r>
              <w:rPr>
                <w:rFonts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lang w:eastAsia="zh-CN"/>
              </w:rPr>
              <w:t xml:space="preserve">、</w:t>
            </w:r>
            <w:r>
              <w:rPr>
                <w:rFonts w:ascii="宋体" w:hAnsi="宋体"/>
                <w:color w:val="auto"/>
                <w:szCs w:val="21"/>
                <w:highlight w:val="none"/>
              </w:rPr>
              <w:t xml:space="preserve">含</w:t>
            </w:r>
            <w:r>
              <w:rPr>
                <w:rFonts w:hint="eastAsia" w:ascii="宋体" w:hAnsi="宋体"/>
                <w:color w:val="auto"/>
                <w:szCs w:val="21"/>
                <w:highlight w:val="none"/>
              </w:rPr>
              <w:t xml:space="preserve">设备整套</w:t>
            </w:r>
            <w:r>
              <w:rPr>
                <w:rFonts w:ascii="宋体" w:hAnsi="宋体"/>
                <w:color w:val="auto"/>
                <w:szCs w:val="21"/>
                <w:highlight w:val="none"/>
              </w:rPr>
              <w:t xml:space="preserve">计量</w:t>
            </w:r>
            <w:r>
              <w:rPr>
                <w:rFonts w:hint="eastAsia" w:ascii="宋体" w:hAnsi="宋体"/>
                <w:color w:val="auto"/>
                <w:szCs w:val="21"/>
                <w:highlight w:val="none"/>
              </w:rPr>
              <w:t xml:space="preserve">。</w:t>
            </w:r>
            <w:r/>
          </w:p>
        </w:tc>
        <w:tc>
          <w:tcPr>
            <w:tcBorders>
              <w:top w:val="single" w:color="000000" w:sz="4" w:space="0"/>
              <w:left w:val="single" w:color="000000" w:sz="4" w:space="0"/>
              <w:bottom w:val="single" w:color="auto"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1.00 </w:t>
            </w:r>
            <w:r/>
          </w:p>
        </w:tc>
      </w:tr>
      <w:tr>
        <w:trPr>
          <w:trHeight w:val="1209"/>
        </w:trPr>
        <w:tc>
          <w:tcPr>
            <w:tcBorders>
              <w:top w:val="single" w:color="auto" w:sz="4" w:space="0"/>
              <w:left w:val="single" w:color="auto" w:sz="4" w:space="0"/>
              <w:bottom w:val="single" w:color="auto"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Borders>
              <w:top w:val="single" w:color="auto" w:sz="4" w:space="0"/>
              <w:left w:val="single" w:color="000000" w:sz="4" w:space="0"/>
              <w:bottom w:val="single" w:color="auto"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激光跟踪仪反射球</w:t>
            </w:r>
            <w:r/>
          </w:p>
        </w:tc>
        <w:tc>
          <w:tcPr>
            <w:tcBorders>
              <w:top w:val="single" w:color="auto" w:sz="4" w:space="0"/>
              <w:left w:val="none" w:color="000000" w:sz="4" w:space="0"/>
              <w:bottom w:val="single" w:color="auto" w:sz="4" w:space="0"/>
              <w:right w:val="none" w:color="000000" w:sz="4" w:space="0"/>
            </w:tcBorders>
            <w:tcW w:w="5073" w:type="dxa"/>
            <w:vAlign w:val="center"/>
            <w:textDirection w:val="lrTb"/>
            <w:noWrap w:val="false"/>
          </w:tcPr>
          <w:p>
            <w:pPr>
              <w:spacing w:line="360" w:lineRule="auto"/>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1、规格：RRR1.5"</w:t>
            </w:r>
            <w:r>
              <w:rPr>
                <w:rFonts w:ascii="宋体" w:hAnsi="宋体"/>
                <w:color w:val="auto"/>
                <w:szCs w:val="21"/>
                <w:highlight w:val="none"/>
              </w:rPr>
              <w:t xml:space="preserve">反射球</w:t>
            </w:r>
            <w:r>
              <w:rPr>
                <w:rFonts w:hint="eastAsia"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2、中心精度：＜±3微米。</w:t>
            </w:r>
            <w:r/>
          </w:p>
        </w:tc>
        <w:tc>
          <w:tcPr>
            <w:tcBorders>
              <w:top w:val="single" w:color="auto" w:sz="4" w:space="0"/>
              <w:left w:val="single" w:color="000000" w:sz="4" w:space="0"/>
              <w:bottom w:val="single" w:color="auto"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Borders>
              <w:top w:val="single" w:color="auto" w:sz="4" w:space="0"/>
              <w:left w:val="single" w:color="000000" w:sz="4" w:space="0"/>
              <w:bottom w:val="single" w:color="auto"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10.00 </w:t>
            </w:r>
            <w:r/>
          </w:p>
        </w:tc>
      </w:tr>
      <w:tr>
        <w:trPr>
          <w:trHeight w:val="689"/>
        </w:trPr>
        <w:tc>
          <w:tcPr>
            <w:tcBorders>
              <w:top w:val="single" w:color="auto" w:sz="4" w:space="0"/>
              <w:left w:val="single" w:color="000000" w:sz="4" w:space="0"/>
              <w:bottom w:val="single" w:color="000000" w:sz="4" w:space="0"/>
              <w:right w:val="single" w:color="000000" w:sz="4" w:space="0"/>
            </w:tcBorders>
            <w:tcW w:w="836"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shd w:val="clear" w:color="auto" w:fill="ffffff"/>
            <w:tcBorders>
              <w:top w:val="single" w:color="auto" w:sz="4" w:space="0"/>
              <w:left w:val="single" w:color="000000" w:sz="4" w:space="0"/>
              <w:bottom w:val="single" w:color="000000" w:sz="4" w:space="0"/>
              <w:right w:val="single" w:color="000000" w:sz="4" w:space="0"/>
            </w:tcBorders>
            <w:tcW w:w="1371"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漏电开关测试仪</w:t>
            </w:r>
            <w:r/>
          </w:p>
        </w:tc>
        <w:tc>
          <w:tcPr>
            <w:tcBorders>
              <w:top w:val="single" w:color="auto" w:sz="4" w:space="0"/>
              <w:left w:val="single" w:color="000000" w:sz="4" w:space="0"/>
              <w:bottom w:val="single" w:color="000000" w:sz="4" w:space="0"/>
              <w:right w:val="single" w:color="000000" w:sz="4" w:space="0"/>
            </w:tcBorders>
            <w:tcW w:w="5073"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1、测试电流：15 ～500mA；</w:t>
            </w:r>
            <w:r/>
          </w:p>
          <w:p>
            <w:pPr>
              <w:spacing w:line="360" w:lineRule="auto"/>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2、测试时间：2000ms；</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3、电压范围：80V ～450V(50/60Hz)；</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▲4、精度：+0.6%rdg±4dgt。</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配置</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1、测试仪一台；</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2、工具箱一套；</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3、电池、测试线、说明书、保修卡一套。</w:t>
            </w:r>
            <w:r/>
          </w:p>
        </w:tc>
        <w:tc>
          <w:tcPr>
            <w:tcBorders>
              <w:top w:val="single" w:color="auto"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台</w:t>
            </w:r>
            <w:r/>
          </w:p>
        </w:tc>
        <w:tc>
          <w:tcPr>
            <w:tcBorders>
              <w:top w:val="single" w:color="auto" w:sz="4" w:space="0"/>
              <w:left w:val="single" w:color="000000" w:sz="4" w:space="0"/>
              <w:bottom w:val="single" w:color="000000" w:sz="4" w:space="0"/>
              <w:right w:val="single" w:color="000000" w:sz="4" w:space="0"/>
            </w:tcBorders>
            <w:tcW w:w="900"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1.00 </w:t>
            </w:r>
            <w:r/>
          </w:p>
        </w:tc>
      </w:tr>
    </w:tbl>
    <w:p>
      <w:pPr>
        <w:pStyle w:val="1465"/>
        <w:ind w:firstLine="200"/>
        <w:rPr>
          <w:b/>
          <w:color w:val="auto"/>
          <w:highlight w:val="none"/>
        </w:rPr>
      </w:pPr>
      <w:r>
        <w:rPr>
          <w:rFonts w:hint="eastAsia"/>
          <w:b/>
          <w:color w:val="auto"/>
          <w:highlight w:val="none"/>
          <w:lang w:val="en-US"/>
        </w:rPr>
        <w:t xml:space="preserve">（二）、</w:t>
      </w:r>
      <w:r>
        <w:rPr>
          <w:rFonts w:hint="eastAsia"/>
          <w:b/>
          <w:color w:val="auto"/>
          <w:highlight w:val="none"/>
        </w:rPr>
        <w:t xml:space="preserve">商务要求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★1、交货期及交货地点：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（1）交货时间（合同履行期）：合同签订后3个月内到江苏省特种设备安全监督检验研究院指定地点。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（2）交货地点：采购人指定地点。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安装、调试和验收：设备到达最终采购人现场并且具备验收条件后，在接到采购人通知后，供应商需安排有经验的工程技术人员到采购人现场指导安装、调试仪器设备，按验收指标逐项测试，直至达到验收合格。如因产品质量导致产品无法正常使用，由成交人无偿更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★2、付款方式：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合同签订生效后，采购人向供应商支付合同总价的50%；供应商在按照合同规定的期限内将设备、材料全部运抵交货地点，并安装调试结束，初步验收合格后，采购人收到供应商提供的合同总价10%的履约保函后向供应商支付合同总价的50%；在设备通过采购人验收合格且满12个月无质量问题后的15个工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日内，采购人将无息退还供应商的履约保函，履约保函的形式：供应商应当以支票、汇票、本票或者金融机构、担保机构出具的保函等非现金形式提交。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3、履约保证金：履约保函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（1）履约保函金额：合同总价10%；</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（2）履约保函的形式：供应商应当以支票、汇票、本票或者金融机构、担保机构出具的保函等非现金形式提交；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（3）履约保函的退还：在设备通过采购人验收合格且满12个月无质量问题后的15个工作日内，采购人将无息退还供应商的履约保函；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（4）逾期退还履约保函的处理：采购人未按照规定退还履约保函的（因供应商自身原因导致无法及时退还的除外），由财政部门依照《中华人民共和国政府采购法》等有关规定处理；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（5）不予退还履约保函的处理：对于符合政府采购政策和招标文件规定不予退还的履约保函，采购人应当确认相关情形后按照财政非税收入管理等规定上缴采购人同级预算级次国库。</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4、培训：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（1）现场培训：供应商在设备的组装、调试、验收完毕后即进行现场免费培训。主要包含以下内容：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①、对具体设备操作人员进行设备原理，流程，关键器件等技术培训；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②、对具体设备操作人员进行设备操作培训，直至可独立操作；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③、对具体设备操作人员进行信号分析培训等。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（2）专门培训：供应商就设备的组装、检验、调试、使用和维护等免费培训采购人不少于5名技术人员，直到采购人受训人员全部掌握运行操作、维护保养技术，并能达到正确检修、维护、排除一般故障为止。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（3）培训方式：理论知识技术培训、实际操作培训。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（4）培训人员、地点和时间：受训人员及培训次数由采购人确定，培训地点和时间由双方商定。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5、质保及维保：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（1）免费质保期：供应商所供设备、材料及安装的质量保证期至少为综合验收合格后1年。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在质保期内，因供应商所供设备、材料制造质量或安装问题出现设备故障时，供应商在接到采购人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在质保期内，因采购人使用不当原因出现设备故障时，乙方在接到采购人通知后，应在上述序号（2）条款中所述的时限内响应并派设备厂家工程师赶到采购人现场，帮助排除故障、修复或更换零部件，需购买零部件时，仅收取成本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（4）质保期满后，如设备出现故障，供应商在接到采购人通知后，仍应在上述时限内响应、派设备厂家工程师赶到采购人现场，帮助排除故障、修复或更换零部件，需购买零部件时，酌情收取成本费。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（5）设备维护保养：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投标人应在设备质保期内每年免费提供全面的设备保养，在质保期外应根据采购人需要免费提供设备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6.报价要求及违约责任：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本项目报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2.在安装、调试、验收过程中，如发现有漏项、缺件，供应商应无条件、无偿补齐，所发生的一切费用，视为已包含在供应商投标时的投标报价之中，且并不因此而影响交付采购人使用的时间。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3.供应商的任何错漏、优惠、竞争性报价不得作为减轻责任、减少服务、增加收费、降低质量的理由。</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4.供应商报价除包含招标文件中列明的项目外还应包括保障服务正常运行应当具有的物资和服务，对服务正常运行应当具有的物资和服务理解不一致的以采购人理解为准。</w:t>
      </w:r>
      <w:r/>
    </w:p>
    <w:p>
      <w:pPr>
        <w:pStyle w:val="1461"/>
        <w:ind w:left="0" w:firstLine="0"/>
        <w:spacing w:line="360" w:lineRule="auto"/>
        <w:rPr>
          <w:rFonts w:hint="eastAsia"/>
          <w:b/>
          <w:bCs/>
          <w:color w:val="auto"/>
          <w:szCs w:val="21"/>
          <w:highlight w:val="none"/>
          <w:lang w:val="en-US"/>
        </w:rPr>
      </w:pPr>
      <w:r>
        <w:rPr>
          <w:rFonts w:hint="eastAsia"/>
          <w:b/>
          <w:bCs/>
          <w:color w:val="auto"/>
          <w:szCs w:val="21"/>
          <w:highlight w:val="none"/>
          <w:lang w:val="en-US"/>
        </w:rPr>
      </w:r>
      <w:r/>
    </w:p>
    <w:p>
      <w:pPr>
        <w:rPr>
          <w:rFonts w:hint="eastAsia"/>
          <w:b/>
          <w:bCs/>
          <w:color w:val="auto"/>
          <w:szCs w:val="21"/>
          <w:highlight w:val="none"/>
          <w:lang w:val="en-US"/>
        </w:rPr>
      </w:pPr>
      <w:r>
        <w:rPr>
          <w:rFonts w:hint="eastAsia"/>
          <w:b/>
          <w:bCs/>
          <w:color w:val="auto"/>
          <w:szCs w:val="21"/>
          <w:highlight w:val="none"/>
          <w:lang w:val="en-US"/>
        </w:rPr>
        <w:br w:type="page" w:clear="all"/>
      </w:r>
      <w:r/>
    </w:p>
    <w:p>
      <w:pPr>
        <w:pStyle w:val="1465"/>
        <w:ind w:firstLine="200"/>
        <w:rPr>
          <w:b/>
          <w:color w:val="auto"/>
          <w:highlight w:val="none"/>
          <w:lang w:val="en-US"/>
        </w:rPr>
      </w:pPr>
      <w:r>
        <w:rPr>
          <w:b/>
          <w:color w:val="auto"/>
          <w:highlight w:val="none"/>
          <w:lang w:val="en-US"/>
        </w:rPr>
      </w:r>
      <w:r/>
    </w:p>
    <w:p>
      <w:pPr>
        <w:rPr>
          <w:b/>
          <w:bCs/>
          <w:color w:val="auto"/>
          <w:szCs w:val="21"/>
          <w:highlight w:val="none"/>
        </w:rPr>
      </w:pPr>
      <w:r>
        <w:rPr>
          <w:b/>
          <w:bCs/>
          <w:color w:val="auto"/>
          <w:szCs w:val="21"/>
          <w:highlight w:val="none"/>
        </w:rPr>
      </w:r>
      <w:r/>
    </w:p>
    <w:p>
      <w:pPr>
        <w:rPr>
          <w:b/>
          <w:bCs/>
          <w:color w:val="auto"/>
          <w:szCs w:val="21"/>
          <w:highlight w:val="none"/>
        </w:rPr>
      </w:pPr>
      <w:r>
        <w:rPr>
          <w:rFonts w:hint="eastAsia"/>
          <w:b/>
          <w:bCs/>
          <w:color w:val="auto"/>
          <w:szCs w:val="21"/>
          <w:highlight w:val="none"/>
        </w:rPr>
        <w:t xml:space="preserve">分包二技术参数：</w:t>
      </w:r>
      <w:r/>
    </w:p>
    <w:tbl>
      <w:tblPr>
        <w:tblStyle w:val="1209"/>
        <w:tblW w:w="9505" w:type="dxa"/>
        <w:tblInd w:w="93" w:type="dxa"/>
        <w:tblLayout w:type="fixed"/>
        <w:tblCellMar>
          <w:left w:w="108" w:type="dxa"/>
          <w:top w:w="0" w:type="dxa"/>
          <w:right w:w="108" w:type="dxa"/>
          <w:bottom w:w="0" w:type="dxa"/>
        </w:tblCellMar>
        <w:tblLook w:val="04A0" w:firstRow="1" w:lastRow="0" w:firstColumn="1" w:lastColumn="0" w:noHBand="0" w:noVBand="1"/>
      </w:tblPr>
      <w:tblGrid>
        <w:gridCol w:w="676"/>
        <w:gridCol w:w="1342"/>
        <w:gridCol w:w="5753"/>
        <w:gridCol w:w="800"/>
        <w:gridCol w:w="934"/>
      </w:tblGrid>
      <w:tr>
        <w:trPr>
          <w:trHeight w:val="769"/>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jc w:val="center"/>
              <w:spacing w:line="360" w:lineRule="auto"/>
              <w:tabs>
                <w:tab w:val="left" w:pos="331" w:leader="none"/>
              </w:tabs>
              <w:rPr>
                <w:rFonts w:hint="eastAsia" w:ascii="宋体" w:hAnsi="宋体" w:cs="宋体"/>
                <w:b/>
                <w:bCs/>
                <w:color w:val="auto"/>
                <w:szCs w:val="21"/>
                <w:highlight w:val="none"/>
              </w:rPr>
            </w:pPr>
            <w:r/>
            <w:bookmarkStart w:id="108" w:name="OLE_LINK12"/>
            <w:r>
              <w:rPr>
                <w:rFonts w:hint="eastAsia" w:ascii="宋体" w:hAnsi="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spacing w:line="360" w:lineRule="auto"/>
              <w:tabs>
                <w:tab w:val="left" w:pos="3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jc w:val="center"/>
              <w:spacing w:line="360" w:lineRule="auto"/>
              <w:tabs>
                <w:tab w:val="left" w:pos="3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技术参数与配置</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数量</w:t>
            </w:r>
            <w:r/>
          </w:p>
        </w:tc>
      </w:tr>
      <w:tr>
        <w:trPr>
          <w:trHeight w:val="157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两箱式冷热冲击箱（核心产品）</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bookmarkStart w:id="109" w:name="OLE_LINK6"/>
            <w:r/>
            <w:bookmarkStart w:id="110" w:name="OLE_LINK1"/>
            <w:r>
              <w:rPr>
                <w:rFonts w:hint="eastAsia" w:ascii="宋体" w:hAnsi="宋体" w:cs="宋体"/>
                <w:color w:val="auto"/>
                <w:szCs w:val="21"/>
                <w:highlight w:val="none"/>
              </w:rPr>
              <w:t xml:space="preserve">1、整机采用计算机集中控制，操作界面简洁直观；运行过程中可临时修改参数，支持时间、工况设定，制冷、加热、提篮传送可按设定自动切换运行；</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2、冷箱、热箱独立控制，箱门互相独立，扩大试验箱的使用范围（一箱三用）；</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3、温度恢复时间≤ 5分钟；</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4、温度范围：-50℃～200℃；</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▲5、温度均匀度和温度偏差：≤±1℃（</w:t>
            </w:r>
            <w:bookmarkStart w:id="111" w:name="OLE_LINK9"/>
            <w:r>
              <w:rPr>
                <w:rFonts w:hint="eastAsia" w:ascii="宋体" w:hAnsi="宋体" w:cs="宋体"/>
                <w:color w:val="auto"/>
                <w:szCs w:val="21"/>
                <w:highlight w:val="none"/>
              </w:rPr>
              <w:t xml:space="preserve">提供第三方检测机构出具的报告，整机或对应单项指标检测</w:t>
            </w:r>
            <w:r>
              <w:rPr>
                <w:rFonts w:hint="eastAsia" w:ascii="宋体" w:hAnsi="宋体" w:cs="宋体"/>
                <w:color w:val="auto"/>
                <w:szCs w:val="21"/>
                <w:highlight w:val="none"/>
                <w:lang w:val="en-US" w:eastAsia="zh-CN"/>
              </w:rPr>
              <w:t xml:space="preserve">或计量</w:t>
            </w:r>
            <w:r>
              <w:rPr>
                <w:rFonts w:hint="eastAsia" w:ascii="宋体" w:hAnsi="宋体" w:cs="宋体"/>
                <w:color w:val="auto"/>
                <w:szCs w:val="21"/>
                <w:highlight w:val="none"/>
              </w:rPr>
              <w:t xml:space="preserve">报告均可</w:t>
            </w:r>
            <w:bookmarkEnd w:id="111"/>
            <w:r>
              <w:rPr>
                <w:rFonts w:hint="eastAsia" w:ascii="宋体" w:hAnsi="宋体" w:cs="宋体"/>
                <w:color w:val="auto"/>
                <w:szCs w:val="21"/>
                <w:highlight w:val="none"/>
              </w:rPr>
              <w:t xml:space="preserve">）；</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▲6、温度波动度：≤±0.5℃（提供第三方检测机构出具的报告，整机或对应单项指标检测</w:t>
            </w:r>
            <w:r>
              <w:rPr>
                <w:rFonts w:hint="eastAsia" w:ascii="宋体" w:hAnsi="宋体" w:cs="宋体"/>
                <w:color w:val="auto"/>
                <w:szCs w:val="21"/>
                <w:highlight w:val="none"/>
                <w:lang w:val="en-US" w:eastAsia="zh-CN"/>
              </w:rPr>
              <w:t xml:space="preserve">或计量</w:t>
            </w:r>
            <w:r>
              <w:rPr>
                <w:rFonts w:hint="eastAsia" w:ascii="宋体" w:hAnsi="宋体" w:cs="宋体"/>
                <w:color w:val="auto"/>
                <w:szCs w:val="21"/>
                <w:highlight w:val="none"/>
              </w:rPr>
              <w:t xml:space="preserve">报告均可）；</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7、提篮尺寸：≥600*600*600mm；</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8、控制系统：PLC 编程控制与触摸屏控制系统；</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9、加热系统：镍铬合金电加热式加热器；制冷系统：采用全封闭压缩机复叠式制冷系统，水冷散热，运行稳定，噪音低，设备运行时噪音≤70dBA；循环系统：低噪音多叶离心风机；</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10、设备具备漏电、短路、超温、</w:t>
            </w:r>
            <w:bookmarkEnd w:id="109"/>
            <w:r>
              <w:rPr>
                <w:rFonts w:hint="eastAsia" w:ascii="宋体" w:hAnsi="宋体" w:cs="宋体"/>
                <w:color w:val="auto"/>
                <w:szCs w:val="21"/>
                <w:highlight w:val="none"/>
              </w:rPr>
              <w:t xml:space="preserve">电机过热、压缩机超压、过载、过电流保护。</w:t>
            </w:r>
            <w:bookmarkEnd w:id="110"/>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58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火烧试验机</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1、针状燃烧器：内孔 Φ 0.5mm ± 0.1mm ，外径≤Φ 0.9mm ，长≥ 35mm，不锈钢；</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2、施燃时间：0-999.9s±0.1s可调；持燃时间：0-999.9s±0.1s，自动记录，手动暂停；</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3、火焰高度：12mm ± 1mm (带高度测量器具)</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火焰温度：从100℃±2℃升到700℃±3℃的时间≤23.5s；</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4、试验过程：试验程序自动控制，独立抽风。</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434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冲击试验低温仪A</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1、控温范围：25℃～- 90℃；</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▲2、恒温精度：≤±0.5℃（提供第三方检测机构出具的报告，整机或对应单项指标检测</w:t>
            </w:r>
            <w:r>
              <w:rPr>
                <w:rFonts w:hint="eastAsia" w:ascii="宋体" w:hAnsi="宋体" w:cs="宋体"/>
                <w:color w:val="auto"/>
                <w:szCs w:val="21"/>
                <w:highlight w:val="none"/>
                <w:lang w:val="en-US" w:eastAsia="zh-CN"/>
              </w:rPr>
              <w:t xml:space="preserve">或计量 </w:t>
            </w:r>
            <w:r>
              <w:rPr>
                <w:rFonts w:hint="eastAsia" w:ascii="宋体" w:hAnsi="宋体" w:cs="宋体"/>
                <w:color w:val="auto"/>
                <w:szCs w:val="21"/>
                <w:highlight w:val="none"/>
              </w:rPr>
              <w:t xml:space="preserve">报告均可）；</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3、温度波动度：≤±0.5℃（提供第三方检测机构出具的报告，整机或对应单项指标检测</w:t>
            </w:r>
            <w:r>
              <w:rPr>
                <w:rFonts w:hint="eastAsia" w:ascii="宋体" w:hAnsi="宋体" w:cs="宋体"/>
                <w:color w:val="auto"/>
                <w:szCs w:val="21"/>
                <w:highlight w:val="none"/>
                <w:lang w:val="en-US" w:eastAsia="zh-CN"/>
              </w:rPr>
              <w:t xml:space="preserve">或计量</w:t>
            </w:r>
            <w:r>
              <w:rPr>
                <w:rFonts w:hint="eastAsia" w:ascii="宋体" w:hAnsi="宋体" w:cs="宋体"/>
                <w:color w:val="auto"/>
                <w:szCs w:val="21"/>
                <w:highlight w:val="none"/>
              </w:rPr>
              <w:t xml:space="preserve">报告均可）；</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4、降温速度：室温～0℃ ≥2℃/min；0℃～－20℃≥1.5℃/min ；-20℃～－40℃≥1.0℃/min；－40℃～-60℃ ≥0.8℃/min ；－60℃～－90℃ ≥0.6℃/min； </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5、温控室尺寸：≥160×150×120mm（长×宽×高）</w:t>
            </w:r>
            <w:bookmarkStart w:id="112" w:name="OLE_LINK3"/>
            <w:r>
              <w:rPr>
                <w:rFonts w:hint="eastAsia" w:ascii="宋体" w:hAnsi="宋体" w:cs="宋体"/>
                <w:color w:val="auto"/>
                <w:szCs w:val="21"/>
                <w:highlight w:val="none"/>
              </w:rPr>
              <w:t xml:space="preserve">；</w:t>
            </w:r>
            <w:bookmarkEnd w:id="112"/>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6、数显计时器：1 min～9999 min，分辨率1 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7、冷却介质：无水乙醇或其它不冻液。</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436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冲击试验低温仪B</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1、控温范围：25℃～- 60℃；</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2、恒温精度：≤±0.5℃（提供第三方检测机构出具的报告，整机或对应单项指标检测</w:t>
            </w:r>
            <w:r>
              <w:rPr>
                <w:rFonts w:hint="eastAsia" w:ascii="宋体" w:hAnsi="宋体" w:cs="宋体"/>
                <w:color w:val="auto"/>
                <w:szCs w:val="21"/>
                <w:highlight w:val="none"/>
                <w:lang w:val="en-US" w:eastAsia="zh-CN"/>
              </w:rPr>
              <w:t xml:space="preserve">或计量</w:t>
            </w:r>
            <w:r>
              <w:rPr>
                <w:rFonts w:hint="eastAsia" w:ascii="宋体" w:hAnsi="宋体" w:cs="宋体"/>
                <w:color w:val="auto"/>
                <w:szCs w:val="21"/>
                <w:highlight w:val="none"/>
              </w:rPr>
              <w:t xml:space="preserve">报告均可）；</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3、温度波动度：≤±0.5℃（提供第三方检测机构出具的报告，整机或对应单项指标检测</w:t>
            </w:r>
            <w:r>
              <w:rPr>
                <w:rFonts w:hint="eastAsia" w:ascii="宋体" w:hAnsi="宋体" w:cs="宋体"/>
                <w:color w:val="auto"/>
                <w:szCs w:val="21"/>
                <w:highlight w:val="none"/>
                <w:lang w:val="en-US" w:eastAsia="zh-CN"/>
              </w:rPr>
              <w:t xml:space="preserve">或计量</w:t>
            </w:r>
            <w:r>
              <w:rPr>
                <w:rFonts w:hint="eastAsia" w:ascii="宋体" w:hAnsi="宋体" w:cs="宋体"/>
                <w:color w:val="auto"/>
                <w:szCs w:val="21"/>
                <w:highlight w:val="none"/>
              </w:rPr>
              <w:t xml:space="preserve">报告均可）；</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4、降温速度：室温～0℃ ≥1.5℃/min； 0℃～－20℃≥ 1.2℃/min ；－20℃～－40℃ ≥ 1.0℃/min；－40℃～－60℃ ≥ 0.8℃/min； </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5、有效工作空间：≥275×160×120mm（长×宽×高）；</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6、数显计时器：1 min～9999 min，分辨率 1 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7、冷却介质：无水乙醇或其它不冻液。</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2276"/>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热变形维卡软化试验机</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bookmarkStart w:id="113" w:name="OLE_LINK13"/>
            <w:r>
              <w:rPr>
                <w:rFonts w:hint="eastAsia" w:ascii="宋体" w:hAnsi="宋体" w:cs="宋体"/>
                <w:color w:val="auto"/>
                <w:szCs w:val="21"/>
                <w:highlight w:val="none"/>
              </w:rPr>
              <w:t xml:space="preserve">1、温度控制范围：室温－300℃；</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2、温度精度：±0.5℃；</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3、匀速升温速率：A速度：5±0.5℃/6min ，B速度：12±1.0℃/6min；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4、变形测量范围 ：0.001～12.0mm；</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5、变形分辨力 0.001mm；</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6、热变形弯曲正应力Mpa：1.80、0.45、8.00；</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▲7、采用数显千分表</w:t>
            </w:r>
            <w:r>
              <w:rPr>
                <w:rFonts w:hint="eastAsia" w:ascii="宋体" w:hAnsi="宋体" w:cs="宋体"/>
                <w:color w:val="auto"/>
                <w:szCs w:val="21"/>
                <w:highlight w:val="none"/>
                <w:lang w:val="en-US" w:eastAsia="zh-CN"/>
              </w:rPr>
              <w:t xml:space="preserve">(精度优于0.001mm)</w:t>
            </w:r>
            <w:r>
              <w:rPr>
                <w:rFonts w:hint="eastAsia" w:ascii="宋体" w:hAnsi="宋体" w:cs="宋体"/>
                <w:color w:val="auto"/>
                <w:szCs w:val="21"/>
                <w:highlight w:val="none"/>
              </w:rPr>
              <w:t xml:space="preserve">作为试样变形测量元件，同时配备专用的数据传输线与微机相连，可以实时的将测得的位移值上传到微机上，具备数据有线传输功能。</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8、试样架的连接杆与负载杆采用相同直径、相同材料的低膨胀合金制成，可以将试样架的变形减小到最小，提高试验结果的准确性；</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9、具有试样架自动升降功能，采用直线电机驱动具有承载能力强、运行平稳等特点；</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10、采用每一路试样架配备一个测温传感器，实时采集反馈试样附件温度，控制更精准；</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11、试验通道:≥4，一次至少可以做4个试样；</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12、配套控制计算机一套，硬件最低配置：四核处理器、运行内存≥8GB、硬盘容量≥1TB、显示器尺寸≥22 英寸；预装原厂全套试验软件，支持试验采集、曲线查看、报告导出、数据存储等全部功能）。</w:t>
            </w:r>
            <w:bookmarkEnd w:id="113"/>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77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盐雾试验箱A</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1、工作尺寸：L600xW450xH400mm；</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2、试验箱温度范围：35～60℃；</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3、温度偏差：±1.0℃ ，温度均匀度：≦2℃， 温度波动度：±0.5℃；</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4、喷雾量：1～2mL(h-80cm</w:t>
            </w:r>
            <w:r>
              <w:rPr>
                <w:rFonts w:hint="eastAsia" w:ascii="宋体" w:hAnsi="宋体" w:cs="宋体"/>
                <w:color w:val="auto"/>
                <w:szCs w:val="21"/>
                <w:highlight w:val="none"/>
                <w:vertAlign w:val="superscript"/>
              </w:rPr>
              <w:t xml:space="preserve">2</w:t>
            </w:r>
            <w:r>
              <w:rPr>
                <w:rFonts w:hint="eastAsia" w:ascii="宋体" w:hAnsi="宋体" w:cs="宋体"/>
                <w:color w:val="auto"/>
                <w:szCs w:val="21"/>
                <w:highlight w:val="none"/>
              </w:rPr>
              <w:t xml:space="preserve">），喷雾压力：70～170Kpa；</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5、除雾控制：手动除雾/自动除雾，采用压缩空气充入室内然后将室内雾气排出，快速除雾；</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6、控制器:7 英寸 800×480 点阵，TFT 彩色 LCD 显示触摸屏程序控制器, 控制试验室温度、压力桶温度及显示相对湿度；运行方式：支持程序运行、定值运行，具备定时启动、定时停机功能；</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7、操作语言:中文/英文语言可切换；</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8、数据记录：配备断电保护存储模块，可保存设备设定参数、运行数据及时间信息；数据记录周期可调，可连续存储历史曲线与运行数据，数据可长期保存；</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9、显示分辨率：温度显示精度≤0.01℃，时间显示精度≤0.1min；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10、程序功能：支持连续喷雾、间隙喷雾模式，喷雾、停喷时长可自定义设置；可设置多组运行程序，满足分段试验需求，通讯功能：配备标准通讯接口，支持上位机对接，可远程实现设备启停、数据采集功能。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922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盐雾试验箱B</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1、工作内腔尺寸：1600×500×1000mm；</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2、试验箱温度范围：室温～50℃，饱和桶温度范围：室温～63℃；</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3、温度控制性能：温度偏差 ±1.0℃，温度均匀度≤2℃，温度波动度 ±0.5℃；</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4、升温时间：≤60min；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5、喷雾压力：70～170KPa，盐水喷雾量：1～3mL/(h・80cm²)；</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6、除雾方式：支持手动、自动除雾，采用压缩空气置换方式快速排出箱内雾气；</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7、控制器：彩色触摸屏，可控制试验箱、饱和桶温度，同步显示相对湿度，运行方式：支持程序运行、定值运行，具备定时启动、定时停机功能；</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8、操作语言：支持中文、英文双语切换；</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9、数据记录：配备断电保护存储模块，可保存设备设定参数、运行数据及时间信息；数据记录周期可调，可连续存储历史曲线与运行数据，数据可长期保存；</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10、显示分辨率：温度显示精度≤0.01℃，时间显示精度≤0.1min；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11、程序功能：支持连续喷雾、间隙喷雾模式，喷雾、停喷时长可自定义设置；可设置多组运行程序，满足分段试验需求，通讯功能：配备标准通讯接口，支持上位机对接，可远程实现设备启停、数据采集功能。</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6484"/>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转矩转速传感器</w:t>
            </w:r>
            <w:r/>
          </w:p>
        </w:tc>
        <w:tc>
          <w:tcPr>
            <w:tcBorders>
              <w:top w:val="single" w:color="000000" w:sz="4" w:space="0"/>
              <w:left w:val="single" w:color="000000" w:sz="4" w:space="0"/>
              <w:bottom w:val="single" w:color="000000" w:sz="4" w:space="0"/>
              <w:right w:val="single" w:color="000000" w:sz="4" w:space="0"/>
            </w:tcBorders>
            <w:tcW w:w="5753" w:type="dxa"/>
            <w:vAlign w:val="center"/>
            <w:textDirection w:val="lrTb"/>
            <w:noWrap w:val="false"/>
          </w:tcPr>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1、量程</w:t>
            </w:r>
            <w:bookmarkStart w:id="114" w:name="OLE_LINK10"/>
            <w:r>
              <w:rPr>
                <w:rFonts w:hint="eastAsia" w:ascii="宋体" w:hAnsi="宋体" w:cs="宋体"/>
                <w:color w:val="auto"/>
                <w:szCs w:val="21"/>
                <w:highlight w:val="none"/>
              </w:rPr>
              <w:t xml:space="preserve">：</w:t>
            </w:r>
            <w:bookmarkEnd w:id="114"/>
            <w:r>
              <w:rPr>
                <w:rFonts w:hint="eastAsia" w:ascii="宋体" w:hAnsi="宋体" w:cs="宋体"/>
                <w:color w:val="auto"/>
                <w:szCs w:val="21"/>
                <w:highlight w:val="none"/>
              </w:rPr>
              <w:t xml:space="preserve">500 N⋅m；</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▲2、精度等级：0.05%FS；</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▲3、最高工作转速：≥20000 r/min；</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4、频率输出：120kHz；</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▲5、重复性相对标准偏差：&lt;±0.06 % FS（提供第三方检测机构出具的报告，整机或对应单项指标检测报告均可，或产品彩页加盖公章）；</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6、温度对零点的影响：&lt;±0.1% FS；</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7、工业以太网接口 ProfiNET / EtherCAT</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采样率（数值/秒）：≥4000次 / 秒（提供第三方检测机构出具的报告，整机或对应单项指标检测报告均可，或产品彩页加盖公章）；</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8、采用无外圈天线结构，转子与定子可适配不同量程并自动匹配；</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9、配备 RS232 信号输出接口；</w:t>
            </w:r>
            <w:r/>
          </w:p>
          <w:p>
            <w:pP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10、配套参数设置及数据采集专用软件。</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360" w:lineRule="auto"/>
              <w:tabs>
                <w:tab w:val="left" w:pos="3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1.00</w:t>
            </w:r>
            <w:bookmarkEnd w:id="108"/>
            <w:r/>
            <w:r/>
          </w:p>
        </w:tc>
      </w:tr>
    </w:tbl>
    <w:p>
      <w:pPr>
        <w:rPr>
          <w:color w:val="auto"/>
          <w:highlight w:val="none"/>
        </w:rPr>
      </w:pPr>
      <w:r>
        <w:rPr>
          <w:color w:val="auto"/>
          <w:highlight w:val="none"/>
        </w:rPr>
      </w:r>
      <w:r/>
    </w:p>
    <w:p>
      <w:pPr>
        <w:pStyle w:val="1465"/>
        <w:ind w:firstLine="200"/>
        <w:rPr>
          <w:rFonts w:hint="eastAsia"/>
          <w:b/>
          <w:color w:val="auto"/>
          <w:highlight w:val="none"/>
          <w:lang w:val="en-US"/>
        </w:rPr>
      </w:pPr>
      <w:r>
        <w:rPr>
          <w:rFonts w:hint="eastAsia"/>
          <w:b/>
          <w:color w:val="auto"/>
          <w:highlight w:val="none"/>
          <w:lang w:val="en-US"/>
        </w:rPr>
      </w:r>
      <w:r/>
    </w:p>
    <w:p>
      <w:pPr>
        <w:pStyle w:val="1465"/>
        <w:ind w:firstLine="200"/>
        <w:rPr>
          <w:b/>
          <w:color w:val="auto"/>
          <w:highlight w:val="none"/>
        </w:rPr>
      </w:pPr>
      <w:r>
        <w:rPr>
          <w:rFonts w:hint="eastAsia"/>
          <w:b/>
          <w:color w:val="auto"/>
          <w:highlight w:val="none"/>
          <w:lang w:val="en-US"/>
        </w:rPr>
        <w:t xml:space="preserve">（二）、</w:t>
      </w:r>
      <w:r>
        <w:rPr>
          <w:rFonts w:hint="eastAsia"/>
          <w:b/>
          <w:color w:val="auto"/>
          <w:highlight w:val="none"/>
        </w:rPr>
        <w:t xml:space="preserve">商务要求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★1、交货期及交货地点：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（1）交货时间（合同履行期）：合同签订后3个月内到江苏省特种设备安全监督检验研究院指定地点。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（2）交货地点：采购人指定地点。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安装、调试和验收：设备到达最终采购人现场并且具备验收条件后，在接到采购人通知后，供应商需安排有经验的工程技术人员到采购人现场指导安装、调试仪器设备，按验收指标逐项测试，直至达到验收合格。如因产品质量导致产品无法正常使用，由成交人无偿更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★2、付款方式：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合同签订生效后，</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向</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支付合同总价的50%；</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在按照合同规定的期限内将设备、材料全部运抵交货地点，并安装调试结束，初步验收合格后，</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收到</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提供的合同总价10%的履约保函后向</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支付合同总价的50%；在设备通过</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验收合格且满12个月无质量问题后的15个工作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采购人</w:t>
      </w:r>
      <w:r>
        <w:rPr>
          <w:rFonts w:hint="eastAsia" w:ascii="宋体" w:hAnsi="宋体" w:cs="宋体"/>
          <w:bCs/>
          <w:color w:val="auto"/>
          <w:szCs w:val="21"/>
          <w:highlight w:val="none"/>
        </w:rPr>
        <w:t xml:space="preserve">将无息退还</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的履约保函，履约保函的形式：</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应当以支票、汇票、本票或者金融机构、担保机构出具的保函等非现金形式提交。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3、履约保证金：履约保函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（1）履约保函金额：合同总价10%；</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（2）履约保函的形式：</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应当以支票、汇票、本票或者金融机构、担保机构出具的保函等非现金形式提交；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（3）履约保函的退还：在设备通过采购人验收合格且满12个月无质量问题后的15个工作日内，采购人将无息退还供应商的履约保函；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（4）逾期退还履约保函的处理：采购人未按照规定退还履约保函的（因供应商自身原因导致无法及时退还的除外），由财政部门依照《中华人民共和国政府采购法》等有关规定处理；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（5）不予退还履约保函的处理：对于符合政府采购政策和招标文件规定不予退还的履约保函，采购人应当确认相关情形后按照财政非税收入管理等规定上缴采购人同级预算级次国库。</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4、培训：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（1）现场培训：供应商在设备的组装、调试、验收完毕后即进行现场免费培训。主要包含以下内容：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①、对具体设备操作人员进行设备原理，流程，关键器件等技术培训；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②、对具体设备操作人员进行设备操作培训，直至可独立操作；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③、对具体设备操作人员进行信号分析培训等。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（2）专门培训：供应商就设备的组装、检验、调试、使用和维护等免费培训采购人不少于5名技术人员，直到采购人受训人员全部掌握运行操作、维护保养技术，并能达到正确检修、维护、排除一般故障为止。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（3）培训方式：理论知识技术培训、实际操作培训。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（4）培训人员、地点和时间：受训人员及培训次数由采购人确定，培训地点和时间由双方商定。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5、质保及维保：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（1）免费质保期：供应商所供设备、材料及安装的质量保证期至少为综合验收合格后1年。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在质保期内，因供应商所供设备、材料制造质量或安装问题出现设备故障时，供应商在接到采购人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在质保期内，因采购人使用不当原因出现设备故障时，乙方在接到采购人通知后，应在上述序号（2）条款中所述的时限内响应并派设备厂家工程师赶到采购人现场，帮助排除故障、修复或更换零部件，需购买零部件时，仅收取成本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（4）质保期满后，如设备出现故障，供应商在接到采购人通知后，仍应在上述时限内响应、派设备厂家工程师赶到采购人现场，帮助排除故障、修复或更换零部件，需购买零部件时，酌情收取成本费。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（5）设备维护保养：投标人应在设备质保期内每年免费提供全面的设备保养，在质保期外应根据采购人需要免费提供设备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6.报价要求及违约责任：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本项目报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2.在安装、调试、验收过程中，如发现有漏项、缺件，供应商应无条件、无偿补齐，所发生的一切费用，视为已包含在供应商投标时的投标报价之中，且并不因此而影响交付采购人使用的时间。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3.供应商的任何错漏、优惠、竞争性报价不得作为减轻责任、减少服务、增加收费、降低质量的理由。</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4.供应商报价除包含招标文件中列明的项目外还应包括保障服务正常运行应当具有的物资和服务，对服务正常运行应当具有的物资和服务理解不一致的以采购人理解为准。</w:t>
      </w:r>
      <w:r/>
    </w:p>
    <w:p>
      <w:pPr>
        <w:pStyle w:val="1461"/>
        <w:ind w:left="0" w:firstLine="0"/>
        <w:spacing w:line="360" w:lineRule="auto"/>
        <w:rPr>
          <w:rFonts w:hint="eastAsia"/>
          <w:b/>
          <w:bCs/>
          <w:color w:val="auto"/>
          <w:szCs w:val="21"/>
          <w:highlight w:val="none"/>
          <w:lang w:val="en-US"/>
        </w:rPr>
        <w:sectPr>
          <w:footerReference w:type="default" r:id="rId14"/>
          <w:footnotePr/>
          <w:endnotePr/>
          <w:type w:val="nextPage"/>
          <w:pgSz w:w="11906" w:h="16838" w:orient="portrait"/>
          <w:pgMar w:top="1440" w:right="1080" w:bottom="1440" w:left="1080" w:header="851" w:footer="680" w:gutter="0"/>
          <w:cols w:num="1" w:sep="0" w:space="720" w:equalWidth="1"/>
          <w:docGrid w:linePitch="360"/>
        </w:sectPr>
      </w:pPr>
      <w:r>
        <w:rPr>
          <w:rFonts w:hint="eastAsia"/>
          <w:b/>
          <w:bCs/>
          <w:color w:val="auto"/>
          <w:szCs w:val="21"/>
          <w:highlight w:val="none"/>
          <w:lang w:val="en-US"/>
        </w:rPr>
      </w:r>
      <w:r/>
    </w:p>
    <w:p>
      <w:pPr>
        <w:pStyle w:val="1461"/>
        <w:ind w:left="0" w:firstLine="0"/>
        <w:spacing w:line="360" w:lineRule="auto"/>
        <w:rPr>
          <w:rFonts w:hint="eastAsia"/>
          <w:b/>
          <w:bCs/>
          <w:color w:val="auto"/>
          <w:szCs w:val="21"/>
          <w:highlight w:val="none"/>
          <w:lang w:val="en-US"/>
        </w:rPr>
      </w:pPr>
      <w:r>
        <w:rPr>
          <w:rFonts w:hint="eastAsia"/>
          <w:b/>
          <w:bCs/>
          <w:color w:val="auto"/>
          <w:szCs w:val="21"/>
          <w:highlight w:val="none"/>
          <w:lang w:val="en-US"/>
        </w:rPr>
      </w:r>
      <w:r/>
    </w:p>
    <w:p>
      <w:pPr>
        <w:pStyle w:val="1199"/>
        <w:rPr>
          <w:rFonts w:hint="eastAsia"/>
          <w:b/>
          <w:bCs/>
          <w:color w:val="auto"/>
          <w:sz w:val="32"/>
          <w:szCs w:val="21"/>
          <w:highlight w:val="none"/>
        </w:rPr>
      </w:pPr>
      <w:r/>
      <w:bookmarkStart w:id="115" w:name="_Toc4544"/>
      <w:r>
        <w:rPr>
          <w:rFonts w:hint="eastAsia"/>
          <w:b/>
          <w:bCs/>
          <w:color w:val="auto"/>
          <w:sz w:val="32"/>
          <w:szCs w:val="21"/>
          <w:highlight w:val="none"/>
        </w:rPr>
        <w:t xml:space="preserve">第五章 拟签订的合同文本</w:t>
      </w:r>
      <w:bookmarkEnd w:id="115"/>
      <w:r/>
      <w:r/>
    </w:p>
    <w:p>
      <w:pPr>
        <w:jc w:val="center"/>
        <w:spacing w:before="360" w:after="360"/>
        <w:tabs>
          <w:tab w:val="left" w:pos="1440" w:leader="none"/>
          <w:tab w:val="left" w:pos="5670" w:leader="none"/>
        </w:tabs>
        <w:rPr>
          <w:rFonts w:hint="eastAsia" w:ascii="宋体" w:hAnsi="宋体" w:eastAsia="宋体" w:cs="宋体"/>
          <w:color w:val="auto"/>
          <w:sz w:val="28"/>
          <w:szCs w:val="28"/>
          <w:highlight w:val="none"/>
        </w:rPr>
      </w:pPr>
      <w:r/>
      <w:bookmarkStart w:id="116" w:name="_Toc4445"/>
      <w:r/>
      <w:bookmarkStart w:id="117" w:name="_Toc15343"/>
      <w:r/>
      <w:bookmarkStart w:id="118" w:name="_Toc27786"/>
      <w:r/>
      <w:r/>
    </w:p>
    <w:p>
      <w:pPr>
        <w:rPr>
          <w:rFonts w:hint="eastAsia"/>
          <w:color w:val="auto"/>
          <w:highlight w:val="none"/>
        </w:rPr>
      </w:pPr>
      <w:r>
        <w:rPr>
          <w:rFonts w:hint="eastAsia"/>
          <w:color w:val="auto"/>
          <w:highlight w:val="none"/>
        </w:rPr>
      </w:r>
      <w:r/>
    </w:p>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政府采购合同</w:t>
      </w:r>
      <w:r/>
    </w:p>
    <w:p>
      <w:pPr>
        <w:jc w:val="center"/>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（拟签订的合同文本）</w:t>
      </w:r>
      <w:r/>
    </w:p>
    <w:p>
      <w:pP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315"/>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918"/>
        <w:widowControl/>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合同编号：</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rPr>
        <w:t xml:space="preserve">  </w:t>
      </w:r>
      <w:r/>
    </w:p>
    <w:p>
      <w:pPr>
        <w:ind w:firstLine="1918"/>
        <w:widowControl/>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rPr>
        <w:t xml:space="preserve">  </w:t>
      </w:r>
      <w:r/>
    </w:p>
    <w:p>
      <w:pPr>
        <w:ind w:firstLine="1918"/>
        <w:widowControl/>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采购人（甲方）：</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rPr>
        <w:t xml:space="preserve">  </w:t>
      </w:r>
      <w:r/>
    </w:p>
    <w:p>
      <w:pPr>
        <w:ind w:firstLine="1916"/>
        <w:widowControl/>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供应商（乙方）：</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rPr>
        <w:t xml:space="preserve">  </w:t>
      </w:r>
      <w:r/>
    </w:p>
    <w:p>
      <w:pPr>
        <w:ind w:firstLine="1916"/>
        <w:widowControl/>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签订日期：</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single"/>
        </w:rPr>
        <w:t xml:space="preserve">  </w:t>
      </w:r>
      <w:r/>
    </w:p>
    <w:p>
      <w:pPr>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420" w:right="-313" w:firstLine="241"/>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108" w:firstLine="482"/>
        <w:jc w:val="left"/>
        <w:spacing w:line="480" w:lineRule="exact"/>
        <w:tabs>
          <w:tab w:val="left" w:pos="4785" w:leader="none"/>
        </w:tabs>
        <w:rPr>
          <w:rFonts w:hint="eastAsia" w:ascii="宋体" w:hAnsi="宋体" w:eastAsia="宋体" w:cs="宋体"/>
          <w:b/>
          <w:bCs/>
          <w:i/>
          <w:iCs/>
          <w:color w:val="auto"/>
          <w:sz w:val="24"/>
          <w:szCs w:val="24"/>
          <w:highlight w:val="none"/>
          <w:lang w:eastAsia="zh-CN"/>
        </w:rPr>
        <w:sectPr>
          <w:footnotePr/>
          <w:endnotePr/>
          <w:type w:val="nextPage"/>
          <w:pgSz w:w="11906" w:h="16838" w:orient="portrait"/>
          <w:pgMar w:top="1440" w:right="1080" w:bottom="1440" w:left="1080" w:header="851" w:footer="680" w:gutter="0"/>
          <w:cols w:num="1" w:sep="0" w:space="720" w:equalWidth="1"/>
          <w:docGrid w:linePitch="360"/>
        </w:sectPr>
      </w:pPr>
      <w:r>
        <w:rPr>
          <w:rFonts w:hint="eastAsia" w:ascii="宋体" w:hAnsi="宋体" w:eastAsia="宋体" w:cs="宋体"/>
          <w:b/>
          <w:bCs/>
          <w:i/>
          <w:iCs/>
          <w:color w:val="auto"/>
          <w:sz w:val="24"/>
          <w:szCs w:val="24"/>
          <w:highlight w:val="none"/>
        </w:rPr>
        <w:t xml:space="preserve">注：</w:t>
      </w:r>
      <w:bookmarkEnd w:id="116"/>
      <w:r>
        <w:rPr>
          <w:rFonts w:hint="eastAsia" w:ascii="宋体" w:hAnsi="宋体" w:eastAsia="宋体" w:cs="宋体"/>
          <w:b/>
          <w:bCs/>
          <w:i/>
          <w:iCs/>
          <w:color w:val="auto"/>
          <w:sz w:val="24"/>
          <w:szCs w:val="24"/>
          <w:highlight w:val="none"/>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auto"/>
          <w:sz w:val="24"/>
          <w:szCs w:val="24"/>
          <w:highlight w:val="none"/>
          <w:lang w:eastAsia="zh-CN"/>
        </w:rPr>
        <w:t xml:space="preserve">。</w:t>
      </w:r>
      <w:r/>
    </w:p>
    <w:p>
      <w:pPr>
        <w:ind w:firstLine="29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29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甲方：江苏省特种设备安全监督检验研究院</w:t>
      </w:r>
      <w:r/>
    </w:p>
    <w:p>
      <w:pPr>
        <w:ind w:firstLine="29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乙方：</w:t>
      </w:r>
      <w:r/>
    </w:p>
    <w:p>
      <w:pPr>
        <w:ind w:firstLine="29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采购代理机构：</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一、说明：</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受甲方委托，采购代理机构于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日组织了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设备</w:t>
      </w:r>
      <w:r>
        <w:rPr>
          <w:rFonts w:hint="eastAsia" w:ascii="宋体" w:hAnsi="宋体" w:eastAsia="宋体" w:cs="宋体"/>
          <w:color w:val="auto"/>
          <w:sz w:val="21"/>
          <w:szCs w:val="21"/>
          <w:highlight w:val="none"/>
        </w:rPr>
        <w:t xml:space="preserve">采购项目（项目编号：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）的评审活动，经评委认真严格地评审，确定由乙方成交。</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二、合同条款：</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合同由甲乙双方签订，并依据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号招标文件规定，按下列合同条款甲方同意购入，乙方同意出售下列设备及服务。</w:t>
      </w:r>
      <w:r/>
    </w:p>
    <w:p>
      <w:pPr>
        <w:pStyle w:val="1415"/>
        <w:ind w:left="0" w:firstLine="420"/>
        <w:spacing w:line="440" w:lineRule="exact"/>
        <w:tabs>
          <w:tab w:val="left" w:pos="4785"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1.设备名称、型号规格、数量及服务内容。</w:t>
      </w:r>
      <w:r/>
    </w:p>
    <w:tbl>
      <w:tblPr>
        <w:tblStyle w:val="120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2"/>
        <w:gridCol w:w="1581"/>
        <w:gridCol w:w="1344"/>
        <w:gridCol w:w="1094"/>
        <w:gridCol w:w="980"/>
        <w:gridCol w:w="1672"/>
        <w:gridCol w:w="1591"/>
      </w:tblGrid>
      <w:tr>
        <w:trPr>
          <w:jc w:val="center"/>
          <w:trHeight w:val="19"/>
        </w:trPr>
        <w:tc>
          <w:tcPr>
            <w:tcW w:w="80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设备</w:t>
            </w:r>
            <w:r>
              <w:rPr>
                <w:rFonts w:hint="eastAsia" w:ascii="宋体" w:hAnsi="宋体" w:cs="宋体"/>
                <w:color w:val="auto"/>
                <w:sz w:val="21"/>
                <w:szCs w:val="21"/>
                <w:highlight w:val="none"/>
              </w:rPr>
              <w:t xml:space="preserve">名称</w:t>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品牌</w:t>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型号</w:t>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W w:w="497"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单价（元）</w:t>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总价（元）</w:t>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9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9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9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9"/>
        </w:trPr>
        <w:tc>
          <w:tcPr>
            <w:tcW w:w="80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2"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82" w:type="pct"/>
            <w:vAlign w:val="center"/>
            <w:textDirection w:val="lrTb"/>
            <w:noWrap w:val="false"/>
          </w:tcPr>
          <w:p>
            <w:pPr>
              <w:pStyle w:val="1213"/>
              <w:ind w:firstLine="0"/>
              <w:jc w:val="center"/>
              <w:spacing w:line="440" w:lineRule="exact"/>
              <w:tabs>
                <w:tab w:val="left" w:pos="-235"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555"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9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48"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06"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9"/>
        </w:trPr>
        <w:tc>
          <w:tcPr>
            <w:gridSpan w:val="4"/>
            <w:tcW w:w="2847" w:type="pct"/>
            <w:vAlign w:val="center"/>
            <w:textDirection w:val="lrTb"/>
            <w:noWrap w:val="false"/>
          </w:tcPr>
          <w:p>
            <w:pPr>
              <w:pStyle w:val="1213"/>
              <w:ind w:firstLine="0"/>
              <w:jc w:val="center"/>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合计（元）</w:t>
            </w:r>
            <w:r/>
          </w:p>
        </w:tc>
        <w:tc>
          <w:tcPr>
            <w:gridSpan w:val="3"/>
            <w:tcW w:w="2152" w:type="pct"/>
            <w:vAlign w:val="center"/>
            <w:textDirection w:val="lrTb"/>
            <w:noWrap w:val="false"/>
          </w:tcPr>
          <w:p>
            <w:pPr>
              <w:pStyle w:val="1213"/>
              <w:ind w:firstLine="0"/>
              <w:spacing w:line="440" w:lineRule="exact"/>
              <w:tabs>
                <w:tab w:val="left" w:pos="-235"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bl>
    <w:p>
      <w:pPr>
        <w:ind w:firstLine="420"/>
        <w:jc w:val="left"/>
        <w:spacing w:line="440" w:lineRule="exact"/>
        <w:tabs>
          <w:tab w:val="left" w:pos="4785"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2.合同总价（大写）：</w:t>
      </w:r>
      <w:r>
        <w:rPr>
          <w:rFonts w:hint="eastAsia" w:ascii="宋体" w:hAnsi="宋体" w:eastAsia="宋体" w:cs="宋体"/>
          <w:b/>
          <w:bCs/>
          <w:color w:val="auto"/>
          <w:sz w:val="21"/>
          <w:szCs w:val="21"/>
          <w:highlight w:val="none"/>
        </w:rPr>
        <w:t xml:space="preserve">人民币</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（含13%增值税）</w:t>
      </w:r>
      <w:r/>
    </w:p>
    <w:p>
      <w:pPr>
        <w:ind w:left="108" w:firstLine="1470"/>
        <w:jc w:val="left"/>
        <w:spacing w:line="440" w:lineRule="exact"/>
        <w:tabs>
          <w:tab w:val="left" w:pos="478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（小写）：</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元。</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2.1合同总</w:t>
      </w:r>
      <w:r>
        <w:rPr>
          <w:rFonts w:hint="eastAsia" w:ascii="宋体" w:hAnsi="宋体" w:eastAsia="宋体" w:cs="宋体"/>
          <w:bCs/>
          <w:color w:val="auto"/>
          <w:sz w:val="21"/>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交付使用时间：</w:t>
      </w:r>
      <w:r>
        <w:rPr>
          <w:rFonts w:hint="eastAsia" w:ascii="宋体" w:hAnsi="宋体" w:eastAsia="宋体" w:cs="宋体"/>
          <w:b/>
          <w:color w:val="auto"/>
          <w:sz w:val="21"/>
          <w:szCs w:val="21"/>
          <w:highlight w:val="none"/>
          <w:u w:val="single"/>
        </w:rPr>
        <w:t xml:space="preserve">合同签订后    日历天内供齐所有货物及服务，完成安装、调试及初步验收。</w:t>
      </w:r>
      <w:r/>
    </w:p>
    <w:p>
      <w:pPr>
        <w:ind w:firstLine="52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收货人：</w:t>
      </w:r>
      <w:r>
        <w:rPr>
          <w:rFonts w:hint="eastAsia" w:ascii="宋体" w:hAnsi="宋体" w:eastAsia="宋体" w:cs="宋体"/>
          <w:b/>
          <w:color w:val="auto"/>
          <w:sz w:val="21"/>
          <w:szCs w:val="21"/>
          <w:highlight w:val="none"/>
          <w:u w:val="single"/>
        </w:rPr>
        <w:t xml:space="preserve">江苏省特种设备安全监督检验研究院</w:t>
      </w:r>
      <w:r>
        <w:rPr>
          <w:rFonts w:hint="eastAsia" w:ascii="宋体" w:hAnsi="宋体" w:eastAsia="宋体" w:cs="宋体"/>
          <w:color w:val="auto"/>
          <w:sz w:val="21"/>
          <w:szCs w:val="21"/>
          <w:highlight w:val="none"/>
          <w:u w:val="single"/>
        </w:rPr>
        <w:t xml:space="preserve">。</w:t>
      </w:r>
      <w:r/>
    </w:p>
    <w:p>
      <w:pPr>
        <w:pStyle w:val="1213"/>
        <w:ind w:firstLine="527"/>
        <w:spacing w:line="440" w:lineRule="exact"/>
        <w:tabs>
          <w:tab w:val="left" w:pos="-235"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 交货地点：</w:t>
      </w:r>
      <w:r>
        <w:rPr>
          <w:rFonts w:hint="eastAsia" w:ascii="宋体" w:hAnsi="宋体" w:cs="宋体"/>
          <w:b/>
          <w:bCs/>
          <w:color w:val="auto"/>
          <w:sz w:val="21"/>
          <w:szCs w:val="21"/>
          <w:highlight w:val="none"/>
          <w:u w:val="single"/>
        </w:rPr>
        <w:t xml:space="preserve">甲方指定地点。</w:t>
      </w:r>
      <w:r/>
    </w:p>
    <w:p>
      <w:pPr>
        <w:pStyle w:val="1213"/>
        <w:ind w:firstLine="527"/>
        <w:spacing w:line="440" w:lineRule="exact"/>
        <w:tabs>
          <w:tab w:val="left" w:pos="-235"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 设备的制造应符合下列标准或规范并据此验收：</w:t>
      </w:r>
      <w:r>
        <w:rPr>
          <w:rFonts w:hint="eastAsia" w:ascii="宋体" w:hAnsi="宋体" w:cs="宋体"/>
          <w:b/>
          <w:bCs/>
          <w:color w:val="auto"/>
          <w:sz w:val="21"/>
          <w:szCs w:val="21"/>
          <w:highlight w:val="none"/>
          <w:u w:val="single"/>
        </w:rPr>
        <w:t xml:space="preserve">招标文件、投标文件、双方签订的技术协议和国家的相关标准。</w:t>
      </w:r>
      <w:r>
        <w:rPr>
          <w:rFonts w:hint="eastAsia" w:ascii="宋体" w:hAnsi="宋体" w:cs="宋体"/>
          <w:color w:val="auto"/>
          <w:sz w:val="21"/>
          <w:szCs w:val="21"/>
          <w:highlight w:val="none"/>
        </w:rPr>
        <w:t xml:space="preserve">（上述标准或规范不一致时，则以要求较高者为准。）</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包装要求：全部货物的外包装，必须采用防漏、防潮、防震、防锈、防盗和考虑到可能会发生的野蛮装卸等长途内陆运输及多次装卸之需要。</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函后向乙方支付合同总价的50%；在设备通过甲方验收合格且满12个月无质量问题后的15个工作日内，甲方将无息退还乙方的履约保函。</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8.2履约保函</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（1）履约保函金额：合同总价10%；</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（2）履约保函的形式：乙方应当以支票、汇票、本票或者金融机构、担保机构出具的保函等非现金形式提交；</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（3）履约保函的退还：在设备通过甲方验收合格且满12个月无质量问题后的15个工作日内，甲方将无息退还乙方的履约保函；</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5"/>
        </w:num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交付和验收</w:t>
      </w:r>
      <w:r/>
    </w:p>
    <w:p>
      <w:pPr>
        <w:ind w:firstLine="63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9.1乙方应当在合同签订后，根据招标文件及投标文件的要求完成服务事项。</w:t>
      </w:r>
      <w:r/>
    </w:p>
    <w:p>
      <w:pPr>
        <w:ind w:firstLine="63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9.2验收标准：按行业通行标准和乙方投标文件的承诺（不低于国家相关标准）。</w:t>
      </w:r>
      <w:r/>
    </w:p>
    <w:p>
      <w:pPr>
        <w:ind w:firstLine="63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9.3验收方式：所提供的设备（含服务）符合招标文件及投标文件、双方签订的技术协议和国家的相关标准，综合验收合格后，经甲方项目负责人确认填写项目验收报告。</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质保期及售后服务</w:t>
      </w:r>
      <w:r/>
    </w:p>
    <w:p>
      <w:pPr>
        <w:ind w:left="108" w:firstLine="420"/>
        <w:jc w:val="left"/>
        <w:spacing w:line="440" w:lineRule="exact"/>
        <w:tabs>
          <w:tab w:val="left" w:pos="478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10.1 乙方所供设备、材料及安装的质量保证期：</w:t>
      </w:r>
      <w:r>
        <w:rPr>
          <w:rFonts w:hint="eastAsia" w:ascii="宋体" w:hAnsi="宋体" w:eastAsia="宋体" w:cs="宋体"/>
          <w:b/>
          <w:bCs/>
          <w:color w:val="auto"/>
          <w:sz w:val="21"/>
          <w:szCs w:val="21"/>
          <w:highlight w:val="none"/>
          <w:u w:val="single"/>
        </w:rPr>
        <w:t xml:space="preserve">安装验收合格后</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年。</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在质保期内，因甲方使用不当原因出现设备故障时，乙方在</w:t>
      </w:r>
      <w:r>
        <w:rPr>
          <w:rFonts w:hint="eastAsia" w:ascii="宋体" w:hAnsi="宋体" w:eastAsia="宋体" w:cs="宋体"/>
          <w:color w:val="auto"/>
          <w:sz w:val="21"/>
          <w:szCs w:val="21"/>
          <w:highlight w:val="none"/>
          <w:lang w:eastAsia="zh-CN"/>
        </w:rPr>
        <w:t xml:space="preserve">接到</w:t>
      </w:r>
      <w:r>
        <w:rPr>
          <w:rFonts w:hint="eastAsia" w:ascii="宋体" w:hAnsi="宋体" w:eastAsia="宋体" w:cs="宋体"/>
          <w:color w:val="auto"/>
          <w:sz w:val="21"/>
          <w:szCs w:val="21"/>
          <w:highlight w:val="none"/>
        </w:rPr>
        <w:t xml:space="preserve">甲方通知后，应在10.2条款中所述的时限内响应并派</w:t>
      </w:r>
      <w:r>
        <w:rPr>
          <w:rFonts w:hint="eastAsia" w:ascii="宋体" w:hAnsi="宋体" w:eastAsia="宋体" w:cs="宋体"/>
          <w:color w:val="auto"/>
          <w:sz w:val="21"/>
          <w:szCs w:val="21"/>
          <w:highlight w:val="none"/>
        </w:rPr>
        <w:t xml:space="preserve">设备厂家工程师</w:t>
      </w:r>
      <w:r>
        <w:rPr>
          <w:rFonts w:hint="eastAsia" w:ascii="宋体" w:hAnsi="宋体" w:eastAsia="宋体" w:cs="宋体"/>
          <w:color w:val="auto"/>
          <w:sz w:val="21"/>
          <w:szCs w:val="21"/>
          <w:highlight w:val="none"/>
        </w:rPr>
        <w:t xml:space="preserve">赶到甲方现场，帮助排除故障、修复或更换零部件，需购买零部件时，仅收取成本费。</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质保期满后，如设备出现故障，</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接到</w:t>
      </w:r>
      <w:r>
        <w:rPr>
          <w:rFonts w:hint="eastAsia" w:ascii="宋体" w:hAnsi="宋体" w:eastAsia="宋体" w:cs="宋体"/>
          <w:color w:val="auto"/>
          <w:sz w:val="21"/>
          <w:szCs w:val="21"/>
          <w:highlight w:val="none"/>
        </w:rPr>
        <w:t xml:space="preserve">甲方通知后，仍应在上述时限内响应、派</w:t>
      </w:r>
      <w:r>
        <w:rPr>
          <w:rFonts w:hint="eastAsia" w:ascii="宋体" w:hAnsi="宋体" w:eastAsia="宋体" w:cs="宋体"/>
          <w:color w:val="auto"/>
          <w:sz w:val="21"/>
          <w:szCs w:val="21"/>
          <w:highlight w:val="none"/>
        </w:rPr>
        <w:t xml:space="preserve">设备厂家工程师</w:t>
      </w:r>
      <w:r>
        <w:rPr>
          <w:rFonts w:hint="eastAsia" w:ascii="宋体" w:hAnsi="宋体" w:eastAsia="宋体" w:cs="宋体"/>
          <w:color w:val="auto"/>
          <w:sz w:val="21"/>
          <w:szCs w:val="21"/>
          <w:highlight w:val="none"/>
        </w:rPr>
        <w:t xml:space="preserve">赶到甲方现场，帮助排除故障、修复或更换零部件，需购买零部件时，酌情收取成本费。</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技术资料</w:t>
      </w:r>
      <w:r/>
    </w:p>
    <w:p>
      <w:pPr>
        <w:ind w:left="108"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按第四章技术规格、参数及其他要求中的要求提供相关资料（见附件）。</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12.货物风险承担</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12.1乙方应当按照甲方指定的地点交货，需要运输的货物，乙方应当妥善保障货物在运输过程中的安全。</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12.2乙方将货物运输至甲方指定的地点后，应当及时通知甲方进行接收，由甲方进行检验。</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12.3在货物验收合格之前毁损、灭失的风险由乙方承担，因甲方原因造成货物毁损、灭失的除外。</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乙方的违约责任</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13.1乙方未按合同规定的质量要求交货，甲方有权拒收，由此造成的直接损失和间接损失由乙方承担。</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rPr>
        <w:t xml:space="preserve">乙方逾期交付的，每逾期1天，乙方应向甲方支付合同总价款的5‰的逾期违约金。</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13.3货物有合格证及说明书等资料的，在交付货物时，乙方应当一并交付合格证及说明书等资料，未交付的甲方有权拒绝接收。因此造成的损失由乙方承担。</w:t>
      </w:r>
      <w:r/>
    </w:p>
    <w:p>
      <w:pPr>
        <w:ind w:firstLine="420"/>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auto"/>
          <w:sz w:val="21"/>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的违约金按照合同总价款的5%计算）</w:t>
      </w:r>
      <w:r>
        <w:rPr>
          <w:rFonts w:hint="eastAsia" w:ascii="宋体" w:hAnsi="宋体" w:eastAsia="宋体" w:cs="宋体"/>
          <w:color w:val="auto"/>
          <w:sz w:val="21"/>
          <w:szCs w:val="21"/>
          <w:highlight w:val="none"/>
        </w:rPr>
        <w:t xml:space="preserve">。</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rPr>
          <w:rFonts w:hint="eastAsia" w:ascii="宋体" w:hAnsi="宋体" w:eastAsia="宋体" w:cs="宋体"/>
          <w:color w:val="auto"/>
          <w:sz w:val="21"/>
          <w:szCs w:val="21"/>
          <w:highlight w:val="none"/>
        </w:rPr>
        <w:t xml:space="preserve">乙方所交付的货物或服务不符合合同规定的，甲方有权拒收。甲方拒收的，乙方应向甲方支付违约金</w:t>
      </w:r>
      <w:bookmarkStart w:id="119" w:name="OLE_LINK8"/>
      <w:r>
        <w:rPr>
          <w:rFonts w:hint="eastAsia" w:ascii="宋体" w:hAnsi="宋体" w:eastAsia="宋体" w:cs="宋体"/>
          <w:color w:val="auto"/>
          <w:sz w:val="21"/>
          <w:szCs w:val="21"/>
          <w:highlight w:val="none"/>
        </w:rPr>
        <w:t xml:space="preserve">（违约金标准：合同金额50万（含）以下的违约金按照合同总价款的20%计算，合同金额50万至100万（含）的违约金按照合同总价款的10%计算，合同金额超过100</w:t>
      </w:r>
      <w:r>
        <w:rPr>
          <w:rFonts w:hint="eastAsia" w:ascii="宋体" w:hAnsi="宋体" w:eastAsia="宋体" w:cs="宋体"/>
          <w:color w:val="auto"/>
          <w:sz w:val="21"/>
          <w:szCs w:val="21"/>
          <w:highlight w:val="none"/>
          <w:lang w:eastAsia="zh-CN"/>
        </w:rPr>
        <w:t xml:space="preserve">万元的违约金</w:t>
      </w:r>
      <w:r>
        <w:rPr>
          <w:rFonts w:hint="eastAsia" w:ascii="宋体" w:hAnsi="宋体" w:eastAsia="宋体" w:cs="宋体"/>
          <w:color w:val="auto"/>
          <w:sz w:val="21"/>
          <w:szCs w:val="21"/>
          <w:highlight w:val="none"/>
        </w:rPr>
        <w:t xml:space="preserve">按照合同总价款的5%计算）</w:t>
      </w:r>
      <w:bookmarkEnd w:id="119"/>
      <w:r>
        <w:rPr>
          <w:rFonts w:hint="eastAsia" w:ascii="宋体" w:hAnsi="宋体" w:eastAsia="宋体" w:cs="宋体"/>
          <w:color w:val="auto"/>
          <w:sz w:val="21"/>
          <w:szCs w:val="21"/>
          <w:highlight w:val="none"/>
        </w:rPr>
        <w:t xml:space="preserve">。甲方未拒收的，采购代理机构发现后将向有关部门反映，并责成乙方按照采购结果提供服务。</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13.8乙方履行义务不符合合同约定时，甲方将扣减合同总价款10%的尾款，同时甲方有权按照本合同的约定追究乙方的违约责任。</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13.9乙方应当向甲方提供合法且符合甲方要求的发票</w:t>
      </w:r>
      <w:r>
        <w:rPr>
          <w:rFonts w:hint="eastAsia" w:ascii="宋体" w:hAnsi="宋体" w:eastAsia="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auto"/>
          <w:sz w:val="21"/>
          <w:szCs w:val="21"/>
          <w:highlight w:val="none"/>
        </w:rPr>
        <w:tab/>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14.甲方的违约责任</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14.1甲方未按合同规定的时间和要求向乙方提供技术资料等，乙方交付时间顺延。</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乙方在设备安装、调试、验收过程中，甲方提供下列条件和配合，超出下列范围的由乙方自理：</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auto"/>
          <w:sz w:val="21"/>
          <w:szCs w:val="21"/>
          <w:highlight w:val="none"/>
          <w:lang w:val="zh-CN"/>
        </w:rPr>
        <w:t xml:space="preserve">甲方为解决纠纷支付的律师费、诉讼费、差旅费等合理费用</w:t>
      </w:r>
      <w:r>
        <w:rPr>
          <w:rFonts w:hint="eastAsia" w:ascii="宋体" w:hAnsi="宋体" w:eastAsia="宋体" w:cs="宋体"/>
          <w:color w:val="auto"/>
          <w:sz w:val="21"/>
          <w:szCs w:val="21"/>
          <w:highlight w:val="none"/>
        </w:rPr>
        <w:t xml:space="preserve">。</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三、合同的变更和终止</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1、除《政府采购法》第50条第二款规定的情形外，本合同一经签订，甲乙双方不得擅自变更、中止或终止合同。</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bookmarkStart w:id="120" w:name="_Toc19018"/>
      <w:r>
        <w:rPr>
          <w:rFonts w:hint="eastAsia" w:ascii="宋体" w:hAnsi="宋体" w:eastAsia="宋体" w:cs="宋体"/>
          <w:color w:val="auto"/>
          <w:sz w:val="21"/>
          <w:szCs w:val="21"/>
          <w:highlight w:val="none"/>
        </w:rPr>
        <w:t xml:space="preserve">四、合同权利义务的转让</w:t>
      </w:r>
      <w:bookmarkEnd w:id="120"/>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五、货物、服务的购买或租赁权利瑕疵</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乙方应保证提供的货物、设备或服务不存在所有权、抵押权、使用权、知识产权等权利瑕疵。</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bookmarkStart w:id="121" w:name="_Toc30322"/>
      <w:r>
        <w:rPr>
          <w:rFonts w:hint="eastAsia" w:ascii="宋体" w:hAnsi="宋体" w:eastAsia="宋体" w:cs="宋体"/>
          <w:color w:val="auto"/>
          <w:sz w:val="21"/>
          <w:szCs w:val="21"/>
          <w:highlight w:val="none"/>
        </w:rPr>
        <w:t xml:space="preserve">六、争议解决条款</w:t>
      </w:r>
      <w:bookmarkEnd w:id="121"/>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bookmarkStart w:id="122" w:name="_Toc20895"/>
      <w:r>
        <w:rPr>
          <w:rFonts w:hint="eastAsia" w:ascii="宋体" w:hAnsi="宋体" w:eastAsia="宋体" w:cs="宋体"/>
          <w:color w:val="auto"/>
          <w:sz w:val="21"/>
          <w:szCs w:val="21"/>
          <w:highlight w:val="none"/>
        </w:rPr>
        <w:t xml:space="preserve">七、</w:t>
      </w:r>
      <w:bookmarkEnd w:id="122"/>
      <w:r>
        <w:rPr>
          <w:rFonts w:hint="eastAsia" w:ascii="宋体" w:hAnsi="宋体" w:eastAsia="宋体" w:cs="宋体"/>
          <w:color w:val="auto"/>
          <w:sz w:val="21"/>
          <w:szCs w:val="21"/>
          <w:highlight w:val="none"/>
        </w:rPr>
        <w:t xml:space="preserve">廉洁条款</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以任何理由为甲方工作人员报销应由个人支付的费用。一旦发生上述事由，甲方有权无条件解除本合同。</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八、保密条款</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外的任何第三方披露。双方均不得将合同中的内容及在合同执行过程中获得的对方的商业信息向任何第三方泄露。本保密义务应在本合同期满、解除或终止后仍然有效。</w:t>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九、不可抗力</w:t>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、送达条款</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十一、其他</w:t>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11.1、合同的生效：本合同一式陆份，自甲乙双方签字并加盖骑缝章之日起生效。</w:t>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11.2、未尽事宜、双方协商解决，并按《中华人民共和国民法典》及相关法律、法规的规定调整。</w:t>
      </w:r>
      <w:r/>
    </w:p>
    <w:p>
      <w:pPr>
        <w:pStyle w:val="1244"/>
        <w:ind w:left="0" w:right="0" w:firstLine="420"/>
        <w:jc w:val="left"/>
        <w:keepLines w:val="0"/>
        <w:keepNext w:val="0"/>
        <w:spacing w:before="0" w:beforeAutospacing="0" w:after="0" w:afterAutospacing="0" w:line="44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40" w:lineRule="exact"/>
        <w:tabs>
          <w:tab w:val="left" w:pos="478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（以下无正文）</w:t>
      </w:r>
      <w:r/>
    </w:p>
    <w:tbl>
      <w:tblPr>
        <w:tblStyle w:val="1209"/>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单位名称：江苏省特种设备安全监督检验研究院</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单位地址：江苏省南京市鼓楼区草场门大街107号龙江大厦</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c>
          <w:tcPr>
            <w:tcW w:w="4684" w:type="dxa"/>
            <w:vAlign w:val="top"/>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帐号：</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税号：</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r>
    </w:tbl>
    <w:p>
      <w:pPr>
        <w:spacing w:line="240" w:lineRule="auto"/>
        <w:rPr>
          <w:rFonts w:hint="eastAsia" w:ascii="宋体" w:hAnsi="宋体" w:eastAsia="宋体" w:cs="宋体"/>
          <w:color w:val="auto"/>
          <w:sz w:val="21"/>
          <w:szCs w:val="21"/>
          <w:highlight w:val="none"/>
          <w:lang w:val="zh-CN"/>
        </w:rPr>
      </w:pPr>
      <w:r>
        <w:rPr>
          <w:rFonts w:hint="eastAsia" w:eastAsia="仿宋_GB2312" w:cs="仿宋_GB2312"/>
          <w:color w:val="auto"/>
          <w:sz w:val="21"/>
          <w:szCs w:val="21"/>
          <w:highlight w:val="none"/>
        </w:rPr>
        <w:t xml:space="preserve">    </w:t>
      </w:r>
      <w:bookmarkEnd w:id="117"/>
      <w:r/>
      <w:bookmarkEnd w:id="118"/>
      <w:r/>
      <w:r/>
    </w:p>
    <w:p>
      <w:pPr>
        <w:rPr>
          <w:rFonts w:hint="eastAsia"/>
          <w:color w:val="auto"/>
          <w:highlight w:val="none"/>
        </w:rPr>
      </w:pPr>
      <w:r>
        <w:rPr>
          <w:rFonts w:hint="eastAsia"/>
          <w:color w:val="auto"/>
          <w:highlight w:val="none"/>
        </w:rPr>
      </w:r>
      <w:r/>
    </w:p>
    <w:p>
      <w:pPr>
        <w:ind w:firstLine="3373"/>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第六章  投标文件格式及附件</w:t>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spacing w:line="360" w:lineRule="auto"/>
        <w:rPr>
          <w:color w:val="auto"/>
          <w:highlight w:val="none"/>
        </w:rPr>
      </w:pPr>
      <w:r>
        <w:rPr>
          <w:rFonts w:hint="eastAsia" w:ascii="宋体" w:hAnsi="宋体" w:cs="宋体"/>
          <w:b/>
          <w:bCs/>
          <w:color w:val="auto"/>
          <w:sz w:val="44"/>
          <w:szCs w:val="44"/>
          <w:highlight w:val="none"/>
        </w:rPr>
        <w:t xml:space="preserve">投标文件</w:t>
      </w:r>
      <w:r/>
    </w:p>
    <w:p>
      <w:pPr>
        <w:pStyle w:val="1469"/>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1469"/>
        <w:ind w:firstLine="3534"/>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w:t>
      </w:r>
      <w:r/>
    </w:p>
    <w:p>
      <w:pPr>
        <w:pStyle w:val="1469"/>
        <w:ind w:firstLine="3534"/>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469"/>
        <w:ind w:firstLine="3253"/>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465"/>
        <w:rPr>
          <w:color w:val="auto"/>
          <w:highlight w:val="none"/>
        </w:rPr>
      </w:pPr>
      <w:r>
        <w:rPr>
          <w:color w:val="auto"/>
          <w:highlight w:val="none"/>
        </w:rPr>
      </w:r>
      <w:r/>
    </w:p>
    <w:p>
      <w:pPr>
        <w:pStyle w:val="1465"/>
        <w:rPr>
          <w:color w:val="auto"/>
          <w:highlight w:val="none"/>
        </w:rPr>
      </w:pPr>
      <w:r>
        <w:rPr>
          <w:color w:val="auto"/>
          <w:highlight w:val="none"/>
        </w:rPr>
      </w:r>
      <w:r/>
    </w:p>
    <w:p>
      <w:pPr>
        <w:pStyle w:val="1465"/>
        <w:rPr>
          <w:color w:val="auto"/>
          <w:highlight w:val="none"/>
        </w:rPr>
      </w:pPr>
      <w:r>
        <w:rPr>
          <w:color w:val="auto"/>
          <w:highlight w:val="none"/>
        </w:rPr>
      </w:r>
      <w:r/>
    </w:p>
    <w:p>
      <w:pPr>
        <w:pStyle w:val="1465"/>
        <w:rPr>
          <w:color w:val="auto"/>
          <w:highlight w:val="none"/>
        </w:rPr>
      </w:pPr>
      <w:r>
        <w:rPr>
          <w:color w:val="auto"/>
          <w:highlight w:val="none"/>
        </w:rPr>
      </w:r>
      <w:r/>
    </w:p>
    <w:p>
      <w:pPr>
        <w:jc w:val="center"/>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供应商：（盖单位章）</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法定代表人或其委托代理人：（签字）</w:t>
      </w:r>
      <w:r/>
    </w:p>
    <w:p>
      <w:pPr>
        <w:jc w:val="center"/>
        <w:spacing w:line="360" w:lineRule="auto"/>
        <w:rPr>
          <w:rFonts w:hint="eastAsia" w:ascii="宋体" w:hAnsi="宋体" w:cs="宋体"/>
          <w:color w:val="auto"/>
          <w:sz w:val="20"/>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Cs w:val="21"/>
          <w:highlight w:val="none"/>
        </w:rPr>
      </w:pPr>
      <w:r>
        <w:rPr>
          <w:rFonts w:hint="eastAsia" w:cs="宋体"/>
          <w:b/>
          <w:bCs/>
          <w:color w:val="auto"/>
          <w:highlight w:val="none"/>
        </w:rPr>
        <w:br w:type="page" w:clear="all"/>
      </w:r>
      <w:r/>
    </w:p>
    <w:p>
      <w:pPr>
        <w:pStyle w:val="1200"/>
        <w:jc w:val="center"/>
        <w:spacing w:line="360" w:lineRule="auto"/>
        <w:rPr>
          <w:rFonts w:hint="eastAsia" w:ascii="宋体" w:hAnsi="宋体" w:eastAsia="宋体" w:cs="宋体"/>
          <w:color w:val="auto"/>
          <w:sz w:val="21"/>
          <w:szCs w:val="21"/>
          <w:highlight w:val="none"/>
        </w:rPr>
      </w:pPr>
      <w:r/>
      <w:bookmarkStart w:id="123" w:name="_Toc496780634"/>
      <w:r/>
      <w:bookmarkStart w:id="124" w:name="_Toc29373"/>
      <w:r/>
      <w:bookmarkStart w:id="125" w:name="_Toc16691"/>
      <w:r/>
      <w:bookmarkStart w:id="126" w:name="_Toc4200"/>
      <w:r/>
      <w:bookmarkStart w:id="127" w:name="_Toc24614"/>
      <w:r/>
      <w:bookmarkStart w:id="128" w:name="_Toc31843"/>
      <w:r/>
      <w:bookmarkStart w:id="129" w:name="_Toc3528"/>
      <w:r>
        <w:rPr>
          <w:rFonts w:hint="eastAsia" w:ascii="宋体" w:hAnsi="宋体" w:eastAsia="宋体" w:cs="宋体"/>
          <w:color w:val="auto"/>
          <w:sz w:val="21"/>
          <w:szCs w:val="21"/>
          <w:highlight w:val="none"/>
        </w:rPr>
        <w:t xml:space="preserve">评审索引</w:t>
      </w:r>
      <w:bookmarkEnd w:id="123"/>
      <w:r/>
      <w:bookmarkEnd w:id="124"/>
      <w:r>
        <w:rPr>
          <w:rFonts w:hint="eastAsia" w:ascii="宋体" w:hAnsi="宋体" w:eastAsia="宋体" w:cs="宋体"/>
          <w:color w:val="auto"/>
          <w:sz w:val="21"/>
          <w:szCs w:val="21"/>
          <w:highlight w:val="none"/>
        </w:rPr>
        <w:t xml:space="preserve">表</w:t>
      </w:r>
      <w:bookmarkEnd w:id="125"/>
      <w:r/>
      <w:bookmarkEnd w:id="126"/>
      <w:r/>
      <w:bookmarkEnd w:id="127"/>
      <w:r/>
      <w:bookmarkEnd w:id="128"/>
      <w:r/>
      <w:bookmarkEnd w:id="129"/>
      <w:r/>
      <w:r/>
    </w:p>
    <w:tbl>
      <w:tblPr>
        <w:tblStyle w:val="120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评审项目</w:t>
            </w:r>
            <w:r/>
          </w:p>
        </w:tc>
        <w:tc>
          <w:tcPr>
            <w:tcW w:w="6604" w:type="dxa"/>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评分要求</w:t>
            </w:r>
            <w:r/>
          </w:p>
        </w:tc>
        <w:tc>
          <w:tcPr>
            <w:tcW w:w="1524" w:type="dxa"/>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所在页码</w:t>
            </w:r>
            <w:r/>
          </w:p>
        </w:tc>
      </w:tr>
      <w:tr>
        <w:trPr>
          <w:jc w:val="center"/>
        </w:trPr>
        <w:tc>
          <w:tcPr>
            <w:tcW w:w="422"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66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textDirection w:val="lrTb"/>
            <w:noWrap w:val="false"/>
          </w:tcPr>
          <w:p>
            <w:pPr>
              <w:ind w:left="613"/>
              <w:spacing w:line="360" w:lineRule="auto"/>
              <w:widowControl/>
              <w:tabs>
                <w:tab w:val="left" w:pos="403"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11"/>
        </w:trPr>
        <w:tc>
          <w:tcPr>
            <w:tcW w:w="42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51"/>
        </w:trPr>
        <w:tc>
          <w:tcPr>
            <w:tcW w:w="42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51"/>
        </w:trPr>
        <w:tc>
          <w:tcPr>
            <w:tcW w:w="42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11"/>
        </w:trPr>
        <w:tc>
          <w:tcPr>
            <w:tcW w:w="42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11"/>
        </w:trPr>
        <w:tc>
          <w:tcPr>
            <w:tcW w:w="42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0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2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spacing w:line="360" w:lineRule="auto"/>
        <w:rPr>
          <w:rFonts w:hint="eastAsia" w:ascii="宋体" w:hAnsi="宋体" w:cs="宋体"/>
          <w:color w:val="auto"/>
          <w:szCs w:val="21"/>
          <w:highlight w:val="none"/>
        </w:rPr>
        <w:sectPr>
          <w:headerReference w:type="default" r:id="rId12"/>
          <w:footerReference w:type="default" r:id="rId15"/>
          <w:footnotePr/>
          <w:endnotePr/>
          <w:type w:val="nextPage"/>
          <w:pgSz w:w="11906" w:h="16838" w:orient="portrait"/>
          <w:pgMar w:top="1134" w:right="1134" w:bottom="1134" w:left="1134" w:header="851" w:footer="992" w:gutter="0"/>
          <w:cols w:num="1" w:sep="0" w:space="720" w:equalWidth="1"/>
          <w:docGrid w:linePitch="360"/>
        </w:sectPr>
        <w:outlineLvl w:val="1"/>
      </w:pPr>
      <w:r>
        <w:rPr>
          <w:rFonts w:hint="eastAsia" w:ascii="宋体" w:hAnsi="宋体" w:cs="宋体"/>
          <w:color w:val="auto"/>
          <w:szCs w:val="21"/>
          <w:highlight w:val="none"/>
        </w:rPr>
      </w:r>
      <w:r/>
    </w:p>
    <w:p>
      <w:pPr>
        <w:rPr>
          <w:rFonts w:hint="eastAsia"/>
          <w:color w:val="auto"/>
          <w:highlight w:val="none"/>
        </w:rPr>
      </w:pPr>
      <w:r/>
      <w:bookmarkStart w:id="130" w:name="_Toc28190"/>
      <w:r/>
      <w:bookmarkStart w:id="131" w:name="_Toc4034"/>
      <w:r/>
      <w:bookmarkStart w:id="132" w:name="_Toc15346"/>
      <w:r/>
      <w:bookmarkStart w:id="133" w:name="_Toc1929"/>
      <w:r/>
      <w:bookmarkStart w:id="134" w:name="_Toc9700"/>
      <w:r/>
      <w:bookmarkStart w:id="135" w:name="_Toc24640"/>
      <w:r/>
      <w:r/>
    </w:p>
    <w:p>
      <w:pPr>
        <w:jc w:val="center"/>
        <w:spacing w:line="360" w:lineRule="auto"/>
        <w:rPr>
          <w:rFonts w:hint="eastAsia" w:ascii="宋体" w:hAnsi="宋体" w:cs="宋体"/>
          <w:b/>
          <w:bCs/>
          <w:color w:val="auto"/>
          <w:szCs w:val="21"/>
          <w:highlight w:val="none"/>
        </w:rPr>
        <w:outlineLvl w:val="1"/>
      </w:pPr>
      <w:r/>
      <w:bookmarkStart w:id="136" w:name="_Toc18741"/>
      <w:r/>
      <w:bookmarkStart w:id="137" w:name="_Toc8782"/>
      <w:r>
        <w:rPr>
          <w:rFonts w:hint="eastAsia" w:ascii="宋体" w:hAnsi="宋体" w:cs="宋体"/>
          <w:b/>
          <w:bCs/>
          <w:color w:val="auto"/>
          <w:szCs w:val="21"/>
          <w:highlight w:val="none"/>
        </w:rPr>
        <w:t xml:space="preserve">附件一 投标函格式</w:t>
      </w:r>
      <w:bookmarkEnd w:id="130"/>
      <w:r/>
      <w:bookmarkEnd w:id="131"/>
      <w:r/>
      <w:bookmarkEnd w:id="132"/>
      <w:r/>
      <w:bookmarkEnd w:id="136"/>
      <w:r/>
      <w:bookmarkEnd w:id="137"/>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投标函</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致：南京江城工程项目管理有限公司</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根据贵方</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（项目名称）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lang w:val="zh-CN"/>
        </w:rPr>
        <w:t xml:space="preserve">（项目编号）投标邀请，正式授权下述签字人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(姓名和职务)代表</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（投标人名称），提交投标文件。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据此函，签字人兹宣布同意如下：</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2．按招标要求，我们的投标总报价为（大写）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元人民币。其中所投核心产品品牌为</w:t>
      </w:r>
      <w:r>
        <w:rPr>
          <w:rFonts w:hint="eastAsia" w:ascii="宋体" w:hAnsi="宋体" w:cs="宋体"/>
          <w:color w:val="auto"/>
          <w:szCs w:val="21"/>
          <w:highlight w:val="none"/>
          <w:u w:val="single"/>
          <w:lang w:val="zh-TW"/>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3.我们已详细审核全部招标文件及其有效补充文件，我们放弃对招标文件任何误解的权利，提交投标文件后，</w:t>
      </w:r>
      <w:r>
        <w:rPr>
          <w:rFonts w:hint="eastAsia" w:ascii="宋体" w:hAnsi="宋体" w:cs="宋体"/>
          <w:b/>
          <w:bCs/>
          <w:color w:val="auto"/>
          <w:szCs w:val="21"/>
          <w:highlight w:val="none"/>
        </w:rPr>
        <w:t xml:space="preserve">不对招标文件本身提出质疑</w:t>
      </w:r>
      <w:r>
        <w:rPr>
          <w:rFonts w:hint="eastAsia" w:ascii="宋体" w:hAnsi="宋体" w:cs="宋体"/>
          <w:color w:val="auto"/>
          <w:szCs w:val="21"/>
          <w:highlight w:val="none"/>
        </w:rPr>
        <w:t xml:space="preserve">。否则，属于不诚信和故意扰乱政府采购活动行为，我们将无条件接受处罚。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4．我们同意在本项目招标文件中规定的开标之日起90天内遵守本投标文件中的承诺且在此期限期满之前均具有约束力。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5．我们愿意向采购代理机构提供任何与本次招标有关的其他资料，并保证已提供和将要提供的文件是真实的、准确的。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6．我们理解，你们无义务必须接受投标价最低的投标，并有权拒绝所有的投标。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8．其他说明：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w:t>
      </w:r>
      <w:r>
        <w:rPr>
          <w:rFonts w:hint="eastAsia" w:ascii="宋体" w:hAnsi="宋体" w:cs="宋体"/>
          <w:color w:val="auto"/>
          <w:szCs w:val="21"/>
          <w:highlight w:val="none"/>
          <w:u w:val="single"/>
        </w:rPr>
        <w:t xml:space="preserve">                   （公章）</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bookmarkEnd w:id="133"/>
      <w:r/>
      <w:bookmarkEnd w:id="134"/>
      <w:r/>
      <w:bookmarkEnd w:id="135"/>
      <w:r/>
      <w:r/>
    </w:p>
    <w:p>
      <w:pPr>
        <w:spacing w:line="360" w:lineRule="auto"/>
        <w:rPr>
          <w:rFonts w:hint="eastAsia" w:ascii="宋体" w:hAnsi="宋体" w:cs="宋体"/>
          <w:color w:val="auto"/>
          <w:szCs w:val="21"/>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auto"/>
          <w:szCs w:val="21"/>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Cs w:val="21"/>
          <w:highlight w:val="none"/>
        </w:rPr>
        <w:outlineLvl w:val="1"/>
      </w:pPr>
      <w:r/>
      <w:bookmarkStart w:id="138" w:name="_Toc7761"/>
      <w:r/>
      <w:bookmarkStart w:id="139" w:name="_Toc28362"/>
      <w:r>
        <w:rPr>
          <w:rFonts w:hint="eastAsia" w:ascii="宋体" w:hAnsi="宋体" w:cs="宋体"/>
          <w:b/>
          <w:bCs/>
          <w:color w:val="auto"/>
          <w:szCs w:val="21"/>
          <w:highlight w:val="none"/>
        </w:rPr>
        <w:t xml:space="preserve">附件二 开标一览表</w:t>
      </w:r>
      <w:bookmarkEnd w:id="138"/>
      <w:r/>
      <w:bookmarkEnd w:id="139"/>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开标一览表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after="120"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  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分包号： </w:t>
      </w:r>
      <w:r>
        <w:rPr>
          <w:rFonts w:hint="eastAsia" w:ascii="宋体" w:hAnsi="宋体" w:cs="宋体"/>
          <w:color w:val="auto"/>
          <w:szCs w:val="21"/>
          <w:highlight w:val="none"/>
          <w:u w:val="single"/>
        </w:rPr>
        <w:t xml:space="preserve">               </w:t>
      </w:r>
      <w:r/>
    </w:p>
    <w:tbl>
      <w:tblPr>
        <w:tblStyle w:val="1209"/>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注：1、此表应按“投标人须知”的规定密封标记单独提交。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2、此表中，投标总价合计应和分项报价表中的总价一致。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3、本项目仅接受一个价格，不得填报有选择性报价方案。若有优惠条款须注明，但不得影响报价，影响产品整体功能。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outlineLvl w:val="1"/>
      </w:pPr>
      <w:r/>
      <w:bookmarkStart w:id="140" w:name="_Toc17207"/>
      <w:r/>
      <w:bookmarkStart w:id="141" w:name="_Toc10280"/>
      <w:r/>
      <w:bookmarkStart w:id="142" w:name="_Toc5534"/>
      <w:r/>
      <w:bookmarkStart w:id="143" w:name="_Toc11266"/>
      <w:r/>
      <w:bookmarkStart w:id="144" w:name="_Toc24465"/>
      <w:r>
        <w:rPr>
          <w:rFonts w:hint="eastAsia" w:ascii="宋体" w:hAnsi="宋体" w:cs="宋体"/>
          <w:b/>
          <w:bCs/>
          <w:color w:val="auto"/>
          <w:szCs w:val="21"/>
          <w:highlight w:val="none"/>
        </w:rPr>
        <w:t xml:space="preserve">附件三 分项报价表</w:t>
      </w:r>
      <w:bookmarkEnd w:id="140"/>
      <w:r/>
      <w:bookmarkEnd w:id="141"/>
      <w:r/>
      <w:bookmarkEnd w:id="142"/>
      <w:r/>
      <w:bookmarkEnd w:id="143"/>
      <w:r/>
      <w:bookmarkEnd w:id="144"/>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分项报价表</w:t>
      </w:r>
      <w:r/>
    </w:p>
    <w:p>
      <w:pPr>
        <w:ind w:firstLine="525"/>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分包号：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p>
    <w:tbl>
      <w:tblPr>
        <w:tblStyle w:val="1209"/>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原产地和</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8"/>
            <w:tcBorders>
              <w:top w:val="single" w:color="auto" w:sz="4" w:space="0"/>
              <w:left w:val="single" w:color="auto" w:sz="4" w:space="0"/>
              <w:bottom w:val="single" w:color="auto" w:sz="4" w:space="0"/>
              <w:right w:val="single" w:color="auto" w:sz="4" w:space="0"/>
            </w:tcBorders>
            <w:tcW w:w="9776" w:type="dxa"/>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b/>
                <w:bCs/>
                <w:color w:val="auto"/>
                <w:szCs w:val="21"/>
                <w:highlight w:val="none"/>
              </w:rPr>
              <w:t xml:space="preserve">本采购项目中提供的符合本国产品标准的产品成本之和占该采购包提供的全部产品成本之和的比例为</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rPr>
              <w:t xml:space="preserve">%。</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注：1、投标人应根据其所投产品情况，提供配置的详细分项报价。投标人应对上述每项内容列明组成的详细分项价格。</w:t>
      </w:r>
      <w:r/>
    </w:p>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eastAsia="宋体"/>
          <w:color w:val="auto"/>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numPr>
          <w:ilvl w:val="0"/>
          <w:numId w:val="4"/>
        </w:numPr>
        <w:ind w:left="0" w:firstLine="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表中表格行数可自行添加。</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jc w:val="center"/>
        <w:spacing w:after="120" w:line="360" w:lineRule="auto"/>
        <w:rPr>
          <w:rFonts w:hint="eastAsia" w:ascii="宋体" w:hAnsi="宋体" w:cs="宋体"/>
          <w:b/>
          <w:bCs/>
          <w:color w:val="auto"/>
          <w:szCs w:val="21"/>
          <w:highlight w:val="none"/>
        </w:rPr>
        <w:outlineLvl w:val="1"/>
      </w:pPr>
      <w:r/>
      <w:bookmarkStart w:id="145" w:name="_Toc30888"/>
      <w:r/>
      <w:bookmarkStart w:id="146" w:name="_Toc14830"/>
      <w:r/>
      <w:bookmarkStart w:id="147" w:name="_Toc31821"/>
      <w:r/>
      <w:bookmarkStart w:id="148" w:name="_Toc1916"/>
      <w:r/>
      <w:bookmarkStart w:id="149" w:name="_Toc113527849"/>
      <w:r/>
      <w:bookmarkStart w:id="150" w:name="_Toc5355"/>
      <w:r>
        <w:rPr>
          <w:rFonts w:hint="eastAsia" w:ascii="宋体" w:hAnsi="宋体" w:cs="宋体"/>
          <w:b/>
          <w:bCs/>
          <w:color w:val="auto"/>
          <w:szCs w:val="21"/>
          <w:highlight w:val="none"/>
        </w:rPr>
        <w:t xml:space="preserve">附件四 商务条款偏离表</w:t>
      </w:r>
      <w:bookmarkEnd w:id="145"/>
      <w:r/>
      <w:bookmarkEnd w:id="146"/>
      <w:r/>
      <w:bookmarkEnd w:id="147"/>
      <w:r/>
      <w:bookmarkEnd w:id="148"/>
      <w:r/>
      <w:bookmarkEnd w:id="149"/>
      <w:r/>
      <w:bookmarkEnd w:id="150"/>
      <w:r/>
      <w:r/>
    </w:p>
    <w:tbl>
      <w:tblPr>
        <w:tblStyle w:val="120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w:t>
      </w:r>
      <w:r>
        <w:rPr>
          <w:rFonts w:hint="eastAsia" w:ascii="宋体" w:hAnsi="宋体" w:cs="宋体"/>
          <w:b w:val="0"/>
          <w:bCs w:val="0"/>
          <w:color w:val="auto"/>
          <w:szCs w:val="21"/>
          <w:highlight w:val="none"/>
        </w:rPr>
        <w:t xml:space="preserve">投标人如对包括合同履行期、质保期、售后服务要求、付款方式等</w:t>
      </w:r>
      <w:r>
        <w:rPr>
          <w:rFonts w:hint="eastAsia" w:ascii="宋体" w:hAnsi="宋体" w:cs="宋体"/>
          <w:color w:val="auto"/>
          <w:szCs w:val="21"/>
          <w:highlight w:val="none"/>
        </w:rPr>
        <w:t xml:space="preserve">商务条款的响应有任何偏离，请在本表中详细填写；如不列出，则视为投标人完全同意招标文件的商务条款。</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2、“投标人的承诺或说明”栏请注明“响应/正偏离/负偏离”，正偏离指投标人的响应高于招标文件要求，负偏离指投标人的响应低于招标文件要求。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3、如果行数不够，请自行增加。</w:t>
      </w:r>
      <w:r/>
    </w:p>
    <w:p>
      <w:pPr>
        <w:ind w:firstLine="549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33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33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334"/>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334"/>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jc w:val="center"/>
        <w:spacing w:after="120" w:line="360" w:lineRule="auto"/>
        <w:rPr>
          <w:rFonts w:hint="eastAsia" w:ascii="宋体" w:hAnsi="宋体" w:cs="宋体"/>
          <w:b/>
          <w:bCs/>
          <w:color w:val="auto"/>
          <w:szCs w:val="21"/>
          <w:highlight w:val="none"/>
        </w:rPr>
        <w:outlineLvl w:val="1"/>
      </w:pPr>
      <w:r/>
      <w:bookmarkStart w:id="151" w:name="_Toc25051"/>
      <w:r/>
      <w:bookmarkStart w:id="152" w:name="_Toc113527850"/>
      <w:r/>
      <w:bookmarkStart w:id="153" w:name="_Toc24346"/>
      <w:r/>
      <w:bookmarkStart w:id="154" w:name="_Toc6138"/>
      <w:r/>
      <w:bookmarkStart w:id="155" w:name="_Toc32381"/>
      <w:r/>
      <w:bookmarkStart w:id="156" w:name="_Toc7213"/>
      <w:r>
        <w:rPr>
          <w:rFonts w:hint="eastAsia" w:ascii="宋体" w:hAnsi="宋体" w:cs="宋体"/>
          <w:b/>
          <w:bCs/>
          <w:color w:val="auto"/>
          <w:szCs w:val="21"/>
          <w:highlight w:val="none"/>
        </w:rPr>
        <w:t xml:space="preserve">附件五 技术条款偏离表</w:t>
      </w:r>
      <w:bookmarkEnd w:id="151"/>
      <w:r/>
      <w:bookmarkEnd w:id="152"/>
      <w:r/>
      <w:bookmarkEnd w:id="153"/>
      <w:r/>
      <w:bookmarkEnd w:id="154"/>
      <w:r/>
      <w:bookmarkEnd w:id="155"/>
      <w:r/>
      <w:bookmarkEnd w:id="156"/>
      <w:r/>
      <w:r/>
    </w:p>
    <w:tbl>
      <w:tblPr>
        <w:tblStyle w:val="1209"/>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注：1、投标人应对招标文件第四章招标技术规格及要求的内容给予逐条响应，若漏项或不逐条应答视为负偏离。以投标产品和服务所能达到的内容予以填写。</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2、投标文件“响应具体情况",指所投产品的技术应答情况。“说明”栏请注明“响应/正偏离/负偏离”，并且标注针对重要技术参数响应的证明文件在投标文件中的页码及具体位置。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4、如果行数不够，请自行增加。</w:t>
      </w:r>
      <w:bookmarkStart w:id="157" w:name="_Toc3639"/>
      <w:r/>
      <w:bookmarkStart w:id="158" w:name="_Toc22252"/>
      <w:r/>
      <w:bookmarkStart w:id="159" w:name="_Toc1772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keepLines/>
        <w:keepNext/>
        <w:spacing w:before="52" w:after="290"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附件六、拟参与本项目服务人员一览表</w:t>
      </w:r>
      <w:r/>
    </w:p>
    <w:p>
      <w:pPr>
        <w:ind w:left="420"/>
        <w:spacing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1325" w:right="1312"/>
        <w:jc w:val="center"/>
        <w:keepLines/>
        <w:keepNext/>
        <w:spacing w:before="157" w:after="290"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拟参与本项目服务人员一览表</w:t>
      </w:r>
      <w:r/>
    </w:p>
    <w:p>
      <w:pPr>
        <w:ind w:left="420"/>
        <w:spacing w:before="1"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420"/>
        <w:spacing w:before="1" w:after="2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项目名称：项目编号：</w:t>
      </w:r>
      <w:r/>
    </w:p>
    <w:tbl>
      <w:tblPr>
        <w:tblStyle w:val="1209"/>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序</w:t>
            </w:r>
            <w:r/>
          </w:p>
          <w:p>
            <w:pPr>
              <w:ind w:left="161"/>
              <w:spacing w:before="43"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号</w:t>
            </w:r>
            <w:r/>
          </w:p>
        </w:tc>
        <w:tc>
          <w:tcPr>
            <w:tcW w:w="896" w:type="dxa"/>
            <w:textDirection w:val="lrTb"/>
            <w:noWrap w:val="false"/>
          </w:tcPr>
          <w:p>
            <w:pPr>
              <w:ind w:left="237"/>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姓名</w:t>
            </w:r>
            <w:r/>
          </w:p>
        </w:tc>
        <w:tc>
          <w:tcPr>
            <w:tcW w:w="663" w:type="dxa"/>
            <w:textDirection w:val="lrTb"/>
            <w:noWrap w:val="false"/>
          </w:tcPr>
          <w:p>
            <w:pPr>
              <w:ind w:left="121"/>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性别</w:t>
            </w:r>
            <w:r/>
          </w:p>
        </w:tc>
        <w:tc>
          <w:tcPr>
            <w:tcW w:w="709" w:type="dxa"/>
            <w:textDirection w:val="lrTb"/>
            <w:noWrap w:val="false"/>
          </w:tcPr>
          <w:p>
            <w:pPr>
              <w:ind w:left="144"/>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年龄</w:t>
            </w:r>
            <w:r/>
          </w:p>
        </w:tc>
        <w:tc>
          <w:tcPr>
            <w:tcW w:w="1134" w:type="dxa"/>
            <w:textDirection w:val="lrTb"/>
            <w:noWrap w:val="false"/>
          </w:tcPr>
          <w:p>
            <w:pPr>
              <w:ind w:left="357"/>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专业</w:t>
            </w:r>
            <w:r/>
          </w:p>
        </w:tc>
        <w:tc>
          <w:tcPr>
            <w:tcW w:w="931" w:type="dxa"/>
            <w:textDirection w:val="lrTb"/>
            <w:noWrap w:val="false"/>
          </w:tcPr>
          <w:p>
            <w:pPr>
              <w:ind w:left="255"/>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学历</w:t>
            </w:r>
            <w:r/>
          </w:p>
        </w:tc>
        <w:tc>
          <w:tcPr>
            <w:tcW w:w="1020" w:type="dxa"/>
            <w:textDirection w:val="lrTb"/>
            <w:noWrap w:val="false"/>
          </w:tcPr>
          <w:p>
            <w:pPr>
              <w:ind w:left="298"/>
              <w:spacing w:before="20"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执业</w:t>
            </w:r>
            <w:r/>
          </w:p>
          <w:p>
            <w:pPr>
              <w:ind w:left="298"/>
              <w:spacing w:before="43"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资格</w:t>
            </w:r>
            <w:r/>
          </w:p>
        </w:tc>
        <w:tc>
          <w:tcPr>
            <w:tcW w:w="994" w:type="dxa"/>
            <w:textDirection w:val="lrTb"/>
            <w:noWrap w:val="false"/>
          </w:tcPr>
          <w:p>
            <w:pPr>
              <w:ind w:left="181"/>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证书号</w:t>
            </w:r>
            <w:r/>
          </w:p>
        </w:tc>
        <w:tc>
          <w:tcPr>
            <w:tcW w:w="882" w:type="dxa"/>
            <w:textDirection w:val="lrTb"/>
            <w:noWrap w:val="false"/>
          </w:tcPr>
          <w:p>
            <w:pPr>
              <w:ind w:left="104" w:right="94"/>
              <w:jc w:val="center"/>
              <w:spacing w:before="20"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技术职</w:t>
            </w:r>
            <w:r/>
          </w:p>
          <w:p>
            <w:pPr>
              <w:ind w:left="10"/>
              <w:jc w:val="center"/>
              <w:spacing w:before="43"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称</w:t>
            </w:r>
            <w:r/>
          </w:p>
        </w:tc>
        <w:tc>
          <w:tcPr>
            <w:tcW w:w="850" w:type="dxa"/>
            <w:textDirection w:val="lrTb"/>
            <w:noWrap w:val="false"/>
          </w:tcPr>
          <w:p>
            <w:pPr>
              <w:ind w:left="109"/>
              <w:spacing w:before="20"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相关工</w:t>
            </w:r>
            <w:r/>
          </w:p>
          <w:p>
            <w:pPr>
              <w:ind w:left="109"/>
              <w:spacing w:before="43"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作年限</w:t>
            </w:r>
            <w:r/>
          </w:p>
        </w:tc>
        <w:tc>
          <w:tcPr>
            <w:tcW w:w="851" w:type="dxa"/>
            <w:textDirection w:val="lrTb"/>
            <w:noWrap w:val="false"/>
          </w:tcPr>
          <w:p>
            <w:pPr>
              <w:ind w:left="215"/>
              <w:spacing w:before="176" w:line="360" w:lineRule="auto"/>
              <w:rPr>
                <w:rFonts w:hint="eastAsia" w:ascii="宋体" w:hAnsi="宋体" w:cs="宋体"/>
                <w:b/>
                <w:color w:val="auto"/>
                <w:szCs w:val="21"/>
                <w:highlight w:val="none"/>
                <w:lang w:val="zh-CN" w:bidi="zh-CN"/>
              </w:rPr>
            </w:pPr>
            <w:r>
              <w:rPr>
                <w:rFonts w:hint="eastAsia" w:ascii="宋体" w:hAnsi="宋体" w:cs="宋体"/>
                <w:b/>
                <w:color w:val="auto"/>
                <w:szCs w:val="21"/>
                <w:highlight w:val="none"/>
                <w:lang w:val="zh-CN" w:bidi="zh-CN"/>
              </w:rPr>
              <w:t xml:space="preserve">备注</w:t>
            </w:r>
            <w:r/>
          </w:p>
        </w:tc>
      </w:tr>
      <w:tr>
        <w:trPr>
          <w:trHeight w:val="312"/>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1"/>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2"/>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2"/>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2"/>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2"/>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1"/>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312"/>
        </w:trPr>
        <w:tc>
          <w:tcPr>
            <w:tcW w:w="5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96"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663"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70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3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2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0"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51"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bl>
    <w:p>
      <w:pPr>
        <w:ind w:left="420"/>
        <w:spacing w:before="98" w:after="120" w:line="360" w:lineRule="auto"/>
        <w:tabs>
          <w:tab w:val="left" w:pos="442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rPr>
          <w:rFonts w:hint="eastAsia" w:ascii="宋体" w:hAnsi="宋体" w:cs="宋体"/>
          <w:color w:val="auto"/>
          <w:szCs w:val="21"/>
          <w:highlight w:val="none"/>
          <w:u w:val="single"/>
        </w:rPr>
        <w:tab/>
      </w:r>
      <w:r/>
    </w:p>
    <w:p>
      <w:pPr>
        <w:ind w:left="420"/>
        <w:spacing w:before="3"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before="70" w:after="120" w:line="360" w:lineRule="auto"/>
        <w:tabs>
          <w:tab w:val="left" w:pos="45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u w:val="single"/>
        </w:rPr>
        <w:tab/>
      </w:r>
      <w:r/>
    </w:p>
    <w:p>
      <w:pPr>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0" w:footer="992" w:gutter="0"/>
          <w:cols w:num="1" w:sep="0" w:space="720" w:equalWidth="1"/>
          <w:docGrid w:linePitch="360"/>
        </w:sectPr>
      </w:pPr>
      <w:r>
        <w:rPr>
          <w:rFonts w:hint="eastAsia" w:ascii="宋体" w:hAnsi="宋体" w:cs="宋体"/>
          <w:color w:val="auto"/>
          <w:szCs w:val="21"/>
          <w:highlight w:val="none"/>
        </w:rPr>
      </w:r>
      <w:r/>
    </w:p>
    <w:p>
      <w:pPr>
        <w:keepLines/>
        <w:keepNext/>
        <w:spacing w:before="42" w:after="290"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附件七、投标人类似业绩情况表</w:t>
      </w:r>
      <w:r/>
    </w:p>
    <w:p>
      <w:pPr>
        <w:ind w:left="420"/>
        <w:spacing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420"/>
        <w:spacing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1325" w:right="1312"/>
        <w:jc w:val="center"/>
        <w:keepLines/>
        <w:keepNext/>
        <w:spacing w:before="280" w:after="290" w:line="360" w:lineRule="auto"/>
        <w:rPr>
          <w:rFonts w:hint="eastAsia" w:ascii="宋体" w:hAnsi="宋体" w:cs="宋体"/>
          <w:b/>
          <w:bCs/>
          <w:color w:val="auto"/>
          <w:szCs w:val="21"/>
          <w:highlight w:val="none"/>
        </w:rPr>
        <w:outlineLvl w:val="4"/>
      </w:pPr>
      <w:r>
        <w:rPr>
          <w:rFonts w:hint="eastAsia" w:ascii="宋体" w:hAnsi="宋体" w:cs="宋体"/>
          <w:b/>
          <w:bCs/>
          <w:color w:val="auto"/>
          <w:szCs w:val="21"/>
          <w:highlight w:val="none"/>
        </w:rPr>
        <w:t xml:space="preserve">投标人类似业绩情况表</w:t>
      </w:r>
      <w:r/>
    </w:p>
    <w:p>
      <w:pPr>
        <w:ind w:left="420"/>
        <w:spacing w:before="3"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bl>
      <w:tblPr>
        <w:tblStyle w:val="1209"/>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序号</w:t>
            </w:r>
            <w:r/>
          </w:p>
        </w:tc>
        <w:tc>
          <w:tcPr>
            <w:tcW w:w="1559" w:type="dxa"/>
            <w:vAlign w:val="center"/>
            <w:textDirection w:val="lrTb"/>
            <w:noWrap w:val="false"/>
          </w:tcPr>
          <w:p>
            <w:pPr>
              <w:jc w:val="cente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项目名称</w:t>
            </w:r>
            <w:r/>
          </w:p>
        </w:tc>
        <w:tc>
          <w:tcPr>
            <w:tcW w:w="1418" w:type="dxa"/>
            <w:vAlign w:val="center"/>
            <w:textDirection w:val="lrTb"/>
            <w:noWrap w:val="false"/>
          </w:tcPr>
          <w:p>
            <w:pPr>
              <w:jc w:val="cente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业主单位</w:t>
            </w:r>
            <w:r/>
          </w:p>
        </w:tc>
        <w:tc>
          <w:tcPr>
            <w:tcW w:w="992" w:type="dxa"/>
            <w:textDirection w:val="lrTb"/>
            <w:noWrap w:val="false"/>
          </w:tcPr>
          <w:p>
            <w:pPr>
              <w:ind w:left="286" w:right="275"/>
              <w:spacing w:before="19"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项目规模</w:t>
            </w:r>
            <w:r/>
          </w:p>
        </w:tc>
        <w:tc>
          <w:tcPr>
            <w:tcW w:w="1034" w:type="dxa"/>
            <w:textDirection w:val="lrTb"/>
            <w:noWrap w:val="false"/>
          </w:tcPr>
          <w:p>
            <w:pPr>
              <w:ind w:left="307" w:right="296"/>
              <w:spacing w:before="19"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获奖情况</w:t>
            </w:r>
            <w:r/>
          </w:p>
        </w:tc>
        <w:tc>
          <w:tcPr>
            <w:tcW w:w="1517" w:type="dxa"/>
            <w:textDirection w:val="lrTb"/>
            <w:noWrap w:val="false"/>
          </w:tcPr>
          <w:p>
            <w:pPr>
              <w:ind w:left="547" w:right="222" w:hanging="315"/>
              <w:spacing w:before="19"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签约及服务时间</w:t>
            </w:r>
            <w:r/>
          </w:p>
        </w:tc>
        <w:tc>
          <w:tcPr>
            <w:tcW w:w="1134" w:type="dxa"/>
            <w:textDirection w:val="lrTb"/>
            <w:noWrap w:val="false"/>
          </w:tcPr>
          <w:p>
            <w:pPr>
              <w:ind w:left="355" w:right="137" w:hanging="209"/>
              <w:spacing w:before="19"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联系人及电话</w:t>
            </w:r>
            <w:r/>
          </w:p>
        </w:tc>
        <w:tc>
          <w:tcPr>
            <w:tcW w:w="838" w:type="dxa"/>
            <w:textDirection w:val="lrTb"/>
            <w:noWrap w:val="false"/>
          </w:tcPr>
          <w:p>
            <w:pPr>
              <w:ind w:left="207"/>
              <w:spacing w:before="129"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备注</w:t>
            </w:r>
            <w:r/>
          </w:p>
        </w:tc>
      </w:tr>
      <w:tr>
        <w:trPr>
          <w:trHeight w:val="381"/>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r>
        <w:trPr>
          <w:trHeight w:val="400"/>
        </w:trPr>
        <w:tc>
          <w:tcPr>
            <w:tcW w:w="68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59"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41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992"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0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517"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1134"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c>
          <w:tcPr>
            <w:tcW w:w="838" w:type="dxa"/>
            <w:textDirection w:val="lrTb"/>
            <w:noWrap w:val="false"/>
          </w:tcPr>
          <w:p>
            <w:pPr>
              <w:spacing w:line="360" w:lineRule="auto"/>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r>
            <w:r/>
          </w:p>
        </w:tc>
      </w:tr>
    </w:tbl>
    <w:p>
      <w:pPr>
        <w:ind w:left="420"/>
        <w:spacing w:before="100" w:after="120" w:line="360" w:lineRule="auto"/>
        <w:tabs>
          <w:tab w:val="left" w:pos="442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rPr>
          <w:rFonts w:hint="eastAsia" w:ascii="宋体" w:hAnsi="宋体" w:cs="宋体"/>
          <w:color w:val="auto"/>
          <w:szCs w:val="21"/>
          <w:highlight w:val="none"/>
          <w:u w:val="single"/>
        </w:rPr>
        <w:tab/>
      </w:r>
      <w:r/>
    </w:p>
    <w:p>
      <w:pPr>
        <w:ind w:left="420"/>
        <w:spacing w:before="3"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before="70" w:after="120" w:line="360" w:lineRule="auto"/>
        <w:tabs>
          <w:tab w:val="left" w:pos="45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u w:val="single"/>
        </w:rPr>
        <w:tab/>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840"/>
        <w:spacing w:before="120"/>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840"/>
        <w:spacing w:before="120"/>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840"/>
        <w:spacing w:before="120"/>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840"/>
        <w:spacing w:before="120"/>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spacing w:after="120" w:line="360" w:lineRule="auto"/>
        <w:rPr>
          <w:rFonts w:hint="eastAsia" w:ascii="宋体" w:hAnsi="宋体" w:eastAsia="宋体" w:cs="宋体"/>
          <w:b/>
          <w:bCs/>
          <w:color w:val="auto"/>
          <w:szCs w:val="21"/>
          <w:highlight w:val="none"/>
        </w:rPr>
        <w:outlineLvl w:val="1"/>
      </w:pPr>
      <w:r/>
      <w:bookmarkStart w:id="160" w:name="_Toc739"/>
      <w:r/>
      <w:bookmarkStart w:id="161" w:name="_Toc32226"/>
      <w:r/>
      <w:bookmarkStart w:id="162" w:name="_Toc113527851"/>
      <w:r>
        <w:rPr>
          <w:rFonts w:hint="eastAsia" w:ascii="宋体" w:hAnsi="宋体" w:eastAsia="宋体" w:cs="宋体"/>
          <w:b/>
          <w:bCs/>
          <w:color w:val="auto"/>
          <w:szCs w:val="21"/>
          <w:highlight w:val="none"/>
        </w:rPr>
        <w:t xml:space="preserve">附件八 供货一览表格式</w:t>
      </w:r>
      <w:bookmarkEnd w:id="160"/>
      <w:r/>
      <w:bookmarkEnd w:id="161"/>
      <w:r/>
      <w:r/>
    </w:p>
    <w:p>
      <w:pPr>
        <w:ind w:left="1325" w:right="1312"/>
        <w:jc w:val="center"/>
        <w:keepLines/>
        <w:keepNext/>
        <w:spacing w:before="280" w:after="290" w:line="360" w:lineRule="auto"/>
        <w:rPr>
          <w:rFonts w:hint="eastAsia" w:ascii="宋体" w:hAnsi="宋体" w:eastAsia="宋体" w:cs="宋体"/>
          <w:b/>
          <w:bCs/>
          <w:color w:val="auto"/>
          <w:szCs w:val="21"/>
          <w:highlight w:val="none"/>
        </w:rPr>
        <w:outlineLvl w:val="4"/>
      </w:pPr>
      <w:r>
        <w:rPr>
          <w:rFonts w:hint="eastAsia" w:ascii="宋体" w:hAnsi="宋体" w:eastAsia="宋体" w:cs="宋体"/>
          <w:b/>
          <w:bCs/>
          <w:color w:val="auto"/>
          <w:szCs w:val="21"/>
          <w:highlight w:val="none"/>
        </w:rPr>
        <w:t xml:space="preserve">供货一览表（含配件、备品、消耗材料）</w:t>
      </w:r>
      <w:r/>
    </w:p>
    <w:tbl>
      <w:tblPr>
        <w:tblStyle w:val="12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861"/>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gridSpan w:val="3"/>
            <w:tcMar>
              <w:left w:w="108" w:type="dxa"/>
              <w:top w:w="0" w:type="dxa"/>
              <w:right w:w="108" w:type="dxa"/>
              <w:bottom w:w="0" w:type="dxa"/>
            </w:tcMar>
            <w:tcW w:w="3983" w:type="dxa"/>
            <w:vAlign w:val="top"/>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项目编号：        </w:t>
            </w:r>
            <w:r/>
          </w:p>
        </w:tc>
      </w:tr>
      <w:tr>
        <w:trPr>
          <w:trHeight w:val="284"/>
        </w:trPr>
        <w:tc>
          <w:tcPr>
            <w:gridSpan w:val="2"/>
            <w:tcMar>
              <w:left w:w="108" w:type="dxa"/>
              <w:top w:w="0" w:type="dxa"/>
              <w:right w:w="108" w:type="dxa"/>
              <w:bottom w:w="0" w:type="dxa"/>
            </w:tcMar>
            <w:tcW w:w="1330" w:type="dxa"/>
            <w:vAlign w:val="center"/>
            <w:textDirection w:val="lrTb"/>
            <w:noWrap w:val="false"/>
          </w:tcPr>
          <w:p>
            <w:pPr>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名称</w:t>
            </w:r>
            <w:r/>
          </w:p>
        </w:tc>
        <w:tc>
          <w:tcPr>
            <w:gridSpan w:val="2"/>
            <w:tcMar>
              <w:left w:w="108" w:type="dxa"/>
              <w:top w:w="0" w:type="dxa"/>
              <w:right w:w="108" w:type="dxa"/>
              <w:bottom w:w="0" w:type="dxa"/>
            </w:tcMar>
            <w:tcW w:w="175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53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品    牌</w:t>
            </w:r>
            <w:r/>
          </w:p>
        </w:tc>
        <w:tc>
          <w:tcPr>
            <w:gridSpan w:val="2"/>
            <w:tcMar>
              <w:left w:w="108" w:type="dxa"/>
              <w:top w:w="0" w:type="dxa"/>
              <w:right w:w="108" w:type="dxa"/>
              <w:bottom w:w="0" w:type="dxa"/>
            </w:tcMar>
            <w:tcW w:w="1562"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56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规格、型号</w:t>
            </w:r>
            <w:r/>
          </w:p>
        </w:tc>
        <w:tc>
          <w:tcPr>
            <w:tcMar>
              <w:left w:w="108" w:type="dxa"/>
              <w:top w:w="0" w:type="dxa"/>
              <w:right w:w="108" w:type="dxa"/>
              <w:bottom w:w="0" w:type="dxa"/>
            </w:tcMar>
            <w:tcW w:w="156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84"/>
        </w:trPr>
        <w:tc>
          <w:tcPr>
            <w:gridSpan w:val="2"/>
            <w:tcMar>
              <w:left w:w="108" w:type="dxa"/>
              <w:top w:w="0" w:type="dxa"/>
              <w:right w:w="108" w:type="dxa"/>
              <w:bottom w:w="0" w:type="dxa"/>
            </w:tcMar>
            <w:tcW w:w="1330"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生产企业名称</w:t>
            </w:r>
            <w:r/>
          </w:p>
        </w:tc>
        <w:tc>
          <w:tcPr>
            <w:gridSpan w:val="3"/>
            <w:tcMar>
              <w:left w:w="108" w:type="dxa"/>
              <w:top w:w="0" w:type="dxa"/>
              <w:right w:w="108" w:type="dxa"/>
              <w:bottom w:w="0" w:type="dxa"/>
            </w:tcMar>
            <w:tcW w:w="3288"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gridSpan w:val="2"/>
            <w:tcMar>
              <w:left w:w="108" w:type="dxa"/>
              <w:top w:w="0" w:type="dxa"/>
              <w:right w:w="108" w:type="dxa"/>
              <w:bottom w:w="0" w:type="dxa"/>
            </w:tcMar>
            <w:tcW w:w="1562"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生产企业地址</w:t>
            </w:r>
            <w:r/>
          </w:p>
        </w:tc>
        <w:tc>
          <w:tcPr>
            <w:gridSpan w:val="2"/>
            <w:tcMar>
              <w:left w:w="108" w:type="dxa"/>
              <w:top w:w="0" w:type="dxa"/>
              <w:right w:w="108" w:type="dxa"/>
              <w:bottom w:w="0" w:type="dxa"/>
            </w:tcMar>
            <w:tcW w:w="3122"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序号</w:t>
            </w:r>
            <w:r/>
          </w:p>
        </w:tc>
        <w:tc>
          <w:tcPr>
            <w:gridSpan w:val="2"/>
            <w:tcMar>
              <w:left w:w="108" w:type="dxa"/>
              <w:top w:w="0" w:type="dxa"/>
              <w:right w:w="108" w:type="dxa"/>
              <w:bottom w:w="0" w:type="dxa"/>
            </w:tcMar>
            <w:tcW w:w="1185" w:type="dxa"/>
            <w:vAlign w:val="top"/>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名称</w:t>
            </w:r>
            <w:r/>
          </w:p>
        </w:tc>
        <w:tc>
          <w:tcPr>
            <w:tcMar>
              <w:left w:w="108" w:type="dxa"/>
              <w:top w:w="0" w:type="dxa"/>
              <w:right w:w="108" w:type="dxa"/>
              <w:bottom w:w="0" w:type="dxa"/>
            </w:tcMar>
            <w:tcW w:w="894" w:type="dxa"/>
            <w:vAlign w:val="top"/>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数量</w:t>
            </w:r>
            <w:r/>
          </w:p>
        </w:tc>
        <w:tc>
          <w:tcPr>
            <w:gridSpan w:val="5"/>
            <w:tcMar>
              <w:left w:w="108" w:type="dxa"/>
              <w:top w:w="0" w:type="dxa"/>
              <w:right w:w="108" w:type="dxa"/>
              <w:bottom w:w="0" w:type="dxa"/>
            </w:tcMar>
            <w:tcW w:w="6215" w:type="dxa"/>
            <w:vAlign w:val="top"/>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主要技术参数</w:t>
            </w:r>
            <w:r/>
          </w:p>
        </w:tc>
      </w:tr>
      <w:tr>
        <w:trPr>
          <w:trHeight w:val="284"/>
        </w:trPr>
        <w:tc>
          <w:tcPr>
            <w:tcMar>
              <w:left w:w="108" w:type="dxa"/>
              <w:top w:w="0" w:type="dxa"/>
              <w:right w:w="108" w:type="dxa"/>
              <w:bottom w:w="0" w:type="dxa"/>
            </w:tcMar>
            <w:tcW w:w="1008"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gridSpan w:val="2"/>
            <w:tcMar>
              <w:left w:w="108" w:type="dxa"/>
              <w:top w:w="0" w:type="dxa"/>
              <w:right w:w="108" w:type="dxa"/>
              <w:bottom w:w="0" w:type="dxa"/>
            </w:tcMar>
            <w:tcW w:w="1185"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94"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gridSpan w:val="5"/>
            <w:tcMar>
              <w:left w:w="108" w:type="dxa"/>
              <w:top w:w="0" w:type="dxa"/>
              <w:right w:w="108" w:type="dxa"/>
              <w:bottom w:w="0" w:type="dxa"/>
            </w:tcMar>
            <w:tcW w:w="6215"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84"/>
        </w:trPr>
        <w:tc>
          <w:tcPr>
            <w:tcMar>
              <w:left w:w="108" w:type="dxa"/>
              <w:top w:w="0" w:type="dxa"/>
              <w:right w:w="108" w:type="dxa"/>
              <w:bottom w:w="0" w:type="dxa"/>
            </w:tcMar>
            <w:tcW w:w="1008"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gridSpan w:val="2"/>
            <w:tcMar>
              <w:left w:w="108" w:type="dxa"/>
              <w:top w:w="0" w:type="dxa"/>
              <w:right w:w="108" w:type="dxa"/>
              <w:bottom w:w="0" w:type="dxa"/>
            </w:tcMar>
            <w:tcW w:w="1185"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894"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gridSpan w:val="5"/>
            <w:tcMar>
              <w:left w:w="108" w:type="dxa"/>
              <w:top w:w="0" w:type="dxa"/>
              <w:right w:w="108" w:type="dxa"/>
              <w:bottom w:w="0" w:type="dxa"/>
            </w:tcMar>
            <w:tcW w:w="6215" w:type="dxa"/>
            <w:vAlign w:val="top"/>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ind w:left="420"/>
        <w:spacing w:before="100" w:after="120" w:line="360" w:lineRule="auto"/>
        <w:tabs>
          <w:tab w:val="left" w:pos="442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before="100" w:after="120" w:line="360" w:lineRule="auto"/>
        <w:tabs>
          <w:tab w:val="left" w:pos="442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before="100" w:after="120" w:line="360" w:lineRule="auto"/>
        <w:tabs>
          <w:tab w:val="left" w:pos="442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rPr>
          <w:rFonts w:hint="eastAsia" w:ascii="宋体" w:hAnsi="宋体" w:cs="宋体"/>
          <w:color w:val="auto"/>
          <w:szCs w:val="21"/>
          <w:highlight w:val="none"/>
          <w:u w:val="single"/>
        </w:rPr>
        <w:tab/>
      </w:r>
      <w:r/>
    </w:p>
    <w:p>
      <w:pPr>
        <w:ind w:left="420"/>
        <w:spacing w:before="70" w:after="120" w:line="360" w:lineRule="auto"/>
        <w:tabs>
          <w:tab w:val="left" w:pos="45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u w:val="single"/>
        </w:rPr>
        <w:tab/>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360" w:lineRule="auto"/>
        <w:shd w:val="clear" w:color="ffffff" w:fill="ffffff"/>
        <w:rPr>
          <w:rFonts w:hint="eastAsia" w:ascii="宋体" w:hAnsi="宋体" w:eastAsia="宋体" w:cs="宋体"/>
          <w:b/>
          <w:b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附件九 投标项目主要产品一览表格式</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1325" w:right="1312"/>
        <w:jc w:val="center"/>
        <w:keepLines/>
        <w:keepNext/>
        <w:spacing w:before="280" w:after="290" w:line="360" w:lineRule="auto"/>
        <w:rPr>
          <w:rFonts w:hint="eastAsia" w:ascii="宋体" w:hAnsi="宋体" w:eastAsia="宋体" w:cs="宋体"/>
          <w:b/>
          <w:bCs/>
          <w:color w:val="auto"/>
          <w:szCs w:val="21"/>
          <w:highlight w:val="none"/>
        </w:rPr>
        <w:outlineLvl w:val="4"/>
      </w:pPr>
      <w:r>
        <w:rPr>
          <w:rFonts w:hint="eastAsia" w:ascii="宋体" w:hAnsi="宋体" w:eastAsia="宋体" w:cs="宋体"/>
          <w:b/>
          <w:bCs/>
          <w:color w:val="auto"/>
          <w:szCs w:val="21"/>
          <w:highlight w:val="none"/>
        </w:rPr>
        <w:t xml:space="preserve">投标项目主要产品一览表</w:t>
      </w:r>
      <w:r/>
    </w:p>
    <w:tbl>
      <w:tblPr>
        <w:tblStyle w:val="12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1016"/>
        <w:gridCol w:w="1016"/>
        <w:gridCol w:w="2137"/>
      </w:tblGrid>
      <w:tr>
        <w:trPr>
          <w:trHeight w:val="284"/>
        </w:trPr>
        <w:tc>
          <w:tcPr>
            <w:gridSpan w:val="3"/>
            <w:tcMar>
              <w:left w:w="108" w:type="dxa"/>
              <w:top w:w="0" w:type="dxa"/>
              <w:right w:w="108" w:type="dxa"/>
              <w:bottom w:w="0" w:type="dxa"/>
            </w:tcMar>
            <w:tcW w:w="5185" w:type="dxa"/>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项目名称：</w:t>
            </w:r>
            <w:r/>
          </w:p>
        </w:tc>
        <w:tc>
          <w:tcPr>
            <w:gridSpan w:val="3"/>
            <w:tcMar>
              <w:left w:w="108" w:type="dxa"/>
              <w:top w:w="0" w:type="dxa"/>
              <w:right w:w="108" w:type="dxa"/>
              <w:bottom w:w="0" w:type="dxa"/>
            </w:tcMar>
            <w:tcW w:w="4169" w:type="dxa"/>
            <w:vAlign w:val="center"/>
            <w:textDirection w:val="lrTb"/>
            <w:noWrap w:val="false"/>
          </w:tcPr>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项目编号：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序号</w:t>
            </w:r>
            <w:r/>
          </w:p>
        </w:tc>
        <w:tc>
          <w:tcPr>
            <w:tcMar>
              <w:left w:w="108" w:type="dxa"/>
              <w:top w:w="0" w:type="dxa"/>
              <w:right w:w="108" w:type="dxa"/>
              <w:bottom w:w="0" w:type="dxa"/>
            </w:tcMar>
            <w:tcW w:w="178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名称</w:t>
            </w:r>
            <w:r/>
          </w:p>
        </w:tc>
        <w:tc>
          <w:tcPr>
            <w:tcMar>
              <w:left w:w="108" w:type="dxa"/>
              <w:top w:w="0" w:type="dxa"/>
              <w:right w:w="108" w:type="dxa"/>
              <w:bottom w:w="0" w:type="dxa"/>
            </w:tcMar>
            <w:tcW w:w="27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品牌、规格或型号</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数量</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单价（元）</w:t>
            </w:r>
            <w:r/>
          </w:p>
        </w:tc>
        <w:tc>
          <w:tcPr>
            <w:tcMar>
              <w:left w:w="108" w:type="dxa"/>
              <w:top w:w="0" w:type="dxa"/>
              <w:right w:w="108" w:type="dxa"/>
              <w:bottom w:w="0" w:type="dxa"/>
            </w:tcMar>
            <w:tcW w:w="213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质保年限</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13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13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13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r>
        <w:trPr>
          <w:trHeight w:val="284"/>
        </w:trPr>
        <w:tc>
          <w:tcPr>
            <w:tcMar>
              <w:left w:w="108" w:type="dxa"/>
              <w:top w:w="0" w:type="dxa"/>
              <w:right w:w="108" w:type="dxa"/>
              <w:bottom w:w="0" w:type="dxa"/>
            </w:tcMar>
            <w:tcW w:w="690"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784"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711"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1016"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c>
          <w:tcPr>
            <w:tcMar>
              <w:left w:w="108" w:type="dxa"/>
              <w:top w:w="0" w:type="dxa"/>
              <w:right w:w="108" w:type="dxa"/>
              <w:bottom w:w="0" w:type="dxa"/>
            </w:tcMar>
            <w:tcW w:w="2137" w:type="dxa"/>
            <w:vAlign w:val="center"/>
            <w:textDirection w:val="lrTb"/>
            <w:noWrap w:val="false"/>
          </w:tcPr>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tc>
      </w:tr>
    </w:tbl>
    <w:p>
      <w:pPr>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ind w:left="420"/>
        <w:spacing w:before="100" w:after="120" w:line="360" w:lineRule="auto"/>
        <w:tabs>
          <w:tab w:val="left" w:pos="442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投标单位（盖章）：</w:t>
      </w:r>
      <w:r>
        <w:rPr>
          <w:rFonts w:hint="eastAsia" w:ascii="宋体" w:hAnsi="宋体" w:cs="宋体"/>
          <w:color w:val="auto"/>
          <w:szCs w:val="21"/>
          <w:highlight w:val="none"/>
          <w:u w:val="single"/>
        </w:rPr>
        <w:tab/>
      </w:r>
      <w:r/>
    </w:p>
    <w:p>
      <w:pPr>
        <w:ind w:left="420"/>
        <w:spacing w:before="70" w:after="120" w:line="360" w:lineRule="auto"/>
        <w:tabs>
          <w:tab w:val="left" w:pos="45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rPr>
          <w:rFonts w:hint="eastAsia" w:ascii="宋体" w:hAnsi="宋体" w:cs="宋体"/>
          <w:color w:val="auto"/>
          <w:szCs w:val="21"/>
          <w:highlight w:val="none"/>
          <w:u w:val="single"/>
        </w:rPr>
        <w:tab/>
      </w:r>
      <w:r/>
    </w:p>
    <w:p>
      <w:pPr>
        <w:spacing w:line="360" w:lineRule="auto"/>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rPr>
          <w:rFonts w:hint="eastAsia"/>
          <w:color w:val="auto"/>
          <w:highlight w:val="none"/>
        </w:rPr>
      </w:pPr>
      <w:r>
        <w:rPr>
          <w:rFonts w:hint="eastAsia"/>
          <w:color w:val="auto"/>
          <w:highlight w:val="none"/>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附件十 </w:t>
      </w:r>
      <w:r>
        <w:rPr>
          <w:rFonts w:hint="eastAsia" w:ascii="宋体" w:hAnsi="宋体" w:cs="宋体"/>
          <w:b/>
          <w:bCs/>
          <w:color w:val="auto"/>
          <w:szCs w:val="21"/>
          <w:highlight w:val="none"/>
        </w:rPr>
        <w:t xml:space="preserve">政府采购政策</w:t>
      </w:r>
      <w:bookmarkEnd w:id="157"/>
      <w:r/>
      <w:bookmarkEnd w:id="158"/>
      <w:r/>
      <w:bookmarkEnd w:id="159"/>
      <w:r/>
      <w:bookmarkEnd w:id="162"/>
      <w:r/>
      <w:r/>
    </w:p>
    <w:p>
      <w:pPr>
        <w:jc w:val="center"/>
        <w:spacing w:line="360" w:lineRule="auto"/>
        <w:widowControl/>
        <w:rPr>
          <w:rFonts w:hint="eastAsia" w:ascii="宋体" w:hAnsi="宋体" w:cs="宋体"/>
          <w:b/>
          <w:bCs/>
          <w:color w:val="auto"/>
          <w:szCs w:val="21"/>
          <w:highlight w:val="none"/>
        </w:rPr>
        <w:outlineLvl w:val="2"/>
      </w:pPr>
      <w:r/>
      <w:bookmarkStart w:id="163" w:name="_Toc21802"/>
      <w:r/>
      <w:bookmarkStart w:id="164" w:name="_Toc17125"/>
      <w:r/>
      <w:bookmarkStart w:id="165" w:name="_Toc28798"/>
      <w:r/>
      <w:bookmarkStart w:id="166" w:name="_Toc92"/>
      <w:r/>
      <w:bookmarkStart w:id="167" w:name="_Toc14311"/>
      <w:r/>
      <w:bookmarkStart w:id="168" w:name="_Toc18700"/>
      <w:r/>
      <w:bookmarkStart w:id="169" w:name="_Toc81"/>
      <w:r>
        <w:rPr>
          <w:rFonts w:hint="eastAsia" w:ascii="宋体" w:hAnsi="宋体" w:cs="宋体"/>
          <w:b/>
          <w:bCs/>
          <w:color w:val="auto"/>
          <w:szCs w:val="21"/>
          <w:highlight w:val="none"/>
        </w:rPr>
        <w:t xml:space="preserve">（一）《中小企业声明函》</w:t>
      </w:r>
      <w:bookmarkEnd w:id="163"/>
      <w:r/>
      <w:bookmarkEnd w:id="164"/>
      <w:r/>
      <w:bookmarkEnd w:id="165"/>
      <w:r>
        <w:rPr>
          <w:rFonts w:hint="eastAsia" w:ascii="宋体" w:hAnsi="宋体" w:cs="宋体"/>
          <w:b/>
          <w:bCs/>
          <w:color w:val="auto"/>
          <w:szCs w:val="21"/>
          <w:highlight w:val="none"/>
        </w:rPr>
        <w:br/>
      </w:r>
      <w:r>
        <w:rPr>
          <w:rFonts w:hint="eastAsia" w:ascii="宋体" w:hAnsi="宋体" w:cs="宋体"/>
          <w:b/>
          <w:bCs/>
          <w:color w:val="auto"/>
          <w:szCs w:val="21"/>
          <w:highlight w:val="none"/>
        </w:rPr>
        <w:br/>
      </w:r>
      <w:bookmarkEnd w:id="166"/>
      <w:r/>
      <w:bookmarkEnd w:id="167"/>
      <w:r/>
      <w:bookmarkEnd w:id="168"/>
      <w:r/>
      <w:bookmarkEnd w:id="169"/>
      <w:r/>
      <w:r/>
    </w:p>
    <w:p>
      <w:pPr>
        <w:jc w:val="center"/>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【不属于小微企业的无需填写、递交】</w:t>
      </w:r>
      <w:r>
        <w:rPr>
          <w:rFonts w:hint="eastAsia" w:ascii="宋体" w:hAnsi="宋体" w:cs="宋体"/>
          <w:b/>
          <w:color w:val="auto"/>
          <w:szCs w:val="21"/>
          <w:highlight w:val="none"/>
        </w:rPr>
        <w:b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 （联合体）参加</w:t>
      </w:r>
      <w:r>
        <w:rPr>
          <w:rFonts w:hint="eastAsia" w:ascii="宋体" w:hAnsi="宋体" w:cs="宋体"/>
          <w:i/>
          <w:iCs/>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i/>
          <w:iCs/>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 （含联合体中的中小企业、签订分包意向协议的中小企业）的具体情况如下： </w:t>
      </w:r>
      <w:r/>
    </w:p>
    <w:p>
      <w:pPr>
        <w:numPr>
          <w:ilvl w:val="0"/>
          <w:numId w:val="5"/>
        </w:numPr>
        <w:ind w:firstLine="420"/>
        <w:spacing w:line="360" w:lineRule="auto"/>
        <w:rPr>
          <w:rFonts w:hint="eastAsia" w:ascii="宋体" w:hAnsi="宋体" w:cs="宋体"/>
          <w:color w:val="auto"/>
          <w:szCs w:val="21"/>
          <w:highlight w:val="none"/>
        </w:rPr>
      </w:pPr>
      <w:r>
        <w:rPr>
          <w:rFonts w:hint="eastAsia" w:ascii="宋体" w:hAnsi="宋体" w:cs="宋体"/>
          <w:i/>
          <w:iCs/>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i/>
          <w:iCs/>
          <w:color w:val="auto"/>
          <w:szCs w:val="21"/>
          <w:highlight w:val="none"/>
          <w:u w:val="single"/>
        </w:rPr>
        <w:t xml:space="preserve">（采购文件中明确的所属行业）</w:t>
      </w:r>
      <w:r>
        <w:rPr>
          <w:rFonts w:hint="eastAsia" w:ascii="宋体" w:hAnsi="宋体" w:cs="宋体"/>
          <w:color w:val="auto"/>
          <w:szCs w:val="21"/>
          <w:highlight w:val="none"/>
        </w:rPr>
        <w:t xml:space="preserve"> </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行业；制造商为</w:t>
      </w:r>
      <w:r>
        <w:rPr>
          <w:rFonts w:hint="eastAsia" w:ascii="宋体" w:hAnsi="宋体" w:cs="宋体"/>
          <w:i/>
          <w:iCs/>
          <w:color w:val="auto"/>
          <w:szCs w:val="21"/>
          <w:highlight w:val="none"/>
          <w:u w:val="single"/>
        </w:rPr>
        <w:t xml:space="preserve">（企业名称）</w:t>
      </w:r>
      <w:r>
        <w:rPr>
          <w:rFonts w:hint="eastAsia" w:ascii="宋体" w:hAnsi="宋体" w:cs="宋体"/>
          <w:color w:val="auto"/>
          <w:szCs w:val="21"/>
          <w:highlight w:val="none"/>
        </w:rPr>
        <w:t xml:space="preserve">，从业人员人，营业收入为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2</w:t>
      </w:r>
      <w:r>
        <w:rPr>
          <w:rFonts w:hint="eastAsia" w:ascii="宋体" w:hAnsi="宋体" w:cs="宋体"/>
          <w:color w:val="auto"/>
          <w:szCs w:val="21"/>
          <w:highlight w:val="none"/>
        </w:rPr>
        <w:t xml:space="preserve">，属于</w:t>
      </w:r>
      <w:r>
        <w:rPr>
          <w:rFonts w:hint="eastAsia" w:ascii="宋体" w:hAnsi="宋体" w:cs="宋体"/>
          <w:i/>
          <w:iCs/>
          <w:color w:val="auto"/>
          <w:szCs w:val="21"/>
          <w:highlight w:val="none"/>
          <w:u w:val="single"/>
        </w:rPr>
        <w:t xml:space="preserve">（中型企业、小型企业、微型企业）</w:t>
      </w:r>
      <w:r>
        <w:rPr>
          <w:rFonts w:hint="eastAsia" w:ascii="宋体" w:hAnsi="宋体" w:cs="宋体"/>
          <w:color w:val="auto"/>
          <w:szCs w:val="21"/>
          <w:highlight w:val="none"/>
        </w:rPr>
        <w:t xml:space="preserve">； </w:t>
      </w:r>
      <w:r/>
    </w:p>
    <w:p>
      <w:pPr>
        <w:numPr>
          <w:ilvl w:val="0"/>
          <w:numId w:val="5"/>
        </w:numPr>
        <w:ind w:firstLine="420"/>
        <w:spacing w:line="360" w:lineRule="auto"/>
        <w:rPr>
          <w:rFonts w:hint="eastAsia" w:ascii="宋体" w:hAnsi="宋体" w:cs="宋体"/>
          <w:b/>
          <w:bCs/>
          <w:color w:val="auto"/>
          <w:szCs w:val="21"/>
          <w:highlight w:val="none"/>
        </w:rPr>
      </w:pPr>
      <w:r>
        <w:rPr>
          <w:rFonts w:hint="eastAsia" w:ascii="宋体" w:hAnsi="宋体" w:cs="宋体"/>
          <w:i/>
          <w:iCs/>
          <w:color w:val="auto"/>
          <w:szCs w:val="21"/>
          <w:highlight w:val="none"/>
          <w:u w:val="single"/>
        </w:rPr>
        <w:t xml:space="preserve">（标的名称）</w:t>
      </w:r>
      <w:r>
        <w:rPr>
          <w:rFonts w:hint="eastAsia" w:ascii="宋体" w:hAnsi="宋体" w:cs="宋体"/>
          <w:color w:val="auto"/>
          <w:szCs w:val="21"/>
          <w:highlight w:val="none"/>
        </w:rPr>
        <w:t xml:space="preserve"> ，属于</w:t>
      </w:r>
      <w:r>
        <w:rPr>
          <w:rFonts w:hint="eastAsia" w:ascii="宋体" w:hAnsi="宋体" w:cs="宋体"/>
          <w:i/>
          <w:iCs/>
          <w:color w:val="auto"/>
          <w:szCs w:val="21"/>
          <w:highlight w:val="none"/>
          <w:u w:val="single"/>
        </w:rPr>
        <w:t xml:space="preserve">（采购文件中明确的所属行业）</w:t>
      </w:r>
      <w:r>
        <w:rPr>
          <w:rFonts w:hint="eastAsia" w:ascii="宋体" w:hAnsi="宋体" w:cs="宋体"/>
          <w:color w:val="auto"/>
          <w:szCs w:val="21"/>
          <w:highlight w:val="none"/>
        </w:rPr>
        <w:t xml:space="preserve"> 行业；制造商为</w:t>
      </w:r>
      <w:r>
        <w:rPr>
          <w:rFonts w:hint="eastAsia" w:ascii="宋体" w:hAnsi="宋体" w:cs="宋体"/>
          <w:i/>
          <w:iCs/>
          <w:color w:val="auto"/>
          <w:szCs w:val="21"/>
          <w:highlight w:val="none"/>
          <w:u w:val="single"/>
        </w:rPr>
        <w:t xml:space="preserve">（企业名称）</w:t>
      </w:r>
      <w:r>
        <w:rPr>
          <w:rFonts w:hint="eastAsia" w:ascii="宋体" w:hAnsi="宋体" w:cs="宋体"/>
          <w:color w:val="auto"/>
          <w:szCs w:val="21"/>
          <w:highlight w:val="none"/>
        </w:rPr>
        <w:t xml:space="preserve">，从业人员人，营业收入为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i/>
          <w:iCs/>
          <w:color w:val="auto"/>
          <w:szCs w:val="21"/>
          <w:highlight w:val="none"/>
          <w:u w:val="single"/>
        </w:rPr>
        <w:t xml:space="preserve">（中型企业、小 型企业、微型企业）</w:t>
      </w:r>
      <w:r>
        <w:rPr>
          <w:rFonts w:hint="eastAsia" w:ascii="宋体" w:hAnsi="宋体" w:cs="宋体"/>
          <w:color w:val="auto"/>
          <w:szCs w:val="21"/>
          <w:highlight w:val="none"/>
        </w:rPr>
        <w:t xml:space="preserve">；</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 </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人为同一人的情形。 </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 </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firstLine="609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left="420" w:firstLine="609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80"/>
        <w:rPr>
          <w:rFonts w:hint="eastAsia" w:ascii="宋体" w:hAnsi="宋体" w:cs="宋体"/>
          <w:color w:val="auto"/>
          <w:sz w:val="28"/>
          <w:highlight w:val="none"/>
        </w:rPr>
      </w:pPr>
      <w:r>
        <w:rPr>
          <w:rFonts w:hint="eastAsia" w:ascii="宋体" w:hAnsi="宋体" w:cs="宋体"/>
          <w:color w:val="auto"/>
          <w:sz w:val="28"/>
          <w:highlight w:val="none"/>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vertAlign w:val="superscript"/>
        </w:rPr>
        <w:t xml:space="preserve">1</w:t>
      </w:r>
      <w:r>
        <w:rPr>
          <w:rFonts w:hint="eastAsia" w:ascii="宋体" w:hAnsi="宋体" w:cs="宋体"/>
          <w:b/>
          <w:bCs/>
          <w:color w:val="auto"/>
          <w:szCs w:val="21"/>
          <w:highlight w:val="none"/>
        </w:rPr>
        <w:t xml:space="preserve">采购文件中明确的所属行业详见第一章项目基本情况。</w:t>
      </w:r>
      <w:r/>
    </w:p>
    <w:p>
      <w:pPr>
        <w:ind w:firstLine="84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vertAlign w:val="superscript"/>
        </w:rPr>
        <w:t xml:space="preserve">2</w:t>
      </w:r>
      <w:r>
        <w:rPr>
          <w:rFonts w:hint="eastAsia" w:ascii="宋体" w:hAnsi="宋体" w:cs="宋体"/>
          <w:b/>
          <w:bCs/>
          <w:color w:val="auto"/>
          <w:szCs w:val="21"/>
          <w:highlight w:val="none"/>
        </w:rPr>
        <w:t xml:space="preserve">从业人员、营业收入、资产总额填报上一年度数据，无上一年度数据的新成立企业可不填报。</w:t>
      </w:r>
      <w:r/>
    </w:p>
    <w:p>
      <w:pPr>
        <w:ind w:firstLine="84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vertAlign w:val="superscript"/>
        </w:rPr>
        <w:t xml:space="preserve">3</w:t>
      </w:r>
      <w:r>
        <w:rPr>
          <w:rFonts w:hint="eastAsia" w:ascii="宋体" w:hAnsi="宋体" w:cs="宋体"/>
          <w:b/>
          <w:bCs/>
          <w:color w:val="auto"/>
          <w:szCs w:val="21"/>
          <w:highlight w:val="none"/>
        </w:rPr>
        <w:t xml:space="preserve">供应商未严格按上述要求提供完整声明函的，价格将不做相应扣除。</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中小企业划型标准规定工信部联企业〔2011〕300号</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一、根据《中华人民共和国中小企业促进法》和《国务院关于进一步促进中小企业发展的若干意见》（国发〔2009〕36号)，制定本规定。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二、中小企业划分为中型、小型、微型三种类型，具体标准根据企业从业人员、营业收入、资产总额等指标，结合行业特点制定。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四、各行业划型标准为：</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（一）农、林、牧、渔业。营业收入20000万元以下的为中小微型企业。其中，营业收入500万元及以上的为中型企业，营业收入50万元及以上的为小型企业，营业收入50万元以下的为微型企业。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right="633"/>
        <w:spacing w:line="360" w:lineRule="auto"/>
        <w:shd w:val="clear" w:color="auto" w:fill="ffff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（十六）其他未列明行业。从业人员300人以下的为中小微型企业。其中，从业人员100人及以上的为中型企业；从业人员10人及以上的为小型企业；从业人员10人以下的为微型企业。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color w:val="auto"/>
          <w:szCs w:val="21"/>
          <w:highlight w:val="none"/>
        </w:rPr>
        <w:sectPr>
          <w:footerReference w:type="first" r:id="rId16"/>
          <w:footnotePr/>
          <w:endnotePr/>
          <w:type w:val="nextPage"/>
          <w:pgSz w:w="11906" w:h="16838" w:orient="portrait"/>
          <w:pgMar w:top="1134" w:right="1134" w:bottom="1083" w:left="1134" w:header="851" w:footer="992" w:gutter="0"/>
          <w:cols w:num="1" w:sep="0" w:space="720" w:equalWidth="1"/>
          <w:docGrid w:linePitch="360"/>
        </w:sectPr>
        <w:outlineLvl w:val="2"/>
      </w:pPr>
      <w:r>
        <w:rPr>
          <w:rFonts w:hint="eastAsia" w:ascii="宋体" w:hAnsi="宋体" w:cs="宋体"/>
          <w:b/>
          <w:bCs/>
          <w:color w:val="auto"/>
          <w:szCs w:val="21"/>
          <w:highlight w:val="none"/>
        </w:rPr>
      </w:r>
      <w:r/>
    </w:p>
    <w:p>
      <w:pPr>
        <w:rPr>
          <w:rFonts w:hint="eastAsia"/>
          <w:color w:val="auto"/>
          <w:highlight w:val="none"/>
        </w:rPr>
      </w:pPr>
      <w:r/>
      <w:bookmarkStart w:id="170" w:name="_Toc17686"/>
      <w:r/>
      <w:bookmarkStart w:id="171" w:name="_Toc17455"/>
      <w:r/>
      <w:bookmarkStart w:id="172" w:name="_Toc13680"/>
      <w:r/>
      <w:bookmarkStart w:id="173" w:name="_Toc113527853"/>
      <w:r/>
      <w:r/>
    </w:p>
    <w:p>
      <w:pPr>
        <w:jc w:val="center"/>
        <w:spacing w:line="360" w:lineRule="auto"/>
        <w:rPr>
          <w:rFonts w:hint="eastAsia" w:ascii="宋体" w:hAnsi="宋体" w:cs="宋体"/>
          <w:b/>
          <w:bCs/>
          <w:color w:val="auto"/>
          <w:szCs w:val="21"/>
          <w:highlight w:val="none"/>
        </w:rPr>
        <w:outlineLvl w:val="2"/>
      </w:pPr>
      <w:r/>
      <w:bookmarkStart w:id="174" w:name="_Toc15958"/>
      <w:r/>
      <w:bookmarkStart w:id="175" w:name="_Toc24750"/>
      <w:r>
        <w:rPr>
          <w:rFonts w:hint="eastAsia" w:ascii="宋体" w:hAnsi="宋体" w:cs="宋体"/>
          <w:b/>
          <w:bCs/>
          <w:color w:val="auto"/>
          <w:szCs w:val="21"/>
          <w:highlight w:val="none"/>
        </w:rPr>
        <w:t xml:space="preserve">（二）残疾人福利性单位声明函</w:t>
      </w:r>
      <w:bookmarkEnd w:id="170"/>
      <w:r/>
      <w:bookmarkEnd w:id="171"/>
      <w:r/>
      <w:bookmarkEnd w:id="172"/>
      <w:r/>
      <w:bookmarkEnd w:id="173"/>
      <w:r/>
      <w:bookmarkEnd w:id="174"/>
      <w:r/>
      <w:bookmarkEnd w:id="175"/>
      <w:r/>
      <w:r/>
    </w:p>
    <w:p>
      <w:pPr>
        <w:ind w:right="178" w:firstLine="444"/>
        <w:jc w:val="lef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right="1560" w:firstLine="444"/>
        <w:jc w:val="righ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righ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单位名称（盖章）：</w:t>
      </w:r>
      <w:r/>
    </w:p>
    <w:p>
      <w:pPr>
        <w:ind w:right="1560" w:firstLine="444"/>
        <w:jc w:val="right"/>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日 期：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lang w:val="zh-CN"/>
        </w:rPr>
      </w:pPr>
      <w:r>
        <w:rPr>
          <w:rFonts w:hint="eastAsia"/>
          <w:color w:val="auto"/>
          <w:highlight w:val="none"/>
          <w:lang w:val="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ind w:left="420" w:firstLine="420"/>
        <w:spacing w:after="120"/>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Cs w:val="21"/>
          <w:highlight w:val="none"/>
        </w:rPr>
        <w:outlineLvl w:val="2"/>
      </w:pPr>
      <w:r/>
      <w:bookmarkStart w:id="176" w:name="_Toc113527854"/>
      <w:r/>
      <w:bookmarkStart w:id="177" w:name="_Toc7879"/>
      <w:r/>
      <w:bookmarkStart w:id="178" w:name="_Toc21509"/>
      <w:r>
        <w:rPr>
          <w:rFonts w:hint="eastAsia" w:ascii="宋体" w:hAnsi="宋体" w:cs="宋体"/>
          <w:b/>
          <w:bCs/>
          <w:color w:val="auto"/>
          <w:szCs w:val="21"/>
          <w:highlight w:val="none"/>
        </w:rPr>
        <w:t xml:space="preserve">（三）属于监狱企业的证明文件</w:t>
      </w:r>
      <w:bookmarkEnd w:id="176"/>
      <w:r/>
      <w:bookmarkEnd w:id="177"/>
      <w:r/>
      <w:bookmarkEnd w:id="178"/>
      <w:r/>
      <w:r/>
    </w:p>
    <w:p>
      <w:pPr>
        <w:ind w:left="420" w:right="597"/>
        <w:jc w:val="left"/>
        <w:spacing w:before="232" w:after="120"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（提供由省级以上监狱管理局、戒毒管理局(含新疆生产建设兵团)出具的属于监狱企业的证明文件</w:t>
      </w:r>
      <w:r/>
    </w:p>
    <w:p>
      <w:pPr>
        <w:ind w:left="420" w:right="597"/>
        <w:jc w:val="center"/>
        <w:spacing w:before="232" w:after="120"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left="420" w:right="597"/>
        <w:jc w:val="center"/>
        <w:spacing w:before="232" w:after="120"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jc w:val="center"/>
        <w:spacing w:line="360" w:lineRule="auto"/>
        <w:rPr>
          <w:rFonts w:hint="eastAsia" w:ascii="宋体" w:hAnsi="宋体" w:cs="宋体"/>
          <w:b/>
          <w:bCs/>
          <w:color w:val="auto"/>
          <w:szCs w:val="21"/>
          <w:highlight w:val="none"/>
        </w:rPr>
        <w:outlineLvl w:val="2"/>
      </w:pPr>
      <w:r/>
      <w:bookmarkStart w:id="179" w:name="_Toc6765"/>
      <w:r/>
      <w:bookmarkStart w:id="180" w:name="_Toc113527855"/>
      <w:r/>
      <w:bookmarkStart w:id="181" w:name="_Toc13737"/>
      <w:r>
        <w:rPr>
          <w:rFonts w:hint="eastAsia" w:ascii="宋体" w:hAnsi="宋体" w:cs="宋体"/>
          <w:b/>
          <w:bCs/>
          <w:color w:val="auto"/>
          <w:szCs w:val="21"/>
          <w:highlight w:val="none"/>
        </w:rPr>
        <w:t xml:space="preserve">（四）节能产品认证证书</w:t>
      </w:r>
      <w:bookmarkEnd w:id="179"/>
      <w:r/>
      <w:bookmarkEnd w:id="180"/>
      <w:r/>
      <w:bookmarkEnd w:id="181"/>
      <w:r/>
      <w:r/>
    </w:p>
    <w:p>
      <w:pPr>
        <w:ind w:left="420"/>
        <w:jc w:val="center"/>
        <w:spacing w:before="229"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（提供国家确定的认证机构出具的、处于有效期之内的产品认证证书）</w:t>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before="12"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outlineLvl w:val="2"/>
      </w:pPr>
      <w:r/>
      <w:bookmarkStart w:id="182" w:name="_Toc29011"/>
      <w:r/>
      <w:bookmarkStart w:id="183" w:name="_Toc113527856"/>
      <w:r/>
      <w:bookmarkStart w:id="184" w:name="_Toc27037"/>
      <w:r>
        <w:rPr>
          <w:rFonts w:hint="eastAsia" w:ascii="宋体" w:hAnsi="宋体" w:cs="宋体"/>
          <w:b/>
          <w:bCs/>
          <w:color w:val="auto"/>
          <w:szCs w:val="21"/>
          <w:highlight w:val="none"/>
        </w:rPr>
        <w:t xml:space="preserve">（五）环境标志产品认证证书</w:t>
      </w:r>
      <w:bookmarkEnd w:id="182"/>
      <w:r/>
      <w:bookmarkEnd w:id="183"/>
      <w:r/>
      <w:bookmarkEnd w:id="184"/>
      <w:r/>
      <w:r/>
    </w:p>
    <w:p>
      <w:pPr>
        <w:ind w:left="420"/>
        <w:jc w:val="center"/>
        <w:spacing w:before="23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（提供国家确定的认证机构出具的、处于有效期之内的产品认证证书）</w:t>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center"/>
        <w:spacing w:before="12"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Cs w:val="21"/>
          <w:highlight w:val="none"/>
        </w:rPr>
        <w:outlineLvl w:val="2"/>
      </w:pPr>
      <w:r/>
      <w:bookmarkStart w:id="185" w:name="_Toc662"/>
      <w:r/>
      <w:bookmarkStart w:id="186" w:name="_Toc18884"/>
      <w:r/>
      <w:bookmarkStart w:id="187" w:name="_Toc113527857"/>
      <w:r>
        <w:rPr>
          <w:rFonts w:hint="eastAsia" w:ascii="宋体" w:hAnsi="宋体" w:cs="宋体"/>
          <w:b/>
          <w:bCs/>
          <w:color w:val="auto"/>
          <w:szCs w:val="21"/>
          <w:highlight w:val="none"/>
        </w:rPr>
        <w:t xml:space="preserve">（六）进口产品转让技术、消化吸收再创新方案</w:t>
      </w:r>
      <w:bookmarkEnd w:id="185"/>
      <w:r/>
      <w:bookmarkEnd w:id="186"/>
      <w:r/>
      <w:bookmarkEnd w:id="187"/>
      <w:r/>
      <w:r/>
    </w:p>
    <w:p>
      <w:pPr>
        <w:jc w:val="center"/>
        <w:spacing w:before="23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（对于允许进口产品参加的项目</w:t>
      </w:r>
      <w:r/>
    </w:p>
    <w:p>
      <w:pPr>
        <w:jc w:val="both"/>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lang w:eastAsia="zh-CN"/>
        </w:rPr>
        <w:t xml:space="preserve">）</w:t>
      </w:r>
      <w:r>
        <w:rPr>
          <w:rFonts w:hint="eastAsia" w:ascii="宋体" w:hAnsi="宋体" w:eastAsia="宋体" w:cs="宋体"/>
          <w:b/>
          <w:bCs/>
          <w:color w:val="auto"/>
          <w:szCs w:val="21"/>
          <w:highlight w:val="none"/>
        </w:rPr>
        <w:t xml:space="preserve">采购本国产品的支持政策（如符合需提供）</w:t>
      </w:r>
      <w:r/>
    </w:p>
    <w:p>
      <w:pPr>
        <w:jc w:val="both"/>
        <w:spacing w:line="360" w:lineRule="auto"/>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r>
      <w:r/>
    </w:p>
    <w:p>
      <w:pPr>
        <w:jc w:val="center"/>
        <w:keepLines/>
        <w:keepNext/>
        <w:spacing w:line="360" w:lineRule="auto"/>
        <w:rPr>
          <w:rFonts w:eastAsia="仿宋"/>
          <w:b/>
          <w:color w:val="auto"/>
          <w:sz w:val="24"/>
          <w:highlight w:val="none"/>
        </w:rPr>
        <w:outlineLvl w:val="2"/>
      </w:pPr>
      <w:r/>
      <w:bookmarkStart w:id="188" w:name="_Toc21845"/>
      <w:r/>
      <w:bookmarkStart w:id="189" w:name="_Toc29304"/>
      <w:r/>
      <w:bookmarkStart w:id="190" w:name="_Toc24924"/>
      <w:r>
        <w:rPr>
          <w:rFonts w:eastAsia="仿宋"/>
          <w:b/>
          <w:color w:val="auto"/>
          <w:sz w:val="24"/>
          <w:highlight w:val="none"/>
        </w:rPr>
        <w:t xml:space="preserve">关于符合本国产品标准的声明函</w:t>
      </w:r>
      <w:bookmarkEnd w:id="188"/>
      <w:r/>
      <w:bookmarkEnd w:id="189"/>
      <w:r/>
      <w:bookmarkEnd w:id="190"/>
      <w:r/>
      <w:r/>
    </w:p>
    <w:p>
      <w:pPr>
        <w:pStyle w:val="1475"/>
        <w:ind w:firstLine="42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75"/>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3241040</wp:posOffset>
                </wp:positionH>
                <wp:positionV relativeFrom="paragraph">
                  <wp:posOffset>333375</wp:posOffset>
                </wp:positionV>
                <wp:extent cx="739140" cy="134620"/>
                <wp:effectExtent l="4445" t="4445" r="18415" b="13335"/>
                <wp:wrapNone/>
                <wp:docPr id="17" name="任意多边形 11"/>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2398395</wp:posOffset>
                </wp:positionH>
                <wp:positionV relativeFrom="paragraph">
                  <wp:posOffset>311150</wp:posOffset>
                </wp:positionV>
                <wp:extent cx="364490" cy="97790"/>
                <wp:effectExtent l="4445" t="4445" r="12065" b="12065"/>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1353820</wp:posOffset>
                </wp:positionH>
                <wp:positionV relativeFrom="paragraph">
                  <wp:posOffset>292735</wp:posOffset>
                </wp:positionV>
                <wp:extent cx="565785" cy="130810"/>
                <wp:effectExtent l="4445" t="4445" r="20320" b="17145"/>
                <wp:wrapNone/>
                <wp:docPr id="19"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0288;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300990</wp:posOffset>
                </wp:positionH>
                <wp:positionV relativeFrom="paragraph">
                  <wp:posOffset>589280</wp:posOffset>
                </wp:positionV>
                <wp:extent cx="771525" cy="97155"/>
                <wp:effectExtent l="4445" t="4445" r="5080" b="12700"/>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0288;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5211445</wp:posOffset>
                </wp:positionH>
                <wp:positionV relativeFrom="paragraph">
                  <wp:posOffset>336550</wp:posOffset>
                </wp:positionV>
                <wp:extent cx="603250" cy="101600"/>
                <wp:effectExtent l="4445" t="4445" r="20955" b="8255"/>
                <wp:wrapNone/>
                <wp:docPr id="21" name="任意多边形 21"/>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0288;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4340225</wp:posOffset>
                </wp:positionH>
                <wp:positionV relativeFrom="paragraph">
                  <wp:posOffset>68580</wp:posOffset>
                </wp:positionV>
                <wp:extent cx="577215" cy="92075"/>
                <wp:effectExtent l="4445" t="4445" r="8890" b="17780"/>
                <wp:wrapNone/>
                <wp:docPr id="22" name="任意多边形 22"/>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0288;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1.</w:t>
      </w:r>
      <w:r>
        <w:rPr>
          <w:rStyle w:val="1476"/>
          <w:rFonts w:hint="eastAsia" w:ascii="宋体" w:hAnsi="宋体" w:eastAsia="宋体" w:cs="宋体"/>
          <w:i w:val="0"/>
          <w:color w:val="auto"/>
          <w:sz w:val="21"/>
          <w:szCs w:val="21"/>
          <w:highlight w:val="none"/>
          <w:u w:val="single"/>
          <w:shd w:val="clear" w:color="auto" w:fill="ffffff"/>
        </w:rPr>
        <w:t xml:space="preserve">（产品名称1）</w:t>
      </w:r>
      <w:r>
        <w:rPr>
          <w:rStyle w:val="1476"/>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1476"/>
          <w:rFonts w:hint="eastAsia" w:ascii="宋体" w:hAnsi="宋体" w:eastAsia="宋体" w:cs="宋体"/>
          <w:i w:val="0"/>
          <w:color w:val="auto"/>
          <w:sz w:val="21"/>
          <w:szCs w:val="21"/>
          <w:highlight w:val="none"/>
          <w:u w:val="single"/>
          <w:shd w:val="clear" w:color="auto" w:fill="ffffff"/>
        </w:rPr>
        <w:t xml:space="preserve">（厂名）</w:t>
      </w:r>
      <w:r>
        <w:rPr>
          <w:rStyle w:val="1476"/>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1476"/>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1476"/>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1476"/>
          <w:rFonts w:hint="eastAsia" w:ascii="宋体" w:hAnsi="宋体" w:eastAsia="宋体" w:cs="宋体"/>
          <w:i w:val="0"/>
          <w:color w:val="auto"/>
          <w:sz w:val="21"/>
          <w:szCs w:val="21"/>
          <w:highlight w:val="none"/>
          <w:u w:val="single"/>
          <w:shd w:val="clear" w:color="auto" w:fill="ffffff"/>
        </w:rPr>
        <w:t xml:space="preserve">（规定比例）</w:t>
      </w:r>
      <w:r>
        <w:rPr>
          <w:rStyle w:val="1476"/>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1476"/>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1476"/>
          <w:rFonts w:hint="eastAsia" w:ascii="宋体" w:hAnsi="宋体" w:eastAsia="宋体" w:cs="宋体"/>
          <w:i w:val="0"/>
          <w:color w:val="auto"/>
          <w:sz w:val="21"/>
          <w:szCs w:val="21"/>
          <w:highlight w:val="none"/>
          <w:u w:val="single"/>
          <w:shd w:val="clear" w:color="auto" w:fill="ffffff"/>
        </w:rPr>
        <w:t xml:space="preserve">（关键组件）</w:t>
      </w:r>
      <w:r>
        <w:rPr>
          <w:rStyle w:val="1476"/>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1476"/>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1476"/>
          <w:rFonts w:hint="eastAsia" w:ascii="宋体" w:hAnsi="宋体" w:eastAsia="宋体" w:cs="宋体"/>
          <w:i w:val="0"/>
          <w:color w:val="auto"/>
          <w:sz w:val="21"/>
          <w:szCs w:val="21"/>
          <w:highlight w:val="none"/>
          <w:u w:val="single"/>
          <w:shd w:val="clear" w:color="auto" w:fill="ffffff"/>
        </w:rPr>
        <w:t xml:space="preserve">（关键工序）</w:t>
      </w:r>
      <w:r>
        <w:rPr>
          <w:rStyle w:val="1476"/>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1475"/>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107950</wp:posOffset>
                </wp:positionH>
                <wp:positionV relativeFrom="paragraph">
                  <wp:posOffset>542290</wp:posOffset>
                </wp:positionV>
                <wp:extent cx="587375" cy="113665"/>
                <wp:effectExtent l="4445" t="4445" r="17780" b="15240"/>
                <wp:wrapNone/>
                <wp:docPr id="23" name="任意多边形 23"/>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9264;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5020310</wp:posOffset>
                </wp:positionH>
                <wp:positionV relativeFrom="paragraph">
                  <wp:posOffset>288290</wp:posOffset>
                </wp:positionV>
                <wp:extent cx="424815" cy="112395"/>
                <wp:effectExtent l="4445" t="5080" r="8890" b="15875"/>
                <wp:wrapNone/>
                <wp:docPr id="24" name="任意多边形 2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60288;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3021965</wp:posOffset>
                </wp:positionH>
                <wp:positionV relativeFrom="paragraph">
                  <wp:posOffset>302260</wp:posOffset>
                </wp:positionV>
                <wp:extent cx="506095" cy="85090"/>
                <wp:effectExtent l="4445" t="4445" r="22860" b="5715"/>
                <wp:wrapNone/>
                <wp:docPr id="25" name="任意多边形 25"/>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60288;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2006600</wp:posOffset>
                </wp:positionH>
                <wp:positionV relativeFrom="paragraph">
                  <wp:posOffset>284480</wp:posOffset>
                </wp:positionV>
                <wp:extent cx="488950" cy="96520"/>
                <wp:effectExtent l="4445" t="4445" r="20955" b="13335"/>
                <wp:wrapNone/>
                <wp:docPr id="26" name="任意多边形 26"/>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0288;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1040765</wp:posOffset>
                </wp:positionH>
                <wp:positionV relativeFrom="paragraph">
                  <wp:posOffset>278130</wp:posOffset>
                </wp:positionV>
                <wp:extent cx="678180" cy="105410"/>
                <wp:effectExtent l="4445" t="4445" r="22225" b="23495"/>
                <wp:wrapNone/>
                <wp:docPr id="27" name="任意多边形 27"/>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60288;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4203700</wp:posOffset>
                </wp:positionH>
                <wp:positionV relativeFrom="paragraph">
                  <wp:posOffset>64770</wp:posOffset>
                </wp:positionV>
                <wp:extent cx="718185" cy="97790"/>
                <wp:effectExtent l="4445" t="4445" r="20320" b="12065"/>
                <wp:wrapNone/>
                <wp:docPr id="28" name="任意多边形 2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60288;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 w:val="21"/>
          <w:szCs w:val="21"/>
          <w:highlight w:val="none"/>
          <w:shd w:val="clear" w:color="auto" w:fill="ffffff"/>
        </w:rPr>
        <w:t xml:space="preserve">2.</w:t>
      </w:r>
      <w:r>
        <w:rPr>
          <w:rStyle w:val="1476"/>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1476"/>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1476"/>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1476"/>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1476"/>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1476"/>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1476"/>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1476"/>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1476"/>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1475"/>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1475"/>
        <w:ind w:firstLine="420"/>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147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75"/>
        <w:ind w:right="480" w:firstLine="451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公司（单位）名称（加盖电子公章）：　        </w:t>
      </w:r>
      <w:r/>
    </w:p>
    <w:p>
      <w:pPr>
        <w:pStyle w:val="1475"/>
        <w:jc w:val="center"/>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147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147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147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147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1475"/>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1475"/>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1475"/>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1475"/>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7.供应商提供虚假《声明函》、虚假证明文件谋取中标、成交的，依照《中华人民共和国政府采购法》等法律法规规定追究相应责任。</w:t>
      </w:r>
      <w:r/>
    </w:p>
    <w:p>
      <w:pPr>
        <w:jc w:val="center"/>
        <w:spacing w:before="230" w:after="120"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shd w:val="clear" w:color="auto" w:fill="ffffff"/>
        </w:rPr>
        <w:t xml:space="preserve">8.中标供应商提供的《声明函》或有关证明文件将随中标结果同时公告。</w:t>
      </w:r>
      <w:r/>
    </w:p>
    <w:p>
      <w:pPr>
        <w:ind w:left="420" w:right="597"/>
        <w:spacing w:before="232" w:line="360" w:lineRule="auto"/>
        <w:rPr>
          <w:rFonts w:hint="eastAsia" w:ascii="宋体" w:hAnsi="宋体" w:cs="宋体"/>
          <w:color w:val="auto"/>
          <w:spacing w:val="6"/>
          <w:szCs w:val="21"/>
          <w:highlight w:val="none"/>
        </w:rPr>
        <w:sectPr>
          <w:footerReference w:type="default" r:id="rId17"/>
          <w:footnotePr/>
          <w:endnotePr/>
          <w:type w:val="nextPage"/>
          <w:pgSz w:w="11906" w:h="16838" w:orient="portrait"/>
          <w:pgMar w:top="1134" w:right="1134" w:bottom="1083" w:left="1134" w:header="850" w:footer="992" w:gutter="0"/>
          <w:cols w:num="1" w:sep="0" w:space="720" w:equalWidth="1"/>
          <w:docGrid w:linePitch="360"/>
        </w:sectPr>
      </w:pPr>
      <w:r>
        <w:rPr>
          <w:rFonts w:hint="eastAsia" w:ascii="宋体" w:hAnsi="宋体" w:cs="宋体"/>
          <w:color w:val="auto"/>
          <w:spacing w:val="6"/>
          <w:szCs w:val="21"/>
          <w:highlight w:val="none"/>
        </w:rPr>
      </w:r>
      <w:r/>
    </w:p>
    <w:p>
      <w:pPr>
        <w:spacing w:line="360" w:lineRule="auto"/>
        <w:rPr>
          <w:rFonts w:hint="eastAsia" w:ascii="宋体" w:hAnsi="宋体" w:cs="宋体"/>
          <w:b/>
          <w:color w:val="auto"/>
          <w:szCs w:val="21"/>
          <w:highlight w:val="none"/>
        </w:rPr>
        <w:outlineLvl w:val="1"/>
      </w:pPr>
      <w:r/>
      <w:bookmarkStart w:id="191" w:name="_Toc14428"/>
      <w:r/>
      <w:bookmarkStart w:id="192" w:name="_Toc27256"/>
      <w:r/>
      <w:bookmarkStart w:id="193" w:name="_Toc20189"/>
      <w:r/>
      <w:bookmarkStart w:id="194" w:name="_Toc3177"/>
      <w:r/>
      <w:bookmarkStart w:id="195" w:name="_Toc9854"/>
      <w:r/>
      <w:bookmarkStart w:id="196" w:name="_Toc113527858"/>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十一</w:t>
      </w:r>
      <w:r>
        <w:rPr>
          <w:rFonts w:hint="eastAsia" w:ascii="宋体" w:hAnsi="宋体" w:cs="宋体"/>
          <w:b/>
          <w:bCs/>
          <w:color w:val="auto"/>
          <w:szCs w:val="21"/>
          <w:highlight w:val="none"/>
          <w:lang w:val="zh-CN"/>
        </w:rPr>
        <w:t xml:space="preserve"> 资格</w:t>
      </w:r>
      <w:bookmarkEnd w:id="191"/>
      <w:r/>
      <w:bookmarkEnd w:id="192"/>
      <w:r>
        <w:rPr>
          <w:rFonts w:hint="eastAsia" w:ascii="宋体" w:hAnsi="宋体" w:cs="宋体"/>
          <w:b/>
          <w:bCs/>
          <w:color w:val="auto"/>
          <w:szCs w:val="21"/>
          <w:highlight w:val="none"/>
          <w:lang w:val="zh-CN"/>
        </w:rPr>
        <w:t xml:space="preserve">证明文件</w:t>
      </w:r>
      <w:bookmarkEnd w:id="193"/>
      <w:r/>
      <w:bookmarkEnd w:id="194"/>
      <w:r/>
      <w:bookmarkEnd w:id="195"/>
      <w:r/>
      <w:bookmarkEnd w:id="196"/>
      <w:r/>
      <w:r/>
    </w:p>
    <w:p>
      <w:pPr>
        <w:spacing w:line="360" w:lineRule="auto"/>
        <w:rPr>
          <w:rFonts w:hint="eastAsia" w:ascii="宋体" w:hAnsi="宋体" w:cs="宋体"/>
          <w:color w:val="auto"/>
          <w:szCs w:val="21"/>
          <w:highlight w:val="none"/>
        </w:rPr>
      </w:pPr>
      <w:r/>
      <w:bookmarkStart w:id="197" w:name="_Toc113527859"/>
      <w:r/>
      <w:bookmarkStart w:id="198" w:name="_Toc12234"/>
      <w:r/>
      <w:bookmarkStart w:id="199" w:name="_Toc13646"/>
      <w:r/>
      <w:bookmarkStart w:id="200" w:name="_Toc4916"/>
      <w:r>
        <w:rPr>
          <w:rFonts w:hint="eastAsia" w:ascii="宋体" w:hAnsi="宋体" w:cs="宋体"/>
          <w:b/>
          <w:bCs/>
          <w:color w:val="auto"/>
          <w:szCs w:val="21"/>
          <w:highlight w:val="none"/>
          <w:lang w:val="zh-CN"/>
        </w:rPr>
        <w:t xml:space="preserve">1、</w:t>
      </w:r>
      <w:bookmarkEnd w:id="197"/>
      <w:r/>
      <w:bookmarkEnd w:id="198"/>
      <w:r/>
      <w:bookmarkEnd w:id="199"/>
      <w:r/>
      <w:bookmarkEnd w:id="200"/>
      <w:r>
        <w:rPr>
          <w:rFonts w:hint="eastAsia" w:ascii="宋体" w:hAnsi="宋体" w:cs="宋体"/>
          <w:b/>
          <w:bCs/>
          <w:color w:val="auto"/>
          <w:szCs w:val="21"/>
          <w:highlight w:val="none"/>
          <w:lang w:val="zh-CN"/>
        </w:rPr>
        <w:t xml:space="preserve">具有独立承担民事责任的能力（提供法人或者其他组织的营业执照，自然人的身份证明）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Cs w:val="21"/>
          <w:highlight w:val="none"/>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rFonts w:hint="eastAsia" w:ascii="宋体" w:hAnsi="宋体" w:cs="宋体"/>
          <w:b/>
          <w:bCs/>
          <w:color w:val="auto"/>
          <w:szCs w:val="21"/>
          <w:highlight w:val="none"/>
          <w:lang w:val="zh-CN"/>
        </w:rPr>
      </w:r>
      <w:r/>
    </w:p>
    <w:p>
      <w:pPr>
        <w:jc w:val="left"/>
        <w:spacing w:line="360" w:lineRule="auto"/>
        <w:rPr>
          <w:rFonts w:hint="eastAsia" w:ascii="宋体" w:hAnsi="宋体" w:cs="宋体"/>
          <w:b/>
          <w:bCs/>
          <w:color w:val="auto"/>
          <w:szCs w:val="21"/>
          <w:highlight w:val="none"/>
          <w:lang w:val="zh-CN"/>
        </w:rPr>
        <w:outlineLvl w:val="2"/>
      </w:pPr>
      <w:r/>
      <w:bookmarkStart w:id="201" w:name="_Toc1205"/>
      <w:r/>
      <w:bookmarkStart w:id="202" w:name="_Toc26588"/>
      <w:r/>
      <w:bookmarkStart w:id="203" w:name="_Toc24535"/>
      <w:r/>
      <w:bookmarkStart w:id="204" w:name="_Toc29528"/>
      <w:r/>
      <w:bookmarkStart w:id="205" w:name="_Toc5163"/>
      <w:r>
        <w:rPr>
          <w:rFonts w:hint="eastAsia" w:ascii="宋体" w:hAnsi="宋体" w:cs="宋体"/>
          <w:b/>
          <w:bCs/>
          <w:color w:val="auto"/>
          <w:szCs w:val="21"/>
          <w:highlight w:val="none"/>
          <w:lang w:val="zh-CN"/>
        </w:rPr>
        <w:t xml:space="preserve">2、法人代表授权书</w:t>
      </w:r>
      <w:bookmarkEnd w:id="201"/>
      <w:r/>
      <w:bookmarkEnd w:id="202"/>
      <w:r/>
      <w:bookmarkEnd w:id="203"/>
      <w:r>
        <w:rPr>
          <w:rFonts w:hint="eastAsia" w:ascii="宋体" w:hAnsi="宋体" w:cs="宋体"/>
          <w:b/>
          <w:bCs/>
          <w:color w:val="auto"/>
          <w:szCs w:val="21"/>
          <w:highlight w:val="none"/>
        </w:rPr>
        <w:t xml:space="preserve">（如果是法定代表人直接参与投标的可以不提供授权书，但须提供法定代表人身份证）</w:t>
      </w:r>
      <w:bookmarkEnd w:id="204"/>
      <w:r/>
      <w:bookmarkEnd w:id="205"/>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致南京江城工程项目管理有限公司：</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本授权委托书声明：注册于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（供应商住址）的</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（供应商名称）法定代表人</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（法定代表人姓名、职务）代表本公司授权在下面签字的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（供应商代表姓名、职务）为本公司的合法代理人，就贵方组织的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（项目编号）投标，以本公司名义处理一切与之有关的事务。</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日签字生效，特此声明。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 </w:t>
      </w:r>
      <w:r/>
    </w:p>
    <w:p>
      <w:pPr>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附：法定代表人、供应商授权代表的身份证</w:t>
      </w:r>
      <w:r>
        <w:rPr>
          <w:rFonts w:hint="eastAsia" w:ascii="宋体" w:hAnsi="宋体" w:cs="宋体"/>
          <w:b/>
          <w:bCs/>
          <w:color w:val="auto"/>
          <w:szCs w:val="21"/>
          <w:highlight w:val="none"/>
          <w:lang w:val="en-US" w:eastAsia="zh-CN"/>
        </w:rPr>
        <w:t xml:space="preserve">扫描件加盖公章</w:t>
      </w:r>
      <w:r/>
    </w:p>
    <w:tbl>
      <w:tblPr>
        <w:tblStyle w:val="1209"/>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ind w:right="-5"/>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Cs w:val="21"/>
          <w:highlight w:val="none"/>
          <w:lang w:val="zh-CN"/>
        </w:rPr>
        <w:outlineLvl w:val="2"/>
      </w:pPr>
      <w:r/>
      <w:bookmarkStart w:id="206" w:name="_Toc3499"/>
      <w:r/>
      <w:bookmarkStart w:id="207" w:name="_Toc8662"/>
      <w:r/>
      <w:bookmarkStart w:id="208" w:name="_Toc23235"/>
      <w:r/>
      <w:bookmarkStart w:id="209" w:name="_Toc13880"/>
      <w:r/>
      <w:bookmarkStart w:id="210" w:name="_Toc1910"/>
      <w:r>
        <w:rPr>
          <w:rFonts w:hint="eastAsia" w:ascii="宋体" w:hAnsi="宋体" w:cs="宋体"/>
          <w:b/>
          <w:bCs/>
          <w:color w:val="auto"/>
          <w:szCs w:val="21"/>
          <w:highlight w:val="none"/>
          <w:lang w:val="zh-CN"/>
        </w:rPr>
        <w:t xml:space="preserve">3、制造商授权书（如需）</w:t>
      </w:r>
      <w:bookmarkEnd w:id="206"/>
      <w:r/>
      <w:bookmarkEnd w:id="207"/>
      <w:r/>
      <w:bookmarkEnd w:id="208"/>
      <w:r/>
      <w:bookmarkEnd w:id="209"/>
      <w:r/>
      <w:bookmarkEnd w:id="210"/>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（制造商名称）是按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（国家名称）法律成立的一家制造商，主要营业地点设在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（制造商地址）。兹指派按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（国家名称）的法律正式成立的，主要营业地点设在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（贸易公司地址）的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（贸易公司名称）作为我方真正的和合法的代理人进行下列有效的活动：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代表我方在中华人民共和国办理贵方第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号竞争性磋商要求提供的由我方制造的产品的有关事宜，并对我方具有约束力。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作为制造商，我方保证以公开投标合作者来约束自己，并对该公开投标共同和分别承担响应文件中所规定的义务。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我方兹授予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（贸易公司名称）全权办理和履行上述我方为完成上述各点所必须的事宜，具有替换或撤销的全权。兹确认</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（贸易公司名称）或其正式授权代表依此合法地办理一切事宜。</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我方于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日签署本文件，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（贸易公司名称）于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日接受此件，以此为证。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制造商名称</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 xml:space="preserve">（盖章）</w:t>
      </w:r>
      <w:r/>
    </w:p>
    <w:p>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签字人姓名</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rPr>
        <w:t xml:space="preserve">（签名）</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firstLine="420"/>
        <w:spacing w:after="12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spacing w:before="5"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420"/>
        <w:spacing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420" w:firstLine="420"/>
        <w:spacing w:after="12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Cs w:val="21"/>
          <w:highlight w:val="none"/>
          <w:lang w:val="zh-CN"/>
        </w:rPr>
        <w:outlineLvl w:val="2"/>
      </w:pPr>
      <w:r/>
      <w:bookmarkStart w:id="211" w:name="_Toc19702"/>
      <w:r/>
      <w:bookmarkStart w:id="212" w:name="_Toc1213"/>
      <w:r/>
      <w:bookmarkStart w:id="213" w:name="_Toc3078"/>
      <w:r/>
      <w:bookmarkStart w:id="214" w:name="_Toc24273"/>
      <w:r/>
      <w:bookmarkStart w:id="215" w:name="_Toc113527862"/>
      <w:r/>
      <w:bookmarkStart w:id="216" w:name="_Toc17317"/>
      <w:r>
        <w:rPr>
          <w:rFonts w:hint="eastAsia" w:ascii="宋体" w:hAnsi="宋体" w:cs="宋体"/>
          <w:b/>
          <w:bCs/>
          <w:color w:val="auto"/>
          <w:szCs w:val="21"/>
          <w:highlight w:val="none"/>
          <w:lang w:val="zh-CN"/>
        </w:rPr>
        <w:t xml:space="preserve">4、具有良好的商业信誉和健全的财务会计制度</w:t>
      </w:r>
      <w:bookmarkEnd w:id="211"/>
      <w:r/>
      <w:bookmarkEnd w:id="212"/>
      <w:r/>
      <w:bookmarkEnd w:id="213"/>
      <w:r/>
      <w:bookmarkEnd w:id="214"/>
      <w:r/>
      <w:bookmarkEnd w:id="215"/>
      <w:r/>
      <w:bookmarkEnd w:id="216"/>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具有良好的商业信誉和健全的财务会计制度（提供以下三种材料的任意一种扫描件加盖公章）：</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①上一年度的经第三方会计师事务所审计的财务报告扫描件（包括报告及报表等内容，并由注册会计师签名、盖章以及会计师事务所盖章）；</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②提交投标文件截止日前六个月内基本开户银行出具的资信证明；</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③提交投标文件截止时间前六个月内任意一个月的财务状况记录（至少包括资产负债表和损益表，并加盖公章）。</w:t>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2"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Cs w:val="21"/>
          <w:highlight w:val="none"/>
          <w:lang w:val="zh-CN"/>
        </w:rPr>
        <w:outlineLvl w:val="2"/>
      </w:pPr>
      <w:r/>
      <w:bookmarkStart w:id="217" w:name="_Toc15262"/>
      <w:r/>
      <w:bookmarkStart w:id="218" w:name="_Toc385"/>
      <w:r/>
      <w:bookmarkStart w:id="219" w:name="_Toc113527863"/>
      <w:r/>
      <w:bookmarkStart w:id="220" w:name="_Toc22894"/>
      <w:r/>
      <w:bookmarkStart w:id="221" w:name="_Toc4722"/>
      <w:r/>
      <w:bookmarkStart w:id="222" w:name="_Toc23961"/>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具有履行合同所必需的设备和专业技术能力</w:t>
      </w:r>
      <w:bookmarkEnd w:id="217"/>
      <w:r/>
      <w:bookmarkEnd w:id="218"/>
      <w:r/>
      <w:bookmarkEnd w:id="219"/>
      <w:r/>
      <w:bookmarkEnd w:id="220"/>
      <w:r/>
      <w:bookmarkEnd w:id="221"/>
      <w:r/>
      <w:bookmarkEnd w:id="222"/>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根据项目需求提供履行合同所必需的设备和专业技术能力的证明材料，提供书面声明原件。</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highlight w:val="none"/>
        </w:rPr>
      </w:pPr>
      <w:r>
        <w:rPr>
          <w:rFonts w:hint="eastAsia" w:ascii="宋体" w:hAnsi="宋体" w:cs="宋体"/>
          <w:color w:val="auto"/>
          <w:sz w:val="20"/>
          <w:highlight w:val="none"/>
        </w:rPr>
        <w:t xml:space="preserve"> </w:t>
      </w:r>
      <w:r/>
    </w:p>
    <w:p>
      <w:pPr>
        <w:jc w:val="left"/>
        <w:widowControl/>
        <w:rPr>
          <w:rFonts w:hint="eastAsia" w:ascii="宋体" w:hAnsi="宋体" w:cs="宋体"/>
          <w:b/>
          <w:bCs/>
          <w:color w:val="auto"/>
          <w:sz w:val="20"/>
          <w:highlight w:val="none"/>
        </w:rPr>
      </w:pPr>
      <w:r>
        <w:rPr>
          <w:rFonts w:hint="eastAsia" w:ascii="宋体" w:hAnsi="宋体" w:cs="宋体"/>
          <w:b/>
          <w:bCs/>
          <w:color w:val="auto"/>
          <w:sz w:val="20"/>
          <w:highlight w:val="none"/>
        </w:rPr>
      </w:r>
      <w:r/>
    </w:p>
    <w:p>
      <w:pPr>
        <w:jc w:val="center"/>
        <w:widowControl/>
        <w:rPr>
          <w:rFonts w:hint="eastAsia" w:ascii="宋体" w:hAnsi="宋体" w:cs="宋体"/>
          <w:b/>
          <w:bCs/>
          <w:color w:val="auto"/>
          <w:sz w:val="28"/>
          <w:highlight w:val="none"/>
          <w:lang w:val="zh-TW" w:eastAsia="zh-TW"/>
        </w:rPr>
      </w:pPr>
      <w:r>
        <w:rPr>
          <w:rFonts w:hint="eastAsia" w:ascii="宋体" w:hAnsi="宋体" w:cs="宋体"/>
          <w:b/>
          <w:bCs/>
          <w:color w:val="auto"/>
          <w:sz w:val="28"/>
          <w:highlight w:val="none"/>
          <w:lang w:val="zh-TW" w:eastAsia="zh-TW"/>
        </w:rPr>
      </w:r>
      <w:r/>
    </w:p>
    <w:p>
      <w:pPr>
        <w:jc w:val="center"/>
        <w:widowControl/>
        <w:rPr>
          <w:rFonts w:hint="eastAsia" w:ascii="宋体" w:hAnsi="宋体" w:cs="宋体"/>
          <w:b/>
          <w:bCs/>
          <w:color w:val="auto"/>
          <w:sz w:val="28"/>
          <w:highlight w:val="none"/>
          <w:lang w:val="zh-TW" w:eastAsia="zh-TW"/>
        </w:rPr>
      </w:pPr>
      <w:r>
        <w:rPr>
          <w:rFonts w:hint="eastAsia" w:ascii="宋体" w:hAnsi="宋体" w:cs="宋体"/>
          <w:b/>
          <w:bCs/>
          <w:color w:val="auto"/>
          <w:sz w:val="28"/>
          <w:highlight w:val="none"/>
          <w:lang w:val="zh-TW" w:eastAsia="zh-TW"/>
        </w:rPr>
        <w:t xml:space="preserve">承诺函</w:t>
      </w:r>
      <w:r/>
    </w:p>
    <w:p>
      <w:pPr>
        <w:ind w:left="420" w:firstLine="420"/>
        <w:spacing w:after="120"/>
        <w:rPr>
          <w:rFonts w:hint="eastAsia" w:ascii="宋体" w:hAnsi="宋体" w:cs="宋体"/>
          <w:b/>
          <w:bCs/>
          <w:color w:val="auto"/>
          <w:sz w:val="20"/>
          <w:highlight w:val="none"/>
        </w:rPr>
      </w:pPr>
      <w:r>
        <w:rPr>
          <w:rFonts w:hint="eastAsia" w:ascii="宋体" w:hAnsi="宋体" w:cs="宋体"/>
          <w:b/>
          <w:bCs/>
          <w:color w:val="auto"/>
          <w:sz w:val="20"/>
          <w:highlight w:val="none"/>
        </w:rPr>
      </w:r>
      <w:r/>
    </w:p>
    <w:p>
      <w:pPr>
        <w:pStyle w:val="1218"/>
        <w:jc w:val="center"/>
        <w:spacing w:before="26" w:line="360" w:lineRule="auto"/>
        <w:tabs>
          <w:tab w:val="left" w:pos="993" w:leader="none"/>
          <w:tab w:val="left" w:pos="1134" w:leader="none"/>
        </w:tabs>
        <w:rPr>
          <w:rFonts w:hint="eastAsia" w:hAnsi="宋体" w:cs="宋体"/>
          <w:b/>
          <w:color w:val="auto"/>
          <w:highlight w:val="none"/>
        </w:rPr>
      </w:pPr>
      <w:r>
        <w:rPr>
          <w:rFonts w:hint="eastAsia" w:hAnsi="宋体" w:cs="宋体"/>
          <w:b/>
          <w:bCs/>
          <w:color w:val="auto"/>
          <w:highlight w:val="none"/>
          <w:lang w:val="zh-TW" w:eastAsia="zh-TW"/>
        </w:rPr>
        <w:t xml:space="preserve">具备履行合同所必需的设备和专业技术能力</w:t>
      </w:r>
      <w:r/>
    </w:p>
    <w:p>
      <w:pPr>
        <w:pStyle w:val="1426"/>
        <w:spacing w:line="360" w:lineRule="auto"/>
        <w:rPr>
          <w:rFonts w:ascii="宋体" w:hAnsi="宋体" w:cs="宋体"/>
          <w:color w:val="auto"/>
          <w:highlight w:val="none"/>
          <w:lang w:val="zh-TW" w:eastAsia="zh-TW"/>
        </w:rPr>
      </w:pPr>
      <w:r>
        <w:rPr>
          <w:rFonts w:hint="eastAsia" w:ascii="宋体" w:hAnsi="宋体" w:eastAsia="宋体" w:cs="宋体"/>
          <w:color w:val="auto"/>
          <w:highlight w:val="none"/>
        </w:rPr>
        <w:t xml:space="preserve">招标人名称</w:t>
      </w:r>
      <w:r>
        <w:rPr>
          <w:rFonts w:hint="eastAsia" w:ascii="宋体" w:hAnsi="宋体" w:cs="宋体"/>
          <w:color w:val="auto"/>
          <w:highlight w:val="none"/>
          <w:lang w:val="zh-TW" w:eastAsia="zh-TW"/>
        </w:rPr>
        <w:t xml:space="preserve">：</w:t>
      </w:r>
      <w:r>
        <w:rPr>
          <w:rFonts w:hint="eastAsia" w:ascii="宋体" w:hAnsi="宋体" w:cs="宋体"/>
          <w:color w:val="auto"/>
          <w:highlight w:val="none"/>
        </w:rPr>
        <w:t xml:space="preserve"> </w:t>
      </w:r>
      <w:r/>
    </w:p>
    <w:p>
      <w:pPr>
        <w:spacing w:before="26"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                             （供应商名称）郑重声明：</w:t>
      </w:r>
      <w:r/>
    </w:p>
    <w:p>
      <w:pPr>
        <w:spacing w:before="26"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我公司具备履行本项采购合同所必需的设备和专业技术能力，为履行本项采购合同我单位具备如下主要设备和主要专业技术能力：</w:t>
      </w:r>
      <w:r/>
    </w:p>
    <w:p>
      <w:pPr>
        <w:spacing w:before="26"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主要设备有：                          ( 如有 )</w:t>
      </w:r>
      <w:r/>
    </w:p>
    <w:p>
      <w:pPr>
        <w:spacing w:before="26"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主要专业技术能力有：                   ( 如有 )</w:t>
      </w:r>
      <w:r/>
    </w:p>
    <w:p>
      <w:pPr>
        <w:jc w:val="center"/>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numPr>
          <w:ilvl w:val="0"/>
          <w:numId w:val="6"/>
        </w:numPr>
        <w:jc w:val="left"/>
        <w:spacing w:line="360" w:lineRule="auto"/>
        <w:rPr>
          <w:rFonts w:hint="eastAsia" w:ascii="宋体" w:hAnsi="宋体" w:cs="宋体"/>
          <w:b/>
          <w:bCs/>
          <w:color w:val="auto"/>
          <w:szCs w:val="21"/>
          <w:highlight w:val="none"/>
        </w:rPr>
        <w:outlineLvl w:val="2"/>
      </w:pPr>
      <w:r/>
      <w:bookmarkStart w:id="223" w:name="_Toc2909"/>
      <w:r/>
      <w:bookmarkStart w:id="224" w:name="_Toc18830"/>
      <w:r>
        <w:rPr>
          <w:rFonts w:hint="eastAsia" w:ascii="宋体" w:hAnsi="宋体" w:cs="宋体"/>
          <w:b/>
          <w:bCs/>
          <w:color w:val="auto"/>
          <w:szCs w:val="21"/>
          <w:highlight w:val="none"/>
        </w:rPr>
        <w:t xml:space="preserve">参加政府采购活动前三年内，在经营活动中没有重大违法记录</w:t>
      </w:r>
      <w:bookmarkEnd w:id="223"/>
      <w:r/>
      <w:bookmarkEnd w:id="224"/>
      <w:r/>
      <w:r/>
    </w:p>
    <w:p>
      <w:pPr>
        <w:jc w:val="center"/>
        <w:keepLines/>
        <w:keepNext/>
        <w:spacing w:before="280" w:after="290" w:line="360" w:lineRule="auto"/>
        <w:rPr>
          <w:rFonts w:hint="eastAsia" w:ascii="宋体" w:hAnsi="宋体" w:cs="宋体"/>
          <w:b/>
          <w:bCs/>
          <w:color w:val="auto"/>
          <w:szCs w:val="21"/>
          <w:highlight w:val="none"/>
        </w:rPr>
        <w:outlineLvl w:val="3"/>
      </w:pPr>
      <w:r>
        <w:rPr>
          <w:rFonts w:hint="eastAsia" w:ascii="宋体" w:hAnsi="宋体" w:cs="宋体"/>
          <w:color w:val="auto"/>
          <w:szCs w:val="21"/>
          <w:highlight w:val="none"/>
        </w:rPr>
        <w:tab/>
      </w:r>
      <w:r>
        <w:rPr>
          <w:rFonts w:hint="eastAsia" w:ascii="宋体" w:hAnsi="宋体" w:cs="宋体"/>
          <w:b/>
          <w:bCs/>
          <w:color w:val="auto"/>
          <w:szCs w:val="21"/>
          <w:highlight w:val="none"/>
        </w:rPr>
        <w:t xml:space="preserve">无重大违法记录声明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6"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98"/>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招标人名称：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1018"/>
        <w:spacing w:before="15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我单位（供应商名称）郑重声明：</w:t>
      </w:r>
      <w:r/>
    </w:p>
    <w:p>
      <w:pPr>
        <w:spacing w:before="1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598" w:right="583" w:firstLine="420"/>
        <w:jc w:val="left"/>
        <w:spacing w:line="360" w:lineRule="auto"/>
        <w:rPr>
          <w:rFonts w:hint="eastAsia" w:ascii="宋体" w:hAnsi="宋体" w:cs="宋体"/>
          <w:color w:val="auto"/>
          <w:szCs w:val="21"/>
          <w:highlight w:val="none"/>
        </w:rPr>
      </w:pPr>
      <w:r>
        <w:rPr>
          <w:rFonts w:hint="eastAsia" w:ascii="宋体" w:hAnsi="宋体" w:cs="宋体"/>
          <w:color w:val="auto"/>
          <w:spacing w:val="7"/>
          <w:szCs w:val="21"/>
          <w:highlight w:val="none"/>
        </w:rPr>
        <w:t xml:space="preserve">参加政府采购活动前</w:t>
      </w:r>
      <w:r>
        <w:rPr>
          <w:rFonts w:hint="eastAsia" w:ascii="宋体" w:hAnsi="宋体" w:cs="宋体"/>
          <w:color w:val="auto"/>
          <w:spacing w:val="7"/>
          <w:szCs w:val="21"/>
          <w:highlight w:val="none"/>
          <w:lang w:val="en-US" w:eastAsia="zh-CN"/>
        </w:rPr>
        <w:t xml:space="preserve">三</w:t>
      </w:r>
      <w:r>
        <w:rPr>
          <w:rFonts w:hint="eastAsia" w:ascii="宋体" w:hAnsi="宋体" w:cs="宋体"/>
          <w:color w:val="auto"/>
          <w:spacing w:val="6"/>
          <w:szCs w:val="21"/>
          <w:highlight w:val="none"/>
        </w:rPr>
        <w:t xml:space="preserve">年内在经营活动中</w:t>
      </w:r>
      <w:r>
        <w:rPr>
          <w:rFonts w:hint="eastAsia" w:ascii="宋体" w:hAnsi="宋体" w:cs="宋体"/>
          <w:color w:val="auto"/>
          <w:spacing w:val="6"/>
          <w:szCs w:val="21"/>
          <w:highlight w:val="none"/>
          <w:u w:val="single"/>
        </w:rPr>
        <w:t xml:space="preserve">      </w:t>
      </w:r>
      <w:r>
        <w:rPr>
          <w:rFonts w:hint="eastAsia" w:ascii="宋体" w:hAnsi="宋体" w:cs="宋体"/>
          <w:color w:val="auto"/>
          <w:spacing w:val="6"/>
          <w:szCs w:val="21"/>
          <w:highlight w:val="none"/>
        </w:rPr>
        <w:t xml:space="preserve">（在下划线上如实填写 “有”或“没有”）</w:t>
      </w:r>
      <w:r>
        <w:rPr>
          <w:rFonts w:hint="eastAsia" w:ascii="宋体" w:hAnsi="宋体" w:cs="宋体"/>
          <w:color w:val="auto"/>
          <w:spacing w:val="1"/>
          <w:szCs w:val="21"/>
          <w:highlight w:val="none"/>
        </w:rPr>
        <w:t xml:space="preserve">重大违法记录。</w:t>
      </w:r>
      <w:r/>
    </w:p>
    <w:p>
      <w:pPr>
        <w:ind w:left="598" w:right="597" w:firstLine="314"/>
        <w:spacing w:before="9"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jc w:val="right"/>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t xml:space="preserve">日期：</w:t>
      </w:r>
      <w:r/>
    </w:p>
    <w:p>
      <w:pPr>
        <w:jc w:val="left"/>
        <w:spacing w:line="360" w:lineRule="auto"/>
        <w:rPr>
          <w:rFonts w:hint="eastAsia" w:ascii="宋体" w:hAnsi="宋体" w:cs="宋体"/>
          <w:b/>
          <w:bCs/>
          <w:color w:val="auto"/>
          <w:szCs w:val="21"/>
          <w:highlight w:val="none"/>
        </w:rPr>
        <w:outlineLvl w:val="2"/>
      </w:pPr>
      <w:r/>
      <w:bookmarkStart w:id="225" w:name="_Toc113527865"/>
      <w:r/>
      <w:bookmarkStart w:id="226" w:name="_Toc18345"/>
      <w:r/>
      <w:bookmarkStart w:id="227" w:name="_Toc3968"/>
      <w:r/>
      <w:bookmarkStart w:id="228" w:name="_Toc13811"/>
      <w:r/>
      <w:bookmarkStart w:id="229" w:name="_Toc11157"/>
      <w:r/>
      <w:bookmarkStart w:id="230" w:name="_Toc25029"/>
      <w:r>
        <w:rPr>
          <w:rFonts w:hint="eastAsia" w:ascii="宋体" w:hAnsi="宋体" w:cs="宋体"/>
          <w:b/>
          <w:bCs/>
          <w:color w:val="auto"/>
          <w:szCs w:val="21"/>
          <w:highlight w:val="none"/>
        </w:rPr>
        <w:t xml:space="preserve">7、</w:t>
      </w:r>
      <w:bookmarkEnd w:id="225"/>
      <w:r/>
      <w:bookmarkEnd w:id="226"/>
      <w:r/>
      <w:bookmarkEnd w:id="227"/>
      <w:r/>
      <w:bookmarkEnd w:id="228"/>
      <w:r>
        <w:rPr>
          <w:rFonts w:hint="eastAsia" w:ascii="宋体" w:hAnsi="宋体" w:cs="宋体"/>
          <w:b/>
          <w:bCs/>
          <w:color w:val="auto"/>
          <w:szCs w:val="21"/>
          <w:highlight w:val="none"/>
        </w:rPr>
        <w:t xml:space="preserve">有依法缴纳税收和社会保障资金的良好记录</w:t>
      </w:r>
      <w:bookmarkEnd w:id="229"/>
      <w:r/>
      <w:bookmarkEnd w:id="23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加盖公章，自拟文件无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sectPr>
          <w:footnotePr/>
          <w:endnotePr/>
          <w:type w:val="nextPage"/>
          <w:pgSz w:w="11906" w:h="16838" w:orient="portrait"/>
          <w:pgMar w:top="1134" w:right="1134" w:bottom="1083" w:left="1134" w:header="851" w:footer="992" w:gutter="0"/>
          <w:cols w:num="1" w:sep="0" w:space="720" w:equalWidth="1"/>
          <w:docGrid w:linePitch="360"/>
        </w:sect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231" w:name="_Toc20105"/>
      <w:r/>
      <w:r/>
    </w:p>
    <w:p>
      <w:pPr>
        <w:jc w:val="left"/>
        <w:spacing w:line="360" w:lineRule="auto"/>
        <w:rPr>
          <w:rFonts w:hint="eastAsia" w:ascii="宋体" w:hAnsi="宋体" w:cs="宋体"/>
          <w:b/>
          <w:bCs/>
          <w:color w:val="auto"/>
          <w:szCs w:val="21"/>
          <w:highlight w:val="none"/>
        </w:rPr>
        <w:outlineLvl w:val="2"/>
      </w:pPr>
      <w:r/>
      <w:bookmarkStart w:id="232" w:name="_Toc3374"/>
      <w:r/>
      <w:bookmarkStart w:id="233" w:name="_Toc14640"/>
      <w:r/>
      <w:bookmarkStart w:id="234" w:name="_Toc1485"/>
      <w:r/>
      <w:bookmarkStart w:id="235" w:name="_Toc113527868"/>
      <w:r/>
      <w:bookmarkStart w:id="236" w:name="_Toc19453"/>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、供应商认为其需要提供的其他资格证明文件。</w:t>
      </w:r>
      <w:bookmarkEnd w:id="231"/>
      <w:r/>
      <w:bookmarkEnd w:id="232"/>
      <w:r/>
      <w:bookmarkEnd w:id="233"/>
      <w:r/>
      <w:bookmarkEnd w:id="234"/>
      <w:r/>
      <w:bookmarkEnd w:id="235"/>
      <w:r/>
      <w:bookmarkEnd w:id="236"/>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供应商名称（公章）：</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授权代表（签字）：</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bCs/>
          <w:color w:val="auto"/>
          <w:szCs w:val="21"/>
          <w:highlight w:val="none"/>
          <w:lang w:val="zh-CN"/>
        </w:rPr>
      </w:pPr>
      <w:r>
        <w:rPr>
          <w:rFonts w:hint="eastAsia" w:ascii="宋体" w:hAnsi="宋体" w:cs="宋体"/>
          <w:b/>
          <w:color w:val="auto"/>
          <w:szCs w:val="21"/>
          <w:highlight w:val="none"/>
        </w:rPr>
        <w:br w:type="page" w:clear="all"/>
      </w:r>
      <w:bookmarkStart w:id="237" w:name="_Toc21790"/>
      <w:r/>
      <w:bookmarkEnd w:id="237"/>
      <w:r/>
      <w:bookmarkStart w:id="238" w:name="_Toc5506"/>
      <w:r/>
      <w:bookmarkEnd w:id="238"/>
      <w:r/>
      <w:bookmarkStart w:id="239" w:name="_Toc22079"/>
      <w:r/>
      <w:bookmarkEnd w:id="239"/>
      <w:r/>
      <w:r/>
    </w:p>
    <w:p>
      <w:pPr>
        <w:spacing w:line="360" w:lineRule="auto"/>
        <w:rPr>
          <w:rFonts w:hint="eastAsia" w:ascii="宋体" w:hAnsi="宋体" w:cs="宋体"/>
          <w:b/>
          <w:color w:val="auto"/>
          <w:szCs w:val="21"/>
          <w:highlight w:val="none"/>
          <w:lang w:val="zh-CN"/>
        </w:rPr>
        <w:outlineLvl w:val="1"/>
      </w:pPr>
      <w:r/>
      <w:bookmarkStart w:id="240" w:name="_Toc8290"/>
      <w:r/>
      <w:bookmarkStart w:id="241" w:name="_Toc22537"/>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十二</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zh-CN"/>
        </w:rPr>
        <w:t xml:space="preserve">其他相关文件</w:t>
      </w:r>
      <w:bookmarkEnd w:id="240"/>
      <w:r/>
      <w:bookmarkEnd w:id="241"/>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rPr>
        <w:t xml:space="preserve">注：须授权代表签字或加盖投标单位公章</w:t>
      </w:r>
      <w:bookmarkStart w:id="242" w:name="_GoBack"/>
      <w:r/>
      <w:bookmarkEnd w:id="242"/>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1、投标产品配置清单及技术说明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2、公开招标设备质保期内（外）的备品备件明细折扣表（如有）</w:t>
      </w:r>
      <w:r/>
    </w:p>
    <w:tbl>
      <w:tblPr>
        <w:tblStyle w:val="1209"/>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备品备件</w:t>
            </w:r>
            <w:r/>
          </w:p>
          <w:p>
            <w:pPr>
              <w:ind w:right="-5"/>
              <w:jc w:val="center"/>
              <w:spacing w:line="360" w:lineRule="auto"/>
              <w:tabs>
                <w:tab w:val="left" w:pos="9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单价</w:t>
            </w:r>
            <w:r/>
          </w:p>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ind w:right="-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bl>
    <w:p>
      <w:pPr>
        <w:ind w:left="525" w:right="-5" w:hanging="52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ab/>
      </w:r>
      <w:r/>
    </w:p>
    <w:p>
      <w:pPr>
        <w:ind w:right="-5"/>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3、随机</w:t>
      </w:r>
      <w:r>
        <w:rPr>
          <w:rFonts w:hint="eastAsia" w:ascii="宋体" w:hAnsi="宋体" w:cs="宋体"/>
          <w:color w:val="auto"/>
          <w:szCs w:val="21"/>
          <w:highlight w:val="none"/>
        </w:rPr>
        <w:t xml:space="preserve">提供的文件、资料、图纸等（文件资料名称、份数）</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4、培训计划及方案（人数、时间、内容、地点）</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5100"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ab/>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5、供货及安装日期和质量保证期及售后服务承诺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5"/>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rPr>
        <w:t xml:space="preserve">6</w:t>
      </w:r>
      <w:r>
        <w:rPr>
          <w:rFonts w:hint="eastAsia" w:ascii="宋体" w:hAnsi="宋体" w:cs="宋体"/>
          <w:b/>
          <w:color w:val="auto"/>
          <w:szCs w:val="21"/>
          <w:highlight w:val="none"/>
          <w:lang w:val="zh-CN"/>
        </w:rPr>
        <w:t xml:space="preserve">、供应商认为应提供的其他材料</w:t>
      </w:r>
      <w:r/>
    </w:p>
    <w:p>
      <w:pPr>
        <w:ind w:right="-5"/>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（针对具体的评标标准提供相应其他材料）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r>
      <w:r/>
    </w:p>
    <w:p>
      <w:pPr>
        <w:rPr>
          <w:rFonts w:hint="eastAsia"/>
          <w:color w:val="auto"/>
          <w:highlight w:val="none"/>
        </w:rPr>
      </w:pPr>
      <w:r>
        <w:rPr>
          <w:rFonts w:hint="eastAsia"/>
          <w:color w:val="auto"/>
          <w:highlight w:val="none"/>
        </w:rPr>
      </w:r>
      <w:r/>
    </w:p>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华文新魏">
    <w:panose1 w:val="02010800040101010101"/>
  </w:font>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Arial Unicode MS">
    <w:panose1 w:val="020B0604020202020204"/>
  </w:font>
  <w:font w:name="Arial">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rPr>
        <w:sz w:val="24"/>
        <w:szCs w:val="2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232"/>
                            <w:rPr>
                              <w:rStyle w:val="1252"/>
                            </w:rPr>
                          </w:pPr>
                          <w:r>
                            <w:rPr>
                              <w:rStyle w:val="1252"/>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232"/>
                      <w:rPr>
                        <w:rStyle w:val="1252"/>
                      </w:rPr>
                    </w:pPr>
                    <w:r>
                      <w:rPr>
                        <w:rStyle w:val="1252"/>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20</w:t>
                    </w:r>
                    <w:r>
                      <w:fldChar w:fldCharType="end"/>
                    </w:r>
                    <w:r/>
                  </w:p>
                </w:txbxContent>
              </v:textbox>
            </v:shape>
          </w:pict>
        </mc:Fallback>
      </mc:AlternateContent>
    </w:r>
    <w:r>
      <w:b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lang w:val="zh-CN"/>
      </w:rPr>
      <w:t xml:space="preserve"> </w:t>
    </w:r>
    <w:r/>
  </w:p>
  <w:p>
    <w:pPr>
      <w:pStyle w:val="123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61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9" o:spid="_x0000_s9" o:spt="202" type="#_x0000_t202" style="position:absolute;z-index:-251661312;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71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23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73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3360;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232"/>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2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-67310</wp:posOffset>
              </wp:positionH>
              <wp:positionV relativeFrom="paragraph">
                <wp:posOffset>-83185</wp:posOffset>
              </wp:positionV>
              <wp:extent cx="1131570" cy="480695"/>
              <wp:effectExtent l="0" t="0" r="11430" b="14604"/>
              <wp:wrapSquare wrapText="bothSides"/>
              <wp:docPr id="1"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logo"/>
                      <pic:cNvPicPr>
                        <a:picLocks noChangeAspect="1"/>
                      </pic:cNvPicPr>
                      <pic:nvPr/>
                    </pic:nvPicPr>
                    <pic:blipFill>
                      <a:blip r:embed="rId1"/>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3pt;mso-position-horizontal:absolute;mso-position-vertical-relative:text;margin-top:-6.5pt;mso-position-vertical:absolute;width:89.1pt;height:37.9pt;mso-wrap-distance-left:9.0pt;mso-wrap-distance-top:0.0pt;mso-wrap-distance-right:9.0pt;mso-wrap-distance-bottom:0.0pt;" stroked="f">
              <v:path textboxrect="0,0,0,0"/>
              <w10:wrap type="square"/>
              <v:imagedata r:id="rId1" o:title=""/>
            </v:shape>
          </w:pict>
        </mc:Fallback>
      </mc:AlternateContent>
    </w:r>
    <w:r>
      <w:rPr>
        <w:rFonts w:hint="eastAsia"/>
      </w:rPr>
      <w:t xml:space="preserve">                                  </w:t>
    </w:r>
    <w:r/>
  </w:p>
  <w:p>
    <w:pPr>
      <w:pStyle w:val="1233"/>
    </w:pPr>
    <w:r/>
    <w:r/>
  </w:p>
  <w:p>
    <w:pPr>
      <w:pStyle w:val="1233"/>
      <w:jc w:val="right"/>
    </w:pPr>
    <w:r>
      <w:rPr>
        <w:rFonts w:hint="eastAsia"/>
      </w:rPr>
      <w:t xml:space="preserve">                                     江苏省特检院试验机类设备采购招标文件</w:t>
    </w:r>
    <w: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spacing w:line="360" w:lineRule="auto"/>
      <w:pBdr>
        <w:bottom w:val="none" w:color="auto" w:sz="0" w:space="0"/>
      </w:pBdr>
    </w:pPr>
    <w:r>
      <w:rPr>
        <w:rFonts w:hint="eastAsia"/>
      </w:rPr>
      <w:t xml:space="preserve">导热设备测量仪等设备采购</w:t>
    </w:r>
    <w:r>
      <w:t xml:space="preserve">竞争性</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-35560</wp:posOffset>
              </wp:positionH>
              <wp:positionV relativeFrom="paragraph">
                <wp:posOffset>-45085</wp:posOffset>
              </wp:positionV>
              <wp:extent cx="1131570" cy="480695"/>
              <wp:effectExtent l="0" t="0" r="11430" b="14604"/>
              <wp:wrapSquare wrapText="bothSides"/>
              <wp:docPr id="2"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logo"/>
                      <pic:cNvPicPr>
                        <a:picLocks noChangeAspect="1"/>
                      </pic:cNvPicPr>
                      <pic:nvPr/>
                    </pic:nvPicPr>
                    <pic:blipFill>
                      <a:blip r:embed="rId1"/>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7456;o:allowoverlap:true;o:allowincell:true;mso-position-horizontal-relative:text;margin-left:-2.8pt;mso-position-horizontal:absolute;mso-position-vertical-relative:text;margin-top:-3.5pt;mso-position-vertical:absolute;width:89.1pt;height:37.9pt;mso-wrap-distance-left:9.0pt;mso-wrap-distance-top:0.0pt;mso-wrap-distance-right:9.0pt;mso-wrap-distance-bottom:0.0pt;" stroked="f">
              <v:path textboxrect="0,0,0,0"/>
              <w10:wrap type="square"/>
              <v:imagedata r:id="rId1" o:title=""/>
            </v:shape>
          </w:pict>
        </mc:Fallback>
      </mc:AlternateContent>
    </w:r>
    <w:r/>
  </w:p>
  <w:p>
    <w:pPr>
      <w:pStyle w:val="1233"/>
    </w:pPr>
    <w:r/>
    <w:r/>
  </w:p>
  <w:p>
    <w:pPr>
      <w:pStyle w:val="1233"/>
      <w:jc w:val="right"/>
      <w:rPr>
        <w:sz w:val="21"/>
      </w:rPr>
    </w:pPr>
    <w:r>
      <w:t xml:space="preserve">              </w:t>
    </w:r>
    <w:r>
      <w:rPr>
        <w:rFonts w:hint="eastAsia"/>
      </w:rPr>
      <w:t xml:space="preserve"> 江苏省特检院试验机类设备采购招标文件</w: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-152400</wp:posOffset>
              </wp:positionH>
              <wp:positionV relativeFrom="paragraph">
                <wp:posOffset>-15875</wp:posOffset>
              </wp:positionV>
              <wp:extent cx="1131570" cy="480695"/>
              <wp:effectExtent l="0" t="0" r="11430" b="14604"/>
              <wp:wrapSquare wrapText="bothSides"/>
              <wp:docPr id="3"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logo"/>
                      <pic:cNvPicPr>
                        <a:picLocks noChangeAspect="1"/>
                      </pic:cNvPicPr>
                      <pic:nvPr/>
                    </pic:nvPicPr>
                    <pic:blipFill>
                      <a:blip r:embed="rId1"/>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8480;o:allowoverlap:true;o:allowincell:true;mso-position-horizontal-relative:text;margin-left:-12.0pt;mso-position-horizontal:absolute;mso-position-vertical-relative:text;margin-top:-1.2pt;mso-position-vertical:absolute;width:89.1pt;height:37.9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p>
  <w:p>
    <w:pPr>
      <w:pStyle w:val="1233"/>
      <w:jc w:val="right"/>
    </w:pPr>
    <w:r/>
    <w:r/>
  </w:p>
  <w:p>
    <w:pPr>
      <w:pStyle w:val="1233"/>
      <w:jc w:val="right"/>
      <w:tabs>
        <w:tab w:val="left" w:pos="7052" w:leader="none"/>
      </w:tabs>
    </w:pPr>
    <w:r>
      <w:rPr>
        <w:rFonts w:hint="eastAsia" w:ascii="Times New Roman" w:hAnsi="Times New Roman" w:eastAsia="宋体" w:cs="Times New Roman"/>
        <w:sz w:val="18"/>
        <w:lang w:val="en-US" w:eastAsia="zh-CN" w:bidi="ar-SA"/>
      </w:rPr>
      <w:t xml:space="preserve">         江苏省特检院试验机类设备采购</w:t>
    </w:r>
    <w:r>
      <w:rPr>
        <w:rFonts w:hint="eastAsia"/>
      </w:rPr>
      <w:t xml:space="preserve">招标文件</w:t>
    </w:r>
    <w:r>
      <w:rPr>
        <w:rFonts w:hint="eastAsia"/>
        <w:lang w:eastAsia="zh-CN"/>
      </w:rPr>
      <w:tab/>
    </w:r>
    <w:r>
      <w:rPr>
        <w:rFonts w:hint="eastAsia"/>
      </w:rPr>
      <w:t xml:space="preserve"> </w: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407"/>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25"/>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1">
    <w:name w:val="Heading 6 Char"/>
    <w:basedOn w:val="1208"/>
    <w:link w:val="1204"/>
    <w:uiPriority w:val="9"/>
    <w:rPr>
      <w:rFonts w:ascii="Arial" w:hAnsi="Arial" w:eastAsia="Arial" w:cs="Arial"/>
      <w:b/>
      <w:bCs/>
      <w:sz w:val="22"/>
      <w:szCs w:val="22"/>
    </w:rPr>
  </w:style>
  <w:style w:type="character" w:styleId="1172">
    <w:name w:val="Heading 8 Char"/>
    <w:basedOn w:val="1208"/>
    <w:link w:val="1206"/>
    <w:uiPriority w:val="9"/>
    <w:rPr>
      <w:rFonts w:ascii="Arial" w:hAnsi="Arial" w:eastAsia="Arial" w:cs="Arial"/>
      <w:i/>
      <w:iCs/>
      <w:sz w:val="22"/>
      <w:szCs w:val="22"/>
    </w:rPr>
  </w:style>
  <w:style w:type="character" w:styleId="1173">
    <w:name w:val="Heading 9 Char"/>
    <w:basedOn w:val="1208"/>
    <w:link w:val="1207"/>
    <w:uiPriority w:val="9"/>
    <w:rPr>
      <w:rFonts w:ascii="Arial" w:hAnsi="Arial" w:eastAsia="Arial" w:cs="Arial"/>
      <w:i/>
      <w:iCs/>
      <w:sz w:val="21"/>
      <w:szCs w:val="21"/>
    </w:rPr>
  </w:style>
  <w:style w:type="character" w:styleId="1174">
    <w:name w:val="Quote Char"/>
    <w:link w:val="1269"/>
    <w:uiPriority w:val="29"/>
    <w:rPr>
      <w:i/>
    </w:rPr>
  </w:style>
  <w:style w:type="character" w:styleId="1175">
    <w:name w:val="Intense Quote Char"/>
    <w:link w:val="1271"/>
    <w:uiPriority w:val="30"/>
    <w:rPr>
      <w:i/>
    </w:rPr>
  </w:style>
  <w:style w:type="table" w:styleId="1176">
    <w:name w:val="Plain Table 1"/>
    <w:basedOn w:val="12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name w:val="Plain Table 2"/>
    <w:basedOn w:val="12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name w:val="Plain Table 3"/>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name w:val="Plain Table 4"/>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name w:val="Plain Table 5"/>
    <w:basedOn w:val="12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81">
    <w:name w:val="Grid Table 1 Light"/>
    <w:basedOn w:val="12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2">
    <w:name w:val="Grid Table 2"/>
    <w:basedOn w:val="12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3">
    <w:name w:val="Grid Table 3"/>
    <w:basedOn w:val="12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84">
    <w:name w:val="Grid Table 4"/>
    <w:basedOn w:val="12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5">
    <w:name w:val="Grid Table 5 Dark"/>
    <w:basedOn w:val="12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86">
    <w:name w:val="Grid Table 6 Colorful"/>
    <w:basedOn w:val="12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7">
    <w:name w:val="Grid Table 7 Colorful"/>
    <w:basedOn w:val="12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8">
    <w:name w:val="List Table 1 Light"/>
    <w:basedOn w:val="12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9">
    <w:name w:val="List Table 2"/>
    <w:basedOn w:val="12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0">
    <w:name w:val="List Table 3"/>
    <w:basedOn w:val="12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1">
    <w:name w:val="List Table 4"/>
    <w:basedOn w:val="12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2">
    <w:name w:val="List Table 5 Dark"/>
    <w:basedOn w:val="12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3">
    <w:name w:val="List Table 6 Colorful"/>
    <w:basedOn w:val="12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4">
    <w:name w:val="List Table 7 Colorful"/>
    <w:basedOn w:val="12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95">
    <w:name w:val="Footnote Text Char"/>
    <w:link w:val="1237"/>
    <w:uiPriority w:val="99"/>
    <w:rPr>
      <w:sz w:val="18"/>
    </w:rPr>
  </w:style>
  <w:style w:type="character" w:styleId="1196">
    <w:name w:val="Endnote Text Char"/>
    <w:link w:val="1230"/>
    <w:uiPriority w:val="99"/>
    <w:rPr>
      <w:sz w:val="20"/>
    </w:rPr>
  </w:style>
  <w:style w:type="paragraph" w:styleId="1197">
    <w:name w:val="TOC Heading"/>
    <w:uiPriority w:val="39"/>
    <w:unhideWhenUsed/>
  </w:style>
  <w:style w:type="paragraph" w:styleId="1198" w:default="1">
    <w:name w:val="Normal"/>
    <w:next w:val="1210"/>
    <w:link w:val="1476"/>
    <w:uiPriority w:val="0"/>
    <w:qFormat/>
    <w:pPr>
      <w:jc w:val="both"/>
      <w:widowControl w:val="off"/>
    </w:pPr>
    <w:rPr>
      <w:rFonts w:ascii="Times New Roman" w:hAnsi="Times New Roman" w:eastAsia="宋体" w:cs="Times New Roman"/>
      <w:sz w:val="21"/>
      <w:lang w:val="en-US" w:eastAsia="zh-CN" w:bidi="ar-SA"/>
    </w:rPr>
  </w:style>
  <w:style w:type="paragraph" w:styleId="1199">
    <w:name w:val="Heading 1"/>
    <w:basedOn w:val="1198"/>
    <w:next w:val="1198"/>
    <w:uiPriority w:val="0"/>
    <w:qFormat/>
    <w:pPr>
      <w:jc w:val="center"/>
      <w:keepNext/>
      <w:spacing w:line="440" w:lineRule="exact"/>
      <w:outlineLvl w:val="0"/>
    </w:pPr>
    <w:rPr>
      <w:rFonts w:ascii="宋体"/>
      <w:sz w:val="28"/>
    </w:rPr>
  </w:style>
  <w:style w:type="paragraph" w:styleId="1200">
    <w:name w:val="Heading 2"/>
    <w:basedOn w:val="1198"/>
    <w:next w:val="1198"/>
    <w:uiPriority w:val="0"/>
    <w:qFormat/>
    <w:pPr>
      <w:keepLines/>
      <w:keepNext/>
      <w:spacing w:before="260" w:after="260" w:line="415" w:lineRule="auto"/>
      <w:outlineLvl w:val="1"/>
    </w:pPr>
    <w:rPr>
      <w:rFonts w:ascii="Arial" w:hAnsi="Arial" w:eastAsia="黑体"/>
      <w:b/>
      <w:bCs/>
      <w:sz w:val="32"/>
      <w:szCs w:val="32"/>
    </w:rPr>
  </w:style>
  <w:style w:type="paragraph" w:styleId="1201">
    <w:name w:val="Heading 3"/>
    <w:basedOn w:val="1198"/>
    <w:next w:val="1198"/>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202">
    <w:name w:val="Heading 4"/>
    <w:basedOn w:val="1198"/>
    <w:next w:val="1198"/>
    <w:uiPriority w:val="0"/>
    <w:qFormat/>
    <w:pPr>
      <w:keepLines/>
      <w:keepNext/>
      <w:spacing w:before="280" w:after="290" w:line="372" w:lineRule="auto"/>
      <w:outlineLvl w:val="3"/>
    </w:pPr>
    <w:rPr>
      <w:rFonts w:ascii="Arial" w:hAnsi="Arial" w:eastAsia="黑体" w:cs="Arial"/>
      <w:b/>
      <w:bCs/>
      <w:sz w:val="28"/>
      <w:szCs w:val="28"/>
    </w:rPr>
  </w:style>
  <w:style w:type="paragraph" w:styleId="1203">
    <w:name w:val="Heading 5"/>
    <w:basedOn w:val="1198"/>
    <w:next w:val="1198"/>
    <w:uiPriority w:val="1"/>
    <w:qFormat/>
    <w:pPr>
      <w:ind w:left="598"/>
      <w:spacing w:before="1"/>
      <w:outlineLvl w:val="4"/>
    </w:pPr>
    <w:rPr>
      <w:rFonts w:ascii="宋体" w:hAnsi="宋体" w:cs="宋体"/>
      <w:b/>
      <w:bCs/>
      <w:sz w:val="24"/>
      <w:szCs w:val="24"/>
      <w:lang w:val="zh-CN" w:bidi="zh-CN"/>
    </w:rPr>
  </w:style>
  <w:style w:type="paragraph" w:styleId="1204">
    <w:name w:val="Heading 6"/>
    <w:basedOn w:val="1198"/>
    <w:next w:val="1198"/>
    <w:link w:val="1262"/>
    <w:uiPriority w:val="9"/>
    <w:unhideWhenUsed/>
    <w:qFormat/>
    <w:pPr>
      <w:keepLines/>
      <w:keepNext/>
      <w:spacing w:before="320" w:after="200"/>
      <w:outlineLvl w:val="5"/>
    </w:pPr>
    <w:rPr>
      <w:rFonts w:ascii="Arial" w:hAnsi="Arial" w:eastAsia="Arial" w:cs="Arial"/>
      <w:b/>
      <w:bCs/>
      <w:sz w:val="22"/>
      <w:szCs w:val="22"/>
    </w:rPr>
  </w:style>
  <w:style w:type="paragraph" w:styleId="1205">
    <w:name w:val="Heading 7"/>
    <w:basedOn w:val="1198"/>
    <w:next w:val="1198"/>
    <w:uiPriority w:val="1"/>
    <w:qFormat/>
    <w:pPr>
      <w:ind w:left="1018"/>
      <w:outlineLvl w:val="6"/>
    </w:pPr>
    <w:rPr>
      <w:rFonts w:ascii="宋体" w:hAnsi="宋体" w:cs="宋体"/>
      <w:b/>
      <w:bCs/>
      <w:szCs w:val="21"/>
      <w:lang w:val="zh-CN" w:bidi="zh-CN"/>
    </w:rPr>
  </w:style>
  <w:style w:type="paragraph" w:styleId="1206">
    <w:name w:val="Heading 8"/>
    <w:basedOn w:val="1198"/>
    <w:next w:val="1198"/>
    <w:link w:val="1264"/>
    <w:uiPriority w:val="9"/>
    <w:unhideWhenUsed/>
    <w:qFormat/>
    <w:pPr>
      <w:keepLines/>
      <w:keepNext/>
      <w:spacing w:before="320" w:after="200"/>
      <w:outlineLvl w:val="7"/>
    </w:pPr>
    <w:rPr>
      <w:rFonts w:ascii="Arial" w:hAnsi="Arial" w:eastAsia="Arial" w:cs="Arial"/>
      <w:i/>
      <w:iCs/>
      <w:sz w:val="22"/>
      <w:szCs w:val="22"/>
    </w:rPr>
  </w:style>
  <w:style w:type="paragraph" w:styleId="1207">
    <w:name w:val="Heading 9"/>
    <w:basedOn w:val="1198"/>
    <w:next w:val="1198"/>
    <w:link w:val="1265"/>
    <w:uiPriority w:val="9"/>
    <w:unhideWhenUsed/>
    <w:qFormat/>
    <w:pPr>
      <w:keepLines/>
      <w:keepNext/>
      <w:spacing w:before="320" w:after="200"/>
      <w:outlineLvl w:val="8"/>
    </w:pPr>
    <w:rPr>
      <w:rFonts w:ascii="Arial" w:hAnsi="Arial" w:eastAsia="Arial" w:cs="Arial"/>
      <w:i/>
      <w:iCs/>
      <w:szCs w:val="21"/>
    </w:rPr>
  </w:style>
  <w:style w:type="character" w:styleId="1208" w:default="1">
    <w:name w:val="Default Paragraph Font"/>
    <w:uiPriority w:val="1"/>
    <w:semiHidden/>
    <w:unhideWhenUsed/>
    <w:qFormat/>
  </w:style>
  <w:style w:type="table" w:styleId="1209" w:default="1">
    <w:name w:val="Normal Table"/>
    <w:uiPriority w:val="99"/>
    <w:semiHidden/>
    <w:unhideWhenUsed/>
    <w:qFormat/>
    <w:tblPr>
      <w:tblCellMar>
        <w:left w:w="108" w:type="dxa"/>
        <w:top w:w="0" w:type="dxa"/>
        <w:right w:w="108" w:type="dxa"/>
        <w:bottom w:w="0" w:type="dxa"/>
      </w:tblCellMar>
    </w:tblPr>
  </w:style>
  <w:style w:type="paragraph" w:styleId="1210" w:customStyle="1">
    <w:name w:val="列出段落1"/>
    <w:basedOn w:val="1198"/>
    <w:uiPriority w:val="0"/>
    <w:qFormat/>
    <w:pPr>
      <w:ind w:firstLine="200"/>
    </w:pPr>
    <w:rPr>
      <w:rFonts w:ascii="Calibri" w:hAnsi="Calibri"/>
      <w:szCs w:val="22"/>
    </w:rPr>
  </w:style>
  <w:style w:type="paragraph" w:styleId="1211">
    <w:name w:val="List 3"/>
    <w:basedOn w:val="1198"/>
    <w:uiPriority w:val="0"/>
    <w:qFormat/>
    <w:pPr>
      <w:contextualSpacing/>
      <w:ind w:left="600" w:hanging="200"/>
    </w:pPr>
  </w:style>
  <w:style w:type="paragraph" w:styleId="1212">
    <w:name w:val="toc 7"/>
    <w:basedOn w:val="1198"/>
    <w:next w:val="1198"/>
    <w:uiPriority w:val="0"/>
    <w:qFormat/>
    <w:pPr>
      <w:ind w:left="1200"/>
    </w:pPr>
  </w:style>
  <w:style w:type="paragraph" w:styleId="1213">
    <w:name w:val="Normal Indent"/>
    <w:basedOn w:val="1198"/>
    <w:uiPriority w:val="0"/>
    <w:qFormat/>
    <w:pPr>
      <w:ind w:firstLine="420"/>
    </w:pPr>
    <w:rPr>
      <w:b/>
      <w:sz w:val="24"/>
    </w:rPr>
  </w:style>
  <w:style w:type="paragraph" w:styleId="1214">
    <w:name w:val="Caption"/>
    <w:basedOn w:val="1198"/>
    <w:next w:val="1198"/>
    <w:uiPriority w:val="0"/>
    <w:qFormat/>
    <w:pPr>
      <w:jc w:val="center"/>
    </w:pPr>
    <w:rPr>
      <w:rFonts w:cs="Arial"/>
    </w:rPr>
  </w:style>
  <w:style w:type="paragraph" w:styleId="1215">
    <w:name w:val="Document Map"/>
    <w:basedOn w:val="1198"/>
    <w:uiPriority w:val="0"/>
    <w:qFormat/>
    <w:rPr>
      <w:rFonts w:ascii="宋体"/>
      <w:sz w:val="18"/>
      <w:szCs w:val="18"/>
    </w:rPr>
  </w:style>
  <w:style w:type="paragraph" w:styleId="1216">
    <w:name w:val="toa heading"/>
    <w:basedOn w:val="1198"/>
    <w:next w:val="1198"/>
    <w:uiPriority w:val="99"/>
    <w:qFormat/>
    <w:pPr>
      <w:spacing w:before="120"/>
    </w:pPr>
    <w:rPr>
      <w:rFonts w:ascii="Cambria" w:hAnsi="Cambria"/>
      <w:sz w:val="24"/>
    </w:rPr>
  </w:style>
  <w:style w:type="paragraph" w:styleId="1217">
    <w:name w:val="annotation text"/>
    <w:basedOn w:val="1198"/>
    <w:link w:val="1460"/>
    <w:uiPriority w:val="99"/>
    <w:qFormat/>
    <w:pPr>
      <w:jc w:val="left"/>
    </w:pPr>
  </w:style>
  <w:style w:type="paragraph" w:styleId="1218">
    <w:name w:val="Body Text"/>
    <w:basedOn w:val="1198"/>
    <w:uiPriority w:val="0"/>
    <w:qFormat/>
    <w:rPr>
      <w:rFonts w:ascii="宋体"/>
      <w:sz w:val="28"/>
    </w:rPr>
  </w:style>
  <w:style w:type="paragraph" w:styleId="1219">
    <w:name w:val="Body Text Indent"/>
    <w:basedOn w:val="1198"/>
    <w:next w:val="1220"/>
    <w:link w:val="1458"/>
    <w:uiPriority w:val="0"/>
    <w:qFormat/>
    <w:pPr>
      <w:ind w:firstLine="420"/>
      <w:spacing w:line="360" w:lineRule="auto"/>
    </w:pPr>
    <w:rPr>
      <w:rFonts w:ascii="宋体"/>
      <w:sz w:val="24"/>
    </w:rPr>
  </w:style>
  <w:style w:type="paragraph" w:styleId="1220">
    <w:name w:val="envelope return"/>
    <w:basedOn w:val="1198"/>
    <w:uiPriority w:val="99"/>
    <w:qFormat/>
    <w:rPr>
      <w:rFonts w:ascii="Arial" w:hAnsi="Arial"/>
    </w:rPr>
  </w:style>
  <w:style w:type="paragraph" w:styleId="1221">
    <w:name w:val="List 2"/>
    <w:basedOn w:val="1198"/>
    <w:uiPriority w:val="0"/>
    <w:qFormat/>
    <w:pPr>
      <w:ind w:left="400" w:hanging="200"/>
    </w:pPr>
  </w:style>
  <w:style w:type="paragraph" w:styleId="1222">
    <w:name w:val="Block Text"/>
    <w:basedOn w:val="1198"/>
    <w:uiPriority w:val="0"/>
    <w:qFormat/>
    <w:pPr>
      <w:ind w:left="540" w:right="26"/>
    </w:pPr>
    <w:rPr>
      <w:sz w:val="24"/>
    </w:rPr>
  </w:style>
  <w:style w:type="paragraph" w:styleId="1223">
    <w:name w:val="index 4"/>
    <w:basedOn w:val="1198"/>
    <w:next w:val="1198"/>
    <w:uiPriority w:val="0"/>
    <w:qFormat/>
    <w:pPr>
      <w:ind w:left="600"/>
    </w:pPr>
    <w:rPr>
      <w:rFonts w:ascii="宋体"/>
      <w:b/>
      <w:position w:val="-10"/>
      <w:sz w:val="24"/>
    </w:rPr>
  </w:style>
  <w:style w:type="paragraph" w:styleId="1224">
    <w:name w:val="toc 5"/>
    <w:basedOn w:val="1198"/>
    <w:next w:val="1198"/>
    <w:uiPriority w:val="0"/>
    <w:qFormat/>
    <w:pPr>
      <w:ind w:left="800"/>
    </w:pPr>
  </w:style>
  <w:style w:type="paragraph" w:styleId="1225">
    <w:name w:val="toc 3"/>
    <w:basedOn w:val="1198"/>
    <w:next w:val="1198"/>
    <w:uiPriority w:val="0"/>
    <w:qFormat/>
    <w:pPr>
      <w:ind w:left="400"/>
    </w:pPr>
  </w:style>
  <w:style w:type="paragraph" w:styleId="1226">
    <w:name w:val="Plain Text"/>
    <w:basedOn w:val="1198"/>
    <w:uiPriority w:val="0"/>
    <w:qFormat/>
    <w:rPr>
      <w:rFonts w:ascii="宋体"/>
    </w:rPr>
  </w:style>
  <w:style w:type="paragraph" w:styleId="1227">
    <w:name w:val="toc 8"/>
    <w:basedOn w:val="1198"/>
    <w:next w:val="1198"/>
    <w:uiPriority w:val="0"/>
    <w:qFormat/>
    <w:pPr>
      <w:ind w:left="1400"/>
    </w:pPr>
  </w:style>
  <w:style w:type="paragraph" w:styleId="1228">
    <w:name w:val="Date"/>
    <w:basedOn w:val="1198"/>
    <w:next w:val="1198"/>
    <w:uiPriority w:val="0"/>
    <w:qFormat/>
    <w:rPr>
      <w:rFonts w:ascii="宋体"/>
    </w:rPr>
  </w:style>
  <w:style w:type="paragraph" w:styleId="1229">
    <w:name w:val="Body Text Indent 2"/>
    <w:basedOn w:val="1198"/>
    <w:uiPriority w:val="0"/>
    <w:qFormat/>
    <w:pPr>
      <w:ind w:firstLine="525"/>
      <w:spacing w:line="420" w:lineRule="exact"/>
    </w:pPr>
    <w:rPr>
      <w:rFonts w:ascii="宋体"/>
    </w:rPr>
  </w:style>
  <w:style w:type="paragraph" w:styleId="1230">
    <w:name w:val="endnote text"/>
    <w:basedOn w:val="1198"/>
    <w:link w:val="1402"/>
    <w:uiPriority w:val="99"/>
    <w:semiHidden/>
    <w:unhideWhenUsed/>
    <w:qFormat/>
    <w:rPr>
      <w:sz w:val="20"/>
    </w:rPr>
  </w:style>
  <w:style w:type="paragraph" w:styleId="1231">
    <w:name w:val="Balloon Text"/>
    <w:basedOn w:val="1198"/>
    <w:uiPriority w:val="0"/>
    <w:qFormat/>
    <w:rPr>
      <w:sz w:val="18"/>
      <w:szCs w:val="18"/>
    </w:rPr>
  </w:style>
  <w:style w:type="paragraph" w:styleId="1232">
    <w:name w:val="Footer"/>
    <w:basedOn w:val="1198"/>
    <w:uiPriority w:val="0"/>
    <w:qFormat/>
    <w:pPr>
      <w:jc w:val="left"/>
      <w:tabs>
        <w:tab w:val="center" w:pos="4153" w:leader="none"/>
        <w:tab w:val="right" w:pos="8306" w:leader="none"/>
      </w:tabs>
    </w:pPr>
    <w:rPr>
      <w:sz w:val="18"/>
    </w:rPr>
  </w:style>
  <w:style w:type="paragraph" w:styleId="1233">
    <w:name w:val="Header"/>
    <w:basedOn w:val="1198"/>
    <w:uiPriority w:val="0"/>
    <w:qFormat/>
    <w:pPr>
      <w:jc w:val="center"/>
      <w:tabs>
        <w:tab w:val="center" w:pos="4153" w:leader="none"/>
        <w:tab w:val="right" w:pos="8306" w:leader="none"/>
      </w:tabs>
      <w:pBdr>
        <w:bottom w:val="single" w:color="auto" w:sz="6" w:space="1"/>
      </w:pBdr>
    </w:pPr>
    <w:rPr>
      <w:sz w:val="18"/>
    </w:rPr>
  </w:style>
  <w:style w:type="paragraph" w:styleId="1234">
    <w:name w:val="toc 1"/>
    <w:basedOn w:val="1198"/>
    <w:next w:val="1198"/>
    <w:uiPriority w:val="0"/>
    <w:qFormat/>
  </w:style>
  <w:style w:type="paragraph" w:styleId="1235">
    <w:name w:val="toc 4"/>
    <w:basedOn w:val="1198"/>
    <w:next w:val="1198"/>
    <w:uiPriority w:val="0"/>
    <w:qFormat/>
    <w:pPr>
      <w:ind w:left="600"/>
    </w:pPr>
  </w:style>
  <w:style w:type="paragraph" w:styleId="1236">
    <w:name w:val="Subtitle"/>
    <w:basedOn w:val="1198"/>
    <w:next w:val="1198"/>
    <w:uiPriority w:val="0"/>
    <w:qFormat/>
    <w:pPr>
      <w:jc w:val="center"/>
      <w:spacing w:before="240" w:after="60" w:line="312" w:lineRule="auto"/>
      <w:outlineLvl w:val="1"/>
    </w:pPr>
    <w:rPr>
      <w:rFonts w:ascii="Cambria" w:hAnsi="Cambria"/>
      <w:b/>
      <w:bCs/>
      <w:sz w:val="32"/>
      <w:szCs w:val="32"/>
    </w:rPr>
  </w:style>
  <w:style w:type="paragraph" w:styleId="1237">
    <w:name w:val="footnote text"/>
    <w:basedOn w:val="1198"/>
    <w:link w:val="1401"/>
    <w:uiPriority w:val="99"/>
    <w:semiHidden/>
    <w:unhideWhenUsed/>
    <w:qFormat/>
    <w:pPr>
      <w:spacing w:after="40"/>
    </w:pPr>
    <w:rPr>
      <w:sz w:val="18"/>
    </w:rPr>
  </w:style>
  <w:style w:type="paragraph" w:styleId="1238">
    <w:name w:val="toc 6"/>
    <w:basedOn w:val="1198"/>
    <w:next w:val="1198"/>
    <w:uiPriority w:val="0"/>
    <w:qFormat/>
    <w:pPr>
      <w:ind w:left="1000"/>
    </w:pPr>
  </w:style>
  <w:style w:type="paragraph" w:styleId="1239">
    <w:name w:val="Body Text Indent 3"/>
    <w:basedOn w:val="1198"/>
    <w:uiPriority w:val="0"/>
    <w:qFormat/>
    <w:pPr>
      <w:ind w:firstLine="100"/>
    </w:pPr>
    <w:rPr>
      <w:rFonts w:eastAsia="华文新魏"/>
      <w:b/>
      <w:bCs/>
      <w:sz w:val="84"/>
    </w:rPr>
  </w:style>
  <w:style w:type="paragraph" w:styleId="1240">
    <w:name w:val="table of figures"/>
    <w:basedOn w:val="1198"/>
    <w:next w:val="1198"/>
    <w:uiPriority w:val="99"/>
    <w:unhideWhenUsed/>
    <w:qFormat/>
  </w:style>
  <w:style w:type="paragraph" w:styleId="1241">
    <w:name w:val="toc 2"/>
    <w:basedOn w:val="1198"/>
    <w:next w:val="1198"/>
    <w:uiPriority w:val="0"/>
    <w:qFormat/>
    <w:pPr>
      <w:ind w:left="200"/>
    </w:pPr>
  </w:style>
  <w:style w:type="paragraph" w:styleId="1242">
    <w:name w:val="toc 9"/>
    <w:basedOn w:val="1198"/>
    <w:next w:val="1198"/>
    <w:uiPriority w:val="0"/>
    <w:qFormat/>
    <w:pPr>
      <w:ind w:left="1600"/>
    </w:pPr>
  </w:style>
  <w:style w:type="paragraph" w:styleId="1243">
    <w:name w:val="HTML Preformatted"/>
    <w:basedOn w:val="11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244">
    <w:name w:val="Normal (Web)"/>
    <w:basedOn w:val="119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45">
    <w:name w:val="Title"/>
    <w:basedOn w:val="1198"/>
    <w:uiPriority w:val="0"/>
    <w:qFormat/>
    <w:pPr>
      <w:jc w:val="center"/>
    </w:pPr>
    <w:rPr>
      <w:sz w:val="30"/>
      <w:szCs w:val="24"/>
    </w:rPr>
  </w:style>
  <w:style w:type="paragraph" w:styleId="1246">
    <w:name w:val="annotation subject"/>
    <w:basedOn w:val="1217"/>
    <w:next w:val="1217"/>
    <w:uiPriority w:val="0"/>
    <w:qFormat/>
    <w:rPr>
      <w:b/>
      <w:bCs/>
    </w:rPr>
  </w:style>
  <w:style w:type="paragraph" w:styleId="1247">
    <w:name w:val="Body Text First Indent"/>
    <w:basedOn w:val="1218"/>
    <w:uiPriority w:val="0"/>
    <w:qFormat/>
    <w:pPr>
      <w:ind w:firstLine="420"/>
    </w:pPr>
  </w:style>
  <w:style w:type="paragraph" w:styleId="1248">
    <w:name w:val="Body Text First Indent 2"/>
    <w:basedOn w:val="1219"/>
    <w:link w:val="1466"/>
    <w:uiPriority w:val="0"/>
    <w:qFormat/>
    <w:pPr>
      <w:ind w:left="420"/>
      <w:spacing w:after="120" w:line="240" w:lineRule="auto"/>
    </w:pPr>
    <w:rPr>
      <w:sz w:val="21"/>
    </w:rPr>
  </w:style>
  <w:style w:type="table" w:styleId="1249">
    <w:name w:val="Table Grid"/>
    <w:basedOn w:val="120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0">
    <w:name w:val="Strong"/>
    <w:uiPriority w:val="0"/>
    <w:qFormat/>
    <w:rPr>
      <w:b/>
      <w:bCs/>
    </w:rPr>
  </w:style>
  <w:style w:type="character" w:styleId="1251">
    <w:name w:val="endnote reference"/>
    <w:basedOn w:val="1208"/>
    <w:uiPriority w:val="99"/>
    <w:semiHidden/>
    <w:unhideWhenUsed/>
    <w:qFormat/>
    <w:rPr>
      <w:vertAlign w:val="superscript"/>
    </w:rPr>
  </w:style>
  <w:style w:type="character" w:styleId="1252">
    <w:name w:val="page number"/>
    <w:basedOn w:val="1208"/>
    <w:uiPriority w:val="0"/>
    <w:qFormat/>
  </w:style>
  <w:style w:type="character" w:styleId="1253">
    <w:name w:val="Emphasis"/>
    <w:uiPriority w:val="0"/>
    <w:qFormat/>
    <w:rPr>
      <w:i/>
    </w:rPr>
  </w:style>
  <w:style w:type="character" w:styleId="1254">
    <w:name w:val="Hyperlink"/>
    <w:uiPriority w:val="0"/>
    <w:qFormat/>
    <w:rPr>
      <w:color w:val="000000"/>
      <w:sz w:val="18"/>
      <w:szCs w:val="18"/>
      <w:u w:val="none"/>
    </w:rPr>
  </w:style>
  <w:style w:type="character" w:styleId="1255">
    <w:name w:val="annotation reference"/>
    <w:basedOn w:val="1208"/>
    <w:uiPriority w:val="0"/>
    <w:qFormat/>
    <w:rPr>
      <w:sz w:val="21"/>
      <w:szCs w:val="21"/>
    </w:rPr>
  </w:style>
  <w:style w:type="character" w:styleId="1256">
    <w:name w:val="footnote reference"/>
    <w:basedOn w:val="1208"/>
    <w:uiPriority w:val="99"/>
    <w:unhideWhenUsed/>
    <w:qFormat/>
    <w:rPr>
      <w:vertAlign w:val="superscript"/>
    </w:rPr>
  </w:style>
  <w:style w:type="character" w:styleId="1257" w:customStyle="1">
    <w:name w:val="Heading 1 Char"/>
    <w:basedOn w:val="1208"/>
    <w:uiPriority w:val="9"/>
    <w:qFormat/>
    <w:rPr>
      <w:rFonts w:ascii="Arial" w:hAnsi="Arial" w:eastAsia="Arial" w:cs="Arial"/>
      <w:sz w:val="40"/>
      <w:szCs w:val="40"/>
    </w:rPr>
  </w:style>
  <w:style w:type="character" w:styleId="1258" w:customStyle="1">
    <w:name w:val="Heading 2 Char"/>
    <w:basedOn w:val="1208"/>
    <w:uiPriority w:val="9"/>
    <w:qFormat/>
    <w:rPr>
      <w:rFonts w:ascii="Arial" w:hAnsi="Arial" w:eastAsia="Arial" w:cs="Arial"/>
      <w:sz w:val="34"/>
    </w:rPr>
  </w:style>
  <w:style w:type="character" w:styleId="1259" w:customStyle="1">
    <w:name w:val="Heading 3 Char"/>
    <w:basedOn w:val="1208"/>
    <w:uiPriority w:val="9"/>
    <w:qFormat/>
    <w:rPr>
      <w:rFonts w:ascii="Arial" w:hAnsi="Arial" w:eastAsia="Arial" w:cs="Arial"/>
      <w:sz w:val="30"/>
      <w:szCs w:val="30"/>
    </w:rPr>
  </w:style>
  <w:style w:type="character" w:styleId="1260" w:customStyle="1">
    <w:name w:val="Heading 4 Char"/>
    <w:basedOn w:val="1208"/>
    <w:uiPriority w:val="9"/>
    <w:qFormat/>
    <w:rPr>
      <w:rFonts w:ascii="Arial" w:hAnsi="Arial" w:eastAsia="Arial" w:cs="Arial"/>
      <w:b/>
      <w:bCs/>
      <w:sz w:val="26"/>
      <w:szCs w:val="26"/>
    </w:rPr>
  </w:style>
  <w:style w:type="character" w:styleId="1261" w:customStyle="1">
    <w:name w:val="Heading 5 Char"/>
    <w:basedOn w:val="1208"/>
    <w:uiPriority w:val="9"/>
    <w:qFormat/>
    <w:rPr>
      <w:rFonts w:ascii="Arial" w:hAnsi="Arial" w:eastAsia="Arial" w:cs="Arial"/>
      <w:b/>
      <w:bCs/>
      <w:sz w:val="24"/>
      <w:szCs w:val="24"/>
    </w:rPr>
  </w:style>
  <w:style w:type="character" w:styleId="1262" w:customStyle="1">
    <w:name w:val="标题 6 字符"/>
    <w:basedOn w:val="1208"/>
    <w:link w:val="1204"/>
    <w:uiPriority w:val="9"/>
    <w:qFormat/>
    <w:rPr>
      <w:rFonts w:ascii="Arial" w:hAnsi="Arial" w:eastAsia="Arial" w:cs="Arial"/>
      <w:b/>
      <w:bCs/>
      <w:sz w:val="22"/>
      <w:szCs w:val="22"/>
    </w:rPr>
  </w:style>
  <w:style w:type="character" w:styleId="1263" w:customStyle="1">
    <w:name w:val="Heading 7 Char"/>
    <w:basedOn w:val="1208"/>
    <w:uiPriority w:val="9"/>
    <w:qFormat/>
    <w:rPr>
      <w:rFonts w:ascii="Arial" w:hAnsi="Arial" w:eastAsia="Arial" w:cs="Arial"/>
      <w:b/>
      <w:bCs/>
      <w:i/>
      <w:iCs/>
      <w:sz w:val="22"/>
      <w:szCs w:val="22"/>
    </w:rPr>
  </w:style>
  <w:style w:type="character" w:styleId="1264" w:customStyle="1">
    <w:name w:val="标题 8 字符"/>
    <w:basedOn w:val="1208"/>
    <w:link w:val="1206"/>
    <w:uiPriority w:val="9"/>
    <w:qFormat/>
    <w:rPr>
      <w:rFonts w:ascii="Arial" w:hAnsi="Arial" w:eastAsia="Arial" w:cs="Arial"/>
      <w:i/>
      <w:iCs/>
      <w:sz w:val="22"/>
      <w:szCs w:val="22"/>
    </w:rPr>
  </w:style>
  <w:style w:type="character" w:styleId="1265" w:customStyle="1">
    <w:name w:val="标题 9 字符"/>
    <w:basedOn w:val="1208"/>
    <w:link w:val="1207"/>
    <w:uiPriority w:val="9"/>
    <w:qFormat/>
    <w:rPr>
      <w:rFonts w:ascii="Arial" w:hAnsi="Arial" w:eastAsia="Arial" w:cs="Arial"/>
      <w:i/>
      <w:iCs/>
      <w:sz w:val="21"/>
      <w:szCs w:val="21"/>
    </w:rPr>
  </w:style>
  <w:style w:type="paragraph" w:styleId="1266">
    <w:name w:val="No Spacing"/>
    <w:uiPriority w:val="1"/>
    <w:qFormat/>
    <w:rPr>
      <w:rFonts w:ascii="Times New Roman" w:hAnsi="Times New Roman" w:eastAsia="宋体" w:cs="Times New Roman"/>
      <w:lang w:val="en-US" w:eastAsia="zh-CN" w:bidi="ar-SA"/>
    </w:rPr>
  </w:style>
  <w:style w:type="character" w:styleId="1267" w:customStyle="1">
    <w:name w:val="Title Char"/>
    <w:basedOn w:val="1208"/>
    <w:uiPriority w:val="10"/>
    <w:qFormat/>
    <w:rPr>
      <w:sz w:val="48"/>
      <w:szCs w:val="48"/>
    </w:rPr>
  </w:style>
  <w:style w:type="character" w:styleId="1268" w:customStyle="1">
    <w:name w:val="Subtitle Char"/>
    <w:basedOn w:val="1208"/>
    <w:uiPriority w:val="11"/>
    <w:qFormat/>
    <w:rPr>
      <w:sz w:val="24"/>
      <w:szCs w:val="24"/>
    </w:rPr>
  </w:style>
  <w:style w:type="paragraph" w:styleId="1269">
    <w:name w:val="Quote"/>
    <w:basedOn w:val="1198"/>
    <w:next w:val="1198"/>
    <w:link w:val="1270"/>
    <w:uiPriority w:val="29"/>
    <w:qFormat/>
    <w:pPr>
      <w:ind w:left="720" w:right="720"/>
    </w:pPr>
    <w:rPr>
      <w:i/>
    </w:rPr>
  </w:style>
  <w:style w:type="character" w:styleId="1270" w:customStyle="1">
    <w:name w:val="引用 字符"/>
    <w:link w:val="1269"/>
    <w:uiPriority w:val="29"/>
    <w:qFormat/>
    <w:rPr>
      <w:i/>
    </w:rPr>
  </w:style>
  <w:style w:type="paragraph" w:styleId="1271">
    <w:name w:val="Intense Quote"/>
    <w:basedOn w:val="1198"/>
    <w:next w:val="1198"/>
    <w:link w:val="12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2" w:customStyle="1">
    <w:name w:val="明显引用 字符"/>
    <w:link w:val="1271"/>
    <w:uiPriority w:val="30"/>
    <w:qFormat/>
    <w:rPr>
      <w:i/>
    </w:rPr>
  </w:style>
  <w:style w:type="character" w:styleId="1273" w:customStyle="1">
    <w:name w:val="Header Char"/>
    <w:basedOn w:val="1208"/>
    <w:uiPriority w:val="99"/>
    <w:qFormat/>
  </w:style>
  <w:style w:type="character" w:styleId="1274" w:customStyle="1">
    <w:name w:val="Footer Char"/>
    <w:basedOn w:val="1208"/>
    <w:uiPriority w:val="99"/>
    <w:qFormat/>
  </w:style>
  <w:style w:type="character" w:styleId="1275" w:customStyle="1">
    <w:name w:val="Caption Char"/>
    <w:uiPriority w:val="99"/>
    <w:qFormat/>
  </w:style>
  <w:style w:type="table" w:styleId="1276" w:customStyle="1">
    <w:name w:val="Table Grid Light"/>
    <w:basedOn w:val="12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77" w:customStyle="1">
    <w:name w:val="无格式表格 11"/>
    <w:basedOn w:val="12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8" w:customStyle="1">
    <w:name w:val="无格式表格 21"/>
    <w:basedOn w:val="12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9" w:customStyle="1">
    <w:name w:val="无格式表格 31"/>
    <w:basedOn w:val="12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0" w:customStyle="1">
    <w:name w:val="无格式表格 41"/>
    <w:basedOn w:val="12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1" w:customStyle="1">
    <w:name w:val="无格式表格 51"/>
    <w:basedOn w:val="12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2" w:customStyle="1">
    <w:name w:val="网格表 1 浅色1"/>
    <w:basedOn w:val="12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3" w:customStyle="1">
    <w:name w:val="Grid Table 1 Light - Accent 1"/>
    <w:basedOn w:val="12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84" w:customStyle="1">
    <w:name w:val="Grid Table 1 Light - Accent 2"/>
    <w:basedOn w:val="12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85" w:customStyle="1">
    <w:name w:val="Grid Table 1 Light - Accent 3"/>
    <w:basedOn w:val="12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86" w:customStyle="1">
    <w:name w:val="Grid Table 1 Light - Accent 4"/>
    <w:basedOn w:val="12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87" w:customStyle="1">
    <w:name w:val="Grid Table 1 Light - Accent 5"/>
    <w:basedOn w:val="12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6"/>
    <w:basedOn w:val="12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89" w:customStyle="1">
    <w:name w:val="网格表 21"/>
    <w:basedOn w:val="12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0" w:customStyle="1">
    <w:name w:val="Grid Table 2 - Accent 1"/>
    <w:basedOn w:val="12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1" w:customStyle="1">
    <w:name w:val="Grid Table 2 - Accent 2"/>
    <w:basedOn w:val="12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2" w:customStyle="1">
    <w:name w:val="Grid Table 2 - Accent 3"/>
    <w:basedOn w:val="12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3" w:customStyle="1">
    <w:name w:val="Grid Table 2 - Accent 4"/>
    <w:basedOn w:val="12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94" w:customStyle="1">
    <w:name w:val="Grid Table 2 - Accent 5"/>
    <w:basedOn w:val="12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95" w:customStyle="1">
    <w:name w:val="Grid Table 2 - Accent 6"/>
    <w:basedOn w:val="12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96" w:customStyle="1">
    <w:name w:val="网格表 31"/>
    <w:basedOn w:val="12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7" w:customStyle="1">
    <w:name w:val="Grid Table 3 - Accent 1"/>
    <w:basedOn w:val="12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8" w:customStyle="1">
    <w:name w:val="Grid Table 3 - Accent 2"/>
    <w:basedOn w:val="12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9" w:customStyle="1">
    <w:name w:val="Grid Table 3 - Accent 3"/>
    <w:basedOn w:val="12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4"/>
    <w:basedOn w:val="12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5"/>
    <w:basedOn w:val="12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6"/>
    <w:basedOn w:val="12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网格表 41"/>
    <w:basedOn w:val="12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4" w:customStyle="1">
    <w:name w:val="Grid Table 4 - Accent 1"/>
    <w:basedOn w:val="12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05" w:customStyle="1">
    <w:name w:val="Grid Table 4 - Accent 2"/>
    <w:basedOn w:val="12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06" w:customStyle="1">
    <w:name w:val="Grid Table 4 - Accent 3"/>
    <w:basedOn w:val="12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07" w:customStyle="1">
    <w:name w:val="Grid Table 4 - Accent 4"/>
    <w:basedOn w:val="12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08" w:customStyle="1">
    <w:name w:val="Grid Table 4 - Accent 5"/>
    <w:basedOn w:val="12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09" w:customStyle="1">
    <w:name w:val="Grid Table 4 - Accent 6"/>
    <w:basedOn w:val="12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0" w:customStyle="1">
    <w:name w:val="网格表 5 深色1"/>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1" w:customStyle="1">
    <w:name w:val="Grid Table 5 Dark- Accent 1"/>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2" w:customStyle="1">
    <w:name w:val="Grid Table 5 Dark - Accent 2"/>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3" w:customStyle="1">
    <w:name w:val="Grid Table 5 Dark - Accent 3"/>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4" w:customStyle="1">
    <w:name w:val="Grid Table 5 Dark- Accent 4"/>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5" w:customStyle="1">
    <w:name w:val="Grid Table 5 Dark - Accent 5"/>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16" w:customStyle="1">
    <w:name w:val="Grid Table 5 Dark - Accent 6"/>
    <w:basedOn w:val="12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17" w:customStyle="1">
    <w:name w:val="网格表 6 彩色1"/>
    <w:basedOn w:val="12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18" w:customStyle="1">
    <w:name w:val="Grid Table 6 Colorful - Accent 1"/>
    <w:basedOn w:val="12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19" w:customStyle="1">
    <w:name w:val="Grid Table 6 Colorful - Accent 2"/>
    <w:basedOn w:val="12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0" w:customStyle="1">
    <w:name w:val="Grid Table 6 Colorful - Accent 3"/>
    <w:basedOn w:val="12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1" w:customStyle="1">
    <w:name w:val="Grid Table 6 Colorful - Accent 4"/>
    <w:basedOn w:val="12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2" w:customStyle="1">
    <w:name w:val="Grid Table 6 Colorful - Accent 5"/>
    <w:basedOn w:val="12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3" w:customStyle="1">
    <w:name w:val="Grid Table 6 Colorful - Accent 6"/>
    <w:basedOn w:val="12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4" w:customStyle="1">
    <w:name w:val="网格表 7 彩色1"/>
    <w:basedOn w:val="12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5" w:customStyle="1">
    <w:name w:val="Grid Table 7 Colorful - Accent 1"/>
    <w:basedOn w:val="12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26" w:customStyle="1">
    <w:name w:val="Grid Table 7 Colorful - Accent 2"/>
    <w:basedOn w:val="12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7" w:customStyle="1">
    <w:name w:val="Grid Table 7 Colorful - Accent 3"/>
    <w:basedOn w:val="12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28" w:customStyle="1">
    <w:name w:val="Grid Table 7 Colorful - Accent 4"/>
    <w:basedOn w:val="12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9" w:customStyle="1">
    <w:name w:val="Grid Table 7 Colorful - Accent 5"/>
    <w:basedOn w:val="12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0" w:customStyle="1">
    <w:name w:val="Grid Table 7 Colorful - Accent 6"/>
    <w:basedOn w:val="12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1" w:customStyle="1">
    <w:name w:val="清单表 1 浅色1"/>
    <w:basedOn w:val="12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2" w:customStyle="1">
    <w:name w:val="List Table 1 Light - Accent 1"/>
    <w:basedOn w:val="12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3" w:customStyle="1">
    <w:name w:val="List Table 1 Light - Accent 2"/>
    <w:basedOn w:val="12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4" w:customStyle="1">
    <w:name w:val="List Table 1 Light - Accent 3"/>
    <w:basedOn w:val="12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5" w:customStyle="1">
    <w:name w:val="List Table 1 Light - Accent 4"/>
    <w:basedOn w:val="12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36" w:customStyle="1">
    <w:name w:val="List Table 1 Light - Accent 5"/>
    <w:basedOn w:val="12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37" w:customStyle="1">
    <w:name w:val="List Table 1 Light - Accent 6"/>
    <w:basedOn w:val="12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38" w:customStyle="1">
    <w:name w:val="清单表 21"/>
    <w:basedOn w:val="12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39" w:customStyle="1">
    <w:name w:val="List Table 2 - Accent 1"/>
    <w:basedOn w:val="12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0" w:customStyle="1">
    <w:name w:val="List Table 2 - Accent 2"/>
    <w:basedOn w:val="12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1" w:customStyle="1">
    <w:name w:val="List Table 2 - Accent 3"/>
    <w:basedOn w:val="12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2" w:customStyle="1">
    <w:name w:val="List Table 2 - Accent 4"/>
    <w:basedOn w:val="12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3" w:customStyle="1">
    <w:name w:val="List Table 2 - Accent 5"/>
    <w:basedOn w:val="12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4" w:customStyle="1">
    <w:name w:val="List Table 2 - Accent 6"/>
    <w:basedOn w:val="12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5" w:customStyle="1">
    <w:name w:val="清单表 31"/>
    <w:basedOn w:val="12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6" w:customStyle="1">
    <w:name w:val="List Table 3 - Accent 1"/>
    <w:basedOn w:val="12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47" w:customStyle="1">
    <w:name w:val="List Table 3 - Accent 2"/>
    <w:basedOn w:val="12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48" w:customStyle="1">
    <w:name w:val="List Table 3 - Accent 3"/>
    <w:basedOn w:val="12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49" w:customStyle="1">
    <w:name w:val="List Table 3 - Accent 4"/>
    <w:basedOn w:val="12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50" w:customStyle="1">
    <w:name w:val="List Table 3 - Accent 5"/>
    <w:basedOn w:val="12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1" w:customStyle="1">
    <w:name w:val="List Table 3 - Accent 6"/>
    <w:basedOn w:val="12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2" w:customStyle="1">
    <w:name w:val="清单表 41"/>
    <w:basedOn w:val="12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3" w:customStyle="1">
    <w:name w:val="List Table 4 - Accent 1"/>
    <w:basedOn w:val="12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4" w:customStyle="1">
    <w:name w:val="List Table 4 - Accent 2"/>
    <w:basedOn w:val="12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5" w:customStyle="1">
    <w:name w:val="List Table 4 - Accent 3"/>
    <w:basedOn w:val="12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56" w:customStyle="1">
    <w:name w:val="List Table 4 - Accent 4"/>
    <w:basedOn w:val="12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57" w:customStyle="1">
    <w:name w:val="List Table 4 - Accent 5"/>
    <w:basedOn w:val="12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58" w:customStyle="1">
    <w:name w:val="List Table 4 - Accent 6"/>
    <w:basedOn w:val="12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59" w:customStyle="1">
    <w:name w:val="清单表 5 深色1"/>
    <w:basedOn w:val="12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0" w:customStyle="1">
    <w:name w:val="List Table 5 Dark - Accent 1"/>
    <w:basedOn w:val="12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1" w:customStyle="1">
    <w:name w:val="List Table 5 Dark - Accent 2"/>
    <w:basedOn w:val="12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2" w:customStyle="1">
    <w:name w:val="List Table 5 Dark - Accent 3"/>
    <w:basedOn w:val="12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3" w:customStyle="1">
    <w:name w:val="List Table 5 Dark - Accent 4"/>
    <w:basedOn w:val="12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4" w:customStyle="1">
    <w:name w:val="List Table 5 Dark - Accent 5"/>
    <w:basedOn w:val="12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5" w:customStyle="1">
    <w:name w:val="List Table 5 Dark - Accent 6"/>
    <w:basedOn w:val="12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清单表 6 彩色1"/>
    <w:basedOn w:val="12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67" w:customStyle="1">
    <w:name w:val="List Table 6 Colorful - Accent 1"/>
    <w:basedOn w:val="12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68" w:customStyle="1">
    <w:name w:val="List Table 6 Colorful - Accent 2"/>
    <w:basedOn w:val="12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69" w:customStyle="1">
    <w:name w:val="List Table 6 Colorful - Accent 3"/>
    <w:basedOn w:val="12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70" w:customStyle="1">
    <w:name w:val="List Table 6 Colorful - Accent 4"/>
    <w:basedOn w:val="12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71" w:customStyle="1">
    <w:name w:val="List Table 6 Colorful - Accent 5"/>
    <w:basedOn w:val="12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72" w:customStyle="1">
    <w:name w:val="List Table 6 Colorful - Accent 6"/>
    <w:basedOn w:val="12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73" w:customStyle="1">
    <w:name w:val="清单表 7 彩色1"/>
    <w:basedOn w:val="12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4" w:customStyle="1">
    <w:name w:val="List Table 7 Colorful - Accent 1"/>
    <w:basedOn w:val="12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75" w:customStyle="1">
    <w:name w:val="List Table 7 Colorful - Accent 2"/>
    <w:basedOn w:val="12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6" w:customStyle="1">
    <w:name w:val="List Table 7 Colorful - Accent 3"/>
    <w:basedOn w:val="12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77" w:customStyle="1">
    <w:name w:val="List Table 7 Colorful - Accent 4"/>
    <w:basedOn w:val="12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8" w:customStyle="1">
    <w:name w:val="List Table 7 Colorful - Accent 5"/>
    <w:basedOn w:val="12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79" w:customStyle="1">
    <w:name w:val="List Table 7 Colorful - Accent 6"/>
    <w:basedOn w:val="12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80" w:customStyle="1">
    <w:name w:val="Lined - Accent"/>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1" w:customStyle="1">
    <w:name w:val="Lined - Accent 1"/>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2" w:customStyle="1">
    <w:name w:val="Lined - Accent 2"/>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3" w:customStyle="1">
    <w:name w:val="Lined - Accent 3"/>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4" w:customStyle="1">
    <w:name w:val="Lined - Accent 4"/>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5" w:customStyle="1">
    <w:name w:val="Lined - Accent 5"/>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6" w:customStyle="1">
    <w:name w:val="Lined - Accent 6"/>
    <w:basedOn w:val="12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7" w:customStyle="1">
    <w:name w:val="Bordered &amp; Lined - Accent"/>
    <w:basedOn w:val="12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8" w:customStyle="1">
    <w:name w:val="Bordered &amp; Lined - Accent 1"/>
    <w:basedOn w:val="12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9" w:customStyle="1">
    <w:name w:val="Bordered &amp; Lined - Accent 2"/>
    <w:basedOn w:val="12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0" w:customStyle="1">
    <w:name w:val="Bordered &amp; Lined - Accent 3"/>
    <w:basedOn w:val="12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1" w:customStyle="1">
    <w:name w:val="Bordered &amp; Lined - Accent 4"/>
    <w:basedOn w:val="12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2" w:customStyle="1">
    <w:name w:val="Bordered &amp; Lined - Accent 5"/>
    <w:basedOn w:val="12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3" w:customStyle="1">
    <w:name w:val="Bordered &amp; Lined - Accent 6"/>
    <w:basedOn w:val="12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4" w:customStyle="1">
    <w:name w:val="Bordered"/>
    <w:basedOn w:val="12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95" w:customStyle="1">
    <w:name w:val="Bordered - Accent 1"/>
    <w:basedOn w:val="12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96" w:customStyle="1">
    <w:name w:val="Bordered - Accent 2"/>
    <w:basedOn w:val="12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97" w:customStyle="1">
    <w:name w:val="Bordered - Accent 3"/>
    <w:basedOn w:val="12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98" w:customStyle="1">
    <w:name w:val="Bordered - Accent 4"/>
    <w:basedOn w:val="12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99" w:customStyle="1">
    <w:name w:val="Bordered - Accent 5"/>
    <w:basedOn w:val="12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00" w:customStyle="1">
    <w:name w:val="Bordered - Accent 6"/>
    <w:basedOn w:val="12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01" w:customStyle="1">
    <w:name w:val="脚注文本 字符"/>
    <w:link w:val="1237"/>
    <w:uiPriority w:val="99"/>
    <w:qFormat/>
    <w:rPr>
      <w:sz w:val="18"/>
    </w:rPr>
  </w:style>
  <w:style w:type="character" w:styleId="1402" w:customStyle="1">
    <w:name w:val="尾注文本 字符"/>
    <w:link w:val="1230"/>
    <w:uiPriority w:val="99"/>
    <w:qFormat/>
    <w:rPr>
      <w:sz w:val="20"/>
    </w:rPr>
  </w:style>
  <w:style w:type="paragraph" w:styleId="1403" w:customStyle="1">
    <w:name w:val="TOC 标题1"/>
    <w:uiPriority w:val="39"/>
    <w:unhideWhenUsed/>
    <w:qFormat/>
    <w:rPr>
      <w:rFonts w:ascii="Times New Roman" w:hAnsi="Times New Roman" w:eastAsia="宋体" w:cs="Times New Roman"/>
      <w:lang w:val="en-US" w:eastAsia="zh-CN" w:bidi="ar-SA"/>
    </w:rPr>
  </w:style>
  <w:style w:type="paragraph" w:styleId="1404" w:customStyle="1">
    <w:name w:val="[Normal]"/>
    <w:uiPriority w:val="99"/>
    <w:qFormat/>
    <w:rPr>
      <w:rFonts w:ascii="方正仿宋简体" w:hAnsi="方正仿宋简体" w:eastAsia="方正仿宋简体" w:cs="Courier New"/>
      <w:sz w:val="24"/>
      <w:szCs w:val="22"/>
      <w:lang w:val="zh-CN" w:eastAsia="zh-CN" w:bidi="ar-SA"/>
    </w:rPr>
  </w:style>
  <w:style w:type="paragraph" w:styleId="1405" w:customStyle="1">
    <w:name w:val="二级条标题"/>
    <w:basedOn w:val="1406"/>
    <w:next w:val="1198"/>
    <w:uiPriority w:val="0"/>
    <w:qFormat/>
    <w:pPr>
      <w:outlineLvl w:val="2"/>
    </w:pPr>
    <w:rPr>
      <w:szCs w:val="24"/>
    </w:rPr>
  </w:style>
  <w:style w:type="paragraph" w:styleId="1406" w:customStyle="1">
    <w:name w:val="一级条标题"/>
    <w:basedOn w:val="1407"/>
    <w:next w:val="1408"/>
    <w:uiPriority w:val="0"/>
    <w:qFormat/>
    <w:pPr>
      <w:outlineLvl w:val="1"/>
    </w:pPr>
    <w:rPr>
      <w:sz w:val="24"/>
    </w:rPr>
  </w:style>
  <w:style w:type="paragraph" w:styleId="1407" w:customStyle="1">
    <w:name w:val="章标题"/>
    <w:basedOn w:val="1198"/>
    <w:next w:val="1198"/>
    <w:uiPriority w:val="0"/>
    <w:qFormat/>
    <w:pPr>
      <w:numPr>
        <w:ilvl w:val="0"/>
        <w:numId w:val="1"/>
      </w:numPr>
      <w:jc w:val="left"/>
      <w:outlineLvl w:val="0"/>
    </w:pPr>
    <w:rPr>
      <w:b/>
      <w:sz w:val="28"/>
      <w:szCs w:val="28"/>
    </w:rPr>
  </w:style>
  <w:style w:type="paragraph" w:styleId="1408" w:customStyle="1">
    <w:name w:val="段"/>
    <w:basedOn w:val="1198"/>
    <w:next w:val="1198"/>
    <w:uiPriority w:val="0"/>
    <w:qFormat/>
    <w:pPr>
      <w:ind w:firstLine="200"/>
      <w:widowControl/>
    </w:pPr>
    <w:rPr>
      <w:rFonts w:hint="eastAsia" w:ascii="宋体" w:hAnsi="Times New Roman" w:eastAsia="宋体" w:cs="Times New Roman"/>
      <w:szCs w:val="20"/>
    </w:rPr>
  </w:style>
  <w:style w:type="paragraph" w:styleId="1409" w:customStyle="1">
    <w:name w:val="Char Char Char Char Char Char Char"/>
    <w:basedOn w:val="1198"/>
    <w:uiPriority w:val="0"/>
    <w:qFormat/>
    <w:pPr>
      <w:ind w:left="432" w:hanging="432"/>
      <w:jc w:val="center"/>
      <w:tabs>
        <w:tab w:val="left" w:pos="432" w:leader="none"/>
      </w:tabs>
    </w:pPr>
    <w:rPr>
      <w:rFonts w:ascii="仿宋_GB2312" w:hAnsi="仿宋_GB2312" w:eastAsia="仿宋_GB2312"/>
      <w:sz w:val="24"/>
      <w:szCs w:val="24"/>
    </w:rPr>
  </w:style>
  <w:style w:type="paragraph" w:styleId="1410" w:customStyle="1">
    <w:name w:val="Char Char Char Char Char Char Char1"/>
    <w:basedOn w:val="1198"/>
    <w:uiPriority w:val="0"/>
    <w:qFormat/>
    <w:rPr>
      <w:rFonts w:ascii="Tahoma" w:hAnsi="Tahoma" w:cs="仿宋_GB2312"/>
      <w:sz w:val="24"/>
      <w:szCs w:val="28"/>
    </w:rPr>
  </w:style>
  <w:style w:type="paragraph" w:styleId="1411" w:customStyle="1">
    <w:name w:val="正文文本首行缩进1"/>
    <w:basedOn w:val="1218"/>
    <w:uiPriority w:val="0"/>
    <w:qFormat/>
    <w:pPr>
      <w:ind w:firstLine="420"/>
    </w:pPr>
  </w:style>
  <w:style w:type="paragraph" w:styleId="1412" w:customStyle="1">
    <w:name w:val="表中字"/>
    <w:basedOn w:val="1198"/>
    <w:uiPriority w:val="0"/>
    <w:qFormat/>
    <w:pPr>
      <w:jc w:val="center"/>
    </w:pPr>
    <w:rPr>
      <w:szCs w:val="21"/>
    </w:rPr>
  </w:style>
  <w:style w:type="paragraph" w:styleId="1413" w:customStyle="1">
    <w:name w:val="Char Char"/>
    <w:basedOn w:val="1198"/>
    <w:uiPriority w:val="0"/>
    <w:qFormat/>
    <w:pPr>
      <w:ind w:left="360" w:hanging="360"/>
    </w:pPr>
    <w:rPr>
      <w:sz w:val="24"/>
      <w:szCs w:val="24"/>
    </w:rPr>
  </w:style>
  <w:style w:type="paragraph" w:styleId="1414" w:customStyle="1">
    <w:name w:val="正文1"/>
    <w:basedOn w:val="1198"/>
    <w:uiPriority w:val="0"/>
    <w:qFormat/>
    <w:pPr>
      <w:jc w:val="left"/>
      <w:spacing w:after="200" w:line="300" w:lineRule="atLeast"/>
      <w:widowControl/>
    </w:pPr>
    <w:rPr>
      <w:rFonts w:ascii="Calibri" w:hAnsi="Calibri" w:cs="宋体"/>
      <w:sz w:val="22"/>
      <w:szCs w:val="22"/>
    </w:rPr>
  </w:style>
  <w:style w:type="paragraph" w:styleId="1415" w:customStyle="1">
    <w:name w:val="彩色列表 - 强调文字颜色 11"/>
    <w:basedOn w:val="1198"/>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16" w:customStyle="1">
    <w:name w:val="图片格式"/>
    <w:basedOn w:val="1198"/>
    <w:next w:val="1198"/>
    <w:uiPriority w:val="0"/>
    <w:qFormat/>
    <w:pPr>
      <w:jc w:val="center"/>
      <w:keepNext/>
    </w:pPr>
  </w:style>
  <w:style w:type="paragraph" w:styleId="1417" w:customStyle="1">
    <w:name w:val="列表段落1"/>
    <w:basedOn w:val="1198"/>
    <w:uiPriority w:val="0"/>
    <w:qFormat/>
    <w:pPr>
      <w:ind w:firstLine="200"/>
    </w:pPr>
    <w:rPr>
      <w:rFonts w:ascii="Calibri" w:hAnsi="Calibri"/>
      <w:szCs w:val="22"/>
    </w:rPr>
  </w:style>
  <w:style w:type="paragraph" w:styleId="1418" w:customStyle="1">
    <w:name w:val="简单回函地址"/>
    <w:basedOn w:val="1198"/>
    <w:uiPriority w:val="0"/>
    <w:qFormat/>
    <w:rPr>
      <w:szCs w:val="24"/>
    </w:rPr>
  </w:style>
  <w:style w:type="paragraph" w:styleId="1419" w:customStyle="1">
    <w:name w:val="Table Sub Section"/>
    <w:basedOn w:val="1198"/>
    <w:uiPriority w:val="0"/>
    <w:qFormat/>
    <w:pPr>
      <w:jc w:val="left"/>
      <w:keepNext/>
      <w:spacing w:before="160" w:after="160" w:line="276" w:lineRule="auto"/>
      <w:widowControl/>
    </w:pPr>
    <w:rPr>
      <w:rFonts w:ascii="Arial" w:hAnsi="Arial"/>
      <w:b/>
      <w:color w:val="0f0f0f"/>
      <w:sz w:val="20"/>
      <w:lang w:eastAsia="en-US"/>
    </w:rPr>
  </w:style>
  <w:style w:type="paragraph" w:styleId="1420" w:customStyle="1">
    <w:name w:val="yiv1658056056msonormal"/>
    <w:basedOn w:val="1198"/>
    <w:uiPriority w:val="0"/>
    <w:qFormat/>
    <w:pPr>
      <w:jc w:val="left"/>
      <w:spacing w:before="100" w:beforeAutospacing="1" w:after="100" w:afterAutospacing="1"/>
      <w:widowControl/>
    </w:pPr>
    <w:rPr>
      <w:rFonts w:ascii="宋体" w:cs="宋体"/>
      <w:sz w:val="24"/>
      <w:szCs w:val="24"/>
    </w:rPr>
  </w:style>
  <w:style w:type="paragraph" w:styleId="1421" w:customStyle="1">
    <w:name w:val="样式 首行缩进:  2 字符"/>
    <w:basedOn w:val="1198"/>
    <w:uiPriority w:val="0"/>
    <w:qFormat/>
    <w:pPr>
      <w:ind w:firstLine="200"/>
      <w:spacing w:line="400" w:lineRule="exact"/>
    </w:pPr>
    <w:rPr>
      <w:rFonts w:cs="宋体"/>
      <w:sz w:val="24"/>
      <w:szCs w:val="24"/>
    </w:rPr>
  </w:style>
  <w:style w:type="paragraph" w:styleId="1422" w:customStyle="1">
    <w:name w:val="p0"/>
    <w:basedOn w:val="1198"/>
    <w:uiPriority w:val="0"/>
    <w:qFormat/>
    <w:pPr>
      <w:widowControl/>
    </w:pPr>
    <w:rPr>
      <w:szCs w:val="21"/>
    </w:rPr>
  </w:style>
  <w:style w:type="paragraph" w:styleId="1423" w:customStyle="1">
    <w:name w:val="列表段落2"/>
    <w:basedOn w:val="1198"/>
    <w:uiPriority w:val="0"/>
    <w:qFormat/>
    <w:pPr>
      <w:ind w:firstLine="200"/>
      <w:jc w:val="left"/>
      <w:spacing w:line="300" w:lineRule="auto"/>
    </w:pPr>
    <w:rPr>
      <w:szCs w:val="22"/>
    </w:rPr>
  </w:style>
  <w:style w:type="paragraph" w:styleId="1424" w:customStyle="1">
    <w:name w:val="Char Char Char"/>
    <w:basedOn w:val="1198"/>
    <w:uiPriority w:val="0"/>
    <w:qFormat/>
    <w:pPr>
      <w:jc w:val="center"/>
      <w:spacing w:line="400" w:lineRule="exact"/>
      <w:widowControl/>
    </w:pPr>
    <w:rPr>
      <w:szCs w:val="24"/>
    </w:rPr>
  </w:style>
  <w:style w:type="paragraph" w:styleId="1425" w:customStyle="1">
    <w:name w:val="编号一级列项"/>
    <w:basedOn w:val="1198"/>
    <w:uiPriority w:val="0"/>
    <w:qFormat/>
    <w:pPr>
      <w:numPr>
        <w:ilvl w:val="6"/>
        <w:numId w:val="1"/>
      </w:numPr>
      <w:jc w:val="left"/>
      <w:outlineLvl w:val="6"/>
    </w:pPr>
  </w:style>
  <w:style w:type="paragraph" w:styleId="1426"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27" w:customStyle="1">
    <w:name w:val="Normal1"/>
    <w:basedOn w:val="1198"/>
    <w:uiPriority w:val="0"/>
    <w:qFormat/>
    <w:pPr>
      <w:jc w:val="left"/>
      <w:spacing w:after="200" w:line="300" w:lineRule="atLeast"/>
      <w:widowControl/>
    </w:pPr>
    <w:rPr>
      <w:rFonts w:ascii="Calibri" w:hAnsi="Calibri" w:cs="宋体"/>
      <w:sz w:val="22"/>
      <w:szCs w:val="22"/>
    </w:rPr>
  </w:style>
  <w:style w:type="paragraph" w:styleId="1428" w:customStyle="1">
    <w:name w:val="标准文本"/>
    <w:basedOn w:val="1198"/>
    <w:uiPriority w:val="0"/>
    <w:qFormat/>
    <w:pPr>
      <w:ind w:firstLine="200"/>
      <w:spacing w:line="300" w:lineRule="auto"/>
    </w:pPr>
    <w:rPr>
      <w:rFonts w:ascii="宋体" w:cs="宋体"/>
      <w:szCs w:val="21"/>
    </w:rPr>
  </w:style>
  <w:style w:type="paragraph" w:styleId="1429" w:customStyle="1">
    <w:name w:val="正文文本首行缩进 21"/>
    <w:basedOn w:val="1198"/>
    <w:uiPriority w:val="0"/>
    <w:qFormat/>
    <w:pPr>
      <w:ind w:firstLine="200"/>
    </w:pPr>
    <w:rPr>
      <w:sz w:val="24"/>
      <w:szCs w:val="24"/>
    </w:rPr>
  </w:style>
  <w:style w:type="paragraph" w:styleId="1430"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31"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32"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33"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34"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35"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36"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37"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38"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39"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0"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41"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42"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43"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44"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45"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46"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47" w:customStyle="1">
    <w:name w:val="列出段落2"/>
    <w:basedOn w:val="1198"/>
    <w:uiPriority w:val="99"/>
    <w:qFormat/>
    <w:pPr>
      <w:ind w:firstLine="420"/>
    </w:pPr>
    <w:rPr>
      <w:rFonts w:ascii="Calibri" w:hAnsi="Calibri"/>
      <w:szCs w:val="22"/>
    </w:rPr>
  </w:style>
  <w:style w:type="paragraph" w:styleId="1448" w:customStyle="1">
    <w:name w:val="表格"/>
    <w:basedOn w:val="1236"/>
    <w:next w:val="1198"/>
    <w:uiPriority w:val="0"/>
    <w:qFormat/>
    <w:pPr>
      <w:jc w:val="left"/>
      <w:spacing w:line="240" w:lineRule="auto"/>
      <w:widowControl/>
      <w:outlineLvl w:val="9"/>
    </w:pPr>
    <w:rPr>
      <w:rFonts w:eastAsia="仿宋"/>
      <w:b w:val="0"/>
      <w:sz w:val="21"/>
    </w:rPr>
  </w:style>
  <w:style w:type="paragraph" w:styleId="1449" w:customStyle="1">
    <w:name w:val="列表段落3"/>
    <w:basedOn w:val="1198"/>
    <w:uiPriority w:val="34"/>
    <w:qFormat/>
    <w:pPr>
      <w:ind w:firstLine="420"/>
    </w:pPr>
    <w:rPr>
      <w:rFonts w:ascii="Calibri" w:hAnsi="Calibri"/>
      <w:szCs w:val="22"/>
    </w:rPr>
  </w:style>
  <w:style w:type="paragraph" w:styleId="1450"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51" w:customStyle="1">
    <w:name w:val="访问过的超链接1"/>
    <w:uiPriority w:val="0"/>
    <w:qFormat/>
    <w:rPr>
      <w:color w:val="000000"/>
      <w:sz w:val="18"/>
      <w:szCs w:val="18"/>
      <w:u w:val="none"/>
    </w:rPr>
  </w:style>
  <w:style w:type="character" w:styleId="1452" w:customStyle="1">
    <w:name w:val="c lh15"/>
    <w:basedOn w:val="1208"/>
    <w:uiPriority w:val="0"/>
    <w:qFormat/>
  </w:style>
  <w:style w:type="character" w:styleId="1453" w:customStyle="1">
    <w:name w:val="style21"/>
    <w:uiPriority w:val="0"/>
    <w:qFormat/>
    <w:rPr>
      <w:sz w:val="18"/>
      <w:szCs w:val="18"/>
    </w:rPr>
  </w:style>
  <w:style w:type="character" w:styleId="1454" w:customStyle="1">
    <w:name w:val="A13"/>
    <w:uiPriority w:val="0"/>
    <w:qFormat/>
    <w:rPr>
      <w:rFonts w:ascii="Univers LT Std 45 Light" w:eastAsia="Univers LT Std 45 Light" w:cs="Univers LT Std 45 Light"/>
      <w:color w:val="221e1f"/>
      <w:sz w:val="10"/>
      <w:szCs w:val="10"/>
    </w:rPr>
  </w:style>
  <w:style w:type="character" w:styleId="1455" w:customStyle="1">
    <w:name w:val="页脚 字符"/>
    <w:uiPriority w:val="0"/>
    <w:qFormat/>
  </w:style>
  <w:style w:type="character" w:styleId="1456" w:customStyle="1">
    <w:name w:val="font21"/>
    <w:uiPriority w:val="0"/>
    <w:qFormat/>
    <w:rPr>
      <w:rFonts w:ascii="宋体" w:eastAsia="宋体" w:cs="宋体"/>
      <w:color w:val="000000"/>
      <w:sz w:val="20"/>
      <w:szCs w:val="20"/>
      <w:u w:val="none"/>
      <w:lang w:bidi="ar-SA"/>
    </w:rPr>
  </w:style>
  <w:style w:type="character" w:styleId="1457" w:customStyle="1">
    <w:name w:val="font31"/>
    <w:uiPriority w:val="0"/>
    <w:qFormat/>
    <w:rPr>
      <w:rFonts w:ascii="宋体" w:eastAsia="宋体" w:cs="宋体"/>
      <w:color w:val="000000"/>
      <w:sz w:val="20"/>
      <w:szCs w:val="20"/>
      <w:u w:val="none"/>
      <w:lang w:bidi="ar-SA"/>
    </w:rPr>
  </w:style>
  <w:style w:type="character" w:styleId="1458" w:customStyle="1">
    <w:name w:val="正文文本缩进 字符"/>
    <w:link w:val="1219"/>
    <w:uiPriority w:val="0"/>
    <w:qFormat/>
    <w:rPr>
      <w:rFonts w:ascii="宋体"/>
      <w:sz w:val="24"/>
    </w:rPr>
  </w:style>
  <w:style w:type="character" w:styleId="1459" w:customStyle="1">
    <w:name w:val="doctitle"/>
    <w:basedOn w:val="1208"/>
    <w:uiPriority w:val="0"/>
    <w:qFormat/>
  </w:style>
  <w:style w:type="character" w:styleId="1460" w:customStyle="1">
    <w:name w:val="批注文字 字符"/>
    <w:link w:val="1217"/>
    <w:uiPriority w:val="99"/>
    <w:qFormat/>
    <w:rPr>
      <w:sz w:val="21"/>
    </w:rPr>
  </w:style>
  <w:style w:type="paragraph" w:styleId="1461">
    <w:name w:val="List Paragraph"/>
    <w:basedOn w:val="1198"/>
    <w:uiPriority w:val="1"/>
    <w:qFormat/>
    <w:pPr>
      <w:ind w:left="598" w:firstLine="420"/>
    </w:pPr>
    <w:rPr>
      <w:rFonts w:ascii="宋体" w:hAnsi="宋体" w:cs="宋体"/>
      <w:lang w:val="zh-CN" w:bidi="zh-CN"/>
    </w:rPr>
  </w:style>
  <w:style w:type="paragraph" w:styleId="1462" w:customStyle="1">
    <w:name w:val="Table Paragraph"/>
    <w:basedOn w:val="1198"/>
    <w:uiPriority w:val="1"/>
    <w:qFormat/>
    <w:rPr>
      <w:rFonts w:ascii="宋体" w:hAnsi="宋体" w:cs="宋体"/>
      <w:lang w:val="zh-CN" w:bidi="zh-CN"/>
    </w:rPr>
  </w:style>
  <w:style w:type="paragraph" w:styleId="1463" w:customStyle="1">
    <w:name w:val="列表段落31"/>
    <w:basedOn w:val="1198"/>
    <w:uiPriority w:val="34"/>
    <w:qFormat/>
    <w:pPr>
      <w:ind w:firstLine="420"/>
    </w:pPr>
    <w:rPr>
      <w:rFonts w:ascii="Calibri" w:hAnsi="Calibri"/>
      <w:szCs w:val="22"/>
    </w:rPr>
  </w:style>
  <w:style w:type="paragraph" w:styleId="1464" w:customStyle="1">
    <w:name w:val="修订1"/>
    <w:hidden/>
    <w:uiPriority w:val="99"/>
    <w:semiHidden/>
    <w:qFormat/>
    <w:rPr>
      <w:rFonts w:ascii="Times New Roman" w:hAnsi="Times New Roman" w:eastAsia="宋体" w:cs="Times New Roman"/>
      <w:sz w:val="21"/>
      <w:lang w:val="en-US" w:eastAsia="zh-CN" w:bidi="ar-SA"/>
    </w:rPr>
  </w:style>
  <w:style w:type="paragraph" w:styleId="1465" w:customStyle="1">
    <w:name w:val="首行缩进"/>
    <w:basedOn w:val="1198"/>
    <w:uiPriority w:val="0"/>
    <w:qFormat/>
    <w:pPr>
      <w:ind w:firstLine="480"/>
    </w:pPr>
    <w:rPr>
      <w:rFonts w:ascii="Calibri" w:hAnsi="Calibri" w:eastAsia="Calibri" w:cs="宋体"/>
      <w:sz w:val="20"/>
      <w:lang w:val="zh-CN"/>
    </w:rPr>
  </w:style>
  <w:style w:type="character" w:styleId="1466" w:customStyle="1">
    <w:name w:val="正文文本首行缩进 2 字符"/>
    <w:basedOn w:val="1458"/>
    <w:link w:val="1248"/>
    <w:uiPriority w:val="0"/>
    <w:qFormat/>
    <w:rPr>
      <w:rFonts w:ascii="宋体"/>
      <w:sz w:val="21"/>
    </w:rPr>
  </w:style>
  <w:style w:type="paragraph" w:styleId="1467" w:customStyle="1">
    <w:name w:val="修订2"/>
    <w:hidden/>
    <w:uiPriority w:val="99"/>
    <w:unhideWhenUsed/>
    <w:qFormat/>
    <w:rPr>
      <w:rFonts w:ascii="Times New Roman" w:hAnsi="Times New Roman" w:eastAsia="宋体" w:cs="Times New Roman"/>
      <w:sz w:val="21"/>
      <w:lang w:val="en-US" w:eastAsia="zh-CN" w:bidi="ar-SA"/>
    </w:rPr>
  </w:style>
  <w:style w:type="paragraph" w:styleId="1468" w:customStyle="1">
    <w:name w:val="Body Text First Indent1"/>
    <w:basedOn w:val="1218"/>
    <w:uiPriority w:val="0"/>
    <w:qFormat/>
    <w:pPr>
      <w:ind w:firstLine="425"/>
    </w:pPr>
  </w:style>
  <w:style w:type="paragraph" w:styleId="146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470" w:customStyle="1">
    <w:name w:val="正文缩进1"/>
    <w:basedOn w:val="1198"/>
    <w:uiPriority w:val="0"/>
    <w:qFormat/>
    <w:pPr>
      <w:ind w:firstLine="420"/>
    </w:pPr>
  </w:style>
  <w:style w:type="paragraph" w:styleId="1471" w:customStyle="1">
    <w:name w:val="列表段落"/>
    <w:basedOn w:val="1198"/>
    <w:uiPriority w:val="34"/>
    <w:qFormat/>
    <w:pPr>
      <w:contextualSpacing/>
      <w:ind w:left="720"/>
    </w:pPr>
    <w:rPr>
      <w:rFonts w:eastAsia="Arial"/>
      <w:sz w:val="21"/>
      <w:szCs w:val="22"/>
      <w:lang w:val="en-US" w:eastAsia="zh-CN" w:bidi="ar-SA"/>
    </w:rPr>
  </w:style>
  <w:style w:type="paragraph" w:styleId="1472" w:customStyle="1">
    <w:name w:val="批注文字1"/>
    <w:basedOn w:val="1198"/>
    <w:uiPriority w:val="99"/>
    <w:unhideWhenUsed/>
    <w:qFormat/>
  </w:style>
  <w:style w:type="paragraph" w:styleId="1473" w:customStyle="1">
    <w:name w:val="正文首行缩进1"/>
    <w:basedOn w:val="1474"/>
    <w:uiPriority w:val="99"/>
    <w:unhideWhenUsed/>
    <w:qFormat/>
    <w:pPr>
      <w:ind w:firstLine="420"/>
    </w:pPr>
    <w:rPr>
      <w:szCs w:val="22"/>
    </w:rPr>
  </w:style>
  <w:style w:type="paragraph" w:styleId="1474" w:customStyle="1">
    <w:name w:val="正文文本1"/>
    <w:basedOn w:val="1198"/>
    <w:next w:val="1406"/>
    <w:uiPriority w:val="0"/>
    <w:qFormat/>
    <w:pPr>
      <w:spacing w:after="120"/>
    </w:pPr>
    <w:rPr>
      <w:szCs w:val="20"/>
    </w:rPr>
  </w:style>
  <w:style w:type="paragraph" w:styleId="1475" w:customStyle="1">
    <w:name w:val="普通(网站)1"/>
    <w:basedOn w:val="1198"/>
    <w:uiPriority w:val="99"/>
    <w:qFormat/>
    <w:pPr>
      <w:spacing w:before="100" w:beforeAutospacing="1" w:after="100" w:afterAutospacing="1"/>
      <w:widowControl/>
    </w:pPr>
    <w:rPr>
      <w:rFonts w:ascii="Times New Roman"/>
      <w:sz w:val="24"/>
      <w:szCs w:val="24"/>
    </w:rPr>
  </w:style>
  <w:style w:type="character" w:styleId="1476" w:customStyle="1">
    <w:name w:val="强调1"/>
    <w:link w:val="1198"/>
    <w:uiPriority w:val="20"/>
    <w:qFormat/>
    <w:rPr>
      <w:rFonts w:ascii="Times New Roman" w:hAnsi="Times New Roman" w:eastAsia="宋体" w:cs="Times New Roman"/>
      <w:sz w:val="21"/>
      <w:lang w:val="en-US" w:eastAsia="zh-CN" w:bidi="ar-SA"/>
    </w:r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曹雪（南京江城）</cp:lastModifiedBy>
  <cp:revision>36</cp:revision>
  <dcterms:created xsi:type="dcterms:W3CDTF">2024-04-08T01:08:00Z</dcterms:created>
  <dcterms:modified xsi:type="dcterms:W3CDTF">2026-08-31T07:40:42Z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B922D66C02154A6AB783F4682C1E815D_13</vt:lpwstr>
  </property>
  <property fmtid="{D5CDD505-2E9C-101B-9397-08002B2CF9AE}" pid="4" name="KSOTemplateDocerSaveRecord">
    <vt:lpwstr>eyJoZGlkIjoiODU4Y2QxMTA0NzhiZjllOWI0ZjJhYjAyMDUxNDdlYzEiLCJ1c2VySWQiOiIzNzkyMjY1MTgifQ==</vt:lpwstr>
  </property>
</Properties>
</file>