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55"/>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cs="宋体"/>
          <w:b/>
          <w:color w:val="000000" w:themeColor="text1"/>
          <w:sz w:val="44"/>
          <w:szCs w:val="44"/>
          <w14:textFill>
            <w14:solidFill>
              <w14:schemeClr w14:val="tx1"/>
            </w14:solidFill>
          </w14:textFill>
        </w:rPr>
      </w:pPr>
      <w:r>
        <w:rPr>
          <w:rFonts w:hint="eastAsia" w:ascii="Arial" w:hAnsi="Arial" w:eastAsia="黑体" w:cs="Arial"/>
          <w:b/>
          <w:bCs/>
          <w:color w:val="000000" w:themeColor="text1"/>
          <w:sz w:val="60"/>
          <w:szCs w:val="60"/>
          <w:lang w:val="zh-CN"/>
          <w14:textFill>
            <w14:solidFill>
              <w14:schemeClr w14:val="tx1"/>
            </w14:solidFill>
          </w14:textFill>
        </w:rPr>
        <w:t xml:space="preserve">东山站监测能力提升项目</w:t>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tabs>
          <w:tab w:val="left" w:pos="390" w:leader="none"/>
          <w:tab w:val="center" w:pos="4404" w:leader="none"/>
        </w:tabs>
        <w:rPr>
          <w:rFonts w:ascii="宋体" w:hAnsi="宋体" w:cs="宋体"/>
          <w:b/>
          <w:bCs/>
          <w:color w:val="000000" w:themeColor="text1"/>
          <w:sz w:val="44"/>
          <w:szCs w:val="44"/>
          <w14:textFill>
            <w14:solidFill>
              <w14:schemeClr w14:val="tx1"/>
            </w14:solidFill>
          </w14:textFill>
        </w:rPr>
      </w:pPr>
      <w:r>
        <w:rPr>
          <w:rFonts w:hint="eastAsia" w:ascii="Arial" w:hAnsi="宋体" w:cs="Arial"/>
          <w:b/>
          <w:color w:val="000000" w:themeColor="text1"/>
          <w:sz w:val="72"/>
          <w:szCs w:val="72"/>
          <w14:textFill>
            <w14:solidFill>
              <w14:schemeClr w14:val="tx1"/>
            </w14:solidFill>
          </w14:textFill>
        </w:rPr>
        <w:t xml:space="preserve">竞争性磋商文件</w:t>
      </w:r>
      <w:r/>
    </w:p>
    <w:p>
      <w:pPr>
        <w:jc w:val="center"/>
        <w:spacing w:line="360" w:lineRule="auto"/>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360" w:lineRule="auto"/>
        <w:widowControl/>
        <w:rPr>
          <w:rFonts w:ascii="方正小标宋_GBK" w:hAnsi="Arial" w:eastAsia="方正小标宋_GBK" w:cs="Arial"/>
          <w:color w:val="000000" w:themeColor="text1"/>
          <w:sz w:val="32"/>
          <w:szCs w:val="32"/>
          <w14:textFill>
            <w14:solidFill>
              <w14:schemeClr w14:val="tx1"/>
            </w14:solidFill>
          </w14:textFill>
        </w:rPr>
      </w:pPr>
      <w:r>
        <w:rPr>
          <w:rFonts w:hint="eastAsia" w:ascii="Arial" w:hAnsi="Arial" w:cs="Arial"/>
          <w:b/>
          <w:color w:val="000000" w:themeColor="text1"/>
          <w:sz w:val="32"/>
          <w:szCs w:val="32"/>
          <w14:textFill>
            <w14:solidFill>
              <w14:schemeClr w14:val="tx1"/>
            </w14:solidFill>
          </w14:textFill>
        </w:rPr>
        <w:t xml:space="preserve">项目编号：</w:t>
      </w:r>
      <w:r>
        <w:rPr>
          <w:rFonts w:ascii="方正小标宋_GBK" w:hAnsi="Arial" w:eastAsia="方正小标宋_GBK" w:cs="Arial"/>
          <w:color w:val="000000" w:themeColor="text1"/>
          <w:sz w:val="32"/>
          <w:szCs w:val="32"/>
          <w14:textFill>
            <w14:solidFill>
              <w14:schemeClr w14:val="tx1"/>
            </w14:solidFill>
          </w14:textFill>
        </w:rPr>
        <w:t xml:space="preserve">JSZC-320000-NJGJ-C2026-0021</w:t>
      </w:r>
      <w:r/>
    </w:p>
    <w:p>
      <w:pPr>
        <w:jc w:val="center"/>
        <w:spacing w:line="360" w:lineRule="auto"/>
        <w:widowControl/>
        <w:rPr>
          <w:rFonts w:ascii="Arial" w:hAnsi="Arial" w:eastAsia="方正小标宋_GBK" w:cs="Arial"/>
          <w:b/>
          <w:color w:val="000000" w:themeColor="text1"/>
          <w:sz w:val="32"/>
          <w:szCs w:val="32"/>
          <w14:textFill>
            <w14:solidFill>
              <w14:schemeClr w14:val="tx1"/>
            </w14:solidFill>
          </w14:textFill>
        </w:rPr>
      </w:pPr>
      <w:r>
        <w:rPr>
          <w:rFonts w:ascii="Arial" w:hAnsi="Arial" w:eastAsia="方正小标宋_GBK" w:cs="Arial"/>
          <w:b/>
          <w:color w:val="000000" w:themeColor="text1"/>
          <w:sz w:val="32"/>
          <w:szCs w:val="32"/>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pStyle w:val="783"/>
        <w:ind w:left="42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cs="宋体"/>
          <w:color w:val="000000" w:themeColor="text1"/>
          <w:sz w:val="48"/>
          <w:szCs w:val="48"/>
          <w14:textFill>
            <w14:solidFill>
              <w14:schemeClr w14:val="tx1"/>
            </w14:solidFill>
          </w14:textFill>
        </w:rPr>
      </w:pPr>
      <w:r>
        <w:rPr>
          <w:rFonts w:hint="eastAsia" w:ascii="Arial" w:hAnsi="Arial" w:cs="Arial"/>
          <w:b/>
          <w:color w:val="000000" w:themeColor="text1"/>
          <w:sz w:val="32"/>
          <w:szCs w:val="32"/>
          <w14:textFill>
            <w14:solidFill>
              <w14:schemeClr w14:val="tx1"/>
            </w14:solidFill>
          </w14:textFill>
        </w:rPr>
        <w:t xml:space="preserve">采购人：江苏省水文水资源勘测局南京分局</w:t>
      </w:r>
      <w:r/>
    </w:p>
    <w:p>
      <w:pPr>
        <w:jc w:val="center"/>
        <w:spacing w:line="360" w:lineRule="auto"/>
        <w:widowControl/>
        <w:rPr>
          <w:rFonts w:ascii="Arial" w:hAnsi="Arial" w:cs="Arial"/>
          <w:b/>
          <w:color w:val="000000" w:themeColor="text1"/>
          <w:sz w:val="32"/>
          <w:szCs w:val="32"/>
          <w14:textFill>
            <w14:solidFill>
              <w14:schemeClr w14:val="tx1"/>
            </w14:solidFill>
          </w14:textFill>
        </w:rPr>
      </w:pPr>
      <w:r>
        <w:rPr>
          <w:rFonts w:hint="eastAsia" w:ascii="Arial" w:hAnsi="宋体" w:cs="Arial"/>
          <w:b/>
          <w:color w:val="000000" w:themeColor="text1"/>
          <w:sz w:val="32"/>
          <w:szCs w:val="32"/>
          <w14:textFill>
            <w14:solidFill>
              <w14:schemeClr w14:val="tx1"/>
            </w14:solidFill>
          </w14:textFill>
        </w:rPr>
        <w:t xml:space="preserve">采购代理机构：南京国景工程项目管理有限公司</w:t>
      </w:r>
      <w:r/>
    </w:p>
    <w:p>
      <w:pPr>
        <w:jc w:val="center"/>
        <w:spacing w:line="360" w:lineRule="auto"/>
        <w:widowControl/>
        <w:rPr>
          <w:rFonts w:ascii="宋体" w:hAnsi="宋体" w:cs="宋体"/>
          <w:color w:val="000000" w:themeColor="text1"/>
          <w:sz w:val="36"/>
          <w:lang w:val="zh-CN"/>
          <w14:textFill>
            <w14:solidFill>
              <w14:schemeClr w14:val="tx1"/>
            </w14:solidFill>
          </w14:textFill>
        </w:rPr>
      </w:pPr>
      <w:r>
        <w:rPr>
          <w:rFonts w:hint="eastAsia" w:ascii="Arial" w:hAnsi="Arial" w:cs="Arial"/>
          <w:b/>
          <w:color w:val="000000" w:themeColor="text1"/>
          <w:sz w:val="32"/>
          <w:szCs w:val="32"/>
          <w14:textFill>
            <w14:solidFill>
              <w14:schemeClr w14:val="tx1"/>
            </w14:solidFill>
          </w14:textFill>
        </w:rPr>
        <w:t xml:space="preserve"> 2026年9月</w:t>
      </w: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b/>
          <w:bCs/>
          <w:color w:val="000000" w:themeColor="text1"/>
          <w:sz w:val="36"/>
          <w:lang w:val="zh-CN"/>
          <w14:textFill>
            <w14:solidFill>
              <w14:schemeClr w14:val="tx1"/>
            </w14:solidFill>
          </w14:textFill>
        </w:rPr>
        <w:t xml:space="preserve">目录</w:t>
      </w:r>
      <w:r/>
    </w:p>
    <w:p>
      <w:pPr>
        <w:pStyle w:val="1003"/>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rPr>
          <w:rFonts w:hint="eastAsia" w:ascii="宋体" w:hAnsi="宋体" w:cs="宋体"/>
          <w:b w:val="0"/>
          <w:color w:val="000000" w:themeColor="text1"/>
          <w:sz w:val="28"/>
          <w:szCs w:val="28"/>
          <w:lang w:val="zh-CN"/>
          <w14:textFill>
            <w14:solidFill>
              <w14:schemeClr w14:val="tx1"/>
            </w14:solidFill>
          </w14:textFill>
        </w:rPr>
        <w:fldChar w:fldCharType="begin"/>
      </w:r>
      <w:r>
        <w:rPr>
          <w:rFonts w:hint="eastAsia" w:ascii="宋体" w:hAnsi="宋体" w:cs="宋体"/>
          <w:b w:val="0"/>
          <w:color w:val="000000" w:themeColor="text1"/>
          <w:sz w:val="28"/>
          <w:szCs w:val="28"/>
          <w:lang w:val="zh-CN"/>
          <w14:textFill>
            <w14:solidFill>
              <w14:schemeClr w14:val="tx1"/>
            </w14:solidFill>
          </w14:textFill>
        </w:rPr>
        <w:instrText xml:space="preserve">TOC \o "1-1" \h \u </w:instrText>
      </w:r>
      <w:r>
        <w:rPr>
          <w:rFonts w:hint="eastAsia" w:ascii="宋体" w:hAnsi="宋体" w:cs="宋体"/>
          <w:b w:val="0"/>
          <w:color w:val="000000" w:themeColor="text1"/>
          <w:sz w:val="28"/>
          <w:szCs w:val="28"/>
          <w:lang w:val="zh-CN"/>
          <w14:textFill>
            <w14:solidFill>
              <w14:schemeClr w14:val="tx1"/>
            </w14:solidFill>
          </w14:textFill>
        </w:rPr>
        <w:fldChar w:fldCharType="separate"/>
      </w:r>
      <w:r>
        <w:fldChar w:fldCharType="begin"/>
      </w:r>
      <w:r>
        <w:instrText xml:space="preserve"> HYPERLINK \l "_Toc149805855" </w:instrText>
      </w:r>
      <w:r>
        <w:fldChar w:fldCharType="separate"/>
      </w:r>
      <w:r>
        <w:rPr>
          <w:rStyle w:val="1031"/>
          <w:rFonts w:hint="eastAsia" w:ascii="宋体" w:hAnsi="宋体" w:cs="宋体"/>
          <w:color w:val="000000" w:themeColor="text1"/>
          <w:sz w:val="28"/>
          <w:szCs w:val="28"/>
          <w:lang w:val="zh-CN"/>
          <w14:textFill>
            <w14:solidFill>
              <w14:schemeClr w14:val="tx1"/>
            </w14:solidFill>
          </w14:textFill>
        </w:rPr>
        <w:t xml:space="preserve">第一章</w:t>
      </w:r>
      <w:r>
        <w:rPr>
          <w:rStyle w:val="1031"/>
          <w:rFonts w:ascii="宋体" w:hAnsi="宋体" w:cs="宋体"/>
          <w:color w:val="000000" w:themeColor="text1"/>
          <w:sz w:val="28"/>
          <w:szCs w:val="28"/>
          <w:lang w:val="zh-CN"/>
          <w14:textFill>
            <w14:solidFill>
              <w14:schemeClr w14:val="tx1"/>
            </w14:solidFill>
          </w14:textFill>
        </w:rPr>
        <w:t xml:space="preserve"> </w:t>
      </w:r>
      <w:r>
        <w:rPr>
          <w:rStyle w:val="1031"/>
          <w:rFonts w:hint="eastAsia" w:ascii="宋体" w:hAnsi="宋体" w:cs="宋体"/>
          <w:color w:val="000000" w:themeColor="text1"/>
          <w:sz w:val="28"/>
          <w:szCs w:val="28"/>
          <w:lang w:val="zh-CN"/>
          <w14:textFill>
            <w14:solidFill>
              <w14:schemeClr w14:val="tx1"/>
            </w14:solidFill>
          </w14:textFill>
        </w:rPr>
        <w:t xml:space="preserve"> 竞争性磋商公告</w:t>
      </w:r>
      <w:r>
        <w:rPr>
          <w:rStyle w:val="1031"/>
          <w:rFonts w:hint="eastAsia" w:ascii="宋体" w:hAnsi="宋体" w:cs="宋体"/>
          <w:color w:val="000000" w:themeColor="text1"/>
          <w:sz w:val="28"/>
          <w:szCs w:val="28"/>
          <w:lang w:val="zh-CN"/>
          <w14:textFill>
            <w14:solidFill>
              <w14:schemeClr w14:val="tx1"/>
            </w14:solidFill>
          </w14:textFill>
        </w:rPr>
        <w:fldChar w:fldCharType="end"/>
      </w:r>
      <w:r/>
    </w:p>
    <w:p>
      <w:pPr>
        <w:pStyle w:val="1003"/>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"_Toc149805856" </w:instrText>
      </w:r>
      <w:r>
        <w:fldChar w:fldCharType="separate"/>
      </w:r>
      <w:r>
        <w:rPr>
          <w:rStyle w:val="1031"/>
          <w:rFonts w:hint="eastAsia" w:ascii="宋体" w:hAnsi="宋体" w:cs="宋体"/>
          <w:color w:val="000000" w:themeColor="text1"/>
          <w:sz w:val="28"/>
          <w:szCs w:val="28"/>
          <w:lang w:val="zh-CN"/>
          <w14:textFill>
            <w14:solidFill>
              <w14:schemeClr w14:val="tx1"/>
            </w14:solidFill>
          </w14:textFill>
        </w:rPr>
        <w:t xml:space="preserve">第二章</w:t>
      </w:r>
      <w:r>
        <w:rPr>
          <w:rStyle w:val="1031"/>
          <w:rFonts w:ascii="宋体" w:hAnsi="宋体" w:cs="宋体"/>
          <w:color w:val="000000" w:themeColor="text1"/>
          <w:sz w:val="28"/>
          <w:szCs w:val="28"/>
          <w:lang w:val="zh-CN"/>
          <w14:textFill>
            <w14:solidFill>
              <w14:schemeClr w14:val="tx1"/>
            </w14:solidFill>
          </w14:textFill>
        </w:rPr>
        <w:t xml:space="preserve">  </w:t>
      </w:r>
      <w:r>
        <w:rPr>
          <w:rStyle w:val="1031"/>
          <w:rFonts w:hint="eastAsia" w:ascii="宋体" w:hAnsi="宋体" w:cs="宋体"/>
          <w:color w:val="000000" w:themeColor="text1"/>
          <w:sz w:val="28"/>
          <w:szCs w:val="28"/>
          <w:lang w:val="zh-CN"/>
          <w14:textFill>
            <w14:solidFill>
              <w14:schemeClr w14:val="tx1"/>
            </w14:solidFill>
          </w14:textFill>
        </w:rPr>
        <w:t xml:space="preserve">竞争性磋商须知</w:t>
      </w:r>
      <w:r>
        <w:rPr>
          <w:rStyle w:val="1031"/>
          <w:rFonts w:hint="eastAsia" w:ascii="宋体" w:hAnsi="宋体" w:cs="宋体"/>
          <w:color w:val="000000" w:themeColor="text1"/>
          <w:sz w:val="28"/>
          <w:szCs w:val="28"/>
          <w:lang w:val="zh-CN"/>
          <w14:textFill>
            <w14:solidFill>
              <w14:schemeClr w14:val="tx1"/>
            </w14:solidFill>
          </w14:textFill>
        </w:rPr>
        <w:fldChar w:fldCharType="end"/>
      </w:r>
      <w:r/>
    </w:p>
    <w:p>
      <w:pPr>
        <w:pStyle w:val="1003"/>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"_Toc149805857" </w:instrText>
      </w:r>
      <w:r>
        <w:fldChar w:fldCharType="separate"/>
      </w:r>
      <w:r>
        <w:rPr>
          <w:rStyle w:val="1031"/>
          <w:rFonts w:hint="eastAsia" w:ascii="宋体" w:hAnsi="宋体"/>
          <w:color w:val="000000" w:themeColor="text1"/>
          <w:sz w:val="28"/>
          <w:szCs w:val="28"/>
          <w14:textFill>
            <w14:solidFill>
              <w14:schemeClr w14:val="tx1"/>
            </w14:solidFill>
          </w14:textFill>
        </w:rPr>
        <w:t xml:space="preserve">第三章</w:t>
      </w:r>
      <w:r>
        <w:rPr>
          <w:rStyle w:val="1031"/>
          <w:rFonts w:ascii="宋体" w:hAnsi="宋体"/>
          <w:color w:val="000000" w:themeColor="text1"/>
          <w:sz w:val="28"/>
          <w:szCs w:val="28"/>
          <w14:textFill>
            <w14:solidFill>
              <w14:schemeClr w14:val="tx1"/>
            </w14:solidFill>
          </w14:textFill>
        </w:rPr>
        <w:t xml:space="preserve">  </w:t>
      </w:r>
      <w:r>
        <w:rPr>
          <w:rStyle w:val="1031"/>
          <w:rFonts w:hint="eastAsia" w:ascii="宋体" w:hAnsi="宋体"/>
          <w:color w:val="000000" w:themeColor="text1"/>
          <w:sz w:val="28"/>
          <w:szCs w:val="28"/>
          <w14:textFill>
            <w14:solidFill>
              <w14:schemeClr w14:val="tx1"/>
            </w14:solidFill>
          </w14:textFill>
        </w:rPr>
        <w:t xml:space="preserve">评标标准</w:t>
      </w:r>
      <w:r>
        <w:rPr>
          <w:rStyle w:val="1031"/>
          <w:rFonts w:hint="eastAsia" w:ascii="宋体" w:hAnsi="宋体"/>
          <w:color w:val="000000" w:themeColor="text1"/>
          <w:sz w:val="28"/>
          <w:szCs w:val="28"/>
          <w14:textFill>
            <w14:solidFill>
              <w14:schemeClr w14:val="tx1"/>
            </w14:solidFill>
          </w14:textFill>
        </w:rPr>
        <w:fldChar w:fldCharType="end"/>
      </w:r>
      <w:r/>
    </w:p>
    <w:p>
      <w:pPr>
        <w:pStyle w:val="1003"/>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"_Toc149805858" </w:instrText>
      </w:r>
      <w:r>
        <w:fldChar w:fldCharType="separate"/>
      </w:r>
      <w:r>
        <w:rPr>
          <w:rStyle w:val="1031"/>
          <w:rFonts w:hint="eastAsia" w:ascii="宋体" w:hAnsi="宋体"/>
          <w:color w:val="000000" w:themeColor="text1"/>
          <w:sz w:val="28"/>
          <w:szCs w:val="28"/>
          <w14:textFill>
            <w14:solidFill>
              <w14:schemeClr w14:val="tx1"/>
            </w14:solidFill>
          </w14:textFill>
        </w:rPr>
        <w:t xml:space="preserve">第四章</w:t>
      </w:r>
      <w:r>
        <w:rPr>
          <w:rStyle w:val="1031"/>
          <w:rFonts w:ascii="宋体" w:hAnsi="宋体"/>
          <w:color w:val="000000" w:themeColor="text1"/>
          <w:sz w:val="28"/>
          <w:szCs w:val="28"/>
          <w14:textFill>
            <w14:solidFill>
              <w14:schemeClr w14:val="tx1"/>
            </w14:solidFill>
          </w14:textFill>
        </w:rPr>
        <w:t xml:space="preserve"> </w:t>
      </w:r>
      <w:r>
        <w:rPr>
          <w:rStyle w:val="1031"/>
          <w:rFonts w:hint="eastAsia" w:ascii="宋体" w:hAnsi="宋体"/>
          <w:color w:val="000000" w:themeColor="text1"/>
          <w:sz w:val="28"/>
          <w:szCs w:val="28"/>
          <w14:textFill>
            <w14:solidFill>
              <w14:schemeClr w14:val="tx1"/>
            </w14:solidFill>
          </w14:textFill>
        </w:rPr>
        <w:t xml:space="preserve"> 采购需求</w:t>
      </w:r>
      <w:r>
        <w:rPr>
          <w:rStyle w:val="1031"/>
          <w:rFonts w:hint="eastAsia" w:ascii="宋体" w:hAnsi="宋体"/>
          <w:color w:val="000000" w:themeColor="text1"/>
          <w:sz w:val="28"/>
          <w:szCs w:val="28"/>
          <w14:textFill>
            <w14:solidFill>
              <w14:schemeClr w14:val="tx1"/>
            </w14:solidFill>
          </w14:textFill>
        </w:rPr>
        <w:fldChar w:fldCharType="end"/>
      </w:r>
      <w:r/>
    </w:p>
    <w:p>
      <w:pPr>
        <w:pStyle w:val="1003"/>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"_Toc149805859" </w:instrText>
      </w:r>
      <w:r>
        <w:fldChar w:fldCharType="separate"/>
      </w:r>
      <w:r>
        <w:rPr>
          <w:rStyle w:val="1031"/>
          <w:rFonts w:hint="eastAsia" w:ascii="宋体" w:hAnsi="宋体"/>
          <w:color w:val="000000" w:themeColor="text1"/>
          <w:sz w:val="28"/>
          <w:szCs w:val="28"/>
          <w14:textFill>
            <w14:solidFill>
              <w14:schemeClr w14:val="tx1"/>
            </w14:solidFill>
          </w14:textFill>
        </w:rPr>
        <w:t xml:space="preserve">第五章</w:t>
      </w:r>
      <w:r>
        <w:rPr>
          <w:rStyle w:val="1031"/>
          <w:rFonts w:ascii="宋体" w:hAnsi="宋体"/>
          <w:color w:val="000000" w:themeColor="text1"/>
          <w:sz w:val="28"/>
          <w:szCs w:val="28"/>
          <w14:textFill>
            <w14:solidFill>
              <w14:schemeClr w14:val="tx1"/>
            </w14:solidFill>
          </w14:textFill>
        </w:rPr>
        <w:t xml:space="preserve"> </w:t>
      </w:r>
      <w:r>
        <w:rPr>
          <w:rStyle w:val="1031"/>
          <w:rFonts w:hint="eastAsia" w:ascii="宋体" w:hAnsi="宋体"/>
          <w:color w:val="000000" w:themeColor="text1"/>
          <w:sz w:val="28"/>
          <w:szCs w:val="28"/>
          <w14:textFill>
            <w14:solidFill>
              <w14:schemeClr w14:val="tx1"/>
            </w14:solidFill>
          </w14:textFill>
        </w:rPr>
        <w:t xml:space="preserve"> 合同主要条款</w:t>
      </w:r>
      <w:r>
        <w:rPr>
          <w:rStyle w:val="1031"/>
          <w:rFonts w:hint="eastAsia" w:ascii="宋体" w:hAnsi="宋体"/>
          <w:color w:val="000000" w:themeColor="text1"/>
          <w:sz w:val="28"/>
          <w:szCs w:val="28"/>
          <w14:textFill>
            <w14:solidFill>
              <w14:schemeClr w14:val="tx1"/>
            </w14:solidFill>
          </w14:textFill>
        </w:rPr>
        <w:fldChar w:fldCharType="end"/>
      </w:r>
      <w:r/>
    </w:p>
    <w:p>
      <w:pPr>
        <w:pStyle w:val="1003"/>
        <w:spacing w:line="360" w:lineRule="auto"/>
        <w:tabs>
          <w:tab w:val="right" w:pos="8296" w:leader="dot"/>
        </w:tabs>
        <w:rPr>
          <w:rFonts w:ascii="宋体" w:hAnsi="宋体"/>
          <w:b w:val="0"/>
          <w:caps w:val="0"/>
          <w:color w:val="000000" w:themeColor="text1"/>
          <w:sz w:val="28"/>
          <w:szCs w:val="28"/>
          <w14:textFill>
            <w14:solidFill>
              <w14:schemeClr w14:val="tx1"/>
            </w14:solidFill>
          </w14:textFill>
        </w:rPr>
      </w:pPr>
      <w:r>
        <w:fldChar w:fldCharType="begin"/>
      </w:r>
      <w:r>
        <w:instrText xml:space="preserve"> HYPERLINK \l "_Toc149805860" </w:instrText>
      </w:r>
      <w:r>
        <w:fldChar w:fldCharType="separate"/>
      </w:r>
      <w:r>
        <w:rPr>
          <w:rStyle w:val="1031"/>
          <w:rFonts w:hint="eastAsia" w:ascii="宋体" w:hAnsi="宋体" w:cs="宋体"/>
          <w:color w:val="000000" w:themeColor="text1"/>
          <w:sz w:val="28"/>
          <w:szCs w:val="28"/>
          <w:lang w:val="zh-CN"/>
          <w14:textFill>
            <w14:solidFill>
              <w14:schemeClr w14:val="tx1"/>
            </w14:solidFill>
          </w14:textFill>
        </w:rPr>
        <w:t xml:space="preserve">第六章</w:t>
      </w:r>
      <w:r>
        <w:rPr>
          <w:rStyle w:val="1031"/>
          <w:rFonts w:ascii="宋体" w:hAnsi="宋体" w:cs="宋体"/>
          <w:color w:val="000000" w:themeColor="text1"/>
          <w:sz w:val="28"/>
          <w:szCs w:val="28"/>
          <w14:textFill>
            <w14:solidFill>
              <w14:schemeClr w14:val="tx1"/>
            </w14:solidFill>
          </w14:textFill>
        </w:rPr>
        <w:t xml:space="preserve">  </w:t>
      </w:r>
      <w:r>
        <w:rPr>
          <w:rStyle w:val="1031"/>
          <w:rFonts w:hint="eastAsia" w:ascii="宋体" w:hAnsi="宋体" w:cs="宋体"/>
          <w:color w:val="000000" w:themeColor="text1"/>
          <w:sz w:val="28"/>
          <w:szCs w:val="28"/>
          <w:lang w:val="zh-CN"/>
          <w14:textFill>
            <w14:solidFill>
              <w14:schemeClr w14:val="tx1"/>
            </w14:solidFill>
          </w14:textFill>
        </w:rPr>
        <w:t xml:space="preserve">附件</w:t>
      </w:r>
      <w:r>
        <w:rPr>
          <w:rStyle w:val="1031"/>
          <w:rFonts w:hint="eastAsia" w:ascii="宋体" w:hAnsi="宋体" w:cs="宋体"/>
          <w:color w:val="000000" w:themeColor="text1"/>
          <w:sz w:val="28"/>
          <w:szCs w:val="28"/>
          <w:lang w:val="zh-CN"/>
          <w14:textFill>
            <w14:solidFill>
              <w14:schemeClr w14:val="tx1"/>
            </w14:solidFill>
          </w14:textFill>
        </w:rPr>
        <w:fldChar w:fldCharType="end"/>
      </w:r>
      <w:r/>
    </w:p>
    <w:p>
      <w:pPr>
        <w:jc w:val="center"/>
        <w:spacing w:line="360" w:lineRule="auto"/>
        <w:rPr>
          <w:rFonts w:ascii="宋体" w:hAnsi="宋体" w:cs="宋体"/>
          <w:b/>
          <w:bCs/>
          <w:color w:val="000000" w:themeColor="text1"/>
          <w:sz w:val="72"/>
          <w:szCs w:val="30"/>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fldChar w:fldCharType="end"/>
      </w:r>
      <w:r/>
    </w:p>
    <w:p>
      <w:pPr>
        <w:jc w:val="center"/>
        <w:spacing w:line="360" w:lineRule="auto"/>
        <w:rPr>
          <w:rFonts w:ascii="宋体" w:hAnsi="宋体" w:cs="宋体"/>
          <w:b/>
          <w:bCs/>
          <w:color w:val="000000" w:themeColor="text1"/>
          <w:sz w:val="24"/>
          <w:szCs w:val="24"/>
          <w:lang w:val="zh-CN"/>
          <w14:textFill>
            <w14:solidFill>
              <w14:schemeClr w14:val="tx1"/>
            </w14:solidFill>
          </w14:textFill>
        </w:rPr>
        <w:sectPr>
          <w:footerReference w:type="default" r:id="rId10"/>
          <w:footnotePr/>
          <w:endnotePr/>
          <w:type w:val="nextPage"/>
          <w:pgSz w:w="11906" w:h="16838" w:orient="portrait"/>
          <w:pgMar w:top="1417" w:right="1417" w:bottom="1417" w:left="1417" w:header="851" w:footer="794" w:gutter="0"/>
          <w:cols w:num="1" w:sep="0" w:space="0" w:equalWidth="1"/>
          <w:docGrid w:linePitch="360"/>
        </w:sectPr>
      </w:pPr>
      <w:r>
        <w:rPr>
          <w:rFonts w:ascii="宋体" w:hAnsi="宋体" w:cs="宋体"/>
          <w:b/>
          <w:bCs/>
          <w:color w:val="000000" w:themeColor="text1"/>
          <w:sz w:val="24"/>
          <w:szCs w:val="24"/>
          <w:lang w:val="zh-CN"/>
          <w14:textFill>
            <w14:solidFill>
              <w14:schemeClr w14:val="tx1"/>
            </w14:solidFill>
          </w14:textFill>
        </w:rPr>
      </w:r>
      <w:r/>
    </w:p>
    <w:p>
      <w:pPr>
        <w:pStyle w:val="1021"/>
        <w:rPr>
          <w:rFonts w:ascii="宋体" w:hAnsi="宋体" w:cs="宋体"/>
          <w:color w:val="000000" w:themeColor="text1"/>
          <w14:textFill>
            <w14:solidFill>
              <w14:schemeClr w14:val="tx1"/>
            </w14:solidFill>
          </w14:textFill>
        </w:rPr>
      </w:pPr>
      <w:r/>
      <w:bookmarkStart w:id="0" w:name="_Toc534273792"/>
      <w:r/>
      <w:bookmarkStart w:id="1" w:name="_Toc149805855"/>
      <w:r/>
      <w:bookmarkStart w:id="2" w:name="_Toc4587"/>
      <w:r>
        <w:rPr>
          <w:rFonts w:hint="eastAsia" w:ascii="宋体" w:hAnsi="宋体" w:cs="宋体"/>
          <w:color w:val="000000" w:themeColor="text1"/>
          <w:lang w:val="zh-CN"/>
          <w14:textFill>
            <w14:solidFill>
              <w14:schemeClr w14:val="tx1"/>
            </w14:solidFill>
          </w14:textFill>
        </w:rPr>
        <w:t xml:space="preserve">第一章 竞争性磋商</w:t>
      </w:r>
      <w:bookmarkEnd w:id="0"/>
      <w:r>
        <w:rPr>
          <w:rFonts w:hint="eastAsia" w:ascii="宋体" w:hAnsi="宋体" w:cs="宋体"/>
          <w:color w:val="000000" w:themeColor="text1"/>
          <w:lang w:val="zh-CN"/>
          <w14:textFill>
            <w14:solidFill>
              <w14:schemeClr w14:val="tx1"/>
            </w14:solidFill>
          </w14:textFill>
        </w:rPr>
        <w:t xml:space="preserve">公告</w:t>
      </w:r>
      <w:bookmarkEnd w:id="1"/>
      <w:r/>
      <w:bookmarkEnd w:id="2"/>
      <w:r/>
      <w:r/>
    </w:p>
    <w:p>
      <w:pPr>
        <w:pStyle w:val="1019"/>
        <w:ind w:firstLine="375"/>
        <w:spacing w:after="75" w:afterAutospacing="0" w:line="360" w:lineRule="atLeast"/>
        <w:shd w:val="clear" w:color="auto" w:fill="ffffff"/>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lang w:val="zh-CN"/>
          <w14:textFill>
            <w14:solidFill>
              <w14:schemeClr w14:val="tx1"/>
            </w14:solidFill>
          </w14:textFill>
        </w:rPr>
        <w:t xml:space="preserve">东山站监测能力提升项目</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的</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潜在供应商应在</w:t>
      </w:r>
      <w:r>
        <w:rPr>
          <w:rFonts w:hint="eastAsia" w:ascii="宋体" w:hAnsi="宋体" w:cs="宋体"/>
          <w:color w:val="000000" w:themeColor="text1"/>
          <w:spacing w:val="15"/>
          <w:sz w:val="21"/>
          <w:szCs w:val="21"/>
          <w:u w:val="single"/>
          <w:shd w:val="clear" w:color="auto" w:fill="ffffff"/>
          <w:lang w:val="zh-CN"/>
          <w14:textFill>
            <w14:solidFill>
              <w14:schemeClr w14:val="tx1"/>
            </w14:solidFill>
          </w14:textFill>
        </w:rPr>
        <w:t xml:space="preserve">苏采云系统（网址： http：//jszfcg.jsczt.cn/）</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获取采购文件</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，并于2026年9月24</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日</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09</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点</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30</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分</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北京时间</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前递交</w:t>
      </w:r>
      <w:r>
        <w:rPr>
          <w:rFonts w:hint="eastAsia" w:ascii="宋体" w:hAnsi="宋体" w:cs="宋体"/>
          <w:color w:val="000000" w:themeColor="text1"/>
          <w:spacing w:val="15"/>
          <w:sz w:val="21"/>
          <w:szCs w:val="21"/>
          <w:shd w:val="clear" w:color="auto" w:fill="ffffff"/>
          <w14:textFill>
            <w14:solidFill>
              <w14:schemeClr w14:val="tx1"/>
            </w14:solidFill>
          </w14:textFill>
        </w:rPr>
        <w:t xml:space="preserve">响应</w:t>
      </w:r>
      <w:r>
        <w:rPr>
          <w:rFonts w:hint="eastAsia" w:ascii="宋体" w:hAnsi="宋体" w:cs="宋体"/>
          <w:color w:val="000000" w:themeColor="text1"/>
          <w:spacing w:val="15"/>
          <w:sz w:val="21"/>
          <w:szCs w:val="21"/>
          <w:shd w:val="clear" w:color="auto" w:fill="ffffff"/>
          <w:lang w:val="zh-CN"/>
          <w14:textFill>
            <w14:solidFill>
              <w14:schemeClr w14:val="tx1"/>
            </w14:solidFill>
          </w14:textFill>
        </w:rPr>
        <w:t xml:space="preserve">文件。</w:t>
      </w:r>
      <w:r/>
    </w:p>
    <w:p>
      <w:pPr>
        <w:pStyle w:val="1019"/>
        <w:ind w:firstLine="375"/>
        <w:spacing w:before="75" w:beforeAutospacing="0" w:after="75" w:afterAutospacing="0" w:line="360" w:lineRule="atLeast"/>
        <w:shd w:val="clear" w:color="auto" w:fill="ffffff"/>
        <w:rPr>
          <w:rFonts w:ascii="宋体" w:hAnsi="宋体" w:cs="宋体"/>
          <w:b/>
          <w:bCs/>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 xml:space="preserve">一、项目基本情况</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（一）项目编号：JSZC-320000-NJGJ-C2026-0021</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（二）项目名称：</w:t>
      </w:r>
      <w:r>
        <w:rPr>
          <w:rFonts w:hint="eastAsia" w:ascii="宋体" w:hAnsi="宋体" w:cs="宋体"/>
          <w:color w:val="000000" w:themeColor="text1"/>
          <w:sz w:val="21"/>
          <w:szCs w:val="21"/>
          <w:lang w:val="zh-CN"/>
          <w14:textFill>
            <w14:solidFill>
              <w14:schemeClr w14:val="tx1"/>
            </w14:solidFill>
          </w14:textFill>
        </w:rPr>
        <w:t xml:space="preserve">东山站监测能力提升项目</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（三）采购方式：竞争性磋商</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（四）预算金额：</w:t>
      </w:r>
      <w:r>
        <w:rPr>
          <w:rFonts w:hint="eastAsia" w:ascii="宋体" w:hAnsi="宋体" w:cs="宋体"/>
          <w:color w:val="000000" w:themeColor="text1"/>
          <w:sz w:val="21"/>
          <w:szCs w:val="21"/>
          <w14:textFill>
            <w14:solidFill>
              <w14:schemeClr w14:val="tx1"/>
            </w14:solidFill>
          </w14:textFill>
        </w:rPr>
        <w:t xml:space="preserve">200万元</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（五）最高限价：</w:t>
      </w:r>
      <w:r>
        <w:rPr>
          <w:rFonts w:ascii="宋体" w:hAnsi="宋体" w:cs="宋体"/>
          <w:color w:val="000000" w:themeColor="text1"/>
          <w:sz w:val="21"/>
          <w:szCs w:val="21"/>
          <w14:textFill>
            <w14:solidFill>
              <w14:schemeClr w14:val="tx1"/>
            </w14:solidFill>
          </w14:textFill>
        </w:rPr>
        <w:t xml:space="preserve">198</w:t>
      </w:r>
      <w:r>
        <w:rPr>
          <w:rFonts w:hint="eastAsia" w:ascii="宋体" w:hAnsi="宋体" w:cs="宋体"/>
          <w:color w:val="000000" w:themeColor="text1"/>
          <w:sz w:val="21"/>
          <w:szCs w:val="21"/>
          <w14:textFill>
            <w14:solidFill>
              <w14:schemeClr w14:val="tx1"/>
            </w14:solidFill>
          </w14:textFill>
        </w:rPr>
        <w:t xml:space="preserve">万元（投标报价不得超过采购项目最高限价，否则按无效投标处理）</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（六）采购需求：</w:t>
      </w:r>
      <w:r>
        <w:rPr>
          <w:rFonts w:hint="eastAsia" w:ascii="宋体" w:hAnsi="宋体" w:cs="宋体"/>
          <w:color w:val="000000" w:themeColor="text1"/>
          <w:sz w:val="21"/>
          <w:szCs w:val="21"/>
          <w:lang w:val="zh-CN"/>
          <w14:textFill>
            <w14:solidFill>
              <w14:schemeClr w14:val="tx1"/>
            </w14:solidFill>
          </w14:textFill>
        </w:rPr>
        <w:t xml:space="preserve">东山站监测能力提升项目，</w:t>
      </w:r>
      <w:r>
        <w:rPr>
          <w:rFonts w:hint="eastAsia" w:ascii="宋体" w:hAnsi="宋体" w:cs="宋体"/>
          <w:color w:val="000000" w:themeColor="text1"/>
          <w:sz w:val="21"/>
          <w:szCs w:val="21"/>
          <w14:textFill>
            <w14:solidFill>
              <w14:schemeClr w14:val="tx1"/>
            </w14:solidFill>
          </w14:textFill>
        </w:rPr>
        <w:t xml:space="preserve">具体详见竞争性磋商文件。</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（七）合同履行期限：70日历天。</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（八）本项目标的所属行业：工业。</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（九）本项目</w:t>
      </w:r>
      <w:r>
        <w:rPr>
          <w:rFonts w:hint="eastAsia" w:ascii="宋体" w:hAnsi="宋体" w:cs="宋体"/>
          <w:b/>
          <w:bCs/>
          <w:color w:val="000000" w:themeColor="text1"/>
          <w:sz w:val="21"/>
          <w:szCs w:val="21"/>
          <w14:textFill>
            <w14:solidFill>
              <w14:schemeClr w14:val="tx1"/>
            </w14:solidFill>
          </w14:textFill>
        </w:rPr>
        <w:t xml:space="preserve">不专门</w:t>
      </w:r>
      <w:r>
        <w:rPr>
          <w:rFonts w:hint="eastAsia" w:ascii="宋体" w:hAnsi="宋体" w:cs="宋体"/>
          <w:color w:val="000000" w:themeColor="text1"/>
          <w:sz w:val="21"/>
          <w:szCs w:val="21"/>
          <w14:textFill>
            <w14:solidFill>
              <w14:schemeClr w14:val="tx1"/>
            </w14:solidFill>
          </w14:textFill>
        </w:rPr>
        <w:t xml:space="preserve">面向中小企业采购。</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（十）本项目</w:t>
      </w:r>
      <w:r>
        <w:rPr>
          <w:rFonts w:hint="eastAsia" w:ascii="宋体" w:hAnsi="宋体" w:cs="宋体"/>
          <w:b/>
          <w:bCs/>
          <w:color w:val="000000" w:themeColor="text1"/>
          <w:sz w:val="21"/>
          <w:szCs w:val="21"/>
          <w14:textFill>
            <w14:solidFill>
              <w14:schemeClr w14:val="tx1"/>
            </w14:solidFill>
          </w14:textFill>
        </w:rPr>
        <w:t xml:space="preserve">不接受</w:t>
      </w:r>
      <w:r>
        <w:rPr>
          <w:rFonts w:hint="eastAsia" w:ascii="宋体" w:hAnsi="宋体" w:cs="宋体"/>
          <w:color w:val="000000" w:themeColor="text1"/>
          <w:sz w:val="21"/>
          <w:szCs w:val="21"/>
          <w14:textFill>
            <w14:solidFill>
              <w14:schemeClr w14:val="tx1"/>
            </w14:solidFill>
          </w14:textFill>
        </w:rPr>
        <w:t xml:space="preserve">联合体。</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（十一）本项目不接受进口产品。</w:t>
      </w:r>
      <w:r/>
    </w:p>
    <w:p>
      <w:pPr>
        <w:pStyle w:val="1019"/>
        <w:ind w:firstLine="375"/>
        <w:spacing w:before="75" w:beforeAutospacing="0" w:after="75" w:afterAutospacing="0" w:line="360" w:lineRule="atLeast"/>
        <w:shd w:val="clear" w:color="auto" w:fill="ffffff"/>
        <w:rPr>
          <w:rFonts w:ascii="宋体" w:hAnsi="宋体" w:cs="宋体"/>
          <w:b/>
          <w:bCs/>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 xml:space="preserve">二、申请人的资格要求：</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（一）满足《中华人民共和国政府采购法》第二十二条规定：</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1.具有独立承担民事责任的能力（提供法人或者其他组织的营业执照、税务登记证、组织机构代码证，或三证合一，自然人的身份证明，复印件加盖公章）；</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具有良好的商业信誉和健全的财务会计制度（提供2026年2月（含）以来任意一个月的资产负债表和利润表，或2025年年度审计报告，或银行出具的针对本项目的资信证明，或财政部门认可的专业担保机构出具的投标担保函，复印件加盖公章；法人或者其它组织成立不满一年不需提供）；</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3.具有履行合同所必需的设备和专业技术能力（根据项目需求提供履行合同所必需的设备和专业技术能力的声明及证明材料复印件加盖公章）；</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4.有依法缴纳税收和社会保障资金的良好记录（提供参加本次政府采购活动前（至少一个月）依法缴纳税收和社会保障资金的相关材料复印件加盖公章）；</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5.参加政府采购活动前三年内，在经营活动中没有重大违法记录（提供参加本次政府采购活动前3年内在经营活动中没有重大违法记录的书面声明原件）；</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6.满足法律、行政法规规定的其他条件（提供承诺书加盖公章）。</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（二）落实政府采购政策需满足的资格要求：如属于专门面向中小企业采购的项目，供应商应为中小微企业、监狱企业、残疾人福利性单位，</w:t>
      </w:r>
      <w:r>
        <w:rPr>
          <w:rFonts w:hint="eastAsia" w:ascii="宋体" w:hAnsi="宋体" w:cs="宋体"/>
          <w:color w:val="000000" w:themeColor="text1"/>
          <w:sz w:val="21"/>
          <w:szCs w:val="21"/>
          <w:lang w:val="en-US" w:eastAsia="zh-CN"/>
          <w14:textFill>
            <w14:solidFill>
              <w14:schemeClr w14:val="tx1"/>
            </w14:solidFill>
          </w14:textFill>
        </w:rPr>
        <w:t xml:space="preserve">不属于</w:t>
      </w:r>
      <w:r>
        <w:rPr>
          <w:rFonts w:hint="eastAsia" w:ascii="宋体" w:hAnsi="宋体" w:cs="宋体"/>
          <w:color w:val="000000" w:themeColor="text1"/>
          <w:sz w:val="21"/>
          <w:szCs w:val="21"/>
          <w14:textFill>
            <w14:solidFill>
              <w14:schemeClr w14:val="tx1"/>
            </w14:solidFill>
          </w14:textFill>
        </w:rPr>
        <w:t xml:space="preserve">则采用以下第4种方式落实政府采购促进中小企业发展的要求：</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1.本项目整体专门面向中小企业采购货物；</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2.本项目整体专门面向小微企业采购货物；</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3.本项目通过以下第几种方式预留部分采购份额采购中小企业服务：</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（1）本项目要求供应商以联合体形式参加，企业合同金额应当达到的比例为%。</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（2）本项目要求供应商进行合同分包，企业合同金额应当达到的比例为%。</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4.本项目为非预留份额的采购项目或采购包，执行价格扣除优惠政策，具体详见第三章评标办法与标准。</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（三）采购人根据采购项目的特殊要求规定的特定条件：无 </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（四）拒绝下述供应商参加本次采购活动</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1.供应商单位负责人为同一人或者存在直接控股、管理关系的不同供应商，参加同一合同项下的政府采购活动。</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2.为采购项目提供整体设计、规范编制或者项目管理、监理、检测等服务的供应商，参加本项目的采购活动。</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3.供应商被“信用中国”网站（www.creditchina.gov.cn）、“中国政府采购网”(www.ccgp.gov.cn)列入失信被执行人、重大税收违法失信主体、政府采购严重违法失信行为记录名单。</w:t>
      </w:r>
      <w:r/>
    </w:p>
    <w:p>
      <w:pPr>
        <w:pStyle w:val="1019"/>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三、获取采购文件</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（一）时间：自磋商文件公告发布之日起5个工作日</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（二）地点：江苏省政府采购管理交易系统（苏采云）（以下简称“苏采云”）（网址： http：//jszfcg.jsczt.cn/）</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（三）获取方式：苏采云系统注册登记成功后在系统内免费下载 </w:t>
      </w:r>
      <w:r/>
    </w:p>
    <w:p>
      <w:pPr>
        <w:pStyle w:val="1019"/>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四、响应文件提交</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（一）截止时间：2026年9月24日09时30分。(北京时间）</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（二）地点：苏采云（网址： http：//jszfcg.jsczt.cn/）</w:t>
      </w:r>
      <w:r/>
    </w:p>
    <w:p>
      <w:pPr>
        <w:pStyle w:val="1019"/>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五、开启</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（一）时间：2026年9月24日09时30分。(北京时间）</w:t>
      </w:r>
      <w:r/>
    </w:p>
    <w:p>
      <w:pPr>
        <w:pStyle w:val="1019"/>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（二）地点：</w:t>
      </w:r>
      <w:r>
        <w:rPr>
          <w:rFonts w:hint="eastAsia"/>
          <w:color w:val="000000" w:themeColor="text1"/>
          <w:spacing w:val="15"/>
          <w:sz w:val="21"/>
          <w:szCs w:val="21"/>
          <w:shd w:val="clear" w:color="auto" w:fill="ffffff"/>
          <w14:textFill>
            <w14:solidFill>
              <w14:schemeClr w14:val="tx1"/>
            </w14:solidFill>
          </w14:textFill>
        </w:rPr>
        <w:t xml:space="preserve">苏采云系统开标大厅</w:t>
      </w:r>
      <w:r/>
    </w:p>
    <w:p>
      <w:pPr>
        <w:pStyle w:val="1019"/>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六、公告期限</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自本公告发布之日起3个工作日。</w:t>
      </w:r>
      <w:r/>
    </w:p>
    <w:p>
      <w:pPr>
        <w:pStyle w:val="1019"/>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七、其他补充事宜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（一）本项目在</w:t>
      </w:r>
      <w:r>
        <w:rPr>
          <w:rFonts w:hint="eastAsia" w:ascii="宋体" w:hAnsi="宋体" w:cs="宋体"/>
          <w:b/>
          <w:bCs/>
          <w:color w:val="000000" w:themeColor="text1"/>
          <w:szCs w:val="21"/>
          <w:lang w:val="zh-CN"/>
          <w14:textFill>
            <w14:solidFill>
              <w14:schemeClr w14:val="tx1"/>
            </w14:solidFill>
          </w14:textFill>
        </w:rPr>
        <w:t xml:space="preserve">江苏政府采购网</w:t>
      </w:r>
      <w:r>
        <w:rPr>
          <w:rFonts w:hint="eastAsia" w:ascii="宋体" w:hAnsi="宋体" w:cs="宋体"/>
          <w:color w:val="000000" w:themeColor="text1"/>
          <w:szCs w:val="21"/>
          <w14:textFill>
            <w14:solidFill>
              <w14:schemeClr w14:val="tx1"/>
            </w14:solidFill>
          </w14:textFill>
        </w:rPr>
        <w:t xml:space="preserve">网站发布公告。</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w:t>
      </w:r>
      <w:r>
        <w:rPr>
          <w:rFonts w:hint="eastAsia" w:ascii="宋体" w:hAnsi="宋体" w:cs="宋体"/>
          <w:color w:val="000000" w:themeColor="text1"/>
          <w:szCs w:val="21"/>
          <w:lang w:val="zh-CN"/>
          <w14:textFill>
            <w14:solidFill>
              <w14:schemeClr w14:val="tx1"/>
            </w14:solidFill>
          </w14:textFill>
        </w:rPr>
        <w:t xml:space="preserve">集中</w:t>
      </w:r>
      <w:r>
        <w:rPr>
          <w:rFonts w:hint="eastAsia" w:ascii="宋体" w:hAnsi="宋体" w:cs="宋体"/>
          <w:color w:val="000000" w:themeColor="text1"/>
          <w:szCs w:val="21"/>
          <w14:textFill>
            <w14:solidFill>
              <w14:schemeClr w14:val="tx1"/>
            </w14:solidFill>
          </w14:textFill>
        </w:rPr>
        <w:t xml:space="preserve">勘察现场：采购人不组织集中考察，供应商可自行勘察。请务必对项目现场和周围环境进行仔细认真地查勘，在随后的采购中，对现场资料和数据所作出的推论、解释和结论及由此造成的后果由供应商负责。</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（三）关于“苏采云”系统的提示说明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1.潜在供应商访问电子招标响应交易平台的网络地址和方法：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2.潜在供应商访问“苏采云”系统的网络地址和方法：“苏采云”系统的网址：http：//jszfcg.jsczt.cn/。</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3.“CA数字证书”的获取：响应供应商需办理“CA数字证书”，CA办理指南及“苏采云”操作手册可至江苏省政府采购网―办事指南-资料下载中心下载。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5.请潜在供应商提前安装相应的控件（详见《江苏省政府采购管理交易系统（苏采云）供应商操作手册》）并使用谷歌浏览器登录“苏采云”系统参与不见面开评标。</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本次采购采用“江苏省政府采购管理交易系统（苏采云）”，招标、投标、评标和中标结果发布全程电子化，开标方式为不见面开标。投标人应该按照《江苏省政府采购管理交易系统（苏采云）供应商操作手册》参加投标活动。如供应商未按要求操作，由此所产生的风险由投标人自行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（五）有关本次采购的事项若存在变动或修改，敬请及时关注“江苏政府采购网”（www.ccgp-jiangsu.gov.cn）发布的信息更正公告。 </w:t>
      </w:r>
      <w:r/>
    </w:p>
    <w:p>
      <w:pPr>
        <w:pStyle w:val="1019"/>
        <w:ind w:firstLine="420"/>
        <w:spacing w:before="75" w:beforeAutospacing="0" w:after="75" w:afterAutospacing="0" w:line="360" w:lineRule="atLeast"/>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八、对本次采购提出询问，请按以下方式联系。</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（一）采购人信息</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w:t>
      </w:r>
      <w:r>
        <w:rPr>
          <w:rFonts w:hint="eastAsia" w:ascii="宋体" w:hAnsi="宋体" w:cs="宋体"/>
          <w:color w:val="000000" w:themeColor="text1"/>
          <w:sz w:val="21"/>
          <w:szCs w:val="21"/>
          <w:lang w:val="zh-CN"/>
          <w14:textFill>
            <w14:solidFill>
              <w14:schemeClr w14:val="tx1"/>
            </w14:solidFill>
          </w14:textFill>
        </w:rPr>
        <w:t xml:space="preserve">名称：</w:t>
      </w:r>
      <w:r>
        <w:rPr>
          <w:rFonts w:hint="eastAsia" w:ascii="宋体" w:hAnsi="宋体" w:cs="宋体"/>
          <w:color w:val="000000" w:themeColor="text1"/>
          <w:sz w:val="21"/>
          <w:szCs w:val="21"/>
          <w14:textFill>
            <w14:solidFill>
              <w14:schemeClr w14:val="tx1"/>
            </w14:solidFill>
          </w14:textFill>
        </w:rPr>
        <w:t xml:space="preserve">江苏省水文水资源勘测局南京分局</w:t>
      </w:r>
      <w:r/>
    </w:p>
    <w:p>
      <w:pPr>
        <w:pStyle w:val="1019"/>
        <w:ind w:firstLine="420"/>
        <w:spacing w:before="75" w:beforeAutospacing="0" w:after="75" w:afterAutospacing="0" w:line="360" w:lineRule="atLeast"/>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w:t>
      </w:r>
      <w:r>
        <w:rPr>
          <w:rFonts w:hint="eastAsia" w:ascii="宋体" w:hAnsi="宋体" w:cs="宋体"/>
          <w:color w:val="000000" w:themeColor="text1"/>
          <w:sz w:val="21"/>
          <w:szCs w:val="21"/>
          <w:lang w:val="zh-CN"/>
          <w14:textFill>
            <w14:solidFill>
              <w14:schemeClr w14:val="tx1"/>
            </w14:solidFill>
          </w14:textFill>
        </w:rPr>
        <w:t xml:space="preserve">地址：南京市鼓楼区汉口路81号</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联系人：陆主任</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联系</w:t>
      </w:r>
      <w:r>
        <w:rPr>
          <w:rFonts w:hint="eastAsia" w:ascii="宋体" w:hAnsi="宋体" w:cs="宋体"/>
          <w:color w:val="000000" w:themeColor="text1"/>
          <w:sz w:val="21"/>
          <w:szCs w:val="21"/>
          <w14:textFill>
            <w14:solidFill>
              <w14:schemeClr w14:val="tx1"/>
            </w14:solidFill>
          </w14:textFill>
        </w:rPr>
        <w:t xml:space="preserve">电话</w:t>
      </w:r>
      <w:r>
        <w:rPr>
          <w:rFonts w:hint="eastAsia" w:ascii="宋体" w:hAnsi="宋体" w:cs="宋体"/>
          <w:color w:val="000000" w:themeColor="text1"/>
          <w:sz w:val="21"/>
          <w:szCs w:val="21"/>
          <w:lang w:val="zh-CN"/>
          <w14:textFill>
            <w14:solidFill>
              <w14:schemeClr w14:val="tx1"/>
            </w14:solidFill>
          </w14:textFill>
        </w:rPr>
        <w:t xml:space="preserve">：025-68221875</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（二）采购代理机构信息</w:t>
      </w:r>
      <w:r/>
    </w:p>
    <w:p>
      <w:pPr>
        <w:pStyle w:val="1019"/>
        <w:ind w:firstLine="420"/>
        <w:spacing w:before="75" w:beforeAutospacing="0" w:after="75" w:afterAutospacing="0" w:line="360" w:lineRule="atLeast"/>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w:t>
      </w:r>
      <w:r>
        <w:rPr>
          <w:rFonts w:hint="eastAsia" w:ascii="宋体" w:hAnsi="宋体" w:cs="宋体"/>
          <w:color w:val="000000" w:themeColor="text1"/>
          <w:sz w:val="21"/>
          <w:szCs w:val="21"/>
          <w:lang w:val="zh-CN"/>
          <w14:textFill>
            <w14:solidFill>
              <w14:schemeClr w14:val="tx1"/>
            </w14:solidFill>
          </w14:textFill>
        </w:rPr>
        <w:t xml:space="preserve">名称：</w:t>
      </w:r>
      <w:r>
        <w:rPr>
          <w:rFonts w:hint="eastAsia" w:ascii="宋体" w:hAnsi="宋体" w:cs="宋体"/>
          <w:color w:val="000000" w:themeColor="text1"/>
          <w:sz w:val="21"/>
          <w:szCs w:val="21"/>
          <w14:textFill>
            <w14:solidFill>
              <w14:schemeClr w14:val="tx1"/>
            </w14:solidFill>
          </w14:textFill>
        </w:rPr>
        <w:t xml:space="preserve">南京国景工程项目管理有限公司</w:t>
      </w:r>
      <w:r/>
    </w:p>
    <w:p>
      <w:pPr>
        <w:pStyle w:val="1019"/>
        <w:ind w:firstLine="420"/>
        <w:spacing w:before="75" w:beforeAutospacing="0" w:after="75" w:afterAutospacing="0" w:line="360" w:lineRule="atLeast"/>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w:t>
      </w:r>
      <w:r>
        <w:rPr>
          <w:rFonts w:hint="eastAsia" w:ascii="宋体" w:hAnsi="宋体" w:cs="宋体"/>
          <w:color w:val="000000" w:themeColor="text1"/>
          <w:sz w:val="21"/>
          <w:szCs w:val="21"/>
          <w:lang w:val="zh-CN"/>
          <w14:textFill>
            <w14:solidFill>
              <w14:schemeClr w14:val="tx1"/>
            </w14:solidFill>
          </w14:textFill>
        </w:rPr>
        <w:t xml:space="preserve">地址：</w:t>
      </w:r>
      <w:r>
        <w:rPr>
          <w:rFonts w:hint="eastAsia" w:ascii="宋体" w:hAnsi="宋体" w:cs="宋体"/>
          <w:color w:val="000000" w:themeColor="text1"/>
          <w:sz w:val="21"/>
          <w:szCs w:val="21"/>
          <w14:textFill>
            <w14:solidFill>
              <w14:schemeClr w14:val="tx1"/>
            </w14:solidFill>
          </w14:textFill>
        </w:rPr>
        <w:t xml:space="preserve">南京市鼓楼区定淮门12号熊猫新兴软件园16-2</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联系人：单工</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联系</w:t>
      </w:r>
      <w:r>
        <w:rPr>
          <w:rFonts w:hint="eastAsia" w:ascii="宋体" w:hAnsi="宋体" w:cs="宋体"/>
          <w:color w:val="000000" w:themeColor="text1"/>
          <w:sz w:val="21"/>
          <w:szCs w:val="21"/>
          <w14:textFill>
            <w14:solidFill>
              <w14:schemeClr w14:val="tx1"/>
            </w14:solidFill>
          </w14:textFill>
        </w:rPr>
        <w:t xml:space="preserve">电话</w:t>
      </w:r>
      <w:r>
        <w:rPr>
          <w:rFonts w:hint="eastAsia" w:ascii="宋体" w:hAnsi="宋体" w:cs="宋体"/>
          <w:color w:val="000000" w:themeColor="text1"/>
          <w:sz w:val="21"/>
          <w:szCs w:val="21"/>
          <w:lang w:val="zh-CN"/>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18362097574</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（三）项目联系方式</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项目联系人：单工</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电话：</w:t>
      </w:r>
      <w:r>
        <w:rPr>
          <w:rFonts w:ascii="宋体" w:hAnsi="宋体" w:cs="宋体"/>
          <w:color w:val="000000" w:themeColor="text1"/>
          <w:sz w:val="21"/>
          <w:szCs w:val="21"/>
          <w14:textFill>
            <w14:solidFill>
              <w14:schemeClr w14:val="tx1"/>
            </w14:solidFill>
          </w14:textFill>
        </w:rPr>
        <w:t xml:space="preserve">18362097574</w:t>
      </w:r>
      <w:r/>
    </w:p>
    <w:p>
      <w:pPr>
        <w:pStyle w:val="1019"/>
        <w:ind w:firstLine="420"/>
        <w:spacing w:before="75" w:beforeAutospacing="0" w:after="75" w:afterAutospacing="0" w:line="360" w:lineRule="atLeast"/>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 </w:t>
      </w:r>
      <w:r/>
    </w:p>
    <w:p>
      <w:pPr>
        <w:pStyle w:val="1019"/>
        <w:ind w:firstLine="420"/>
        <w:spacing w:before="75" w:beforeAutospacing="0" w:after="75" w:afterAutospacing="0" w:line="360" w:lineRule="atLeas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21"/>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br w:type="page" w:clear="all"/>
      </w:r>
      <w:bookmarkStart w:id="3" w:name="_Toc534273793"/>
      <w:r/>
      <w:bookmarkStart w:id="4" w:name="_Toc149805856"/>
      <w:r/>
      <w:bookmarkStart w:id="5" w:name="_Toc7520"/>
      <w:r>
        <w:rPr>
          <w:rFonts w:hint="eastAsia" w:ascii="宋体" w:hAnsi="宋体" w:cs="宋体"/>
          <w:color w:val="000000" w:themeColor="text1"/>
          <w:lang w:val="zh-CN"/>
          <w14:textFill>
            <w14:solidFill>
              <w14:schemeClr w14:val="tx1"/>
            </w14:solidFill>
          </w14:textFill>
        </w:rPr>
        <w:t xml:space="preserve">第二章  竞争性磋商须知</w:t>
      </w:r>
      <w:bookmarkEnd w:id="3"/>
      <w:r/>
      <w:bookmarkEnd w:id="4"/>
      <w:r/>
      <w:bookmarkEnd w:id="5"/>
      <w:r/>
      <w:r/>
    </w:p>
    <w:p>
      <w:pPr>
        <w:ind w:firstLine="420"/>
        <w:spacing w:before="100" w:beforeAutospacing="1"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一、总则</w:t>
      </w:r>
      <w:r/>
    </w:p>
    <w:p>
      <w:pPr>
        <w:ind w:firstLine="422"/>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1.参照法律</w:t>
      </w:r>
      <w:r/>
    </w:p>
    <w:p>
      <w:pPr>
        <w:ind w:firstLine="42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参照</w:t>
      </w:r>
      <w:r>
        <w:rPr>
          <w:rFonts w:hint="eastAsia" w:ascii="宋体" w:hAnsi="宋体" w:cs="宋体"/>
          <w:color w:val="000000" w:themeColor="text1"/>
          <w:szCs w:val="21"/>
          <w:lang w:val="zh-CN"/>
          <w14:textFill>
            <w14:solidFill>
              <w14:schemeClr w14:val="tx1"/>
            </w14:solidFill>
          </w14:textFill>
        </w:rPr>
        <w:t xml:space="preserve">《中华人民共和国政府采购法》、《中华人民共和国政府采购法实施条例》、《</w:t>
      </w:r>
      <w:r>
        <w:rPr>
          <w:rFonts w:hint="eastAsia" w:ascii="宋体" w:hAnsi="宋体" w:cs="宋体"/>
          <w:color w:val="000000" w:themeColor="text1"/>
          <w:szCs w:val="21"/>
          <w14:textFill>
            <w14:solidFill>
              <w14:schemeClr w14:val="tx1"/>
            </w14:solidFill>
          </w14:textFill>
        </w:rPr>
        <w:t xml:space="preserve">政府采购竞争性磋商采购方式管理暂行办法</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等</w:t>
      </w:r>
      <w:r>
        <w:rPr>
          <w:rFonts w:hint="eastAsia" w:ascii="宋体" w:hAnsi="宋体" w:cs="宋体"/>
          <w:color w:val="000000" w:themeColor="text1"/>
          <w:szCs w:val="21"/>
          <w:lang w:val="zh-CN"/>
          <w14:textFill>
            <w14:solidFill>
              <w14:schemeClr w14:val="tx1"/>
            </w14:solidFill>
          </w14:textFill>
        </w:rPr>
        <w:t xml:space="preserve">有关法律、规章和规定等。</w:t>
      </w:r>
      <w:r/>
    </w:p>
    <w:p>
      <w:pPr>
        <w:ind w:firstLine="422"/>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2.定义</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 “采购人”是指依法进行政府采购的国家机关、事业单位、团体组织。</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 “采购代理机构”是指集中采购机构和集中采购机构以外的采购代理机构，集中采购机构以外的采购代理机构，是从事采购代理业务的社会中介机构。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 “货物和服务”指本采购文件中所述</w:t>
      </w:r>
      <w:r>
        <w:rPr>
          <w:rFonts w:hint="eastAsia" w:ascii="宋体" w:hAnsi="宋体" w:cs="宋体"/>
          <w:bCs/>
          <w:color w:val="000000" w:themeColor="text1"/>
          <w:szCs w:val="21"/>
          <w14:textFill>
            <w14:solidFill>
              <w14:schemeClr w14:val="tx1"/>
            </w14:solidFill>
          </w14:textFill>
        </w:rPr>
        <w:t xml:space="preserve">产品</w:t>
      </w:r>
      <w:r>
        <w:rPr>
          <w:rFonts w:hint="eastAsia" w:ascii="宋体" w:hAnsi="宋体" w:cs="宋体"/>
          <w:color w:val="000000" w:themeColor="text1"/>
          <w:szCs w:val="21"/>
          <w14:textFill>
            <w14:solidFill>
              <w14:schemeClr w14:val="tx1"/>
            </w14:solidFill>
          </w14:textFill>
        </w:rPr>
        <w:t xml:space="preserve">及相关服务。</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 “用户或使用单位”是指使用服务的单位。</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3.政策功能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 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 进口产品政策</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（2）允许进口产品参加的，满足需求的国内产品可以参加。</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（3）允许进口产品参加的，优先采购向我国企业转让技术、与我国企业签订消化吸收再创新方案的供应商的进口产品。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 未按要求提供相关材料的，不享受相关政策。</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二、磋商响应文件编制</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1.磋商响应文件的语言、计量单位、货币和编制</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 供应商所使用的计量单位应为国家法定计量单位。</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 供应商应用人民币报价。报价产品如果是进口产品的，应提供人民币与外币之间的汇率；报价单位为“元”。</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 磋商响应文件应字迹清楚、内容齐全、不得涂改。如有修改，修改处须有供应商公章或投标专用章和法定代表人或其授权磋商代表签字。</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 磋商响应文件应按照竞争性磋商文件规定的顺序，统一用A4规格幅面打印、装订成册并编制目录，由于编排混乱导致响应文件被误读或查找不到，责任由供应商承担。</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 供应商应在磋商响应文件中写清相应的项目编号、项目名称、供应商全称、地址、电话、传真等。</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2.磋商响应文件的组成</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 供应商应当根据竞争性磋商文件要求编制磋商响应文件，并根据自己的商务能力、技术水平对竞争性磋商文件提出的要求和条件逐条标明是否响应。</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 磋商响应文件由商务部分、技术部分、价格部分，以及其他部分组成。</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 本次采购的最小单位是包。采购项目的技术要求中未分包的，供应商对要求提供的服务不得部分投标；采购项目的技术要求中已经分包的，可以以包为单位投标。</w:t>
      </w:r>
      <w:r/>
    </w:p>
    <w:p>
      <w:pPr>
        <w:ind w:firstLine="420"/>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2.4 磋商响应文件的商务部分。商务部分是证明供应商有资格参加磋商和成交后有能力履行合同的文件，</w:t>
      </w:r>
      <w:r>
        <w:rPr>
          <w:rFonts w:hint="eastAsia" w:ascii="宋体" w:hAnsi="宋体" w:cs="宋体"/>
          <w:bCs/>
          <w:color w:val="000000" w:themeColor="text1"/>
          <w:szCs w:val="21"/>
          <w14:textFill>
            <w14:solidFill>
              <w14:schemeClr w14:val="tx1"/>
            </w14:solidFill>
          </w14:textFill>
        </w:rPr>
        <w:t xml:space="preserve">这些文件应能满足竞争性磋商采购的要求</w:t>
      </w:r>
      <w:r>
        <w:rPr>
          <w:rFonts w:hint="eastAsia" w:ascii="宋体" w:hAnsi="宋体" w:cs="宋体"/>
          <w:bCs/>
          <w:color w:val="000000" w:themeColor="text1"/>
          <w:szCs w:val="21"/>
          <w:lang w:val="zh-CN"/>
          <w14:textFill>
            <w14:solidFill>
              <w14:schemeClr w14:val="tx1"/>
            </w14:solidFill>
          </w14:textFill>
        </w:rPr>
        <w:t xml:space="preserve">，包括但不限于下列文件</w:t>
      </w:r>
      <w:r>
        <w:rPr>
          <w:rFonts w:hint="eastAsia" w:ascii="宋体" w:hAnsi="宋体" w:cs="宋体"/>
          <w:bCs/>
          <w:color w:val="000000" w:themeColor="text1"/>
          <w:szCs w:val="21"/>
          <w14:textFill>
            <w14:solidFill>
              <w14:schemeClr w14:val="tx1"/>
            </w14:solidFill>
          </w14:textFill>
        </w:rPr>
        <w:t xml:space="preserve">（（1）-（5）所述材料如提供不全或不满足磋商文件的实质性要求，评标委员会有权否决供应商的投标）</w:t>
      </w:r>
      <w:r>
        <w:rPr>
          <w:rFonts w:hint="eastAsia" w:ascii="宋体" w:hAnsi="宋体" w:cs="宋体"/>
          <w:bCs/>
          <w:color w:val="000000" w:themeColor="text1"/>
          <w:szCs w:val="21"/>
          <w:lang w:val="zh-CN"/>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（1）竞争性磋商申请及声明</w:t>
      </w:r>
      <w:r>
        <w:rPr>
          <w:rFonts w:hint="eastAsia" w:ascii="宋体" w:hAnsi="宋体" w:cs="宋体"/>
          <w:color w:val="000000" w:themeColor="text1"/>
          <w:szCs w:val="21"/>
          <w14:textFill>
            <w14:solidFill>
              <w14:schemeClr w14:val="tx1"/>
            </w14:solidFill>
          </w14:textFill>
        </w:rPr>
        <w:t xml:space="preserve">（格式见附件）</w:t>
      </w:r>
      <w:r>
        <w:rPr>
          <w:rFonts w:hint="eastAsia" w:ascii="宋体" w:hAnsi="宋体" w:cs="宋体"/>
          <w:color w:val="000000" w:themeColor="text1"/>
          <w:szCs w:val="21"/>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（2）法定代表人授权委托书及委托代理人的身份证复印件</w:t>
      </w:r>
      <w:r>
        <w:rPr>
          <w:rFonts w:hint="eastAsia" w:ascii="宋体" w:hAnsi="宋体" w:cs="宋体"/>
          <w:color w:val="000000" w:themeColor="text1"/>
          <w:szCs w:val="21"/>
          <w14:textFill>
            <w14:solidFill>
              <w14:schemeClr w14:val="tx1"/>
            </w14:solidFill>
          </w14:textFill>
        </w:rPr>
        <w:t xml:space="preserve">（格式见附件）</w:t>
      </w:r>
      <w:r>
        <w:rPr>
          <w:rFonts w:hint="eastAsia" w:ascii="宋体" w:hAnsi="宋体" w:cs="宋体"/>
          <w:color w:val="000000" w:themeColor="text1"/>
          <w:szCs w:val="21"/>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第一章竞争性磋商公告中 （一）《中华人民共和国政府采购法》规定的资格条件证明文件；</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（4）第一章竞争性磋商公告中 （三） 采购人根据采购项目的特殊要求规定的特定条件证明文件；</w:t>
      </w:r>
      <w:r/>
    </w:p>
    <w:p>
      <w:pPr>
        <w:ind w:firstLine="42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（5）报价一览表（格式见附件）；</w:t>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lang w:val="zh-CN"/>
          <w14:textFill>
            <w14:solidFill>
              <w14:schemeClr w14:val="tx1"/>
            </w14:solidFill>
          </w14:textFill>
        </w:rPr>
        <w:t xml:space="preserve">）分项报价表（如果有）；</w:t>
      </w:r>
      <w:r/>
    </w:p>
    <w:p>
      <w:pPr>
        <w:ind w:firstLine="420"/>
        <w:jc w:val="left"/>
        <w:spacing w:line="360" w:lineRule="auto"/>
        <w:rPr>
          <w:rFonts w:ascii="宋体" w:hAnsi="宋体" w:cs="宋体"/>
          <w:color w:val="000000" w:themeColor="text1"/>
          <w:szCs w:val="21"/>
          <w:shd w:val="pct10" w:color="auto" w:fill="ffffff"/>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《商务条款偏离表》；</w:t>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lang w:val="zh-CN"/>
          <w14:textFill>
            <w14:solidFill>
              <w14:schemeClr w14:val="tx1"/>
            </w14:solidFill>
          </w14:textFill>
        </w:rPr>
        <w:t xml:space="preserve">）供应商认为需要提供的其他资格证明文件和商务资料。</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2.5 磋商响应文件的技术部分。技术部分是证明</w:t>
      </w:r>
      <w:r>
        <w:rPr>
          <w:rFonts w:hint="eastAsia" w:ascii="宋体" w:hAnsi="宋体" w:cs="宋体"/>
          <w:color w:val="000000" w:themeColor="text1"/>
          <w:szCs w:val="21"/>
          <w14:textFill>
            <w14:solidFill>
              <w14:schemeClr w14:val="tx1"/>
            </w14:solidFill>
          </w14:textFill>
        </w:rPr>
        <w:t xml:space="preserve">供应商提供的服务是合格的、并符合竞争性磋商文件要求的证明文件，以及</w:t>
      </w:r>
      <w:r>
        <w:rPr>
          <w:rFonts w:hint="eastAsia" w:ascii="宋体" w:hAnsi="宋体" w:cs="宋体"/>
          <w:color w:val="000000" w:themeColor="text1"/>
          <w:szCs w:val="21"/>
          <w:lang w:val="zh-CN"/>
          <w14:textFill>
            <w14:solidFill>
              <w14:schemeClr w14:val="tx1"/>
            </w14:solidFill>
          </w14:textFill>
        </w:rPr>
        <w:t xml:space="preserve">对服务的详细说明，这些文件可以是文字资料、图纸和数据等。提供的服务如与竞争性磋商文件要求有不符之处，应说明其差别之所在。包括但不限于下列文件。</w:t>
      </w:r>
      <w:r/>
    </w:p>
    <w:p>
      <w:pPr>
        <w:ind w:firstLine="42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（1）项目技术方案或服务说明； </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（2）《采购需求条款偏离表》；</w:t>
      </w:r>
      <w:r/>
    </w:p>
    <w:p>
      <w:pPr>
        <w:ind w:firstLine="42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（3）供应商认为需要</w:t>
      </w:r>
      <w:r>
        <w:rPr>
          <w:rFonts w:hint="eastAsia" w:ascii="宋体" w:hAnsi="宋体" w:cs="宋体"/>
          <w:color w:val="000000" w:themeColor="text1"/>
          <w:szCs w:val="21"/>
          <w:lang w:val="zh-CN"/>
          <w14:textFill>
            <w14:solidFill>
              <w14:schemeClr w14:val="tx1"/>
            </w14:solidFill>
          </w14:textFill>
        </w:rPr>
        <w:t xml:space="preserve">提供的其他技术资料。</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2.6 磋商响应文件的价格部分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价格部分内容是对标的价格构成的说明，磋商文件如没有特别说明的话，仅接受一个价格。</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（3）供应商应在《报价一览表》等标明标的的单价、总价等。</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w:t>
      </w:r>
      <w:r>
        <w:rPr>
          <w:rFonts w:hint="eastAsia" w:ascii="宋体" w:hAnsi="宋体" w:cs="宋体"/>
          <w:b/>
          <w:bCs/>
          <w:color w:val="000000" w:themeColor="text1"/>
          <w:szCs w:val="21"/>
          <w:lang w:val="zh-CN"/>
          <w14:textFill>
            <w14:solidFill>
              <w14:schemeClr w14:val="tx1"/>
            </w14:solidFill>
          </w14:textFill>
        </w:rPr>
        <w:t xml:space="preserve">响应文件所报的投标价格不得超过磋商文件规定的预算价、限价，超过磋商文件规定的，响应文件按无效处理。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2.7磋商响应文件的其他部分。其他部分由供应商根据编制磋商响应文件需要提供的其他相关文件组成。</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2.8如标书制作工具中格式和内容与“江苏政府采购网”发布的磋商文件不一致的，以上述网站发布的磋商文件为准。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3.磋商保证金</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三、磋商响应文件的递交与解密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.2供应商应当按照《操作手册》规定，在“苏采云”系统规定的时间内对响应文件进行解密。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.3供应商应充分考虑到网络环境、网络带宽等风险因素，如因供应商自身原因造成电子响应文件未在“苏采云”系统规定的时间内成功解密的，按照本磋商文件规定做无效响应处理。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tabs>
          <w:tab w:val="left" w:pos="5355"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2.诚实信用</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 供应商之间不得相互串通报价，不得妨碍其他供应商的公平竞争，不得损害采购人或者其他供应商的合法权益。</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 供应商不得以向采购代理机构工作人员、磋商小组成员行贿或者采取其他不正当手段谋取成交。</w:t>
      </w:r>
      <w:r/>
    </w:p>
    <w:p>
      <w:pPr>
        <w:ind w:firstLine="422"/>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四、磋商</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1.磋商组织</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在递交磋商响应文件时间截止后，采购代理机构在规定的时间和地点组织磋商小组分别与供应商进行磋商。</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2.磋商程序</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2.1磋商小组审阅供应商所递交的响应文件，凡不具备资格条件的供应商不得进入磋商程序。</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2.3磋商过程中，磋商小组可以根据磋商文件和磋商情况实质性变动采购需求中的技术、服务要求以及合同草案条款，但不得变动磋商文件中的其他内容。实质性变动的内容，须经采购人代表确认。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对磋商文件作出的实质性变动是磋商文件的有效组成部分，磋商小组应当及时以书面形式同时通知所有参加磋商的供应商。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2.4如磋商文件有实质性变动的，供应商应当按照磋商文件的变动情况和磋商小组的要求在苏采云系统中重新提交响应文件，并加盖电子公章。</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2.5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rPr>
          <w:rFonts w:hint="eastAsia" w:ascii="宋体" w:hAnsi="宋体" w:cs="宋体"/>
          <w:b/>
          <w:bCs/>
          <w:color w:val="000000" w:themeColor="text1"/>
          <w:szCs w:val="21"/>
          <w:lang w:val="zh-CN"/>
          <w14:textFill>
            <w14:solidFill>
              <w14:schemeClr w14:val="tx1"/>
            </w14:solidFill>
          </w14:textFill>
        </w:rPr>
        <w:t xml:space="preserve">最后报价高于或低于供应商在响应文件首次报价的，分项报价（除暂列金额、不可竞争费以外的所有费用）同比例调整。</w:t>
      </w:r>
      <w:r>
        <w:rPr>
          <w:rFonts w:hint="eastAsia" w:ascii="宋体" w:hAnsi="宋体" w:cs="宋体"/>
          <w:color w:val="000000" w:themeColor="text1"/>
          <w:szCs w:val="21"/>
          <w:lang w:val="zh-CN"/>
          <w14:textFill>
            <w14:solidFill>
              <w14:schemeClr w14:val="tx1"/>
            </w14:solidFill>
          </w14:textFill>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2.6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 出现下列情形之一的响应文件按照无效处理：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bookmarkStart w:id="6" w:name="OLE_LINK8"/>
      <w:r>
        <w:rPr>
          <w:rFonts w:hint="eastAsia" w:ascii="宋体" w:hAnsi="宋体" w:cs="宋体"/>
          <w:color w:val="000000" w:themeColor="text1"/>
          <w:szCs w:val="21"/>
          <w14:textFill>
            <w14:solidFill>
              <w14:schemeClr w14:val="tx1"/>
            </w14:solidFill>
          </w14:textFill>
        </w:rPr>
        <w:t xml:space="preserve">不满足“第一章竞争性磋商公告 二、申请人资格要求”的规定的</w:t>
      </w:r>
      <w:bookmarkEnd w:id="6"/>
      <w:r>
        <w:rPr>
          <w:rFonts w:hint="eastAsia" w:ascii="宋体" w:hAnsi="宋体" w:cs="宋体"/>
          <w:color w:val="000000" w:themeColor="text1"/>
          <w:szCs w:val="21"/>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bookmarkStart w:id="7" w:name="OLE_LINK3"/>
      <w:r>
        <w:rPr>
          <w:rFonts w:hint="eastAsia" w:ascii="宋体" w:hAnsi="宋体" w:cs="宋体"/>
          <w:color w:val="000000" w:themeColor="text1"/>
          <w:szCs w:val="21"/>
          <w14:textFill>
            <w14:solidFill>
              <w14:schemeClr w14:val="tx1"/>
            </w14:solidFill>
          </w14:textFill>
        </w:rPr>
        <w:t xml:space="preserve">响应文件所报的投标价格超过磋商文件规定的预算价、限价的</w:t>
      </w:r>
      <w:bookmarkEnd w:id="7"/>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bookmarkStart w:id="8" w:name="OLE_LINK9"/>
      <w:r>
        <w:rPr>
          <w:rFonts w:hint="eastAsia" w:ascii="宋体" w:hAnsi="宋体" w:cs="宋体"/>
          <w:color w:val="000000" w:themeColor="text1"/>
          <w:szCs w:val="21"/>
          <w14:textFill>
            <w14:solidFill>
              <w14:schemeClr w14:val="tx1"/>
            </w14:solidFill>
          </w14:textFill>
        </w:rPr>
        <w:t xml:space="preserve">未实质性响应磋商文件要求的；</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实质性要求是指本磋商文件中用带星号（“★”）等其他文字说明的商务和技术要求。</w:t>
      </w:r>
      <w:r>
        <w:rPr>
          <w:rFonts w:hint="eastAsia" w:ascii="宋体" w:hAnsi="宋体" w:cs="宋体"/>
          <w:color w:val="000000" w:themeColor="text1"/>
          <w:szCs w:val="21"/>
          <w:lang w:val="zh-CN"/>
          <w14:textFill>
            <w14:solidFill>
              <w14:schemeClr w14:val="tx1"/>
            </w14:solidFill>
          </w14:textFill>
        </w:rPr>
        <w:t xml:space="preserve">）</w:t>
      </w:r>
      <w:bookmarkEnd w:id="8"/>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bookmarkStart w:id="9" w:name="OLE_LINK6"/>
      <w:r>
        <w:rPr>
          <w:rFonts w:hint="eastAsia" w:ascii="宋体" w:hAnsi="宋体" w:cs="宋体"/>
          <w:color w:val="000000" w:themeColor="text1"/>
          <w:szCs w:val="21"/>
          <w:lang w:val="zh-CN"/>
          <w14:textFill>
            <w14:solidFill>
              <w14:schemeClr w14:val="tx1"/>
            </w14:solidFill>
          </w14:textFill>
        </w:rPr>
        <w:t xml:space="preserve">不符合法律、法规和磋商文件规定的其他实质性要求的</w:t>
      </w:r>
      <w:bookmarkEnd w:id="9"/>
      <w:r>
        <w:rPr>
          <w:rFonts w:hint="eastAsia" w:ascii="宋体" w:hAnsi="宋体" w:cs="宋体"/>
          <w:color w:val="000000" w:themeColor="text1"/>
          <w:szCs w:val="21"/>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）供应商未按照磋商文件要求</w:t>
      </w:r>
      <w:r>
        <w:rPr>
          <w:rFonts w:hint="eastAsia" w:ascii="宋体" w:hAnsi="宋体" w:cs="宋体"/>
          <w:color w:val="000000" w:themeColor="text1"/>
          <w:szCs w:val="21"/>
          <w14:textFill>
            <w14:solidFill>
              <w14:schemeClr w14:val="tx1"/>
            </w14:solidFill>
          </w14:textFill>
        </w:rPr>
        <w:t xml:space="preserve">签章的</w:t>
      </w:r>
      <w:r>
        <w:rPr>
          <w:rFonts w:hint="eastAsia" w:ascii="宋体" w:hAnsi="宋体" w:cs="宋体"/>
          <w:color w:val="000000" w:themeColor="text1"/>
          <w:szCs w:val="21"/>
          <w:lang w:val="zh-CN"/>
          <w14:textFill>
            <w14:solidFill>
              <w14:schemeClr w14:val="tx1"/>
            </w14:solidFill>
          </w14:textFill>
        </w:rPr>
        <w:t xml:space="preserve">。</w:t>
      </w:r>
      <w:r/>
    </w:p>
    <w:p>
      <w:pPr>
        <w:ind w:firstLine="420"/>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2.8 </w:t>
      </w:r>
      <w:r>
        <w:rPr>
          <w:rFonts w:hint="eastAsia" w:ascii="宋体" w:hAnsi="宋体" w:cs="宋体"/>
          <w:bCs/>
          <w:color w:val="000000" w:themeColor="text1"/>
          <w:szCs w:val="21"/>
          <w:lang w:val="zh-CN"/>
          <w14:textFill>
            <w14:solidFill>
              <w14:schemeClr w14:val="tx1"/>
            </w14:solidFill>
          </w14:textFill>
        </w:rPr>
        <w:t xml:space="preserve">出现下列情形之一的磋商终止：</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（1）因情况变化，不再符合规定的竞争性磋商采购方式适用情形的；</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（2）出现影响采购公正的违法、违规行为的；</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（4）在“苏采云”系统规定时间内成功解密电子响应文件的供应商不足3家的。</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2.9 磋商有效期为90天，从提交磋商响应文件的截止之日起算。磋商响应文件中承诺的磋商有效期应当不少于竞争性磋商文件中载明的磋商有效期。</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2.10政府采购评审中出现下列情形之一的，评审委员会应当启动异常低价投标（响应）审查程序：</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（3）投标（响应）报价低于采购项目最高限价45%的，即投标（响应）报价&lt;采购项目最高限价×45%；</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（4）评审委员会基于专业判断，认为供应商报价过低，有可能影响产品质量或者不能诚信履约的其他情形。</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相关法律法规对供应商报价有规定的，从其规定。</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3.</w:t>
      </w:r>
      <w:r>
        <w:rPr>
          <w:rFonts w:hint="eastAsia" w:ascii="宋体" w:hAnsi="宋体" w:cs="宋体"/>
          <w:b/>
          <w:bCs/>
          <w:color w:val="000000" w:themeColor="text1"/>
          <w:szCs w:val="21"/>
          <w:lang w:val="zh-CN"/>
          <w14:textFill>
            <w14:solidFill>
              <w14:schemeClr w14:val="tx1"/>
            </w14:solidFill>
          </w14:textFill>
        </w:rPr>
        <w:t xml:space="preserve">评分方法和标准</w:t>
      </w:r>
      <w:r/>
    </w:p>
    <w:p>
      <w:pPr>
        <w:ind w:firstLine="420"/>
        <w:spacing w:line="360" w:lineRule="auto"/>
        <w:widowControl/>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3.1 </w:t>
      </w:r>
      <w:r>
        <w:rPr>
          <w:rFonts w:hint="eastAsia" w:ascii="宋体" w:hAnsi="宋体" w:cs="宋体"/>
          <w:color w:val="000000" w:themeColor="text1"/>
          <w:szCs w:val="21"/>
          <w:lang w:val="zh-CN"/>
          <w14:textFill>
            <w14:solidFill>
              <w14:schemeClr w14:val="tx1"/>
            </w14:solidFill>
          </w14:textFill>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3.2 </w:t>
      </w:r>
      <w:r>
        <w:rPr>
          <w:rFonts w:hint="eastAsia" w:ascii="宋体" w:hAnsi="宋体" w:cs="宋体"/>
          <w:color w:val="000000" w:themeColor="text1"/>
          <w:szCs w:val="21"/>
          <w14:textFill>
            <w14:solidFill>
              <w14:schemeClr w14:val="tx1"/>
            </w14:solidFill>
          </w14:textFill>
        </w:rPr>
        <w:t xml:space="preserve">综合评分的</w:t>
      </w:r>
      <w:r>
        <w:rPr>
          <w:rFonts w:hint="eastAsia" w:ascii="宋体" w:hAnsi="宋体" w:cs="宋体"/>
          <w:color w:val="000000" w:themeColor="text1"/>
          <w:szCs w:val="21"/>
          <w:lang w:val="zh-CN"/>
          <w14:textFill>
            <w14:solidFill>
              <w14:schemeClr w14:val="tx1"/>
            </w14:solidFill>
          </w14:textFill>
        </w:rPr>
        <w:t xml:space="preserve">主要因素是</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价格、服务、业绩等。</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评分标准详见第三章。</w:t>
      </w:r>
      <w:r/>
    </w:p>
    <w:p>
      <w:pPr>
        <w:ind w:firstLine="420"/>
        <w:spacing w:line="360" w:lineRule="auto"/>
        <w:shd w:val="clear" w:color="auto" w:fill="ffffff"/>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4.确定成交供应商</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4.1综合比较与评价后按照得分高低顺序对供应商进行排列。评审得分相同的，按照最后报价由低到高顺序排列。评审得分且最后报价相同的，按技术指标优劣顺序排列。评标委员会将综合排名第一的供应商确定为供应商。</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4.2 磋商小组根据磋商过程和结果编写磋商（评审）报告。</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4.3 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4.4成交通知书对采购人和成交供应商具有同等法律效力。</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4.5采购人与成交供应商应当在成交通知书发出之日起30日内，按照磋商文件确定的合同文本以及采购标的、规格型号、采购金额、采购数量、技术和服务要求等事项签订政府采购合同。</w:t>
      </w:r>
      <w:r/>
    </w:p>
    <w:p>
      <w:pPr>
        <w:ind w:firstLine="413"/>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4.6 所有响应文件不论成交与否，均不退回。</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5.</w:t>
      </w:r>
      <w:r>
        <w:rPr>
          <w:rFonts w:hint="eastAsia" w:ascii="宋体" w:hAnsi="宋体" w:cs="宋体"/>
          <w:b/>
          <w:bCs/>
          <w:color w:val="000000" w:themeColor="text1"/>
          <w:szCs w:val="21"/>
          <w:lang w:val="zh-CN"/>
          <w14:textFill>
            <w14:solidFill>
              <w14:schemeClr w14:val="tx1"/>
            </w14:solidFill>
          </w14:textFill>
        </w:rPr>
        <w:t xml:space="preserve">签订合同</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 成交供应商应当</w:t>
      </w:r>
      <w:r>
        <w:rPr>
          <w:rFonts w:hint="eastAsia" w:ascii="宋体" w:hAnsi="宋体" w:cs="宋体"/>
          <w:color w:val="000000" w:themeColor="text1"/>
          <w:szCs w:val="21"/>
          <w:lang w:val="zh-CN"/>
          <w14:textFill>
            <w14:solidFill>
              <w14:schemeClr w14:val="tx1"/>
            </w14:solidFill>
          </w14:textFill>
        </w:rPr>
        <w:t xml:space="preserve">自成交通知书发出之日起三十日内，</w:t>
      </w:r>
      <w:r>
        <w:rPr>
          <w:rFonts w:hint="eastAsia" w:ascii="宋体" w:hAnsi="宋体" w:cs="宋体"/>
          <w:color w:val="000000" w:themeColor="text1"/>
          <w:szCs w:val="21"/>
          <w14:textFill>
            <w14:solidFill>
              <w14:schemeClr w14:val="tx1"/>
            </w14:solidFill>
          </w14:textFill>
        </w:rPr>
        <w:t xml:space="preserve">与采购人签订合同，所签订的合同不得对竞争性磋商文件和响应文件作实质性修改。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5.2 </w:t>
      </w:r>
      <w:r>
        <w:rPr>
          <w:rFonts w:hint="eastAsia" w:ascii="宋体" w:hAnsi="宋体" w:cs="宋体"/>
          <w:color w:val="000000" w:themeColor="text1"/>
          <w:szCs w:val="21"/>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 </w:t>
      </w:r>
      <w:r>
        <w:rPr>
          <w:color w:val="000000" w:themeColor="text1"/>
          <w:szCs w:val="21"/>
          <w:lang w:val="zh-CN"/>
          <w14:textFill>
            <w14:solidFill>
              <w14:schemeClr w14:val="tx1"/>
            </w14:solidFill>
          </w14:textFill>
        </w:rPr>
        <w:t xml:space="preserve">成交供应商因不可抗力或者自身原因不能履行合同的，</w:t>
      </w:r>
      <w:r>
        <w:rPr>
          <w:color w:val="000000" w:themeColor="text1"/>
          <w:szCs w:val="21"/>
          <w:shd w:val="clear" w:color="auto" w:fill="ffffff"/>
          <w:lang w:val="zh-CN"/>
          <w14:textFill>
            <w14:solidFill>
              <w14:schemeClr w14:val="tx1"/>
            </w14:solidFill>
          </w14:textFill>
        </w:rPr>
        <w:t xml:space="preserve">采购人可以按照</w:t>
      </w:r>
      <w:r>
        <w:rPr>
          <w:color w:val="000000" w:themeColor="text1"/>
          <w:szCs w:val="21"/>
          <w:lang w:val="zh-CN"/>
          <w14:textFill>
            <w14:solidFill>
              <w14:schemeClr w14:val="tx1"/>
            </w14:solidFill>
          </w14:textFill>
        </w:rPr>
        <w:t xml:space="preserve">《</w:t>
      </w:r>
      <w:r>
        <w:rPr>
          <w:color w:val="000000" w:themeColor="text1"/>
          <w:szCs w:val="21"/>
          <w14:textFill>
            <w14:solidFill>
              <w14:schemeClr w14:val="tx1"/>
            </w14:solidFill>
          </w14:textFill>
        </w:rPr>
        <w:t xml:space="preserve">政府采购竞争性磋商采购方式管理暂行办法</w:t>
      </w:r>
      <w:r>
        <w:rPr>
          <w:color w:val="000000" w:themeColor="text1"/>
          <w:szCs w:val="21"/>
          <w:lang w:val="zh-CN"/>
          <w14:textFill>
            <w14:solidFill>
              <w14:schemeClr w14:val="tx1"/>
            </w14:solidFill>
          </w14:textFill>
        </w:rPr>
        <w:t xml:space="preserve">》</w:t>
      </w:r>
      <w:r>
        <w:rPr>
          <w:color w:val="000000" w:themeColor="text1"/>
          <w:szCs w:val="21"/>
          <w:shd w:val="clear" w:color="auto" w:fill="ffffff"/>
          <w:lang w:val="zh-CN"/>
          <w14:textFill>
            <w14:solidFill>
              <w14:schemeClr w14:val="tx1"/>
            </w14:solidFill>
          </w14:textFill>
        </w:rPr>
        <w:t xml:space="preserve">第</w:t>
      </w:r>
      <w:r>
        <w:rPr>
          <w:color w:val="000000" w:themeColor="text1"/>
          <w:szCs w:val="21"/>
          <w:shd w:val="clear" w:color="auto" w:fill="ffffff"/>
          <w14:textFill>
            <w14:solidFill>
              <w14:schemeClr w14:val="tx1"/>
            </w14:solidFill>
          </w14:textFill>
        </w:rPr>
        <w:t xml:space="preserve">三</w:t>
      </w:r>
      <w:r>
        <w:rPr>
          <w:color w:val="000000" w:themeColor="text1"/>
          <w:szCs w:val="21"/>
          <w:shd w:val="clear" w:color="auto" w:fill="ffffff"/>
          <w:lang w:val="zh-CN"/>
          <w14:textFill>
            <w14:solidFill>
              <w14:schemeClr w14:val="tx1"/>
            </w14:solidFill>
          </w14:textFill>
        </w:rPr>
        <w:t xml:space="preserve">十</w:t>
      </w:r>
      <w:r>
        <w:rPr>
          <w:color w:val="000000" w:themeColor="text1"/>
          <w:szCs w:val="21"/>
          <w:shd w:val="clear" w:color="auto" w:fill="ffffff"/>
          <w14:textFill>
            <w14:solidFill>
              <w14:schemeClr w14:val="tx1"/>
            </w14:solidFill>
          </w14:textFill>
        </w:rPr>
        <w:t xml:space="preserve">三</w:t>
      </w:r>
      <w:r>
        <w:rPr>
          <w:color w:val="000000" w:themeColor="text1"/>
          <w:szCs w:val="21"/>
          <w:shd w:val="clear" w:color="auto" w:fill="ffffff"/>
          <w:lang w:val="zh-CN"/>
          <w14:textFill>
            <w14:solidFill>
              <w14:schemeClr w14:val="tx1"/>
            </w14:solidFill>
          </w14:textFill>
        </w:rPr>
        <w:t xml:space="preserve">条规定的原则确定其他供应商作为成交供应商并签订政府采购合同，也可以重新开展采购活动。</w:t>
      </w:r>
      <w:r>
        <w:rPr>
          <w:b/>
          <w:bCs/>
          <w:color w:val="000000" w:themeColor="text1"/>
          <w:szCs w:val="21"/>
          <w:shd w:val="clear" w:color="auto" w:fill="ffffff"/>
          <w14:textFill>
            <w14:solidFill>
              <w14:schemeClr w14:val="tx1"/>
            </w14:solidFill>
          </w14:textFill>
        </w:rPr>
        <w:t xml:space="preserve">放弃或</w:t>
      </w:r>
      <w:r>
        <w:rPr>
          <w:b/>
          <w:bCs/>
          <w:color w:val="000000" w:themeColor="text1"/>
          <w:szCs w:val="21"/>
          <w:shd w:val="clear" w:color="auto" w:fill="ffffff"/>
          <w:lang w:val="zh-CN"/>
          <w14:textFill>
            <w14:solidFill>
              <w14:schemeClr w14:val="tx1"/>
            </w14:solidFill>
          </w14:textFill>
        </w:rPr>
        <w:t xml:space="preserve">拒绝签订政府采购合同的成交供应商不得参加对该项目重新开展的采购活动，</w:t>
      </w:r>
      <w:r>
        <w:rPr>
          <w:b/>
          <w:bCs/>
          <w:color w:val="000000" w:themeColor="text1"/>
          <w:szCs w:val="21"/>
          <w14:textFill>
            <w14:solidFill>
              <w14:schemeClr w14:val="tx1"/>
            </w14:solidFill>
          </w14:textFill>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5.4 </w:t>
      </w:r>
      <w:r>
        <w:rPr>
          <w:color w:val="000000" w:themeColor="text1"/>
          <w:szCs w:val="21"/>
          <w:lang w:val="zh-CN"/>
          <w14:textFill>
            <w14:solidFill>
              <w14:schemeClr w14:val="tx1"/>
            </w14:solidFill>
          </w14:textFill>
        </w:rPr>
        <w:t xml:space="preserve">成交供应商</w:t>
      </w:r>
      <w:r>
        <w:rPr>
          <w:color w:val="000000" w:themeColor="text1"/>
          <w:szCs w:val="21"/>
          <w14:textFill>
            <w14:solidFill>
              <w14:schemeClr w14:val="tx1"/>
            </w14:solidFill>
          </w14:textFill>
        </w:rPr>
        <w:t xml:space="preserve">拒绝签订政府采购合同的</w:t>
      </w:r>
      <w:r>
        <w:rPr>
          <w:color w:val="000000" w:themeColor="text1"/>
          <w:szCs w:val="21"/>
          <w:lang w:val="zh-CN"/>
          <w14:textFill>
            <w14:solidFill>
              <w14:schemeClr w14:val="tx1"/>
            </w14:solidFill>
          </w14:textFill>
        </w:rPr>
        <w:t xml:space="preserve">，</w:t>
      </w:r>
      <w:r>
        <w:rPr>
          <w:color w:val="000000" w:themeColor="text1"/>
          <w:szCs w:val="21"/>
          <w:shd w:val="clear" w:color="auto" w:fill="ffffff"/>
          <w:lang w:val="zh-CN"/>
          <w14:textFill>
            <w14:solidFill>
              <w14:schemeClr w14:val="tx1"/>
            </w14:solidFill>
          </w14:textFill>
        </w:rPr>
        <w:t xml:space="preserve">采购人可以按照</w:t>
      </w:r>
      <w:r>
        <w:rPr>
          <w:color w:val="000000" w:themeColor="text1"/>
          <w:szCs w:val="21"/>
          <w:lang w:val="zh-CN"/>
          <w14:textFill>
            <w14:solidFill>
              <w14:schemeClr w14:val="tx1"/>
            </w14:solidFill>
          </w14:textFill>
        </w:rPr>
        <w:t xml:space="preserve">《</w:t>
      </w:r>
      <w:r>
        <w:rPr>
          <w:color w:val="000000" w:themeColor="text1"/>
          <w:szCs w:val="21"/>
          <w14:textFill>
            <w14:solidFill>
              <w14:schemeClr w14:val="tx1"/>
            </w14:solidFill>
          </w14:textFill>
        </w:rPr>
        <w:t xml:space="preserve">政府采购竞争性磋商采购方式管理暂行办法</w:t>
      </w:r>
      <w:r>
        <w:rPr>
          <w:color w:val="000000" w:themeColor="text1"/>
          <w:szCs w:val="21"/>
          <w:lang w:val="zh-CN"/>
          <w14:textFill>
            <w14:solidFill>
              <w14:schemeClr w14:val="tx1"/>
            </w14:solidFill>
          </w14:textFill>
        </w:rPr>
        <w:t xml:space="preserve">》</w:t>
      </w:r>
      <w:r>
        <w:rPr>
          <w:color w:val="000000" w:themeColor="text1"/>
          <w:szCs w:val="21"/>
          <w:shd w:val="clear" w:color="auto" w:fill="ffffff"/>
          <w:lang w:val="zh-CN"/>
          <w14:textFill>
            <w14:solidFill>
              <w14:schemeClr w14:val="tx1"/>
            </w14:solidFill>
          </w14:textFill>
        </w:rPr>
        <w:t xml:space="preserve">第</w:t>
      </w:r>
      <w:r>
        <w:rPr>
          <w:color w:val="000000" w:themeColor="text1"/>
          <w:szCs w:val="21"/>
          <w:shd w:val="clear" w:color="auto" w:fill="ffffff"/>
          <w14:textFill>
            <w14:solidFill>
              <w14:schemeClr w14:val="tx1"/>
            </w14:solidFill>
          </w14:textFill>
        </w:rPr>
        <w:t xml:space="preserve">三</w:t>
      </w:r>
      <w:r>
        <w:rPr>
          <w:color w:val="000000" w:themeColor="text1"/>
          <w:szCs w:val="21"/>
          <w:shd w:val="clear" w:color="auto" w:fill="ffffff"/>
          <w:lang w:val="zh-CN"/>
          <w14:textFill>
            <w14:solidFill>
              <w14:schemeClr w14:val="tx1"/>
            </w14:solidFill>
          </w14:textFill>
        </w:rPr>
        <w:t xml:space="preserve">十</w:t>
      </w:r>
      <w:r>
        <w:rPr>
          <w:color w:val="000000" w:themeColor="text1"/>
          <w:szCs w:val="21"/>
          <w:shd w:val="clear" w:color="auto" w:fill="ffffff"/>
          <w14:textFill>
            <w14:solidFill>
              <w14:schemeClr w14:val="tx1"/>
            </w14:solidFill>
          </w14:textFill>
        </w:rPr>
        <w:t xml:space="preserve">三</w:t>
      </w:r>
      <w:r>
        <w:rPr>
          <w:color w:val="000000" w:themeColor="text1"/>
          <w:szCs w:val="21"/>
          <w:shd w:val="clear" w:color="auto" w:fill="ffffff"/>
          <w:lang w:val="zh-CN"/>
          <w14:textFill>
            <w14:solidFill>
              <w14:schemeClr w14:val="tx1"/>
            </w14:solidFill>
          </w14:textFill>
        </w:rPr>
        <w:t xml:space="preserve">条规定的原则确定其他供应商作为成交供应商并签订政府采购合同，也可以重新开展采购活动。</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5.5</w:t>
      </w:r>
      <w:r>
        <w:rPr>
          <w:rFonts w:hint="eastAsia" w:ascii="宋体" w:hAnsi="宋体" w:cs="宋体"/>
          <w:color w:val="000000" w:themeColor="text1"/>
          <w:szCs w:val="21"/>
          <w:lang w:val="zh-CN"/>
          <w14:textFill>
            <w14:solidFill>
              <w14:schemeClr w14:val="tx1"/>
            </w14:solidFill>
          </w14:textFill>
        </w:rPr>
        <w:t xml:space="preserve"> 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五、质疑与投诉</w:t>
      </w:r>
      <w:r/>
    </w:p>
    <w:p>
      <w:pPr>
        <w:ind w:firstLine="420"/>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1.质疑</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1.1供应商认为磋商文件、磋商过程和成交结果使自己的权益受到损害的，可以在知道或者应知其权益受到损害之日起七个工作日内，以书面形式向采购代理机构提出质疑。</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1.3提出质疑的供应商应当是参与所质疑项目采购活动的供应商。潜在供应商已依法获取其可质疑的采购文件的，可以对该文件提出质疑。</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1.5以联合体形式参加政府采购活动的，其投诉应当由组成联合体的所有供应商共同提出。</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1.6供应商质疑应当有明确的请求和必要的证明材料。供应商必须在法定质疑期内一次性提出针对同一采购程序环节的质疑。</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1.8质疑函应当使用中文。相关当事人提供外文书证或者外国语视听资料的，应当附有中文译本，由翻译机构盖章或者翻译人员签名。</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1.9质疑函应当现场书面提交至采购代理机构联系人（详见竞争性磋商公告）处，提交时应出示有效身份证明。</w:t>
      </w:r>
      <w:r/>
    </w:p>
    <w:p>
      <w:pPr>
        <w:ind w:firstLine="420"/>
        <w:spacing w:line="360" w:lineRule="auto"/>
        <w:tabs>
          <w:tab w:val="left" w:pos="5355" w:leader="none"/>
        </w:tabs>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w:t>
      </w:r>
      <w:r>
        <w:rPr>
          <w:rFonts w:hint="eastAsia" w:ascii="宋体" w:hAnsi="宋体" w:cs="宋体"/>
          <w:b/>
          <w:color w:val="000000" w:themeColor="text1"/>
          <w:szCs w:val="21"/>
          <w:lang w:val="zh-CN"/>
          <w14:textFill>
            <w14:solidFill>
              <w14:schemeClr w14:val="tx1"/>
            </w14:solidFill>
          </w14:textFill>
        </w:rPr>
        <w:t xml:space="preserve">投诉</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1.供应商对采购代理机构的答复不满意或者采购代理机构未在规定的时间内作出答复的，可以在答复期满后十五个工作日内向同级政府采购监督管理部门投诉。</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2.供应商投诉应当有明确的请求和必要的证明材料。供应商投诉的事项不得超出已质疑事项的范围。</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3.投诉人对政府采购监督管理部门的投诉处理决定不服或者政府采购监督管理部门逾期未作处理的，可以依法申请行政复议或者向人民法院提起行政诉讼。</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4.投诉人在全国范围12个月内三次以上投诉查无实据的，由财政部门列入不良行为记录名单。</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5.投诉人有下列行为之一的，属于虚假、恶意投诉，由财政部门列入不良行为记录名单，禁止其1至3年内参加政府采购活动：</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（1）捏造事实；</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（2）提供虚假材料；</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6.任何单位和个人对采购代理机构在采购活动中的违法行为，有权控告和检举，联系电话：025-86636139（招标采购代理机构质量管理部门）、025-86636853（招标采购代理机构纪检监察部门）</w:t>
      </w:r>
      <w:r/>
    </w:p>
    <w:p>
      <w:pPr>
        <w:ind w:firstLine="420"/>
        <w:spacing w:line="360" w:lineRule="auto"/>
        <w:tabs>
          <w:tab w:val="left" w:pos="5355"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w:t>
      </w:r>
      <w:r>
        <w:rPr>
          <w:rFonts w:hint="eastAsia" w:ascii="宋体" w:hAnsi="宋体" w:cs="宋体"/>
          <w:b/>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lang w:val="zh-CN"/>
          <w14:textFill>
            <w14:solidFill>
              <w14:schemeClr w14:val="tx1"/>
            </w14:solidFill>
          </w14:textFill>
        </w:rPr>
        <w:t xml:space="preserve">诚实信用</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 供应商之间不得相互串通报价，不得妨碍其他供应商的公平竞争，不得损害采购人和其他供应商的合法权益。</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w:t>
      </w:r>
      <w:r>
        <w:rPr>
          <w:color w:val="000000" w:themeColor="text1"/>
          <w:szCs w:val="21"/>
          <w:lang w:val="zh-CN"/>
          <w14:textFill>
            <w14:solidFill>
              <w14:schemeClr w14:val="tx1"/>
            </w14:solidFill>
          </w14:textFill>
        </w:rPr>
        <w:t xml:space="preserve">供应商不得以向采购代理机构工作人员、磋商</w:t>
      </w:r>
      <w:r>
        <w:rPr>
          <w:color w:val="000000" w:themeColor="text1"/>
          <w:szCs w:val="21"/>
          <w14:textFill>
            <w14:solidFill>
              <w14:schemeClr w14:val="tx1"/>
            </w14:solidFill>
          </w14:textFill>
        </w:rPr>
        <w:t xml:space="preserve">小组</w:t>
      </w:r>
      <w:r>
        <w:rPr>
          <w:color w:val="000000" w:themeColor="text1"/>
          <w:szCs w:val="21"/>
          <w:lang w:val="zh-CN"/>
          <w14:textFill>
            <w14:solidFill>
              <w14:schemeClr w14:val="tx1"/>
            </w14:solidFill>
          </w14:textFill>
        </w:rPr>
        <w:t xml:space="preserve">成员行贿或者采取其他不正当手段谋取成交。经查实供应商有此行为的，</w:t>
      </w:r>
      <w:r>
        <w:rPr>
          <w:color w:val="000000" w:themeColor="text1"/>
          <w:szCs w:val="21"/>
          <w14:textFill>
            <w14:solidFill>
              <w14:schemeClr w14:val="tx1"/>
            </w14:solidFill>
          </w14:textFill>
        </w:rPr>
        <w:t xml:space="preserve">将在本项目发布媒体上进行公告，政府采购管理部门将供应商列入不良行为记录名单，按照《政府采购法》有关规定处理。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 供应商不得虚假承诺，否则，按照提供虚假材料谋取成交处理。</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八</w:t>
      </w:r>
      <w:r>
        <w:rPr>
          <w:rFonts w:hint="eastAsia" w:ascii="宋体" w:hAnsi="宋体" w:cs="宋体"/>
          <w:b/>
          <w:bCs/>
          <w:color w:val="000000" w:themeColor="text1"/>
          <w:szCs w:val="21"/>
          <w:lang w:val="zh-CN"/>
          <w14:textFill>
            <w14:solidFill>
              <w14:schemeClr w14:val="tx1"/>
            </w14:solidFill>
          </w14:textFill>
        </w:rPr>
        <w:t xml:space="preserve">、磋商费用</w:t>
      </w:r>
      <w:r/>
    </w:p>
    <w:p>
      <w:pPr>
        <w:ind w:firstLine="420"/>
        <w:spacing w:line="360" w:lineRule="auto"/>
        <w:rPr>
          <w:rFonts w:ascii="宋体" w:hAnsi="宋体" w:cs="宋体"/>
          <w:color w:val="000000" w:themeColor="text1"/>
          <w:szCs w:val="21"/>
          <w:lang w:val="zh-CN"/>
          <w14:textFill>
            <w14:solidFill>
              <w14:schemeClr w14:val="tx1"/>
            </w14:solidFill>
          </w14:textFill>
        </w:rPr>
      </w:pPr>
      <w:r/>
      <w:bookmarkStart w:id="10" w:name="_Toc149805857"/>
      <w:r/>
      <w:bookmarkStart w:id="11" w:name="_Toc24452"/>
      <w:r/>
      <w:bookmarkStart w:id="12" w:name="_Toc534273794"/>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供应商应承担所有与准备和参加磋商有关的费用，无论采购结果如何，采购代理机构和采购人在任何情况下均无义务和责任承担这些费用。</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 本次采购，代理服务收费由采购人支付。</w:t>
      </w:r>
      <w:r/>
    </w:p>
    <w:p>
      <w:pPr>
        <w:pStyle w:val="1069"/>
        <w:ind w:firstLine="902"/>
        <w:jc w:val="center"/>
        <w:rPr>
          <w:rFonts w:eastAsia="黑体"/>
          <w:color w:val="000000" w:themeColor="text1"/>
          <w:sz w:val="36"/>
          <w:szCs w:val="36"/>
          <w14:textFill>
            <w14:solidFill>
              <w14:schemeClr w14:val="tx1"/>
            </w14:solidFill>
          </w14:textFill>
        </w:rPr>
        <w:sectPr>
          <w:headerReference w:type="default" r:id="rId9"/>
          <w:footerReference w:type="default" r:id="rId11"/>
          <w:footnotePr/>
          <w:endnotePr/>
          <w:type w:val="nextPage"/>
          <w:pgSz w:w="11906" w:h="16838" w:orient="portrait"/>
          <w:pgMar w:top="1417" w:right="1417" w:bottom="1417" w:left="1417" w:header="851" w:footer="794" w:gutter="0"/>
          <w:pgNumType w:start="1"/>
          <w:cols w:num="1" w:sep="0" w:space="0" w:equalWidth="1"/>
          <w:docGrid w:linePitch="360"/>
        </w:sectPr>
        <w:outlineLvl w:val="0"/>
      </w:pPr>
      <w:r>
        <w:rPr>
          <w:rFonts w:eastAsia="黑体"/>
          <w:color w:val="000000" w:themeColor="text1"/>
          <w:sz w:val="36"/>
          <w:szCs w:val="36"/>
          <w14:textFill>
            <w14:solidFill>
              <w14:schemeClr w14:val="tx1"/>
            </w14:solidFill>
          </w14:textFill>
        </w:rPr>
      </w:r>
      <w:r/>
    </w:p>
    <w:p>
      <w:pPr>
        <w:pStyle w:val="1069"/>
        <w:ind w:firstLine="902"/>
        <w:jc w:val="center"/>
        <w:rPr>
          <w:rFonts w:eastAsia="黑体"/>
          <w:color w:val="000000" w:themeColor="text1"/>
          <w:sz w:val="36"/>
          <w:szCs w:val="36"/>
          <w14:textFill>
            <w14:solidFill>
              <w14:schemeClr w14:val="tx1"/>
            </w14:solidFill>
          </w14:textFill>
        </w:rPr>
        <w:outlineLvl w:val="0"/>
      </w:pPr>
      <w:r>
        <w:rPr>
          <w:rFonts w:hint="eastAsia" w:eastAsia="黑体"/>
          <w:color w:val="000000" w:themeColor="text1"/>
          <w:sz w:val="36"/>
          <w:szCs w:val="36"/>
          <w14:textFill>
            <w14:solidFill>
              <w14:schemeClr w14:val="tx1"/>
            </w14:solidFill>
          </w14:textFill>
        </w:rPr>
        <w:t xml:space="preserve">第三章</w:t>
      </w:r>
      <w:r>
        <w:rPr>
          <w:rFonts w:eastAsia="黑体"/>
          <w:color w:val="000000" w:themeColor="text1"/>
          <w:sz w:val="36"/>
          <w:szCs w:val="36"/>
          <w14:textFill>
            <w14:solidFill>
              <w14:schemeClr w14:val="tx1"/>
            </w14:solidFill>
          </w14:textFill>
        </w:rPr>
        <w:t xml:space="preserve">  </w:t>
      </w:r>
      <w:r>
        <w:rPr>
          <w:rFonts w:hint="eastAsia" w:eastAsia="黑体"/>
          <w:color w:val="000000" w:themeColor="text1"/>
          <w:sz w:val="36"/>
          <w:szCs w:val="36"/>
          <w14:textFill>
            <w14:solidFill>
              <w14:schemeClr w14:val="tx1"/>
            </w14:solidFill>
          </w14:textFill>
        </w:rPr>
        <w:t xml:space="preserve">评标标准</w:t>
      </w:r>
      <w:bookmarkEnd w:id="10"/>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响应文件满足磋商文件全部实质性要求和评审因素的量化指标顺序排列，由磋商小组确定成交供应商。</w:t>
      </w:r>
      <w:r/>
    </w:p>
    <w:tbl>
      <w:tblPr>
        <w:tblStyle w:val="74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663"/>
        <w:gridCol w:w="6033"/>
        <w:gridCol w:w="893"/>
      </w:tblGrid>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序号</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评分因素</w:t>
            </w:r>
            <w:r/>
          </w:p>
        </w:tc>
        <w:tc>
          <w:tcPr>
            <w:tcW w:w="3250"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评审标准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分值</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价格（45分）</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采用低价优先法计算，即满足磋商文件要求且</w:t>
            </w:r>
            <w:r>
              <w:rPr>
                <w:rFonts w:hint="eastAsia" w:ascii="宋体" w:hAnsi="宋体" w:cs="宋体"/>
                <w:color w:val="000000" w:themeColor="text1"/>
                <w:szCs w:val="21"/>
                <w14:textFill>
                  <w14:solidFill>
                    <w14:schemeClr w14:val="tx1"/>
                  </w14:solidFill>
                </w14:textFill>
              </w:rPr>
              <w:t xml:space="preserve">最后磋商报价最低</w:t>
            </w:r>
            <w:r>
              <w:rPr>
                <w:rFonts w:hint="eastAsia" w:ascii="宋体" w:hAnsi="宋体" w:cs="宋体"/>
                <w:bCs/>
                <w:color w:val="000000" w:themeColor="text1"/>
                <w:szCs w:val="21"/>
                <w14:textFill>
                  <w14:solidFill>
                    <w14:schemeClr w14:val="tx1"/>
                  </w14:solidFill>
                </w14:textFill>
              </w:rPr>
              <w:t xml:space="preserve">的供应商的价格为评标基准价，其价格分为满分45分，其他供应商的价格分按照下列公式计算：投标报价得分=(评标基准价/最后磋商报价)*45。</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45</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设备技术指标响应性</w:t>
            </w:r>
            <w:r>
              <w:rPr>
                <w:rFonts w:hint="eastAsia" w:ascii="宋体" w:hAnsi="宋体" w:cs="宋体"/>
                <w:bCs/>
                <w:color w:val="000000" w:themeColor="text1"/>
                <w:szCs w:val="21"/>
                <w14:textFill>
                  <w14:solidFill>
                    <w14:schemeClr w14:val="tx1"/>
                  </w14:solidFill>
                </w14:textFill>
              </w:rPr>
              <w:t xml:space="preserve">（33分）</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系统设备配置、选型全部满足招标文件技术参数要求得33分，有1项不满足，扣0.5分。其中带“▲”的核心指标，有1项不满足，扣1分。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注：需按照要求提供相关证明资料，证明资料须提供列有相应技术参数的（采购文件有明确要求的须提供明确的证明材料，采购文件无明确证明材料要求的可提供技术（或商务）偏离表或产品彩页或产品说明书或检测报告能够证明其所投产品能满足或达到招标要求），不能提供的将视为不满足，并按照规定扣分，扣完为止</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33</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重难点分析及解决措施</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供应商根据本项目制定重难点分析及解决措施</w:t>
            </w:r>
            <w:r>
              <w:rPr>
                <w:rFonts w:hint="eastAsia" w:ascii="宋体" w:hAnsi="宋体" w:cs="宋体"/>
                <w:bCs/>
                <w:color w:val="000000" w:themeColor="text1"/>
                <w:szCs w:val="21"/>
                <w14:textFill>
                  <w14:solidFill>
                    <w14:schemeClr w14:val="tx1"/>
                  </w14:solidFill>
                </w14:textFill>
              </w:rPr>
              <w:t xml:space="preserve">，包括项目现状了解、本项目实施内容理解、与水文站现有业务结合、本项目实施重难点及其应对措施等，</w:t>
            </w:r>
            <w:r>
              <w:rPr>
                <w:rFonts w:ascii="宋体" w:hAnsi="宋体" w:cs="宋体"/>
                <w:bCs/>
                <w:color w:val="000000" w:themeColor="text1"/>
                <w:szCs w:val="21"/>
                <w14:textFill>
                  <w14:solidFill>
                    <w14:schemeClr w14:val="tx1"/>
                  </w14:solidFill>
                </w14:textFill>
              </w:rPr>
              <w:t xml:space="preserve">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方案详细、内容完整、条理清晰、合理可行、完全符合本项目需求，得5分；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内容较详细、主要内容未遗漏、条理较清晰、较符合本项目需求，得3分；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内容不详细、遗漏主要内容、基本合理可行、条理一般清晰、基本符合本项目需求，得1分；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安装实施方案</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供应商根据本项目制定</w:t>
            </w:r>
            <w:r>
              <w:rPr>
                <w:rFonts w:hint="eastAsia" w:ascii="宋体" w:hAnsi="宋体" w:cs="宋体"/>
                <w:bCs/>
                <w:color w:val="000000" w:themeColor="text1"/>
                <w:szCs w:val="21"/>
                <w14:textFill>
                  <w14:solidFill>
                    <w14:schemeClr w14:val="tx1"/>
                  </w14:solidFill>
                </w14:textFill>
              </w:rPr>
              <w:t xml:space="preserve">安装实施</w:t>
            </w:r>
            <w:r>
              <w:rPr>
                <w:rFonts w:ascii="宋体" w:hAnsi="宋体" w:cs="宋体"/>
                <w:bCs/>
                <w:color w:val="000000" w:themeColor="text1"/>
                <w:szCs w:val="21"/>
                <w14:textFill>
                  <w14:solidFill>
                    <w14:schemeClr w14:val="tx1"/>
                  </w14:solidFill>
                </w14:textFill>
              </w:rPr>
              <w:t xml:space="preserve">方案</w:t>
            </w:r>
            <w:r>
              <w:rPr>
                <w:rFonts w:hint="eastAsia" w:ascii="宋体" w:hAnsi="宋体" w:cs="宋体"/>
                <w:bCs/>
                <w:color w:val="000000" w:themeColor="text1"/>
                <w:szCs w:val="21"/>
                <w14:textFill>
                  <w14:solidFill>
                    <w14:schemeClr w14:val="tx1"/>
                  </w14:solidFill>
                </w14:textFill>
              </w:rPr>
              <w:t xml:space="preserve">，包括项目基础设施建设改造部分实施方案、设备部分安装调试方案、AR全景展示系统实施与原有系统对接方案等，</w:t>
            </w:r>
            <w:r>
              <w:rPr>
                <w:rFonts w:ascii="宋体" w:hAnsi="宋体" w:cs="宋体"/>
                <w:bCs/>
                <w:color w:val="000000" w:themeColor="text1"/>
                <w:szCs w:val="21"/>
                <w14:textFill>
                  <w14:solidFill>
                    <w14:schemeClr w14:val="tx1"/>
                  </w14:solidFill>
                </w14:textFill>
              </w:rPr>
              <w:t xml:space="preserve">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实施方案详细、内容完整、与本项目贴合程度高、兼容性好、条理清晰、合理可行、完全符合本项目需求，得5分；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安装实施较详细、主要内容未遗漏、条理较清晰、较符合本项目需求，得3分；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安装实施不详细、遗漏主要内容、基本合理可行、条理一般清晰、基本符合本项目需求，得1分；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施工组织、进度计划</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供应商根据本项目制定</w:t>
            </w:r>
            <w:r>
              <w:rPr>
                <w:rFonts w:hint="eastAsia" w:ascii="宋体" w:hAnsi="宋体" w:cs="宋体"/>
                <w:bCs/>
                <w:color w:val="000000" w:themeColor="text1"/>
                <w:szCs w:val="21"/>
                <w14:textFill>
                  <w14:solidFill>
                    <w14:schemeClr w14:val="tx1"/>
                  </w14:solidFill>
                </w14:textFill>
              </w:rPr>
              <w:t xml:space="preserve">进度计划、施工组织方案，包括施工组织、人员安排、进度安排、进度保证措施、安全管理方案等内容，</w:t>
            </w:r>
            <w:r>
              <w:rPr>
                <w:rFonts w:ascii="宋体" w:hAnsi="宋体" w:cs="宋体"/>
                <w:bCs/>
                <w:color w:val="000000" w:themeColor="text1"/>
                <w:szCs w:val="21"/>
                <w14:textFill>
                  <w14:solidFill>
                    <w14:schemeClr w14:val="tx1"/>
                  </w14:solidFill>
                </w14:textFill>
              </w:rPr>
              <w:t xml:space="preserve">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方案详细、内容完整、条理清晰、合理可行、完全符合本项目需求，得2分；内容较详细、主要内容未遗漏、条理较清晰、较符合本项目需求，得1分；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内容不详细、遗漏主要内容、基本合理可行、条理一般清晰、基本符合本项目需求，得0.5分；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系统设备培训</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供应商根据本项目制定系统设备技术培训方案，包括培训方式、培训内容、培训进度时间、培训计划、培训质量保证措施等，由评标委员会进行综合评审。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培训方案详细、内容完整、条理清晰、合理可行、完全符合本项目需求，得2分；培训方案较详细、主要内容未遗漏、条理较清晰、较符合本项目需求，得1分；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培训方案不详细、遗漏主要内容、基本合理可行、条理一般清晰、基本符合本项目需求，得0.5分；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售后服务</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供应商提供的售后服务方案，包括但不限于售后服务人员配置、服务体系、服务内容、响应时间、售后及服务承诺内容等，由评标委员会进行综合评审。</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售后服务方案详细、具体，具有实际可操作性的得2分；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售后服务方案基本满足项目需求的得1分；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售后服务方案较为简单，可操作性欠缺的得0.5分；</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未提供的不得分。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类似项目业绩</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供应商自202</w:t>
            </w:r>
            <w:r>
              <w:rPr>
                <w:rFonts w:hint="eastAsia" w:ascii="宋体" w:hAnsi="宋体" w:cs="宋体"/>
                <w:bCs/>
                <w:color w:val="000000" w:themeColor="text1"/>
                <w:szCs w:val="21"/>
                <w14:textFill>
                  <w14:solidFill>
                    <w14:schemeClr w14:val="tx1"/>
                  </w14:solidFill>
                </w14:textFill>
              </w:rPr>
              <w:t xml:space="preserve">3</w:t>
            </w:r>
            <w:r>
              <w:rPr>
                <w:rFonts w:ascii="宋体" w:hAnsi="宋体" w:cs="宋体"/>
                <w:bCs/>
                <w:color w:val="000000" w:themeColor="text1"/>
                <w:szCs w:val="21"/>
                <w14:textFill>
                  <w14:solidFill>
                    <w14:schemeClr w14:val="tx1"/>
                  </w14:solidFill>
                </w14:textFill>
              </w:rPr>
              <w:t xml:space="preserve">年1月1日（含）以来（时间以合同签订日期为准）</w:t>
            </w:r>
            <w:r>
              <w:rPr>
                <w:rFonts w:hint="eastAsia" w:ascii="宋体" w:hAnsi="宋体" w:cs="宋体"/>
                <w:bCs/>
                <w:color w:val="000000" w:themeColor="text1"/>
                <w:szCs w:val="21"/>
                <w14:textFill>
                  <w14:solidFill>
                    <w14:schemeClr w14:val="tx1"/>
                  </w14:solidFill>
                </w14:textFill>
              </w:rPr>
              <w:t xml:space="preserve">有</w:t>
            </w:r>
            <w:r>
              <w:rPr>
                <w:rFonts w:ascii="宋体" w:hAnsi="宋体" w:cs="宋体"/>
                <w:bCs/>
                <w:color w:val="000000" w:themeColor="text1"/>
                <w:szCs w:val="21"/>
                <w14:textFill>
                  <w14:solidFill>
                    <w14:schemeClr w14:val="tx1"/>
                  </w14:solidFill>
                </w14:textFill>
              </w:rPr>
              <w:t xml:space="preserve">与本项目类似</w:t>
            </w:r>
            <w:r>
              <w:rPr>
                <w:rFonts w:hint="eastAsia" w:ascii="宋体" w:hAnsi="宋体" w:cs="宋体"/>
                <w:bCs/>
                <w:color w:val="000000" w:themeColor="text1"/>
                <w:szCs w:val="21"/>
                <w14:textFill>
                  <w14:solidFill>
                    <w14:schemeClr w14:val="tx1"/>
                  </w14:solidFill>
                </w14:textFill>
              </w:rPr>
              <w:t xml:space="preserve">项目</w:t>
            </w:r>
            <w:r>
              <w:rPr>
                <w:rFonts w:ascii="宋体" w:hAnsi="宋体" w:cs="宋体"/>
                <w:bCs/>
                <w:color w:val="000000" w:themeColor="text1"/>
                <w:szCs w:val="21"/>
                <w14:textFill>
                  <w14:solidFill>
                    <w14:schemeClr w14:val="tx1"/>
                  </w14:solidFill>
                </w14:textFill>
              </w:rPr>
              <w:t xml:space="preserve">业绩的，有一份得</w:t>
            </w:r>
            <w:r>
              <w:rPr>
                <w:rFonts w:hint="eastAsia" w:ascii="宋体" w:hAnsi="宋体" w:cs="宋体"/>
                <w:bCs/>
                <w:color w:val="000000" w:themeColor="text1"/>
                <w:szCs w:val="21"/>
                <w14:textFill>
                  <w14:solidFill>
                    <w14:schemeClr w14:val="tx1"/>
                  </w14:solidFill>
                </w14:textFill>
              </w:rPr>
              <w:t xml:space="preserve">1</w:t>
            </w:r>
            <w:r>
              <w:rPr>
                <w:rFonts w:ascii="宋体" w:hAnsi="宋体" w:cs="宋体"/>
                <w:bCs/>
                <w:color w:val="000000" w:themeColor="text1"/>
                <w:szCs w:val="21"/>
                <w14:textFill>
                  <w14:solidFill>
                    <w14:schemeClr w14:val="tx1"/>
                  </w14:solidFill>
                </w14:textFill>
              </w:rPr>
              <w:t xml:space="preserve">分，最高得</w:t>
            </w: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分。（提供中标通知书、合同、验收通过证明材料复印件加盖公章，三者缺一不可，提供的证明材料须能反映相关内容，否则视为未提供不得分）</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p>
        </w:tc>
      </w:tr>
      <w:tr>
        <w:trPr/>
        <w:tc>
          <w:tcPr>
            <w:tcW w:w="373"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w:t>
            </w:r>
            <w:r/>
          </w:p>
        </w:tc>
        <w:tc>
          <w:tcPr>
            <w:tcW w:w="896"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供应商能力</w:t>
            </w:r>
            <w:r/>
          </w:p>
        </w:tc>
        <w:tc>
          <w:tcPr>
            <w:tcW w:w="3250" w:type="pct"/>
            <w:vAlign w:val="center"/>
            <w:textDirection w:val="lrTb"/>
            <w:noWrap w:val="false"/>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1、本项目中，供应商</w:t>
            </w:r>
            <w:r>
              <w:rPr>
                <w:rFonts w:ascii="宋体" w:hAnsi="宋体" w:cs="宋体"/>
                <w:bCs/>
                <w:color w:val="000000" w:themeColor="text1"/>
                <w:szCs w:val="21"/>
                <w14:textFill>
                  <w14:solidFill>
                    <w14:schemeClr w14:val="tx1"/>
                  </w14:solidFill>
                </w14:textFill>
              </w:rPr>
              <w:t xml:space="preserve">拟派</w:t>
            </w:r>
            <w:r>
              <w:rPr>
                <w:rFonts w:hint="eastAsia" w:ascii="宋体" w:hAnsi="宋体" w:cs="宋体"/>
                <w:bCs/>
                <w:color w:val="000000" w:themeColor="text1"/>
                <w:szCs w:val="21"/>
                <w14:textFill>
                  <w14:solidFill>
                    <w14:schemeClr w14:val="tx1"/>
                  </w14:solidFill>
                </w14:textFill>
              </w:rPr>
              <w:t xml:space="preserve">项目</w:t>
            </w:r>
            <w:r>
              <w:rPr>
                <w:rFonts w:ascii="宋体" w:hAnsi="宋体" w:cs="宋体"/>
                <w:bCs/>
                <w:color w:val="000000" w:themeColor="text1"/>
                <w:szCs w:val="21"/>
                <w14:textFill>
                  <w14:solidFill>
                    <w14:schemeClr w14:val="tx1"/>
                  </w14:solidFill>
                </w14:textFill>
              </w:rPr>
              <w:t xml:space="preserve">负责人具有水利工程类高级</w:t>
            </w:r>
            <w:r>
              <w:rPr>
                <w:rFonts w:hint="eastAsia" w:ascii="宋体" w:hAnsi="宋体" w:cs="宋体"/>
                <w:bCs/>
                <w:color w:val="000000" w:themeColor="text1"/>
                <w:szCs w:val="21"/>
                <w14:textFill>
                  <w14:solidFill>
                    <w14:schemeClr w14:val="tx1"/>
                  </w14:solidFill>
                </w14:textFill>
              </w:rPr>
              <w:t xml:space="preserve">及以上</w:t>
            </w:r>
            <w:r>
              <w:rPr>
                <w:rFonts w:ascii="宋体" w:hAnsi="宋体" w:cs="宋体"/>
                <w:bCs/>
                <w:color w:val="000000" w:themeColor="text1"/>
                <w:szCs w:val="21"/>
                <w14:textFill>
                  <w14:solidFill>
                    <w14:schemeClr w14:val="tx1"/>
                  </w14:solidFill>
                </w14:textFill>
              </w:rPr>
              <w:t xml:space="preserve">职称证书的得</w:t>
            </w: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分，</w:t>
            </w:r>
            <w:r>
              <w:rPr>
                <w:rFonts w:hint="eastAsia" w:ascii="宋体" w:hAnsi="宋体" w:cs="宋体"/>
                <w:bCs/>
                <w:color w:val="000000" w:themeColor="text1"/>
                <w:szCs w:val="21"/>
                <w14:textFill>
                  <w14:solidFill>
                    <w14:schemeClr w14:val="tx1"/>
                  </w14:solidFill>
                </w14:textFill>
              </w:rPr>
              <w:t xml:space="preserve">中级证书得1分，</w:t>
            </w:r>
            <w:r>
              <w:rPr>
                <w:rFonts w:ascii="宋体" w:hAnsi="宋体" w:cs="宋体"/>
                <w:bCs/>
                <w:color w:val="000000" w:themeColor="text1"/>
                <w:szCs w:val="21"/>
                <w14:textFill>
                  <w14:solidFill>
                    <w14:schemeClr w14:val="tx1"/>
                  </w14:solidFill>
                </w14:textFill>
              </w:rPr>
              <w:t xml:space="preserve">其他或未提供的不得分。（本项最多得</w:t>
            </w: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分，需提供有效证书以及</w:t>
            </w:r>
            <w:r>
              <w:rPr>
                <w:rFonts w:hint="eastAsia" w:ascii="宋体" w:hAnsi="宋体" w:cs="宋体"/>
                <w:bCs/>
                <w:color w:val="000000" w:themeColor="text1"/>
                <w:szCs w:val="21"/>
                <w14:textFill>
                  <w14:solidFill>
                    <w14:schemeClr w14:val="tx1"/>
                  </w14:solidFill>
                </w14:textFill>
              </w:rPr>
              <w:t xml:space="preserve">供应商为其缴纳的6月（含）以来</w:t>
            </w:r>
            <w:r>
              <w:rPr>
                <w:rFonts w:ascii="宋体" w:hAnsi="宋体" w:cs="宋体"/>
                <w:bCs/>
                <w:color w:val="000000" w:themeColor="text1"/>
                <w:szCs w:val="21"/>
                <w14:textFill>
                  <w14:solidFill>
                    <w14:schemeClr w14:val="tx1"/>
                  </w14:solidFill>
                </w14:textFill>
              </w:rPr>
              <w:t xml:space="preserve">任意一个月社保的证明。）</w:t>
            </w:r>
            <w:r/>
          </w:p>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2、本项目中，供应商拟派项目组成员</w:t>
            </w:r>
            <w:r>
              <w:rPr>
                <w:rFonts w:ascii="宋体" w:hAnsi="宋体" w:cs="宋体"/>
                <w:bCs/>
                <w:color w:val="000000" w:themeColor="text1"/>
                <w:szCs w:val="21"/>
                <w14:textFill>
                  <w14:solidFill>
                    <w14:schemeClr w14:val="tx1"/>
                  </w14:solidFill>
                </w14:textFill>
              </w:rPr>
              <w:t xml:space="preserve">（项目负责人和技术负责人除外）中需</w:t>
            </w:r>
            <w:r>
              <w:rPr>
                <w:rFonts w:hint="eastAsia" w:ascii="宋体" w:hAnsi="宋体" w:cs="宋体"/>
                <w:bCs/>
                <w:color w:val="000000" w:themeColor="text1"/>
                <w:szCs w:val="21"/>
                <w14:textFill>
                  <w14:solidFill>
                    <w14:schemeClr w14:val="tx1"/>
                  </w14:solidFill>
                </w14:textFill>
              </w:rPr>
              <w:t xml:space="preserve">分别</w:t>
            </w:r>
            <w:r>
              <w:rPr>
                <w:rFonts w:ascii="宋体" w:hAnsi="宋体" w:cs="宋体"/>
                <w:bCs/>
                <w:color w:val="000000" w:themeColor="text1"/>
                <w:szCs w:val="21"/>
                <w14:textFill>
                  <w14:solidFill>
                    <w14:schemeClr w14:val="tx1"/>
                  </w14:solidFill>
                </w14:textFill>
              </w:rPr>
              <w:t xml:space="preserve">具有</w:t>
            </w:r>
            <w:r>
              <w:rPr>
                <w:rFonts w:hint="eastAsia" w:ascii="宋体" w:hAnsi="宋体" w:cs="宋体"/>
                <w:bCs/>
                <w:color w:val="000000" w:themeColor="text1"/>
                <w:szCs w:val="21"/>
                <w14:textFill>
                  <w14:solidFill>
                    <w14:schemeClr w14:val="tx1"/>
                  </w14:solidFill>
                </w14:textFill>
              </w:rPr>
              <w:t xml:space="preserve">水文水资源</w:t>
            </w:r>
            <w:r>
              <w:rPr>
                <w:rFonts w:ascii="宋体" w:hAnsi="宋体" w:cs="宋体"/>
                <w:bCs/>
                <w:color w:val="000000" w:themeColor="text1"/>
                <w:szCs w:val="21"/>
                <w14:textFill>
                  <w14:solidFill>
                    <w14:schemeClr w14:val="tx1"/>
                  </w14:solidFill>
                </w14:textFill>
              </w:rPr>
              <w:t xml:space="preserve">、自动化、电子信息、</w:t>
            </w:r>
            <w:r>
              <w:rPr>
                <w:rFonts w:hint="eastAsia" w:ascii="宋体" w:hAnsi="宋体" w:cs="宋体"/>
                <w:bCs/>
                <w:color w:val="000000" w:themeColor="text1"/>
                <w:szCs w:val="21"/>
                <w14:textFill>
                  <w14:solidFill>
                    <w14:schemeClr w14:val="tx1"/>
                  </w14:solidFill>
                </w14:textFill>
              </w:rPr>
              <w:t xml:space="preserve">计算机</w:t>
            </w:r>
            <w:r>
              <w:rPr>
                <w:rFonts w:ascii="宋体" w:hAnsi="宋体" w:cs="宋体"/>
                <w:bCs/>
                <w:color w:val="000000" w:themeColor="text1"/>
                <w:szCs w:val="21"/>
                <w14:textFill>
                  <w14:solidFill>
                    <w14:schemeClr w14:val="tx1"/>
                  </w14:solidFill>
                </w14:textFill>
              </w:rPr>
              <w:t xml:space="preserve">相关专业的毕业证，每</w:t>
            </w:r>
            <w:r>
              <w:rPr>
                <w:rFonts w:hint="eastAsia" w:ascii="宋体" w:hAnsi="宋体" w:cs="宋体"/>
                <w:bCs/>
                <w:color w:val="000000" w:themeColor="text1"/>
                <w:szCs w:val="21"/>
                <w14:textFill>
                  <w14:solidFill>
                    <w14:schemeClr w14:val="tx1"/>
                  </w14:solidFill>
                </w14:textFill>
              </w:rPr>
              <w:t xml:space="preserve">一类</w:t>
            </w:r>
            <w:r>
              <w:rPr>
                <w:rFonts w:ascii="宋体" w:hAnsi="宋体" w:cs="宋体"/>
                <w:bCs/>
                <w:color w:val="000000" w:themeColor="text1"/>
                <w:szCs w:val="21"/>
                <w14:textFill>
                  <w14:solidFill>
                    <w14:schemeClr w14:val="tx1"/>
                  </w14:solidFill>
                </w14:textFill>
              </w:rPr>
              <w:t xml:space="preserve">相关毕业证得0.</w:t>
            </w:r>
            <w:r>
              <w:rPr>
                <w:rFonts w:hint="eastAsia" w:ascii="宋体" w:hAnsi="宋体" w:cs="宋体"/>
                <w:bCs/>
                <w:color w:val="000000" w:themeColor="text1"/>
                <w:szCs w:val="21"/>
                <w14:textFill>
                  <w14:solidFill>
                    <w14:schemeClr w14:val="tx1"/>
                  </w14:solidFill>
                </w14:textFill>
              </w:rPr>
              <w:t xml:space="preserve">5</w:t>
            </w:r>
            <w:r>
              <w:rPr>
                <w:rFonts w:ascii="宋体" w:hAnsi="宋体" w:cs="宋体"/>
                <w:bCs/>
                <w:color w:val="000000" w:themeColor="text1"/>
                <w:szCs w:val="21"/>
                <w14:textFill>
                  <w14:solidFill>
                    <w14:schemeClr w14:val="tx1"/>
                  </w14:solidFill>
                </w14:textFill>
              </w:rPr>
              <w:t xml:space="preserve">分；（本项最多得</w:t>
            </w:r>
            <w:r>
              <w:rPr>
                <w:rFonts w:hint="eastAsia" w:ascii="宋体" w:hAnsi="宋体" w:cs="宋体"/>
                <w:bCs/>
                <w:color w:val="000000" w:themeColor="text1"/>
                <w:szCs w:val="21"/>
                <w14:textFill>
                  <w14:solidFill>
                    <w14:schemeClr w14:val="tx1"/>
                  </w14:solidFill>
                </w14:textFill>
              </w:rPr>
              <w:t xml:space="preserve">2</w:t>
            </w:r>
            <w:r>
              <w:rPr>
                <w:rFonts w:ascii="宋体" w:hAnsi="宋体" w:cs="宋体"/>
                <w:bCs/>
                <w:color w:val="000000" w:themeColor="text1"/>
                <w:szCs w:val="21"/>
                <w14:textFill>
                  <w14:solidFill>
                    <w14:schemeClr w14:val="tx1"/>
                  </w14:solidFill>
                </w14:textFill>
              </w:rPr>
              <w:t xml:space="preserve">分，需提供有效证书以及</w:t>
            </w:r>
            <w:r>
              <w:rPr>
                <w:rFonts w:hint="eastAsia" w:ascii="宋体" w:hAnsi="宋体" w:cs="宋体"/>
                <w:bCs/>
                <w:color w:val="000000" w:themeColor="text1"/>
                <w:szCs w:val="21"/>
                <w14:textFill>
                  <w14:solidFill>
                    <w14:schemeClr w14:val="tx1"/>
                  </w14:solidFill>
                </w14:textFill>
              </w:rPr>
              <w:t xml:space="preserve">供应商为其缴纳的6月（含）以来</w:t>
            </w:r>
            <w:r>
              <w:rPr>
                <w:rFonts w:ascii="宋体" w:hAnsi="宋体" w:cs="宋体"/>
                <w:bCs/>
                <w:color w:val="000000" w:themeColor="text1"/>
                <w:szCs w:val="21"/>
                <w14:textFill>
                  <w14:solidFill>
                    <w14:schemeClr w14:val="tx1"/>
                  </w14:solidFill>
                </w14:textFill>
              </w:rPr>
              <w:t xml:space="preserve">任意一个月社保的证明。）</w:t>
            </w:r>
            <w:r/>
          </w:p>
        </w:tc>
        <w:tc>
          <w:tcPr>
            <w:tcW w:w="481" w:type="pct"/>
            <w:vAlign w:val="center"/>
            <w:textDirection w:val="lrTb"/>
            <w:noWrap w:val="false"/>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p>
        </w:tc>
      </w:tr>
      <w:tr>
        <w:trPr/>
        <w:tc>
          <w:tcPr>
            <w:gridSpan w:val="4"/>
            <w:tcW w:w="5000" w:type="pct"/>
            <w:vAlign w:val="center"/>
            <w:textDirection w:val="lrTb"/>
            <w:noWrap/>
          </w:tcPr>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100分</w:t>
            </w:r>
            <w:r/>
          </w:p>
        </w:tc>
      </w:tr>
    </w:tbl>
    <w:p>
      <w:pPr>
        <w:jc w:val="left"/>
        <w:spacing w:line="280" w:lineRule="exact"/>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p>
      <w:pPr>
        <w:jc w:val="left"/>
        <w:spacing w:line="280" w:lineRule="exact"/>
        <w:rPr>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 xml:space="preserve">说明：</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1.实质性要求不得负偏离；否则，按照无效投标处理。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2.对国家认定的节能产品和环保产品分别给予投标价的 5%价格扣除，用扣除后的价格参与评审（特别说明：节能、环保产品 必须纳入“中国政府采购网http：//www.ccgp.gov.cn”等官方网站“节能、环保产品查询系统”，且以提供的证书复印件为准 ）。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3.小微企业的价格扣除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3.1对于</w:t>
      </w:r>
      <w:r>
        <w:rPr>
          <w:rFonts w:hint="eastAsia" w:ascii="宋体" w:hAnsi="宋体" w:cs="宋体"/>
          <w:b/>
          <w:bCs/>
          <w:color w:val="000000" w:themeColor="text1"/>
          <w:szCs w:val="21"/>
          <w14:textFill>
            <w14:solidFill>
              <w14:schemeClr w14:val="tx1"/>
            </w14:solidFill>
          </w14:textFill>
        </w:rPr>
        <w:t xml:space="preserve">未预留份额专门面向中小企业采购的采购项目</w:t>
      </w:r>
      <w:r>
        <w:rPr>
          <w:rFonts w:hint="eastAsia" w:ascii="宋体" w:hAnsi="宋体" w:cs="宋体"/>
          <w:color w:val="000000" w:themeColor="text1"/>
          <w:szCs w:val="21"/>
          <w14:textFill>
            <w14:solidFill>
              <w14:schemeClr w14:val="tx1"/>
            </w14:solidFill>
          </w14:textFill>
        </w:rPr>
        <w:t xml:space="preserve">或</w:t>
      </w:r>
      <w:r>
        <w:rPr>
          <w:rFonts w:hint="eastAsia" w:ascii="宋体" w:hAnsi="宋体" w:cs="宋体"/>
          <w:b/>
          <w:bCs/>
          <w:color w:val="000000" w:themeColor="text1"/>
          <w:szCs w:val="21"/>
          <w14:textFill>
            <w14:solidFill>
              <w14:schemeClr w14:val="tx1"/>
            </w14:solidFill>
          </w14:textFill>
        </w:rPr>
        <w:t xml:space="preserve">预留份额项目中的非预留部分采购包</w:t>
      </w:r>
      <w:r>
        <w:rPr>
          <w:rFonts w:hint="eastAsia" w:ascii="宋体" w:hAnsi="宋体" w:cs="宋体"/>
          <w:color w:val="000000" w:themeColor="text1"/>
          <w:szCs w:val="21"/>
          <w14:textFill>
            <w14:solidFill>
              <w14:schemeClr w14:val="tx1"/>
            </w14:solidFill>
          </w14:textFill>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3.2价格扣除比例或者价格分加分比例对小型企业和微型企业同等对待，不作区分。说明：价格扣除优惠政策仅适用于“第一章 二、申请人的资格要求 （二）落实政府采购政策需满足的资格要求”中“本项目采用以下第4种方式落实政府采购促进中小企业发展的要求”的采购项目中。</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供应商需按照采购文件的要求提供相应的《中小微企业声明函》。</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4.监狱和戒毒企业的价格扣除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4.1本项目对监狱和戒毒企业（简称监狱企业），给予10%的价格扣除，用扣除后的价格参与评审。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4.2监狱企业需提供由省级以上监狱管理局、戒毒管理局（含新疆生产建设兵团）出具的属于监狱企业的证明文件。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4.3监狱企业标准请参照《关于政府采购支持监狱企业发展有关问题的通知》（财库</w:t>
      </w:r>
      <w:r>
        <w:rPr>
          <w:rFonts w:hint="eastAsia"/>
          <w:color w:val="000000" w:themeColor="text1"/>
          <w:szCs w:val="21"/>
          <w14:textFill>
            <w14:solidFill>
              <w14:schemeClr w14:val="tx1"/>
            </w14:solidFill>
          </w14:textFill>
        </w:rPr>
        <w:t xml:space="preserve">〔2014〕</w:t>
      </w:r>
      <w:r>
        <w:rPr>
          <w:rFonts w:hint="eastAsia" w:ascii="宋体" w:hAnsi="宋体" w:cs="宋体"/>
          <w:color w:val="000000" w:themeColor="text1"/>
          <w:szCs w:val="21"/>
          <w14:textFill>
            <w14:solidFill>
              <w14:schemeClr w14:val="tx1"/>
            </w14:solidFill>
          </w14:textFill>
        </w:rPr>
        <w:t xml:space="preserve">68 号）。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5.残疾人福利性单位的价格扣除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5.1本项目对残疾人福利性单位，给予10%的价格扣除，用扣除后的价格参与评审。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5.2残疾人福利单位需按照采购文件的要求提供《残疾人福利性单位声明函》。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5.3残疾人福利单位标准请参照《关于促进残疾人就业政府采购政策的通知》（财库〔2017〕141号）。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6.监狱企业、残疾人福利单位属于小型、微型企业的，不重复享受政策。 </w:t>
      </w:r>
      <w:r/>
    </w:p>
    <w:p>
      <w:pPr>
        <w:ind w:firstLine="420"/>
        <w:jc w:val="left"/>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7.所有认证、证明和业绩均以有效的证明文件并加盖公章为依据，原件备查。 </w:t>
      </w:r>
      <w:r/>
    </w:p>
    <w:p>
      <w:pPr>
        <w:ind w:firstLine="422"/>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69"/>
        <w:jc w:val="center"/>
        <w:rPr>
          <w:rFonts w:eastAsia="黑体"/>
          <w:color w:val="000000" w:themeColor="text1"/>
          <w:sz w:val="36"/>
          <w:szCs w:val="36"/>
          <w14:textFill>
            <w14:solidFill>
              <w14:schemeClr w14:val="tx1"/>
            </w14:solidFill>
          </w14:textFill>
        </w:rPr>
        <w:outlineLvl w:val="0"/>
      </w:pPr>
      <w:r>
        <w:rPr>
          <w:color w:val="000000" w:themeColor="text1"/>
          <w14:textFill>
            <w14:solidFill>
              <w14:schemeClr w14:val="tx1"/>
            </w14:solidFill>
          </w14:textFill>
        </w:rPr>
        <w:br w:type="page" w:clear="all"/>
      </w:r>
      <w:bookmarkStart w:id="13" w:name="_Toc149805858"/>
      <w:r>
        <w:rPr>
          <w:rFonts w:hint="eastAsia" w:eastAsia="黑体"/>
          <w:color w:val="000000" w:themeColor="text1"/>
          <w:sz w:val="36"/>
          <w:szCs w:val="36"/>
          <w14:textFill>
            <w14:solidFill>
              <w14:schemeClr w14:val="tx1"/>
            </w14:solidFill>
          </w14:textFill>
        </w:rPr>
        <w:t xml:space="preserve">第四章 采购需求</w:t>
      </w:r>
      <w:bookmarkEnd w:id="13"/>
      <w:r/>
      <w:bookmarkEnd w:id="11"/>
      <w:r/>
      <w:bookmarkEnd w:id="12"/>
      <w:r/>
      <w:r/>
    </w:p>
    <w:p>
      <w:pPr>
        <w:pStyle w:val="740"/>
        <w:spacing w:before="0" w:after="0" w:line="360" w:lineRule="auto"/>
        <w:rPr>
          <w:b/>
          <w:bCs/>
          <w:color w:val="000000" w:themeColor="text1"/>
          <w:sz w:val="28"/>
          <w:szCs w:val="28"/>
          <w14:textFill>
            <w14:solidFill>
              <w14:schemeClr w14:val="tx1"/>
            </w14:solidFill>
          </w14:textFill>
        </w:rPr>
      </w:pPr>
      <w:r/>
      <w:bookmarkStart w:id="14" w:name="_Toc534273796"/>
      <w:r/>
      <w:bookmarkStart w:id="15" w:name="_Toc32393"/>
      <w:r>
        <w:rPr>
          <w:rFonts w:hint="eastAsia" w:ascii="宋体" w:hAnsi="宋体" w:eastAsia="宋体" w:cs="宋体"/>
          <w:b/>
          <w:bCs/>
          <w:color w:val="000000" w:themeColor="text1"/>
          <w:sz w:val="28"/>
          <w:szCs w:val="28"/>
          <w14:textFill>
            <w14:solidFill>
              <w14:schemeClr w14:val="tx1"/>
            </w14:solidFill>
          </w14:textFill>
        </w:rPr>
        <w:t xml:space="preserve">第一节 项目概况</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为进一步提升东山站水文监测设施自动化测报水平，夯实站点科研基础，打造全省可复制推广的现代化水文示范站点，江苏省水文水资源勘测局南京分局依托现有站点设施，融合物联网、智能感知技术，构建一体化水文综合监测体系，实现水文测报全天候、全要素、全量程、全自动智能化运行，为区域防汛减灾、经济社会发展提供精准水文支撑，拟实施东山站监测能力提升项目。</w:t>
      </w:r>
      <w:r>
        <w:rPr>
          <w:rFonts w:hint="eastAsia" w:ascii="宋体" w:hAnsi="宋体"/>
          <w:color w:val="000000" w:themeColor="text1"/>
          <w:sz w:val="24"/>
          <w:szCs w:val="24"/>
          <w14:textFill>
            <w14:solidFill>
              <w14:schemeClr w14:val="tx1"/>
            </w14:solidFill>
          </w14:textFill>
        </w:rPr>
        <w:t xml:space="preserve">项目主要建设内容如下：</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w:t>
      </w:r>
      <w:r>
        <w:rPr>
          <w:rFonts w:ascii="宋体" w:hAnsi="宋体"/>
          <w:b/>
          <w:bCs/>
          <w:color w:val="000000" w:themeColor="text1"/>
          <w:sz w:val="24"/>
          <w:szCs w:val="24"/>
          <w14:textFill>
            <w14:solidFill>
              <w14:schemeClr w14:val="tx1"/>
            </w14:solidFill>
          </w14:textFill>
        </w:rPr>
        <w:t xml:space="preserve">升级建设水文气象观测设备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配置标准气象五参数站、水面蒸发自动监测系统等核心设备，并同步完善配套的供电与通讯基础设施。同时做好所有采集数据的传输集成工作，合理配置RTU、太阳能板、蓄电池设备。</w:t>
      </w:r>
      <w:r/>
    </w:p>
    <w:p>
      <w:pPr>
        <w:ind w:firstLine="482"/>
        <w:spacing w:line="360" w:lineRule="auto"/>
        <w:rPr>
          <w:rFonts w:ascii="宋体" w:hAnsi="宋体"/>
          <w:b/>
          <w:bCs/>
          <w:color w:val="000000" w:themeColor="text1"/>
          <w:sz w:val="24"/>
          <w:szCs w:val="24"/>
          <w14:textFill>
            <w14:solidFill>
              <w14:schemeClr w14:val="tx1"/>
            </w14:solidFill>
          </w14:textFill>
        </w:rPr>
      </w:pPr>
      <w:r/>
      <w:bookmarkStart w:id="16" w:name="OLE_LINK1"/>
      <w:r>
        <w:rPr>
          <w:rFonts w:hint="eastAsia" w:ascii="宋体" w:hAnsi="宋体"/>
          <w:b/>
          <w:bCs/>
          <w:color w:val="000000" w:themeColor="text1"/>
          <w:sz w:val="24"/>
          <w:szCs w:val="24"/>
          <w14:textFill>
            <w14:solidFill>
              <w14:schemeClr w14:val="tx1"/>
            </w14:solidFill>
          </w14:textFill>
        </w:rPr>
        <w:t xml:space="preserve">（2）</w:t>
      </w:r>
      <w:r>
        <w:rPr>
          <w:rFonts w:ascii="宋体" w:hAnsi="宋体"/>
          <w:b/>
          <w:bCs/>
          <w:color w:val="000000" w:themeColor="text1"/>
          <w:sz w:val="24"/>
          <w:szCs w:val="24"/>
          <w14:textFill>
            <w14:solidFill>
              <w14:schemeClr w14:val="tx1"/>
            </w14:solidFill>
          </w14:textFill>
        </w:rPr>
        <w:t xml:space="preserve">新建AR</w:t>
      </w:r>
      <w:r>
        <w:rPr>
          <w:rFonts w:hint="eastAsia" w:ascii="宋体" w:hAnsi="宋体"/>
          <w:b/>
          <w:bCs/>
          <w:color w:val="000000" w:themeColor="text1"/>
          <w:sz w:val="24"/>
          <w:szCs w:val="24"/>
          <w14:textFill>
            <w14:solidFill>
              <w14:schemeClr w14:val="tx1"/>
            </w14:solidFill>
          </w14:textFill>
        </w:rPr>
        <w:t xml:space="preserve">全</w:t>
      </w:r>
      <w:r>
        <w:rPr>
          <w:rFonts w:ascii="宋体" w:hAnsi="宋体"/>
          <w:b/>
          <w:bCs/>
          <w:color w:val="000000" w:themeColor="text1"/>
          <w:sz w:val="24"/>
          <w:szCs w:val="24"/>
          <w14:textFill>
            <w14:solidFill>
              <w14:schemeClr w14:val="tx1"/>
            </w14:solidFill>
          </w14:textFill>
        </w:rPr>
        <w:t xml:space="preserve">景</w:t>
      </w:r>
      <w:r>
        <w:rPr>
          <w:rFonts w:hint="eastAsia" w:ascii="宋体" w:hAnsi="宋体"/>
          <w:b/>
          <w:bCs/>
          <w:color w:val="000000" w:themeColor="text1"/>
          <w:sz w:val="24"/>
          <w:szCs w:val="24"/>
          <w14:textFill>
            <w14:solidFill>
              <w14:schemeClr w14:val="tx1"/>
            </w14:solidFill>
          </w14:textFill>
        </w:rPr>
        <w:t xml:space="preserve">展示</w:t>
      </w:r>
      <w:r>
        <w:rPr>
          <w:rFonts w:ascii="宋体" w:hAnsi="宋体"/>
          <w:b/>
          <w:bCs/>
          <w:color w:val="000000" w:themeColor="text1"/>
          <w:sz w:val="24"/>
          <w:szCs w:val="24"/>
          <w14:textFill>
            <w14:solidFill>
              <w14:schemeClr w14:val="tx1"/>
            </w14:solidFill>
          </w14:textFill>
        </w:rPr>
        <w:t xml:space="preserve">系统</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前端感知网络建设：东山站水位自记井平台外侧安装1套1600万像素AR全景球机，1套河道视频流速监测仪；院内布设2套600万像素警戒全景枪球机、1台500万定焦警戒一体机；上游前垾村水文站同步布设1套1600万像素AR全景球机及</w:t>
      </w:r>
      <w:r>
        <w:rPr>
          <w:rFonts w:ascii="宋体" w:hAnsi="宋体"/>
          <w:color w:val="000000" w:themeColor="text1"/>
          <w:sz w:val="24"/>
          <w:szCs w:val="24"/>
          <w14:textFill>
            <w14:solidFill>
              <w14:schemeClr w14:val="tx1"/>
            </w14:solidFill>
          </w14:textFill>
        </w:rPr>
        <w:t xml:space="preserve">1套600万像素警戒全景枪球机</w:t>
      </w:r>
      <w:r>
        <w:rPr>
          <w:rFonts w:hint="eastAsia" w:ascii="宋体" w:hAnsi="宋体"/>
          <w:color w:val="000000" w:themeColor="text1"/>
          <w:sz w:val="24"/>
          <w:szCs w:val="24"/>
          <w14:textFill>
            <w14:solidFill>
              <w14:schemeClr w14:val="tx1"/>
            </w14:solidFill>
          </w14:textFill>
        </w:rPr>
        <w:t xml:space="preserve">。两处站点视频流统一接入东山站AR实景管控平台，实现上下游水域全域可视化管控与互联互通。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系统融合与智能应用：依托AR全景综合管理平台（AR智慧管理一体机、AR模型），利用AI图像识别与空间坐标匹配技术，将实时水位、流量等水文数据与实景画面深度融合叠加；实现对河道水尺、涉水障碍物、设施破损点位的自动定位与动态追踪，真实反映现场水情态势。</w:t>
      </w:r>
      <w:bookmarkEnd w:id="16"/>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w:t>
      </w:r>
      <w:r>
        <w:rPr>
          <w:rFonts w:ascii="宋体" w:hAnsi="宋体"/>
          <w:b/>
          <w:bCs/>
          <w:color w:val="000000" w:themeColor="text1"/>
          <w:sz w:val="24"/>
          <w:szCs w:val="24"/>
          <w14:textFill>
            <w14:solidFill>
              <w14:schemeClr w14:val="tx1"/>
            </w14:solidFill>
          </w14:textFill>
        </w:rPr>
        <w:t xml:space="preserve">展示系统</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作为</w:t>
      </w:r>
      <w:r>
        <w:rPr>
          <w:rFonts w:ascii="宋体" w:hAnsi="宋体"/>
          <w:color w:val="000000" w:themeColor="text1"/>
          <w:sz w:val="24"/>
          <w:szCs w:val="24"/>
          <w14:textFill>
            <w14:solidFill>
              <w14:schemeClr w14:val="tx1"/>
            </w14:solidFill>
          </w14:textFill>
        </w:rPr>
        <w:t xml:space="preserve">AR</w:t>
      </w:r>
      <w:r>
        <w:rPr>
          <w:rFonts w:hint="eastAsia" w:ascii="宋体" w:hAnsi="宋体"/>
          <w:color w:val="000000" w:themeColor="text1"/>
          <w:sz w:val="24"/>
          <w:szCs w:val="24"/>
          <w14:textFill>
            <w14:solidFill>
              <w14:schemeClr w14:val="tx1"/>
            </w14:solidFill>
          </w14:textFill>
        </w:rPr>
        <w:t xml:space="preserve">全</w:t>
      </w:r>
      <w:r>
        <w:rPr>
          <w:rFonts w:ascii="宋体" w:hAnsi="宋体"/>
          <w:color w:val="000000" w:themeColor="text1"/>
          <w:sz w:val="24"/>
          <w:szCs w:val="24"/>
          <w14:textFill>
            <w14:solidFill>
              <w14:schemeClr w14:val="tx1"/>
            </w14:solidFill>
          </w14:textFill>
        </w:rPr>
        <w:t xml:space="preserve">景</w:t>
      </w:r>
      <w:r>
        <w:rPr>
          <w:rFonts w:hint="eastAsia" w:ascii="宋体" w:hAnsi="宋体"/>
          <w:color w:val="000000" w:themeColor="text1"/>
          <w:sz w:val="24"/>
          <w:szCs w:val="24"/>
          <w14:textFill>
            <w14:solidFill>
              <w14:schemeClr w14:val="tx1"/>
            </w14:solidFill>
          </w14:textFill>
        </w:rPr>
        <w:t xml:space="preserve">展示</w:t>
      </w:r>
      <w:r>
        <w:rPr>
          <w:rFonts w:ascii="宋体" w:hAnsi="宋体"/>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的可视化展示载体，本项目将在AR管控中心建设三屏展示系统，并于南墙安装灯箱，用于呈现秦淮河流域水系及重要站点分布。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拟配备1台163寸（购置）+2台90寸电视（利旧），北墙正面居中配置1台163寸一体化显示终端（主屏）；西侧墙面按从南到北顺序，配置2台90寸触屏电视机（利旧）。</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主屏用于展示AR全景智慧水文站监测系统及各智能信息系统演示，通过网络接入AR全景管控平台，可满足指挥调度、会商研判、实况监看等多场景高清显示需求，同时支持接入视频会议系统，实现远程线上会商功能。</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侧屏可分别展示秦淮河流域预报系统、水文实时数据、智慧水文站测验信息、应急监测设备管理信息、水文数据报表等不同内容。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为确保视频流传输保障，拟将东山、前垾村网络带宽提升至300M。</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新购2个微缩模型显示柜，用于展示水文新仪器新设备。</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w:t>
      </w:r>
      <w:r>
        <w:rPr>
          <w:rFonts w:ascii="宋体" w:hAnsi="宋体"/>
          <w:b/>
          <w:bCs/>
          <w:color w:val="000000" w:themeColor="text1"/>
          <w:sz w:val="24"/>
          <w:szCs w:val="24"/>
          <w14:textFill>
            <w14:solidFill>
              <w14:schemeClr w14:val="tx1"/>
            </w14:solidFill>
          </w14:textFill>
        </w:rPr>
        <w:t xml:space="preserve">新增智能机器人引导讲解系统</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本项目拟采购1套AI智能科普讲解机器人，同步完成场地点位布设、软硬件对接调试及配套设施建设，构建全天候、自动化、智能化的水文科普引导讲解服务体系，全面提升场馆科普展示与访客智能化接待服务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配套建设机器人专用充电基站及室内信号增强装置，保障设备全天候稳定运行。系统支持后台灵活调整讲解文案、定制优化参观路线，可完成对话智能体迭代、肢体表达训练、专属数据库部署等专项优化工作，持续提升服务专业性与智能化水平，实现全天候自主运行的水文科普及访客接待服务。</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（5）应急库房智能化升级</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优化室内功能分区，对库房地面进行防潮防渗处理，合理布设货架与温湿度监控装置。加装RFID智能仓储管理系统，包括壁挂一体机1台，RFID柔性抗金属标签50个，RFID超高频重复使用扎带50个，桌面发卡器1个，实现应急监测设备的数字化分类存储与规范管控。</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（6）东山站基础设施改造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站区环境与观测场整治：实施原有铺装拆除，并进行场内土方平整（含铺设草皮）；翻新参观步道及道路广场。实施观测场改造1项，含设备基础垫层、地下基础墩、地上凸台及预埋螺栓、穿线管，并铺设灰色透水砖作为水文观测道路。新建入口标识灯牌及logo标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办公区线路标准化改造：全面梳理生产办公区域的强弱电及监控管线，采用标准化布线工艺优化布局，做好线路屏蔽与防护，彻底消除用电及通讯安全隐患。</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水位观测实施维修出新：防腐木构筑物综合出新，定制水文尺等。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具体建设内容详见“项目清单”。</w:t>
      </w:r>
      <w:r/>
    </w:p>
    <w:p>
      <w:pPr>
        <w:ind w:firstLine="480"/>
        <w:spacing w:line="360" w:lineRule="auto"/>
        <w:rPr>
          <w:b/>
          <w:bCs/>
          <w:color w:val="000000" w:themeColor="text1"/>
          <w:sz w:val="28"/>
          <w:szCs w:val="28"/>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s="宋体"/>
          <w:b/>
          <w:bCs/>
          <w:color w:val="000000" w:themeColor="text1"/>
          <w:sz w:val="28"/>
          <w:szCs w:val="28"/>
          <w14:textFill>
            <w14:solidFill>
              <w14:schemeClr w14:val="tx1"/>
            </w14:solidFill>
          </w14:textFill>
        </w:rPr>
        <w:t xml:space="preserve">第二节 </w:t>
      </w:r>
      <w:r>
        <w:rPr>
          <w:rFonts w:hint="eastAsia" w:ascii="Segoe UI Symbol" w:hAnsi="Segoe UI Symbol" w:cs="Segoe UI Symbol"/>
          <w:b/>
          <w:bCs/>
          <w:color w:val="000000" w:themeColor="text1"/>
          <w:sz w:val="28"/>
          <w:szCs w:val="28"/>
          <w14:textFill>
            <w14:solidFill>
              <w14:schemeClr w14:val="tx1"/>
            </w14:solidFill>
          </w14:textFill>
        </w:rPr>
        <w:t xml:space="preserve"> 项目</w:t>
      </w:r>
      <w:r>
        <w:rPr>
          <w:rFonts w:hint="eastAsia" w:ascii="宋体" w:hAnsi="宋体" w:cs="宋体"/>
          <w:b/>
          <w:bCs/>
          <w:color w:val="000000" w:themeColor="text1"/>
          <w:sz w:val="28"/>
          <w:szCs w:val="28"/>
          <w14:textFill>
            <w14:solidFill>
              <w14:schemeClr w14:val="tx1"/>
            </w14:solidFill>
          </w14:textFill>
        </w:rPr>
        <w:t xml:space="preserve">清单</w:t>
      </w:r>
      <w:r/>
    </w:p>
    <w:p>
      <w:pPr>
        <w:pStyle w:val="741"/>
        <w:rPr>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b/>
          <w:bCs/>
          <w:color w:val="000000" w:themeColor="text1"/>
          <w:sz w:val="24"/>
          <w:szCs w:val="24"/>
          <w14:textFill>
            <w14:solidFill>
              <w14:schemeClr w14:val="tx1"/>
            </w14:solidFill>
          </w14:textFill>
        </w:rPr>
        <w:t xml:space="preserve">1</w:t>
      </w:r>
      <w:r>
        <w:rPr>
          <w:rFonts w:hint="eastAsia" w:ascii="宋体" w:hAnsi="宋体" w:eastAsia="宋体" w:cs="宋体"/>
          <w:b/>
          <w:bCs/>
          <w:color w:val="000000" w:themeColor="text1"/>
          <w:sz w:val="24"/>
          <w:szCs w:val="24"/>
          <w14:textFill>
            <w14:solidFill>
              <w14:schemeClr w14:val="tx1"/>
            </w14:solidFill>
          </w14:textFill>
        </w:rPr>
        <w:t xml:space="preserve">）设备部分</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777"/>
        <w:gridCol w:w="567"/>
        <w:gridCol w:w="598"/>
        <w:gridCol w:w="4613"/>
      </w:tblGrid>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序号</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项目名称</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单位</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数量</w:t>
            </w:r>
            <w:r/>
          </w:p>
        </w:tc>
        <w:tc>
          <w:tcPr>
            <w:tcW w:w="461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备注</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标准气象观测设备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风速、风向、温湿度、气压五参数传感器、2.5米立杆、支架</w:t>
            </w:r>
            <w:r/>
          </w:p>
        </w:tc>
      </w:tr>
      <w:tr>
        <w:trPr>
          <w:jc w:val="center"/>
        </w:trPr>
        <w:tc>
          <w:tcPr>
            <w:tcW w:w="73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2</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水面蒸发自动监测系统</w:t>
            </w:r>
            <w:r/>
          </w:p>
        </w:tc>
        <w:tc>
          <w:tcPr>
            <w:tcW w:w="567"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598"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全过程高精度水面蒸发自动观测系统</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含E601B蒸发皿、大口径雨量计、高精度液位计、补水箱、水泵箱、测量桶、供水管路、排水管路、控制系统、太阳能板、蓄电池、通讯传输模块、机箱</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称重式雨雪量计</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时域法墒情监测设备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频域法墒情监测设备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bookmarkStart w:id="17" w:name="_Hlk238481257"/>
            <w:r>
              <w:rPr>
                <w:rFonts w:ascii="宋体" w:hAnsi="宋体" w:cs="宋体"/>
                <w:b/>
                <w:bCs/>
                <w:color w:val="000000" w:themeColor="text1"/>
                <w:szCs w:val="21"/>
                <w14:textFill>
                  <w14:solidFill>
                    <w14:schemeClr w14:val="tx1"/>
                  </w14:solidFill>
                </w14:textFill>
              </w:rPr>
              <w:t xml:space="preserve">3</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AR全景展示系统</w:t>
            </w:r>
            <w:r/>
          </w:p>
        </w:tc>
        <w:tc>
          <w:tcPr>
            <w:tcW w:w="567"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598"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河道流速监测仪</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视频河道流速监测仪：1套</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包含视频</w:t>
            </w:r>
            <w:r>
              <w:rPr>
                <w:rFonts w:hint="eastAsia" w:ascii="宋体" w:hAnsi="宋体" w:cs="宋体"/>
                <w:color w:val="000000" w:themeColor="text1"/>
                <w:szCs w:val="21"/>
                <w14:textFill>
                  <w14:solidFill>
                    <w14:schemeClr w14:val="tx1"/>
                  </w14:solidFill>
                </w14:textFill>
              </w:rPr>
              <w:t xml:space="preserve">流速</w:t>
            </w:r>
            <w:r>
              <w:rPr>
                <w:rFonts w:ascii="宋体" w:hAnsi="宋体" w:cs="宋体"/>
                <w:color w:val="000000" w:themeColor="text1"/>
                <w:szCs w:val="21"/>
                <w14:textFill>
                  <w14:solidFill>
                    <w14:schemeClr w14:val="tx1"/>
                  </w14:solidFill>
                </w14:textFill>
              </w:rPr>
              <w:t xml:space="preserve">监测仪</w:t>
            </w:r>
            <w:r>
              <w:rPr>
                <w:rFonts w:hint="eastAsia" w:ascii="宋体" w:hAnsi="宋体" w:cs="宋体"/>
                <w:color w:val="000000" w:themeColor="text1"/>
                <w:szCs w:val="21"/>
                <w14:textFill>
                  <w14:solidFill>
                    <w14:schemeClr w14:val="tx1"/>
                  </w14:solidFill>
                </w14:textFill>
              </w:rPr>
              <w:t xml:space="preserve">1个、</w:t>
            </w:r>
            <w:r>
              <w:rPr>
                <w:rFonts w:ascii="宋体" w:hAnsi="宋体" w:cs="宋体"/>
                <w:color w:val="000000" w:themeColor="text1"/>
                <w:szCs w:val="21"/>
                <w14:textFill>
                  <w14:solidFill>
                    <w14:schemeClr w14:val="tx1"/>
                  </w14:solidFill>
                </w14:textFill>
              </w:rPr>
              <w:t xml:space="preserve">视频</w:t>
            </w:r>
            <w:r>
              <w:rPr>
                <w:rFonts w:hint="eastAsia" w:ascii="宋体" w:hAnsi="宋体" w:cs="宋体"/>
                <w:color w:val="000000" w:themeColor="text1"/>
                <w:szCs w:val="21"/>
                <w14:textFill>
                  <w14:solidFill>
                    <w14:schemeClr w14:val="tx1"/>
                  </w14:solidFill>
                </w14:textFill>
              </w:rPr>
              <w:t xml:space="preserve">水位</w:t>
            </w:r>
            <w:r>
              <w:rPr>
                <w:rFonts w:ascii="宋体" w:hAnsi="宋体" w:cs="宋体"/>
                <w:color w:val="000000" w:themeColor="text1"/>
                <w:szCs w:val="21"/>
                <w14:textFill>
                  <w14:solidFill>
                    <w14:schemeClr w14:val="tx1"/>
                  </w14:solidFill>
                </w14:textFill>
              </w:rPr>
              <w:t xml:space="preserve">监测仪</w:t>
            </w:r>
            <w:r>
              <w:rPr>
                <w:rFonts w:hint="eastAsia" w:ascii="宋体" w:hAnsi="宋体" w:cs="宋体"/>
                <w:color w:val="000000" w:themeColor="text1"/>
                <w:szCs w:val="21"/>
                <w14:textFill>
                  <w14:solidFill>
                    <w14:schemeClr w14:val="tx1"/>
                  </w14:solidFill>
                </w14:textFill>
              </w:rPr>
              <w:t xml:space="preserve">1个）</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600万25倍全光谱警戒全景枪球</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低空，东山站院子2台，前垾村1台，含5m立杆支架及其基础、存储卡，含六类屏蔽阻水网线</w:t>
            </w:r>
            <w:r/>
          </w:p>
        </w:tc>
      </w:tr>
      <w:tr>
        <w:trPr>
          <w:jc w:val="center"/>
          <w:trHeight w:val="557"/>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3.3</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500万定焦警戒一体机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东山</w:t>
            </w:r>
            <w:r>
              <w:rPr>
                <w:rFonts w:ascii="宋体" w:hAnsi="宋体" w:cs="宋体"/>
                <w:color w:val="000000" w:themeColor="text1"/>
                <w:szCs w:val="21"/>
                <w14:textFill>
                  <w14:solidFill>
                    <w14:schemeClr w14:val="tx1"/>
                  </w14:solidFill>
                </w14:textFill>
              </w:rPr>
              <w:t xml:space="preserve">院子1台，</w:t>
            </w:r>
            <w:r>
              <w:rPr>
                <w:rFonts w:hint="eastAsia" w:ascii="宋体" w:hAnsi="宋体" w:cs="宋体"/>
                <w:color w:val="000000" w:themeColor="text1"/>
                <w:szCs w:val="21"/>
                <w14:textFill>
                  <w14:solidFill>
                    <w14:schemeClr w14:val="tx1"/>
                  </w14:solidFill>
                </w14:textFill>
              </w:rPr>
              <w:t xml:space="preserve">安防监控</w:t>
            </w:r>
            <w:r>
              <w:rPr>
                <w:rFonts w:ascii="宋体" w:hAnsi="宋体" w:cs="宋体"/>
                <w:color w:val="000000" w:themeColor="text1"/>
                <w:szCs w:val="21"/>
                <w14:textFill>
                  <w14:solidFill>
                    <w14:schemeClr w14:val="tx1"/>
                  </w14:solidFill>
                </w14:textFill>
              </w:rPr>
              <w:t xml:space="preserve">，壁装支架，含六类屏蔽阻水网线</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3.4</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1600万63倍全光谱AR全景球</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高空，前垾村1台，东山河边1台，含10m立杆支架和存储卡，含六类屏蔽阻水网线</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3.5</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AR智慧管理一体机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含AR模型，</w:t>
            </w:r>
            <w:r>
              <w:rPr>
                <w:rFonts w:hint="eastAsia" w:ascii="宋体" w:hAnsi="宋体" w:cs="宋体"/>
                <w:color w:val="000000" w:themeColor="text1"/>
                <w:szCs w:val="21"/>
                <w14:textFill>
                  <w14:solidFill>
                    <w14:schemeClr w14:val="tx1"/>
                  </w14:solidFill>
                </w14:textFill>
              </w:rPr>
              <w:t xml:space="preserve">生成带高程的现场底图，</w:t>
            </w:r>
            <w:r>
              <w:rPr>
                <w:rFonts w:ascii="宋体" w:hAnsi="宋体" w:cs="宋体"/>
                <w:color w:val="000000" w:themeColor="text1"/>
                <w:szCs w:val="21"/>
                <w14:textFill>
                  <w14:solidFill>
                    <w14:schemeClr w14:val="tx1"/>
                  </w14:solidFill>
                </w14:textFill>
              </w:rPr>
              <w:t xml:space="preserve">对测验河段进行</w:t>
            </w:r>
            <w:r>
              <w:rPr>
                <w:rFonts w:hint="eastAsia" w:ascii="宋体" w:hAnsi="宋体" w:cs="宋体"/>
                <w:color w:val="000000" w:themeColor="text1"/>
                <w:szCs w:val="21"/>
                <w14:textFill>
                  <w14:solidFill>
                    <w14:schemeClr w14:val="tx1"/>
                  </w14:solidFill>
                </w14:textFill>
              </w:rPr>
              <w:t xml:space="preserve">实景孪生</w:t>
            </w:r>
            <w:r>
              <w:rPr>
                <w:rFonts w:ascii="宋体" w:hAnsi="宋体" w:cs="宋体"/>
                <w:color w:val="000000" w:themeColor="text1"/>
                <w:szCs w:val="21"/>
                <w14:textFill>
                  <w14:solidFill>
                    <w14:schemeClr w14:val="tx1"/>
                  </w14:solidFill>
                </w14:textFill>
              </w:rPr>
              <w:t xml:space="preserve">，构建测验河段数字化模型。</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3.6</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硬盘录像机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w:t>
            </w:r>
            <w:r>
              <w:rPr>
                <w:rFonts w:hint="eastAsia" w:ascii="宋体" w:hAnsi="宋体" w:cs="宋体"/>
                <w:color w:val="000000" w:themeColor="text1"/>
                <w:szCs w:val="21"/>
                <w14:textFill>
                  <w14:solidFill>
                    <w14:schemeClr w14:val="tx1"/>
                  </w14:solidFill>
                </w14:textFill>
              </w:rPr>
              <w:t xml:space="preserve">路</w:t>
            </w:r>
            <w:r>
              <w:rPr>
                <w:rFonts w:ascii="宋体" w:hAnsi="宋体" w:cs="宋体"/>
                <w:color w:val="000000" w:themeColor="text1"/>
                <w:szCs w:val="21"/>
                <w14:textFill>
                  <w14:solidFill>
                    <w14:schemeClr w14:val="tx1"/>
                  </w14:solidFill>
                </w14:textFill>
              </w:rPr>
              <w:t xml:space="preserve">视频接入，带3个10T硬盘</w:t>
            </w:r>
            <w:bookmarkEnd w:id="17"/>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bookmarkStart w:id="18" w:name="_Hlk239146333"/>
            <w:r>
              <w:rPr>
                <w:rFonts w:ascii="宋体" w:hAnsi="宋体" w:cs="宋体"/>
                <w:color w:val="000000" w:themeColor="text1"/>
                <w:szCs w:val="21"/>
                <w14:textFill>
                  <w14:solidFill>
                    <w14:schemeClr w14:val="tx1"/>
                  </w14:solidFill>
                </w14:textFill>
              </w:rPr>
              <w:t xml:space="preserve">4</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数据展示终端</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163寸电视</w:t>
            </w:r>
            <w:r>
              <w:rPr>
                <w:rFonts w:hint="eastAsia" w:ascii="宋体" w:hAnsi="宋体" w:cs="宋体"/>
                <w:color w:val="000000" w:themeColor="text1"/>
                <w:szCs w:val="21"/>
                <w14:textFill>
                  <w14:solidFill>
                    <w14:schemeClr w14:val="tx1"/>
                  </w14:solidFill>
                </w14:textFill>
              </w:rPr>
              <w:t xml:space="preserve">机</w:t>
            </w:r>
            <w:r>
              <w:rPr>
                <w:rFonts w:ascii="宋体" w:hAnsi="宋体" w:cs="宋体"/>
                <w:color w:val="000000" w:themeColor="text1"/>
                <w:szCs w:val="21"/>
                <w14:textFill>
                  <w14:solidFill>
                    <w14:schemeClr w14:val="tx1"/>
                  </w14:solidFill>
                </w14:textFill>
              </w:rPr>
              <w:t xml:space="preserve">安装线缆及</w:t>
            </w:r>
            <w:r>
              <w:rPr>
                <w:rFonts w:hint="eastAsia" w:ascii="宋体" w:hAnsi="宋体" w:cs="宋体"/>
                <w:color w:val="000000" w:themeColor="text1"/>
                <w:szCs w:val="21"/>
                <w14:textFill>
                  <w14:solidFill>
                    <w14:schemeClr w14:val="tx1"/>
                  </w14:solidFill>
                </w14:textFill>
              </w:rPr>
              <w:t xml:space="preserve">挂墙</w:t>
            </w:r>
            <w:r>
              <w:rPr>
                <w:rFonts w:ascii="宋体" w:hAnsi="宋体" w:cs="宋体"/>
                <w:color w:val="000000" w:themeColor="text1"/>
                <w:szCs w:val="21"/>
                <w14:textFill>
                  <w14:solidFill>
                    <w14:schemeClr w14:val="tx1"/>
                  </w14:solidFill>
                </w14:textFill>
              </w:rPr>
              <w:t xml:space="preserve">支架和大屏控制终端、</w:t>
            </w:r>
            <w:r>
              <w:rPr>
                <w:rFonts w:hint="eastAsia" w:ascii="宋体" w:hAnsi="宋体" w:cs="宋体"/>
                <w:color w:val="000000" w:themeColor="text1"/>
                <w:szCs w:val="21"/>
                <w14:textFill>
                  <w14:solidFill>
                    <w14:schemeClr w14:val="tx1"/>
                  </w14:solidFill>
                </w14:textFill>
              </w:rPr>
              <w:t xml:space="preserve">利旧</w:t>
            </w:r>
            <w:r>
              <w:rPr>
                <w:rFonts w:ascii="宋体" w:hAnsi="宋体" w:cs="宋体"/>
                <w:color w:val="000000" w:themeColor="text1"/>
                <w:szCs w:val="21"/>
                <w14:textFill>
                  <w14:solidFill>
                    <w14:schemeClr w14:val="tx1"/>
                  </w14:solidFill>
                </w14:textFill>
              </w:rPr>
              <w:t xml:space="preserve">现有2台90寸电视机运输及安装（增配两台电视机OPS）</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融媒体平台主机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融媒体会议管理平台主机，控制多台</w:t>
            </w:r>
            <w:r>
              <w:rPr>
                <w:rFonts w:hint="eastAsia" w:ascii="宋体" w:hAnsi="宋体" w:cs="宋体"/>
                <w:color w:val="000000" w:themeColor="text1"/>
                <w:szCs w:val="21"/>
                <w14:textFill>
                  <w14:solidFill>
                    <w14:schemeClr w14:val="tx1"/>
                  </w14:solidFill>
                </w14:textFill>
              </w:rPr>
              <w:t xml:space="preserve">电视机</w:t>
            </w:r>
            <w:r>
              <w:rPr>
                <w:rFonts w:ascii="宋体" w:hAnsi="宋体" w:cs="宋体"/>
                <w:color w:val="000000" w:themeColor="text1"/>
                <w:szCs w:val="21"/>
                <w14:textFill>
                  <w14:solidFill>
                    <w14:schemeClr w14:val="tx1"/>
                  </w14:solidFill>
                </w14:textFill>
              </w:rPr>
              <w:t xml:space="preserve">显示画面切换，包含一个多媒体箱</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微缩模型显示柜</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展示水文新仪器新设备</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自动导航 AI机器人展播</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bookmarkEnd w:id="18"/>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应急库房智能化升级</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优化室内功能分区，对库房地面进行防潮防渗处理，合理布设货架与温湿度监控装置。加装RFID智能仓储管理系统，包括壁挂一体机1</w:t>
            </w:r>
            <w:r>
              <w:rPr>
                <w:rFonts w:ascii="宋体" w:hAnsi="宋体" w:cs="宋体"/>
                <w:color w:val="000000" w:themeColor="text1"/>
                <w:szCs w:val="21"/>
                <w14:textFill>
                  <w14:solidFill>
                    <w14:schemeClr w14:val="tx1"/>
                  </w14:solidFill>
                </w14:textFill>
              </w:rPr>
              <w:t xml:space="preserve">台，</w:t>
            </w:r>
            <w:r>
              <w:rPr>
                <w:rFonts w:hint="eastAsia" w:ascii="宋体" w:hAnsi="宋体" w:cs="宋体"/>
                <w:color w:val="000000" w:themeColor="text1"/>
                <w:szCs w:val="21"/>
                <w14:textFill>
                  <w14:solidFill>
                    <w14:schemeClr w14:val="tx1"/>
                  </w14:solidFill>
                </w14:textFill>
              </w:rPr>
              <w:t xml:space="preserve">RFID柔性抗金属标签50</w:t>
            </w:r>
            <w:r>
              <w:rPr>
                <w:rFonts w:ascii="宋体" w:hAnsi="宋体" w:cs="宋体"/>
                <w:color w:val="000000" w:themeColor="text1"/>
                <w:szCs w:val="21"/>
                <w14:textFill>
                  <w14:solidFill>
                    <w14:schemeClr w14:val="tx1"/>
                  </w14:solidFill>
                </w14:textFill>
              </w:rPr>
              <w:t xml:space="preserve">个，</w:t>
            </w:r>
            <w:r>
              <w:rPr>
                <w:rFonts w:hint="eastAsia" w:ascii="宋体" w:hAnsi="宋体" w:cs="宋体"/>
                <w:color w:val="000000" w:themeColor="text1"/>
                <w:szCs w:val="21"/>
                <w14:textFill>
                  <w14:solidFill>
                    <w14:schemeClr w14:val="tx1"/>
                  </w14:solidFill>
                </w14:textFill>
              </w:rPr>
              <w:t xml:space="preserve">RFID超高频重复使用扎带50</w:t>
            </w:r>
            <w:r>
              <w:rPr>
                <w:rFonts w:ascii="宋体" w:hAnsi="宋体" w:cs="宋体"/>
                <w:color w:val="000000" w:themeColor="text1"/>
                <w:szCs w:val="21"/>
                <w14:textFill>
                  <w14:solidFill>
                    <w14:schemeClr w14:val="tx1"/>
                  </w14:solidFill>
                </w14:textFill>
              </w:rPr>
              <w:t xml:space="preserve">个，桌面发卡器</w:t>
            </w: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个，</w:t>
            </w:r>
            <w:r>
              <w:rPr>
                <w:rFonts w:hint="eastAsia" w:ascii="宋体" w:hAnsi="宋体" w:cs="宋体"/>
                <w:color w:val="000000" w:themeColor="text1"/>
                <w:szCs w:val="21"/>
                <w14:textFill>
                  <w14:solidFill>
                    <w14:schemeClr w14:val="tx1"/>
                  </w14:solidFill>
                </w14:textFill>
              </w:rPr>
              <w:t xml:space="preserve">实现应急监测设备的数字化分类存储与规范管控。</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壁挂一体机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RFID柔性抗金属标签</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RFID超高频重复使用扎带</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桌面发卡器</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网络带宽提升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年</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提升为300M带宽，含东山、前垾村</w:t>
            </w:r>
            <w:r>
              <w:rPr>
                <w:rFonts w:hint="eastAsia" w:ascii="宋体" w:hAnsi="宋体" w:cs="宋体"/>
                <w:color w:val="000000" w:themeColor="text1"/>
                <w:szCs w:val="21"/>
                <w14:textFill>
                  <w14:solidFill>
                    <w14:schemeClr w14:val="tx1"/>
                  </w14:solidFill>
                </w14:textFill>
              </w:rPr>
              <w:t xml:space="preserve">（秦）</w:t>
            </w:r>
            <w:r/>
          </w:p>
        </w:tc>
      </w:tr>
      <w:tr>
        <w:trPr>
          <w:jc w:val="center"/>
        </w:trPr>
        <w:tc>
          <w:tcPr>
            <w:tcW w:w="73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W w:w="2777"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数据传输集成</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数据传输集成</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降雨、气象、墒情等多要素数据采集集成，含采集机箱、RTU、通信终端等</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24接口千兆交换机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10.3</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AC控制器</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10.4</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POE交换机</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10.5</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吸顶AP</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含六类屏蔽阻水网线</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10.6</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室外AP</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含六类屏蔽阻水网线</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10.7</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移动支架</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利旧的1台电视机需购置支架</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太阳能供电设备</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太阳能板及支架、蓄电池、充电控制器、输电线路等</w:t>
            </w:r>
            <w:r/>
          </w:p>
        </w:tc>
      </w:tr>
      <w:tr>
        <w:trPr>
          <w:jc w:val="center"/>
        </w:trPr>
        <w:tc>
          <w:tcPr>
            <w:tcW w:w="733"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W w:w="277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院内外布线</w:t>
            </w:r>
            <w:r/>
          </w:p>
        </w:tc>
        <w:tc>
          <w:tcPr>
            <w:tcW w:w="56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98"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461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室外 RVV 电源线地埋管敷设（含 30cm 开挖回填）、室外六类阻水网线地埋管及墙面敷设（开挖 30cm管埋、室内暗线管）、观测场布置线管</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b/>
          <w:bCs/>
          <w:color w:val="000000" w:themeColor="text1"/>
          <w:sz w:val="24"/>
          <w:szCs w:val="24"/>
          <w14:textFill>
            <w14:solidFill>
              <w14:schemeClr w14:val="tx1"/>
            </w14:solidFill>
          </w14:textFill>
        </w:rPr>
        <w:t xml:space="preserve">2</w:t>
      </w:r>
      <w:r>
        <w:rPr>
          <w:rFonts w:hint="eastAsia" w:ascii="宋体" w:hAnsi="宋体" w:eastAsia="宋体" w:cs="宋体"/>
          <w:b/>
          <w:bCs/>
          <w:color w:val="000000" w:themeColor="text1"/>
          <w:sz w:val="24"/>
          <w:szCs w:val="24"/>
          <w14:textFill>
            <w14:solidFill>
              <w14:schemeClr w14:val="tx1"/>
            </w14:solidFill>
          </w14:textFill>
        </w:rPr>
        <w:t xml:space="preserve">）建筑工程部分</w:t>
      </w:r>
      <w:r/>
    </w:p>
    <w:tbl>
      <w:tblPr>
        <w:tblStyle w:val="7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378"/>
        <w:gridCol w:w="775"/>
        <w:gridCol w:w="909"/>
        <w:gridCol w:w="4485"/>
      </w:tblGrid>
      <w:tr>
        <w:trPr>
          <w:trHeight w:val="285"/>
        </w:trPr>
        <w:tc>
          <w:tcPr>
            <w:tcW w:w="34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bookmarkStart w:id="19" w:name="_Hlk239166169"/>
            <w:r>
              <w:rPr>
                <w:rFonts w:ascii="宋体" w:hAnsi="宋体" w:cs="宋体"/>
                <w:b/>
                <w:bCs/>
                <w:color w:val="000000" w:themeColor="text1"/>
                <w:szCs w:val="21"/>
                <w14:textFill>
                  <w14:solidFill>
                    <w14:schemeClr w14:val="tx1"/>
                  </w14:solidFill>
                </w14:textFill>
              </w:rPr>
              <w:t xml:space="preserve">序号</w:t>
            </w:r>
            <w:r/>
          </w:p>
        </w:tc>
        <w:tc>
          <w:tcPr>
            <w:tcW w:w="129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项目名称</w:t>
            </w:r>
            <w:r/>
          </w:p>
        </w:tc>
        <w:tc>
          <w:tcPr>
            <w:tcW w:w="431"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单位</w:t>
            </w:r>
            <w:r/>
          </w:p>
        </w:tc>
        <w:tc>
          <w:tcPr>
            <w:tcW w:w="503"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工程量</w:t>
            </w:r>
            <w:r/>
          </w:p>
        </w:tc>
        <w:tc>
          <w:tcPr>
            <w:tcW w:w="2428"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工程量描述</w:t>
            </w:r>
            <w:r/>
          </w:p>
        </w:tc>
      </w:tr>
      <w:tr>
        <w:trPr>
          <w:trHeight w:val="285"/>
        </w:trPr>
        <w:tc>
          <w:tcPr>
            <w:tcW w:w="34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一</w:t>
            </w:r>
            <w:r/>
          </w:p>
        </w:tc>
        <w:tc>
          <w:tcPr>
            <w:tcW w:w="129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环境改造</w:t>
            </w:r>
            <w:r>
              <w:rPr>
                <w:rFonts w:ascii="宋体" w:hAnsi="宋体" w:cs="宋体"/>
                <w:b/>
                <w:bCs/>
                <w:color w:val="000000" w:themeColor="text1"/>
                <w:szCs w:val="21"/>
                <w14:textFill>
                  <w14:solidFill>
                    <w14:schemeClr w14:val="tx1"/>
                  </w14:solidFill>
                </w14:textFill>
              </w:rPr>
              <w:t xml:space="preserve">工程</w:t>
            </w:r>
            <w:r/>
          </w:p>
        </w:tc>
        <w:tc>
          <w:tcPr>
            <w:tcW w:w="431"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503"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2428"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r>
      <w:tr>
        <w:trPr>
          <w:trHeight w:val="96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原透水砖铺装拆除</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228</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原透水砖铺装拆除；含面层、找平层及图示拆除范围内基层处理，切缝、邻近成品保护、垃圾分类装运及场地恢复；运距及弃置点由投标人踏勘后综合考虑。</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原透水混凝土铺装拆除</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412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原透水混凝土铺装拆除；含面层及图示拆除范围内基层处理，切缝、邻近成品保护、混凝土弃料装运及场地恢复；运距及弃置点由投标人踏勘后综合考虑。</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彩色透水混凝土园路垫层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素土夯实，压实系数不小于0.93；级配碎石垫层按对应详图采用100mm、150mm或200mm厚；基层整形、夯实及养护</w:t>
            </w:r>
            <w:r>
              <w:rPr>
                <w:rFonts w:hint="eastAsia" w:ascii="宋体" w:hAnsi="宋体" w:cs="宋体"/>
                <w:color w:val="000000" w:themeColor="text1"/>
                <w:szCs w:val="21"/>
                <w14:textFill>
                  <w14:solidFill>
                    <w14:schemeClr w14:val="tx1"/>
                  </w14:solidFill>
                </w14:textFill>
              </w:rPr>
              <w:t xml:space="preserve">，详见施工图</w:t>
            </w:r>
            <w:r>
              <w:rPr>
                <w:rFonts w:ascii="宋体" w:hAnsi="宋体" w:cs="宋体"/>
                <w:color w:val="000000" w:themeColor="text1"/>
                <w:szCs w:val="21"/>
                <w14:textFill>
                  <w14:solidFill>
                    <w14:schemeClr w14:val="tx1"/>
                  </w14:solidFill>
                </w14:textFill>
              </w:rPr>
              <w:t xml:space="preserve">。</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1.4</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彩色透水混凝土园路面层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各部位按对应详图：LP-01为40mm厚彩色C25强固透水混凝土+80mm厚C25透水混凝土；LT-01及廊下详图为30mm+90mm厚透水混凝土并设30mm砂滤层；透明密封剂、颜色和分色</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1.5</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透水砖园路垫层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150mm厚级配碎石垫层；素土夯实，压实系数不小于0.93；含基层整形、夯实。</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透水砖园路找平层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50mm厚中砂找平层；摊铺、找平、夯实。</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1.7</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灰色透水砖园路面层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240×120×60mm灰色透水砖铺装；拼缝、扫缝、切割及收边按图；用于0.4m宽水文观测道路。</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1.8</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入口沥青园路面层</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451.6</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保留并修复可利用基层，更换沥青面层；含旧面层处理、粘层、摊铺碾压及停车位标线；</w:t>
            </w:r>
            <w:r>
              <w:rPr>
                <w:rFonts w:hint="eastAsia" w:ascii="宋体" w:hAnsi="宋体" w:cs="宋体"/>
                <w:color w:val="000000" w:themeColor="text1"/>
                <w:szCs w:val="21"/>
                <w14:textFill>
                  <w14:solidFill>
                    <w14:schemeClr w14:val="tx1"/>
                  </w14:solidFill>
                </w14:textFill>
              </w:rPr>
              <w:t xml:space="preserve">详见施工图</w:t>
            </w:r>
            <w:r>
              <w:rPr>
                <w:rFonts w:ascii="宋体" w:hAnsi="宋体" w:cs="宋体"/>
                <w:color w:val="000000" w:themeColor="text1"/>
                <w:szCs w:val="21"/>
                <w14:textFill>
                  <w14:solidFill>
                    <w14:schemeClr w14:val="tx1"/>
                  </w14:solidFill>
                </w14:textFill>
              </w:rPr>
              <w:t xml:space="preserve">。</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1.9</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芝麻白花岗岩路牙及收边</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m</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461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芝麻白花岗岩路牙、铺装收边；优先利旧，含拆整、清理、转运、重新安装、砂浆座浆及勾缝；不足部分同材质补配。</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1.10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防腐木构筑物综合出新</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135</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水文亭周边防腐木地面、栏杆及亭体综合出新；含清洗打磨、局部修补或更换、紧固件处理、防腐及面漆，成品保护。</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入口标识牌</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入口标识牌约长3.6m、高1.6m；含造型面板、曲线栏杆、Logo、金属骨架、基础、连接件、表面处理、安装及收口，详见施工图。</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1.12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入口显示屏标识系统</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详见施工图。金属结构，P4显示屏，（</w:t>
            </w:r>
            <w:r>
              <w:rPr>
                <w:rFonts w:hint="eastAsia" w:ascii="宋体" w:hAnsi="宋体" w:cs="宋体"/>
                <w:color w:val="000000" w:themeColor="text1"/>
                <w:szCs w:val="21"/>
                <w14:textFill>
                  <w14:solidFill>
                    <w14:schemeClr w14:val="tx1"/>
                  </w14:solidFill>
                </w14:textFill>
              </w:rPr>
              <w:t xml:space="preserve">实时显示水位、流量、雨量等信息）</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1.13</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水文长廊成套制安</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详见施工图。</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1.14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主题Logo字</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“智慧东山，善水文轩”主题Logo字，字高约0.6m；含字样深化、金属或亚克力成品字、固定基层、连接件、表面处理及安装。</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1.15</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定制镀锌钢休闲座椅</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施工图节点尺寸约长3.0m、宽0.45m、高0.45m；中蓝色氟碳喷涂；含镀锌钢骨架、面层、基础、预埋及安装；</w:t>
            </w:r>
            <w:r>
              <w:rPr>
                <w:rFonts w:hint="eastAsia" w:ascii="宋体" w:hAnsi="宋体" w:cs="宋体"/>
                <w:color w:val="000000" w:themeColor="text1"/>
                <w:szCs w:val="21"/>
                <w14:textFill>
                  <w14:solidFill>
                    <w14:schemeClr w14:val="tx1"/>
                  </w14:solidFill>
                </w14:textFill>
              </w:rPr>
              <w:t xml:space="preserve">详见施工图</w:t>
            </w:r>
            <w:r>
              <w:rPr>
                <w:rFonts w:ascii="宋体" w:hAnsi="宋体" w:cs="宋体"/>
                <w:color w:val="000000" w:themeColor="text1"/>
                <w:szCs w:val="21"/>
                <w14:textFill>
                  <w14:solidFill>
                    <w14:schemeClr w14:val="tx1"/>
                  </w14:solidFill>
                </w14:textFill>
              </w:rPr>
              <w:t xml:space="preserve">。</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1.16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定制水文尺</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304不锈钢折弯板及焊接骨架，分段制作安装，三面标尺；含连接件、基础或固定件、刻度及文字制作、防腐处理和校准。</w:t>
            </w:r>
            <w:r>
              <w:rPr>
                <w:rFonts w:hint="eastAsia" w:ascii="宋体" w:hAnsi="宋体" w:cs="宋体"/>
                <w:color w:val="000000" w:themeColor="text1"/>
                <w:szCs w:val="21"/>
                <w14:textFill>
                  <w14:solidFill>
                    <w14:schemeClr w14:val="tx1"/>
                  </w14:solidFill>
                </w14:textFill>
              </w:rPr>
              <w:t xml:space="preserve">（四色预警水位标识）</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1.17</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植物种植</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406.3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草种及规格按施工图；含场地细整、草皮铺种、滚压、浇水及成活养护。</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1.18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水文长廊土建基础</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基础开挖，机械费，混凝土浇筑，垃圾清理，详见施工图。</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1.19</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丁香移除</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既有丁香移除；含起挖、根系处理、场内外运输、弃置及坑穴回填整平。</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1.20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木槿移除</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既有木槿移除；含起挖、根系处理、场内外运输、弃置及坑穴回填整平；数量按施工图7株。</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海桐移栽</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既有海桐移栽；含起挖、土球、修剪、转运、栽植、支撑、浇水及成活养护。</w:t>
            </w:r>
            <w:r/>
          </w:p>
        </w:tc>
      </w:tr>
      <w:tr>
        <w:trPr>
          <w:trHeight w:val="9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1.22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既有黑松修剪</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既有黑松整形修剪；含枯枝、病虫枝和过密枝处理，伤口保护、清理及枝叶外运。</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1.23</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杂草清理及植物综合梳理</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195</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现状地被清杂、清理杂草并修剪，杂物收集清运；同品种缺株补植按实际发生量另计。</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1.24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绿化土方工程</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m³</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131.2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绿地平整、地形营造及种植土换填综合工作；种植土仅在现状土检测不合格时换填；含取土或购土、装运、回填、摊铺、造型及余土外运；现有估算仅提供综合土方量。</w:t>
            </w:r>
            <w:r/>
          </w:p>
        </w:tc>
      </w:tr>
      <w:tr>
        <w:trPr>
          <w:trHeight w:val="285"/>
        </w:trPr>
        <w:tc>
          <w:tcPr>
            <w:tcW w:w="34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二</w:t>
            </w:r>
            <w:r/>
          </w:p>
        </w:tc>
        <w:tc>
          <w:tcPr>
            <w:tcW w:w="129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设施改造</w:t>
            </w:r>
            <w:r>
              <w:rPr>
                <w:rFonts w:ascii="宋体" w:hAnsi="宋体" w:cs="宋体"/>
                <w:b/>
                <w:bCs/>
                <w:color w:val="000000" w:themeColor="text1"/>
                <w:szCs w:val="21"/>
                <w14:textFill>
                  <w14:solidFill>
                    <w14:schemeClr w14:val="tx1"/>
                  </w14:solidFill>
                </w14:textFill>
              </w:rPr>
              <w:t xml:space="preserve">工程</w:t>
            </w:r>
            <w:r/>
          </w:p>
        </w:tc>
        <w:tc>
          <w:tcPr>
            <w:tcW w:w="431"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503"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2428"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水文设备混凝土基础</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座</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bookmarkStart w:id="20" w:name="_Hlk239256457"/>
            <w:r>
              <w:rPr>
                <w:rFonts w:hint="eastAsia" w:ascii="宋体" w:hAnsi="宋体" w:cs="宋体"/>
                <w:color w:val="000000" w:themeColor="text1"/>
                <w:szCs w:val="21"/>
                <w14:textFill>
                  <w14:solidFill>
                    <w14:schemeClr w14:val="tx1"/>
                  </w14:solidFill>
                </w14:textFill>
              </w:rPr>
              <w:t xml:space="preserve">2.1.1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蒸发皿基础</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含基础开挖及回填、砖砌挡墙制作、瓷砖贴面等，开挖尺寸约为640*420mm，砖砌挡墙距蒸发皿边缘380mm，挡墙高度516mm，其中地面以上226mm，地面以下290mm，挡墙宽度120mm，挡墙底部做220mm*200mm砼垫层。挡墙高于地面部分做瓷砖饰面。挡墙与水圈之间采用土壤回填，表面铺设草皮。</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气象等水文设备安装基础</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基础尺寸：600mm</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600mm</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600m</w:t>
            </w:r>
            <w:r>
              <w:rPr>
                <w:rFonts w:ascii="宋体" w:hAnsi="宋体" w:cs="宋体"/>
                <w:color w:val="000000" w:themeColor="text1"/>
                <w:szCs w:val="21"/>
                <w14:textFill>
                  <w14:solidFill>
                    <w14:schemeClr w14:val="tx1"/>
                  </w14:solidFill>
                </w14:textFill>
              </w:rPr>
              <w:t xml:space="preserve">m</w:t>
            </w:r>
            <w:r>
              <w:rPr>
                <w:rFonts w:hint="eastAsia" w:ascii="宋体" w:hAnsi="宋体" w:cs="宋体"/>
                <w:color w:val="000000" w:themeColor="text1"/>
                <w:szCs w:val="21"/>
                <w14:textFill>
                  <w14:solidFill>
                    <w14:schemeClr w14:val="tx1"/>
                  </w14:solidFill>
                </w14:textFill>
              </w:rPr>
              <w:t xml:space="preserve">，C20混凝土。</w:t>
            </w:r>
            <w:bookmarkEnd w:id="20"/>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定制货架</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定制货架、配套爬梯、可移动不锈钢底座及轨道插座成套供货安装；含深化设计、金属骨架、板材、五金、固定件、表面处理、运输及调试，详见</w:t>
            </w:r>
            <w:r>
              <w:rPr>
                <w:rFonts w:hint="eastAsia" w:ascii="宋体" w:hAnsi="宋体" w:cs="宋体"/>
                <w:color w:val="000000" w:themeColor="text1"/>
                <w:szCs w:val="21"/>
                <w14:textFill>
                  <w14:solidFill>
                    <w14:schemeClr w14:val="tx1"/>
                  </w14:solidFill>
                </w14:textFill>
              </w:rPr>
              <w:t xml:space="preserve">施工图</w:t>
            </w:r>
            <w:r>
              <w:rPr>
                <w:rFonts w:ascii="宋体" w:hAnsi="宋体" w:cs="宋体"/>
                <w:color w:val="000000" w:themeColor="text1"/>
                <w:szCs w:val="21"/>
                <w14:textFill>
                  <w14:solidFill>
                    <w14:schemeClr w14:val="tx1"/>
                  </w14:solidFill>
                </w14:textFill>
              </w:rPr>
              <w:t xml:space="preserve">。</w:t>
            </w:r>
            <w:r/>
          </w:p>
        </w:tc>
      </w:tr>
      <w:tr>
        <w:trPr>
          <w:trHeight w:val="54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3D模型灯箱</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3D模型灯箱1套，墙面文化制作安装，含灯箱制作及安装。</w:t>
            </w:r>
            <w:r/>
          </w:p>
        </w:tc>
      </w:tr>
      <w:tr>
        <w:trPr>
          <w:trHeight w:val="112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会商展示室南北两面墙的钢结构隔墙</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立面5620×4000mm；80×80×3.5mm方管骨架，双层15mm厚阻燃板，面层批腻子刷乳胶漆，设80mm高踢脚线；含局部吊顶拆除与恢复。节点另标总高3200mm、饰面至2800mm，</w:t>
            </w:r>
            <w:r>
              <w:rPr>
                <w:rFonts w:hint="eastAsia" w:ascii="宋体" w:hAnsi="宋体" w:cs="宋体"/>
                <w:color w:val="000000" w:themeColor="text1"/>
                <w:szCs w:val="21"/>
                <w14:textFill>
                  <w14:solidFill>
                    <w14:schemeClr w14:val="tx1"/>
                  </w14:solidFill>
                </w14:textFill>
              </w:rPr>
              <w:t xml:space="preserve">详见施工图</w:t>
            </w:r>
            <w:r>
              <w:rPr>
                <w:rFonts w:ascii="宋体" w:hAnsi="宋体" w:cs="宋体"/>
                <w:color w:val="000000" w:themeColor="text1"/>
                <w:szCs w:val="21"/>
                <w14:textFill>
                  <w14:solidFill>
                    <w14:schemeClr w14:val="tx1"/>
                  </w14:solidFill>
                </w14:textFill>
              </w:rPr>
              <w:t xml:space="preserve">。</w:t>
            </w:r>
            <w:r/>
          </w:p>
        </w:tc>
      </w:tr>
      <w:tr>
        <w:trPr>
          <w:trHeight w:val="90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2.5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中间办公室后墙体开窗</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樘</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新开外墙窗1樘，窗洞约1100×1300mm；含墙体开洞、加固、窗框窗扇、玻璃、五金、密封防水、内外收口及墙面乳胶漆修补。详见施工图。</w:t>
            </w:r>
            <w:r/>
          </w:p>
        </w:tc>
      </w:tr>
      <w:tr>
        <w:trPr>
          <w:trHeight w:val="67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中间办公室前玻璃幕墙开窗</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处</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既有幕墙玻璃拆除并更换为可开启窗1处；含玻璃及构件拆除、框扇、五金、密封防水、周边收口、成品保护和清运。详见施工图。</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2.7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会商展示室灯具更换</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会商展示室灯具更换。详见施工图。</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2.8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墙面乳胶漆出新</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墙面乳胶漆出新。详见施工图。</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2.9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乳胶漆顶出新</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除会商展示室吊顶外，其余乳胶漆顶出新。详见施工图。</w:t>
            </w:r>
            <w:r/>
          </w:p>
        </w:tc>
      </w:tr>
      <w:tr>
        <w:trPr>
          <w:trHeight w:val="285"/>
        </w:trPr>
        <w:tc>
          <w:tcPr>
            <w:tcW w:w="34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三</w:t>
            </w:r>
            <w:r/>
          </w:p>
        </w:tc>
        <w:tc>
          <w:tcPr>
            <w:tcW w:w="1294"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通用安装工程</w:t>
            </w:r>
            <w:r/>
          </w:p>
        </w:tc>
        <w:tc>
          <w:tcPr>
            <w:tcW w:w="431"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503"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2428" w:type="pct"/>
            <w:vAlign w:val="bottom"/>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r>
      <w:tr>
        <w:trPr>
          <w:trHeight w:val="285"/>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3.1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仓库网线敷设</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路</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 </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仓库敷设2路网线。详见施工图。</w:t>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 </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强电综合布线、插座及桥架</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 </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强电综合布线、插座及桥架，含部分暗线及幕墙边桥架明线。详见施工图。</w:t>
            </w:r>
            <w:r/>
          </w:p>
        </w:tc>
      </w:tr>
      <w:tr>
        <w:trPr>
          <w:trHeight w:val="450"/>
        </w:trPr>
        <w:tc>
          <w:tcPr>
            <w:tcW w:w="34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w:t>
            </w:r>
            <w:r/>
          </w:p>
        </w:tc>
        <w:tc>
          <w:tcPr>
            <w:tcW w:w="1294"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其他</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50"/>
        </w:trPr>
        <w:tc>
          <w:tcPr>
            <w:tcW w:w="344"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w:t>
            </w:r>
            <w:r/>
          </w:p>
        </w:tc>
        <w:tc>
          <w:tcPr>
            <w:tcW w:w="1294"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零星工程</w:t>
            </w:r>
            <w:r/>
          </w:p>
        </w:tc>
        <w:tc>
          <w:tcPr>
            <w:tcW w:w="43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w:t>
            </w:r>
            <w:r/>
          </w:p>
        </w:tc>
        <w:tc>
          <w:tcPr>
            <w:tcW w:w="503"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2428"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中间办公室地面维修、房间内设备搬迁，地址由业主方指定</w:t>
            </w:r>
            <w:bookmarkEnd w:id="19"/>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40"/>
        <w:spacing w:before="0" w:after="0" w:line="360" w:lineRule="auto"/>
        <w:rPr>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第三节 技术参数要求</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一、标准气象观测设备</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1、气象五参数传感器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设备测量要素包含</w:t>
      </w:r>
      <w:r>
        <w:rPr>
          <w:color w:val="000000" w:themeColor="text1"/>
          <w:sz w:val="24"/>
          <w:szCs w:val="24"/>
          <w14:textFill>
            <w14:solidFill>
              <w14:schemeClr w14:val="tx1"/>
            </w14:solidFill>
          </w14:textFill>
        </w:rPr>
        <w:t xml:space="preserve">风速，风向，大气压，温度，湿度</w:t>
      </w:r>
      <w:r>
        <w:rPr>
          <w:rFonts w:hint="eastAsia"/>
          <w:color w:val="000000" w:themeColor="text1"/>
          <w:sz w:val="24"/>
          <w:szCs w:val="24"/>
          <w14:textFill>
            <w14:solidFill>
              <w14:schemeClr w14:val="tx1"/>
            </w14:solidFill>
          </w14:textFill>
        </w:rPr>
        <w:t xml:space="preserve">；产品结构牢固无移动部件，采用抗污染抗腐蚀的金属外壳，安装简单无需定期维护，适合在所有气候区域使用。技术参数要求如下：</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（1）风速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60m/s</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w:t>
      </w:r>
      <w:r>
        <w:rPr>
          <w:color w:val="000000" w:themeColor="text1"/>
          <w:sz w:val="24"/>
          <w:szCs w:val="24"/>
          <w14:textFill>
            <w14:solidFill>
              <w14:schemeClr w14:val="tx1"/>
            </w14:solidFill>
          </w14:textFill>
        </w:rPr>
        <w:t xml:space="preserve">0.3m/s</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V</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10m/s测量值的3%</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w:t>
      </w:r>
      <w:r>
        <w:rPr>
          <w:color w:val="000000" w:themeColor="text1"/>
          <w:sz w:val="24"/>
          <w:szCs w:val="24"/>
          <w14:textFill>
            <w14:solidFill>
              <w14:schemeClr w14:val="tx1"/>
            </w14:solidFill>
          </w14:textFill>
        </w:rPr>
        <w:t xml:space="preserve">0.1m/s</w:t>
      </w:r>
      <w:r>
        <w:rPr>
          <w:rFonts w:hint="eastAsia"/>
          <w:color w:val="000000" w:themeColor="text1"/>
          <w:sz w:val="24"/>
          <w:szCs w:val="24"/>
          <w14:textFill>
            <w14:solidFill>
              <w14:schemeClr w14:val="tx1"/>
            </w14:solidFill>
          </w14:textFill>
        </w:rPr>
        <w:t xml:space="preserve">；</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（2）风向</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360°</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w:t>
      </w:r>
      <w:r>
        <w:rPr>
          <w:color w:val="000000" w:themeColor="text1"/>
          <w:sz w:val="24"/>
          <w:szCs w:val="24"/>
          <w14:textFill>
            <w14:solidFill>
              <w14:schemeClr w14:val="tx1"/>
            </w14:solidFill>
          </w14:textFill>
        </w:rPr>
        <w:t xml:space="preserve">0.1°</w:t>
      </w:r>
      <w:r>
        <w:rPr>
          <w:rFonts w:hint="eastAsia"/>
          <w:color w:val="000000" w:themeColor="text1"/>
          <w:sz w:val="24"/>
          <w:szCs w:val="24"/>
          <w14:textFill>
            <w14:solidFill>
              <w14:schemeClr w14:val="tx1"/>
            </w14:solidFill>
          </w14:textFill>
        </w:rPr>
        <w:t xml:space="preserve">；</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（3）温度</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测量范围：-40—+80℃；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测量精度：±0.3℃；</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分辨率：0.1℃；</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（4）湿度</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100%RH</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w:t>
      </w:r>
      <w:r>
        <w:rPr>
          <w:color w:val="000000" w:themeColor="text1"/>
          <w:sz w:val="24"/>
          <w:szCs w:val="24"/>
          <w14:textFill>
            <w14:solidFill>
              <w14:schemeClr w14:val="tx1"/>
            </w14:solidFill>
          </w14:textFill>
        </w:rPr>
        <w:t xml:space="preserve">2%RH</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w:t>
      </w:r>
      <w:r>
        <w:rPr>
          <w:color w:val="000000" w:themeColor="text1"/>
          <w:sz w:val="24"/>
          <w:szCs w:val="24"/>
          <w14:textFill>
            <w14:solidFill>
              <w14:schemeClr w14:val="tx1"/>
            </w14:solidFill>
          </w14:textFill>
        </w:rPr>
        <w:t xml:space="preserve">0.1%</w:t>
      </w:r>
      <w:r>
        <w:rPr>
          <w:rFonts w:hint="eastAsia"/>
          <w:color w:val="000000" w:themeColor="text1"/>
          <w:sz w:val="24"/>
          <w:szCs w:val="24"/>
          <w14:textFill>
            <w14:solidFill>
              <w14:schemeClr w14:val="tx1"/>
            </w14:solidFill>
          </w14:textFill>
        </w:rPr>
        <w:t xml:space="preserve">；</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（5）大气压</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测量范围：</w:t>
      </w:r>
      <w:r>
        <w:rPr>
          <w:color w:val="000000" w:themeColor="text1"/>
          <w:sz w:val="24"/>
          <w:szCs w:val="24"/>
          <w14:textFill>
            <w14:solidFill>
              <w14:schemeClr w14:val="tx1"/>
            </w14:solidFill>
          </w14:textFill>
        </w:rPr>
        <w:t xml:space="preserve">10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1100hpa</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测量精度：</w:t>
      </w:r>
      <w:r>
        <w:rPr>
          <w:color w:val="000000" w:themeColor="text1"/>
          <w:sz w:val="24"/>
          <w:szCs w:val="24"/>
          <w14:textFill>
            <w14:solidFill>
              <w14:schemeClr w14:val="tx1"/>
            </w14:solidFill>
          </w14:textFill>
        </w:rPr>
        <w:t xml:space="preserve">±0.3hpa</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分辨率：</w:t>
      </w:r>
      <w:r>
        <w:rPr>
          <w:color w:val="000000" w:themeColor="text1"/>
          <w:sz w:val="24"/>
          <w:szCs w:val="24"/>
          <w14:textFill>
            <w14:solidFill>
              <w14:schemeClr w14:val="tx1"/>
            </w14:solidFill>
          </w14:textFill>
        </w:rPr>
        <w:t xml:space="preserve">0.1hpa</w:t>
      </w:r>
      <w:r>
        <w:rPr>
          <w:rFonts w:hint="eastAsia"/>
          <w:color w:val="000000" w:themeColor="text1"/>
          <w:sz w:val="24"/>
          <w:szCs w:val="24"/>
          <w14:textFill>
            <w14:solidFill>
              <w14:schemeClr w14:val="tx1"/>
            </w14:solidFill>
          </w14:textFill>
        </w:rPr>
        <w:t xml:space="preserve">；</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（6）基础参数</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防护等级：≥IP66;</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输出信号：支持4—20mA模拟信号输出、RS485数字信号输出；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供电电源：12—30VDC。</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设备具有国家气象计量站出具的设备校准证书。</w:t>
      </w:r>
      <w:r>
        <w:rPr>
          <w:b/>
          <w:bCs/>
          <w:color w:val="000000" w:themeColor="text1"/>
          <w:sz w:val="24"/>
          <w:szCs w:val="24"/>
          <w14:textFill>
            <w14:solidFill>
              <w14:schemeClr w14:val="tx1"/>
            </w14:solidFill>
          </w14:textFill>
        </w:rPr>
        <w:t xml:space="preserve">（需提供</w:t>
      </w:r>
      <w:r>
        <w:rPr>
          <w:rFonts w:hint="eastAsia"/>
          <w:b/>
          <w:bCs/>
          <w:color w:val="000000" w:themeColor="text1"/>
          <w:sz w:val="24"/>
          <w:szCs w:val="24"/>
          <w14:textFill>
            <w14:solidFill>
              <w14:schemeClr w14:val="tx1"/>
            </w14:solidFill>
          </w14:textFill>
        </w:rPr>
        <w:t xml:space="preserve">有效的校准证书</w:t>
      </w:r>
      <w:r>
        <w:rPr>
          <w:b/>
          <w:bCs/>
          <w:color w:val="000000" w:themeColor="text1"/>
          <w:sz w:val="24"/>
          <w:szCs w:val="24"/>
          <w14:textFill>
            <w14:solidFill>
              <w14:schemeClr w14:val="tx1"/>
            </w14:solidFill>
          </w14:textFill>
        </w:rPr>
        <w:t xml:space="preserve">作为证明材料）</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2、附属设施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安装立杆高度2.5m，配套安装支架。</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二、水面蒸发自动监测系统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水面蒸发自动监测系统包</w:t>
      </w:r>
      <w:r>
        <w:rPr>
          <w:color w:val="000000" w:themeColor="text1"/>
          <w:sz w:val="24"/>
          <w:szCs w:val="24"/>
          <w14:textFill>
            <w14:solidFill>
              <w14:schemeClr w14:val="tx1"/>
            </w14:solidFill>
          </w14:textFill>
        </w:rPr>
        <w:t xml:space="preserve">含</w:t>
      </w:r>
      <w:r>
        <w:rPr>
          <w:rFonts w:hint="eastAsia"/>
          <w:color w:val="000000" w:themeColor="text1"/>
          <w:sz w:val="24"/>
          <w:szCs w:val="24"/>
          <w14:textFill>
            <w14:solidFill>
              <w14:schemeClr w14:val="tx1"/>
            </w14:solidFill>
          </w14:textFill>
        </w:rPr>
        <w:t xml:space="preserve">高精度水面蒸发观测系统、</w:t>
      </w:r>
      <w:r>
        <w:rPr>
          <w:color w:val="000000" w:themeColor="text1"/>
          <w:sz w:val="24"/>
          <w:szCs w:val="24"/>
          <w14:textFill>
            <w14:solidFill>
              <w14:schemeClr w14:val="tx1"/>
            </w14:solidFill>
          </w14:textFill>
        </w:rPr>
        <w:t xml:space="preserve">称重式雨雪量计、土壤墒情监测设备</w:t>
      </w:r>
      <w:r>
        <w:rPr>
          <w:rFonts w:hint="eastAsia"/>
          <w:color w:val="000000" w:themeColor="text1"/>
          <w:sz w:val="24"/>
          <w:szCs w:val="24"/>
          <w14:textFill>
            <w14:solidFill>
              <w14:schemeClr w14:val="tx1"/>
            </w14:solidFill>
          </w14:textFill>
        </w:rPr>
        <w:t xml:space="preserve">。</w:t>
      </w:r>
      <w:r/>
    </w:p>
    <w:p>
      <w:pPr>
        <w:pStyle w:val="742"/>
        <w:spacing w:before="0" w:after="0" w:line="360" w:lineRule="auto"/>
        <w:rPr>
          <w:b w:val="0"/>
          <w:bCs w:val="0"/>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、高精度水面蒸发观测系统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系统包含：</w:t>
      </w:r>
      <w:r>
        <w:rPr>
          <w:color w:val="000000" w:themeColor="text1"/>
          <w:sz w:val="24"/>
          <w:szCs w:val="24"/>
          <w14:textFill>
            <w14:solidFill>
              <w14:schemeClr w14:val="tx1"/>
            </w14:solidFill>
          </w14:textFill>
        </w:rPr>
        <w:t xml:space="preserve">E601B蒸发皿、大口径雨量计、高精度液位计、补水箱、水泵箱、测量桶、供水管路、排水管路、控制系统、太阳能板、蓄电池、</w:t>
      </w:r>
      <w:r>
        <w:rPr>
          <w:rFonts w:hint="eastAsia"/>
          <w:color w:val="000000" w:themeColor="text1"/>
          <w:sz w:val="24"/>
          <w:szCs w:val="24"/>
          <w14:textFill>
            <w14:solidFill>
              <w14:schemeClr w14:val="tx1"/>
            </w14:solidFill>
          </w14:textFill>
        </w:rPr>
        <w:t xml:space="preserve">数据采集通讯终端</w:t>
      </w:r>
      <w:r>
        <w:rPr>
          <w:color w:val="000000" w:themeColor="text1"/>
          <w:sz w:val="24"/>
          <w:szCs w:val="24"/>
          <w14:textFill>
            <w14:solidFill>
              <w14:schemeClr w14:val="tx1"/>
            </w14:solidFill>
          </w14:textFill>
        </w:rPr>
        <w:t xml:space="preserve">、机箱</w:t>
      </w:r>
      <w:r>
        <w:rPr>
          <w:rFonts w:hint="eastAsia"/>
          <w:color w:val="000000" w:themeColor="text1"/>
          <w:sz w:val="24"/>
          <w:szCs w:val="24"/>
          <w14:textFill>
            <w14:solidFill>
              <w14:schemeClr w14:val="tx1"/>
            </w14:solidFill>
          </w14:textFill>
        </w:rPr>
        <w:t xml:space="preserve">。主要功能及技术参数如下：</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专用雨量设施设备与E601B蒸发皿的器口形状、直径、高度和材料以及外围设施轮廓形状完全一样，实现对进入E601B蒸发皿降雨量的对等监测，解决现行各类水面蒸发器对进入圆形器口的降雨量监测不准的根本问题；</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实现对蒸发过程、降雨过程、蒸发和降雨混合过程的高精度监测。耦合和分解上述多个高精度监测过程，最终实现水面蒸发皿蒸发量的全过程高精度自动监测。</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（3）总分辨率：≤0.1mm；</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（4）蒸发量测量范围：0～60mm；</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（5）磁致伸缩液位计分辨率：≤0.02mm；</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（6）数据采集通讯终端</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1）符合标准：符合《水文自动测报系统设备遥测终端机》（SL180-2015）标准；</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2）数据传输：符合</w:t>
      </w:r>
      <w:r>
        <w:rPr>
          <w:color w:val="000000" w:themeColor="text1"/>
          <w:sz w:val="24"/>
          <w:szCs w:val="24"/>
          <w14:textFill>
            <w14:solidFill>
              <w14:schemeClr w14:val="tx1"/>
            </w14:solidFill>
          </w14:textFill>
        </w:rPr>
        <w:t xml:space="preserve">《江苏省水文自动测报系统数据传输规约》DB32/T 2197-2022</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3）RTU控制软件：具有CSTC中国软件评测中心出具的软件产品登记测试报告；</w:t>
      </w:r>
      <w:r>
        <w:rPr>
          <w:rFonts w:hint="eastAsia"/>
          <w:b/>
          <w:bCs/>
          <w:color w:val="000000" w:themeColor="text1"/>
          <w:sz w:val="24"/>
          <w:szCs w:val="24"/>
          <w14:textFill>
            <w14:solidFill>
              <w14:schemeClr w14:val="tx1"/>
            </w14:solidFill>
          </w14:textFill>
        </w:rPr>
        <w:t xml:space="preserve">（需提供相应测试报告作为证明材料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4）要素采集：所有采集要素可单独设置采集间隔、存储间隔和报送间隔，并可根据用户需求灵活设置上述时间间隔。支持增量报、加报报、定时报等不同组合的报送模式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5）工作模式：具有兼容式工作模式；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6）工作环境：温度-10℃～＋55℃，湿度≤95%（40℃）；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7）接口要求：具备RS485、RS232、4-20mA、开关量等多种接口；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8）通信方式：具有全网通移动通信、北斗卫星、超短波等数据通信功能，且具有主备信道的接入和自动切换功能；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9）时钟系统：具有RTC掉电保护、与接收平台实时校准功能；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10）供电电源：直流供电（10.8V～14.4V）；</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11）工作电流：≤5mA；</w:t>
      </w:r>
      <w:r>
        <w:rPr>
          <w:b/>
          <w:bCs/>
          <w:color w:val="000000" w:themeColor="text1"/>
          <w:sz w:val="24"/>
          <w:szCs w:val="24"/>
          <w14:textFill>
            <w14:solidFill>
              <w14:schemeClr w14:val="tx1"/>
            </w14:solidFill>
          </w14:textFill>
        </w:rPr>
        <w:t xml:space="preserve">（需提供具有CMA资质的第三方检测机构出具的检测报告作为证明材料）</w:t>
      </w:r>
      <w:r>
        <w:rPr>
          <w:rFonts w:hint="eastAsia"/>
          <w:color w:val="000000" w:themeColor="text1"/>
          <w:sz w:val="24"/>
          <w:szCs w:val="24"/>
          <w14:textFill>
            <w14:solidFill>
              <w14:schemeClr w14:val="tx1"/>
            </w14:solidFill>
          </w14:textFill>
        </w:rPr>
        <w:t xml:space="preserve">（不含通信装置）</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12）待机电流：≤0.2mA；</w:t>
      </w:r>
      <w:r>
        <w:rPr>
          <w:b/>
          <w:bCs/>
          <w:color w:val="000000" w:themeColor="text1"/>
          <w:sz w:val="24"/>
          <w:szCs w:val="24"/>
          <w14:textFill>
            <w14:solidFill>
              <w14:schemeClr w14:val="tx1"/>
            </w14:solidFill>
          </w14:textFill>
        </w:rPr>
        <w:t xml:space="preserve">（需提供具有CMA资质的第三方检测机构出具的检测报告作为证明材料）</w:t>
      </w:r>
      <w:r>
        <w:rPr>
          <w:rFonts w:hint="eastAsia"/>
          <w:color w:val="000000" w:themeColor="text1"/>
          <w:sz w:val="24"/>
          <w:szCs w:val="24"/>
          <w14:textFill>
            <w14:solidFill>
              <w14:schemeClr w14:val="tx1"/>
            </w14:solidFill>
          </w14:textFill>
        </w:rPr>
        <w:t xml:space="preserve">（不含通信装置）；</w:t>
      </w:r>
      <w:r/>
    </w:p>
    <w:p>
      <w:pPr>
        <w:pStyle w:val="742"/>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、称重式雨雪量计</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（1）承雨口内径：</w:t>
      </w:r>
      <m:oMath>
        <m:sSubSup>
          <m:sSubSupPr>
            <m:alnScr m:val="off"/>
            <m:ctrlPr>
              <w:rPr>
                <w:rFonts w:ascii="Cambria Math" w:hAnsi="Cambria Math"/>
                <w:color w:val="000000"/>
                <w:sz w:val="24"/>
                <w:szCs w:val="24"/>
                <w14:textFill>
                  <w14:solidFill>
                    <w14:schemeClr w14:val="tx1"/>
                  </w14:solidFill>
                </w14:textFill>
              </w:rPr>
            </m:ctrlPr>
          </m:sSubSupPr>
          <m:e>
            <m:r>
              <w:rPr>
                <w:rFonts w:hint="eastAsia" w:ascii="Cambria Math" w:hAnsi="Cambria Math"/>
                <w:color w:val="000000" w:themeColor="text1"/>
                <w:sz w:val="24"/>
                <w:szCs w:val="24"/>
                <w14:textFill>
                  <w14:solidFill>
                    <w14:schemeClr w14:val="tx1"/>
                  </w14:solidFill>
                </w14:textFill>
              </w:rPr>
              <m:rPr>
                <m:sty m:val="p"/>
              </m:rPr>
              <m:t>φ</m:t>
            </m:r>
            <m:r>
              <w:rPr>
                <w:rFonts w:ascii="Cambria Math" w:hAnsi="Cambria Mants nts nts nts nts n"/>
                <w:color w:val="000000" w:themeColor="text1"/>
                <w:sz w:val="24"/>
                <w:szCs w:val="24"/>
                <w14:textFill>
                  <w14:solidFill>
                    <w14:schemeClr w14:val="tx1"/>
                  </w14:solidFill>
                </w14:textFill>
              </w:rPr>
              <m:rPr>
                <m:sty m:val="p"/>
              </m:rPr>
              <m:t>200</m:t>
            </m:r>
          </m:e>
          <m:sub>
            <m:r>
              <w:rPr>
                <w:rFonts w:ascii="Cambria Math" w:hAnsi="Cambria Math"/>
                <w:color w:val="000000" w:themeColor="text1"/>
                <w:sz w:val="24"/>
                <w:szCs w:val="24"/>
                <w14:textFill>
                  <w14:solidFill>
                    <w14:schemeClr w14:val="tx1"/>
                  </w14:solidFill>
                </w14:textFill>
              </w:rPr>
              <m:rPr>
                <m:sty m:val="p"/>
              </m:rPr>
              <m:t>0</m:t>
            </m:r>
          </m:sub>
          <m:sup>
            <m:r>
              <w:rPr>
                <w:rFonts w:ascii="Cambria Math" w:hAnsi="Cambria Math"/>
                <w:color w:val="000000" w:themeColor="text1"/>
                <w:sz w:val="24"/>
                <w:szCs w:val="24"/>
                <w14:textFill>
                  <w14:solidFill>
                    <w14:schemeClr w14:val="tx1"/>
                  </w14:solidFill>
                </w14:textFill>
              </w:rPr>
              <m:rPr>
                <m:sty m:val="p"/>
              </m:rPr>
              <m:t>+0.60</m:t>
            </m:r>
          </m:sup>
        </m:sSubSup>
      </m:oMath>
      <w:r>
        <w:rPr>
          <w:rFonts w:hint="eastAsia"/>
          <w:color w:val="000000" w:themeColor="text1"/>
          <w:sz w:val="24"/>
          <w:szCs w:val="24"/>
          <w14:textFill>
            <w14:solidFill>
              <w14:schemeClr w14:val="tx1"/>
            </w14:solidFill>
          </w14:textFill>
        </w:rPr>
        <w:t xml:space="preserve">mm；</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（2）分辨力：≤0.01mm；</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（3）最大测量误差：≤±0.1mm（＜10mm降水量）；≤±1%测量值（≥10mm降水量）；</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（4）通信接口：RS485标准接口，支持MODBUS协议；模拟开关量接口；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（5）工作温度：-40—+60℃；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（6）工作电压：9-16V DC；</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（7）功耗：≤1W。</w:t>
      </w:r>
      <w:r/>
    </w:p>
    <w:p>
      <w:pPr>
        <w:pStyle w:val="742"/>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、土壤墒情监测设备</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（1）时域法墒情监测设备</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1）测量原理：时域反射法（</w:t>
      </w:r>
      <w:r>
        <w:rPr>
          <w:color w:val="000000" w:themeColor="text1"/>
          <w:sz w:val="24"/>
          <w:szCs w:val="24"/>
          <w14:textFill>
            <w14:solidFill>
              <w14:schemeClr w14:val="tx1"/>
            </w14:solidFill>
          </w14:textFill>
        </w:rPr>
        <w:t xml:space="preserve">TDR</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2）测量量程：</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100%</w:t>
      </w:r>
      <w:r>
        <w:rPr>
          <w:rFonts w:hint="eastAsia"/>
          <w:color w:val="000000" w:themeColor="text1"/>
          <w:sz w:val="24"/>
          <w:szCs w:val="24"/>
          <w14:textFill>
            <w14:solidFill>
              <w14:schemeClr w14:val="tx1"/>
            </w14:solidFill>
          </w14:textFill>
        </w:rPr>
        <w:t xml:space="preserve">（饱和）（体积含水率）；</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3）测量准确度：≤±</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4）测量重复性：≤±1</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5）分辨率：≤</w:t>
      </w:r>
      <w:r>
        <w:rPr>
          <w:color w:val="000000" w:themeColor="text1"/>
          <w:sz w:val="24"/>
          <w:szCs w:val="24"/>
          <w14:textFill>
            <w14:solidFill>
              <w14:schemeClr w14:val="tx1"/>
            </w14:solidFill>
          </w14:textFill>
        </w:rPr>
        <w:t xml:space="preserve">0.1%</w:t>
      </w:r>
      <w:r>
        <w:rPr>
          <w:rFonts w:hint="eastAsia"/>
          <w:color w:val="000000" w:themeColor="text1"/>
          <w:sz w:val="24"/>
          <w:szCs w:val="24"/>
          <w14:textFill>
            <w14:solidFill>
              <w14:schemeClr w14:val="tx1"/>
            </w14:solidFill>
          </w14:textFill>
        </w:rPr>
        <w:t xml:space="preserve">（体积含水率）；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6）响应时间：＜</w:t>
      </w:r>
      <w:r>
        <w:rPr>
          <w:color w:val="000000" w:themeColor="text1"/>
          <w:sz w:val="24"/>
          <w:szCs w:val="24"/>
          <w14:textFill>
            <w14:solidFill>
              <w14:schemeClr w14:val="tx1"/>
            </w14:solidFill>
          </w14:textFill>
        </w:rPr>
        <w:t xml:space="preserve">12s</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7）等效上升沿时间：</w:t>
      </w:r>
      <w:r>
        <w:rPr>
          <w:color w:val="000000" w:themeColor="text1"/>
          <w:sz w:val="24"/>
          <w:szCs w:val="24"/>
          <w14:textFill>
            <w14:solidFill>
              <w14:schemeClr w14:val="tx1"/>
            </w14:solidFill>
          </w14:textFill>
        </w:rPr>
        <w:t xml:space="preserve">120ps</w:t>
      </w:r>
      <w:r>
        <w:rPr>
          <w:rFonts w:hint="eastAsia"/>
          <w:color w:val="000000" w:themeColor="text1"/>
          <w:sz w:val="24"/>
          <w:szCs w:val="24"/>
          <w14:textFill>
            <w14:solidFill>
              <w14:schemeClr w14:val="tx1"/>
            </w14:solidFill>
          </w14:textFill>
        </w:rPr>
        <w:t xml:space="preserve">（皮秒，</w:t>
      </w:r>
      <w:r>
        <w:rPr>
          <w:color w:val="000000" w:themeColor="text1"/>
          <w:sz w:val="24"/>
          <w:szCs w:val="24"/>
          <w14:textFill>
            <w14:solidFill>
              <w14:schemeClr w14:val="tx1"/>
            </w14:solidFill>
          </w14:textFill>
        </w:rPr>
        <w:t xml:space="preserve">10-12</w:t>
      </w:r>
      <w:r>
        <w:rPr>
          <w:rFonts w:hint="eastAsia"/>
          <w:color w:val="000000" w:themeColor="text1"/>
          <w:sz w:val="24"/>
          <w:szCs w:val="24"/>
          <w14:textFill>
            <w14:solidFill>
              <w14:schemeClr w14:val="tx1"/>
            </w14:solidFill>
          </w14:textFill>
        </w:rPr>
        <w:t xml:space="preserve">秒）；</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8）输出参数：体积含水率</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质量含水率；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9）工作温度：</w:t>
      </w:r>
      <w:r>
        <w:rPr>
          <w:color w:val="000000" w:themeColor="text1"/>
          <w:sz w:val="24"/>
          <w:szCs w:val="24"/>
          <w14:textFill>
            <w14:solidFill>
              <w14:schemeClr w14:val="tx1"/>
            </w14:solidFill>
          </w14:textFill>
        </w:rPr>
        <w:t xml:space="preserve">-10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60</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10）存储温度：</w:t>
      </w:r>
      <w:r>
        <w:rPr>
          <w:color w:val="000000" w:themeColor="text1"/>
          <w:sz w:val="24"/>
          <w:szCs w:val="24"/>
          <w14:textFill>
            <w14:solidFill>
              <w14:schemeClr w14:val="tx1"/>
            </w14:solidFill>
          </w14:textFill>
        </w:rPr>
        <w:t xml:space="preserve">-40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85</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11）工作电压：</w:t>
      </w:r>
      <w:r>
        <w:rPr>
          <w:color w:val="000000" w:themeColor="text1"/>
          <w:sz w:val="24"/>
          <w:szCs w:val="24"/>
          <w14:textFill>
            <w14:solidFill>
              <w14:schemeClr w14:val="tx1"/>
            </w14:solidFill>
          </w14:textFill>
        </w:rPr>
        <w:t xml:space="preserve">DC6-32V</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12）通讯接口：具备</w:t>
      </w:r>
      <w:r>
        <w:rPr>
          <w:color w:val="000000" w:themeColor="text1"/>
          <w:sz w:val="24"/>
          <w:szCs w:val="24"/>
          <w14:textFill>
            <w14:solidFill>
              <w14:schemeClr w14:val="tx1"/>
            </w14:solidFill>
          </w14:textFill>
        </w:rPr>
        <w:t xml:space="preserve">TTL</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RS232</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LAN</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USB</w:t>
      </w:r>
      <w:r>
        <w:rPr>
          <w:rFonts w:hint="eastAsia"/>
          <w:color w:val="000000" w:themeColor="text1"/>
          <w:sz w:val="24"/>
          <w:szCs w:val="24"/>
          <w14:textFill>
            <w14:solidFill>
              <w14:schemeClr w14:val="tx1"/>
            </w14:solidFill>
          </w14:textFill>
        </w:rPr>
        <w:t xml:space="preserve">调试接口等；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13）具有彩色触摸屏，可通过触摸屏修改参数，快捷按键支持快捷操作；</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14）无障碍工作时间（</w:t>
      </w:r>
      <w:r>
        <w:rPr>
          <w:color w:val="000000" w:themeColor="text1"/>
          <w:sz w:val="24"/>
          <w:szCs w:val="24"/>
          <w14:textFill>
            <w14:solidFill>
              <w14:schemeClr w14:val="tx1"/>
            </w14:solidFill>
          </w14:textFill>
        </w:rPr>
        <w:t xml:space="preserve">MTBF</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25000</w:t>
      </w:r>
      <w:r>
        <w:rPr>
          <w:rFonts w:hint="eastAsia"/>
          <w:color w:val="000000" w:themeColor="text1"/>
          <w:sz w:val="24"/>
          <w:szCs w:val="24"/>
          <w14:textFill>
            <w14:solidFill>
              <w14:schemeClr w14:val="tx1"/>
            </w14:solidFill>
          </w14:textFill>
        </w:rPr>
        <w:t xml:space="preserve">小时。</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（2）频域法墒情监测设备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1）可测量3个深度（10、20、40cm）土壤水分、温度值；</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2）形式：采用一体化形式的设备（传感器、</w:t>
      </w:r>
      <w:r>
        <w:rPr>
          <w:color w:val="000000" w:themeColor="text1"/>
          <w:sz w:val="24"/>
          <w:szCs w:val="24"/>
          <w14:textFill>
            <w14:solidFill>
              <w14:schemeClr w14:val="tx1"/>
            </w14:solidFill>
          </w14:textFill>
        </w:rPr>
        <w:t xml:space="preserve">RTU</w:t>
      </w:r>
      <w:r>
        <w:rPr>
          <w:rFonts w:hint="eastAsia"/>
          <w:color w:val="000000" w:themeColor="text1"/>
          <w:sz w:val="24"/>
          <w:szCs w:val="24"/>
          <w14:textFill>
            <w14:solidFill>
              <w14:schemeClr w14:val="tx1"/>
            </w14:solidFill>
          </w14:textFill>
        </w:rPr>
        <w:t xml:space="preserve">、太阳能板、锂电池、传输设备一体）；</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3）测量范围：</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100%</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4）测量分辨率0.1%；</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5）最大允许误差（准确性）：≤±</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6）测量重复性（准确性）：≤±1</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（需提供具有CMA资质的第三方检测机构出具的检测报告作为证明材料）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w:t>
      </w:r>
      <w:r>
        <w:rPr>
          <w:color w:val="000000" w:themeColor="text1"/>
          <w:sz w:val="24"/>
          <w:szCs w:val="24"/>
          <w14:textFill>
            <w14:solidFill>
              <w14:schemeClr w14:val="tx1"/>
            </w14:solidFill>
          </w14:textFill>
        </w:rPr>
        <w:t xml:space="preserve">支持移动4G无线通信/蓝牙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8）防护等级：IP68；</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9）数据传输协议支持《水文监测数据通信规约SL651-2014》。</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bookmarkStart w:id="21" w:name="_Hlk238481285"/>
      <w:r>
        <w:rPr>
          <w:rFonts w:hint="eastAsia" w:ascii="宋体" w:hAnsi="宋体" w:eastAsia="宋体" w:cs="宋体"/>
          <w:b/>
          <w:bCs/>
          <w:color w:val="000000" w:themeColor="text1"/>
          <w:sz w:val="24"/>
          <w:szCs w:val="24"/>
          <w14:textFill>
            <w14:solidFill>
              <w14:schemeClr w14:val="tx1"/>
            </w14:solidFill>
          </w14:textFill>
        </w:rPr>
        <w:t xml:space="preserve">三、</w:t>
      </w:r>
      <w:r>
        <w:rPr>
          <w:rFonts w:ascii="宋体" w:hAnsi="宋体" w:eastAsia="宋体" w:cs="宋体"/>
          <w:b/>
          <w:bCs/>
          <w:color w:val="000000" w:themeColor="text1"/>
          <w:sz w:val="24"/>
          <w:szCs w:val="24"/>
          <w14:textFill>
            <w14:solidFill>
              <w14:schemeClr w14:val="tx1"/>
            </w14:solidFill>
          </w14:textFill>
        </w:rPr>
        <w:t xml:space="preserve">AR</w:t>
      </w:r>
      <w:r>
        <w:rPr>
          <w:rFonts w:hint="eastAsia" w:ascii="宋体" w:hAnsi="宋体" w:eastAsia="宋体" w:cs="宋体"/>
          <w:b/>
          <w:bCs/>
          <w:color w:val="000000" w:themeColor="text1"/>
          <w:sz w:val="24"/>
          <w:szCs w:val="24"/>
          <w14:textFill>
            <w14:solidFill>
              <w14:schemeClr w14:val="tx1"/>
            </w14:solidFill>
          </w14:textFill>
        </w:rPr>
        <w:t xml:space="preserve">全景展示系统</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AR全景展示系统由视频河道水位流速监测仪、全光谱警戒全景枪球、定焦警戒一体机、硬盘录像机、管理一体机等部分组成，</w:t>
      </w:r>
      <w:r/>
    </w:p>
    <w:p>
      <w:pPr>
        <w:ind w:firstLine="482"/>
        <w:spacing w:line="360" w:lineRule="auto"/>
        <w:rPr>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（1）主要功能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覆盖水文站河湖全景，实现全彩监测，通过视频水位、流速进行水情监测24小时实时监测，河道重点断面进行180°/360°全景拼接成像，形成高分辨率实景底图。硬盘录像机（NVR）对多路视频流进行存储，支持H.265高效编码，并可按时间快速检索历史全景画面。管理一体机集成GIS地图与AR实景地图，支持多级缩放、视角切换、标签编辑与标绘，在此基础上，通过AR标签将视频河道水位流速监测仪等设备的实时数据（水位、流速、流量）以数字图层形式叠加于视频画面，实现“一屏看全河，数据随景动”的沉浸式监控。</w:t>
      </w:r>
      <w:r/>
    </w:p>
    <w:p>
      <w:pPr>
        <w:ind w:firstLine="482"/>
        <w:spacing w:line="360" w:lineRule="auto"/>
        <w:rPr>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（2）业务目标</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建设 AR 实景可视化系统，实现实景画面与水文监测数据融合展示，可在 AR 实景画面叠加展示实时水位、雨量、流量、自动蒸发、墒情、地下水等各类水情监测数据，满足水情实景监视业务需要。</w:t>
      </w:r>
      <w:r/>
    </w:p>
    <w:p>
      <w:pPr>
        <w:ind w:firstLine="482"/>
        <w:spacing w:line="360" w:lineRule="auto"/>
        <w:rPr>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（3）数据接入要求</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1）数据源：甲方现有 Oracle 水情数据库，数据遵循《实时雨水情数据库表结构与标识符SL323-2011》数据库标准。</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2）数据库访问方式：严禁直接直连业务库进行数据读取，投标人须采用中间库或者数据服务接口方式获取业务数据。</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3）网络安全约束</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①系统须按照甲方网络分区要求部署至指定安全域，严禁跨安全域越权访问；</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②访问水情数据库仅可使用甲方分配的只读账号，严禁使用 DBA 等高权限数据库账号；</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③投标人不得对甲方原有业务库原始数据表进行新增、修改、删除操作，仅允许读取业务数据；</w:t>
      </w:r>
      <w:r/>
    </w:p>
    <w:p>
      <w:pPr>
        <w:ind w:firstLine="482"/>
        <w:spacing w:line="360" w:lineRule="auto"/>
        <w:rPr>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（4）系统功能能力要求</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1）AR 实景画面可叠加展示各类水文监测站点位置，实时展示水位、雨量、流量、自动蒸发、墒情、地下水等监测要素；</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2）支持监测数据超阈值告警，AR 画面可对超限站点进行标红警示；</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3）支持监测历史数据回看查询，展示方式按照甲方要求采用过程线、柱状图或其他方式；</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4）系统后台支持站点管理、告警阈值配置功能。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5）所有展现数据可实时自动更新，实时数据更新周期不大于 10分钟。</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技术参数要求如下：</w:t>
      </w:r>
      <w:r/>
    </w:p>
    <w:p>
      <w:pPr>
        <w:pStyle w:val="742"/>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、视频河道流速监测仪</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（1）流速监测</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1）具有1个电源接口、1个RJ45、1个RS485、1个CVBS、1个Micro SD卡槽（最大支持512GB存储卡）；1对音频输入/输出接口；支持8路报警输入、2路报警输出；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2）支持最大抓拍分辨率：2560×1440；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图像传感器尺寸</w:t>
      </w:r>
      <w:r>
        <w:rPr>
          <w:rFonts w:hint="eastAsia"/>
          <w:color w:val="000000" w:themeColor="text1"/>
          <w:sz w:val="24"/>
          <w:szCs w:val="24"/>
          <w14:textFill>
            <w14:solidFill>
              <w14:schemeClr w14:val="tx1"/>
            </w14:solidFill>
          </w14:textFill>
        </w:rPr>
        <w:t xml:space="preserve">：≥1/1.8英寸；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4）云台定位准确度：≤0.1°；</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5）水平手控最大速度：≥650°/s；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6）垂直旋转范围：支持垂直方向-40°到90°旋转设置；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7）最低照度：0.001 lx（F=1.6，彩色模式，开启帧累积），能基本分辨被摄目标的轮廓特征和色彩。0.0003 lx（F=1.6，黑白模式，开启帧累积），能基本分辨被摄目标的轮廓特征；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8）应能设置多个监测区域，并获取不同起点距（以设备所处的断面为起始位置，沿着断面方向距离样机任意位置处的距离）的表面流速数据；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9）设备应能在监测过程，通过平台或客户端手动控制设备云台转动及变倍，应急查看设备可视范围内相关实时视频后，设备可自动恢复原监测功能；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10）支持有漂浮物和无漂浮物流速监测模式，可以自适应和手动设置；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▲11）支持获取水流表面流速，最大监测宽度100m；应支持水流流速监测量程0.2m/s-15m/s，支持获取水流流速精确到小数点后三位</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▲12）对于不同起点距的水流表面流速进行测量（采用无漂浮物模式），将其数据与在相同时间测量的水流表面流速数据进行对比，测量误差应≤10%</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▲13）支持配置测流间隔时间和测流周期；应支持显示垂线断面处实时流量数据，支持自动计算河道累计流量数据</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▲14）支持显示测流测量开始时间、结束时间；支持将断面平均流速、不同起点距的表面流速、流速场数据上传至水利平台；支持根据不同起点距和不同水深设置不同的流速系数</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▲15）内置4G模块；支持通过移动、联通、电信无线网络进行数据传输；支持对河道断面进行配置，可配置矩形、梯形或不规则河道断面</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▲16）具有低功耗休眠功能，支持一键休眠、定时休眠、一键唤醒功能。在低功耗模式下，设备功率比最大功率降低至少60%</w:t>
      </w:r>
      <w:r>
        <w:rPr>
          <w:rFonts w:hint="eastAsia"/>
          <w:b/>
          <w:bCs/>
          <w:color w:val="000000" w:themeColor="text1"/>
          <w:sz w:val="24"/>
          <w:szCs w:val="24"/>
          <w14:textFill>
            <w14:solidFill>
              <w14:schemeClr w14:val="tx1"/>
            </w14:solidFill>
          </w14:textFill>
        </w:rPr>
        <w:t xml:space="preserve">（需提供具备CMA认证的检测机构检测报告作为证明材料）</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17）可设置定时抓拍或报警联动抓拍图片，并上传到FTP服务器上。抓图的时间间隔和报警联动抓拍图片数量可设；具有SVC设置选项、数字降噪、背光补偿、强光抑制、透雾、电子防抖功能；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18）当环境照度低于一定值时，通过红外灯照射，可基本分辨距离600米处所摄建筑物目标的轮廓和状态。当环境照度低于一定值时，通过白光灯照射，可基本分辨距离50米处所摄车辆或人体目标的轮廓及颜色；</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19）可将视频图像存储至Micro SD卡或客户端；支持断网续传；支持Micro SD卡热插拔；具有GB/T 28181接入设置选项；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20）支持开启雨刷；防护等级IP67。</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（2）水位监测</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1）全景通道双1/1.8"CMOS传感器，2.8mm高清镜头；</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2）全景通道600万像素（3840×1568，25fps），细节通道400万像素（2560×1440，25fps）；</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3）光学变倍≥58 倍，数字变倍≥16 倍；</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4）全景通道支持自动拼接，水平视场角≥190°，垂直视场角≥75°；</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5）全景通道画幅比25：10；</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6）支持H.265、H.264( Main Profile 、High Profile、Baseline Profile）、M-JPEG 视频编码设置；</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7）内置2 个GPU 芯片，具有1 个RJ45 网口、1 对音频输入/输出接口、1 个复位按钮、TF 存储接口（标配128 GB TF 存储卡，最大支持512GB TF 存储卡）、2路RS485接口，内置4G卡接口，内置扬声器；支持8路报警输入，2 路报警输出；</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8）全景通道照度：0.00009 lx（F=1.0，彩色模式），能基本分辨被摄目标的轮廓特征和色彩；0.00003 lx（F=1.0，彩色模式），能基本分辨被摄目标的轮廓特征；</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9）支持水平360°连续旋转，支持垂直旋转范围-32°～90°；</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10）内置加热模块，支持对全景通道镜头前玻璃进行加热；</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11）内置风扇，支持风扇除雾功能；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12）支持漂浮物监测，应能在智能分析页面开启漂浮物检测功能；开启漂浮物检测后，样机应能对进入目标区域内的大小不小于256×144 像素的漂浮物进行检测并加框显示；开启漂浮物检测后，当漂浮物所占画面比例超过设定值时应能联动报警输出；</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13）支持水位监测功能，应能在智能分析页面开启水位监测功能；开启水位监测后，当监测水位超过设定值时应能联动报警输出。水位监测设备均应支持在监测过程任意时刻，平台及客户端应能手动控制设备云台及变倍，应急查看设备可视范围内相关实时视频后，设备支持自动恢复原监测功能；</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14）支持水尺识别功能检查，支持样机对实体水尺（宽度8cm～30cm）、虚拟水尺自动识别水位读数的功能；</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15）实体水尺包含特制水尺、桩式水尺、接力水尺、斜式水尺支持识别水尺编号；</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16）支持水尺识别精度设置，可选2 位小数或3 位小数，默认3 位小数；最多支持不同场景共30 根水尺接力识别；</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17）白天及夜间：水尺最远识别距离应不小于150 米，识别水位误差范围应≤1cm；</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18）支持视频画面叠加雨量、降雨时长、电池电量、电池电压、水尺读数、液位、风速、风向、温度、湿度、可燃性气体、氧气、一氧化碳、硫化氢、酸碱度、溶解氧、浊度、氨氮等数据显示（需前端配置对应传感器）；</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19）支持本机存储，应能将视频图像及抓拍图片（JPG/BMP，默认JPG）存储至TF 卡、本地客户端；最大支持512GB TF卡；支持TF 卡热插拔；支持本地抓拍（存储图像格式JPG/BMP）、本地录像、FTP存储、SFTP 存储、NAS 存储等；</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20）具有GB/T 28181-2022、Onvif 平台接入设置选项；</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21）支持一键休眠、定时休眠、一键唤醒功能；</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22）在超低功耗模式下，应能通过手机拨打样机内置SIM 卡的电话号码或发送任一短信，使设备上线；</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23）在极低功耗模式下，样机支持定时休眠、定时上线功能；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24）彩色模式，开启白光灯，最大运行功耗应≤26.2W；</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25）黑白模式，开启红外灯，最大运行功耗≤25.8W；</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26）进入低功耗休眠模式后，功率≤10.2W；</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27）进入超低功耗休眠模式后，功率≤1.0W；</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28）进入极低功耗休眠模式后，功率≤0.12W；</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29）自带雨刷，支持定时和手动设置雨刷；</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8"/>
          <w14:textFill>
            <w14:solidFill>
              <w14:schemeClr w14:val="tx1"/>
            </w14:solidFill>
          </w14:textFill>
        </w:rPr>
        <w:t xml:space="preserve">30）防护等级≥IP67。</w:t>
      </w:r>
      <w:r/>
    </w:p>
    <w:p>
      <w:pPr>
        <w:pStyle w:val="742"/>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600万25倍</w:t>
      </w:r>
      <w:r>
        <w:rPr>
          <w:rFonts w:hint="eastAsia" w:ascii="宋体" w:hAnsi="宋体" w:eastAsia="宋体" w:cs="宋体"/>
          <w:color w:val="000000" w:themeColor="text1"/>
          <w:sz w:val="24"/>
          <w:szCs w:val="24"/>
          <w14:textFill>
            <w14:solidFill>
              <w14:schemeClr w14:val="tx1"/>
            </w14:solidFill>
          </w14:textFill>
        </w:rPr>
        <w:t xml:space="preserve">全光谱警戒全景枪球</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（1）全景通道不低于两个300万 2.8mm高清镜头，分辨率不小于3840×1568；细节通道不低于一个400万像素25 倍光学变倍、16 倍数字变倍高清镜头，分辨率不小于2560×1440；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（2）靶面尺寸：全景通道不小于1/1.8英寸；细节通道不小于1/2.7英寸；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（3）最低照度：全景通道≤0.002Lux(F=1.0，彩色模式)，能基本分辨被摄目标的轮廓特征；细节通道≤0.003Lux(F=2.0，彩色模式)，能基本分辨被摄目标的轮廓特征；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细节通道具有10颗红外灯和4颗白光灯：当环境照度低于一定值时，通过红外灯照射，可基本分辨距离800米处所摄建筑物目标的轮廓；通过白光灯照射，可基本分辨距离150米处所摄建筑物目标的轮廓。全景通道具有3颗白光灯：当环境照度低于一定值时，通过白外灯照射，可基本分辨距离80米处所摄建筑物目标的轮廓；</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（5）红外灯照明角度应能随设备成像视角同步自动调节，照明范围可覆盖整个监控画面；</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（6）全景通道：水平视场角≥190°；全景通道：垂直视场角≥75°；</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（7）全景通道画幅比≥25：10，图像分辨率≥3840×1568；</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全景通道：≥支持场景图像效果自适应，应能根据不同场景(如工频场景、反光场景、背光场景、强光场景、雨天场景、雾天场景、车辆场景、人形场景、夜景场景、飞尘场景等)，自动调整视频参数(如曝光、白平衡、亮度、饱和度、对比度、噪声、强光抑制、宽动态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（9）配合AR实景指挥平台（见AR智慧管理一体机），应能将视频中的标签叠加在实际场景中，当云台转动或者倍率变动时，标签位置、大小根据场景自适应；</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配合AR实景指挥平台按标签名称搜索标签时，设备应能触发联动功能，联动转动至选中的标签位置，点击视频中的标签时，可查看标签内容并对标签关联的相机视频进行预览，点击相机预览窗口可放大该窗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（11）配合AR实景指挥平台，支持在摄像机的视频画面中，对监控区域的建筑物视频标签管理、卡口视频标签、普通视频标签进行标签标注，最多支持标注1000个标签；</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（12）应具有GB/T 28181-2022、 GA/T 1400、GB 35114、Onvif平台接入设置选项；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（13）应具有不少于1个RJ45网口、1对音频输入/输出接口、1个复位按钮、TF存储接口，内置扬声器(支持音频对讲)；应支持不少于2路报警输入、1路报警输出；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（14）外壳防护等级：≥IP66；</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（15）应能在AC(24±25%)V和DC(24±10%)V的供电条件下正常工作；</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（16）工作温度：-40℃~+65℃。</w:t>
      </w:r>
      <w:r/>
    </w:p>
    <w:p>
      <w:pPr>
        <w:pStyle w:val="742"/>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500万</w:t>
      </w:r>
      <w:r>
        <w:rPr>
          <w:rFonts w:hint="eastAsia" w:ascii="宋体" w:hAnsi="宋体" w:eastAsia="宋体" w:cs="宋体"/>
          <w:color w:val="000000" w:themeColor="text1"/>
          <w:sz w:val="24"/>
          <w:szCs w:val="24"/>
          <w14:textFill>
            <w14:solidFill>
              <w14:schemeClr w14:val="tx1"/>
            </w14:solidFill>
          </w14:textFill>
        </w:rPr>
        <w:t xml:space="preserve">定焦警戒一体机</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（1）分辨率不低于3072x1728@25fps，分辨力彩色应不低于1400TVL，靶面尺寸不小于1/1.8英寸筒型摄像机；</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（2）最低照度：彩色：0.0002lx(F=1.0，彩色模式)，能基本分辨被摄目标的轮廓特征和色彩；</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（3）焦距：4mm/6mm定焦镜头可选；F1.0超大光圈；</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4）应具有不少于4颗白光灯；当环境照度低于一定值时，通过白光灯照射，可基本分辨距离30米处所摄车辆或人体目标的轮廓；当补光灯打开时，补光亮度应均匀，无明显波纹状、圆环状、麻点状、条纹状及不规则亮斑；</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（5）具有1个RJ45网口、1个复位按钮、1路485接口、1对音频输入/输出接口，内置扬声器，内置MIC，内置TF存储接口；支持2路报警输入、1路报警输出；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（6）在警戒功能界面应支持设置4个场景画面 ；警戒类型应包含周界警戒、拌线警戒和翻墙警戒；警戒模板应包含警戒预案模板、自定义警戒模板；警戒预案模板包含：抓拍并联动白光、抓拍并联动白光、单次警音、抓拍并联动炸裂式多级声光、抓拍并联动渐进式多级声光；自定义警戒模板应能设置三级警戒，每级警戒可联动白光(闪光1次/闪光2次/闪光3次/频闪/常亮)、联动声音、联动开关量输出、联动录像、联动抓拍；</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7）应能根据不同场景(如工频场景、反光场景、背光场景、强光场景、雨天场景、雾天场景、车辆场景、人形场景、夜景场景、飞尘场景)对视频参数(如曝光、白平衡、亮度、饱和度、对比度、噪声、强光抑制、宽动态等)进行自动调整，达到最佳画面果；</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（8）应具有人脸检测、人脸跟踪、人脸抓拍和人形检测功能，人脸抓拍数量1～10张可设 ；应具有人脸全景图片抓拍和人脸特写图片抓拍功能；应支持对同时出现在静态图片中的至少32个人脸目标进行检测并实时叠加人脸框框出人脸；</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9）应支持对人脸以最优策略、最快速度等方式进行抓拍，支持人脸统计；应支持人脸抓拍，可将人脸抓拍图片分别存储为场景大图和人脸小图，场景大图和人脸小图可关联存储；应支持报警联动人脸抓拍照片上传时间不超过2s；</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（10）人脸抓拍捕获率应≥99%</w:t>
      </w:r>
      <w:r>
        <w:rPr>
          <w:rFonts w:hint="eastAsia"/>
          <w:color w:val="000000" w:themeColor="text1"/>
          <w:sz w:val="24"/>
          <w:szCs w:val="28"/>
          <w14:textFill>
            <w14:solidFill>
              <w14:schemeClr w14:val="tx1"/>
            </w14:solidFill>
          </w14:textFill>
        </w:rPr>
        <w:tab/>
      </w:r>
      <w:r>
        <w:rPr>
          <w:rFonts w:hint="eastAsia"/>
          <w:color w:val="000000" w:themeColor="text1"/>
          <w:sz w:val="24"/>
          <w:szCs w:val="28"/>
          <w14:textFill>
            <w14:solidFill>
              <w14:schemeClr w14:val="tx1"/>
            </w14:solidFill>
          </w14:textFill>
        </w:rPr>
        <w:t xml:space="preserve">；奔跑时人脸抓拍捕获率应＞99%；</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（11）设备的接口协议应符合GB/T 28181-2022的相关要求；应具有GA/T 1400-2017平台接入设置选项；具有Onvif平台接入设置选项；</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（12）应能在DC(12V±25%)的供电条件下正常工作；支持POE供电；支持DC12V反向供电，功耗≤8.5W；</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（13）工作温度：-35℃~+65℃、外壳防护等级≥IP67；</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（14）应支持H.265、H.264(Main Profile 、High Profile、Baseline Profile)视频编码设置；应支持32kbps～16Mbps视频码率可调；</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（15）应支持本机存储，应能将视频图像及抓拍图片(JPG/BMP，默认JPG)存储至TF卡、本地客户端；最大支持512GB TF卡；应支持TF卡热插拔；应支持本地抓拍(存储图像格式JPG/BMP)、本地录像、FTP存储、SFTP存储、NAS存储等；</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（16）断网情况下，抓拍图片应自动存储到本地存储卡，网络恢复后自动上传录像设备存储中；</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（17）同一静止场景相同图像质量下，在H.265编码方式时，开启智能编码功能和不开启智能编码相比，码率应能节约95%以上；</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（18）</w:t>
      </w:r>
      <w:r>
        <w:rPr>
          <w:color w:val="000000" w:themeColor="text1"/>
          <w:sz w:val="24"/>
          <w:szCs w:val="28"/>
          <w14:textFill>
            <w14:solidFill>
              <w14:schemeClr w14:val="tx1"/>
            </w14:solidFill>
          </w14:textFill>
        </w:rPr>
        <w:t xml:space="preserve">支持人车分离、绊线、双绊线、周界、物品遗留、物品丢失、热度图、徘徊、奔跑、停车、人数统计（垂直/画线/区域/队列）、人群聚集、安全帽检测、值岗检测、视频诊断、音频异常侦测。</w:t>
      </w:r>
      <w:r/>
    </w:p>
    <w:p>
      <w:pPr>
        <w:pStyle w:val="742"/>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1600万63倍</w:t>
      </w:r>
      <w:r>
        <w:rPr>
          <w:rFonts w:hint="eastAsia" w:ascii="宋体" w:hAnsi="宋体" w:eastAsia="宋体" w:cs="宋体"/>
          <w:color w:val="000000" w:themeColor="text1"/>
          <w:sz w:val="24"/>
          <w:szCs w:val="24"/>
          <w14:textFill>
            <w14:solidFill>
              <w14:schemeClr w14:val="tx1"/>
            </w14:solidFill>
          </w14:textFill>
        </w:rPr>
        <w:t xml:space="preserve">全光谱</w:t>
      </w:r>
      <w:r>
        <w:rPr>
          <w:color w:val="000000" w:themeColor="text1"/>
          <w:sz w:val="24"/>
          <w:szCs w:val="24"/>
          <w14:textFill>
            <w14:solidFill>
              <w14:schemeClr w14:val="tx1"/>
            </w14:solidFill>
          </w14:textFill>
        </w:rPr>
        <w:t xml:space="preserve">AR</w:t>
      </w:r>
      <w:r>
        <w:rPr>
          <w:rFonts w:hint="eastAsia" w:ascii="宋体" w:hAnsi="宋体" w:eastAsia="宋体" w:cs="宋体"/>
          <w:color w:val="000000" w:themeColor="text1"/>
          <w:sz w:val="24"/>
          <w:szCs w:val="24"/>
          <w14:textFill>
            <w14:solidFill>
              <w14:schemeClr w14:val="tx1"/>
            </w14:solidFill>
          </w14:textFill>
        </w:rPr>
        <w:t xml:space="preserve">全景球</w:t>
      </w:r>
      <w:r/>
    </w:p>
    <w:p>
      <w:pPr>
        <w:ind w:firstLine="420"/>
        <w:spacing w:line="360" w:lineRule="auto"/>
        <w:rPr>
          <w:color w:val="000000" w:themeColor="text1"/>
          <w:sz w:val="24"/>
          <w:szCs w:val="28"/>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sz w:val="24"/>
          <w:szCs w:val="28"/>
          <w14:textFill>
            <w14:solidFill>
              <w14:schemeClr w14:val="tx1"/>
            </w14:solidFill>
          </w14:textFill>
        </w:rPr>
        <w:t xml:space="preserve">全景摄像机不低于4个400万像素1/1.8英寸CMOS传感器镜头，分辨率不低于5520×2400；</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（2）特写摄像机不低于1个400万像素1/1.8英寸CMOS传感器镜头，分辨率不低于2560*1440；不低于63倍光学变焦 ，16倍数字变焦；</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（3）全景通道最低照度：彩色：≤0. 0005lx（AGC ON）黑白：≤0. 0001lx（AGC ON）</w:t>
      </w:r>
      <w:r/>
    </w:p>
    <w:p>
      <w:pPr>
        <w:ind w:firstLine="480"/>
        <w:spacing w:line="360" w:lineRule="auto"/>
        <w:rPr>
          <w:color w:val="000000" w:themeColor="text1"/>
          <w:sz w:val="24"/>
          <w:szCs w:val="28"/>
          <w14:textFill>
            <w14:solidFill>
              <w14:schemeClr w14:val="tx1"/>
            </w14:solidFill>
          </w14:textFill>
        </w:rPr>
      </w:pPr>
      <w:r>
        <w:rPr>
          <w:color w:val="000000" w:themeColor="text1"/>
          <w:sz w:val="24"/>
          <w:szCs w:val="24"/>
          <w14:textFill>
            <w14:solidFill>
              <w14:schemeClr w14:val="tx1"/>
            </w14:solidFill>
          </w14:textFill>
        </w:rPr>
        <w:t xml:space="preserve">▲</w:t>
      </w:r>
      <w:r>
        <w:rPr>
          <w:rFonts w:hint="eastAsia"/>
          <w:color w:val="000000" w:themeColor="text1"/>
          <w:sz w:val="24"/>
          <w:szCs w:val="28"/>
          <w14:textFill>
            <w14:solidFill>
              <w14:schemeClr w14:val="tx1"/>
            </w14:solidFill>
          </w14:textFill>
        </w:rPr>
        <w:t xml:space="preserve">（4）设备具有不少于1个1000MRJ45网络接口、1个音频输入接口、1个音频输出接口、1个 RS485接口、1个TF卡槽；支持8路报警输入，2路报警输出；</w:t>
      </w:r>
      <w:r>
        <w:rPr>
          <w:rFonts w:hint="eastAsia"/>
          <w:b/>
          <w:bCs/>
          <w:color w:val="000000" w:themeColor="text1"/>
          <w:sz w:val="24"/>
          <w:szCs w:val="24"/>
          <w14:textFill>
            <w14:solidFill>
              <w14:schemeClr w14:val="tx1"/>
            </w14:solidFill>
          </w14:textFill>
        </w:rPr>
        <w:t xml:space="preserve">（需提供具备CMA认证的检测机构检测报告作为证明材料）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（5）配合AR实景指挥平台，应支持在摄像机的视频画面中，对监控区域的便民警务站视频标签、建筑物视频标签管理、卡口视频标签、普通视频标签进行标签标注，最多支持标注1000个标签；</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（6）配合AR实景指挥平台，应能将视频中的标签叠加在实际场景中，当云台转动或者倍率变动时，标签位置、大小根据场景自适应；</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配合AR实景指挥平台按标签名称搜索标签时，设备应能触发联动功能，联动转动至选中的标签位置，点击视频中的标签时，应可查看标签内容并对标签关联的相机视频进行预览，点击相机预览窗口可放大该窗口；</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全景图像应支持不少于3级区域告警级别设置，在不同区域同时有移动目标进入时，设备可优先跟踪级别高的区域内的移动目标，告警区域最大可包含全部监控画面，可选择是否显示告警区域边框及告警提示信息；</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（9）应能通过IE浏览器对全景画面进行上下左右不同方位的畸变调整；</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10）全景通道应支持周界、绊线、双绊线、热度图等智能分析功能；特写通道应支持绊线、双绊线、周界、物品遗留、物品丢失、徘徊、奔跑、停车、人数统计、人群聚集、值岗检测、安全帽检测、车牌识别、烟火检测等智能分析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（11）应支持红蓝光灯警戒，亮度可调，应具有手动／自动开启功能；设备应内置绿色警戒激光器，应可手动开启／关闭，开启时可以在目标表面看到激光点并在空气中看到激光柱；</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（12）在IE浏览器下，应具有感兴趣区域设置选项，主码流，子码流，三码流分别可设置 8个感兴趣区域，支持人脸，车牌，智能行为分析的感兴趣区域(ROI)设置；</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（13）应能在监视画面上设置遮盖的区域，区域的个数、大小、位置可设置，每个区域可以设置不同的颜色或马赛克；特写通道最多可设置24个区域，全景通多最多可设置8个区域；</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（14）应支持通过预置位巡航实现多区域抓拍，每个预置位停留时候可进行抓拍；</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（15）应支持不少于10种预设报警语音功能；支持不少于25种自定义报警音功能；应能通过IE浏览器、手机APP、NVR等设置自定义报警语音并上传；</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（16）应支持设置警戒区域后可检测进入警戒区域的人或车辆，并放大变倍获取目标细节；应支持设置通过白光闪烁、语音警告、激光警戒跟踪实现多级警戒，激光点可以跟随目标移动；</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（17）宽动态应≥120dB；</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（18）水平手控最大速度不小于200°/s，云台定位精准度应≤0.1°；</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（19）应支持水平360度连续旋转，垂直方向－21°到90°旋转设置；</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（20）全景通道图像拼接后：水平视场角应≥180°;垂直视场角应≥85°；</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（21）在IE浏览器下，应具有H.265、H.264、MJPEG设置选项，可将H.264格式设置为Baseline、Main/High Profile；</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（22）特写通道抓拍图片分辨率应≥2560×1440;全景通道抓拍图片分辨率应≥5520×2400；</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（23）同一静止场景相同图像质量下，设备通过H.264或H.265编码时，开启智能编码功能和不开启智能编码相比，码率应可降低至少90%；</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（24）应具有数字降噪、强光抑制、自动增益、逆光补偿功能；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（25）应支持手动或自动开启／关闭红外灯；当环境照度低于一定值时，通过红外灯照射，应可基本分辨距离800米处所摄建筑物目标的轮廓和状态；</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（26）应具有自动检测雨量感应功能，当检测到雨量后，应能自动开启雨刷功能；</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（27）应能将视频图像存储至Micro SD卡或本地；支持断网续传；最大支持512G,支持SD卡热插拔；</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（28）应能在DC(36V±15%)的供电条件下正常工作；</w:t>
      </w:r>
      <w:r/>
    </w:p>
    <w:p>
      <w:pPr>
        <w:ind w:firstLine="480"/>
        <w:spacing w:line="360" w:lineRule="auto"/>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 xml:space="preserve">（29）外壳防护等级应≥IP66。</w:t>
      </w:r>
      <w:r/>
    </w:p>
    <w:p>
      <w:pPr>
        <w:pStyle w:val="742"/>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、硬盘录像机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（1）应支持接入1TB、2TB、3TB、4TB、6TB、8TB、10TB容量的SATA接口硬盘；应支持接入SSD固态硬盘；具有不少于8个SATA硬盘接口；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（2）最大支持接入不少于32路视频信号；</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（3）接入带宽160Mbps，转发带宽80Mbps；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支持解码不少于2路分辨率为3840×2160格式的视频图像或4路分辨率为2560×1440格式的视频图像或8路分辨率为1920×l080格式的视频图像或16路分辨率为1280×720格式的视频图像或20路分辨率为704×576格式的视频图像。应能自适应显示器分辨率进行图像显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应支持以1/16、1/8、1/4、1/2、1、2、4、8、16、32、64、128、256、512倍速回放录像；可支持单路倒放或同时支持正放不少于2路4K、25fps格式的视频图像或4路4M、25fps格式的视频图像或8路1080p、25fps格式的视频图像或16路720p、25fps格式的视频图像或16路4CIF、25fps格式的视频图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（6）应支持接入编码格式为H.264、H.265的视频图像；应支持通过Onvif、GB/T 28181协议接入平台；</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应具有不少于2个千兆以太网口，1个前置USB2.0接口，1个后置USB3.0接口，1个HDMI接口，1个VGA接口，1路3.5mm音频输入，1路3.5mm音频输出，2个RS-485控制接口，1个RS-232调试接口，16路报警输入接口，4路报警输出接口，1个eSATA接口，应具有内置风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（8）应支持将接入的图像以多画面分割方式显示，可分割为1/2/3/4/5/6/7/8/9/10/12/13/16/20/25/32个画面；</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（9）应具有TCP、UDP、HTTP、MUC、UPnP、DHCP、PPPoE、DDNS、NFS、FTP、NTP、RTSP、SMTP、HTTPS、SNMP、SADP、IPV6协议设置选项；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采用自动分段记录格式时，相邻两段间最大记录间隔时间应≤0.4s；对于记录在存储介质上的视(音)频信息，取出的存储介质应能在同型号的其他设备上正常回放，以保证设备发生故障后记录资料的留存(或复制)；复制后的视(音)频信号，应能在通用 设备上回放，并不易被篡改；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（11）视音频信号的失步时间应≤1s；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（12）应能一键添加不同网段的前端摄像机；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（13）应支持接入音频编码格式为G.711 A-law、G.711 μ-law、ADPCM_DIV4、AAC的IPC；</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（14）应支持接入NVR设备，并可选择通道进行添加；</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（15）应支持自动识别硬盘容盘，可查看硬盘组的总容量；应支持硬盘检测功能，可对硬盘进行S.M.A.R.T检测、坏道检测、健康状态检测（能检测硬盘的温度、震动、SATA链路的健康状态）；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（16）应支持盘组配置，存储录像时只对工作盘进行读写，可设置未进行读写操作的硬盘自动处于休眠状态；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（17）应在AC(220±10%)V电压范围内正常工作；应能在-10℃~+55℃温度范围内正常工作。</w:t>
      </w:r>
      <w:r/>
    </w:p>
    <w:p>
      <w:pPr>
        <w:pStyle w:val="742"/>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AR智慧</w:t>
      </w:r>
      <w:r>
        <w:rPr>
          <w:rFonts w:hint="eastAsia" w:ascii="宋体" w:hAnsi="宋体" w:eastAsia="宋体" w:cs="宋体"/>
          <w:color w:val="000000" w:themeColor="text1"/>
          <w:sz w:val="24"/>
          <w:szCs w:val="24"/>
          <w14:textFill>
            <w14:solidFill>
              <w14:schemeClr w14:val="tx1"/>
            </w14:solidFill>
          </w14:textFill>
        </w:rPr>
        <w:t xml:space="preserve">管理一体机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）处理器不低于4核4线程，主频≥3.6GHz，标配32GB（4*8GB）DDR4 3200MHz，共4个DDR4内存插槽，整机容量最高支持扩容至64GB。</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（2）支持4个千兆以太网口（RJ45），2个HDMI接口，2个RS-485接口，1个RS-232接口，8路报警输入，4路报警输出，2个前置USB2.0接口，2个后置USB3.0接口；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（3）支持通过前置面板接入8块硬盘，支持监控盘和企业级硬盘，可对接入平台的视频及图片进行存储，标配一块4T企业级硬盘；</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（4）内置AR实景指挥平台软件：</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）具备管理、存储、解码、转发功能，可管理50路视频通道；</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）国产操作系统，全中文WEB管理界面；</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）可对水利设备、车闸、硬盘录像机、集中存储等设备进行管理；</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）支持NTP时间同步功能设置；</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）采用可视化管理，在WEB界面上可以对磁盘、RAID组等进行配置操作和状态监控；</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）支持GB/T 28181协议，可支持给上级平台转发摄像机视频；</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）支持GA/T 1400协议，可支持接入前端的人车图片，并可以将人车图片转发给上级平台；</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）可实现解码上墙；</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w:t>
      </w:r>
      <w:r>
        <w:rPr>
          <w:rFonts w:hint="eastAsia"/>
          <w:color w:val="000000" w:themeColor="text1"/>
          <w:sz w:val="24"/>
          <w:szCs w:val="24"/>
          <w14:textFill>
            <w14:solidFill>
              <w14:schemeClr w14:val="tx1"/>
            </w14:solidFill>
          </w14:textFill>
        </w:rPr>
        <w:t xml:space="preserve">）支持人脸管理功能、车辆管理功能、支持门禁管理功能；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）支持水利AR实景孪生模块，在实时视频中对水位、降雨量、蒸发量、流速流量、建筑物、道路进行标注，实现图像内容的结构化描述，融合视频/图片/文字等信息；</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）在实时视频画面上展示模块快捷菜单显示，展示测站信息、水尺信息、降蒸观测场、上下游、测流断面等情况；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）以实景图像为基础，叠加站点数据综合大屏，总览站点基础信息、数据过程线和报警情况等；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支标签功能包含实时水位、防洪信息、近24h雨量、蒸发量、流速流量、水尺、水位线（历史水位、保证水位、警戒水位）、河面、建筑物、监控点位、人脸卡口、车辆卡口、门禁、车闸、道路、广场显示。标签显示信息包含实时水位、实时流速流量、近24h雨量、蒸发量、历史水位、保证水位、警戒水位、建筑物周边视频（单路/多路）等功能。</w:t>
      </w:r>
      <w:bookmarkEnd w:id="21"/>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四、数据展示终端</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（1）尺寸宽高：整机尺寸(不含推车支架）：≥3604*2112mm；箱体厚度≤29.3mm;显示比例：16：9；分辨率：1920*1080；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（2）像素间距：≤1.875mm，屏幕像素密度≥284444 点/m2 ，箱体尺寸：600*337.5*29.3(mm)；平整度≤0.05mm；</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（3）采用COB 集成封装技术，显示屏像素点红绿蓝分别由倒装红蓝绿LED 芯片组成；显示屏可防潮、防尘、防水、防湿、防静电、防撞；</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▲（4）LED显示屏信号系统应采用ASIC集成电路系统方案，要求无发送卡和接收卡，可靠性更强，降低使用故障率；</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（5）为降低屏体故障率，提高显示稳定性，屏体内设计应为电源、信号版、转接板三合一结构，即箱体内多个模块集成于一块电路板卡上，要求电路板卡上无对插式电路板（灯板除外）；</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（6）可视角度（水平/垂直）：≥170°/ 160°；刷新率（Hz）：≥3840Hz；</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▲（7）在10±10%lx环境照度条件下，对比度≥16000：1；</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▲（8）整机白平衡亮度≥1000cd/m²，支持100cd/m²、200cd/m²、300cd/m²、600cd/m²、1000cd/m²等亮度档位，且应支持现场进行调节。整机具备环境光传感器，可根据环境光变化自动调节亮度；</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▲（9）整机内置系统配置不低于：存储配置≥128G，运行内存≥8G，操作系统Android14；整机支持2.4G/5G WIFI及BT5.0功能；支持NFC投屏及远场语音智能控制，能实现打开产品预装的应用软件；</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（10）整机应内置音响，前出音设计，功率≥60W。同时支持Dolby及DTS音效解码；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（11）整机接口不少于：HDMI2.0*3，USB3.0*2， Type-C*1 ，RJ45*1，SPDIF*1；</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▲（12）整机应支持HDR、HLG，1024级GAMMA曲线调整，支持大于14bits 灰阶显示，DCI-P3≥100%。播放HDR片源时，局部亮度可实现≥1400nits，同时可显示HDR标识；</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（13）为保证观看舒适度，要求LED显示屏应防蓝光抗疲劳，蓝光辐射功率≤0.13W· m-2· sr-1；</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（14）内置电源应具备PFC功能，功率因数≥0.95（功率因数调整），电源效率≥85%；</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▲（15）节能：为响应节能降耗要求，产品应采用共阴极驱动设计实现LED节能冷屏。在600nits全白场画面下要求LED显示屏功耗&lt;1500W；平均功耗&lt;550W/台；LED整机直流待机条件下待机功耗小于0.5W；</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（16）应支持单点逐点亮度及色度校正，亮度损失＜7%。支持通过遥控器校正单元数据，调整单元色度，保证整屏色彩一致性；</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▲（17）产品单箱体内模组数量应≤4片灯板，减少拼缝对视觉的影响，同时为保障显示效果，要求防撞表面黑色雾化处理，屏幕表面做不反光处理，反光率SCE≤3%；</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18）模组与HUB板之间应采用硬接口设计，无排线，支持带电维护，可直接插拔。支持全前维护方式，设备有任何硬件问题，能在不拆装箱体的基础上，通过移动灯板，对问题进行判断、处理，箱体外部无可见连线；</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▲（19）LED显示屏的结构设计、箱体均应为压铸铝金材质，箱体背板为一次性整体压铸成型，全金属自然散热结构，无风扇、防尘、静音设计。整机噪音：≤4.6dB (A) (离屏距离200cm时)； 整机噪音：≤19.2dB (A)(离屏距离20cm时)；</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（20）整机应支持NFC投屏、无线投屏器投屏，支持4分屏独立显示。支持手机或平板反向操作LED大屏，并可以进行批注；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（21）应支持开机/屏保画面定制，支持U盘导入专属开机画面、屏保画面；</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▲（22）为减少开机等待时间，开机启动时间（上电到出现开机LOGO）≤10S；</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（23）LED屏体可以通过UI菜单实现遥控交互：支持屏幕UI菜单显示，可通过遥控器调节屏幕参数、屏幕亮度调节、信号切换、场景切换、色温调节、开关机控制等，支持在屏幕上显示主要变化信息；</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▲（24）整机应支持安全与权限设置，可控制WIFI、USB等功能禁用；</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▲（25）LED一体机应具备双主页设计，可一键切换；</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（26）整机防尘≥IP6X，整机防水≥IPX5；整机灯板正面防尘≥IP6X，整机灯板正面防水≥IPX7；</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（27）产品应支持信息发布系统，可通过网络统一下发图片、视频、文字等资源素材，集中管控；</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▲（28）所投屏体须通过CCC强制认证，节能认证。</w:t>
      </w:r>
      <w:r>
        <w:rPr>
          <w:rFonts w:hint="eastAsia"/>
          <w:b/>
          <w:bCs/>
          <w:color w:val="000000" w:themeColor="text1"/>
          <w:sz w:val="24"/>
          <w:szCs w:val="24"/>
          <w14:textFill>
            <w14:solidFill>
              <w14:schemeClr w14:val="tx1"/>
            </w14:solidFill>
          </w14:textFill>
        </w:rPr>
        <w:t xml:space="preserve">（需提供相应认证证书复印件作为证明材料）。</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五、融媒体平台主机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（1）音频接口：支持≥64路网络音频输入，≥6路网络音频输出，支持≥2路模拟音频输入，≥1路模拟音频输出；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（2）视频接口：支持≥4路HDMI输入，支持≥2路DP输出，支持≥2路HDMI输出；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（3）USB接口：设备支持≥2路USB3.2高速接口，支持≥5路USB2.0接口；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（4）通讯接口：支持≥1路2.5G有线网络接口，≥1路1G有线网络接口，支持WIFI接入双天线设计支持WIFI6，支持组合使用有线带宽可达5000Mbps支持蓝牙5.0；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（5）存储容量：≥500G固态硬盘；</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（6）运行内存：采用DDR5内存≥16GB；</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（7）处理器：不低于I5-12代英特尔芯片，主频不低于2.5Ghz，睿频不低于3.5Ghz，8核12线程，GPU运行内存不低于8GB；</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（8）高速扩展接口：支持PCIE5.0高速通道，可扩展显卡，采集卡和控制卡等支持PCIE的扩展设备。支持RAID4功能4盘位设计最大支持≥64GB存储；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▲（9）应满足素材在多个屏幕上对比展示，可通过控制屏将电脑投屏、PPT、图片、视频等素材直接拖拽到不同大屏上显示，可视化操作；</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▲（10）应满足素材在单个屏幕上对比展示，可通过控制屏将电脑投屏、PPT、图片、视频等素材可以二分屏、四分屏、画中画等形式在单个大屏上对比展示；</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▲（11）主机应内置音频切换功能，可通过后台软件进行音频灵活切换，可将任意一路音源路由到全部音频输出设备，也可路由到指定音频输出设备，满足扩音需求；</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▲（12）为保障系统稳定性，主机后台软件应可实时可视化观测与主机连接的每一路信号状态，如音频的电平跳动，视频源画面等都支持可视化实时显示；</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通过主机平台软件应可看到空间内的设备连接拓扑图，可视化呈现设备线材连接链路，任意一个线路连接异常时，可进行故障智能预警，精准定位故障位置，并自动发送系统消息提醒，帮助运维人员精准定位问题，提升运维管理效率。</w:t>
      </w:r>
      <w:r>
        <w:rPr>
          <w:rFonts w:hint="eastAsia"/>
          <w:b/>
          <w:bCs/>
          <w:color w:val="000000" w:themeColor="text1"/>
          <w:sz w:val="24"/>
          <w:szCs w:val="24"/>
          <w14:textFill>
            <w14:solidFill>
              <w14:schemeClr w14:val="tx1"/>
            </w14:solidFill>
          </w14:textFill>
        </w:rPr>
        <w:t xml:space="preserve">（需提供第三方检测机构出具的检测报告复印件作为证明材料）</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六、微缩模型显示柜</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（1）尺寸：不低于55寸；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（2）显示方式：柜体LED灯带背光；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（3）画面比例：16：9；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（4）分辨率：不小于1920*1080（FHD）；</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（5）CPU：不低于I5-4代；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（6）内存：≥8G；</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（7）存储：≥128G固态硬盘；</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（8）可视角度：不低于178*178；</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（9）安装方式：横置&amp;竖置；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（10）输入：HDMI，DP，DVI-D，OPS，RS232C IN，RJ45。</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七、机器人</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（1）硬件部分</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▲1）整机尺寸重量：身高≥1310mm，整机尺寸≥1310×460×210mm；整机重量≤40kg，轻量化柔性抗摔外壳，机身圆角安全设计；</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▲2）全身自由度：整机总自由度≥30；颈部≥1自由度、腰部≥3自由度、单臂≥7自由度、单腿≥6自由度；</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▲3）算力硬件双平台：基础计算单元不低于RK3588 双芯片；标配不低于NVIDIA Jetson Orin NX 16GB 高算力板，AI 算力不低于150TOPS，支持本地端侧大模型实时运算；</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▲4）全域感知传感器：至少配置1台3D多线激光雷达、1台RGB-D 深度相机、前视双目RGB、交互人脸RGB、后视单目RGB；</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▲5）拓展接口配置：USB-A×2、USB-C×2、双路 RJ45 千兆以太网；miniDP×1；12V/48V 双供电拓展口；内置4G/5G 模块、WiFi、蓝牙；</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▲6）电源续航硬件：电池能量≥421Wh；0.5m/s 匀速行走续航≥2h，充电时间≤1.5h；</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▲7）传感器视场角：应配备激光雷达，可实时采集精确的环境数据，能够快速识别并测量周围物体，同时提供高分辨率的点云数据。同时配置深度相机、双目相机、后视相机、交互相机等，感知设备丰富；</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▲8）自主充电：支持直充、换电。</w:t>
      </w:r>
      <w:r>
        <w:rPr>
          <w:rFonts w:hint="eastAsia"/>
          <w:b/>
          <w:bCs/>
          <w:color w:val="000000" w:themeColor="text1"/>
          <w:sz w:val="24"/>
          <w:szCs w:val="24"/>
          <w14:textFill>
            <w14:solidFill>
              <w14:schemeClr w14:val="tx1"/>
            </w14:solidFill>
          </w14:textFill>
        </w:rPr>
        <w:t xml:space="preserve">（需提供产品彩页或技术说明文件等材料作为证明材料）</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（2）软件部分</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1）底层控制软件：内置全域运动控制固件，支持拖动示教、零力柔顺控制、摔倒自主起身算法；全身关节力矩实时采集与阻抗控制API；</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2）AI大模型软件：搭载多模态交互大模型，知识库支持本地离线运行；支持视觉目标识别、人脸情感识别、手势语义理解、上下文连续对话；</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3）自主导航软件：内置3D SLAM建图算法，支持多楼层地图存储、动态障碍物实时避障、最优路径自主规划、定点巡导、低电量告警；</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4）动作生成引擎：Diffusion生成式动作引擎，内置预设拟人动作库；支持动捕录入、远程分身动作复刻、群机同步舞蹈编排、自定义动作批量导出；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5）运维管理软件：云端远程监控平台，实时查看机器人算力、电量、传感器状态、任务日志；支持远程升级、故障自动告警、多台机器人集群管控。</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（3）核心功能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拟人运动交互：应能够流畅拟人双足步态，全地形行走、上下缓坡、原地转向；腰部灵活扭转，复刻鞠躬、挥手、舞蹈、武术全套拟人动作；摔倒后自主调整姿态站立起身；毫秒级头随声动、视线跟随人体目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2）多模态人机交互：语音实时对话、多轮上下文问答、方言识别；人脸情绪识别、头部液晶屏幕动态表情输出；机身触摸感应交互，触碰触发回应；手势识别、物体识别、展品讲解导览交互；</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3）人机智能问答：实现</w:t>
      </w:r>
      <w:r>
        <w:rPr>
          <w:rFonts w:hint="eastAsia"/>
          <w:color w:val="000000" w:themeColor="text1"/>
          <w:sz w:val="24"/>
          <w:szCs w:val="24"/>
          <w14:textFill>
            <w14:solidFill>
              <w14:schemeClr w14:val="tx1"/>
            </w14:solidFill>
          </w14:textFill>
        </w:rPr>
        <w:t xml:space="preserve">南京</w:t>
      </w:r>
      <w:r>
        <w:rPr>
          <w:color w:val="000000" w:themeColor="text1"/>
          <w:sz w:val="24"/>
          <w:szCs w:val="24"/>
          <w14:textFill>
            <w14:solidFill>
              <w14:schemeClr w14:val="tx1"/>
            </w14:solidFill>
          </w14:textFill>
        </w:rPr>
        <w:t xml:space="preserve">市</w:t>
      </w:r>
      <w:r>
        <w:rPr>
          <w:rFonts w:hint="eastAsia"/>
          <w:color w:val="000000" w:themeColor="text1"/>
          <w:sz w:val="24"/>
          <w:szCs w:val="24"/>
          <w14:textFill>
            <w14:solidFill>
              <w14:schemeClr w14:val="tx1"/>
            </w14:solidFill>
          </w14:textFill>
        </w:rPr>
        <w:t xml:space="preserve">水文</w:t>
      </w:r>
      <w:r>
        <w:rPr>
          <w:color w:val="000000" w:themeColor="text1"/>
          <w:sz w:val="24"/>
          <w:szCs w:val="24"/>
          <w14:textFill>
            <w14:solidFill>
              <w14:schemeClr w14:val="tx1"/>
            </w14:solidFill>
          </w14:textFill>
        </w:rPr>
        <w:t xml:space="preserve">通用知识库建设及数据训练。实现</w:t>
      </w:r>
      <w:r>
        <w:rPr>
          <w:rFonts w:hint="eastAsia"/>
          <w:color w:val="000000" w:themeColor="text1"/>
          <w:sz w:val="24"/>
          <w:szCs w:val="24"/>
          <w14:textFill>
            <w14:solidFill>
              <w14:schemeClr w14:val="tx1"/>
            </w14:solidFill>
          </w14:textFill>
        </w:rPr>
        <w:t xml:space="preserve">①</w:t>
      </w:r>
      <w:r>
        <w:rPr>
          <w:color w:val="000000" w:themeColor="text1"/>
          <w:sz w:val="24"/>
          <w:szCs w:val="24"/>
          <w14:textFill>
            <w14:solidFill>
              <w14:schemeClr w14:val="tx1"/>
            </w14:solidFill>
          </w14:textFill>
        </w:rPr>
        <w:t xml:space="preserve">通用水文静态知识：水文术语、测验规范、水文成果介绍、展会展板文案、江苏水文科普材料，格式支持 docx、pdf、txt、FAQ。</w:t>
      </w:r>
      <w:r>
        <w:rPr>
          <w:rFonts w:hint="eastAsia"/>
          <w:color w:val="000000" w:themeColor="text1"/>
          <w:sz w:val="24"/>
          <w:szCs w:val="24"/>
          <w14:textFill>
            <w14:solidFill>
              <w14:schemeClr w14:val="tx1"/>
            </w14:solidFill>
          </w14:textFill>
        </w:rPr>
        <w:t xml:space="preserve">②</w:t>
      </w:r>
      <w:r>
        <w:rPr>
          <w:color w:val="000000" w:themeColor="text1"/>
          <w:sz w:val="24"/>
          <w:szCs w:val="24"/>
          <w14:textFill>
            <w14:solidFill>
              <w14:schemeClr w14:val="tx1"/>
            </w14:solidFill>
          </w14:textFill>
        </w:rPr>
        <w:t xml:space="preserve">专属水情知识：流域面积、主要水文站（秦淮河东山站</w:t>
      </w:r>
      <w:r>
        <w:rPr>
          <w:rFonts w:hint="eastAsia"/>
          <w:color w:val="000000" w:themeColor="text1"/>
          <w:sz w:val="24"/>
          <w:szCs w:val="24"/>
          <w14:textFill>
            <w14:solidFill>
              <w14:schemeClr w14:val="tx1"/>
            </w14:solidFill>
          </w14:textFill>
        </w:rPr>
        <w:t xml:space="preserve">、前垾村站</w:t>
      </w:r>
      <w:r>
        <w:rPr>
          <w:color w:val="000000" w:themeColor="text1"/>
          <w:sz w:val="24"/>
          <w:szCs w:val="24"/>
          <w14:textFill>
            <w14:solidFill>
              <w14:schemeClr w14:val="tx1"/>
            </w14:solidFill>
          </w14:textFill>
        </w:rPr>
        <w:t xml:space="preserve">等）、大洪水记录、防洪控制指标、水位流量数据、河道治理成果、对应秦淮河介绍文稿</w:t>
      </w:r>
      <w:r>
        <w:rPr>
          <w:rFonts w:hint="eastAsia"/>
          <w:color w:val="000000" w:themeColor="text1"/>
          <w:sz w:val="24"/>
          <w:szCs w:val="24"/>
          <w14:textFill>
            <w14:solidFill>
              <w14:schemeClr w14:val="tx1"/>
            </w14:solidFill>
          </w14:textFill>
        </w:rPr>
        <w:t xml:space="preserve">，超出知识库部分调用多模态大模型。</w:t>
      </w:r>
      <w:r>
        <w:rPr>
          <w:color w:val="000000" w:themeColor="text1"/>
          <w:sz w:val="24"/>
          <w:szCs w:val="24"/>
          <w14:textFill>
            <w14:solidFill>
              <w14:schemeClr w14:val="tx1"/>
            </w14:solidFill>
          </w14:textFill>
        </w:rPr>
        <w:t xml:space="preserve">实时变动的水位、流量雨情，不走静态文档，通过调用水文业务 API 接口实时拉取，确保回答准确</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4）自主空间作业：室内全域自主导航、动态行人/障碍物主动避让；多点位自动巡展、定点迎宾讲解；轻负载端茶、递送展品等简易抓取作业；</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5）实时水文数据接入架构：</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①：支持对接外部水文业务系统 REST API 接口，获取水位、流量、雨量、汛情简报等动态监测数据。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②：支持两种API触发调用逻辑，1、点位讲解触发：机器人导航抵达指定讲解点位，后台自动发起接口请求；2、问答交互触发：观众语音提问涉及实时动态水情，RAG 链路自动触发接口调用。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③：具备接口数据缓存机制，缓存周期可配置，降低外部业务系统访问压力；缓存失效自动重新拉取最新数据。</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八、应急库房智能化升级</w:t>
      </w:r>
      <w:r/>
    </w:p>
    <w:p>
      <w:pPr>
        <w:pStyle w:val="742"/>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1、壁挂一体机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工控配置：CPU：不低于I5 4代处理器，内存8G,固态硬盘128G ；含正版操作系统。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识别方式：射频识别 (超高频RFID)；</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频率范围：840MHz-960MHz；</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读取时间：3-5秒；</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识别数量：≥30件；</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整机尺寸（宽*深*高）：400mm*86mm*1440mm；</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屏幕尺寸：不小于21寸电容触摸屏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通讯接口：内置RS232串口、RJ45网口、USB接口、wifi通讯模块；</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识别权限：人脸识别、刷卡；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工作温度：0~60℃；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工作湿度：10%RH~90%RH。</w:t>
      </w:r>
      <w:r/>
    </w:p>
    <w:p>
      <w:pPr>
        <w:pStyle w:val="742"/>
        <w:spacing w:before="0" w:after="0"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RFID柔性抗金属标签</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产品材质：PET+铝箔+泡棉；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工作温度：-20℃~+80℃</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通讯协议：ISO/IEC 18000-6C &amp; EPC C1 G2；</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芯片：性能不低于UCODE8；</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工作频率：860~960MHz；</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产品读距：&gt;5米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数据保存：&gt;10年；</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写入次数：100000次；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封装工艺：倒封装+复合；</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安装方式：背胶粘贴；</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使用寿命：&gt;3年。</w:t>
      </w:r>
      <w:r/>
    </w:p>
    <w:p>
      <w:pPr>
        <w:pStyle w:val="742"/>
        <w:spacing w:before="0" w:after="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3、RFID超高频重复使用扎带</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RFID协议： ISO18000-6C&amp; EPC C1 G2；</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频率： 902MHZ-928MHZ；</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芯片： 性能不低于NXP UCODE8 H3（9662）/R6/M4等芯片；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存储： 96 bit；</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写入次数： 100,000 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功能： 读写；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数据保存： &gt;10年；</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读距 ： 2～5米；</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扎带尺寸 300mm /350mm 可定制尺寸；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材料： ABS+尼龙；</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颜色： 红色/蓝色/黑色等可定制颜色。</w:t>
      </w:r>
      <w:r/>
    </w:p>
    <w:p>
      <w:pPr>
        <w:pStyle w:val="742"/>
        <w:spacing w:before="0" w:after="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4、桌面发卡器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工作频率：840-960MHz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协议标准：ISO 18000-6C（EPC C1G2）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输出功率：0-26dbm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支持模式：可读可写/光标输出模式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响应速度：≥20个标签/秒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读取模式：支持密集读取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阅读范围半径：≥250mm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通信接口：USB-Type-C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开关：支持按键开关及灯光指示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电源电压：5V；</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材质：ABS+PC材质 ；</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九、数据传输集成</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数据传输集成包含</w:t>
      </w:r>
      <w:r>
        <w:rPr>
          <w:color w:val="000000" w:themeColor="text1"/>
          <w:sz w:val="24"/>
          <w:szCs w:val="24"/>
          <w14:textFill>
            <w14:solidFill>
              <w14:schemeClr w14:val="tx1"/>
            </w14:solidFill>
          </w14:textFill>
        </w:rPr>
        <w:t xml:space="preserve">降雨、气象、墒情等多要素数据采集集成，含采集机箱、RTU、通信终端等</w:t>
      </w:r>
      <w:r>
        <w:rPr>
          <w:rFonts w:hint="eastAsia"/>
          <w:color w:val="000000" w:themeColor="text1"/>
          <w:sz w:val="24"/>
          <w:szCs w:val="24"/>
          <w14:textFill>
            <w14:solidFill>
              <w14:schemeClr w14:val="tx1"/>
            </w14:solidFill>
          </w14:textFill>
        </w:rPr>
        <w:t xml:space="preserve">，同时购置千兆交换机、AC控制器、POE交换机、吸顶AP、室外AP等设备。</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站点降雨、气象、墒情数据传输通信符合《江苏省水文自动测报系统数据传输规约》DB32/T 2197-2022，能够及时上传至甲方提供的数据采集平台，实现统一接收入库。</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主要设备技术参数如下：</w:t>
      </w:r>
      <w:r/>
    </w:p>
    <w:p>
      <w:pPr>
        <w:pStyle w:val="742"/>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1、千兆交换机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（1）性能：交换容量≥598Gbps；转发性能≥222Mpps；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（2）性能指标MAC地址表≥32K、路由表容量≥16K、ARP表项≥16K；</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（3）接口类型：≥24个千兆电口(其中8个 Combo光)*4个万兆SFP光。</w:t>
      </w:r>
      <w:r/>
    </w:p>
    <w:p>
      <w:pPr>
        <w:pStyle w:val="742"/>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AC</w:t>
      </w:r>
      <w:r>
        <w:rPr>
          <w:rFonts w:hint="eastAsia" w:ascii="宋体" w:hAnsi="宋体" w:eastAsia="宋体" w:cs="宋体"/>
          <w:color w:val="000000" w:themeColor="text1"/>
          <w:sz w:val="24"/>
          <w:szCs w:val="24"/>
          <w14:textFill>
            <w14:solidFill>
              <w14:schemeClr w14:val="tx1"/>
            </w14:solidFill>
          </w14:textFill>
        </w:rPr>
        <w:t xml:space="preserve">控制器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（1）吞吐量：≥3Gbps，最大接入用户数≥1024；</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（2）AP管理：最大管理AP≥16，支持面板翻倍；</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（3）接口：不低于WAN：2*GE，LAN：7*GE + 1*SFP+；</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（4）应支持AC内漫游，支持跨AC间漫游，支持跨VLAN的三层漫游；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（5）应支持基于802.11k/802.11v/802.11r协议的智能漫游；</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（6）应支持标准capwap协议、AC和AP之间支持L2/L3层网络拓扑；</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（7）应支持与无线云平台对接，实现多种的应用功能，支持微信/短信认证以及一键认证及流量管控功能；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（8）为保障网络全面运维，应支持通过云平台显示AC CPU、内存使用情况、整机或单口广播、单播历史信息等。</w:t>
      </w:r>
      <w:r/>
    </w:p>
    <w:p>
      <w:pPr>
        <w:pStyle w:val="742"/>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POE</w:t>
      </w:r>
      <w:r>
        <w:rPr>
          <w:rFonts w:hint="eastAsia" w:ascii="宋体" w:hAnsi="宋体" w:eastAsia="宋体" w:cs="宋体"/>
          <w:color w:val="000000" w:themeColor="text1"/>
          <w:sz w:val="24"/>
          <w:szCs w:val="24"/>
          <w14:textFill>
            <w14:solidFill>
              <w14:schemeClr w14:val="tx1"/>
            </w14:solidFill>
          </w14:textFill>
        </w:rPr>
        <w:t xml:space="preserve">交换机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（1）交换容量：不低于包转发率：126Mpps，交换容量≥672Gbps；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（2）业务端口：不低于24*10/100/1000BASE-T(POE+)电口+4*1000BASE-X SFP端口；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（3）POE供电：不低于400W；</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（4）应支持堆叠，链路聚合，流量控制；</w:t>
      </w:r>
      <w:r/>
    </w:p>
    <w:p>
      <w:pPr>
        <w:ind w:firstLine="480"/>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（5）应支持IPv4/IPv6静态路由，支持RIP/RIPng,OSPFv2/v3,支持STP/RSTP/MSTP协议。</w:t>
      </w:r>
      <w:r/>
    </w:p>
    <w:p>
      <w:pPr>
        <w:pStyle w:val="742"/>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4、吸顶</w:t>
      </w:r>
      <w:r>
        <w:rPr>
          <w:rFonts w:hint="eastAsia"/>
          <w:color w:val="000000" w:themeColor="text1"/>
          <w:sz w:val="24"/>
          <w:szCs w:val="24"/>
          <w14:textFill>
            <w14:solidFill>
              <w14:schemeClr w14:val="tx1"/>
            </w14:solidFill>
          </w14:textFill>
        </w:rPr>
        <w:t xml:space="preserve">AP</w:t>
      </w:r>
      <w:r/>
    </w:p>
    <w:p>
      <w:pPr>
        <w:ind w:firstLine="480"/>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（1）工作模式：采用不低于整机双频4流设计，应可同时工作在802.11a/b/g/n/ac/ac wave2/ax模式；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（2）MU-MIMO：所有射频都支持MU-MIMO；</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（3）整机协商速率：≥2.975Gbps，其中5G射频速率：≥2.4G，2.4G射频速率：≥0.575G；</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（4）天线设计：采用内置智能天线设计；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（5）接口设计≥1个10/100/1000Mbps(RJ45)。</w:t>
      </w:r>
      <w:r/>
    </w:p>
    <w:p>
      <w:pPr>
        <w:pStyle w:val="742"/>
        <w:spacing w:before="0" w:after="0" w:line="360" w:lineRule="auto"/>
        <w:rPr>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5、室外</w:t>
      </w:r>
      <w:r>
        <w:rPr>
          <w:rFonts w:hint="eastAsia"/>
          <w:color w:val="000000" w:themeColor="text1"/>
          <w:sz w:val="24"/>
          <w:szCs w:val="24"/>
          <w14:textFill>
            <w14:solidFill>
              <w14:schemeClr w14:val="tx1"/>
            </w14:solidFill>
          </w14:textFill>
        </w:rPr>
        <w:t xml:space="preserve">AP</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（1）整机采用不低于双频4流设计，整机最大接入速率不低于3.57Gbps；</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（2）接口：≥1个100/1000M/2.5G电口，≥1个10G PSFP（光电合一）光口兼容SFP+；</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（3）应内置智能全向天线系统；</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（4）应可通过命令行，AC，云简网络等切换模式；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（5）应支持无线用户二层隔离，支持基于SSID的无线用户隔离；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（6）应支持802.11r标准中所定义的Fast BSS Transition功能，可加速无线用户的漫游过程，降低连接中断概率、提高漫游服务质量；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（7）应支持多链路操作(MLO ，Multilink Operation)，能够同时与终端建立多条射频链接。</w:t>
      </w:r>
      <w:r/>
    </w:p>
    <w:p>
      <w:pPr>
        <w:pStyle w:val="742"/>
        <w:spacing w:before="0" w:after="0" w:line="360" w:lineRule="auto"/>
        <w:rPr>
          <w:rFonts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6、移动支架</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材质：黑色</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SPCC冷轧钢</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安装孔距：1200*600mm</w:t>
      </w:r>
      <w:r>
        <w:rPr>
          <w:rFonts w:hint="eastAsia"/>
          <w:color w:val="000000" w:themeColor="text1"/>
          <w:sz w:val="24"/>
          <w:szCs w:val="24"/>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最大承重：</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200Kg</w:t>
      </w:r>
      <w:r>
        <w:rPr>
          <w:rFonts w:hint="eastAsia"/>
          <w:color w:val="000000" w:themeColor="text1"/>
          <w:sz w:val="24"/>
          <w:szCs w:val="24"/>
          <w14:textFill>
            <w14:solidFill>
              <w14:schemeClr w14:val="tx1"/>
            </w14:solidFill>
          </w14:textFill>
        </w:rPr>
        <w:t xml:space="preserve">，配置</w:t>
      </w:r>
      <w:r>
        <w:rPr>
          <w:color w:val="000000" w:themeColor="text1"/>
          <w:sz w:val="24"/>
          <w:szCs w:val="24"/>
          <w14:textFill>
            <w14:solidFill>
              <w14:schemeClr w14:val="tx1"/>
            </w14:solidFill>
          </w14:textFill>
        </w:rPr>
        <w:t xml:space="preserve">置物托盘</w:t>
      </w:r>
      <w:r>
        <w:rPr>
          <w:rFonts w:hint="eastAsia"/>
          <w:color w:val="000000" w:themeColor="text1"/>
          <w:sz w:val="24"/>
          <w:szCs w:val="24"/>
          <w14:textFill>
            <w14:solidFill>
              <w14:schemeClr w14:val="tx1"/>
            </w14:solidFill>
          </w14:textFill>
        </w:rPr>
        <w:t xml:space="preserve">。</w:t>
      </w:r>
      <w:r/>
    </w:p>
    <w:p>
      <w:pPr>
        <w:pStyle w:val="741"/>
        <w:spacing w:before="0" w:after="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w:t>
      </w:r>
      <w:r>
        <w:rPr>
          <w:rFonts w:ascii="Segoe UI Symbol" w:hAnsi="Segoe UI Symbol" w:cs="Segoe UI Symbol"/>
          <w:b/>
          <w:bCs/>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质保承诺（质保承诺不允许负偏离，否则按无效投标处理）</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（1）中标供应商需为本项目所供设备提供质保服务，质量保证期从完工验收之日起算，其中主要设备（AR全景展示系统、数据展示终端、融媒体平台主机、机器人）提供2年质保，其余设备提供1年质保。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质保期内，中标供应商负责整个系统设备的故障维修工作。系统设备发生非人为因素的故障，应由中标供应商负责免费维修。</w:t>
      </w:r>
      <w:r/>
    </w:p>
    <w:p>
      <w:pPr>
        <w:pStyle w:val="1069"/>
        <w:ind w:firstLine="720"/>
        <w:jc w:val="center"/>
        <w:rPr>
          <w:rFonts w:eastAsia="黑体"/>
          <w:color w:val="000000" w:themeColor="text1"/>
          <w:sz w:val="36"/>
          <w:szCs w:val="36"/>
          <w14:textFill>
            <w14:solidFill>
              <w14:schemeClr w14:val="tx1"/>
            </w14:solidFill>
          </w14:textFill>
        </w:rPr>
        <w:outlineLvl w:val="0"/>
      </w:pPr>
      <w:r/>
      <w:bookmarkStart w:id="22" w:name="_Toc149805859"/>
      <w:r>
        <w:rPr>
          <w:rFonts w:hint="eastAsia" w:eastAsia="黑体"/>
          <w:color w:val="000000" w:themeColor="text1"/>
          <w:sz w:val="36"/>
          <w:szCs w:val="36"/>
          <w14:textFill>
            <w14:solidFill>
              <w14:schemeClr w14:val="tx1"/>
            </w14:solidFill>
          </w14:textFill>
        </w:rPr>
        <w:br w:type="page" w:clear="all"/>
      </w:r>
      <w:r>
        <w:rPr>
          <w:rFonts w:hint="eastAsia" w:eastAsia="黑体"/>
          <w:color w:val="000000" w:themeColor="text1"/>
          <w:sz w:val="36"/>
          <w:szCs w:val="36"/>
          <w14:textFill>
            <w14:solidFill>
              <w14:schemeClr w14:val="tx1"/>
            </w14:solidFill>
          </w14:textFill>
        </w:rPr>
        <w:t xml:space="preserve">第五章 合同主要条款</w:t>
      </w:r>
      <w:bookmarkEnd w:id="14"/>
      <w:r/>
      <w:bookmarkEnd w:id="15"/>
      <w:r/>
      <w:bookmarkEnd w:id="22"/>
      <w:r/>
      <w:bookmarkStart w:id="23" w:name="_Toc513029243"/>
      <w:r/>
      <w:bookmarkStart w:id="24" w:name="_Toc20823315"/>
      <w:r/>
      <w:bookmarkStart w:id="25" w:name="_Toc16938559"/>
      <w:r>
        <w:rPr>
          <w:rFonts w:hint="eastAsia" w:eastAsia="黑体"/>
          <w:color w:val="000000" w:themeColor="text1"/>
          <w:sz w:val="36"/>
          <w:szCs w:val="36"/>
          <w14:textFill>
            <w14:solidFill>
              <w14:schemeClr w14:val="tx1"/>
            </w14:solidFill>
          </w14:textFill>
        </w:rPr>
        <w:t xml:space="preserve">及格式</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买方：（采购人）</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卖方：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采购代理机构：南京国景工程项目管理有限公司</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一、说明：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受买方委托，采购代理机构于2026年 月 日组织了</w:t>
      </w:r>
      <w:r>
        <w:rPr>
          <w:b/>
          <w:bCs/>
          <w:color w:val="000000" w:themeColor="text1"/>
          <w:szCs w:val="21"/>
          <w:u w:val="single"/>
          <w14:textFill>
            <w14:solidFill>
              <w14:schemeClr w14:val="tx1"/>
            </w14:solidFill>
          </w14:textFill>
        </w:rPr>
        <w:t xml:space="preserve">东山站监测能力提升项目</w:t>
      </w:r>
      <w:r>
        <w:rPr>
          <w:color w:val="000000" w:themeColor="text1"/>
          <w:szCs w:val="21"/>
          <w14:textFill>
            <w14:solidFill>
              <w14:schemeClr w14:val="tx1"/>
            </w14:solidFill>
          </w14:textFill>
        </w:rPr>
        <w:t xml:space="preserve">的招标采购，经评委认真严格地评审，确定由卖方中标。</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二、合同条款：</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合同由买卖双方签订，并依据招标文件规定，按下列合同条款买方同意购入，卖方同意卖出下列设备及服务。</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1、设备名称、型号规格、数量及服务内容。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详见第四章：</w:t>
      </w:r>
      <w:r>
        <w:rPr>
          <w:rFonts w:hint="eastAsia"/>
          <w:color w:val="000000" w:themeColor="text1"/>
          <w:szCs w:val="21"/>
          <w:lang w:val="en-US" w:eastAsia="zh-CN"/>
          <w14:textFill>
            <w14:solidFill>
              <w14:schemeClr w14:val="tx1"/>
            </w14:solidFill>
          </w14:textFill>
        </w:rPr>
        <w:t xml:space="preserve">项目</w:t>
      </w:r>
      <w:r>
        <w:rPr>
          <w:rFonts w:hint="eastAsia"/>
          <w:color w:val="000000" w:themeColor="text1"/>
          <w:szCs w:val="21"/>
          <w14:textFill>
            <w14:solidFill>
              <w14:schemeClr w14:val="tx1"/>
            </w14:solidFill>
          </w14:textFill>
        </w:rPr>
        <w:t xml:space="preserve">清单</w:t>
      </w:r>
      <w:r>
        <w:rPr>
          <w:color w:val="000000" w:themeColor="text1"/>
          <w:szCs w:val="21"/>
          <w14:textFill>
            <w14:solidFill>
              <w14:schemeClr w14:val="tx1"/>
            </w14:solidFill>
          </w14:textFill>
        </w:rPr>
        <w:t xml:space="preserve">。</w:t>
      </w:r>
      <w:r/>
    </w:p>
    <w:tbl>
      <w:tblPr>
        <w:tblStyle w:val="7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1289"/>
        <w:gridCol w:w="1516"/>
        <w:gridCol w:w="1666"/>
        <w:gridCol w:w="1770"/>
        <w:gridCol w:w="1587"/>
      </w:tblGrid>
      <w:tr>
        <w:trPr/>
        <w:tc>
          <w:tcPr>
            <w:tcW w:w="786"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w:t>
            </w:r>
            <w:r/>
          </w:p>
        </w:tc>
        <w:tc>
          <w:tcPr>
            <w:tcW w:w="694" w:type="pct"/>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规格/</w:t>
            </w:r>
            <w:r>
              <w:rPr>
                <w:color w:val="000000" w:themeColor="text1"/>
                <w:szCs w:val="21"/>
                <w14:textFill>
                  <w14:solidFill>
                    <w14:schemeClr w14:val="tx1"/>
                  </w14:solidFill>
                </w14:textFill>
              </w:rPr>
              <w:t xml:space="preserve">型号</w:t>
            </w:r>
            <w:r/>
          </w:p>
        </w:tc>
        <w:tc>
          <w:tcPr>
            <w:tcW w:w="816"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数量</w:t>
            </w:r>
            <w:r/>
          </w:p>
        </w:tc>
        <w:tc>
          <w:tcPr>
            <w:tcW w:w="897"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单价（元）</w:t>
            </w:r>
            <w:r/>
          </w:p>
        </w:tc>
        <w:tc>
          <w:tcPr>
            <w:tcW w:w="953"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合计（万）</w:t>
            </w:r>
            <w:r/>
          </w:p>
        </w:tc>
        <w:tc>
          <w:tcPr>
            <w:tcW w:w="855" w:type="pct"/>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tc>
          <w:tcPr>
            <w:tcW w:w="786"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694"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16"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97"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53"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5"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c>
          <w:tcPr>
            <w:tcW w:w="786"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694"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16"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97"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53"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855" w:type="pct"/>
            <w:textDirection w:val="lrTb"/>
            <w:noWrap w:val="false"/>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2、合同总价（大写）：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（小写）：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2.1 投标报价，应包括本次招标范围内全部设备、材料、随设备提供的备品配件及专用工具的价格、全部税、包装费、运杂费（运抵买方项目现场）、保险费、安装费、调试费、买方操作维护人员培训费、验收检定费（含运输等费用）及投标人认为需要的其他费用等。</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2.2 在安装、调试、验收过程中，如发现有漏项、缺件，卖方应无条件、无偿补齐，所发生的一切费用，视为已包含在卖方投标时的投标报价之中，且并不因此而影响交付买方使用的时间。</w:t>
      </w:r>
      <w:r/>
    </w:p>
    <w:p>
      <w:pPr>
        <w:numPr>
          <w:ilvl w:val="0"/>
          <w:numId w:val="6"/>
        </w:numPr>
        <w:ind w:firstLine="422"/>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交付使用时间：</w:t>
      </w:r>
      <w:r>
        <w:rPr>
          <w:rFonts w:hint="eastAsia"/>
          <w:bCs/>
          <w:color w:val="000000" w:themeColor="text1"/>
          <w:szCs w:val="21"/>
          <w14:textFill>
            <w14:solidFill>
              <w14:schemeClr w14:val="tx1"/>
            </w14:solidFill>
          </w14:textFill>
        </w:rPr>
        <w:t xml:space="preserve">合同签订后70日历日</w:t>
      </w:r>
      <w:r>
        <w:rPr>
          <w:bCs/>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4、收货人：买方指定收货人。</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5、交货地点：买方指定地点。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6、设备的制造应符合下列标准或规范</w:t>
      </w:r>
      <w:r>
        <w:rPr>
          <w:rFonts w:hint="eastAsia"/>
          <w:color w:val="000000" w:themeColor="text1"/>
          <w:szCs w:val="21"/>
          <w14:textFill>
            <w14:solidFill>
              <w14:schemeClr w14:val="tx1"/>
            </w14:solidFill>
          </w14:textFill>
        </w:rPr>
        <w:t xml:space="preserve">（具体要求）</w:t>
      </w:r>
      <w:r>
        <w:rPr>
          <w:color w:val="000000" w:themeColor="text1"/>
          <w:szCs w:val="21"/>
          <w14:textFill>
            <w14:solidFill>
              <w14:schemeClr w14:val="tx1"/>
            </w14:solidFill>
          </w14:textFill>
        </w:rPr>
        <w:t xml:space="preserve">并据此验收：</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本项目以招标参数要求、施工图纸、设计变更和国家制订的施工及验收规范为质量评定验收标准。项目完工后，严格根据质量评定验收标准进行验收，乙方提供验收所需项目建设过程相关的全部资料，甲方出具验收合格证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7、包装要求：全部货物的外包装，必须采用防漏、防潮、防震、防锈、防盗和考虑到可能会发生的野蛮装卸等长途内陆运输及多次装卸之需要。</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8、买方付款方式及期限：</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w:t>
      </w:r>
      <w:r>
        <w:rPr>
          <w:color w:val="000000" w:themeColor="text1"/>
          <w:szCs w:val="21"/>
          <w14:textFill>
            <w14:solidFill>
              <w14:schemeClr w14:val="tx1"/>
            </w14:solidFill>
          </w14:textFill>
        </w:rPr>
        <w:t xml:space="preserve">项目合同签订后，由中标人提供</w:t>
      </w:r>
      <w:r>
        <w:rPr>
          <w:rFonts w:hint="eastAsia"/>
          <w:color w:val="000000" w:themeColor="text1"/>
          <w:szCs w:val="21"/>
          <w14:textFill>
            <w14:solidFill>
              <w14:schemeClr w14:val="tx1"/>
            </w14:solidFill>
          </w14:textFill>
        </w:rPr>
        <w:t xml:space="preserve">合同总金额40%的预付款保函</w:t>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买方在收到中标人提供的预付款保函后，</w:t>
      </w:r>
      <w:r>
        <w:rPr>
          <w:color w:val="000000" w:themeColor="text1"/>
          <w:szCs w:val="21"/>
          <w14:textFill>
            <w14:solidFill>
              <w14:schemeClr w14:val="tx1"/>
            </w14:solidFill>
          </w14:textFill>
        </w:rPr>
        <w:t xml:space="preserve">支付合同总金额的</w:t>
      </w:r>
      <w:r>
        <w:rPr>
          <w:rFonts w:hint="eastAsia"/>
          <w:color w:val="000000" w:themeColor="text1"/>
          <w:szCs w:val="21"/>
          <w14:textFill>
            <w14:solidFill>
              <w14:schemeClr w14:val="tx1"/>
            </w14:solidFill>
          </w14:textFill>
        </w:rPr>
        <w:t xml:space="preserve">4</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rPr>
          <w:color w:val="000000" w:themeColor="text1"/>
          <w:szCs w:val="21"/>
          <w14:textFill>
            <w14:solidFill>
              <w14:schemeClr w14:val="tx1"/>
            </w14:solidFill>
          </w14:textFill>
        </w:rPr>
        <w:t xml:space="preserve">设备安装调试</w:t>
      </w:r>
      <w:r>
        <w:rPr>
          <w:rFonts w:hint="eastAsia"/>
          <w:color w:val="000000" w:themeColor="text1"/>
          <w:szCs w:val="21"/>
          <w14:textFill>
            <w14:solidFill>
              <w14:schemeClr w14:val="tx1"/>
            </w14:solidFill>
          </w14:textFill>
        </w:rPr>
        <w:t xml:space="preserve">完成后</w:t>
      </w:r>
      <w:r>
        <w:rPr>
          <w:color w:val="000000" w:themeColor="text1"/>
          <w:szCs w:val="21"/>
          <w14:textFill>
            <w14:solidFill>
              <w14:schemeClr w14:val="tx1"/>
            </w14:solidFill>
          </w14:textFill>
        </w:rPr>
        <w:t xml:space="preserve">，</w:t>
      </w:r>
      <w:bookmarkStart w:id="26" w:name="OLE_LINK10"/>
      <w:r>
        <w:rPr>
          <w:color w:val="000000" w:themeColor="text1"/>
          <w:szCs w:val="21"/>
          <w14:textFill>
            <w14:solidFill>
              <w14:schemeClr w14:val="tx1"/>
            </w14:solidFill>
          </w14:textFill>
        </w:rPr>
        <w:t xml:space="preserve">由中标人提供</w:t>
      </w:r>
      <w:r>
        <w:rPr>
          <w:rFonts w:hint="eastAsia"/>
          <w:color w:val="000000" w:themeColor="text1"/>
          <w:szCs w:val="21"/>
          <w14:textFill>
            <w14:solidFill>
              <w14:schemeClr w14:val="tx1"/>
            </w14:solidFill>
          </w14:textFill>
        </w:rPr>
        <w:t xml:space="preserve">相应金额</w:t>
      </w:r>
      <w:r>
        <w:rPr>
          <w:color w:val="000000" w:themeColor="text1"/>
          <w:szCs w:val="21"/>
          <w14:textFill>
            <w14:solidFill>
              <w14:schemeClr w14:val="tx1"/>
            </w14:solidFill>
          </w14:textFill>
        </w:rPr>
        <w:t xml:space="preserve">正式发票，</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支付合同总金额</w:t>
      </w:r>
      <w:r>
        <w:rPr>
          <w:rFonts w:hint="eastAsia"/>
          <w:color w:val="000000" w:themeColor="text1"/>
          <w:szCs w:val="21"/>
          <w14:textFill>
            <w14:solidFill>
              <w14:schemeClr w14:val="tx1"/>
            </w14:solidFill>
          </w14:textFill>
        </w:rPr>
        <w:t xml:space="preserve">的2</w:t>
      </w:r>
      <w:r>
        <w:rPr>
          <w:color w:val="000000" w:themeColor="text1"/>
          <w:szCs w:val="21"/>
          <w14:textFill>
            <w14:solidFill>
              <w14:schemeClr w14:val="tx1"/>
            </w14:solidFill>
          </w14:textFill>
        </w:rPr>
        <w:t xml:space="preserve">0%；</w:t>
      </w:r>
      <w:bookmarkEnd w:id="26"/>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（3）建筑工程部分安装实施完成后，</w:t>
      </w:r>
      <w:r>
        <w:rPr>
          <w:color w:val="000000" w:themeColor="text1"/>
          <w:szCs w:val="21"/>
          <w14:textFill>
            <w14:solidFill>
              <w14:schemeClr w14:val="tx1"/>
            </w14:solidFill>
          </w14:textFill>
        </w:rPr>
        <w:t xml:space="preserve">由中标人提供</w:t>
      </w:r>
      <w:r>
        <w:rPr>
          <w:rFonts w:hint="eastAsia"/>
          <w:color w:val="000000" w:themeColor="text1"/>
          <w:szCs w:val="21"/>
          <w14:textFill>
            <w14:solidFill>
              <w14:schemeClr w14:val="tx1"/>
            </w14:solidFill>
          </w14:textFill>
        </w:rPr>
        <w:t xml:space="preserve">相应金额</w:t>
      </w:r>
      <w:r>
        <w:rPr>
          <w:color w:val="000000" w:themeColor="text1"/>
          <w:szCs w:val="21"/>
          <w14:textFill>
            <w14:solidFill>
              <w14:schemeClr w14:val="tx1"/>
            </w14:solidFill>
          </w14:textFill>
        </w:rPr>
        <w:t xml:space="preserve">正式发票，</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支付合同总金额</w:t>
      </w:r>
      <w:r>
        <w:rPr>
          <w:rFonts w:hint="eastAsia"/>
          <w:color w:val="000000" w:themeColor="text1"/>
          <w:szCs w:val="21"/>
          <w14:textFill>
            <w14:solidFill>
              <w14:schemeClr w14:val="tx1"/>
            </w14:solidFill>
          </w14:textFill>
        </w:rPr>
        <w:t xml:space="preserve">的25</w:t>
      </w:r>
      <w:r>
        <w:rPr>
          <w:color w:val="000000" w:themeColor="text1"/>
          <w:szCs w:val="21"/>
          <w14:textFill>
            <w14:solidFill>
              <w14:schemeClr w14:val="tx1"/>
            </w14:solidFill>
          </w14:textFill>
        </w:rPr>
        <w:t xml:space="preserve">%； </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（4）买方在收到中标人提交的完工验收申请后，在7个工作日内组织开展验收工作；</w:t>
      </w:r>
      <w:r>
        <w:rPr>
          <w:color w:val="000000" w:themeColor="text1"/>
          <w:szCs w:val="21"/>
          <w14:textFill>
            <w14:solidFill>
              <w14:schemeClr w14:val="tx1"/>
            </w14:solidFill>
          </w14:textFill>
        </w:rPr>
        <w:t xml:space="preserve">完工验收</w:t>
      </w:r>
      <w:r>
        <w:rPr>
          <w:rFonts w:hint="eastAsia"/>
          <w:color w:val="000000" w:themeColor="text1"/>
          <w:szCs w:val="21"/>
          <w14:textFill>
            <w14:solidFill>
              <w14:schemeClr w14:val="tx1"/>
            </w14:solidFill>
          </w14:textFill>
        </w:rPr>
        <w:t xml:space="preserve">通过，经审计</w:t>
      </w:r>
      <w:r>
        <w:rPr>
          <w:color w:val="000000" w:themeColor="text1"/>
          <w:szCs w:val="21"/>
          <w14:textFill>
            <w14:solidFill>
              <w14:schemeClr w14:val="tx1"/>
            </w14:solidFill>
          </w14:textFill>
        </w:rPr>
        <w:t xml:space="preserve">达到付款条件起30</w:t>
      </w:r>
      <w:r>
        <w:rPr>
          <w:rFonts w:hint="eastAsia"/>
          <w:color w:val="000000" w:themeColor="text1"/>
          <w:szCs w:val="21"/>
          <w14:textFill>
            <w14:solidFill>
              <w14:schemeClr w14:val="tx1"/>
            </w14:solidFill>
          </w14:textFill>
        </w:rPr>
        <w:t xml:space="preserve">日历天</w:t>
      </w:r>
      <w:r>
        <w:rPr>
          <w:color w:val="000000" w:themeColor="text1"/>
          <w:szCs w:val="21"/>
          <w14:textFill>
            <w14:solidFill>
              <w14:schemeClr w14:val="tx1"/>
            </w14:solidFill>
          </w14:textFill>
        </w:rPr>
        <w:t xml:space="preserve">内，由中标人提供等额正式发票，</w:t>
      </w:r>
      <w:r>
        <w:rPr>
          <w:rFonts w:hint="eastAsia"/>
          <w:color w:val="000000" w:themeColor="text1"/>
          <w:szCs w:val="21"/>
          <w14:textFill>
            <w14:solidFill>
              <w14:schemeClr w14:val="tx1"/>
            </w14:solidFill>
          </w14:textFill>
        </w:rPr>
        <w:t xml:space="preserve">买方根据审定价</w:t>
      </w:r>
      <w:r>
        <w:rPr>
          <w:color w:val="000000" w:themeColor="text1"/>
          <w:szCs w:val="21"/>
          <w14:textFill>
            <w14:solidFill>
              <w14:schemeClr w14:val="tx1"/>
            </w14:solidFill>
          </w14:textFill>
        </w:rPr>
        <w:t xml:space="preserve">支付剩余尾款。</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9、验收</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基础设施建设、</w:t>
      </w:r>
      <w:r>
        <w:rPr>
          <w:color w:val="000000" w:themeColor="text1"/>
          <w:szCs w:val="21"/>
          <w14:textFill>
            <w14:solidFill>
              <w14:schemeClr w14:val="tx1"/>
            </w14:solidFill>
          </w14:textFill>
        </w:rPr>
        <w:t xml:space="preserve">设备、材料安装、调试结束，买、卖双方派员共同验收，达到验收标准，则验收合格。</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10、质保期及售后服务</w:t>
      </w:r>
      <w:r/>
    </w:p>
    <w:p>
      <w:pPr>
        <w:ind w:firstLine="422"/>
        <w:spacing w:line="360" w:lineRule="auto"/>
        <w:rPr>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10.1 卖方所供</w:t>
      </w:r>
      <w:r>
        <w:rPr>
          <w:rFonts w:hint="eastAsia"/>
          <w:color w:val="000000" w:themeColor="text1"/>
          <w:szCs w:val="21"/>
          <w14:textFill>
            <w14:solidFill>
              <w14:schemeClr w14:val="tx1"/>
            </w14:solidFill>
          </w14:textFill>
        </w:rPr>
        <w:t xml:space="preserve">主要设备（AR全景展示系统、数据展示终端、融媒体平台主机、机器人）提供2年质保，其余设备</w:t>
      </w:r>
      <w:r>
        <w:rPr>
          <w:color w:val="000000" w:themeColor="text1"/>
          <w:szCs w:val="21"/>
          <w14:textFill>
            <w14:solidFill>
              <w14:schemeClr w14:val="tx1"/>
            </w14:solidFill>
          </w14:textFill>
        </w:rPr>
        <w:t xml:space="preserve">、材料及安装的质保期</w:t>
      </w:r>
      <w:r>
        <w:rPr>
          <w:rFonts w:hint="eastAsia"/>
          <w:color w:val="000000" w:themeColor="text1"/>
          <w:szCs w:val="21"/>
          <w14:textFill>
            <w14:solidFill>
              <w14:schemeClr w14:val="tx1"/>
            </w14:solidFill>
          </w14:textFill>
        </w:rPr>
        <w:t xml:space="preserve">为1年。</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10.2 在质保期内，因卖方所供设备、材料制造质量或安装问题出现设备故障时，卖方在接买方通知后，2小时内响应，并在24小时内赶到买方现场，免费予以排除故障、修复或更换零部件。还应支付因更换所发生的运输、保险、安装、检测等有关的全部费用。</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10.4 质保期满后，如设备出现故障，卖方在接买方通知后，仍应在上述时间内响应、派人赶到买方现场，帮助排除故障、修复或更换零部件，需购买零部件时，酌情收取成本费。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11、技术资料</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按第四章采购需求中的要求提供相关资料。</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12、卖方的违约责任</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12.1 卖方未按合同规定的质量要求交货，买方有权拒收，由此造成的直接损失和间接损失由卖方赔偿。</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12.2 卖方逾期交付（包括整修、返工、补交或由买方提出更改、卖方承诺，但未在承诺的工期内完成等）应向买方偿付违约金，每逾期1天，按合同总价的万分之五偿付违约金</w:t>
      </w:r>
      <w:r>
        <w:rPr>
          <w:rFonts w:hint="eastAsia"/>
          <w:color w:val="000000" w:themeColor="text1"/>
          <w:szCs w:val="21"/>
          <w14:textFill>
            <w14:solidFill>
              <w14:schemeClr w14:val="tx1"/>
            </w14:solidFill>
          </w14:textFill>
        </w:rPr>
        <w:t xml:space="preserve">，最高不超过合同总金额的10%</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12.3 卖方不能交付或不能完成合同，卖方</w:t>
      </w:r>
      <w:r>
        <w:rPr>
          <w:rFonts w:hint="eastAsia"/>
          <w:color w:val="000000" w:themeColor="text1"/>
          <w:szCs w:val="21"/>
          <w14:textFill>
            <w14:solidFill>
              <w14:schemeClr w14:val="tx1"/>
            </w14:solidFill>
          </w14:textFill>
        </w:rPr>
        <w:t xml:space="preserve">应</w:t>
      </w:r>
      <w:r>
        <w:rPr>
          <w:color w:val="000000" w:themeColor="text1"/>
          <w:szCs w:val="21"/>
          <w14:textFill>
            <w14:solidFill>
              <w14:schemeClr w14:val="tx1"/>
            </w14:solidFill>
          </w14:textFill>
        </w:rPr>
        <w:t xml:space="preserve">返还买方已支付的</w:t>
      </w:r>
      <w:r>
        <w:rPr>
          <w:rFonts w:hint="eastAsia"/>
          <w:color w:val="000000" w:themeColor="text1"/>
          <w:szCs w:val="21"/>
          <w14:textFill>
            <w14:solidFill>
              <w14:schemeClr w14:val="tx1"/>
            </w14:solidFill>
          </w14:textFill>
        </w:rPr>
        <w:t xml:space="preserve">全部</w:t>
      </w:r>
      <w:r>
        <w:rPr>
          <w:color w:val="000000" w:themeColor="text1"/>
          <w:szCs w:val="21"/>
          <w14:textFill>
            <w14:solidFill>
              <w14:schemeClr w14:val="tx1"/>
            </w14:solidFill>
          </w14:textFill>
        </w:rPr>
        <w:t xml:space="preserve">货款</w:t>
      </w:r>
      <w:r>
        <w:rPr>
          <w:rFonts w:hint="eastAsia"/>
          <w:color w:val="000000" w:themeColor="text1"/>
          <w:szCs w:val="21"/>
          <w14:textFill>
            <w14:solidFill>
              <w14:schemeClr w14:val="tx1"/>
            </w14:solidFill>
          </w14:textFill>
        </w:rPr>
        <w:t xml:space="preserve">，并向买方偿付违约金，按合同总价的10%偿付违约金。</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12.4 本合同所有货物的制造及安装，都必须由卖方自己或投标文件中明确的单位承担，不得分包给其他单位。否则，买方有权按卖方不能交付或不能完成合同处理。</w:t>
      </w:r>
      <w:r/>
    </w:p>
    <w:p>
      <w:pPr>
        <w:ind w:firstLine="4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12.5</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卖方</w:t>
      </w:r>
      <w:r>
        <w:rPr>
          <w:color w:val="000000" w:themeColor="text1"/>
          <w:szCs w:val="21"/>
          <w14:textFill>
            <w14:solidFill>
              <w14:schemeClr w14:val="tx1"/>
            </w14:solidFill>
          </w14:textFill>
        </w:rPr>
        <w:t xml:space="preserve">派驻本项目的项目负责人、技术负责人必须与投标文件所报人员保持一致，且在岗履职人员与现场实际负责人相符。</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不定期进行在岗抽查，每发现一次项目负责人未经</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同意不在施工现场的，</w:t>
      </w:r>
      <w:r>
        <w:rPr>
          <w:rFonts w:hint="eastAsia"/>
          <w:color w:val="000000" w:themeColor="text1"/>
          <w:szCs w:val="21"/>
          <w14:textFill>
            <w14:solidFill>
              <w14:schemeClr w14:val="tx1"/>
            </w14:solidFill>
          </w14:textFill>
        </w:rPr>
        <w:t xml:space="preserve">卖方</w:t>
      </w:r>
      <w:r>
        <w:rPr>
          <w:color w:val="000000" w:themeColor="text1"/>
          <w:szCs w:val="21"/>
          <w14:textFill>
            <w14:solidFill>
              <w14:schemeClr w14:val="tx1"/>
            </w14:solidFill>
          </w14:textFill>
        </w:rPr>
        <w:t xml:space="preserve">应向</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支付违约金，违约金按本项目合同总价款的万分之</w:t>
      </w:r>
      <w:r>
        <w:rPr>
          <w:rFonts w:hint="eastAsia"/>
          <w:color w:val="000000" w:themeColor="text1"/>
          <w:szCs w:val="21"/>
          <w14:textFill>
            <w14:solidFill>
              <w14:schemeClr w14:val="tx1"/>
            </w14:solidFill>
          </w14:textFill>
        </w:rPr>
        <w:t xml:space="preserve">五</w:t>
      </w:r>
      <w:r>
        <w:rPr>
          <w:color w:val="000000" w:themeColor="text1"/>
          <w:szCs w:val="21"/>
          <w14:textFill>
            <w14:solidFill>
              <w14:schemeClr w14:val="tx1"/>
            </w14:solidFill>
          </w14:textFill>
        </w:rPr>
        <w:t xml:space="preserve">计取；技术负责人擅自脱岗参照同等标准执行。违约金</w:t>
      </w:r>
      <w:r>
        <w:rPr>
          <w:rFonts w:hint="eastAsia"/>
          <w:color w:val="000000" w:themeColor="text1"/>
          <w:szCs w:val="21"/>
          <w14:textFill>
            <w14:solidFill>
              <w14:schemeClr w14:val="tx1"/>
            </w14:solidFill>
          </w14:textFill>
        </w:rPr>
        <w:t xml:space="preserve">买方</w:t>
      </w:r>
      <w:r>
        <w:rPr>
          <w:color w:val="000000" w:themeColor="text1"/>
          <w:szCs w:val="21"/>
          <w14:textFill>
            <w14:solidFill>
              <w14:schemeClr w14:val="tx1"/>
            </w14:solidFill>
          </w14:textFill>
        </w:rPr>
        <w:t xml:space="preserve">有权直接从</w:t>
      </w:r>
      <w:r>
        <w:rPr>
          <w:rFonts w:hint="eastAsia"/>
          <w:color w:val="000000" w:themeColor="text1"/>
          <w:szCs w:val="21"/>
          <w14:textFill>
            <w14:solidFill>
              <w14:schemeClr w14:val="tx1"/>
            </w14:solidFill>
          </w14:textFill>
        </w:rPr>
        <w:t xml:space="preserve">合同款</w:t>
      </w:r>
      <w:r>
        <w:rPr>
          <w:color w:val="000000" w:themeColor="text1"/>
          <w:szCs w:val="21"/>
          <w14:textFill>
            <w14:solidFill>
              <w14:schemeClr w14:val="tx1"/>
            </w14:solidFill>
          </w14:textFill>
        </w:rPr>
        <w:t xml:space="preserve">中予以扣除。</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12.</w:t>
      </w: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 卖方履行义务不符合合同约定时，买方将扣减10%尾款。</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13、买方的违约责任：买方未按合同规定的时间和要求向卖方提供相关安装条件等，卖方交付时间顺延</w:t>
      </w:r>
      <w:r>
        <w:rPr>
          <w:rFonts w:hint="eastAsia"/>
          <w:color w:val="000000" w:themeColor="text1"/>
          <w:szCs w:val="21"/>
          <w14:textFill>
            <w14:solidFill>
              <w14:schemeClr w14:val="tx1"/>
            </w14:solidFill>
          </w14:textFill>
        </w:rPr>
        <w:t xml:space="preserve">，且如因买方原因最终导致工期延误，</w:t>
      </w:r>
      <w:r>
        <w:rPr>
          <w:color w:val="000000" w:themeColor="text1"/>
          <w:szCs w:val="21"/>
          <w14:textFill>
            <w14:solidFill>
              <w14:schemeClr w14:val="tx1"/>
            </w14:solidFill>
          </w14:textFill>
        </w:rPr>
        <w:t xml:space="preserve">应向</w:t>
      </w:r>
      <w:r>
        <w:rPr>
          <w:rFonts w:hint="eastAsia"/>
          <w:color w:val="000000" w:themeColor="text1"/>
          <w:szCs w:val="21"/>
          <w14:textFill>
            <w14:solidFill>
              <w14:schemeClr w14:val="tx1"/>
            </w14:solidFill>
          </w14:textFill>
        </w:rPr>
        <w:t xml:space="preserve">卖方</w:t>
      </w:r>
      <w:r>
        <w:rPr>
          <w:color w:val="000000" w:themeColor="text1"/>
          <w:szCs w:val="21"/>
          <w14:textFill>
            <w14:solidFill>
              <w14:schemeClr w14:val="tx1"/>
            </w14:solidFill>
          </w14:textFill>
        </w:rPr>
        <w:t xml:space="preserve">偿付违约金，每逾期1天，按合同总价的万分之五偿付违约金</w:t>
      </w:r>
      <w:r>
        <w:rPr>
          <w:rFonts w:hint="eastAsia"/>
          <w:color w:val="000000" w:themeColor="text1"/>
          <w:szCs w:val="21"/>
          <w14:textFill>
            <w14:solidFill>
              <w14:schemeClr w14:val="tx1"/>
            </w14:solidFill>
          </w14:textFill>
        </w:rPr>
        <w:t xml:space="preserve">，最高不超过合同总金额的10%</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14、卖方供给买方的设备、材料及卖方自己的施工用具，进入买方工地现场后的保管，由卖方负责；卖方在买方工地现场安装、调试、验收人员的安全、保险、食宿、交通由卖方负责。</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15、卖方在设备安装、调试、验收过程中，买方提供下列条件和配合，超出下列范围的由卖方自理：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（1）提供符合设备安装要求的场地及土建基础（含基础验收、预埋件、预留孔洞），并保证施工条件具备；</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（2）在设备安装点附近提供施工用水、用电接驳点（电源接口、水源接口）；</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（3）负责协调卖方与现场其他施工单位、土建单位的交叉作业关系，为安装、调试提供必要的施工便利；</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（4）提供设备及材料的临时存放场地，保管责任由卖方承担；</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（5）指派专人负责现场接洽与配合，并提供与设备安装、调试、验收相关的技术资料；</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（6）按合同约定组织验收，提供设备试运行所需的条件（如被测介质、运行工况等）。</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16、买方使用卖方提供的设备，当受到第三方提出的侵犯其专利权、商标权或工业设计权的起诉时，一切后果由卖方负责。</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17、合同的生效：本合同一式六份，自买卖双方签字、盖章之日起生效。招标文件和投标文件都是合同不可分割的部分，与合同具有同等法律效力，如有冲突，由买方负责解释。</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18、未尽事宜、双方协商解决。如协商不能达成一致，则任何一方均可将争议提交签约地人民法院诉讼解决。</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买方：                                卖方：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（盖章）                             （盖章）</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授权代表：                            授权代表：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电   话：                             电   话：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传   真：                             传   真：</w:t>
      </w:r>
      <w:r/>
    </w:p>
    <w:p>
      <w:pPr>
        <w:ind w:firstLine="420"/>
        <w:spacing w:line="360" w:lineRule="auto"/>
        <w:rPr>
          <w:color w:val="000000" w:themeColor="text1"/>
          <w14:textFill>
            <w14:solidFill>
              <w14:schemeClr w14:val="tx1"/>
            </w14:solidFill>
          </w14:textFill>
        </w:rPr>
      </w:pPr>
      <w:r>
        <w:rPr>
          <w:color w:val="000000" w:themeColor="text1"/>
          <w:szCs w:val="21"/>
          <w14:textFill>
            <w14:solidFill>
              <w14:schemeClr w14:val="tx1"/>
            </w14:solidFill>
          </w14:textFill>
        </w:rPr>
        <w:t xml:space="preserve">地   址：                             地   址：</w:t>
      </w:r>
      <w:r>
        <w:rPr>
          <w:color w:val="000000" w:themeColor="text1"/>
          <w14:textFill>
            <w14:solidFill>
              <w14:schemeClr w14:val="tx1"/>
            </w14:solidFill>
          </w14:textFill>
        </w:rPr>
        <w:br w:type="page" w:clear="all"/>
      </w:r>
      <w:r/>
    </w:p>
    <w:p>
      <w:pPr>
        <w:jc w:val="center"/>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廉政合同</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w:t>
      </w:r>
      <w:r>
        <w:rPr>
          <w:rFonts w:ascii="宋体" w:hAnsi="宋体" w:cs="宋体"/>
          <w:color w:val="000000" w:themeColor="text1"/>
          <w:szCs w:val="22"/>
          <w:u w:val="single"/>
          <w14:textFill>
            <w14:solidFill>
              <w14:schemeClr w14:val="tx1"/>
            </w14:solidFill>
          </w14:textFill>
        </w:rPr>
        <w:t xml:space="preserve">江苏省水文水资源勘测局</w:t>
      </w:r>
      <w:r>
        <w:rPr>
          <w:rFonts w:hint="eastAsia" w:ascii="宋体" w:hAnsi="宋体" w:cs="宋体"/>
          <w:color w:val="000000" w:themeColor="text1"/>
          <w:szCs w:val="22"/>
          <w:u w:val="single"/>
          <w14:textFill>
            <w14:solidFill>
              <w14:schemeClr w14:val="tx1"/>
            </w14:solidFill>
          </w14:textFill>
        </w:rPr>
        <w:t xml:space="preserve">南京分局</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为贯彻落实党中央、国务院《关于实行党风廉政建设责任制的规定》，进一步加强项目实施过程的党风廉政建设，经甲、乙双方协商一致，自愿签订以下廉政合同。</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第一条</w:t>
      </w:r>
      <w:r>
        <w:rPr>
          <w:rFonts w:hint="eastAsia" w:ascii="宋体" w:hAnsi="宋体" w:cs="宋体"/>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甲、乙双方的权利和义务</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（一）严格遵守党和国家有关法规及党风廉政建设各项规定，严格执行中央八项规定和省委十项规定精神。</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（二）严格执行</w:t>
      </w:r>
      <w:r>
        <w:rPr>
          <w:rFonts w:hint="eastAsia" w:ascii="宋体" w:hAnsi="宋体" w:cs="宋体"/>
          <w:color w:val="000000" w:themeColor="text1"/>
          <w:szCs w:val="22"/>
          <w:u w:val="single"/>
          <w14:textFill>
            <w14:solidFill>
              <w14:schemeClr w14:val="tx1"/>
            </w14:solidFill>
          </w14:textFill>
        </w:rPr>
        <w:t xml:space="preserve">东山站监测能力提升项目</w:t>
      </w:r>
      <w:r>
        <w:rPr>
          <w:rFonts w:ascii="宋体" w:hAnsi="宋体" w:cs="宋体"/>
          <w:bCs/>
          <w:color w:val="000000" w:themeColor="text1"/>
          <w:szCs w:val="22"/>
          <w:u w:val="single"/>
          <w14:textFill>
            <w14:solidFill>
              <w14:schemeClr w14:val="tx1"/>
            </w14:solidFill>
          </w14:textFill>
        </w:rPr>
        <w:t xml:space="preserve">合同</w:t>
      </w:r>
      <w:r>
        <w:rPr>
          <w:rFonts w:ascii="宋体" w:hAnsi="宋体" w:cs="宋体"/>
          <w:b/>
          <w:color w:val="000000" w:themeColor="text1"/>
          <w:szCs w:val="22"/>
          <w:u w:val="single"/>
          <w14:textFill>
            <w14:solidFill>
              <w14:schemeClr w14:val="tx1"/>
            </w14:solidFill>
          </w14:textFill>
        </w:rPr>
        <w:t xml:space="preserve">（项目编号：）</w:t>
      </w:r>
      <w:r>
        <w:rPr>
          <w:rFonts w:ascii="宋体" w:hAnsi="宋体" w:cs="宋体"/>
          <w:color w:val="000000" w:themeColor="text1"/>
          <w:szCs w:val="22"/>
          <w14:textFill>
            <w14:solidFill>
              <w14:schemeClr w14:val="tx1"/>
            </w14:solidFill>
          </w14:textFill>
        </w:rPr>
        <w:t xml:space="preserve">各项规定，自觉按合同办事。</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（三）双方的业务活动坚持公开、公正、公平、诚信的原则（法律认定的商业秘密和合同文件另有规定除外），严禁损害国家和集体利益、违反工程建设管理规章制度。</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（四）建立健全并严格执行党风廉政建设各项制度，开展反腐倡廉宣传教育，加强对本方工作人员的监督检查。</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第二条</w:t>
      </w:r>
      <w:r>
        <w:rPr>
          <w:rFonts w:hint="eastAsia" w:ascii="宋体" w:hAnsi="宋体" w:cs="宋体"/>
          <w:b/>
          <w:color w:val="000000" w:themeColor="text1"/>
          <w:szCs w:val="22"/>
          <w14:textFill>
            <w14:solidFill>
              <w14:schemeClr w14:val="tx1"/>
            </w14:solidFill>
          </w14:textFill>
        </w:rPr>
        <w:t xml:space="preserve">  </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在廉政建设方面的义务</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（一）</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及其工作人员不准在</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处安插亲友及介绍销售设备、材料，不得指定需购物资设备的销售单位或部门；不得违反规定干预</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的项目分包；不得挤占、截留、挪用合同款或超进度拨付合同款；严禁私设小金库。 </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（二）</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及其工作人员不准利用职务之便索要或接受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的现金、有价证券、支付凭证及收受干股，或以赌博等交易形式非法收受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财物。</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（三）</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及其工作人员不准让</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报销应由</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或个人支付的费用；不准利用职务便利为</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谋取不当利益。</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（四）</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工作人员不准要求或者接受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可能影响公正执行公务的宴请。</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（五）</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及其工作人员不准要求或者接受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为其住房装修、婚丧嫁娶、特定关系人（近亲属及其它共同利益关系的人）国内和出国（境）旅游提供方便。</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（六）</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及其工作人员不准利用职务之便为</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谋取利益之前或之后，约定在其离职后收受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财物，并在离职后收受。</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（七）</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及其工作人员不准要求或者收受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住房、汽车等物品，不准收受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为其以明显低于市场价购置住房或以劣换优、以借为名占用</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住房。</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（八）</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及其工作人员不准要求或者接受</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以给特定关系人安排工作为名，使特定关系人不实际工作却获取薪酬；不准违反规定从事与</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实施项目有关的材料设备供应、分包等经济活动。</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（九）</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及其工作人员不准在与</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有直接利害关系的企事业单位兼职、兼职取酬、投资入股、经商办企业以及从事有偿中介活动。</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（十）</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或工作人员不得利用职务便利为</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谋取利益，由</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出资 “合作”开办公司或进行其他合作投资，或委托</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投资证券、期货或由其他委托理财名义，未实际出资并获取“收益”，或虽然出资，但获取“利益”明显高于出资应得收益；或授意</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以本规定所列形式，将有关财物给特定关系人。</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第三条</w:t>
      </w:r>
      <w:r>
        <w:rPr>
          <w:rFonts w:hint="eastAsia" w:ascii="宋体" w:hAnsi="宋体" w:cs="宋体"/>
          <w:b/>
          <w:color w:val="000000" w:themeColor="text1"/>
          <w:szCs w:val="22"/>
          <w14:textFill>
            <w14:solidFill>
              <w14:schemeClr w14:val="tx1"/>
            </w14:solidFill>
          </w14:textFill>
        </w:rPr>
        <w:t xml:space="preserve">  </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在廉政建设方面义务</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（一）</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不准以任何形式向</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及其工作人员馈赠现金、有价证券、支付凭证及赠送干股，或以赌博等交易形式非法赠送</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财物。</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（二）</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不准以任何名义为</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及其工作人员报销应由</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或个人支付的费用。</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（三）</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不准以任何理由邀请</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工作人员参加对承接的项目有影响的宴请及娱乐活动。</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（四）</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不准为</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工作人员住房装修、婚丧嫁娶、特定关系人国内和出国（境）旅游提供方便；不准为</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工作人员的特定关系人以安排工作为名，使其不实际工作却获取薪酬。</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（五）</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不准赠送</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工作人员住房、汽车等物品，不准为其以明显低于市场价购置住房或以劣换优、以借为名赠送住房。</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（六）</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不准违反规定将承建的施工项目分包或非法转包。</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第四条</w:t>
      </w:r>
      <w:r>
        <w:rPr>
          <w:rFonts w:hint="eastAsia" w:ascii="宋体" w:hAnsi="宋体" w:cs="宋体"/>
          <w:b/>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违约责任</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（一）</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若违反本《廉政合同》有关规定的，对违纪违规人员，由</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主管部门依据有关规定查处，构成犯罪的移交司法机关处理，给</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造成的损失，按有关规定予以赔偿。</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（二）</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若违反本《廉政合同》有关规定的，将按</w:t>
      </w:r>
      <w:r>
        <w:rPr>
          <w:rFonts w:hint="eastAsia" w:ascii="宋体" w:hAnsi="宋体" w:cs="宋体"/>
          <w:color w:val="000000" w:themeColor="text1"/>
          <w:szCs w:val="22"/>
          <w14:textFill>
            <w14:solidFill>
              <w14:schemeClr w14:val="tx1"/>
            </w14:solidFill>
          </w14:textFill>
        </w:rPr>
        <w:t xml:space="preserve">江苏</w:t>
      </w:r>
      <w:r>
        <w:rPr>
          <w:rFonts w:ascii="宋体" w:hAnsi="宋体" w:cs="宋体"/>
          <w:color w:val="000000" w:themeColor="text1"/>
          <w:szCs w:val="22"/>
          <w14:textFill>
            <w14:solidFill>
              <w14:schemeClr w14:val="tx1"/>
            </w14:solidFill>
          </w14:textFill>
        </w:rPr>
        <w:t xml:space="preserve">省水利厅信用考核管理有关规定进行查处，并将有关不良行为记录到企业信用档案。对违纪违规人员，由</w:t>
      </w:r>
      <w:r>
        <w:rPr>
          <w:rFonts w:hint="eastAsia" w:ascii="宋体" w:hAnsi="宋体" w:cs="宋体"/>
          <w:color w:val="000000" w:themeColor="text1"/>
          <w:szCs w:val="22"/>
          <w14:textFill>
            <w14:solidFill>
              <w14:schemeClr w14:val="tx1"/>
            </w14:solidFill>
          </w14:textFill>
        </w:rPr>
        <w:t xml:space="preserve">卖方</w:t>
      </w:r>
      <w:r>
        <w:rPr>
          <w:rFonts w:ascii="宋体" w:hAnsi="宋体" w:cs="宋体"/>
          <w:color w:val="000000" w:themeColor="text1"/>
          <w:szCs w:val="22"/>
          <w14:textFill>
            <w14:solidFill>
              <w14:schemeClr w14:val="tx1"/>
            </w14:solidFill>
          </w14:textFill>
        </w:rPr>
        <w:t xml:space="preserve">主管部门或行业管理部门依据有关规定查处，构成犯罪的移交司法机关处理，给</w:t>
      </w:r>
      <w:r>
        <w:rPr>
          <w:rFonts w:hint="eastAsia" w:ascii="宋体" w:hAnsi="宋体" w:cs="宋体"/>
          <w:color w:val="000000" w:themeColor="text1"/>
          <w:szCs w:val="22"/>
          <w14:textFill>
            <w14:solidFill>
              <w14:schemeClr w14:val="tx1"/>
            </w14:solidFill>
          </w14:textFill>
        </w:rPr>
        <w:t xml:space="preserve">买方</w:t>
      </w:r>
      <w:r>
        <w:rPr>
          <w:rFonts w:ascii="宋体" w:hAnsi="宋体" w:cs="宋体"/>
          <w:color w:val="000000" w:themeColor="text1"/>
          <w:szCs w:val="22"/>
          <w14:textFill>
            <w14:solidFill>
              <w14:schemeClr w14:val="tx1"/>
            </w14:solidFill>
          </w14:textFill>
        </w:rPr>
        <w:t xml:space="preserve">造成的损失，按有关规定予以赔偿。</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第五条</w:t>
      </w:r>
      <w:r>
        <w:rPr>
          <w:rFonts w:hint="eastAsia" w:ascii="宋体" w:hAnsi="宋体" w:cs="宋体"/>
          <w:b/>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督查单位</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双方约定：自愿接受</w:t>
      </w:r>
      <w:r>
        <w:rPr>
          <w:rFonts w:hint="eastAsia" w:ascii="宋体" w:hAnsi="宋体" w:cs="宋体"/>
          <w:color w:val="000000" w:themeColor="text1"/>
          <w:szCs w:val="22"/>
          <w14:textFill>
            <w14:solidFill>
              <w14:schemeClr w14:val="tx1"/>
            </w14:solidFill>
          </w14:textFill>
        </w:rPr>
        <w:t xml:space="preserve">江苏省水利厅及</w:t>
      </w:r>
      <w:r>
        <w:rPr>
          <w:rFonts w:ascii="宋体" w:hAnsi="宋体" w:cs="宋体"/>
          <w:color w:val="000000" w:themeColor="text1"/>
          <w:szCs w:val="22"/>
          <w:u w:val="single"/>
          <w14:textFill>
            <w14:solidFill>
              <w14:schemeClr w14:val="tx1"/>
            </w14:solidFill>
          </w14:textFill>
        </w:rPr>
        <w:t xml:space="preserve">江苏省水文水资源勘测局纪律监督室</w:t>
      </w:r>
      <w:r>
        <w:rPr>
          <w:rFonts w:ascii="宋体" w:hAnsi="宋体" w:cs="宋体"/>
          <w:color w:val="000000" w:themeColor="text1"/>
          <w:szCs w:val="22"/>
          <w14:textFill>
            <w14:solidFill>
              <w14:schemeClr w14:val="tx1"/>
            </w14:solidFill>
          </w14:textFill>
        </w:rPr>
        <w:t xml:space="preserve">对合同执行情况的监督检查，甲、乙双方应积极配合督查单位的检查，包括提供有关资料和财务账册凭证，接受本合同规定范围内的裁定意见。</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第六条</w:t>
      </w:r>
      <w:r>
        <w:rPr>
          <w:rFonts w:hint="eastAsia" w:ascii="宋体" w:hAnsi="宋体" w:cs="宋体"/>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检查方式</w:t>
      </w:r>
      <w:r/>
    </w:p>
    <w:p>
      <w:pPr>
        <w:ind w:firstLine="420"/>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第七条</w:t>
      </w:r>
      <w:r>
        <w:rPr>
          <w:rFonts w:hint="eastAsia" w:ascii="宋体" w:hAnsi="宋体" w:cs="宋体"/>
          <w:b/>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本合同有效期为自合同签订之日起至该项目验收后止</w:t>
      </w:r>
      <w:r>
        <w:rPr>
          <w:rFonts w:ascii="宋体" w:hAnsi="宋体" w:cs="宋体"/>
          <w:b/>
          <w:color w:val="000000" w:themeColor="text1"/>
          <w:szCs w:val="22"/>
          <w14:textFill>
            <w14:solidFill>
              <w14:schemeClr w14:val="tx1"/>
            </w14:solidFill>
          </w14:textFill>
        </w:rPr>
        <w:t xml:space="preserve">。</w:t>
      </w:r>
      <w:r/>
    </w:p>
    <w:p>
      <w:pPr>
        <w:ind w:firstLine="422"/>
        <w:spacing w:line="519" w:lineRule="atLeast"/>
        <w:widowControl/>
        <w:rPr>
          <w:rFonts w:ascii="Arial" w:hAnsi="Arial" w:eastAsia="Arial"/>
          <w:color w:val="000000" w:themeColor="text1"/>
          <w:szCs w:val="22"/>
          <w14:textFill>
            <w14:solidFill>
              <w14:schemeClr w14:val="tx1"/>
            </w14:solidFill>
          </w14:textFill>
        </w:rPr>
      </w:pPr>
      <w:r>
        <w:rPr>
          <w:rFonts w:ascii="宋体" w:hAnsi="宋体" w:cs="宋体"/>
          <w:b/>
          <w:color w:val="000000" w:themeColor="text1"/>
          <w:szCs w:val="22"/>
          <w14:textFill>
            <w14:solidFill>
              <w14:schemeClr w14:val="tx1"/>
            </w14:solidFill>
          </w14:textFill>
        </w:rPr>
        <w:t xml:space="preserve">第八条</w:t>
      </w:r>
      <w:r>
        <w:rPr>
          <w:rFonts w:hint="eastAsia" w:ascii="宋体" w:hAnsi="宋体" w:cs="宋体"/>
          <w:color w:val="000000" w:themeColor="text1"/>
          <w:szCs w:val="22"/>
          <w14:textFill>
            <w14:solidFill>
              <w14:schemeClr w14:val="tx1"/>
            </w14:solidFill>
          </w14:textFill>
        </w:rPr>
        <w:t xml:space="preserve">  </w:t>
      </w:r>
      <w:r>
        <w:rPr>
          <w:rFonts w:ascii="宋体" w:hAnsi="宋体" w:cs="宋体"/>
          <w:color w:val="000000" w:themeColor="text1"/>
          <w:szCs w:val="22"/>
          <w14:textFill>
            <w14:solidFill>
              <w14:schemeClr w14:val="tx1"/>
            </w14:solidFill>
          </w14:textFill>
        </w:rPr>
        <w:t xml:space="preserve">本合同一式</w:t>
      </w:r>
      <w:r>
        <w:rPr>
          <w:rFonts w:ascii="宋体" w:hAnsi="宋体" w:cs="宋体"/>
          <w:b/>
          <w:color w:val="000000" w:themeColor="text1"/>
          <w:szCs w:val="22"/>
          <w:u w:val="single"/>
          <w14:textFill>
            <w14:solidFill>
              <w14:schemeClr w14:val="tx1"/>
            </w14:solidFill>
          </w14:textFill>
        </w:rPr>
        <w:t xml:space="preserve">叁</w:t>
      </w:r>
      <w:r>
        <w:rPr>
          <w:rFonts w:ascii="宋体" w:hAnsi="宋体" w:cs="宋体"/>
          <w:color w:val="000000" w:themeColor="text1"/>
          <w:szCs w:val="22"/>
          <w14:textFill>
            <w14:solidFill>
              <w14:schemeClr w14:val="tx1"/>
            </w14:solidFill>
          </w14:textFill>
        </w:rPr>
        <w:t xml:space="preserve">份，承、发包双方各执</w:t>
      </w:r>
      <w:r>
        <w:rPr>
          <w:rFonts w:ascii="宋体" w:hAnsi="宋体" w:cs="宋体"/>
          <w:b/>
          <w:color w:val="000000" w:themeColor="text1"/>
          <w:szCs w:val="22"/>
          <w:u w:val="single"/>
          <w14:textFill>
            <w14:solidFill>
              <w14:schemeClr w14:val="tx1"/>
            </w14:solidFill>
          </w14:textFill>
        </w:rPr>
        <w:t xml:space="preserve">壹</w:t>
      </w:r>
      <w:r>
        <w:rPr>
          <w:rFonts w:ascii="宋体" w:hAnsi="宋体" w:cs="宋体"/>
          <w:color w:val="000000" w:themeColor="text1"/>
          <w:szCs w:val="22"/>
          <w14:textFill>
            <w14:solidFill>
              <w14:schemeClr w14:val="tx1"/>
            </w14:solidFill>
          </w14:textFill>
        </w:rPr>
        <w:t xml:space="preserve">份，送交督查单位</w:t>
      </w:r>
      <w:r>
        <w:rPr>
          <w:rFonts w:ascii="宋体" w:hAnsi="宋体" w:cs="宋体"/>
          <w:b/>
          <w:color w:val="000000" w:themeColor="text1"/>
          <w:szCs w:val="22"/>
          <w:u w:val="single"/>
          <w14:textFill>
            <w14:solidFill>
              <w14:schemeClr w14:val="tx1"/>
            </w14:solidFill>
          </w14:textFill>
        </w:rPr>
        <w:t xml:space="preserve">壹</w:t>
      </w:r>
      <w:r>
        <w:rPr>
          <w:rFonts w:ascii="宋体" w:hAnsi="宋体" w:cs="宋体"/>
          <w:color w:val="000000" w:themeColor="text1"/>
          <w:szCs w:val="22"/>
          <w14:textFill>
            <w14:solidFill>
              <w14:schemeClr w14:val="tx1"/>
            </w14:solidFill>
          </w14:textFill>
        </w:rPr>
        <w:t xml:space="preserve">份。</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买方：(盖章)                      卖方：(盖章)                </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法定代表人：(签名)                法定代表人：(签名)</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或授权代理人：(签名)              或授权代理人：(签名)</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单位地址：                      单位地址：</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联系电话：                      联系电话：</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督查单位：(盖章)</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代表人：(签名)</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单位地址：</w:t>
      </w:r>
      <w:r/>
    </w:p>
    <w:p>
      <w:pPr>
        <w:ind w:firstLine="422"/>
        <w:spacing w:line="519" w:lineRule="atLeast"/>
        <w:widowControl/>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t xml:space="preserve">联系电话：</w:t>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jc w:val="right"/>
        <w:rPr>
          <w:color w:val="000000" w:themeColor="text1"/>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签订日期：   年   月   日</w:t>
      </w:r>
      <w:r>
        <w:rPr>
          <w:color w:val="000000" w:themeColor="text1"/>
          <w14:textFill>
            <w14:solidFill>
              <w14:schemeClr w14:val="tx1"/>
            </w14:solidFill>
          </w14:textFill>
        </w:rPr>
        <w:br w:type="page" w:clear="all"/>
      </w:r>
      <w:r/>
    </w:p>
    <w:p>
      <w:pPr>
        <w:ind w:firstLine="420"/>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工程安全生产合同</w:t>
      </w:r>
      <w:r/>
    </w:p>
    <w:p>
      <w:pPr>
        <w:ind w:firstLine="420"/>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（买方与卖方）</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买方（全称）：江苏省水文水资源勘测局南京分局（以下简称“</w:t>
      </w: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卖方（全称）：（以下简称“</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为在合同的实施过程中创造安全、高效的施工环境，切实搞好本项目的安全管理工作，特此签订安全生产合同。具体如下：</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一、</w:t>
      </w: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职责</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1．严格遵守国家有关安全生产的法律法规，认真执行合同中的有关安全要求。</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2．按照“安全第一、预防为主”和坚持“管生产必需管安全”的原则进行安全生产管理，做到生产与安全工作同时计划、布置、检查、总结和评比。</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3．定期召开安全生产协调会，及时传达中央及地方有关安全生产的精神。</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4．组织对</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施工现场安全生产检查，建立安全生产责任制网络、汇总重要危险源、监督</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及时处理发现的各种安全隐患。</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二、</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职责</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1．严格遵守国家有关安全生产的法律法规、有关安全生产的规定，认真执行合同中的有关安全要求，接受</w:t>
      </w: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对安全生产工作的指导。</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3．建立健全安全生产责任制网络。从派往</w:t>
      </w:r>
      <w:r>
        <w:rPr>
          <w:color w:val="000000" w:themeColor="text1"/>
          <w14:textFill>
            <w14:solidFill>
              <w14:schemeClr w14:val="tx1"/>
            </w14:solidFill>
          </w14:textFill>
        </w:rPr>
        <w:t xml:space="preserve">项目实施的项目负责人到生产工人（包括临时雇请的民工）的安全生产管理系统必须做到纵向到底，一环不漏；各职能部门、人员的安全生产责任制做到横向到边，人人有责。卖方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在任何时侯都应采取各种合理的预防措施，防止其人员发生任何违法、违禁、暴力、违规或妨碍治安的行为。</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6．加强施工中交通运输安全管理，各种运输机械等需划定运输路线行驶。</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7．对于易燃易爆的材料除应专门有效封闭、妥善保管之外，还应配备有足够的消防设施，所有施工人员都应熟悉消防设备的性能和使用方法。</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10．施工现场必须具有相关的安全标志牌。</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11．建立主要危险源备案制度，要明确潜在隐患、防范措施和落实责任人。</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12．</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三、违约责任</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如因</w:t>
      </w: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违约造成安全事故，将报请有关部门依法追究责任。</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如因</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违约造成安全事故，将报请有关部门依法追究责任。</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本合同一式二份，由双方法定代表人或其授权的代理人签署和加盖公章后生效，全部工程竣工验收后失效。</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买方</w:t>
      </w:r>
      <w:r>
        <w:rPr>
          <w:color w:val="000000" w:themeColor="text1"/>
          <w14:textFill>
            <w14:solidFill>
              <w14:schemeClr w14:val="tx1"/>
            </w14:solidFill>
          </w14:textFill>
        </w:rPr>
        <w:t xml:space="preserve">：(盖章)                      </w:t>
      </w:r>
      <w:r>
        <w:rPr>
          <w:rFonts w:hint="eastAsia"/>
          <w:color w:val="000000" w:themeColor="text1"/>
          <w14:textFill>
            <w14:solidFill>
              <w14:schemeClr w14:val="tx1"/>
            </w14:solidFill>
          </w14:textFill>
        </w:rPr>
        <w:t xml:space="preserve">卖方</w:t>
      </w:r>
      <w:r>
        <w:rPr>
          <w:color w:val="000000" w:themeColor="text1"/>
          <w14:textFill>
            <w14:solidFill>
              <w14:schemeClr w14:val="tx1"/>
            </w14:solidFill>
          </w14:textFill>
        </w:rPr>
        <w:t xml:space="preserve">：(盖章)                </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法定代表人：(签名)                法定代表人：(签名)</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或授权代理人：(签名)              或授权代理人：(签名)</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单位地址：                      单位地址：</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联系电话：                      联系电话：</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日    期：                      日    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23"/>
      <w:r/>
      <w:bookmarkEnd w:id="24"/>
      <w:r/>
      <w:bookmarkEnd w:id="25"/>
      <w:r/>
      <w:r/>
    </w:p>
    <w:p>
      <w:pPr>
        <w:pStyle w:val="931"/>
        <w:numPr>
          <w:ilvl w:val="0"/>
          <w:numId w:val="0"/>
        </w:numPr>
        <w:jc w:val="center"/>
        <w:spacing w:before="240" w:after="240"/>
        <w:rPr>
          <w:rFonts w:ascii="宋体" w:hAnsi="宋体" w:cs="宋体"/>
          <w:b w:val="0"/>
          <w:bCs/>
          <w:color w:val="000000" w:themeColor="text1"/>
          <w:szCs w:val="28"/>
          <w14:textFill>
            <w14:solidFill>
              <w14:schemeClr w14:val="tx1"/>
            </w14:solidFill>
          </w14:textFill>
        </w:rPr>
      </w:pPr>
      <w:r/>
      <w:bookmarkStart w:id="27" w:name="_Toc504573082"/>
      <w:r/>
      <w:bookmarkStart w:id="28" w:name="_Toc534273797"/>
      <w:r/>
      <w:bookmarkStart w:id="29" w:name="_Toc534273798"/>
      <w:r/>
      <w:bookmarkStart w:id="30" w:name="_Toc534273675"/>
      <w:r>
        <w:rPr>
          <w:rFonts w:hint="eastAsia" w:ascii="宋体" w:hAnsi="宋体" w:cs="宋体"/>
          <w:b w:val="0"/>
          <w:bCs/>
          <w:color w:val="000000" w:themeColor="text1"/>
          <w:sz w:val="32"/>
          <w:szCs w:val="32"/>
          <w14:textFill>
            <w14:solidFill>
              <w14:schemeClr w14:val="tx1"/>
            </w14:solidFill>
          </w14:textFill>
        </w:rPr>
        <w:br w:type="page" w:clear="all"/>
      </w:r>
      <w:bookmarkStart w:id="31" w:name="_Toc149805860"/>
      <w:r/>
      <w:bookmarkStart w:id="32" w:name="_Toc28015"/>
      <w:r>
        <w:rPr>
          <w:rFonts w:hint="eastAsia" w:ascii="宋体" w:hAnsi="宋体" w:cs="宋体"/>
          <w:b w:val="0"/>
          <w:bCs/>
          <w:color w:val="000000" w:themeColor="text1"/>
          <w:sz w:val="32"/>
          <w:szCs w:val="32"/>
          <w:lang w:val="zh-CN"/>
          <w14:textFill>
            <w14:solidFill>
              <w14:schemeClr w14:val="tx1"/>
            </w14:solidFill>
          </w14:textFill>
        </w:rPr>
        <w:t xml:space="preserve">第六章</w:t>
      </w:r>
      <w:r>
        <w:rPr>
          <w:rFonts w:hint="eastAsia" w:ascii="宋体" w:hAnsi="宋体" w:cs="宋体"/>
          <w:b w:val="0"/>
          <w:bCs/>
          <w:color w:val="000000" w:themeColor="text1"/>
          <w:sz w:val="32"/>
          <w:szCs w:val="32"/>
          <w14:textFill>
            <w14:solidFill>
              <w14:schemeClr w14:val="tx1"/>
            </w14:solidFill>
          </w14:textFill>
        </w:rPr>
        <w:t xml:space="preserve">  </w:t>
      </w:r>
      <w:r>
        <w:rPr>
          <w:rFonts w:hint="eastAsia" w:ascii="宋体" w:hAnsi="宋体" w:cs="宋体"/>
          <w:b w:val="0"/>
          <w:bCs/>
          <w:color w:val="000000" w:themeColor="text1"/>
          <w:sz w:val="32"/>
          <w:szCs w:val="32"/>
          <w:lang w:val="zh-CN"/>
          <w14:textFill>
            <w14:solidFill>
              <w14:schemeClr w14:val="tx1"/>
            </w14:solidFill>
          </w14:textFill>
        </w:rPr>
        <w:t xml:space="preserve">附件</w:t>
      </w:r>
      <w:bookmarkEnd w:id="27"/>
      <w:r/>
      <w:bookmarkEnd w:id="28"/>
      <w:r/>
      <w:bookmarkEnd w:id="29"/>
      <w:r/>
      <w:bookmarkEnd w:id="30"/>
      <w:r/>
      <w:bookmarkEnd w:id="31"/>
      <w:r/>
      <w:bookmarkEnd w:id="32"/>
      <w:r/>
      <w:r/>
    </w:p>
    <w:p>
      <w:pPr>
        <w:jc w:val="cente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jc w:val="cente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spacing w:line="440" w:lineRule="exact"/>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jc w:val="center"/>
        <w:spacing w:line="440" w:lineRule="exact"/>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p>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jc w:val="center"/>
        <w:rPr>
          <w:rFonts w:ascii="宋体" w:hAnsi="宋体" w:cs="宋体"/>
          <w:color w:val="000000" w:themeColor="text1"/>
          <w:sz w:val="20"/>
          <w14:textFill>
            <w14:solidFill>
              <w14:schemeClr w14:val="tx1"/>
            </w14:solidFill>
          </w14:textFill>
        </w:rPr>
      </w:pPr>
      <w:r>
        <w:rPr>
          <w:rFonts w:ascii="宋体" w:hAnsi="宋体" w:cs="宋体"/>
          <w:color w:val="000000" w:themeColor="text1"/>
          <w:sz w:val="20"/>
          <w14:textFill>
            <w14:solidFill>
              <w14:schemeClr w14:val="tx1"/>
            </w14:solidFill>
          </w14:textFill>
        </w:rPr>
      </w:r>
      <w:r/>
    </w:p>
    <w:p>
      <w:pPr>
        <w:jc w:val="center"/>
        <w:rPr>
          <w:rFonts w:ascii="宋体" w:hAnsi="宋体" w:cs="宋体"/>
          <w:color w:val="000000" w:themeColor="text1"/>
          <w:sz w:val="44"/>
          <w:szCs w:val="44"/>
          <w14:textFill>
            <w14:solidFill>
              <w14:schemeClr w14:val="tx1"/>
            </w14:solidFill>
          </w14:textFill>
        </w:rPr>
      </w:pPr>
      <w:r>
        <w:rPr>
          <w:rFonts w:ascii="宋体" w:hAnsi="宋体" w:cs="宋体"/>
          <w:color w:val="000000" w:themeColor="text1"/>
          <w:sz w:val="44"/>
          <w:szCs w:val="44"/>
          <w14:textFill>
            <w14:solidFill>
              <w14:schemeClr w14:val="tx1"/>
            </w14:solidFill>
          </w14:textFill>
        </w:rPr>
      </w:r>
      <w:r/>
    </w:p>
    <w:p>
      <w:pPr>
        <w:jc w:val="cente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 xml:space="preserve">竞争性磋商响应文件</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w:t>
      </w:r>
      <w:r>
        <w:rPr>
          <w:rFonts w:hint="eastAsia" w:ascii="宋体" w:hAnsi="宋体" w:cs="宋体"/>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（加盖电子公章）</w:t>
      </w:r>
      <w:r/>
    </w:p>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年 月 日</w:t>
      </w:r>
      <w:r/>
    </w:p>
    <w:p>
      <w:pPr>
        <w:ind w:firstLine="472"/>
        <w:spacing w:line="360" w:lineRule="auto"/>
        <w:shd w:val="clear" w:color="auto" w:fill="ffffff"/>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clear="all"/>
      </w:r>
      <w:bookmarkStart w:id="80" w:name="_GoBack"/>
      <w:r/>
      <w:bookmarkEnd w:id="80"/>
      <w:r/>
      <w:r/>
    </w:p>
    <w:p>
      <w:pPr>
        <w:pStyle w:val="932"/>
        <w:numPr>
          <w:ilvl w:val="0"/>
          <w:numId w:val="0"/>
        </w:numPr>
        <w:rPr>
          <w:rFonts w:ascii="宋体" w:hAnsi="宋体" w:cs="宋体"/>
          <w:color w:val="000000" w:themeColor="text1"/>
          <w:sz w:val="21"/>
          <w:szCs w:val="21"/>
          <w:lang w:val="zh-CN"/>
          <w14:textFill>
            <w14:solidFill>
              <w14:schemeClr w14:val="tx1"/>
            </w14:solidFill>
          </w14:textFill>
        </w:rPr>
      </w:pPr>
      <w:r/>
      <w:bookmarkStart w:id="33" w:name="_Toc504573083"/>
      <w:r/>
      <w:bookmarkStart w:id="34" w:name="_Toc504044380"/>
      <w:r/>
      <w:bookmarkStart w:id="35" w:name="_Toc534273677"/>
      <w:r/>
      <w:bookmarkStart w:id="36" w:name="_Toc534273800"/>
      <w:r/>
      <w:bookmarkStart w:id="37" w:name="_Toc490133028"/>
      <w:r/>
      <w:bookmarkStart w:id="38" w:name="_Toc504056868"/>
      <w:r>
        <w:rPr>
          <w:rFonts w:hint="eastAsia" w:ascii="宋体" w:hAnsi="宋体" w:cs="宋体"/>
          <w:color w:val="000000" w:themeColor="text1"/>
          <w:sz w:val="21"/>
          <w:szCs w:val="21"/>
          <w:lang w:val="zh-CN"/>
          <w14:textFill>
            <w14:solidFill>
              <w14:schemeClr w14:val="tx1"/>
            </w14:solidFill>
          </w14:textFill>
        </w:rPr>
        <w:t xml:space="preserve">附件</w:t>
      </w:r>
      <w:r>
        <w:rPr>
          <w:rFonts w:hint="eastAsia" w:ascii="宋体" w:hAnsi="宋体" w:cs="宋体"/>
          <w:color w:val="000000" w:themeColor="text1"/>
          <w:sz w:val="21"/>
          <w:szCs w:val="21"/>
          <w14:textFill>
            <w14:solidFill>
              <w14:schemeClr w14:val="tx1"/>
            </w14:solidFill>
          </w14:textFill>
        </w:rPr>
        <w:t xml:space="preserve">一</w:t>
      </w:r>
      <w:r>
        <w:rPr>
          <w:rFonts w:hint="eastAsia" w:ascii="宋体" w:hAnsi="宋体" w:cs="宋体"/>
          <w:color w:val="000000" w:themeColor="text1"/>
          <w:sz w:val="21"/>
          <w:szCs w:val="21"/>
          <w:lang w:val="zh-CN"/>
          <w14:textFill>
            <w14:solidFill>
              <w14:schemeClr w14:val="tx1"/>
            </w14:solidFill>
          </w14:textFill>
        </w:rPr>
        <w:t xml:space="preserve">、竞争性磋商申请及声明</w:t>
      </w:r>
      <w:bookmarkEnd w:id="33"/>
      <w:r/>
      <w:bookmarkEnd w:id="34"/>
      <w:r/>
      <w:bookmarkEnd w:id="35"/>
      <w:r/>
      <w:bookmarkEnd w:id="36"/>
      <w:r/>
      <w:bookmarkEnd w:id="37"/>
      <w:r/>
      <w:bookmarkEnd w:id="38"/>
      <w:r/>
      <w:r/>
    </w:p>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竞争性磋商申请及声明</w:t>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致：南京国景工程项目管理有限公司</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根据贵方</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（项目名称） </w:t>
      </w:r>
      <w:r>
        <w:rPr>
          <w:rFonts w:hint="eastAsia" w:ascii="宋体" w:hAnsi="宋体" w:cs="宋体"/>
          <w:b/>
          <w:color w:val="000000" w:themeColor="text1"/>
          <w:szCs w:val="21"/>
          <w:u w:val="single"/>
          <w14:textFill>
            <w14:solidFill>
              <w14:schemeClr w14:val="tx1"/>
            </w14:solidFill>
          </w14:textFill>
        </w:rPr>
        <w:t xml:space="preserve">   </w:t>
      </w:r>
      <w:r>
        <w:rPr>
          <w:rFonts w:hint="eastAsia" w:ascii="宋体" w:hAnsi="宋体" w:cs="宋体"/>
          <w:b/>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（项目编号）竞争性磋商公告，正式授权下述签字人</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(姓名和职务)代表</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（供应商名称），提交响应性文件并参加磋商。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据此函，签字人兹宣布同意如下：</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我们的资格条件完全符合政府采购法和本次采购要求，</w:t>
      </w:r>
      <w:r>
        <w:rPr>
          <w:rFonts w:hint="eastAsia" w:ascii="宋体" w:hAnsi="宋体" w:cs="宋体"/>
          <w:color w:val="000000" w:themeColor="text1"/>
          <w:szCs w:val="21"/>
          <w14:textFill>
            <w14:solidFill>
              <w14:schemeClr w14:val="tx1"/>
            </w14:solidFill>
          </w14:textFill>
        </w:rPr>
        <w:t xml:space="preserve">我们</w:t>
      </w:r>
      <w:r>
        <w:rPr>
          <w:rFonts w:hint="eastAsia" w:ascii="宋体" w:hAnsi="宋体" w:cs="宋体"/>
          <w:color w:val="000000" w:themeColor="text1"/>
          <w:szCs w:val="21"/>
          <w:lang w:val="zh-CN"/>
          <w14:textFill>
            <w14:solidFill>
              <w14:schemeClr w14:val="tx1"/>
            </w14:solidFill>
          </w14:textFill>
        </w:rPr>
        <w:t xml:space="preserve">同意并向贵方提供了与本次采购活动有关的所有证据和资料</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2.我们投标总报价为______万元，具体详见</w:t>
      </w:r>
      <w:r>
        <w:rPr>
          <w:rFonts w:hint="eastAsia" w:ascii="宋体" w:hAnsi="宋体" w:cs="宋体"/>
          <w:color w:val="000000" w:themeColor="text1"/>
          <w:szCs w:val="21"/>
          <w:u w:val="single"/>
          <w14:textFill>
            <w14:solidFill>
              <w14:schemeClr w14:val="tx1"/>
            </w14:solidFill>
          </w14:textFill>
        </w:rPr>
        <w:t xml:space="preserve">分项报价表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3.一旦我方成交，我方将根据磋商文件的规定，严格履行合同，保证于承诺的时间内完成货物的启动、调试等服务，并交付采购人验收、使用。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5.我方为：</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大型企业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中型企业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小型企业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微型企业（在对应</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内打“√”）</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6.我方正式通讯方式为：</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   真：</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7.我方正式开户银行和账号为：</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账    号：</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供应商名称</w:t>
      </w:r>
      <w:r>
        <w:rPr>
          <w:color w:val="000000" w:themeColor="text1"/>
          <w:szCs w:val="21"/>
          <w14:textFill>
            <w14:solidFill>
              <w14:schemeClr w14:val="tx1"/>
            </w14:solidFill>
          </w14:textFill>
        </w:rPr>
        <w:t xml:space="preserve">（加盖电子公章）</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pStyle w:val="932"/>
        <w:numPr>
          <w:ilvl w:val="0"/>
          <w:numId w:val="0"/>
        </w:numPr>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bookmarkStart w:id="39" w:name="_Toc490133029"/>
      <w:r/>
      <w:bookmarkStart w:id="40" w:name="_Toc504056869"/>
      <w:r/>
      <w:bookmarkStart w:id="41" w:name="_Toc534273801"/>
      <w:r/>
      <w:bookmarkStart w:id="42" w:name="_Toc504044381"/>
      <w:r/>
      <w:bookmarkStart w:id="43" w:name="_Toc534273678"/>
      <w:r/>
      <w:bookmarkStart w:id="44" w:name="_Toc504573084"/>
      <w:r>
        <w:rPr>
          <w:rFonts w:hint="eastAsia" w:ascii="宋体" w:hAnsi="宋体" w:cs="宋体"/>
          <w:color w:val="000000" w:themeColor="text1"/>
          <w:sz w:val="21"/>
          <w:szCs w:val="21"/>
          <w:lang w:val="zh-CN"/>
          <w14:textFill>
            <w14:solidFill>
              <w14:schemeClr w14:val="tx1"/>
            </w14:solidFill>
          </w14:textFill>
        </w:rPr>
        <w:t xml:space="preserve">附件二、法定代表人授权书格式</w:t>
      </w:r>
      <w:bookmarkEnd w:id="39"/>
      <w:r/>
      <w:bookmarkEnd w:id="40"/>
      <w:r/>
      <w:bookmarkEnd w:id="41"/>
      <w:r/>
      <w:bookmarkEnd w:id="42"/>
      <w:r/>
      <w:bookmarkEnd w:id="43"/>
      <w:r/>
      <w:bookmarkEnd w:id="44"/>
      <w:r/>
      <w:r/>
    </w:p>
    <w:p>
      <w:pPr>
        <w:rPr>
          <w:rFonts w:ascii="宋体" w:hAnsi="宋体" w:cs="宋体"/>
          <w:b/>
          <w:color w:val="000000" w:themeColor="text1"/>
          <w:szCs w:val="21"/>
          <w:lang w:val="zh-CN"/>
          <w14:textFill>
            <w14:solidFill>
              <w14:schemeClr w14:val="tx1"/>
            </w14:solidFill>
          </w14:textFill>
        </w:rPr>
      </w:pPr>
      <w:r>
        <w:rPr>
          <w:rFonts w:ascii="宋体" w:hAnsi="宋体" w:cs="宋体"/>
          <w:b/>
          <w:color w:val="000000" w:themeColor="text1"/>
          <w:szCs w:val="21"/>
          <w:lang w:val="zh-CN"/>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法定代表人授权书</w:t>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南京国景工程项目管理有限公司</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本授权书声明：注册于</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（供应商住址）的</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（供应商名称）法定代表人</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（法定代表人姓名、职务）代表本公司授权在下面签字的</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（供应商代表姓名、职务）为本公司的合法代理人，就贵方组织的项目名称</w:t>
      </w:r>
      <w:r>
        <w:rPr>
          <w:rFonts w:hint="eastAsia" w:ascii="宋体" w:hAnsi="宋体" w:cs="宋体"/>
          <w:bCs/>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，项目编号：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竞争性磋商，以本公司名义处理一切与之有关的事务。</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本授权书于        年   月   日签字或签章生效，特此声明。</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被授权人身份证号码：</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被授权人联系电话：（手机）</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单位名称：（加盖电子公章）</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单位地址：</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    期：</w:t>
      </w:r>
      <w:bookmarkStart w:id="45" w:name="_Hlt26671380"/>
      <w:r/>
      <w:bookmarkEnd w:id="45"/>
      <w:r/>
      <w:bookmarkStart w:id="46" w:name="_格式3__银行出具的资信证明"/>
      <w:r/>
      <w:bookmarkEnd w:id="46"/>
      <w:r/>
      <w:bookmarkStart w:id="47" w:name="_Hlt26955070"/>
      <w:r/>
      <w:bookmarkEnd w:id="47"/>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被授权人</w:t>
      </w:r>
      <w:r>
        <w:rPr>
          <w:rFonts w:hint="eastAsia" w:ascii="宋体" w:hAnsi="宋体" w:cs="宋体"/>
          <w:b/>
          <w:color w:val="000000" w:themeColor="text1"/>
          <w:szCs w:val="21"/>
          <w:lang w:val="zh-CN"/>
          <w14:textFill>
            <w14:solidFill>
              <w14:schemeClr w14:val="tx1"/>
            </w14:solidFill>
          </w14:textFill>
        </w:rPr>
        <w:t xml:space="preserve">的身份证明文件：</w:t>
      </w:r>
      <w:r/>
    </w:p>
    <w:p>
      <w:pPr>
        <w:pStyle w:val="932"/>
        <w:numPr>
          <w:ilvl w:val="0"/>
          <w:numId w:val="0"/>
        </w:numPr>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rPr>
          <w:rFonts w:ascii="宋体" w:hAnsi="宋体" w:cs="宋体"/>
          <w:color w:val="000000" w:themeColor="text1"/>
          <w:sz w:val="21"/>
          <w:szCs w:val="21"/>
          <w:lang w:val="zh-CN"/>
          <w14:textFill>
            <w14:solidFill>
              <w14:schemeClr w14:val="tx1"/>
            </w14:solidFill>
          </w14:textFill>
        </w:rPr>
        <w:t xml:space="preserve">附件三、报价表</w:t>
      </w:r>
      <w:r/>
    </w:p>
    <w:p>
      <w:pPr>
        <w:rPr>
          <w:rFonts w:ascii="Arial" w:hAnsi="Arial" w:cs="Arial"/>
          <w:b/>
          <w:bCs/>
          <w:color w:val="000000" w:themeColor="text1"/>
          <w14:textFill>
            <w14:solidFill>
              <w14:schemeClr w14:val="tx1"/>
            </w14:solidFill>
          </w14:textFill>
        </w:rPr>
      </w:pPr>
      <w:r>
        <w:rPr>
          <w:rFonts w:ascii="Arial" w:hAnsi="Arial" w:cs="Arial"/>
          <w:b/>
          <w:bCs/>
          <w:color w:val="000000" w:themeColor="text1"/>
          <w14:textFill>
            <w14:solidFill>
              <w14:schemeClr w14:val="tx1"/>
            </w14:solidFill>
          </w14:textFill>
        </w:rPr>
        <w:t xml:space="preserve"> </w:t>
      </w:r>
      <w:r/>
    </w:p>
    <w:p>
      <w:pPr>
        <w:jc w:val="center"/>
        <w:spacing w:line="360" w:lineRule="auto"/>
        <w:shd w:val="clear" w:color="auto" w:fill="ffffff"/>
        <w:widowControl/>
        <w:rPr>
          <w:rFonts w:ascii="Arial" w:hAnsi="Arial" w:cs="Arial"/>
          <w:color w:val="000000" w:themeColor="text1"/>
          <w:sz w:val="24"/>
          <w:szCs w:val="24"/>
          <w14:textFill>
            <w14:solidFill>
              <w14:schemeClr w14:val="tx1"/>
            </w14:solidFill>
          </w14:textFill>
        </w:rPr>
      </w:pPr>
      <w:r>
        <w:rPr>
          <w:b/>
          <w:color w:val="000000" w:themeColor="text1"/>
          <w:sz w:val="36"/>
          <w:szCs w:val="36"/>
          <w14:textFill>
            <w14:solidFill>
              <w14:schemeClr w14:val="tx1"/>
            </w14:solidFill>
          </w14:textFill>
        </w:rPr>
        <w:t xml:space="preserve">报价一览表</w:t>
      </w:r>
      <w:r>
        <w:rPr>
          <w:rFonts w:ascii="Arial" w:hAnsi="Arial" w:cs="Arial"/>
          <w:color w:val="000000" w:themeColor="text1"/>
          <w:sz w:val="24"/>
          <w:szCs w:val="24"/>
          <w14:textFill>
            <w14:solidFill>
              <w14:schemeClr w14:val="tx1"/>
            </w14:solidFill>
          </w14:textFill>
        </w:rPr>
        <w:t xml:space="preserve"> </w:t>
      </w:r>
      <w:r/>
    </w:p>
    <w:p>
      <w:pPr>
        <w:pStyle w:val="957"/>
        <w:ind w:firstLine="472"/>
        <w:spacing w:line="440" w:lineRule="exact"/>
        <w:rPr>
          <w:rFonts w:ascii="Arial" w:hAnsi="Arial"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项目名称：</w:t>
      </w:r>
      <w:r>
        <w:rPr>
          <w:rFonts w:ascii="Arial" w:hAnsi="Arial" w:cs="Arial"/>
          <w:color w:val="000000" w:themeColor="text1"/>
          <w:szCs w:val="21"/>
          <w14:textFill>
            <w14:solidFill>
              <w14:schemeClr w14:val="tx1"/>
            </w14:solidFill>
          </w14:textFill>
        </w:rPr>
        <w:t xml:space="preserve">                                         </w:t>
      </w:r>
      <w:r>
        <w:rPr>
          <w:rFonts w:ascii="宋体" w:hAnsi="宋体" w:cs="Arial"/>
          <w:color w:val="000000" w:themeColor="text1"/>
          <w:szCs w:val="21"/>
          <w14:textFill>
            <w14:solidFill>
              <w14:schemeClr w14:val="tx1"/>
            </w14:solidFill>
          </w14:textFill>
        </w:rPr>
        <w:t xml:space="preserve">项目编号：</w:t>
      </w:r>
      <w:r/>
    </w:p>
    <w:tbl>
      <w:tblPr>
        <w:tblStyle w:val="749"/>
        <w:tblW w:w="86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cantSplit/>
          <w:trHeight w:val="1225"/>
        </w:trPr>
        <w:tc>
          <w:tcPr>
            <w:tcW w:w="1870" w:type="dxa"/>
            <w:vAlign w:val="center"/>
            <w:textDirection w:val="lrTb"/>
            <w:noWrap w:val="false"/>
          </w:tcPr>
          <w:p>
            <w:pPr>
              <w:pStyle w:val="957"/>
              <w:ind w:firstLine="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w:t>
            </w:r>
            <w:r>
              <w:rPr>
                <w:rFonts w:hint="eastAsia" w:ascii="Arial" w:hAnsi="Arial" w:cs="Arial"/>
                <w:color w:val="000000" w:themeColor="text1"/>
                <w:szCs w:val="21"/>
                <w14:textFill>
                  <w14:solidFill>
                    <w14:schemeClr w14:val="tx1"/>
                  </w14:solidFill>
                </w14:textFill>
              </w:rPr>
              <w:t xml:space="preserve">报价</w:t>
            </w:r>
            <w:r/>
          </w:p>
        </w:tc>
        <w:tc>
          <w:tcPr>
            <w:tcW w:w="5131" w:type="dxa"/>
            <w:vAlign w:val="center"/>
            <w:textDirection w:val="lrTb"/>
            <w:noWrap w:val="false"/>
          </w:tcPr>
          <w:p>
            <w:pPr>
              <w:pStyle w:val="957"/>
              <w:ind w:firstLine="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小写：人民币</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            </w:t>
            </w:r>
            <w:r/>
          </w:p>
          <w:p>
            <w:pPr>
              <w:pStyle w:val="957"/>
              <w:ind w:firstLine="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大写：人民币</w:t>
            </w:r>
            <w:r>
              <w:rPr>
                <w:rFonts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14:textFill>
                  <w14:solidFill>
                    <w14:schemeClr w14:val="tx1"/>
                  </w14:solidFill>
                </w14:textFill>
              </w:rPr>
              <w:t xml:space="preserve">  </w:t>
            </w:r>
            <w:r/>
          </w:p>
        </w:tc>
        <w:tc>
          <w:tcPr>
            <w:tcW w:w="1639" w:type="dxa"/>
            <w:vAlign w:val="center"/>
            <w:textDirection w:val="lrTb"/>
            <w:noWrap w:val="false"/>
          </w:tcPr>
          <w:p>
            <w:pPr>
              <w:pStyle w:val="957"/>
              <w:ind w:firstLine="0"/>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备注</w:t>
            </w:r>
            <w:r/>
          </w:p>
        </w:tc>
      </w:tr>
      <w:tr>
        <w:trPr>
          <w:trHeight w:val="829"/>
        </w:trPr>
        <w:tc>
          <w:tcPr>
            <w:tcW w:w="1870" w:type="dxa"/>
            <w:vAlign w:val="center"/>
            <w:textDirection w:val="lrTb"/>
            <w:noWrap w:val="false"/>
          </w:tcPr>
          <w:p>
            <w:pPr>
              <w:pStyle w:val="957"/>
              <w:ind w:firstLine="0"/>
              <w:spacing w:line="440" w:lineRule="exact"/>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合同履行期限</w:t>
            </w:r>
            <w:r/>
          </w:p>
        </w:tc>
        <w:tc>
          <w:tcPr>
            <w:tcW w:w="5131" w:type="dxa"/>
            <w:vAlign w:val="center"/>
            <w:textDirection w:val="lrTb"/>
            <w:noWrap w:val="false"/>
          </w:tcPr>
          <w:p>
            <w:pPr>
              <w:pStyle w:val="957"/>
              <w:ind w:firstLine="472"/>
              <w:spacing w:line="44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满足</w:t>
            </w:r>
            <w:r>
              <w:rPr>
                <w:rFonts w:hint="eastAsia" w:ascii="Arial" w:hAnsi="Arial" w:cs="Arial"/>
                <w:color w:val="000000" w:themeColor="text1"/>
                <w:szCs w:val="21"/>
                <w14:textFill>
                  <w14:solidFill>
                    <w14:schemeClr w14:val="tx1"/>
                  </w14:solidFill>
                </w14:textFill>
              </w:rPr>
              <w:t xml:space="preserve">磋商</w:t>
            </w:r>
            <w:r>
              <w:rPr>
                <w:rFonts w:ascii="Arial" w:hAnsi="Arial" w:cs="Arial"/>
                <w:color w:val="000000" w:themeColor="text1"/>
                <w:szCs w:val="21"/>
                <w14:textFill>
                  <w14:solidFill>
                    <w14:schemeClr w14:val="tx1"/>
                  </w14:solidFill>
                </w14:textFill>
              </w:rPr>
              <w:t xml:space="preserve">文件要求。</w:t>
            </w:r>
            <w:r/>
          </w:p>
        </w:tc>
        <w:tc>
          <w:tcPr>
            <w:tcW w:w="1639" w:type="dxa"/>
            <w:vAlign w:val="center"/>
            <w:textDirection w:val="lrTb"/>
            <w:noWrap w:val="false"/>
          </w:tcPr>
          <w:p>
            <w:pPr>
              <w:pStyle w:val="957"/>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957"/>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924" w:hRule="exact"/>
        </w:trPr>
        <w:tc>
          <w:tcPr>
            <w:tcW w:w="1870" w:type="dxa"/>
            <w:vAlign w:val="center"/>
            <w:textDirection w:val="lrTb"/>
            <w:noWrap w:val="false"/>
          </w:tcPr>
          <w:p>
            <w:pPr>
              <w:jc w:val="center"/>
              <w:rPr>
                <w:rFonts w:ascii="Arial" w:hAnsi="Arial" w:cs="Arial"/>
                <w:color w:val="000000" w:themeColor="text1"/>
                <w:szCs w:val="21"/>
                <w14:textFill>
                  <w14:solidFill>
                    <w14:schemeClr w14:val="tx1"/>
                  </w14:solidFill>
                </w14:textFill>
              </w:rPr>
            </w:pPr>
            <w:r>
              <w:rPr>
                <w:rFonts w:hint="eastAsia"/>
                <w:color w:val="000000" w:themeColor="text1"/>
                <w:lang w:val="zh-CN"/>
                <w14:textFill>
                  <w14:solidFill>
                    <w14:schemeClr w14:val="tx1"/>
                  </w14:solidFill>
                </w14:textFill>
              </w:rPr>
              <w:t xml:space="preserve">供应商是否属于小微型企业</w:t>
            </w:r>
            <w:r/>
          </w:p>
        </w:tc>
        <w:tc>
          <w:tcPr>
            <w:tcW w:w="5131" w:type="dxa"/>
            <w:vAlign w:val="center"/>
            <w:textDirection w:val="lrTb"/>
            <w:noWrap w:val="false"/>
          </w:tcPr>
          <w:p>
            <w:pPr>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lang w:val="zh-CN"/>
                <w14:textFill>
                  <w14:solidFill>
                    <w14:schemeClr w14:val="tx1"/>
                  </w14:solidFill>
                </w14:textFill>
              </w:rPr>
              <w:t xml:space="preserve">填写“是”或“否</w:t>
            </w:r>
            <w:r>
              <w:rPr>
                <w:rFonts w:ascii="Arial" w:hAnsi="Arial" w:cs="Arial"/>
                <w:color w:val="000000" w:themeColor="text1"/>
                <w:szCs w:val="21"/>
                <w14:textFill>
                  <w14:solidFill>
                    <w14:schemeClr w14:val="tx1"/>
                  </w14:solidFill>
                </w14:textFill>
              </w:rPr>
              <w:t xml:space="preserve">）</w:t>
            </w:r>
            <w:r/>
          </w:p>
        </w:tc>
        <w:tc>
          <w:tcPr>
            <w:tcW w:w="1639" w:type="dxa"/>
            <w:vAlign w:val="center"/>
            <w:textDirection w:val="lrTb"/>
            <w:noWrap w:val="false"/>
          </w:tcPr>
          <w:p>
            <w:pPr>
              <w:pStyle w:val="957"/>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924" w:hRule="exact"/>
        </w:trPr>
        <w:tc>
          <w:tcPr>
            <w:tcW w:w="1870" w:type="dxa"/>
            <w:vAlign w:val="center"/>
            <w:textDirection w:val="lrTb"/>
            <w:noWrap w:val="false"/>
          </w:tcPr>
          <w:p>
            <w:pPr>
              <w:jc w:val="center"/>
              <w:rPr>
                <w:rFonts w:ascii="Arial" w:hAnsi="Arial" w:cs="Arial"/>
                <w:color w:val="000000" w:themeColor="text1"/>
                <w:szCs w:val="21"/>
                <w14:textFill>
                  <w14:solidFill>
                    <w14:schemeClr w14:val="tx1"/>
                  </w14:solidFill>
                </w14:textFill>
              </w:rPr>
            </w:pPr>
            <w:r>
              <w:rPr>
                <w:rFonts w:hint="eastAsia"/>
                <w:color w:val="000000" w:themeColor="text1"/>
                <w:lang w:val="zh-CN"/>
                <w14:textFill>
                  <w14:solidFill>
                    <w14:schemeClr w14:val="tx1"/>
                  </w14:solidFill>
                </w14:textFill>
              </w:rPr>
              <w:t xml:space="preserve">供应商是否属于残疾人福利性单位</w:t>
            </w:r>
            <w:r/>
          </w:p>
        </w:tc>
        <w:tc>
          <w:tcPr>
            <w:tcW w:w="5131" w:type="dxa"/>
            <w:vAlign w:val="center"/>
            <w:textDirection w:val="lrTb"/>
            <w:noWrap w:val="false"/>
          </w:tcPr>
          <w:p>
            <w:pPr>
              <w:jc w:val="center"/>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lang w:val="zh-CN"/>
                <w14:textFill>
                  <w14:solidFill>
                    <w14:schemeClr w14:val="tx1"/>
                  </w14:solidFill>
                </w14:textFill>
              </w:rPr>
              <w:t xml:space="preserve">填写“是”或“否</w:t>
            </w:r>
            <w:r>
              <w:rPr>
                <w:rFonts w:ascii="Arial" w:hAnsi="Arial" w:cs="Arial"/>
                <w:color w:val="000000" w:themeColor="text1"/>
                <w:szCs w:val="21"/>
                <w14:textFill>
                  <w14:solidFill>
                    <w14:schemeClr w14:val="tx1"/>
                  </w14:solidFill>
                </w14:textFill>
              </w:rPr>
              <w:t xml:space="preserve">）</w:t>
            </w:r>
            <w:r/>
          </w:p>
        </w:tc>
        <w:tc>
          <w:tcPr>
            <w:tcW w:w="1639" w:type="dxa"/>
            <w:vAlign w:val="center"/>
            <w:textDirection w:val="lrTb"/>
            <w:noWrap w:val="false"/>
          </w:tcPr>
          <w:p>
            <w:pPr>
              <w:pStyle w:val="957"/>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924" w:hRule="exact"/>
        </w:trPr>
        <w:tc>
          <w:tcPr>
            <w:tcW w:w="1870" w:type="dxa"/>
            <w:vAlign w:val="center"/>
            <w:textDirection w:val="lrTb"/>
            <w:noWrap w:val="false"/>
          </w:tcPr>
          <w:p>
            <w:pPr>
              <w:jc w:val="center"/>
              <w:rPr>
                <w:rFonts w:ascii="Arial" w:hAnsi="Arial" w:cs="Arial"/>
                <w:color w:val="000000" w:themeColor="text1"/>
                <w:szCs w:val="21"/>
                <w14:textFill>
                  <w14:solidFill>
                    <w14:schemeClr w14:val="tx1"/>
                  </w14:solidFill>
                </w14:textFill>
              </w:rPr>
            </w:pPr>
            <w:r>
              <w:rPr>
                <w:rFonts w:hint="eastAsia"/>
                <w:color w:val="000000" w:themeColor="text1"/>
                <w:lang w:val="zh-CN"/>
                <w14:textFill>
                  <w14:solidFill>
                    <w14:schemeClr w14:val="tx1"/>
                  </w14:solidFill>
                </w14:textFill>
              </w:rPr>
              <w:t xml:space="preserve">供应商是否属于监狱企业</w:t>
            </w:r>
            <w:r/>
          </w:p>
        </w:tc>
        <w:tc>
          <w:tcPr>
            <w:tcW w:w="5131" w:type="dxa"/>
            <w:vAlign w:val="center"/>
            <w:textDirection w:val="lrTb"/>
            <w:noWrap w:val="false"/>
          </w:tcPr>
          <w:p>
            <w:pPr>
              <w:jc w:val="center"/>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lang w:val="zh-CN"/>
                <w14:textFill>
                  <w14:solidFill>
                    <w14:schemeClr w14:val="tx1"/>
                  </w14:solidFill>
                </w14:textFill>
              </w:rPr>
              <w:t xml:space="preserve">填写“是”或“否</w:t>
            </w:r>
            <w:r>
              <w:rPr>
                <w:rFonts w:ascii="Arial" w:hAnsi="Arial" w:cs="Arial"/>
                <w:color w:val="000000" w:themeColor="text1"/>
                <w:szCs w:val="21"/>
                <w14:textFill>
                  <w14:solidFill>
                    <w14:schemeClr w14:val="tx1"/>
                  </w14:solidFill>
                </w14:textFill>
              </w:rPr>
              <w:t xml:space="preserve">）</w:t>
            </w:r>
            <w:r/>
          </w:p>
        </w:tc>
        <w:tc>
          <w:tcPr>
            <w:tcW w:w="1639" w:type="dxa"/>
            <w:vAlign w:val="center"/>
            <w:textDirection w:val="lrTb"/>
            <w:noWrap w:val="false"/>
          </w:tcPr>
          <w:p>
            <w:pPr>
              <w:pStyle w:val="957"/>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924" w:hRule="exact"/>
        </w:trPr>
        <w:tc>
          <w:tcPr>
            <w:tcW w:w="1870" w:type="dxa"/>
            <w:vAlign w:val="center"/>
            <w:textDirection w:val="lrTb"/>
            <w:noWrap w:val="false"/>
          </w:tcPr>
          <w:p>
            <w:pPr>
              <w:pStyle w:val="957"/>
              <w:ind w:firstLine="0"/>
              <w:jc w:val="center"/>
              <w:rPr>
                <w:color w:val="000000" w:themeColor="text1"/>
                <w:lang w:val="zh-CN"/>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投标产品制造商是否全部由小微企业提供</w:t>
            </w:r>
            <w:r/>
          </w:p>
        </w:tc>
        <w:tc>
          <w:tcPr>
            <w:tcW w:w="5131" w:type="dxa"/>
            <w:vAlign w:val="center"/>
            <w:textDirection w:val="lrTb"/>
            <w:noWrap w:val="false"/>
          </w:tcPr>
          <w:p>
            <w:pPr>
              <w:pStyle w:val="957"/>
              <w:ind w:firstLine="0"/>
              <w:jc w:val="center"/>
              <w:rPr>
                <w:color w:val="000000" w:themeColor="text1"/>
                <w:lang w:val="zh-CN"/>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rPr>
                <w:rFonts w:ascii="Arial" w:hAnsi="Arial" w:cs="Arial"/>
                <w:color w:val="000000" w:themeColor="text1"/>
                <w:szCs w:val="21"/>
                <w:lang w:val="zh-CN"/>
                <w14:textFill>
                  <w14:solidFill>
                    <w14:schemeClr w14:val="tx1"/>
                  </w14:solidFill>
                </w14:textFill>
              </w:rPr>
              <w:t xml:space="preserve">填写“是”或“否</w:t>
            </w:r>
            <w:r>
              <w:rPr>
                <w:rFonts w:ascii="Arial" w:hAnsi="Arial" w:cs="Arial"/>
                <w:color w:val="000000" w:themeColor="text1"/>
                <w:szCs w:val="21"/>
                <w14:textFill>
                  <w14:solidFill>
                    <w14:schemeClr w14:val="tx1"/>
                  </w14:solidFill>
                </w14:textFill>
              </w:rPr>
              <w:t xml:space="preserve">）</w:t>
            </w:r>
            <w:r/>
          </w:p>
        </w:tc>
        <w:tc>
          <w:tcPr>
            <w:tcW w:w="1639" w:type="dxa"/>
            <w:vAlign w:val="center"/>
            <w:textDirection w:val="lrTb"/>
            <w:noWrap w:val="false"/>
          </w:tcPr>
          <w:p>
            <w:pPr>
              <w:pStyle w:val="957"/>
              <w:ind w:firstLine="472"/>
              <w:spacing w:line="44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left"/>
        <w:spacing w:line="360" w:lineRule="auto"/>
        <w:shd w:val="clear" w:color="auto" w:fill="ffffff"/>
        <w:widowControl/>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jc w:val="left"/>
        <w:spacing w:line="360" w:lineRule="auto"/>
        <w:shd w:val="clear" w:color="auto" w:fill="ffffff"/>
        <w:widowControl/>
        <w:rPr>
          <w:rFonts w:ascii="Arial" w:hAnsi="Arial" w:cs="Arial"/>
          <w:color w:val="000000" w:themeColor="text1"/>
          <w14:textFill>
            <w14:solidFill>
              <w14:schemeClr w14:val="tx1"/>
            </w14:solidFill>
          </w14:textFill>
        </w:rPr>
      </w:pPr>
      <w:r>
        <w:rPr>
          <w:rFonts w:ascii="宋体" w:hAnsi="宋体" w:cs="Arial"/>
          <w:color w:val="000000" w:themeColor="text1"/>
          <w14:textFill>
            <w14:solidFill>
              <w14:schemeClr w14:val="tx1"/>
            </w14:solidFill>
          </w14:textFill>
        </w:rPr>
        <w:t xml:space="preserve">说明：</w:t>
      </w:r>
      <w:r/>
    </w:p>
    <w:p>
      <w:pPr>
        <w:ind w:left="422"/>
        <w:jc w:val="left"/>
        <w:spacing w:line="360" w:lineRule="auto"/>
        <w:shd w:val="clear" w:color="auto" w:fill="ffffff"/>
        <w:widowControl/>
        <w:rPr>
          <w:rFonts w:ascii="Arial" w:hAnsi="Arial"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t xml:space="preserve">1.本项目仅接受一个价格，不得填报有选择性报价方案。若有优惠条款须注明，但不得影响报价，影响产品整体功能。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Arial" w:hAnsi="Arial"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t xml:space="preserve">2.</w:t>
      </w:r>
      <w:r>
        <w:rPr>
          <w:rFonts w:hint="eastAsia" w:ascii="宋体" w:hAnsi="宋体" w:cs="宋体"/>
          <w:b/>
          <w:bCs/>
          <w:color w:val="000000" w:themeColor="text1"/>
          <w:szCs w:val="21"/>
          <w14:textFill>
            <w14:solidFill>
              <w14:schemeClr w14:val="tx1"/>
            </w14:solidFill>
          </w14:textFill>
        </w:rPr>
        <w:t xml:space="preserve">投标人如实填写“是”或“否”</w:t>
      </w:r>
      <w:r>
        <w:rPr>
          <w:rFonts w:hint="eastAsia" w:ascii="Arial" w:hAnsi="Arial" w:cs="Arial"/>
          <w:b/>
          <w:bCs/>
          <w:color w:val="000000" w:themeColor="text1"/>
          <w:lang w:val="zh-CN"/>
          <w14:textFill>
            <w14:solidFill>
              <w14:schemeClr w14:val="tx1"/>
            </w14:solidFill>
          </w14:textFill>
        </w:rPr>
        <w:t xml:space="preserve">。如填写“是”，</w:t>
      </w:r>
      <w:r>
        <w:rPr>
          <w:rFonts w:hint="eastAsia" w:ascii="Arial" w:hAnsi="Arial" w:cs="Arial"/>
          <w:b/>
          <w:bCs/>
          <w:color w:val="000000" w:themeColor="text1"/>
          <w14:textFill>
            <w14:solidFill>
              <w14:schemeClr w14:val="tx1"/>
            </w14:solidFill>
          </w14:textFill>
        </w:rPr>
        <w:t xml:space="preserve">供应商应按招标文件要求提供《中小企业声明函》、《残疾人福利性单位声明函》、《属于监狱企业的证明文件》。如未按要求提供、填写，或相关内容表述不清前后矛盾的，不享受价格扣除。</w:t>
      </w:r>
      <w:r/>
    </w:p>
    <w:p>
      <w:pPr>
        <w:pStyle w:val="932"/>
        <w:numPr>
          <w:ilvl w:val="0"/>
          <w:numId w:val="0"/>
        </w:numPr>
        <w:rPr>
          <w:rFonts w:ascii="宋体" w:hAnsi="宋体" w:cs="宋体"/>
          <w:b w:val="0"/>
          <w:bCs w:val="0"/>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bookmarkStart w:id="48" w:name="_Toc490133031"/>
      <w:r/>
      <w:bookmarkStart w:id="49" w:name="_Toc504044383"/>
      <w:r/>
      <w:bookmarkStart w:id="50" w:name="_Toc504056871"/>
      <w:r/>
      <w:bookmarkStart w:id="51" w:name="_Toc534273803"/>
      <w:r/>
      <w:bookmarkStart w:id="52" w:name="_Toc534273680"/>
      <w:r/>
      <w:bookmarkStart w:id="53" w:name="_Toc504573086"/>
      <w:r>
        <w:rPr>
          <w:rFonts w:hint="eastAsia" w:ascii="宋体" w:hAnsi="宋体" w:cs="宋体"/>
          <w:color w:val="000000" w:themeColor="text1"/>
          <w:sz w:val="21"/>
          <w:szCs w:val="21"/>
          <w:lang w:val="zh-CN"/>
          <w14:textFill>
            <w14:solidFill>
              <w14:schemeClr w14:val="tx1"/>
            </w14:solidFill>
          </w14:textFill>
        </w:rPr>
        <w:t xml:space="preserve">附件四、分项报价表</w:t>
      </w:r>
      <w:bookmarkEnd w:id="48"/>
      <w:r/>
      <w:bookmarkEnd w:id="49"/>
      <w:r/>
      <w:bookmarkEnd w:id="50"/>
      <w:r/>
      <w:bookmarkEnd w:id="51"/>
      <w:r/>
      <w:bookmarkEnd w:id="52"/>
      <w:r/>
      <w:bookmarkEnd w:id="53"/>
      <w:r/>
      <w:r/>
    </w:p>
    <w:p>
      <w:pPr>
        <w:rPr>
          <w:rFonts w:ascii="宋体" w:hAnsi="宋体" w:cs="宋体"/>
          <w:b/>
          <w:color w:val="000000" w:themeColor="text1"/>
          <w:szCs w:val="21"/>
          <w:lang w:val="zh-CN"/>
          <w14:textFill>
            <w14:solidFill>
              <w14:schemeClr w14:val="tx1"/>
            </w14:solidFill>
          </w14:textFill>
        </w:rPr>
      </w:pPr>
      <w:r>
        <w:rPr>
          <w:rFonts w:ascii="宋体" w:hAnsi="宋体" w:cs="宋体"/>
          <w:b/>
          <w:color w:val="000000" w:themeColor="text1"/>
          <w:szCs w:val="21"/>
          <w:lang w:val="zh-CN"/>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36"/>
          <w:szCs w:val="36"/>
          <w14:textFill>
            <w14:solidFill>
              <w14:schemeClr w14:val="tx1"/>
            </w14:solidFill>
          </w14:textFill>
        </w:rPr>
      </w:pPr>
      <w:r/>
      <w:bookmarkStart w:id="54" w:name="_Toc490133032"/>
      <w:r/>
      <w:bookmarkStart w:id="55" w:name="_Toc504573087"/>
      <w:r/>
      <w:bookmarkStart w:id="56" w:name="_Toc534273682"/>
      <w:r/>
      <w:bookmarkStart w:id="57" w:name="_Toc504056872"/>
      <w:r/>
      <w:bookmarkStart w:id="58" w:name="_Toc534273805"/>
      <w:r/>
      <w:bookmarkStart w:id="59" w:name="_Toc504044384"/>
      <w:r/>
      <w:bookmarkStart w:id="60" w:name="_Toc534273804"/>
      <w:r/>
      <w:bookmarkStart w:id="61" w:name="_Toc534273681"/>
      <w:r>
        <w:rPr>
          <w:rFonts w:hint="eastAsia" w:ascii="宋体" w:hAnsi="宋体" w:cs="宋体"/>
          <w:b/>
          <w:color w:val="000000" w:themeColor="text1"/>
          <w:sz w:val="36"/>
          <w:szCs w:val="36"/>
          <w14:textFill>
            <w14:solidFill>
              <w14:schemeClr w14:val="tx1"/>
            </w14:solidFill>
          </w14:textFill>
        </w:rPr>
        <w:t xml:space="preserve">分项报价表</w:t>
      </w:r>
      <w:r/>
    </w:p>
    <w:p>
      <w:pPr>
        <w:jc w:val="center"/>
        <w:spacing w:line="360" w:lineRule="auto"/>
        <w:shd w:val="clear" w:color="auto" w:fill="ffffff"/>
        <w:widowControl/>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附清单报价加盖电子公章</w:t>
      </w:r>
      <w:r>
        <w:rPr>
          <w:rFonts w:hint="eastAsia" w:ascii="宋体" w:hAnsi="宋体" w:cs="宋体"/>
          <w:b/>
          <w:bCs/>
          <w:color w:val="000000" w:themeColor="text1"/>
          <w:szCs w:val="21"/>
          <w:lang w:val="zh-CN"/>
          <w14:textFill>
            <w14:solidFill>
              <w14:schemeClr w14:val="tx1"/>
            </w14:solidFill>
          </w14:textFill>
        </w:rPr>
        <w:t xml:space="preserve">）</w:t>
      </w:r>
      <w:r/>
    </w:p>
    <w:tbl>
      <w:tblPr>
        <w:tblStyle w:val="7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3650"/>
        <w:gridCol w:w="639"/>
        <w:gridCol w:w="745"/>
        <w:gridCol w:w="1399"/>
        <w:gridCol w:w="1019"/>
        <w:gridCol w:w="1095"/>
      </w:tblGrid>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序号</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项目名称</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单位</w:t>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数量</w:t>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规格/型号</w:t>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单价（元）</w:t>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合价（元）</w:t>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设备部分</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标准气象观测设备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2</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水面蒸发自动监测系统</w:t>
            </w:r>
            <w:r/>
          </w:p>
        </w:tc>
        <w:tc>
          <w:tcPr>
            <w:tcW w:w="352" w:type="pct"/>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409" w:type="pct"/>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761"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全过程高精度水面蒸发自动观测系统</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称重式雨雪量计</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时域法墒情监测设备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频域法墒情监测设备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3</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AR全景展示系统</w:t>
            </w:r>
            <w:r/>
          </w:p>
        </w:tc>
        <w:tc>
          <w:tcPr>
            <w:tcW w:w="352" w:type="pct"/>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409" w:type="pct"/>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p>
        </w:tc>
        <w:tc>
          <w:tcPr>
            <w:tcW w:w="761"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河道流速监测仪</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600万25倍全光谱警戒全景枪球</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3.3</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500万定焦警戒一体机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1600万63倍全光谱AR全景球</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3.5</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AR智慧管理一体机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3.6</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硬盘录像机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数据展示终端</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融媒体平台主机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微缩模型显示柜</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自动导航 AI机器人展播</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应急库房智能化升级</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壁挂一体机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RFID柔性抗金属标签</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RFID超高频重复使用扎带</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50</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桌面发卡器</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网络带宽提升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年</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10</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数据传输集成</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数据传输集成</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24接口千兆交换机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10.3</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AC控制器</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10.4</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POE交换机</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10.5</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吸顶AP</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10.6</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室外AP</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台</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10.7</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移动支架</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太阳能供电设备</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W w:w="1973"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院内外布线</w:t>
            </w:r>
            <w:r/>
          </w:p>
        </w:tc>
        <w:tc>
          <w:tcPr>
            <w:tcW w:w="352"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建筑工程部分</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环境改造</w:t>
            </w:r>
            <w:r>
              <w:rPr>
                <w:rFonts w:ascii="宋体" w:hAnsi="宋体" w:cs="宋体"/>
                <w:b/>
                <w:bCs/>
                <w:color w:val="000000" w:themeColor="text1"/>
                <w:szCs w:val="21"/>
                <w14:textFill>
                  <w14:solidFill>
                    <w14:schemeClr w14:val="tx1"/>
                  </w14:solidFill>
                </w14:textFill>
              </w:rPr>
              <w:t xml:space="preserve">工程</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原透水砖铺装拆除</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228</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原透水混凝土铺装拆除</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412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彩色透水混凝土园路垫层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1.4</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彩色透水混凝土园路面层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1.5</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透水砖园路垫层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1.6</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透水砖园路找平层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1.7</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灰色透水砖园路面层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1.8</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入口沥青园路面层</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451.6</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1.9</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芝麻白花岗岩路牙及收边</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m</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461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1.10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防腐木构筑物综合出新</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135</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入口标识牌</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1.12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入口显示屏标识系统</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1.13</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水文长廊成套制安</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1.14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主题Logo字</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1.15</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定制镀锌钢休闲座椅</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1.16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定制水文尺</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1.17</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植物种植</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406.3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1.18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水文长廊土建基础</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1.19</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丁香移除</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1.20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木槿移除</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海桐移栽</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1.22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既有黑松修剪</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株</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1.23</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杂草清理及植物综合梳理</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195</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1.24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绿化土方工程</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m³</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131.2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设施改造</w:t>
            </w:r>
            <w:r>
              <w:rPr>
                <w:rFonts w:ascii="宋体" w:hAnsi="宋体" w:cs="宋体"/>
                <w:b/>
                <w:bCs/>
                <w:color w:val="000000" w:themeColor="text1"/>
                <w:szCs w:val="21"/>
                <w14:textFill>
                  <w14:solidFill>
                    <w14:schemeClr w14:val="tx1"/>
                  </w14:solidFill>
                </w14:textFill>
              </w:rPr>
              <w:t xml:space="preserve">工程</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2.1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水文设备混凝土基础</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蒸发皿基础</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气象等水文设备安装基础</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座</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定制货架</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3D模型灯箱</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套</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会商展示室南北两面墙的钢结构隔墙</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2.5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中间办公室后墙体开窗</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樘</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中间办公室前玻璃幕墙开窗</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处</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2.7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会商展示室灯具更换</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2.8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墙面乳胶漆出新</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2.9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乳胶漆顶出新</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p>
        </w:tc>
        <w:tc>
          <w:tcPr>
            <w:tcW w:w="1973"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通用安装工程</w:t>
            </w:r>
            <w:r/>
          </w:p>
        </w:tc>
        <w:tc>
          <w:tcPr>
            <w:tcW w:w="352"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409" w:type="pct"/>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　</w:t>
            </w:r>
            <w:r/>
          </w:p>
        </w:tc>
        <w:tc>
          <w:tcPr>
            <w:tcW w:w="761"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3.1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仓库网线敷设</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路</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 </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3.2 </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强电综合布线、插座及桥架</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 </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w:t>
            </w:r>
            <w:r/>
          </w:p>
        </w:tc>
        <w:tc>
          <w:tcPr>
            <w:tcW w:w="197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其他</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w:t>
            </w:r>
            <w:r/>
          </w:p>
        </w:tc>
        <w:tc>
          <w:tcPr>
            <w:tcW w:w="1973" w:type="pct"/>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零星工程</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w:t>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352"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w:t>
            </w:r>
            <w:r/>
          </w:p>
        </w:tc>
        <w:tc>
          <w:tcPr>
            <w:tcW w:w="1973" w:type="pct"/>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总计</w:t>
            </w:r>
            <w:r/>
          </w:p>
        </w:tc>
        <w:tc>
          <w:tcPr>
            <w:tcW w:w="352"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409"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1"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56"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597" w:type="pct"/>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932"/>
        <w:numPr>
          <w:ilvl w:val="0"/>
          <w:numId w:val="0"/>
        </w:numPr>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rPr>
          <w:rFonts w:hint="eastAsia" w:ascii="宋体" w:hAnsi="宋体" w:cs="宋体"/>
          <w:color w:val="000000" w:themeColor="text1"/>
          <w:sz w:val="21"/>
          <w:szCs w:val="21"/>
          <w:lang w:val="zh-CN"/>
          <w14:textFill>
            <w14:solidFill>
              <w14:schemeClr w14:val="tx1"/>
            </w14:solidFill>
          </w14:textFill>
        </w:rPr>
        <w:t xml:space="preserve">附件五、商务条款偏离表格式</w:t>
      </w:r>
      <w:r/>
    </w:p>
    <w:p>
      <w:pPr>
        <w:ind w:firstLine="420"/>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center"/>
        <w:spacing w:before="240" w:line="360" w:lineRule="auto"/>
        <w:shd w:val="clear" w:color="auto" w:fill="ffffff"/>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商务条款偏离表</w:t>
      </w:r>
      <w:r/>
    </w:p>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bl>
      <w:tblPr>
        <w:tblStyle w:val="749"/>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bl>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注：（1）投标人需根据本项目工期、质保等商务条款要求进行响应；</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（2）如无任何偏离，请于本表“偏离说明”中注明“无偏离”；</w:t>
      </w:r>
      <w:r>
        <w:rPr>
          <w:rFonts w:hint="eastAsia" w:ascii="宋体" w:hAnsi="宋体" w:cs="宋体"/>
          <w:bCs/>
          <w:color w:val="000000" w:themeColor="text1"/>
          <w:szCs w:val="21"/>
          <w14:textFill>
            <w14:solidFill>
              <w14:schemeClr w14:val="tx1"/>
            </w14:solidFill>
          </w14:textFill>
        </w:rPr>
        <w:t xml:space="preserve">如有偏离项，请于本表中列明偏离内容，如需要可自行延长，其余无偏离内容不须赘述。</w:t>
      </w:r>
      <w:r/>
    </w:p>
    <w:p>
      <w:pPr>
        <w:jc w:val="left"/>
        <w:spacing w:line="360" w:lineRule="auto"/>
        <w:shd w:val="clear" w:color="auto" w:fill="ffffff"/>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pStyle w:val="932"/>
        <w:numPr>
          <w:ilvl w:val="0"/>
          <w:numId w:val="0"/>
        </w:numPr>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附件六、采购需求条款偏离表格式</w:t>
      </w:r>
      <w:bookmarkEnd w:id="54"/>
      <w:r/>
      <w:bookmarkEnd w:id="55"/>
      <w:r/>
      <w:bookmarkEnd w:id="56"/>
      <w:r/>
      <w:bookmarkEnd w:id="57"/>
      <w:r/>
      <w:bookmarkEnd w:id="58"/>
      <w:r/>
      <w:bookmarkEnd w:id="59"/>
      <w:r/>
      <w:bookmarkEnd w:id="60"/>
      <w:r/>
      <w:bookmarkEnd w:id="61"/>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240" w:line="360" w:lineRule="auto"/>
        <w:shd w:val="clear" w:color="auto" w:fill="ffffff"/>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采购需求条款偏离表</w:t>
      </w:r>
      <w:r/>
    </w:p>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bl>
      <w:tblPr>
        <w:tblStyle w:val="749"/>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采购文件要求的</w:t>
            </w:r>
            <w:r>
              <w:rPr>
                <w:rFonts w:hint="eastAsia" w:ascii="宋体" w:hAnsi="宋体" w:cs="宋体"/>
                <w:color w:val="000000" w:themeColor="text1"/>
                <w:szCs w:val="21"/>
                <w14:textFill>
                  <w14:solidFill>
                    <w14:schemeClr w14:val="tx1"/>
                  </w14:solidFill>
                </w14:textFill>
              </w:rPr>
              <w:t xml:space="preserve">采购需求</w:t>
            </w:r>
            <w:r>
              <w:rPr>
                <w:rFonts w:hint="eastAsia" w:ascii="宋体" w:hAnsi="宋体" w:cs="宋体"/>
                <w:color w:val="000000" w:themeColor="text1"/>
                <w:szCs w:val="21"/>
                <w:lang w:val="zh-CN"/>
                <w14:textFill>
                  <w14:solidFill>
                    <w14:schemeClr w14:val="tx1"/>
                  </w14:solidFill>
                </w14:textFill>
              </w:rPr>
              <w:t xml:space="preserve">条款</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bl>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bookmarkStart w:id="62" w:name="_Toc490133033"/>
      <w:r/>
      <w:bookmarkStart w:id="63" w:name="_Toc504573088"/>
      <w:r/>
      <w:bookmarkStart w:id="64" w:name="_Toc504044385"/>
      <w:r/>
      <w:bookmarkStart w:id="65" w:name="_Toc504056873"/>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注：（1）投标人需根据“第四章 采购需求”中内容进行响应；</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（2）如无任何偏离，请于本表“偏离说明”中注明“无偏离”；</w:t>
      </w:r>
      <w:r>
        <w:rPr>
          <w:rFonts w:hint="eastAsia" w:ascii="宋体" w:hAnsi="宋体" w:cs="宋体"/>
          <w:bCs/>
          <w:color w:val="000000" w:themeColor="text1"/>
          <w:szCs w:val="21"/>
          <w14:textFill>
            <w14:solidFill>
              <w14:schemeClr w14:val="tx1"/>
            </w14:solidFill>
          </w14:textFill>
        </w:rPr>
        <w:t xml:space="preserve">如有偏离项，请于本表中列明偏离内容，如需要可自行延长，其余无偏离内容不须赘述。</w:t>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bookmarkEnd w:id="62"/>
      <w:r/>
      <w:bookmarkEnd w:id="63"/>
      <w:r/>
      <w:bookmarkEnd w:id="64"/>
      <w:r/>
      <w:bookmarkEnd w:id="65"/>
      <w:r/>
      <w:r/>
    </w:p>
    <w:p>
      <w:pPr>
        <w:pStyle w:val="932"/>
        <w:rPr>
          <w:rFonts w:ascii="宋体" w:hAnsi="宋体" w:cs="宋体"/>
          <w:color w:val="000000" w:themeColor="text1"/>
          <w:sz w:val="21"/>
          <w:szCs w:val="21"/>
          <w14:textFill>
            <w14:solidFill>
              <w14:schemeClr w14:val="tx1"/>
            </w14:solidFill>
          </w14:textFill>
        </w:rPr>
      </w:pPr>
      <w:r/>
      <w:bookmarkStart w:id="66" w:name="_Toc534273684"/>
      <w:r/>
      <w:bookmarkStart w:id="67" w:name="_Toc534273807"/>
      <w:r/>
      <w:bookmarkStart w:id="68" w:name="_Toc504044387"/>
      <w:r/>
      <w:bookmarkStart w:id="69" w:name="_Toc504573090"/>
      <w:r/>
      <w:bookmarkStart w:id="70" w:name="_Toc504056875"/>
      <w:r/>
      <w:bookmarkStart w:id="71" w:name="_Toc490133035"/>
      <w:r>
        <w:rPr>
          <w:rFonts w:hint="eastAsia" w:ascii="宋体" w:hAnsi="宋体" w:cs="宋体"/>
          <w:color w:val="000000" w:themeColor="text1"/>
          <w:sz w:val="21"/>
          <w:szCs w:val="21"/>
          <w14:textFill>
            <w14:solidFill>
              <w14:schemeClr w14:val="tx1"/>
            </w14:solidFill>
          </w14:textFill>
        </w:rPr>
        <w:t xml:space="preserve">附件七、供应商类似业绩情况表</w:t>
      </w:r>
      <w:bookmarkEnd w:id="66"/>
      <w:r/>
      <w:bookmarkEnd w:id="67"/>
      <w:r/>
      <w:bookmarkEnd w:id="68"/>
      <w:r/>
      <w:bookmarkEnd w:id="69"/>
      <w:r/>
      <w:bookmarkEnd w:id="70"/>
      <w:r/>
      <w:bookmarkEnd w:id="71"/>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before="240" w:line="360" w:lineRule="auto"/>
        <w:shd w:val="clear" w:color="auto" w:fill="ffffff"/>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供应商类似业绩情况表</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序号</w:t>
            </w:r>
            <w:r/>
          </w:p>
        </w:tc>
        <w:tc>
          <w:tcPr>
            <w:tcW w:w="1710"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项目名称</w:t>
            </w:r>
            <w:r/>
          </w:p>
        </w:tc>
        <w:tc>
          <w:tcPr>
            <w:tcW w:w="1365"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业主单位</w:t>
            </w:r>
            <w:r/>
          </w:p>
        </w:tc>
        <w:tc>
          <w:tcPr>
            <w:tcW w:w="1455"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业主联系</w:t>
            </w:r>
            <w:r/>
          </w:p>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方式</w:t>
            </w:r>
            <w:r/>
          </w:p>
        </w:tc>
        <w:tc>
          <w:tcPr>
            <w:tcW w:w="1300"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工作主要</w:t>
            </w:r>
            <w:r/>
          </w:p>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内容</w:t>
            </w:r>
            <w:r/>
          </w:p>
        </w:tc>
        <w:tc>
          <w:tcPr>
            <w:tcW w:w="1026"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金额</w:t>
            </w:r>
            <w:r/>
          </w:p>
        </w:tc>
        <w:tc>
          <w:tcPr>
            <w:tcW w:w="1026" w:type="dxa"/>
            <w:vAlign w:val="center"/>
            <w:textDirection w:val="lrTb"/>
            <w:noWrap w:val="false"/>
          </w:tcPr>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备注</w:t>
            </w:r>
            <w:r/>
          </w:p>
        </w:tc>
      </w:tr>
      <w:tr>
        <w:trPr>
          <w:jc w:val="center"/>
          <w:trHeight w:val="35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35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36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36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362"/>
        </w:trPr>
        <w:tc>
          <w:tcPr>
            <w:tcW w:w="773"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71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6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455"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00"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026" w:type="dxa"/>
            <w:textDirection w:val="lrTb"/>
            <w:noWrap w:val="false"/>
          </w:tcPr>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bl>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spacing w:line="360" w:lineRule="auto"/>
        <w:rPr>
          <w:rStyle w:val="965"/>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spacing w:line="360" w:lineRule="auto"/>
        <w:rPr>
          <w:rStyle w:val="965"/>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spacing w:line="360" w:lineRule="auto"/>
        <w:rPr>
          <w:rFonts w:ascii="宋体" w:hAnsi="宋体" w:cs="宋体"/>
          <w:b/>
          <w:color w:val="000000" w:themeColor="text1"/>
          <w:szCs w:val="21"/>
          <w:lang w:val="zh-CN"/>
          <w14:textFill>
            <w14:solidFill>
              <w14:schemeClr w14:val="tx1"/>
            </w14:solidFill>
          </w14:textFill>
        </w:rPr>
      </w:pPr>
      <w:r>
        <w:rPr>
          <w:rStyle w:val="965"/>
          <w:rFonts w:hint="eastAsia" w:ascii="宋体" w:hAnsi="宋体" w:cs="宋体"/>
          <w:color w:val="000000" w:themeColor="text1"/>
          <w:sz w:val="21"/>
          <w:szCs w:val="21"/>
          <w14:textFill>
            <w14:solidFill>
              <w14:schemeClr w14:val="tx1"/>
            </w14:solidFill>
          </w14:textFill>
        </w:rPr>
        <w:t xml:space="preserve">附件八、</w:t>
      </w:r>
      <w:r>
        <w:rPr>
          <w:rFonts w:hint="eastAsia" w:ascii="宋体" w:hAnsi="宋体" w:cs="宋体"/>
          <w:b/>
          <w:color w:val="000000" w:themeColor="text1"/>
          <w:szCs w:val="21"/>
          <w:lang w:val="zh-CN"/>
          <w14:textFill>
            <w14:solidFill>
              <w14:schemeClr w14:val="tx1"/>
            </w14:solidFill>
          </w14:textFill>
        </w:rPr>
        <w:t xml:space="preserve">资格证明文件</w:t>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rPr>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附件九、方案</w:t>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240" w:lineRule="atLeast"/>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240" w:lineRule="atLeast"/>
        <w:rPr>
          <w:rFonts w:ascii="宋体" w:cs="宋体"/>
          <w:b/>
          <w:color w:val="000000" w:themeColor="text1"/>
          <w:szCs w:val="21"/>
          <w:lang w:val="zh-CN"/>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w:t>
      </w:r>
      <w:r>
        <w:rPr>
          <w:rFonts w:hint="eastAsia" w:ascii="宋体" w:cs="宋体"/>
          <w:b/>
          <w:color w:val="000000" w:themeColor="text1"/>
          <w:szCs w:val="21"/>
          <w14:textFill>
            <w14:solidFill>
              <w14:schemeClr w14:val="tx1"/>
            </w14:solidFill>
          </w14:textFill>
        </w:rPr>
        <w:t xml:space="preserve">投标需要的其他证明文件及材料</w:t>
      </w:r>
      <w:r/>
    </w:p>
    <w:p>
      <w:pPr>
        <w:spacing w:line="240" w:lineRule="atLeast"/>
        <w:rPr>
          <w:rFonts w:ascii="宋体" w:cs="宋体"/>
          <w:b/>
          <w:color w:val="000000" w:themeColor="text1"/>
          <w:szCs w:val="21"/>
          <w14:textFill>
            <w14:solidFill>
              <w14:schemeClr w14:val="tx1"/>
            </w14:solidFill>
          </w14:textFill>
        </w:rPr>
      </w:pPr>
      <w:r>
        <w:rPr>
          <w:rFonts w:ascii="宋体" w:cs="宋体"/>
          <w:b/>
          <w:color w:val="000000" w:themeColor="text1"/>
          <w:szCs w:val="21"/>
          <w14:textFill>
            <w14:solidFill>
              <w14:schemeClr w14:val="tx1"/>
            </w14:solidFill>
          </w14:textFill>
        </w:rPr>
      </w:r>
      <w:r/>
    </w:p>
    <w:p>
      <w:pPr>
        <w:spacing w:line="240" w:lineRule="atLeast"/>
        <w:rPr>
          <w:rFonts w:ascii="宋体" w:cs="宋体"/>
          <w:b/>
          <w:color w:val="000000" w:themeColor="text1"/>
          <w:szCs w:val="21"/>
          <w14:textFill>
            <w14:solidFill>
              <w14:schemeClr w14:val="tx1"/>
            </w14:solidFill>
          </w14:textFill>
        </w:rPr>
      </w:pPr>
      <w:r>
        <w:rPr>
          <w:rFonts w:asci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hint="eastAsia" w:ascii="宋体" w:cs="宋体"/>
          <w:b/>
          <w:color w:val="000000" w:themeColor="text1"/>
          <w:szCs w:val="21"/>
          <w14:textFill>
            <w14:solidFill>
              <w14:schemeClr w14:val="tx1"/>
            </w14:solidFill>
          </w14:textFill>
        </w:rPr>
        <w:t xml:space="preserve">                 </w:t>
      </w:r>
      <w:r>
        <w:rPr>
          <w:rFonts w:hint="eastAsia" w:ascii="宋体" w:cs="宋体"/>
          <w:color w:val="000000" w:themeColor="text1"/>
          <w:szCs w:val="21"/>
          <w:lang w:val="zh-CN"/>
          <w14:textFill>
            <w14:solidFill>
              <w14:schemeClr w14:val="tx1"/>
            </w14:solidFill>
          </w14:textFill>
        </w:rPr>
        <w:t xml:space="preserve">投标需要的其他证明文件及材料（若有）</w:t>
      </w:r>
      <w:r/>
    </w:p>
    <w:p>
      <w:pPr>
        <w:spacing w:line="360" w:lineRule="auto"/>
        <w:rPr>
          <w:rFonts w:ascii="宋体" w:hAnsi="宋体" w:cs="宋体"/>
          <w:b/>
          <w:color w:val="000000" w:themeColor="text1"/>
          <w14:textFill>
            <w14:solidFill>
              <w14:schemeClr w14:val="tx1"/>
            </w14:solidFill>
          </w14:textFill>
        </w:rPr>
        <w:sectPr>
          <w:footnotePr/>
          <w:endnotePr/>
          <w:type w:val="nextPage"/>
          <w:pgSz w:w="11906" w:h="16838" w:orient="portrait"/>
          <w:pgMar w:top="1417" w:right="1417" w:bottom="1417" w:left="1417" w:header="851" w:footer="794" w:gutter="0"/>
          <w:cols w:num="1" w:sep="0" w:space="0" w:equalWidth="1"/>
          <w:docGrid w:linePitch="360"/>
        </w:sectPr>
      </w:pPr>
      <w:r>
        <w:rPr>
          <w:rFonts w:ascii="宋体" w:hAnsi="宋体" w:cs="宋体"/>
          <w:b/>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附件十一</w:t>
      </w:r>
      <w:r>
        <w:rPr>
          <w:rFonts w:hint="eastAsia" w:ascii="宋体" w:hAnsi="宋体" w:cs="宋体"/>
          <w:b/>
          <w:bCs/>
          <w:color w:val="000000" w:themeColor="text1"/>
          <w14:textFill>
            <w14:solidFill>
              <w14:schemeClr w14:val="tx1"/>
            </w14:solidFill>
          </w14:textFill>
        </w:rPr>
        <w:t xml:space="preserve">：企业声明函格式</w:t>
      </w:r>
      <w:r/>
    </w:p>
    <w:p>
      <w:pPr>
        <w:jc w:val="center"/>
        <w:keepLines/>
        <w:keepNext/>
        <w:spacing w:after="500"/>
        <w:rPr>
          <w:rFonts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中小企业声明函（货物）</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（单位名称）的</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（项目名称）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（分包号）</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（分包名称）   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工业</w:t>
      </w:r>
      <w:r>
        <w:rPr>
          <w:rFonts w:hint="eastAsia" w:ascii="宋体" w:hAnsi="宋体" w:cs="宋体"/>
          <w:color w:val="000000" w:themeColor="text1"/>
          <w14:textFill>
            <w14:solidFill>
              <w14:schemeClr w14:val="tx1"/>
            </w14:solidFill>
          </w14:textFill>
        </w:rPr>
        <w:t xml:space="preserve">行业；制造商为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中型企业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小型企业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微型企业</w:t>
      </w:r>
      <w:r>
        <w:rPr>
          <w:rFonts w:hint="eastAsia" w:ascii="宋体" w:hAnsi="宋体" w:cs="宋体"/>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工业</w:t>
      </w:r>
      <w:r>
        <w:rPr>
          <w:rFonts w:hint="eastAsia" w:ascii="宋体" w:hAnsi="宋体" w:cs="宋体"/>
          <w:color w:val="000000" w:themeColor="text1"/>
          <w14:textFill>
            <w14:solidFill>
              <w14:schemeClr w14:val="tx1"/>
            </w14:solidFill>
          </w14:textFill>
        </w:rPr>
        <w:t xml:space="preserve">行业；制造商为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中型企业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小型企业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微型企业</w:t>
      </w:r>
      <w:r>
        <w:rPr>
          <w:rFonts w:hint="eastAsia" w:ascii="宋体" w:hAnsi="宋体" w:cs="宋体"/>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ind w:firstLine="420"/>
        <w:jc w:val="right"/>
        <w:spacing w:line="360" w:lineRule="auto"/>
        <w:shd w:val="clear" w:color="ffffff" w:fill="ffffff"/>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企业名称（加盖电子公章）：</w:t>
      </w:r>
      <w:r/>
    </w:p>
    <w:p>
      <w:pPr>
        <w:ind w:firstLine="420"/>
        <w:jc w:val="right"/>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日 期：</w:t>
      </w:r>
      <w:r/>
    </w:p>
    <w:p>
      <w:pPr>
        <w:ind w:firstLine="420"/>
        <w:spacing w:line="494" w:lineRule="exact"/>
        <w:tabs>
          <w:tab w:val="left" w:pos="1166" w:leader="none"/>
          <w:tab w:val="left" w:pos="665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p>
      <w:pPr>
        <w:ind w:firstLine="640"/>
        <w:spacing w:line="499" w:lineRule="exact"/>
        <w:rPr>
          <w:rFonts w:ascii="宋体" w:hAnsi="宋体" w:cs="宋体"/>
          <w:b/>
          <w:bCs/>
          <w:color w:val="000000" w:themeColor="text1"/>
          <w:szCs w:val="21"/>
          <w14:textFill>
            <w14:solidFill>
              <w14:schemeClr w14:val="tx1"/>
            </w14:solidFill>
          </w14:textFill>
        </w:rPr>
      </w:pPr>
      <w:r/>
      <w:bookmarkStart w:id="72" w:name="bookmark27"/>
      <w:r/>
      <w:bookmarkEnd w:id="72"/>
      <w:r>
        <w:rPr>
          <w:rFonts w:hint="eastAsia" w:ascii="宋体" w:hAnsi="宋体" w:cs="宋体"/>
          <w:b/>
          <w:bCs/>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640"/>
        <w:spacing w:line="499"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本企业对上述声明内容的真实性负责。如有虚假，将依法承担相应责任。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ind w:firstLine="240"/>
        <w:spacing w:after="12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00"/>
        <w:rPr>
          <w:rFonts w:ascii="Calibri" w:hAnsi="Calibri" w:eastAsia="Calibri" w:cs="宋体"/>
          <w:color w:val="000000" w:themeColor="text1"/>
          <w:sz w:val="20"/>
          <w:lang w:val="zh-CN"/>
          <w14:textFill>
            <w14:solidFill>
              <w14:schemeClr w14:val="tx1"/>
            </w14:solidFill>
          </w14:textFill>
        </w:rPr>
      </w:pPr>
      <w:r>
        <w:rPr>
          <w:rFonts w:ascii="Calibri" w:hAnsi="Calibri" w:eastAsia="Calibri" w:cs="宋体"/>
          <w:color w:val="000000" w:themeColor="text1"/>
          <w:sz w:val="20"/>
          <w:lang w:val="zh-CN"/>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备注：1.从业人员、营业收入、资产总额填报上一年度数据，无上一年度数据的新成立企业可不填报。</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2.在所属企业类型前的</w:t>
      </w:r>
      <w:r>
        <w:rPr>
          <w:rFonts w:ascii="Wingdings" w:hAnsi="Wingdings" w:eastAsia="Wingdings" w:cs="Wingdings"/>
          <w:b/>
          <w:bCs/>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内打“√”</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4.货物采购项目中，货物的制造商应当为中小企业，不对其中涉及的服务的承接商、工程的承建商作出要求。</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5.在政府采购活动中，供应商提供的货物、工程或者服务符合下列情形的，享受本办法规定的中小企业扶持政策：</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（一）在服务采购项目中，服务由中小企业承接，即提供服务的人员为中小企业依照《中华人民共和国劳动合同法》 订立劳动合同的从业人员。</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在货物采购项目中，供应商提供的货物既有中小企业制造货物，也有大型企业制造货物的，不享受本办法规定的中小企业扶持政策。</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6.《中小企业声明函》中所填的行业应与本采购标的对应的中小企业划分标准所属行业一致，不一致的不可享受相应政策优惠。本采购标的对应的中小企业划分标准所属行业，以采购文件规定为准。</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7.如未对（中型企业、小型企业、微型企业）进行勾选，视同非小微企业，不可享受相应扶持政策。</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8.中标单位为中小企业的，《中小企业声明函》将随中标结果同时公告。</w:t>
      </w:r>
      <w:r/>
    </w:p>
    <w:p>
      <w:pPr>
        <w:spacing w:line="360" w:lineRule="auto"/>
        <w:rPr>
          <w:rFonts w:ascii="宋体" w:hAnsi="宋体" w:cs="宋体"/>
          <w:b/>
          <w:color w:val="000000" w:themeColor="text1"/>
          <w:szCs w:val="24"/>
          <w14:textFill>
            <w14:solidFill>
              <w14:schemeClr w14:val="tx1"/>
            </w14:solidFill>
          </w14:textFill>
        </w:rPr>
      </w:pPr>
      <w:r>
        <w:rPr>
          <w:rFonts w:ascii="宋体" w:hAnsi="宋体" w:cs="宋体"/>
          <w:b/>
          <w:color w:val="000000" w:themeColor="text1"/>
          <w:szCs w:val="24"/>
          <w14:textFill>
            <w14:solidFill>
              <w14:schemeClr w14:val="tx1"/>
            </w14:solidFill>
          </w14:textFill>
        </w:rPr>
      </w:r>
      <w:r/>
    </w:p>
    <w:p>
      <w:pPr>
        <w:spacing w:line="360" w:lineRule="auto"/>
        <w:rPr>
          <w:rFonts w:ascii="宋体" w:hAnsi="宋体" w:cs="宋体"/>
          <w:b/>
          <w:color w:val="000000" w:themeColor="text1"/>
          <w:szCs w:val="24"/>
          <w14:textFill>
            <w14:solidFill>
              <w14:schemeClr w14:val="tx1"/>
            </w14:solidFill>
          </w14:textFill>
        </w:rPr>
        <w:sectPr>
          <w:footnotePr/>
          <w:endnotePr/>
          <w:type w:val="nextPage"/>
          <w:pgSz w:w="11906" w:h="16838" w:orient="portrait"/>
          <w:pgMar w:top="1417" w:right="1417" w:bottom="1417" w:left="1417" w:header="851" w:footer="794" w:gutter="0"/>
          <w:cols w:num="1" w:sep="0" w:space="0" w:equalWidth="1"/>
          <w:docGrid w:linePitch="360"/>
        </w:sectPr>
      </w:pPr>
      <w:r>
        <w:rPr>
          <w:rFonts w:ascii="宋体" w:hAnsi="宋体" w:cs="宋体"/>
          <w:b/>
          <w:color w:val="000000" w:themeColor="text1"/>
          <w:szCs w:val="24"/>
          <w14:textFill>
            <w14:solidFill>
              <w14:schemeClr w14:val="tx1"/>
            </w14:solidFill>
          </w14:textFill>
        </w:rPr>
      </w:r>
      <w:r/>
    </w:p>
    <w:p>
      <w:pPr>
        <w:spacing w:line="360" w:lineRule="auto"/>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附：中小企业划型标准规定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（一）农、林、牧、渔业。</w:t>
      </w:r>
      <w:r>
        <w:rPr>
          <w:rFonts w:hint="eastAsia" w:ascii="宋体" w:hAnsi="宋体" w:cs="宋体"/>
          <w:color w:val="000000" w:themeColor="text1"/>
          <w:szCs w:val="24"/>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（二）工业。</w:t>
      </w:r>
      <w:r>
        <w:rPr>
          <w:rFonts w:hint="eastAsia" w:ascii="宋体" w:hAnsi="宋体" w:cs="宋体"/>
          <w:color w:val="000000" w:themeColor="text1"/>
          <w:szCs w:val="24"/>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（三）建筑业。</w:t>
      </w:r>
      <w:r>
        <w:rPr>
          <w:rFonts w:hint="eastAsia" w:ascii="宋体" w:hAnsi="宋体" w:cs="宋体"/>
          <w:color w:val="000000" w:themeColor="text1"/>
          <w:szCs w:val="24"/>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（四）批发业。</w:t>
      </w:r>
      <w:r>
        <w:rPr>
          <w:rFonts w:hint="eastAsia" w:ascii="宋体" w:hAnsi="宋体" w:cs="宋体"/>
          <w:color w:val="000000" w:themeColor="text1"/>
          <w:szCs w:val="24"/>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（五）零售业。</w:t>
      </w:r>
      <w:r>
        <w:rPr>
          <w:rFonts w:hint="eastAsia" w:ascii="宋体" w:hAnsi="宋体" w:cs="宋体"/>
          <w:color w:val="000000" w:themeColor="text1"/>
          <w:szCs w:val="24"/>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（六）交通运输业。</w:t>
      </w:r>
      <w:r>
        <w:rPr>
          <w:rFonts w:hint="eastAsia" w:ascii="宋体" w:hAnsi="宋体" w:cs="宋体"/>
          <w:color w:val="000000" w:themeColor="text1"/>
          <w:szCs w:val="24"/>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（七）仓储业。</w:t>
      </w:r>
      <w:r>
        <w:rPr>
          <w:rFonts w:hint="eastAsia" w:ascii="宋体" w:hAnsi="宋体" w:cs="宋体"/>
          <w:color w:val="000000" w:themeColor="text1"/>
          <w:szCs w:val="24"/>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（八）邮政业。</w:t>
      </w:r>
      <w:r>
        <w:rPr>
          <w:rFonts w:hint="eastAsia" w:ascii="宋体" w:hAnsi="宋体" w:cs="宋体"/>
          <w:color w:val="000000" w:themeColor="text1"/>
          <w:szCs w:val="24"/>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（九）住宿业。</w:t>
      </w:r>
      <w:r>
        <w:rPr>
          <w:rFonts w:hint="eastAsia" w:ascii="宋体" w:hAnsi="宋体" w:cs="宋体"/>
          <w:color w:val="000000" w:themeColor="text1"/>
          <w:szCs w:val="24"/>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（十）餐饮业。</w:t>
      </w:r>
      <w:r>
        <w:rPr>
          <w:rFonts w:hint="eastAsia" w:ascii="宋体" w:hAnsi="宋体" w:cs="宋体"/>
          <w:color w:val="000000" w:themeColor="text1"/>
          <w:szCs w:val="24"/>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（十一）信息传输业。</w:t>
      </w:r>
      <w:r>
        <w:rPr>
          <w:rFonts w:hint="eastAsia" w:ascii="宋体" w:hAnsi="宋体" w:cs="宋体"/>
          <w:color w:val="000000" w:themeColor="text1"/>
          <w:szCs w:val="24"/>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（十二）软件和信息技术服务业。</w:t>
      </w:r>
      <w:r>
        <w:rPr>
          <w:rFonts w:hint="eastAsia" w:ascii="宋体" w:hAnsi="宋体" w:cs="宋体"/>
          <w:color w:val="000000" w:themeColor="text1"/>
          <w:szCs w:val="24"/>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（十三）房地产开发经营。</w:t>
      </w:r>
      <w:r>
        <w:rPr>
          <w:rFonts w:hint="eastAsia" w:ascii="宋体" w:hAnsi="宋体" w:cs="宋体"/>
          <w:color w:val="000000" w:themeColor="text1"/>
          <w:szCs w:val="24"/>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（十四）物业管理。</w:t>
      </w:r>
      <w:r>
        <w:rPr>
          <w:rFonts w:hint="eastAsia" w:ascii="宋体" w:hAnsi="宋体" w:cs="宋体"/>
          <w:color w:val="000000" w:themeColor="text1"/>
          <w:szCs w:val="24"/>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（十五）租赁和商务服务业。</w:t>
      </w:r>
      <w:r>
        <w:rPr>
          <w:rFonts w:hint="eastAsia" w:ascii="宋体" w:hAnsi="宋体" w:cs="宋体"/>
          <w:color w:val="000000" w:themeColor="text1"/>
          <w:szCs w:val="24"/>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（十六）其他未列明行业。</w:t>
      </w:r>
      <w:r>
        <w:rPr>
          <w:rFonts w:hint="eastAsia" w:ascii="宋体" w:hAnsi="宋体" w:cs="宋体"/>
          <w:color w:val="000000" w:themeColor="text1"/>
          <w:szCs w:val="24"/>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120" w:after="48"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残疾人福利性单位声明函声明</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江苏省水文水资源勘测局南京分局</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color w:val="000000" w:themeColor="text1"/>
          <w:szCs w:val="21"/>
          <w:u w:val="single"/>
          <w14:textFill>
            <w14:solidFill>
              <w14:schemeClr w14:val="tx1"/>
            </w14:solidFill>
          </w14:textFill>
        </w:rPr>
        <w:t xml:space="preserve"> （供应商名称）</w:t>
      </w:r>
      <w:r>
        <w:rPr>
          <w:rFonts w:hint="eastAsia" w:ascii="宋体" w:hAnsi="宋体" w:cs="宋体"/>
          <w:color w:val="000000" w:themeColor="text1"/>
          <w:szCs w:val="21"/>
          <w14:textFill>
            <w14:solidFill>
              <w14:schemeClr w14:val="tx1"/>
            </w14:solidFill>
          </w14:textFill>
        </w:rPr>
        <w:t xml:space="preserve">郑重声明，本公司为残疾人福利性单位。即，本单位同时满足以下条件：</w:t>
      </w:r>
      <w:r/>
    </w:p>
    <w:p>
      <w:pPr>
        <w:ind w:firstLine="420"/>
        <w:spacing w:line="360" w:lineRule="auto"/>
        <w:shd w:val="clear" w:color="auto" w:fill="ffffff"/>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1、安置的残疾人占本单位在职职工人数的比例不低于25%（含25%），并且安置的残疾人人数不少于10人（含10人）；</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2、依法与安置的每位残疾人签订了一年以上（含一年）的劳动合同或服务协议；</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3、为安置的每位残疾人按月足额缴纳了基本养老保险、基本医疗保险、失业保险、工伤保险和生育保险等社会保险费；</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420"/>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本单位对上述声明的真实性负责。如有虚假，将依法承担相应责任。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ind w:firstLine="420"/>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属于监狱企业的证明文件</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（提供由省级以上监狱管理局、戒毒管理局(含新疆生产建设兵团)出具的属于监狱企业的证明</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文件）</w:t>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节能产品认证证书</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（提供国家确定的认证机构出具的、处于有效期之内的产品认证证书）</w:t>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环境标志产品认证证书</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（提供国家确定的认证机构出具的、处于有效期之内的产品认证证书）</w:t>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bookmarkStart w:id="73" w:name="_Toc8704"/>
      <w:r/>
      <w:bookmarkStart w:id="74" w:name="_Toc504573092"/>
      <w:r/>
      <w:bookmarkStart w:id="75" w:name="_Toc504044389"/>
      <w:r/>
      <w:bookmarkStart w:id="76" w:name="_Toc534273686"/>
      <w:r/>
      <w:bookmarkStart w:id="77" w:name="_Toc490133037"/>
      <w:r/>
      <w:bookmarkStart w:id="78" w:name="_Toc504056877"/>
      <w:r/>
      <w:bookmarkStart w:id="79" w:name="_Toc534273809"/>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附件十三、无重大违法记录声明格式</w:t>
      </w:r>
      <w:r/>
    </w:p>
    <w:p>
      <w:pPr>
        <w:jc w:val="center"/>
        <w:spacing w:line="240" w:lineRule="atLeast"/>
        <w:rPr>
          <w:rFonts w:ascii="宋体" w:hAnsi="宋体" w:cs="宋体"/>
          <w:color w:val="000000" w:themeColor="text1"/>
          <w:sz w:val="28"/>
          <w:szCs w:val="36"/>
          <w14:textFill>
            <w14:solidFill>
              <w14:schemeClr w14:val="tx1"/>
            </w14:solidFill>
          </w14:textFill>
        </w:rPr>
      </w:pPr>
      <w:r>
        <w:rPr>
          <w:rFonts w:ascii="宋体" w:hAnsi="宋体" w:cs="宋体"/>
          <w:color w:val="000000" w:themeColor="text1"/>
          <w:sz w:val="28"/>
          <w:szCs w:val="36"/>
          <w14:textFill>
            <w14:solidFill>
              <w14:schemeClr w14:val="tx1"/>
            </w14:solidFill>
          </w14:textFill>
        </w:rPr>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无重大违法记录声明</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江苏省水文水资源勘测局南京分局：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我单位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（供应商名称）郑重声明：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参加政府采购活动前3年内在经营活动中</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（在下划线上如实填写：有或没有）重大违法记录。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bookmarkEnd w:id="73"/>
      <w:r/>
      <w:bookmarkEnd w:id="74"/>
      <w:r/>
      <w:bookmarkEnd w:id="75"/>
      <w:r/>
      <w:bookmarkEnd w:id="76"/>
      <w:r/>
      <w:bookmarkEnd w:id="77"/>
      <w:r/>
      <w:bookmarkEnd w:id="78"/>
      <w:r/>
      <w:bookmarkEnd w:id="79"/>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附件十四、</w:t>
      </w:r>
      <w:r>
        <w:rPr>
          <w:rFonts w:hint="eastAsia" w:ascii="宋体" w:hAnsi="宋体" w:cs="宋体"/>
          <w:b/>
          <w:color w:val="000000" w:themeColor="text1"/>
          <w:szCs w:val="21"/>
          <w14:textFill>
            <w14:solidFill>
              <w14:schemeClr w14:val="tx1"/>
            </w14:solidFill>
          </w14:textFill>
        </w:rPr>
        <w:t xml:space="preserve">具备履行合同所必需的设备和专业技术能力的声明格式及证明材料</w:t>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具备履行合同所必需的设备和专业技术能力的声明格式</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江苏省水文水资源勘测局南京分局：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（供应商名称）郑重声明：我公司具备履行本项目采购合同所必需的设备和专业技术能力，为履行本项目采购合同我单位具备如下主要设备和主要专业技术能力：</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主要设备有：                       </w:t>
      </w:r>
      <w:r>
        <w:rPr>
          <w:rFonts w:hint="eastAsia" w:ascii="宋体" w:hAnsi="宋体" w:cs="宋体"/>
          <w:color w:val="000000" w:themeColor="text1"/>
          <w:szCs w:val="21"/>
          <w14:textFill>
            <w14:solidFill>
              <w14:schemeClr w14:val="tx1"/>
            </w14:solidFill>
          </w14:textFill>
        </w:rPr>
        <w:t xml:space="preserve">   。</w:t>
      </w:r>
      <w:r/>
    </w:p>
    <w:p>
      <w:pPr>
        <w:ind w:firstLine="4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主要专业技术能力有：</w:t>
      </w:r>
      <w:r>
        <w:rPr>
          <w:rFonts w:hint="eastAsia" w:ascii="宋体" w:hAnsi="宋体" w:cs="宋体"/>
          <w:color w:val="000000" w:themeColor="text1"/>
          <w:szCs w:val="21"/>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附件十五、</w:t>
      </w:r>
      <w:r>
        <w:rPr>
          <w:rFonts w:hint="eastAsia" w:ascii="宋体" w:hAnsi="宋体" w:cs="宋体"/>
          <w:b/>
          <w:color w:val="000000" w:themeColor="text1"/>
          <w:szCs w:val="21"/>
          <w14:textFill>
            <w14:solidFill>
              <w14:schemeClr w14:val="tx1"/>
            </w14:solidFill>
          </w14:textFill>
        </w:rPr>
        <w:t xml:space="preserve">承诺书</w:t>
      </w:r>
      <w:r/>
    </w:p>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承诺书</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江苏省水文水资源勘测局南京分局：</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根据贵方组织的</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项目（项目名称）</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（项目编号）的要求，我方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（投标供应商名称）作为供应商承诺符合</w:t>
      </w:r>
      <w:r>
        <w:rPr>
          <w:rFonts w:hint="eastAsia"/>
          <w:color w:val="000000" w:themeColor="text1"/>
          <w:szCs w:val="21"/>
          <w14:textFill>
            <w14:solidFill>
              <w14:schemeClr w14:val="tx1"/>
            </w14:solidFill>
          </w14:textFill>
        </w:rPr>
        <w:t xml:space="preserve">法律、行政法规规定的其他条件。</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pStyle w:val="755"/>
        <w:ind w:left="1260"/>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pStyle w:val="755"/>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附件十六、承诺书</w:t>
      </w:r>
      <w:r/>
    </w:p>
    <w:p>
      <w:pPr>
        <w:pStyle w:val="1093"/>
        <w:ind w:firstLine="422"/>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承诺书</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江苏省水文水资源勘测局南京分局：</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根据贵方组织的</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项目（项目名称）</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（项目编号）的要求，我方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（投标供应商名称）作为供应商承诺</w:t>
      </w:r>
      <w:r>
        <w:rPr>
          <w:rFonts w:hint="eastAsia" w:ascii="宋体" w:hAnsi="宋体" w:cs="宋体"/>
          <w:b/>
          <w:color w:val="000000" w:themeColor="text1"/>
          <w:szCs w:val="21"/>
          <w14:textFill>
            <w14:solidFill>
              <w14:schemeClr w14:val="tx1"/>
            </w14:solidFill>
          </w14:textFill>
        </w:rPr>
        <w:t xml:space="preserve">不存在以下情况</w:t>
      </w:r>
      <w:r>
        <w:rPr>
          <w:rFonts w:hint="eastAsia" w:ascii="宋体" w:hAnsi="宋体" w:cs="宋体"/>
          <w:bCs/>
          <w:color w:val="000000" w:themeColor="text1"/>
          <w:szCs w:val="21"/>
          <w14:textFill>
            <w14:solidFill>
              <w14:schemeClr w14:val="tx1"/>
            </w14:solidFill>
          </w14:textFill>
        </w:rPr>
        <w:t xml:space="preserve">：</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（1）供应商单位负责人为同一人或者存在直接控股、管理关系的不同供应商，参加同一合同项下的政府采购活动。</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（2）凡为采购项目提供整体设计、规范编制或者项目管理、监理、检测等服务的供应商，再参加本项目的采购活动。</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（3）供应商被“信用中国”网站（www.creditchina.gov.cn）、“中国政府采购网"(www.ccgp.gov.cn)列入失信被执行人、重大税收违法失信主体、政府采购严重违法失信行为记录名单。</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供应商名称（加盖电子公章）：</w:t>
      </w:r>
      <w:r>
        <w:rPr>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    期：   年    月    日</w:t>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755"/>
        <w:ind w:left="126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附件十七、信用中国”（www.creditchina.gov.cn）、“中国政府采购网"(www.ccgp.gov.cn)网站截图</w:t>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sectPr>
      <w:footnotePr/>
      <w:endnotePr/>
      <w:type w:val="nextPage"/>
      <w:pgSz w:w="11906" w:h="16838" w:orient="portrait"/>
      <w:pgMar w:top="1417" w:right="1417" w:bottom="1417" w:left="1417" w:header="851" w:footer="79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nts nts nts nts nts n">
    <w:panose1 w:val="02040503050406030204"/>
  </w:font>
  <w:font w:name="Segoe UI Symbol">
    <w:panose1 w:val="020B0502040204020203"/>
  </w:font>
  <w:font w:name="方正小标宋_GBK">
    <w:panose1 w:val="020B0503020202020204"/>
  </w:font>
  <w:font w:name="Wingdings">
    <w:panose1 w:val="05000000000000000000"/>
  </w:font>
  <w:font w:name="Symbol">
    <w:panose1 w:val="05050102010706020507"/>
  </w:font>
  <w:font w:name="Cambria Math">
    <w:panose1 w:val="02040503050406030204"/>
  </w:font>
  <w:font w:name="MingLiU">
    <w:panose1 w:val="02020500000000000000"/>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 cy="153035"/>
                      </a:xfrm>
                      <a:prstGeom prst="rect">
                        <a:avLst/>
                      </a:prstGeom>
                      <a:noFill/>
                      <a:ln>
                        <a:noFill/>
                      </a:ln>
                    </wps:spPr>
                    <wps:txbx>
                      <w:txbxContent>
                        <w:p>
                          <w:pPr>
                            <w:pStyle w:val="761"/>
                          </w:pPr>
                          <w:r>
                            <w:fldChar w:fldCharType="begin"/>
                          </w:r>
                          <w:r>
                            <w:instrText xml:space="preserve"> PAGE  \* MERGEFORMAT </w:instrText>
                          </w:r>
                          <w:r>
                            <w:fldChar w:fldCharType="separate"/>
                          </w:r>
                          <w:r>
                            <w:t xml:space="preserve">62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v:textbox inset="0,0,0,0">
                <w:txbxContent>
                  <w:p>
                    <w:pPr>
                      <w:pStyle w:val="761"/>
                    </w:pPr>
                    <w:r>
                      <w:fldChar w:fldCharType="begin"/>
                    </w:r>
                    <w:r>
                      <w:instrText xml:space="preserve"> PAGE  \* MERGEFORMAT </w:instrText>
                    </w:r>
                    <w:r>
                      <w:fldChar w:fldCharType="separate"/>
                    </w:r>
                    <w:r>
                      <w:t xml:space="preserve">62</w:t>
                    </w:r>
                    <w:r>
                      <w:fldChar w:fldCharType="end"/>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3"/>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047"/>
      <w:isLgl w:val="false"/>
      <w:suff w:val="tab"/>
      <w:lvlText w:val="%1"/>
      <w:lvlJc w:val="left"/>
      <w:pPr>
        <w:ind w:left="567" w:hanging="567"/>
        <w:tabs>
          <w:tab w:val="left" w:pos="567" w:leader="none"/>
        </w:tabs>
      </w:pPr>
      <w:rPr>
        <w:rFonts w:hint="eastAsia" w:cs="Times New Roman"/>
      </w:rPr>
    </w:lvl>
    <w:lvl w:ilvl="1">
      <w:start w:val="1"/>
      <w:numFmt w:val="decimal"/>
      <w:pStyle w:val="104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chineseCountingThousand"/>
      <w:pStyle w:val="931"/>
      <w:isLgl w:val="false"/>
      <w:suff w:val="nothing"/>
      <w:lvlText w:val="第%1章"/>
      <w:lvlJc w:val="left"/>
      <w:pPr>
        <w:ind w:left="0" w:firstLine="0"/>
      </w:pPr>
    </w:lvl>
    <w:lvl w:ilvl="1">
      <w:start w:val="1"/>
      <w:numFmt w:val="decimal"/>
      <w:pStyle w:val="932"/>
      <w:isLgl w:val="false"/>
      <w:suff w:val="nothing"/>
      <w:lvlText w:val=""/>
      <w:lvlJc w:val="left"/>
      <w:pPr>
        <w:ind w:left="0" w:firstLine="0"/>
      </w:pPr>
    </w:lvl>
    <w:lvl w:ilvl="2">
      <w:start w:val="1"/>
      <w:numFmt w:val="decimal"/>
      <w:pStyle w:val="933"/>
      <w:isLgl w:val="false"/>
      <w:suff w:val="nothing"/>
      <w:lvlText w:val=""/>
      <w:lvlJc w:val="left"/>
      <w:pPr>
        <w:ind w:left="0" w:firstLine="0"/>
      </w:pPr>
    </w:lvl>
    <w:lvl w:ilvl="3">
      <w:start w:val="1"/>
      <w:numFmt w:val="decimal"/>
      <w:pStyle w:val="934"/>
      <w:isLgl w:val="false"/>
      <w:suff w:val="nothing"/>
      <w:lvlText w:val=""/>
      <w:lvlJc w:val="left"/>
      <w:pPr>
        <w:ind w:left="0" w:firstLine="0"/>
      </w:pPr>
    </w:lvl>
    <w:lvl w:ilvl="4">
      <w:start w:val="1"/>
      <w:numFmt w:val="decimal"/>
      <w:pStyle w:val="956"/>
      <w:isLgl w:val="false"/>
      <w:suff w:val="nothing"/>
      <w:lvlText w:val=""/>
      <w:lvlJc w:val="left"/>
      <w:pPr>
        <w:ind w:left="0" w:firstLine="0"/>
      </w:pPr>
    </w:lvl>
    <w:lvl w:ilvl="5">
      <w:start w:val="1"/>
      <w:numFmt w:val="decimal"/>
      <w:pStyle w:val="958"/>
      <w:isLgl w:val="false"/>
      <w:suff w:val="nothing"/>
      <w:lvlText w:val=""/>
      <w:lvlJc w:val="left"/>
      <w:pPr>
        <w:ind w:left="0" w:firstLine="0"/>
      </w:pPr>
    </w:lvl>
    <w:lvl w:ilvl="6">
      <w:start w:val="1"/>
      <w:numFmt w:val="decimal"/>
      <w:pStyle w:val="959"/>
      <w:isLgl w:val="false"/>
      <w:suff w:val="nothing"/>
      <w:lvlText w:val=""/>
      <w:lvlJc w:val="left"/>
      <w:pPr>
        <w:ind w:left="0" w:firstLine="0"/>
      </w:pPr>
    </w:lvl>
    <w:lvl w:ilvl="7">
      <w:start w:val="1"/>
      <w:numFmt w:val="decimal"/>
      <w:pStyle w:val="960"/>
      <w:isLgl w:val="false"/>
      <w:suff w:val="nothing"/>
      <w:lvlText w:val=""/>
      <w:lvlJc w:val="left"/>
      <w:pPr>
        <w:ind w:left="0" w:firstLine="0"/>
      </w:pPr>
    </w:lvl>
    <w:lvl w:ilvl="8">
      <w:start w:val="1"/>
      <w:numFmt w:val="decimal"/>
      <w:pStyle w:val="961"/>
      <w:isLgl w:val="false"/>
      <w:suff w:val="nothing"/>
      <w:lvlText w:val=""/>
      <w:lvlJc w:val="left"/>
      <w:pPr>
        <w:ind w:left="0" w:firstLine="0"/>
      </w:pPr>
    </w:lvl>
  </w:abstractNum>
  <w:abstractNum w:abstractNumId="4">
    <w:multiLevelType w:val="hybridMultilevel"/>
    <w:lvl w:ilvl="0">
      <w:start w:val="1"/>
      <w:numFmt w:val="bullet"/>
      <w:pStyle w:val="105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748"/>
    <w:link w:val="739"/>
    <w:uiPriority w:val="9"/>
    <w:rPr>
      <w:rFonts w:ascii="Arial" w:hAnsi="Arial" w:eastAsia="Arial" w:cs="Arial"/>
      <w:sz w:val="40"/>
      <w:szCs w:val="40"/>
    </w:rPr>
  </w:style>
  <w:style w:type="character" w:styleId="702">
    <w:name w:val="Heading 2 Char"/>
    <w:basedOn w:val="748"/>
    <w:link w:val="740"/>
    <w:uiPriority w:val="9"/>
    <w:rPr>
      <w:rFonts w:ascii="Arial" w:hAnsi="Arial" w:eastAsia="Arial" w:cs="Arial"/>
      <w:sz w:val="34"/>
    </w:rPr>
  </w:style>
  <w:style w:type="character" w:styleId="703">
    <w:name w:val="Heading 3 Char"/>
    <w:basedOn w:val="748"/>
    <w:link w:val="741"/>
    <w:uiPriority w:val="9"/>
    <w:rPr>
      <w:rFonts w:ascii="Arial" w:hAnsi="Arial" w:eastAsia="Arial" w:cs="Arial"/>
      <w:sz w:val="30"/>
      <w:szCs w:val="30"/>
    </w:rPr>
  </w:style>
  <w:style w:type="character" w:styleId="704">
    <w:name w:val="Heading 4 Char"/>
    <w:basedOn w:val="748"/>
    <w:link w:val="742"/>
    <w:uiPriority w:val="9"/>
    <w:rPr>
      <w:rFonts w:ascii="Arial" w:hAnsi="Arial" w:eastAsia="Arial" w:cs="Arial"/>
      <w:b/>
      <w:bCs/>
      <w:sz w:val="26"/>
      <w:szCs w:val="26"/>
    </w:rPr>
  </w:style>
  <w:style w:type="character" w:styleId="705">
    <w:name w:val="Heading 5 Char"/>
    <w:basedOn w:val="748"/>
    <w:link w:val="743"/>
    <w:uiPriority w:val="9"/>
    <w:rPr>
      <w:rFonts w:ascii="Arial" w:hAnsi="Arial" w:eastAsia="Arial" w:cs="Arial"/>
      <w:b/>
      <w:bCs/>
      <w:sz w:val="24"/>
      <w:szCs w:val="24"/>
    </w:rPr>
  </w:style>
  <w:style w:type="character" w:styleId="706">
    <w:name w:val="Heading 6 Char"/>
    <w:basedOn w:val="748"/>
    <w:link w:val="744"/>
    <w:uiPriority w:val="9"/>
    <w:rPr>
      <w:rFonts w:ascii="Arial" w:hAnsi="Arial" w:eastAsia="Arial" w:cs="Arial"/>
      <w:b/>
      <w:bCs/>
      <w:sz w:val="22"/>
      <w:szCs w:val="22"/>
    </w:rPr>
  </w:style>
  <w:style w:type="character" w:styleId="707">
    <w:name w:val="Heading 7 Char"/>
    <w:basedOn w:val="748"/>
    <w:link w:val="745"/>
    <w:uiPriority w:val="9"/>
    <w:rPr>
      <w:rFonts w:ascii="Arial" w:hAnsi="Arial" w:eastAsia="Arial" w:cs="Arial"/>
      <w:b/>
      <w:bCs/>
      <w:i/>
      <w:iCs/>
      <w:sz w:val="22"/>
      <w:szCs w:val="22"/>
    </w:rPr>
  </w:style>
  <w:style w:type="character" w:styleId="708">
    <w:name w:val="Heading 8 Char"/>
    <w:basedOn w:val="748"/>
    <w:link w:val="746"/>
    <w:uiPriority w:val="9"/>
    <w:rPr>
      <w:rFonts w:ascii="Arial" w:hAnsi="Arial" w:eastAsia="Arial" w:cs="Arial"/>
      <w:i/>
      <w:iCs/>
      <w:sz w:val="22"/>
      <w:szCs w:val="22"/>
    </w:rPr>
  </w:style>
  <w:style w:type="character" w:styleId="709">
    <w:name w:val="Heading 9 Char"/>
    <w:basedOn w:val="748"/>
    <w:link w:val="747"/>
    <w:uiPriority w:val="9"/>
    <w:rPr>
      <w:rFonts w:ascii="Arial" w:hAnsi="Arial" w:eastAsia="Arial" w:cs="Arial"/>
      <w:i/>
      <w:iCs/>
      <w:sz w:val="21"/>
      <w:szCs w:val="21"/>
    </w:rPr>
  </w:style>
  <w:style w:type="character" w:styleId="710">
    <w:name w:val="Title Char"/>
    <w:basedOn w:val="748"/>
    <w:link w:val="772"/>
    <w:uiPriority w:val="10"/>
    <w:rPr>
      <w:sz w:val="48"/>
      <w:szCs w:val="48"/>
    </w:rPr>
  </w:style>
  <w:style w:type="character" w:styleId="711">
    <w:name w:val="Subtitle Char"/>
    <w:basedOn w:val="748"/>
    <w:link w:val="765"/>
    <w:uiPriority w:val="11"/>
    <w:rPr>
      <w:sz w:val="24"/>
      <w:szCs w:val="24"/>
    </w:rPr>
  </w:style>
  <w:style w:type="character" w:styleId="712">
    <w:name w:val="Quote Char"/>
    <w:link w:val="796"/>
    <w:uiPriority w:val="29"/>
    <w:rPr>
      <w:i/>
    </w:rPr>
  </w:style>
  <w:style w:type="character" w:styleId="713">
    <w:name w:val="Intense Quote Char"/>
    <w:link w:val="798"/>
    <w:uiPriority w:val="30"/>
    <w:rPr>
      <w:i/>
    </w:rPr>
  </w:style>
  <w:style w:type="character" w:styleId="714">
    <w:name w:val="Header Char"/>
    <w:basedOn w:val="748"/>
    <w:link w:val="762"/>
    <w:uiPriority w:val="99"/>
  </w:style>
  <w:style w:type="character" w:styleId="715">
    <w:name w:val="Caption Char"/>
    <w:basedOn w:val="752"/>
    <w:link w:val="761"/>
    <w:uiPriority w:val="99"/>
  </w:style>
  <w:style w:type="table" w:styleId="716">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5">
    <w:name w:val="Footnote Text Char"/>
    <w:link w:val="766"/>
    <w:uiPriority w:val="99"/>
    <w:rPr>
      <w:sz w:val="18"/>
    </w:rPr>
  </w:style>
  <w:style w:type="character" w:styleId="736">
    <w:name w:val="Endnote Text Char"/>
    <w:link w:val="759"/>
    <w:uiPriority w:val="99"/>
    <w:rPr>
      <w:sz w:val="20"/>
    </w:rPr>
  </w:style>
  <w:style w:type="paragraph" w:styleId="737">
    <w:name w:val="TOC Heading"/>
    <w:uiPriority w:val="39"/>
    <w:unhideWhenUsed/>
  </w:style>
  <w:style w:type="paragraph" w:styleId="73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39">
    <w:name w:val="Heading 1"/>
    <w:basedOn w:val="738"/>
    <w:next w:val="738"/>
    <w:link w:val="784"/>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85"/>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7"/>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50"/>
    <w:link w:val="78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9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92"/>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tblPr>
      <w:tblCellMar>
        <w:left w:w="108" w:type="dxa"/>
        <w:top w:w="0" w:type="dxa"/>
        <w:right w:w="108" w:type="dxa"/>
        <w:bottom w:w="0" w:type="dxa"/>
      </w:tblCellMar>
    </w:tblPr>
  </w:style>
  <w:style w:type="paragraph" w:styleId="750">
    <w:name w:val="Body Text"/>
    <w:basedOn w:val="738"/>
    <w:next w:val="738"/>
    <w:uiPriority w:val="1"/>
    <w:qFormat/>
    <w:rPr>
      <w:rFonts w:ascii="楷体_GB2312" w:hAnsi="Calibri" w:eastAsia="楷体_GB2312"/>
      <w:sz w:val="28"/>
      <w:szCs w:val="28"/>
    </w:rPr>
  </w:style>
  <w:style w:type="paragraph" w:styleId="751">
    <w:name w:val="toc 7"/>
    <w:basedOn w:val="738"/>
    <w:next w:val="738"/>
    <w:uiPriority w:val="39"/>
    <w:unhideWhenUsed/>
    <w:qFormat/>
    <w:pPr>
      <w:ind w:left="1701"/>
      <w:spacing w:after="57"/>
    </w:pPr>
  </w:style>
  <w:style w:type="paragraph" w:styleId="752">
    <w:name w:val="Caption"/>
    <w:basedOn w:val="738"/>
    <w:next w:val="738"/>
    <w:uiPriority w:val="35"/>
    <w:semiHidden/>
    <w:unhideWhenUsed/>
    <w:qFormat/>
    <w:pPr>
      <w:spacing w:line="276" w:lineRule="auto"/>
    </w:pPr>
    <w:rPr>
      <w:b/>
      <w:bCs/>
      <w:color w:val="4f81bd"/>
      <w:sz w:val="18"/>
      <w:szCs w:val="18"/>
    </w:rPr>
  </w:style>
  <w:style w:type="paragraph" w:styleId="753">
    <w:name w:val="annotation text"/>
    <w:basedOn w:val="738"/>
    <w:link w:val="1110"/>
    <w:uiPriority w:val="99"/>
    <w:semiHidden/>
    <w:unhideWhenUsed/>
    <w:qFormat/>
    <w:pPr>
      <w:jc w:val="left"/>
    </w:pPr>
  </w:style>
  <w:style w:type="paragraph" w:styleId="754">
    <w:name w:val="Body Text Indent"/>
    <w:basedOn w:val="738"/>
    <w:uiPriority w:val="0"/>
    <w:qFormat/>
    <w:rPr>
      <w:rFonts w:ascii="楷体_GB2312" w:eastAsia="楷体_GB2312"/>
      <w:sz w:val="32"/>
      <w:szCs w:val="32"/>
    </w:rPr>
  </w:style>
  <w:style w:type="paragraph" w:styleId="755">
    <w:name w:val="index 4"/>
    <w:basedOn w:val="738"/>
    <w:next w:val="738"/>
    <w:uiPriority w:val="0"/>
    <w:unhideWhenUsed/>
    <w:qFormat/>
    <w:pPr>
      <w:ind w:left="600"/>
    </w:pPr>
    <w:rPr>
      <w:szCs w:val="24"/>
    </w:rPr>
  </w:style>
  <w:style w:type="paragraph" w:styleId="756">
    <w:name w:val="toc 5"/>
    <w:basedOn w:val="738"/>
    <w:next w:val="738"/>
    <w:uiPriority w:val="39"/>
    <w:unhideWhenUsed/>
    <w:qFormat/>
    <w:pPr>
      <w:ind w:left="1134"/>
      <w:spacing w:after="57"/>
    </w:pPr>
  </w:style>
  <w:style w:type="paragraph" w:styleId="757">
    <w:name w:val="toc 3"/>
    <w:basedOn w:val="738"/>
    <w:next w:val="738"/>
    <w:uiPriority w:val="39"/>
    <w:unhideWhenUsed/>
    <w:qFormat/>
    <w:pPr>
      <w:ind w:left="567"/>
      <w:spacing w:after="57"/>
    </w:pPr>
  </w:style>
  <w:style w:type="paragraph" w:styleId="758">
    <w:name w:val="toc 8"/>
    <w:basedOn w:val="738"/>
    <w:next w:val="738"/>
    <w:uiPriority w:val="39"/>
    <w:unhideWhenUsed/>
    <w:qFormat/>
    <w:pPr>
      <w:ind w:left="1984"/>
      <w:spacing w:after="57"/>
    </w:pPr>
  </w:style>
  <w:style w:type="paragraph" w:styleId="759">
    <w:name w:val="endnote text"/>
    <w:basedOn w:val="738"/>
    <w:link w:val="929"/>
    <w:uiPriority w:val="99"/>
    <w:semiHidden/>
    <w:unhideWhenUsed/>
    <w:qFormat/>
    <w:rPr>
      <w:sz w:val="20"/>
    </w:rPr>
  </w:style>
  <w:style w:type="paragraph" w:styleId="760">
    <w:name w:val="Balloon Text"/>
    <w:basedOn w:val="738"/>
    <w:link w:val="1112"/>
    <w:uiPriority w:val="99"/>
    <w:semiHidden/>
    <w:unhideWhenUsed/>
    <w:qFormat/>
    <w:rPr>
      <w:sz w:val="18"/>
      <w:szCs w:val="18"/>
    </w:rPr>
  </w:style>
  <w:style w:type="paragraph" w:styleId="761">
    <w:name w:val="Footer"/>
    <w:basedOn w:val="738"/>
    <w:link w:val="802"/>
    <w:uiPriority w:val="99"/>
    <w:unhideWhenUsed/>
    <w:qFormat/>
    <w:pPr>
      <w:tabs>
        <w:tab w:val="center" w:pos="7143" w:leader="none"/>
        <w:tab w:val="right" w:pos="14287" w:leader="none"/>
      </w:tabs>
    </w:pPr>
  </w:style>
  <w:style w:type="paragraph" w:styleId="762">
    <w:name w:val="Header"/>
    <w:basedOn w:val="738"/>
    <w:link w:val="800"/>
    <w:uiPriority w:val="99"/>
    <w:unhideWhenUsed/>
    <w:qFormat/>
    <w:pPr>
      <w:tabs>
        <w:tab w:val="center" w:pos="7143" w:leader="none"/>
        <w:tab w:val="right" w:pos="14287" w:leader="none"/>
      </w:tabs>
    </w:pPr>
  </w:style>
  <w:style w:type="paragraph" w:styleId="763">
    <w:name w:val="toc 1"/>
    <w:basedOn w:val="738"/>
    <w:next w:val="738"/>
    <w:uiPriority w:val="39"/>
    <w:unhideWhenUsed/>
    <w:qFormat/>
    <w:pPr>
      <w:spacing w:after="57"/>
    </w:pPr>
  </w:style>
  <w:style w:type="paragraph" w:styleId="764">
    <w:name w:val="toc 4"/>
    <w:basedOn w:val="738"/>
    <w:next w:val="738"/>
    <w:uiPriority w:val="39"/>
    <w:unhideWhenUsed/>
    <w:qFormat/>
    <w:pPr>
      <w:ind w:left="850"/>
      <w:spacing w:after="57"/>
    </w:pPr>
  </w:style>
  <w:style w:type="paragraph" w:styleId="765">
    <w:name w:val="Subtitle"/>
    <w:basedOn w:val="738"/>
    <w:next w:val="738"/>
    <w:link w:val="795"/>
    <w:uiPriority w:val="11"/>
    <w:qFormat/>
    <w:pPr>
      <w:spacing w:before="200" w:after="200"/>
    </w:pPr>
    <w:rPr>
      <w:sz w:val="24"/>
      <w:szCs w:val="24"/>
    </w:rPr>
  </w:style>
  <w:style w:type="paragraph" w:styleId="766">
    <w:name w:val="footnote text"/>
    <w:basedOn w:val="738"/>
    <w:link w:val="928"/>
    <w:uiPriority w:val="99"/>
    <w:semiHidden/>
    <w:unhideWhenUsed/>
    <w:qFormat/>
    <w:pPr>
      <w:spacing w:after="40"/>
    </w:pPr>
    <w:rPr>
      <w:sz w:val="18"/>
    </w:rPr>
  </w:style>
  <w:style w:type="paragraph" w:styleId="767">
    <w:name w:val="toc 6"/>
    <w:basedOn w:val="738"/>
    <w:next w:val="738"/>
    <w:uiPriority w:val="39"/>
    <w:unhideWhenUsed/>
    <w:qFormat/>
    <w:pPr>
      <w:ind w:left="1417"/>
      <w:spacing w:after="57"/>
    </w:pPr>
  </w:style>
  <w:style w:type="paragraph" w:styleId="768">
    <w:name w:val="table of figures"/>
    <w:basedOn w:val="738"/>
    <w:next w:val="738"/>
    <w:uiPriority w:val="99"/>
    <w:unhideWhenUsed/>
    <w:qFormat/>
  </w:style>
  <w:style w:type="paragraph" w:styleId="769">
    <w:name w:val="toc 2"/>
    <w:basedOn w:val="738"/>
    <w:next w:val="738"/>
    <w:uiPriority w:val="39"/>
    <w:unhideWhenUsed/>
    <w:qFormat/>
    <w:pPr>
      <w:ind w:left="283"/>
      <w:spacing w:after="57"/>
    </w:pPr>
  </w:style>
  <w:style w:type="paragraph" w:styleId="770">
    <w:name w:val="toc 9"/>
    <w:basedOn w:val="738"/>
    <w:next w:val="738"/>
    <w:uiPriority w:val="39"/>
    <w:unhideWhenUsed/>
    <w:qFormat/>
    <w:pPr>
      <w:ind w:left="2268"/>
      <w:spacing w:after="57"/>
    </w:pPr>
  </w:style>
  <w:style w:type="paragraph" w:styleId="771">
    <w:name w:val="Normal (Web)"/>
    <w:basedOn w:val="738"/>
    <w:uiPriority w:val="0"/>
    <w:qFormat/>
    <w:pPr>
      <w:jc w:val="left"/>
      <w:spacing w:before="100" w:beforeAutospacing="1" w:after="100" w:afterAutospacing="1"/>
      <w:widowControl/>
    </w:pPr>
    <w:rPr>
      <w:rFonts w:ascii="宋体" w:hAnsi="宋体" w:cs="宋体"/>
      <w:sz w:val="24"/>
    </w:rPr>
  </w:style>
  <w:style w:type="paragraph" w:styleId="772">
    <w:name w:val="Title"/>
    <w:basedOn w:val="738"/>
    <w:next w:val="738"/>
    <w:link w:val="794"/>
    <w:uiPriority w:val="10"/>
    <w:qFormat/>
    <w:pPr>
      <w:contextualSpacing/>
      <w:spacing w:before="300" w:after="200"/>
    </w:pPr>
    <w:rPr>
      <w:sz w:val="48"/>
      <w:szCs w:val="48"/>
    </w:rPr>
  </w:style>
  <w:style w:type="paragraph" w:styleId="773">
    <w:name w:val="annotation subject"/>
    <w:basedOn w:val="753"/>
    <w:next w:val="753"/>
    <w:link w:val="1111"/>
    <w:uiPriority w:val="99"/>
    <w:semiHidden/>
    <w:unhideWhenUsed/>
    <w:qFormat/>
    <w:rPr>
      <w:b/>
      <w:bCs/>
    </w:rPr>
  </w:style>
  <w:style w:type="paragraph" w:styleId="774">
    <w:name w:val="Body Text First Indent"/>
    <w:basedOn w:val="750"/>
    <w:uiPriority w:val="0"/>
    <w:qFormat/>
    <w:pPr>
      <w:ind w:firstLine="420"/>
    </w:pPr>
  </w:style>
  <w:style w:type="paragraph" w:styleId="775">
    <w:name w:val="Body Text First Indent 2"/>
    <w:basedOn w:val="754"/>
    <w:next w:val="738"/>
    <w:uiPriority w:val="99"/>
    <w:qFormat/>
    <w:pPr>
      <w:ind w:left="200"/>
      <w:spacing w:after="120"/>
    </w:pPr>
    <w:rPr>
      <w:rFonts w:ascii="Times New Roman"/>
      <w:sz w:val="21"/>
      <w:szCs w:val="22"/>
      <w:lang w:val="en-GB"/>
    </w:rPr>
  </w:style>
  <w:style w:type="table" w:styleId="77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48"/>
    <w:uiPriority w:val="22"/>
    <w:qFormat/>
    <w:rPr>
      <w:b/>
    </w:r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u w:val="single"/>
    </w:rPr>
  </w:style>
  <w:style w:type="character" w:styleId="780">
    <w:name w:val="annotation reference"/>
    <w:uiPriority w:val="99"/>
    <w:semiHidden/>
    <w:unhideWhenUsed/>
    <w:qFormat/>
    <w:rPr>
      <w:sz w:val="21"/>
      <w:szCs w:val="21"/>
    </w:rPr>
  </w:style>
  <w:style w:type="character" w:styleId="781">
    <w:name w:val="footnote reference"/>
    <w:uiPriority w:val="99"/>
    <w:unhideWhenUsed/>
    <w:qFormat/>
    <w:rPr>
      <w:vertAlign w:val="superscript"/>
    </w:rPr>
  </w:style>
  <w:style w:type="paragraph" w:styleId="782" w:customStyle="1">
    <w:name w:val="D标题5"/>
    <w:basedOn w:val="743"/>
    <w:next w:val="783"/>
    <w:uiPriority w:val="0"/>
    <w:qFormat/>
    <w:pPr>
      <w:spacing w:beforeAutospacing="1" w:afterAutospacing="1"/>
      <w:tabs>
        <w:tab w:val="left" w:pos="425" w:leader="none"/>
        <w:tab w:val="left" w:pos="560" w:leader="none"/>
        <w:tab w:val="left" w:pos="851" w:leader="none"/>
      </w:tabs>
    </w:pPr>
    <w:rPr>
      <w:rFonts w:eastAsia="宋体"/>
      <w:sz w:val="21"/>
      <w:szCs w:val="20"/>
    </w:rPr>
  </w:style>
  <w:style w:type="paragraph" w:styleId="783" w:customStyle="1">
    <w:name w:val="D正文"/>
    <w:basedOn w:val="775"/>
    <w:uiPriority w:val="0"/>
    <w:qFormat/>
    <w:pPr>
      <w:ind w:firstLine="496"/>
    </w:pPr>
    <w:rPr>
      <w:rFonts w:ascii="宋体" w:hAnsi="宋体" w:eastAsia="等线" w:cs="宋体"/>
      <w:szCs w:val="24"/>
      <w:lang w:val="zh-CN"/>
    </w:rPr>
  </w:style>
  <w:style w:type="character" w:styleId="784" w:customStyle="1">
    <w:name w:val="标题 1 Char1"/>
    <w:link w:val="739"/>
    <w:uiPriority w:val="9"/>
    <w:qFormat/>
    <w:rPr>
      <w:rFonts w:ascii="Arial" w:hAnsi="Arial" w:eastAsia="Arial" w:cs="Arial"/>
      <w:sz w:val="40"/>
      <w:szCs w:val="40"/>
    </w:rPr>
  </w:style>
  <w:style w:type="character" w:styleId="785" w:customStyle="1">
    <w:name w:val="标题 2 Char1"/>
    <w:link w:val="740"/>
    <w:uiPriority w:val="9"/>
    <w:qFormat/>
    <w:rPr>
      <w:rFonts w:ascii="Arial" w:hAnsi="Arial" w:eastAsia="Arial" w:cs="Arial"/>
      <w:sz w:val="34"/>
    </w:rPr>
  </w:style>
  <w:style w:type="character" w:styleId="786" w:customStyle="1">
    <w:name w:val="标题 3 Char2"/>
    <w:link w:val="741"/>
    <w:uiPriority w:val="9"/>
    <w:qFormat/>
    <w:rPr>
      <w:rFonts w:ascii="Arial" w:hAnsi="Arial" w:eastAsia="Arial" w:cs="Arial"/>
      <w:sz w:val="30"/>
      <w:szCs w:val="30"/>
    </w:rPr>
  </w:style>
  <w:style w:type="character" w:styleId="787" w:customStyle="1">
    <w:name w:val="标题 4 Char1"/>
    <w:link w:val="742"/>
    <w:uiPriority w:val="9"/>
    <w:qFormat/>
    <w:rPr>
      <w:rFonts w:ascii="Arial" w:hAnsi="Arial" w:eastAsia="Arial" w:cs="Arial"/>
      <w:b/>
      <w:bCs/>
      <w:sz w:val="26"/>
      <w:szCs w:val="26"/>
    </w:rPr>
  </w:style>
  <w:style w:type="character" w:styleId="788" w:customStyle="1">
    <w:name w:val="标题 5 Char1"/>
    <w:link w:val="743"/>
    <w:uiPriority w:val="9"/>
    <w:qFormat/>
    <w:rPr>
      <w:rFonts w:ascii="Arial" w:hAnsi="Arial" w:eastAsia="Arial" w:cs="Arial"/>
      <w:b/>
      <w:bCs/>
      <w:sz w:val="24"/>
      <w:szCs w:val="24"/>
    </w:rPr>
  </w:style>
  <w:style w:type="character" w:styleId="789" w:customStyle="1">
    <w:name w:val="标题 6 Char1"/>
    <w:link w:val="744"/>
    <w:uiPriority w:val="9"/>
    <w:qFormat/>
    <w:rPr>
      <w:rFonts w:ascii="Arial" w:hAnsi="Arial" w:eastAsia="Arial" w:cs="Arial"/>
      <w:b/>
      <w:bCs/>
      <w:sz w:val="22"/>
      <w:szCs w:val="22"/>
    </w:rPr>
  </w:style>
  <w:style w:type="character" w:styleId="790" w:customStyle="1">
    <w:name w:val="标题 7 Char1"/>
    <w:link w:val="745"/>
    <w:uiPriority w:val="9"/>
    <w:qFormat/>
    <w:rPr>
      <w:rFonts w:ascii="Arial" w:hAnsi="Arial" w:eastAsia="Arial" w:cs="Arial"/>
      <w:b/>
      <w:bCs/>
      <w:i/>
      <w:iCs/>
      <w:sz w:val="22"/>
      <w:szCs w:val="22"/>
    </w:rPr>
  </w:style>
  <w:style w:type="character" w:styleId="791" w:customStyle="1">
    <w:name w:val="标题 8 Char1"/>
    <w:link w:val="746"/>
    <w:uiPriority w:val="9"/>
    <w:qFormat/>
    <w:rPr>
      <w:rFonts w:ascii="Arial" w:hAnsi="Arial" w:eastAsia="Arial" w:cs="Arial"/>
      <w:i/>
      <w:iCs/>
      <w:sz w:val="22"/>
      <w:szCs w:val="22"/>
    </w:rPr>
  </w:style>
  <w:style w:type="character" w:styleId="792" w:customStyle="1">
    <w:name w:val="标题 9 Char1"/>
    <w:link w:val="747"/>
    <w:uiPriority w:val="9"/>
    <w:qFormat/>
    <w:rPr>
      <w:rFonts w:ascii="Arial" w:hAnsi="Arial" w:eastAsia="Arial" w:cs="Arial"/>
      <w:i/>
      <w:iCs/>
      <w:sz w:val="21"/>
      <w:szCs w:val="21"/>
    </w:rPr>
  </w:style>
  <w:style w:type="paragraph" w:styleId="793">
    <w:name w:val="No Spacing"/>
    <w:uiPriority w:val="1"/>
    <w:qFormat/>
    <w:rPr>
      <w:rFonts w:ascii="Times New Roman" w:hAnsi="Times New Roman" w:eastAsia="宋体" w:cs="Times New Roman"/>
      <w:lang w:val="en-US" w:eastAsia="zh-CN" w:bidi="ar-SA"/>
    </w:rPr>
  </w:style>
  <w:style w:type="character" w:styleId="794" w:customStyle="1">
    <w:name w:val="标题 Char1"/>
    <w:link w:val="772"/>
    <w:uiPriority w:val="10"/>
    <w:qFormat/>
    <w:rPr>
      <w:sz w:val="48"/>
      <w:szCs w:val="48"/>
    </w:rPr>
  </w:style>
  <w:style w:type="character" w:styleId="795" w:customStyle="1">
    <w:name w:val="副标题 Char"/>
    <w:link w:val="765"/>
    <w:uiPriority w:val="11"/>
    <w:qFormat/>
    <w:rPr>
      <w:sz w:val="24"/>
      <w:szCs w:val="24"/>
    </w:rPr>
  </w:style>
  <w:style w:type="paragraph" w:styleId="796">
    <w:name w:val="Quote"/>
    <w:basedOn w:val="738"/>
    <w:next w:val="738"/>
    <w:link w:val="797"/>
    <w:uiPriority w:val="29"/>
    <w:qFormat/>
    <w:pPr>
      <w:ind w:left="720" w:right="720"/>
    </w:pPr>
    <w:rPr>
      <w:i/>
    </w:rPr>
  </w:style>
  <w:style w:type="character" w:styleId="797" w:customStyle="1">
    <w:name w:val="引用 Char"/>
    <w:link w:val="796"/>
    <w:uiPriority w:val="29"/>
    <w:qFormat/>
    <w:rPr>
      <w:i/>
    </w:rPr>
  </w:style>
  <w:style w:type="paragraph" w:styleId="798">
    <w:name w:val="Intense Quote"/>
    <w:basedOn w:val="738"/>
    <w:next w:val="738"/>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30"/>
    <w:qFormat/>
    <w:rPr>
      <w:i/>
    </w:rPr>
  </w:style>
  <w:style w:type="character" w:styleId="800" w:customStyle="1">
    <w:name w:val="页眉 Char1"/>
    <w:link w:val="762"/>
    <w:uiPriority w:val="99"/>
    <w:qFormat/>
  </w:style>
  <w:style w:type="character" w:styleId="801" w:customStyle="1">
    <w:name w:val="Footer Char"/>
    <w:uiPriority w:val="99"/>
    <w:qFormat/>
  </w:style>
  <w:style w:type="character" w:styleId="802" w:customStyle="1">
    <w:name w:val="页脚 Char1"/>
    <w:link w:val="761"/>
    <w:uiPriority w:val="99"/>
    <w:qFormat/>
  </w:style>
  <w:style w:type="table" w:styleId="8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6" w:customStyle="1">
    <w:name w:val="无格式表格 31"/>
    <w:uiPriority w:val="99"/>
    <w:qFormat/>
    <w:tblPr>
      <w:tblCellMar>
        <w:left w:w="0" w:type="dxa"/>
        <w:top w:w="0" w:type="dxa"/>
        <w:right w:w="0" w:type="dxa"/>
        <w:bottom w:w="0" w:type="dxa"/>
      </w:tblCellMar>
    </w:tblPr>
  </w:style>
  <w:style w:type="table" w:styleId="807" w:customStyle="1">
    <w:name w:val="无格式表格 41"/>
    <w:uiPriority w:val="99"/>
    <w:qFormat/>
    <w:tblPr>
      <w:tblCellMar>
        <w:left w:w="0" w:type="dxa"/>
        <w:top w:w="0" w:type="dxa"/>
        <w:right w:w="0" w:type="dxa"/>
        <w:bottom w:w="0" w:type="dxa"/>
      </w:tblCellMar>
    </w:tblPr>
  </w:style>
  <w:style w:type="table" w:styleId="808" w:customStyle="1">
    <w:name w:val="无格式表格 51"/>
    <w:uiPriority w:val="99"/>
    <w:qFormat/>
    <w:tblPr>
      <w:tblCellMar>
        <w:left w:w="0" w:type="dxa"/>
        <w:top w:w="0" w:type="dxa"/>
        <w:right w:w="0" w:type="dxa"/>
        <w:bottom w:w="0" w:type="dxa"/>
      </w:tblCellMar>
    </w:tblPr>
  </w:style>
  <w:style w:type="table" w:styleId="80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清单表 1 浅色1"/>
    <w:uiPriority w:val="99"/>
    <w:qFormat/>
    <w:tblPr>
      <w:tblCellMar>
        <w:left w:w="0" w:type="dxa"/>
        <w:top w:w="0" w:type="dxa"/>
        <w:right w:w="0" w:type="dxa"/>
        <w:bottom w:w="0" w:type="dxa"/>
      </w:tblCellMar>
    </w:tblPr>
  </w:style>
  <w:style w:type="table" w:styleId="859" w:customStyle="1">
    <w:name w:val="List Table 1 Light - Accent 1"/>
    <w:uiPriority w:val="99"/>
    <w:qFormat/>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qFormat/>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Char"/>
    <w:link w:val="766"/>
    <w:uiPriority w:val="99"/>
    <w:qFormat/>
    <w:rPr>
      <w:sz w:val="18"/>
    </w:rPr>
  </w:style>
  <w:style w:type="character" w:styleId="929" w:customStyle="1">
    <w:name w:val="尾注文本 Char"/>
    <w:link w:val="759"/>
    <w:uiPriority w:val="99"/>
    <w:qFormat/>
    <w:rPr>
      <w:sz w:val="20"/>
    </w:rPr>
  </w:style>
  <w:style w:type="paragraph" w:styleId="930" w:customStyle="1">
    <w:name w:val="TOC 标题1"/>
    <w:uiPriority w:val="39"/>
    <w:unhideWhenUsed/>
    <w:qFormat/>
    <w:rPr>
      <w:rFonts w:ascii="Times New Roman" w:hAnsi="Times New Roman" w:eastAsia="宋体" w:cs="Times New Roman"/>
      <w:lang w:val="en-US" w:eastAsia="zh-CN" w:bidi="ar-SA"/>
    </w:rPr>
  </w:style>
  <w:style w:type="paragraph" w:styleId="931" w:customStyle="1">
    <w:name w:val="标题 11"/>
    <w:basedOn w:val="738"/>
    <w:next w:val="738"/>
    <w:link w:val="964"/>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32" w:customStyle="1">
    <w:name w:val="标题 21"/>
    <w:basedOn w:val="738"/>
    <w:next w:val="738"/>
    <w:link w:val="965"/>
    <w:uiPriority w:val="99"/>
    <w:qFormat/>
    <w:pPr>
      <w:numPr>
        <w:ilvl w:val="1"/>
        <w:numId w:val="1"/>
      </w:numPr>
      <w:jc w:val="left"/>
      <w:keepLines/>
      <w:keepNext/>
      <w:spacing w:before="120" w:after="120"/>
      <w:outlineLvl w:val="1"/>
    </w:pPr>
    <w:rPr>
      <w:rFonts w:ascii="Cambria" w:hAnsi="Cambria"/>
      <w:b/>
      <w:bCs/>
      <w:sz w:val="32"/>
      <w:szCs w:val="32"/>
    </w:rPr>
  </w:style>
  <w:style w:type="paragraph" w:styleId="933" w:customStyle="1">
    <w:name w:val="标题 31"/>
    <w:basedOn w:val="738"/>
    <w:next w:val="738"/>
    <w:link w:val="966"/>
    <w:uiPriority w:val="99"/>
    <w:qFormat/>
    <w:pPr>
      <w:numPr>
        <w:ilvl w:val="2"/>
        <w:numId w:val="1"/>
      </w:numPr>
      <w:keepLines/>
      <w:keepNext/>
      <w:spacing w:before="120" w:after="120"/>
      <w:outlineLvl w:val="2"/>
    </w:pPr>
    <w:rPr>
      <w:b/>
      <w:bCs/>
      <w:sz w:val="32"/>
      <w:szCs w:val="32"/>
    </w:rPr>
  </w:style>
  <w:style w:type="paragraph" w:styleId="934" w:customStyle="1">
    <w:name w:val="标题 41"/>
    <w:basedOn w:val="935"/>
    <w:next w:val="947"/>
    <w:link w:val="967"/>
    <w:uiPriority w:val="99"/>
    <w:qFormat/>
    <w:pPr>
      <w:numPr>
        <w:ilvl w:val="3"/>
        <w:numId w:val="1"/>
      </w:numPr>
      <w:keepLines/>
      <w:keepNext/>
      <w:spacing w:before="120" w:after="120"/>
      <w:outlineLvl w:val="3"/>
    </w:pPr>
    <w:rPr>
      <w:rFonts w:ascii="Cambria" w:hAnsi="Cambria"/>
      <w:b/>
      <w:bCs/>
      <w:sz w:val="28"/>
      <w:szCs w:val="28"/>
    </w:rPr>
  </w:style>
  <w:style w:type="paragraph" w:styleId="935" w:customStyle="1">
    <w:name w:val="正文1121"/>
    <w:next w:val="936"/>
    <w:uiPriority w:val="0"/>
    <w:qFormat/>
    <w:pPr>
      <w:jc w:val="both"/>
      <w:widowControl w:val="off"/>
    </w:pPr>
    <w:rPr>
      <w:rFonts w:ascii="Calibri" w:hAnsi="Calibri" w:eastAsia="宋体" w:cs="Times New Roman"/>
      <w:sz w:val="21"/>
      <w:szCs w:val="24"/>
      <w:lang w:val="en-US" w:eastAsia="zh-CN" w:bidi="ar-SA"/>
    </w:rPr>
  </w:style>
  <w:style w:type="paragraph" w:styleId="936" w:customStyle="1">
    <w:name w:val="正文文本111"/>
    <w:basedOn w:val="935"/>
    <w:next w:val="937"/>
    <w:uiPriority w:val="0"/>
    <w:qFormat/>
  </w:style>
  <w:style w:type="paragraph" w:styleId="937" w:customStyle="1">
    <w:name w:val="正文12"/>
    <w:next w:val="93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38" w:customStyle="1">
    <w:name w:val="脚注文本1"/>
    <w:next w:val="939"/>
    <w:uiPriority w:val="0"/>
    <w:qFormat/>
    <w:rPr>
      <w:rFonts w:ascii="Calibri" w:hAnsi="Calibri" w:eastAsia="宋体" w:cs="Times New Roman"/>
      <w:sz w:val="18"/>
      <w:szCs w:val="18"/>
      <w:lang w:val="en-US" w:eastAsia="zh-CN" w:bidi="ar-SA"/>
    </w:rPr>
  </w:style>
  <w:style w:type="paragraph" w:styleId="939" w:customStyle="1">
    <w:name w:val="索引 51"/>
    <w:basedOn w:val="940"/>
    <w:next w:val="941"/>
    <w:uiPriority w:val="99"/>
    <w:semiHidden/>
    <w:qFormat/>
    <w:pPr>
      <w:ind w:left="1680"/>
    </w:pPr>
  </w:style>
  <w:style w:type="paragraph" w:styleId="940" w:customStyle="1">
    <w:name w:val="文本块11"/>
    <w:basedOn w:val="937"/>
    <w:uiPriority w:val="0"/>
    <w:qFormat/>
    <w:pPr>
      <w:ind w:left="1440" w:right="1440"/>
      <w:spacing w:after="120"/>
    </w:pPr>
  </w:style>
  <w:style w:type="paragraph" w:styleId="941" w:customStyle="1">
    <w:name w:val="正文1"/>
    <w:next w:val="942"/>
    <w:uiPriority w:val="0"/>
    <w:qFormat/>
    <w:pPr>
      <w:ind w:firstLine="420"/>
    </w:pPr>
    <w:rPr>
      <w:rFonts w:ascii="Times New Roman" w:hAnsi="Times New Roman" w:eastAsia="宋体" w:cs="宋体"/>
      <w:lang w:val="en-US" w:eastAsia="zh-CN" w:bidi="ar-SA"/>
    </w:rPr>
  </w:style>
  <w:style w:type="paragraph" w:styleId="942" w:customStyle="1">
    <w:name w:val="正文文本1"/>
    <w:basedOn w:val="943"/>
    <w:next w:val="953"/>
    <w:link w:val="984"/>
    <w:uiPriority w:val="99"/>
    <w:qFormat/>
    <w:rPr>
      <w:sz w:val="20"/>
    </w:rPr>
  </w:style>
  <w:style w:type="paragraph" w:styleId="943" w:customStyle="1">
    <w:name w:val="正文13"/>
    <w:next w:val="944"/>
    <w:uiPriority w:val="0"/>
    <w:qFormat/>
    <w:pPr>
      <w:jc w:val="both"/>
      <w:widowControl w:val="off"/>
    </w:pPr>
    <w:rPr>
      <w:rFonts w:ascii="Times New Roman" w:hAnsi="Times New Roman" w:eastAsia="宋体" w:cs="Times New Roman"/>
      <w:sz w:val="21"/>
      <w:szCs w:val="24"/>
      <w:lang w:val="en-US" w:eastAsia="zh-CN" w:bidi="ar-SA"/>
    </w:rPr>
  </w:style>
  <w:style w:type="paragraph" w:styleId="944" w:customStyle="1">
    <w:name w:val="正文首行缩进1"/>
    <w:basedOn w:val="945"/>
    <w:next w:val="950"/>
    <w:link w:val="1025"/>
    <w:uiPriority w:val="99"/>
    <w:qFormat/>
    <w:pPr>
      <w:ind w:firstLine="420"/>
    </w:pPr>
    <w:rPr>
      <w:sz w:val="21"/>
      <w:szCs w:val="24"/>
    </w:rPr>
  </w:style>
  <w:style w:type="paragraph" w:styleId="945" w:customStyle="1">
    <w:name w:val="正文文本11"/>
    <w:basedOn w:val="946"/>
    <w:next w:val="947"/>
    <w:uiPriority w:val="0"/>
    <w:qFormat/>
    <w:pPr>
      <w:spacing w:after="120"/>
    </w:pPr>
    <w:rPr>
      <w:sz w:val="20"/>
      <w:szCs w:val="20"/>
    </w:rPr>
  </w:style>
  <w:style w:type="paragraph" w:styleId="946" w:customStyle="1">
    <w:name w:val="正文112"/>
    <w:next w:val="944"/>
    <w:uiPriority w:val="0"/>
    <w:qFormat/>
    <w:pPr>
      <w:jc w:val="both"/>
      <w:widowControl w:val="off"/>
    </w:pPr>
    <w:rPr>
      <w:rFonts w:ascii="Times New Roman" w:hAnsi="Times New Roman" w:eastAsia="宋体" w:cs="Times New Roman"/>
      <w:sz w:val="21"/>
      <w:szCs w:val="24"/>
      <w:lang w:val="en-US" w:eastAsia="zh-CN" w:bidi="ar-SA"/>
    </w:rPr>
  </w:style>
  <w:style w:type="paragraph" w:styleId="947" w:customStyle="1">
    <w:name w:val="正文11"/>
    <w:next w:val="948"/>
    <w:uiPriority w:val="0"/>
    <w:qFormat/>
    <w:pPr>
      <w:jc w:val="both"/>
      <w:widowControl w:val="off"/>
    </w:pPr>
    <w:rPr>
      <w:rFonts w:ascii="Calibri" w:hAnsi="Calibri" w:eastAsia="宋体" w:cs="Times New Roman"/>
      <w:sz w:val="21"/>
      <w:szCs w:val="24"/>
      <w:lang w:val="en-US" w:eastAsia="zh-CN" w:bidi="ar-SA"/>
    </w:rPr>
  </w:style>
  <w:style w:type="paragraph" w:styleId="948" w:customStyle="1">
    <w:name w:val="文本块1"/>
    <w:basedOn w:val="949"/>
    <w:next w:val="934"/>
    <w:uiPriority w:val="0"/>
    <w:qFormat/>
    <w:pPr>
      <w:ind w:left="1440" w:right="1440"/>
      <w:spacing w:after="120"/>
    </w:pPr>
  </w:style>
  <w:style w:type="paragraph" w:styleId="949" w:customStyle="1">
    <w:name w:val="正文111"/>
    <w:next w:val="738"/>
    <w:uiPriority w:val="0"/>
    <w:qFormat/>
    <w:pPr>
      <w:jc w:val="both"/>
      <w:widowControl w:val="off"/>
    </w:pPr>
    <w:rPr>
      <w:rFonts w:ascii="Times New Roman" w:hAnsi="Times New Roman" w:eastAsia="宋体" w:cs="Times New Roman"/>
      <w:sz w:val="21"/>
      <w:szCs w:val="24"/>
      <w:lang w:val="en-US" w:eastAsia="zh-CN" w:bidi="ar-SA"/>
    </w:rPr>
  </w:style>
  <w:style w:type="paragraph" w:styleId="950" w:customStyle="1">
    <w:name w:val="正文首行缩进 211"/>
    <w:basedOn w:val="951"/>
    <w:next w:val="738"/>
    <w:uiPriority w:val="99"/>
    <w:qFormat/>
    <w:pPr>
      <w:ind w:firstLine="420"/>
      <w:spacing w:line="360" w:lineRule="auto"/>
    </w:pPr>
    <w:rPr>
      <w:rFonts w:ascii="宋体" w:hAnsi="宋体"/>
    </w:rPr>
  </w:style>
  <w:style w:type="paragraph" w:styleId="951" w:customStyle="1">
    <w:name w:val="正文文本缩进11"/>
    <w:basedOn w:val="946"/>
    <w:next w:val="952"/>
    <w:link w:val="985"/>
    <w:uiPriority w:val="99"/>
    <w:qFormat/>
    <w:pPr>
      <w:ind w:firstLine="645"/>
    </w:pPr>
    <w:rPr>
      <w:sz w:val="20"/>
    </w:rPr>
  </w:style>
  <w:style w:type="paragraph" w:styleId="952" w:customStyle="1">
    <w:name w:val="寄信人地址1"/>
    <w:basedOn w:val="738"/>
    <w:uiPriority w:val="0"/>
    <w:qFormat/>
    <w:rPr>
      <w:rFonts w:ascii="Arial" w:hAnsi="Arial" w:cs="宋体"/>
    </w:rPr>
  </w:style>
  <w:style w:type="paragraph" w:styleId="953" w:customStyle="1">
    <w:name w:val="一级条标题"/>
    <w:basedOn w:val="954"/>
    <w:next w:val="955"/>
    <w:uiPriority w:val="0"/>
    <w:qFormat/>
    <w:pPr>
      <w:ind w:left="360"/>
      <w:tabs>
        <w:tab w:val="left" w:pos="810" w:leader="none"/>
        <w:tab w:val="left" w:pos="1265" w:leader="none"/>
      </w:tabs>
      <w:outlineLvl w:val="2"/>
    </w:pPr>
  </w:style>
  <w:style w:type="paragraph" w:styleId="954" w:customStyle="1">
    <w:name w:val="章标题"/>
    <w:next w:val="73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5" w:customStyle="1">
    <w:name w:val="段"/>
    <w:next w:val="73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56" w:customStyle="1">
    <w:name w:val="标题 51"/>
    <w:basedOn w:val="738"/>
    <w:next w:val="957"/>
    <w:link w:val="968"/>
    <w:uiPriority w:val="99"/>
    <w:qFormat/>
    <w:pPr>
      <w:numPr>
        <w:ilvl w:val="4"/>
        <w:numId w:val="1"/>
      </w:numPr>
      <w:keepNext/>
      <w:spacing w:before="156" w:after="156"/>
      <w:outlineLvl w:val="4"/>
    </w:pPr>
    <w:rPr>
      <w:b/>
      <w:bCs/>
      <w:sz w:val="28"/>
      <w:szCs w:val="28"/>
    </w:rPr>
  </w:style>
  <w:style w:type="paragraph" w:styleId="957" w:customStyle="1">
    <w:name w:val="正文缩进1"/>
    <w:basedOn w:val="738"/>
    <w:link w:val="969"/>
    <w:uiPriority w:val="0"/>
    <w:qFormat/>
    <w:pPr>
      <w:ind w:firstLine="420"/>
    </w:pPr>
  </w:style>
  <w:style w:type="paragraph" w:styleId="958" w:customStyle="1">
    <w:name w:val="标题 61"/>
    <w:basedOn w:val="738"/>
    <w:next w:val="738"/>
    <w:link w:val="97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59" w:customStyle="1">
    <w:name w:val="标题 71"/>
    <w:basedOn w:val="738"/>
    <w:next w:val="738"/>
    <w:link w:val="971"/>
    <w:uiPriority w:val="99"/>
    <w:qFormat/>
    <w:pPr>
      <w:numPr>
        <w:ilvl w:val="6"/>
        <w:numId w:val="1"/>
      </w:numPr>
      <w:keepLines/>
      <w:keepNext/>
      <w:spacing w:before="240" w:after="64" w:line="320" w:lineRule="auto"/>
      <w:outlineLvl w:val="6"/>
    </w:pPr>
    <w:rPr>
      <w:b/>
      <w:bCs/>
      <w:sz w:val="24"/>
      <w:szCs w:val="24"/>
    </w:rPr>
  </w:style>
  <w:style w:type="paragraph" w:styleId="960" w:customStyle="1">
    <w:name w:val="标题 81"/>
    <w:basedOn w:val="738"/>
    <w:next w:val="738"/>
    <w:link w:val="972"/>
    <w:uiPriority w:val="99"/>
    <w:qFormat/>
    <w:pPr>
      <w:numPr>
        <w:ilvl w:val="7"/>
        <w:numId w:val="1"/>
      </w:numPr>
      <w:keepLines/>
      <w:keepNext/>
      <w:spacing w:before="240" w:after="64" w:line="320" w:lineRule="auto"/>
      <w:outlineLvl w:val="7"/>
    </w:pPr>
    <w:rPr>
      <w:rFonts w:ascii="Cambria" w:hAnsi="Cambria"/>
      <w:sz w:val="24"/>
      <w:szCs w:val="24"/>
    </w:rPr>
  </w:style>
  <w:style w:type="paragraph" w:styleId="961" w:customStyle="1">
    <w:name w:val="标题 91"/>
    <w:basedOn w:val="738"/>
    <w:next w:val="738"/>
    <w:link w:val="973"/>
    <w:uiPriority w:val="99"/>
    <w:qFormat/>
    <w:pPr>
      <w:numPr>
        <w:ilvl w:val="8"/>
        <w:numId w:val="1"/>
      </w:numPr>
      <w:keepLines/>
      <w:keepNext/>
      <w:spacing w:before="240" w:after="64" w:line="320" w:lineRule="auto"/>
      <w:outlineLvl w:val="8"/>
    </w:pPr>
    <w:rPr>
      <w:rFonts w:ascii="Cambria" w:hAnsi="Cambria"/>
      <w:szCs w:val="21"/>
    </w:rPr>
  </w:style>
  <w:style w:type="character" w:styleId="962" w:customStyle="1">
    <w:name w:val="默认段落字体1"/>
    <w:uiPriority w:val="1"/>
    <w:unhideWhenUsed/>
    <w:qFormat/>
  </w:style>
  <w:style w:type="table" w:styleId="963" w:customStyle="1">
    <w:name w:val="普通表格1"/>
    <w:uiPriority w:val="99"/>
    <w:unhideWhenUsed/>
    <w:qFormat/>
    <w:tblPr>
      <w:tblCellMar>
        <w:left w:w="0" w:type="dxa"/>
        <w:top w:w="0" w:type="dxa"/>
        <w:right w:w="0" w:type="dxa"/>
        <w:bottom w:w="0" w:type="dxa"/>
      </w:tblCellMar>
    </w:tblPr>
  </w:style>
  <w:style w:type="character" w:styleId="964" w:customStyle="1">
    <w:name w:val="标题 1 Char"/>
    <w:link w:val="931"/>
    <w:uiPriority w:val="0"/>
    <w:qFormat/>
    <w:rPr>
      <w:rFonts w:ascii="黑体" w:eastAsia="黑体"/>
      <w:b/>
      <w:sz w:val="28"/>
    </w:rPr>
  </w:style>
  <w:style w:type="character" w:styleId="965" w:customStyle="1">
    <w:name w:val="标题 2 Char"/>
    <w:link w:val="932"/>
    <w:uiPriority w:val="99"/>
    <w:qFormat/>
    <w:rPr>
      <w:rFonts w:ascii="Cambria" w:hAnsi="Cambria"/>
      <w:b/>
      <w:bCs/>
      <w:sz w:val="32"/>
      <w:szCs w:val="32"/>
    </w:rPr>
  </w:style>
  <w:style w:type="character" w:styleId="966" w:customStyle="1">
    <w:name w:val="标题 3 Char1"/>
    <w:link w:val="933"/>
    <w:uiPriority w:val="99"/>
    <w:qFormat/>
    <w:rPr>
      <w:b/>
      <w:bCs/>
      <w:sz w:val="32"/>
      <w:szCs w:val="32"/>
    </w:rPr>
  </w:style>
  <w:style w:type="character" w:styleId="967" w:customStyle="1">
    <w:name w:val="标题 4 Char"/>
    <w:link w:val="934"/>
    <w:uiPriority w:val="99"/>
    <w:qFormat/>
    <w:rPr>
      <w:rFonts w:ascii="Cambria" w:hAnsi="Cambria"/>
      <w:b/>
      <w:bCs/>
      <w:sz w:val="28"/>
      <w:szCs w:val="28"/>
    </w:rPr>
  </w:style>
  <w:style w:type="character" w:styleId="968" w:customStyle="1">
    <w:name w:val="标题 5 Char"/>
    <w:link w:val="956"/>
    <w:uiPriority w:val="99"/>
    <w:qFormat/>
    <w:rPr>
      <w:b/>
      <w:bCs/>
      <w:sz w:val="28"/>
      <w:szCs w:val="28"/>
    </w:rPr>
  </w:style>
  <w:style w:type="character" w:styleId="969" w:customStyle="1">
    <w:name w:val="正文缩进 Char"/>
    <w:link w:val="957"/>
    <w:uiPriority w:val="0"/>
    <w:qFormat/>
    <w:rPr>
      <w:rFonts w:eastAsia="宋体" w:cs="Times New Roman"/>
      <w:sz w:val="21"/>
      <w:lang w:val="en-US" w:eastAsia="zh-CN" w:bidi="ar-SA"/>
    </w:rPr>
  </w:style>
  <w:style w:type="character" w:styleId="970" w:customStyle="1">
    <w:name w:val="标题 6 Char"/>
    <w:link w:val="958"/>
    <w:uiPriority w:val="99"/>
    <w:qFormat/>
    <w:rPr>
      <w:rFonts w:ascii="Cambria" w:hAnsi="Cambria"/>
      <w:b/>
      <w:bCs/>
      <w:sz w:val="24"/>
      <w:szCs w:val="24"/>
    </w:rPr>
  </w:style>
  <w:style w:type="character" w:styleId="971" w:customStyle="1">
    <w:name w:val="标题 7 Char"/>
    <w:link w:val="959"/>
    <w:uiPriority w:val="99"/>
    <w:qFormat/>
    <w:rPr>
      <w:b/>
      <w:bCs/>
      <w:sz w:val="24"/>
      <w:szCs w:val="24"/>
    </w:rPr>
  </w:style>
  <w:style w:type="character" w:styleId="972" w:customStyle="1">
    <w:name w:val="标题 8 Char"/>
    <w:link w:val="960"/>
    <w:uiPriority w:val="99"/>
    <w:qFormat/>
    <w:rPr>
      <w:rFonts w:ascii="Cambria" w:hAnsi="Cambria"/>
      <w:sz w:val="24"/>
      <w:szCs w:val="24"/>
    </w:rPr>
  </w:style>
  <w:style w:type="character" w:styleId="973" w:customStyle="1">
    <w:name w:val="标题 9 Char"/>
    <w:link w:val="961"/>
    <w:uiPriority w:val="99"/>
    <w:qFormat/>
    <w:rPr>
      <w:rFonts w:ascii="Cambria" w:hAnsi="Cambria"/>
      <w:sz w:val="21"/>
      <w:szCs w:val="21"/>
    </w:rPr>
  </w:style>
  <w:style w:type="paragraph" w:styleId="974" w:customStyle="1">
    <w:name w:val="列表 31"/>
    <w:basedOn w:val="738"/>
    <w:uiPriority w:val="99"/>
    <w:qFormat/>
    <w:pPr>
      <w:ind w:left="1260" w:hanging="420"/>
    </w:pPr>
  </w:style>
  <w:style w:type="paragraph" w:styleId="975" w:customStyle="1">
    <w:name w:val="目录 71"/>
    <w:basedOn w:val="738"/>
    <w:next w:val="738"/>
    <w:uiPriority w:val="99"/>
    <w:semiHidden/>
    <w:qFormat/>
    <w:pPr>
      <w:ind w:left="1260"/>
      <w:jc w:val="left"/>
    </w:pPr>
    <w:rPr>
      <w:sz w:val="18"/>
    </w:rPr>
  </w:style>
  <w:style w:type="paragraph" w:styleId="976" w:customStyle="1">
    <w:name w:val="索引 81"/>
    <w:basedOn w:val="738"/>
    <w:next w:val="738"/>
    <w:uiPriority w:val="99"/>
    <w:semiHidden/>
    <w:qFormat/>
    <w:pPr>
      <w:ind w:left="2940"/>
    </w:pPr>
  </w:style>
  <w:style w:type="paragraph" w:styleId="977" w:customStyle="1">
    <w:name w:val="文档结构图1"/>
    <w:basedOn w:val="738"/>
    <w:link w:val="978"/>
    <w:uiPriority w:val="99"/>
    <w:semiHidden/>
    <w:qFormat/>
    <w:pPr>
      <w:shd w:val="clear" w:color="auto" w:fill="000080"/>
    </w:pPr>
    <w:rPr>
      <w:sz w:val="2"/>
    </w:rPr>
  </w:style>
  <w:style w:type="character" w:styleId="978" w:customStyle="1">
    <w:name w:val="文档结构图 Char"/>
    <w:link w:val="977"/>
    <w:uiPriority w:val="99"/>
    <w:semiHidden/>
    <w:qFormat/>
    <w:rPr>
      <w:rFonts w:cs="Times New Roman"/>
      <w:sz w:val="2"/>
    </w:rPr>
  </w:style>
  <w:style w:type="paragraph" w:styleId="979" w:customStyle="1">
    <w:name w:val="批注文字1"/>
    <w:basedOn w:val="738"/>
    <w:link w:val="980"/>
    <w:uiPriority w:val="0"/>
    <w:qFormat/>
    <w:pPr>
      <w:jc w:val="left"/>
    </w:pPr>
    <w:rPr>
      <w:sz w:val="20"/>
    </w:rPr>
  </w:style>
  <w:style w:type="character" w:styleId="980" w:customStyle="1">
    <w:name w:val="批注文字 Char"/>
    <w:link w:val="979"/>
    <w:uiPriority w:val="0"/>
    <w:qFormat/>
    <w:rPr>
      <w:rFonts w:cs="Times New Roman"/>
      <w:sz w:val="20"/>
      <w:szCs w:val="20"/>
    </w:rPr>
  </w:style>
  <w:style w:type="paragraph" w:styleId="981" w:customStyle="1">
    <w:name w:val="索引 61"/>
    <w:basedOn w:val="738"/>
    <w:next w:val="738"/>
    <w:uiPriority w:val="99"/>
    <w:semiHidden/>
    <w:qFormat/>
    <w:pPr>
      <w:ind w:left="2100"/>
    </w:pPr>
  </w:style>
  <w:style w:type="paragraph" w:styleId="982" w:customStyle="1">
    <w:name w:val="正文文本 31"/>
    <w:basedOn w:val="738"/>
    <w:link w:val="983"/>
    <w:uiPriority w:val="99"/>
    <w:qFormat/>
    <w:rPr>
      <w:sz w:val="16"/>
      <w:szCs w:val="16"/>
    </w:rPr>
  </w:style>
  <w:style w:type="character" w:styleId="983" w:customStyle="1">
    <w:name w:val="正文文本 3 Char"/>
    <w:link w:val="982"/>
    <w:uiPriority w:val="99"/>
    <w:semiHidden/>
    <w:qFormat/>
    <w:rPr>
      <w:rFonts w:cs="Times New Roman"/>
      <w:sz w:val="16"/>
      <w:szCs w:val="16"/>
    </w:rPr>
  </w:style>
  <w:style w:type="character" w:styleId="984" w:customStyle="1">
    <w:name w:val="正文文本 Char"/>
    <w:link w:val="942"/>
    <w:uiPriority w:val="99"/>
    <w:semiHidden/>
    <w:qFormat/>
    <w:rPr>
      <w:rFonts w:cs="Times New Roman"/>
      <w:sz w:val="20"/>
      <w:szCs w:val="20"/>
    </w:rPr>
  </w:style>
  <w:style w:type="character" w:styleId="985" w:customStyle="1">
    <w:name w:val="正文文本缩进 Char"/>
    <w:link w:val="951"/>
    <w:uiPriority w:val="99"/>
    <w:semiHidden/>
    <w:qFormat/>
    <w:rPr>
      <w:rFonts w:cs="Times New Roman"/>
      <w:sz w:val="20"/>
      <w:szCs w:val="20"/>
    </w:rPr>
  </w:style>
  <w:style w:type="paragraph" w:styleId="986" w:customStyle="1">
    <w:name w:val="索引 41"/>
    <w:basedOn w:val="738"/>
    <w:next w:val="738"/>
    <w:uiPriority w:val="99"/>
    <w:semiHidden/>
    <w:qFormat/>
    <w:pPr>
      <w:ind w:left="1260"/>
    </w:pPr>
  </w:style>
  <w:style w:type="paragraph" w:styleId="987" w:customStyle="1">
    <w:name w:val="目录 51"/>
    <w:basedOn w:val="738"/>
    <w:next w:val="738"/>
    <w:uiPriority w:val="99"/>
    <w:semiHidden/>
    <w:qFormat/>
    <w:pPr>
      <w:ind w:left="840"/>
      <w:jc w:val="left"/>
    </w:pPr>
    <w:rPr>
      <w:sz w:val="18"/>
    </w:rPr>
  </w:style>
  <w:style w:type="paragraph" w:styleId="988" w:customStyle="1">
    <w:name w:val="目录 31"/>
    <w:basedOn w:val="738"/>
    <w:next w:val="738"/>
    <w:uiPriority w:val="99"/>
    <w:semiHidden/>
    <w:qFormat/>
    <w:pPr>
      <w:ind w:left="420"/>
      <w:jc w:val="left"/>
    </w:pPr>
    <w:rPr>
      <w:i/>
      <w:sz w:val="20"/>
    </w:rPr>
  </w:style>
  <w:style w:type="paragraph" w:styleId="989" w:customStyle="1">
    <w:name w:val="纯文本1"/>
    <w:basedOn w:val="738"/>
    <w:link w:val="990"/>
    <w:uiPriority w:val="0"/>
    <w:qFormat/>
    <w:rPr>
      <w:rFonts w:ascii="宋体" w:hAnsi="Courier New"/>
      <w:szCs w:val="21"/>
    </w:rPr>
  </w:style>
  <w:style w:type="character" w:styleId="990" w:customStyle="1">
    <w:name w:val="纯文本 Char"/>
    <w:link w:val="989"/>
    <w:uiPriority w:val="0"/>
    <w:qFormat/>
    <w:rPr>
      <w:rFonts w:ascii="宋体" w:hAnsi="Courier New" w:cs="Courier New"/>
      <w:sz w:val="21"/>
      <w:szCs w:val="21"/>
    </w:rPr>
  </w:style>
  <w:style w:type="paragraph" w:styleId="991" w:customStyle="1">
    <w:name w:val="目录 81"/>
    <w:basedOn w:val="738"/>
    <w:next w:val="738"/>
    <w:uiPriority w:val="99"/>
    <w:semiHidden/>
    <w:qFormat/>
    <w:pPr>
      <w:ind w:left="1470"/>
      <w:jc w:val="left"/>
    </w:pPr>
    <w:rPr>
      <w:sz w:val="18"/>
    </w:rPr>
  </w:style>
  <w:style w:type="paragraph" w:styleId="992" w:customStyle="1">
    <w:name w:val="索引 31"/>
    <w:basedOn w:val="738"/>
    <w:next w:val="738"/>
    <w:uiPriority w:val="99"/>
    <w:semiHidden/>
    <w:qFormat/>
    <w:pPr>
      <w:ind w:left="840"/>
    </w:pPr>
  </w:style>
  <w:style w:type="paragraph" w:styleId="993" w:customStyle="1">
    <w:name w:val="日期1"/>
    <w:basedOn w:val="738"/>
    <w:next w:val="738"/>
    <w:link w:val="994"/>
    <w:uiPriority w:val="99"/>
    <w:qFormat/>
    <w:pPr>
      <w:ind w:left="100"/>
    </w:pPr>
    <w:rPr>
      <w:sz w:val="20"/>
    </w:rPr>
  </w:style>
  <w:style w:type="character" w:styleId="994" w:customStyle="1">
    <w:name w:val="日期 Char"/>
    <w:link w:val="993"/>
    <w:uiPriority w:val="99"/>
    <w:semiHidden/>
    <w:qFormat/>
    <w:rPr>
      <w:rFonts w:cs="Times New Roman"/>
      <w:sz w:val="20"/>
      <w:szCs w:val="20"/>
    </w:rPr>
  </w:style>
  <w:style w:type="paragraph" w:styleId="995" w:customStyle="1">
    <w:name w:val="正文文本缩进 21"/>
    <w:basedOn w:val="738"/>
    <w:link w:val="996"/>
    <w:uiPriority w:val="99"/>
    <w:qFormat/>
    <w:pPr>
      <w:ind w:left="630" w:firstLine="645"/>
    </w:pPr>
    <w:rPr>
      <w:sz w:val="20"/>
    </w:rPr>
  </w:style>
  <w:style w:type="character" w:styleId="996" w:customStyle="1">
    <w:name w:val="正文文本缩进 2 Char"/>
    <w:link w:val="995"/>
    <w:uiPriority w:val="99"/>
    <w:semiHidden/>
    <w:qFormat/>
    <w:rPr>
      <w:rFonts w:cs="Times New Roman"/>
      <w:sz w:val="20"/>
      <w:szCs w:val="20"/>
    </w:rPr>
  </w:style>
  <w:style w:type="paragraph" w:styleId="997" w:customStyle="1">
    <w:name w:val="批注框文本1"/>
    <w:basedOn w:val="738"/>
    <w:link w:val="998"/>
    <w:uiPriority w:val="99"/>
    <w:semiHidden/>
    <w:qFormat/>
    <w:rPr>
      <w:sz w:val="18"/>
      <w:szCs w:val="18"/>
    </w:rPr>
  </w:style>
  <w:style w:type="character" w:styleId="998" w:customStyle="1">
    <w:name w:val="批注框文本 Char"/>
    <w:link w:val="997"/>
    <w:uiPriority w:val="99"/>
    <w:semiHidden/>
    <w:qFormat/>
    <w:rPr>
      <w:sz w:val="18"/>
      <w:szCs w:val="18"/>
    </w:rPr>
  </w:style>
  <w:style w:type="paragraph" w:styleId="999" w:customStyle="1">
    <w:name w:val="页脚1"/>
    <w:basedOn w:val="738"/>
    <w:link w:val="1000"/>
    <w:uiPriority w:val="99"/>
    <w:qFormat/>
    <w:pPr>
      <w:jc w:val="left"/>
      <w:tabs>
        <w:tab w:val="center" w:pos="4153" w:leader="none"/>
        <w:tab w:val="right" w:pos="8306" w:leader="none"/>
      </w:tabs>
    </w:pPr>
    <w:rPr>
      <w:sz w:val="18"/>
    </w:rPr>
  </w:style>
  <w:style w:type="character" w:styleId="1000" w:customStyle="1">
    <w:name w:val="页脚 Char"/>
    <w:link w:val="999"/>
    <w:uiPriority w:val="99"/>
    <w:qFormat/>
    <w:rPr>
      <w:rFonts w:eastAsia="宋体" w:cs="Times New Roman"/>
      <w:sz w:val="18"/>
      <w:lang w:val="en-US" w:eastAsia="zh-CN" w:bidi="ar-SA"/>
    </w:rPr>
  </w:style>
  <w:style w:type="paragraph" w:styleId="1001" w:customStyle="1">
    <w:name w:val="页眉1"/>
    <w:basedOn w:val="738"/>
    <w:link w:val="1002"/>
    <w:uiPriority w:val="99"/>
    <w:qFormat/>
    <w:pPr>
      <w:jc w:val="center"/>
      <w:tabs>
        <w:tab w:val="center" w:pos="4153" w:leader="none"/>
        <w:tab w:val="right" w:pos="8306" w:leader="none"/>
      </w:tabs>
      <w:pBdr>
        <w:bottom w:val="single" w:color="000000" w:sz="6" w:space="1"/>
      </w:pBdr>
    </w:pPr>
    <w:rPr>
      <w:sz w:val="18"/>
    </w:rPr>
  </w:style>
  <w:style w:type="character" w:styleId="1002" w:customStyle="1">
    <w:name w:val="页眉 Char"/>
    <w:link w:val="1001"/>
    <w:uiPriority w:val="99"/>
    <w:semiHidden/>
    <w:qFormat/>
    <w:rPr>
      <w:rFonts w:eastAsia="宋体" w:cs="Times New Roman"/>
      <w:sz w:val="18"/>
      <w:lang w:val="en-US" w:eastAsia="zh-CN" w:bidi="ar-SA"/>
    </w:rPr>
  </w:style>
  <w:style w:type="paragraph" w:styleId="1003" w:customStyle="1">
    <w:name w:val="目录 11"/>
    <w:basedOn w:val="738"/>
    <w:next w:val="738"/>
    <w:uiPriority w:val="39"/>
    <w:qFormat/>
    <w:pPr>
      <w:jc w:val="left"/>
      <w:spacing w:before="120" w:after="120"/>
    </w:pPr>
    <w:rPr>
      <w:b/>
      <w:caps/>
      <w:sz w:val="20"/>
    </w:rPr>
  </w:style>
  <w:style w:type="paragraph" w:styleId="1004" w:customStyle="1">
    <w:name w:val="目录 41"/>
    <w:basedOn w:val="738"/>
    <w:next w:val="738"/>
    <w:uiPriority w:val="99"/>
    <w:semiHidden/>
    <w:qFormat/>
    <w:pPr>
      <w:ind w:left="630"/>
      <w:jc w:val="left"/>
    </w:pPr>
    <w:rPr>
      <w:sz w:val="18"/>
    </w:rPr>
  </w:style>
  <w:style w:type="paragraph" w:styleId="1005" w:customStyle="1">
    <w:name w:val="索引标题1"/>
    <w:basedOn w:val="738"/>
    <w:next w:val="1006"/>
    <w:uiPriority w:val="99"/>
    <w:semiHidden/>
    <w:qFormat/>
  </w:style>
  <w:style w:type="paragraph" w:styleId="1006" w:customStyle="1">
    <w:name w:val="索引 11"/>
    <w:basedOn w:val="738"/>
    <w:next w:val="738"/>
    <w:uiPriority w:val="99"/>
    <w:semiHidden/>
    <w:qFormat/>
    <w:pPr>
      <w:jc w:val="center"/>
    </w:pPr>
    <w:rPr>
      <w:rFonts w:ascii="仿宋_GB2312" w:hAnsi="宋体" w:eastAsia="仿宋_GB2312"/>
      <w:sz w:val="30"/>
      <w:szCs w:val="24"/>
    </w:rPr>
  </w:style>
  <w:style w:type="paragraph" w:styleId="1007" w:customStyle="1">
    <w:name w:val="目录 61"/>
    <w:basedOn w:val="738"/>
    <w:next w:val="738"/>
    <w:uiPriority w:val="99"/>
    <w:semiHidden/>
    <w:qFormat/>
    <w:pPr>
      <w:ind w:left="1050"/>
      <w:jc w:val="left"/>
    </w:pPr>
    <w:rPr>
      <w:sz w:val="18"/>
    </w:rPr>
  </w:style>
  <w:style w:type="paragraph" w:styleId="1008" w:customStyle="1">
    <w:name w:val="正文文本缩进 31"/>
    <w:basedOn w:val="738"/>
    <w:link w:val="1009"/>
    <w:uiPriority w:val="99"/>
    <w:qFormat/>
    <w:pPr>
      <w:ind w:left="645" w:firstLine="645"/>
    </w:pPr>
    <w:rPr>
      <w:sz w:val="16"/>
      <w:szCs w:val="16"/>
    </w:rPr>
  </w:style>
  <w:style w:type="character" w:styleId="1009" w:customStyle="1">
    <w:name w:val="正文文本缩进 3 Char"/>
    <w:link w:val="1008"/>
    <w:uiPriority w:val="99"/>
    <w:semiHidden/>
    <w:qFormat/>
    <w:rPr>
      <w:rFonts w:cs="Times New Roman"/>
      <w:sz w:val="16"/>
      <w:szCs w:val="16"/>
    </w:rPr>
  </w:style>
  <w:style w:type="paragraph" w:styleId="1010" w:customStyle="1">
    <w:name w:val="索引 71"/>
    <w:basedOn w:val="738"/>
    <w:next w:val="738"/>
    <w:uiPriority w:val="99"/>
    <w:semiHidden/>
    <w:qFormat/>
    <w:pPr>
      <w:ind w:left="2520"/>
    </w:pPr>
  </w:style>
  <w:style w:type="paragraph" w:styleId="1011" w:customStyle="1">
    <w:name w:val="索引 91"/>
    <w:basedOn w:val="738"/>
    <w:next w:val="738"/>
    <w:uiPriority w:val="99"/>
    <w:semiHidden/>
    <w:qFormat/>
    <w:pPr>
      <w:ind w:left="3360"/>
    </w:pPr>
  </w:style>
  <w:style w:type="paragraph" w:styleId="1012" w:customStyle="1">
    <w:name w:val="图表目录1"/>
    <w:basedOn w:val="738"/>
    <w:next w:val="738"/>
    <w:uiPriority w:val="99"/>
    <w:semiHidden/>
    <w:qFormat/>
    <w:pPr>
      <w:ind w:left="840" w:hanging="420"/>
    </w:pPr>
  </w:style>
  <w:style w:type="paragraph" w:styleId="1013" w:customStyle="1">
    <w:name w:val="目录 21"/>
    <w:basedOn w:val="738"/>
    <w:next w:val="738"/>
    <w:uiPriority w:val="39"/>
    <w:qFormat/>
    <w:pPr>
      <w:ind w:left="210"/>
      <w:jc w:val="left"/>
    </w:pPr>
    <w:rPr>
      <w:smallCaps/>
      <w:sz w:val="20"/>
    </w:rPr>
  </w:style>
  <w:style w:type="paragraph" w:styleId="1014" w:customStyle="1">
    <w:name w:val="目录 91"/>
    <w:basedOn w:val="738"/>
    <w:next w:val="738"/>
    <w:uiPriority w:val="99"/>
    <w:semiHidden/>
    <w:qFormat/>
    <w:pPr>
      <w:ind w:left="1680"/>
      <w:jc w:val="left"/>
    </w:pPr>
    <w:rPr>
      <w:sz w:val="18"/>
    </w:rPr>
  </w:style>
  <w:style w:type="paragraph" w:styleId="1015" w:customStyle="1">
    <w:name w:val="正文文本 21"/>
    <w:basedOn w:val="738"/>
    <w:link w:val="1016"/>
    <w:uiPriority w:val="99"/>
    <w:qFormat/>
    <w:pPr>
      <w:jc w:val="center"/>
      <w:widowControl/>
    </w:pPr>
    <w:rPr>
      <w:sz w:val="20"/>
    </w:rPr>
  </w:style>
  <w:style w:type="character" w:styleId="1016" w:customStyle="1">
    <w:name w:val="正文文本 2 Char"/>
    <w:link w:val="1015"/>
    <w:uiPriority w:val="99"/>
    <w:semiHidden/>
    <w:qFormat/>
    <w:rPr>
      <w:rFonts w:cs="Times New Roman"/>
      <w:sz w:val="20"/>
      <w:szCs w:val="20"/>
    </w:rPr>
  </w:style>
  <w:style w:type="paragraph" w:styleId="1017" w:customStyle="1">
    <w:name w:val="HTML 预设格式1"/>
    <w:basedOn w:val="738"/>
    <w:link w:val="101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18" w:customStyle="1">
    <w:name w:val="HTML 预设格式 Char"/>
    <w:link w:val="1017"/>
    <w:uiPriority w:val="99"/>
    <w:semiHidden/>
    <w:qFormat/>
    <w:rPr>
      <w:rFonts w:ascii="Courier New" w:hAnsi="Courier New" w:cs="Courier New"/>
      <w:sz w:val="20"/>
      <w:szCs w:val="20"/>
    </w:rPr>
  </w:style>
  <w:style w:type="paragraph" w:styleId="1019" w:customStyle="1">
    <w:name w:val="普通(网站)1"/>
    <w:basedOn w:val="738"/>
    <w:uiPriority w:val="99"/>
    <w:qFormat/>
    <w:pPr>
      <w:jc w:val="left"/>
      <w:spacing w:before="100" w:beforeAutospacing="1" w:after="100" w:afterAutospacing="1"/>
      <w:widowControl/>
    </w:pPr>
    <w:rPr>
      <w:rFonts w:ascii="Arial" w:hAnsi="Arial" w:cs="Arial"/>
      <w:sz w:val="24"/>
      <w:szCs w:val="24"/>
    </w:rPr>
  </w:style>
  <w:style w:type="paragraph" w:styleId="1020" w:customStyle="1">
    <w:name w:val="索引 21"/>
    <w:basedOn w:val="738"/>
    <w:next w:val="738"/>
    <w:uiPriority w:val="99"/>
    <w:semiHidden/>
    <w:qFormat/>
    <w:pPr>
      <w:ind w:left="420"/>
    </w:pPr>
  </w:style>
  <w:style w:type="paragraph" w:styleId="1021" w:customStyle="1">
    <w:name w:val="标题1"/>
    <w:basedOn w:val="738"/>
    <w:next w:val="738"/>
    <w:link w:val="1022"/>
    <w:uiPriority w:val="10"/>
    <w:qFormat/>
    <w:pPr>
      <w:jc w:val="center"/>
      <w:spacing w:before="240" w:after="60"/>
      <w:outlineLvl w:val="0"/>
    </w:pPr>
    <w:rPr>
      <w:rFonts w:ascii="Cambria" w:hAnsi="Cambria"/>
      <w:b/>
      <w:bCs/>
      <w:sz w:val="32"/>
      <w:szCs w:val="32"/>
    </w:rPr>
  </w:style>
  <w:style w:type="character" w:styleId="1022" w:customStyle="1">
    <w:name w:val="标题 Char"/>
    <w:link w:val="1021"/>
    <w:uiPriority w:val="10"/>
    <w:qFormat/>
    <w:rPr>
      <w:rFonts w:ascii="Cambria" w:hAnsi="Cambria" w:cs="Times New Roman"/>
      <w:b/>
      <w:bCs/>
      <w:sz w:val="32"/>
      <w:szCs w:val="32"/>
    </w:rPr>
  </w:style>
  <w:style w:type="paragraph" w:styleId="1023" w:customStyle="1">
    <w:name w:val="批注主题1"/>
    <w:basedOn w:val="979"/>
    <w:next w:val="979"/>
    <w:link w:val="1024"/>
    <w:uiPriority w:val="99"/>
    <w:semiHidden/>
    <w:qFormat/>
    <w:rPr>
      <w:b/>
      <w:bCs/>
    </w:rPr>
  </w:style>
  <w:style w:type="character" w:styleId="1024" w:customStyle="1">
    <w:name w:val="批注主题 Char"/>
    <w:link w:val="1023"/>
    <w:uiPriority w:val="99"/>
    <w:semiHidden/>
    <w:qFormat/>
    <w:rPr>
      <w:rFonts w:cs="Times New Roman"/>
      <w:b/>
      <w:bCs/>
      <w:sz w:val="20"/>
      <w:szCs w:val="20"/>
    </w:rPr>
  </w:style>
  <w:style w:type="character" w:styleId="1025" w:customStyle="1">
    <w:name w:val="正文首行缩进 Char"/>
    <w:link w:val="944"/>
    <w:uiPriority w:val="99"/>
    <w:semiHidden/>
    <w:qFormat/>
  </w:style>
  <w:style w:type="paragraph" w:styleId="1026" w:customStyle="1">
    <w:name w:val="正文首行缩进 21"/>
    <w:basedOn w:val="951"/>
    <w:uiPriority w:val="0"/>
    <w:qFormat/>
    <w:pPr>
      <w:ind w:firstLine="420"/>
      <w:widowControl/>
    </w:pPr>
    <w:rPr>
      <w:rFonts w:ascii="Calibri" w:hAnsi="Calibri" w:cs="黑体"/>
      <w:sz w:val="21"/>
      <w:szCs w:val="22"/>
    </w:rPr>
  </w:style>
  <w:style w:type="table" w:styleId="1027" w:customStyle="1">
    <w:name w:val="网格型1"/>
    <w:basedOn w:val="963"/>
    <w:uiPriority w:val="59"/>
    <w:qFormat/>
    <w:tblPr/>
  </w:style>
  <w:style w:type="character" w:styleId="1028" w:customStyle="1">
    <w:name w:val="要点1"/>
    <w:uiPriority w:val="0"/>
    <w:qFormat/>
    <w:rPr>
      <w:b/>
    </w:rPr>
  </w:style>
  <w:style w:type="character" w:styleId="1029" w:customStyle="1">
    <w:name w:val="页码1"/>
    <w:uiPriority w:val="0"/>
    <w:qFormat/>
    <w:rPr>
      <w:rFonts w:cs="Times New Roman"/>
    </w:rPr>
  </w:style>
  <w:style w:type="character" w:styleId="1030" w:customStyle="1">
    <w:name w:val="已访问的超链接1"/>
    <w:uiPriority w:val="99"/>
    <w:qFormat/>
    <w:rPr>
      <w:rFonts w:cs="Times New Roman"/>
      <w:color w:val="800080"/>
      <w:u w:val="single"/>
    </w:rPr>
  </w:style>
  <w:style w:type="character" w:styleId="1031" w:customStyle="1">
    <w:name w:val="超链接1"/>
    <w:uiPriority w:val="99"/>
    <w:qFormat/>
    <w:rPr>
      <w:rFonts w:cs="Times New Roman"/>
      <w:color w:val="0000ff"/>
      <w:u w:val="single"/>
    </w:rPr>
  </w:style>
  <w:style w:type="character" w:styleId="1032" w:customStyle="1">
    <w:name w:val="批注引用1"/>
    <w:uiPriority w:val="0"/>
    <w:qFormat/>
    <w:rPr>
      <w:rFonts w:cs="Times New Roman"/>
      <w:sz w:val="21"/>
    </w:rPr>
  </w:style>
  <w:style w:type="character" w:styleId="1033" w:customStyle="1">
    <w:name w:val="point_normal1"/>
    <w:uiPriority w:val="99"/>
    <w:qFormat/>
    <w:rPr>
      <w:rFonts w:ascii="Arial" w:hAnsi="Arial" w:cs="Arial"/>
      <w:sz w:val="18"/>
      <w:szCs w:val="18"/>
    </w:rPr>
  </w:style>
  <w:style w:type="character" w:styleId="1034" w:customStyle="1">
    <w:name w:val="未处理的提及1"/>
    <w:uiPriority w:val="99"/>
    <w:unhideWhenUsed/>
    <w:qFormat/>
    <w:rPr>
      <w:color w:val="605e5c"/>
      <w:shd w:val="clear" w:color="auto" w:fill="e1dfdd"/>
    </w:rPr>
  </w:style>
  <w:style w:type="character" w:styleId="1035" w:customStyle="1">
    <w:name w:val="标题 3 Char"/>
    <w:uiPriority w:val="99"/>
    <w:qFormat/>
    <w:rPr>
      <w:rFonts w:ascii="宋体" w:hAnsi="宋体" w:eastAsia="宋体" w:cs="Times New Roman"/>
      <w:b/>
      <w:bCs/>
      <w:sz w:val="32"/>
      <w:szCs w:val="32"/>
      <w:lang w:val="en-US" w:eastAsia="zh-CN" w:bidi="ar-SA"/>
    </w:rPr>
  </w:style>
  <w:style w:type="character" w:styleId="1036" w:customStyle="1">
    <w:name w:val="正文2 Char"/>
    <w:link w:val="1037"/>
    <w:uiPriority w:val="0"/>
    <w:qFormat/>
    <w:rPr>
      <w:sz w:val="24"/>
    </w:rPr>
  </w:style>
  <w:style w:type="paragraph" w:styleId="1037" w:customStyle="1">
    <w:name w:val="正文2"/>
    <w:basedOn w:val="738"/>
    <w:link w:val="1036"/>
    <w:uiPriority w:val="0"/>
    <w:qFormat/>
    <w:pPr>
      <w:ind w:firstLine="510"/>
      <w:spacing w:before="156" w:line="360" w:lineRule="auto"/>
    </w:pPr>
    <w:rPr>
      <w:sz w:val="24"/>
    </w:rPr>
  </w:style>
  <w:style w:type="character" w:styleId="1038" w:customStyle="1">
    <w:name w:val="纯文本 Char1"/>
    <w:uiPriority w:val="0"/>
    <w:qFormat/>
    <w:rPr>
      <w:rFonts w:ascii="宋体" w:hAnsi="Courier New" w:eastAsia="宋体"/>
      <w:sz w:val="21"/>
      <w:lang w:val="en-US" w:eastAsia="zh-CN" w:bidi="ar-SA"/>
    </w:rPr>
  </w:style>
  <w:style w:type="character" w:styleId="1039" w:customStyle="1">
    <w:name w:val="para_small"/>
    <w:uiPriority w:val="99"/>
    <w:qFormat/>
    <w:rPr>
      <w:rFonts w:cs="Times New Roman"/>
    </w:rPr>
  </w:style>
  <w:style w:type="character" w:styleId="1040" w:customStyle="1">
    <w:name w:val="二级目录 Char"/>
    <w:link w:val="1041"/>
    <w:uiPriority w:val="99"/>
    <w:qFormat/>
    <w:rPr>
      <w:b/>
      <w:sz w:val="30"/>
      <w:szCs w:val="28"/>
    </w:rPr>
  </w:style>
  <w:style w:type="paragraph" w:styleId="1041" w:customStyle="1">
    <w:name w:val="二级目录"/>
    <w:next w:val="738"/>
    <w:link w:val="1040"/>
    <w:uiPriority w:val="99"/>
    <w:qFormat/>
    <w:pPr>
      <w:ind w:left="567" w:hanging="567"/>
      <w:tabs>
        <w:tab w:val="left" w:pos="567" w:leader="none"/>
        <w:tab w:val="left" w:pos="720" w:leader="none"/>
      </w:tabs>
      <w:outlineLvl w:val="1"/>
    </w:pPr>
    <w:rPr>
      <w:rFonts w:ascii="Times New Roman" w:hAnsi="Times New Roman" w:eastAsia="宋体" w:cs="Times New Roman"/>
      <w:b/>
      <w:sz w:val="30"/>
      <w:szCs w:val="28"/>
      <w:lang w:val="en-US" w:eastAsia="zh-CN" w:bidi="ar-SA"/>
    </w:rPr>
  </w:style>
  <w:style w:type="paragraph" w:styleId="1042" w:customStyle="1">
    <w:name w:val="List Paragraph1"/>
    <w:basedOn w:val="738"/>
    <w:uiPriority w:val="99"/>
    <w:qFormat/>
    <w:pPr>
      <w:ind w:firstLine="420"/>
    </w:pPr>
    <w:rPr>
      <w:szCs w:val="24"/>
    </w:rPr>
  </w:style>
  <w:style w:type="paragraph" w:styleId="1043" w:customStyle="1">
    <w:name w:val="丁华标题2"/>
    <w:basedOn w:val="932"/>
    <w:next w:val="1044"/>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44" w:customStyle="1">
    <w:name w:val="丁华正文"/>
    <w:basedOn w:val="1008"/>
    <w:uiPriority w:val="99"/>
    <w:qFormat/>
    <w:pPr>
      <w:ind w:left="0" w:firstLine="510"/>
      <w:spacing w:line="360" w:lineRule="auto"/>
    </w:pPr>
    <w:rPr>
      <w:color w:val="000000"/>
      <w:sz w:val="24"/>
    </w:rPr>
  </w:style>
  <w:style w:type="paragraph" w:styleId="1045" w:customStyle="1">
    <w:name w:val="xl117"/>
    <w:basedOn w:val="7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6" w:customStyle="1">
    <w:name w:val="列出段落11"/>
    <w:basedOn w:val="738"/>
    <w:uiPriority w:val="0"/>
    <w:qFormat/>
    <w:pPr>
      <w:ind w:firstLine="200"/>
    </w:pPr>
    <w:rPr>
      <w:rFonts w:ascii="Calibri" w:hAnsi="Calibri" w:cs="Arial"/>
      <w:szCs w:val="22"/>
    </w:rPr>
  </w:style>
  <w:style w:type="paragraph" w:styleId="1047" w:customStyle="1">
    <w:name w:val="丁华标题1"/>
    <w:basedOn w:val="931"/>
    <w:next w:val="1044"/>
    <w:uiPriority w:val="99"/>
    <w:qFormat/>
    <w:pPr>
      <w:numPr>
        <w:ilvl w:val="0"/>
        <w:numId w:val="2"/>
      </w:numPr>
      <w:ind w:firstLine="0"/>
      <w:jc w:val="left"/>
      <w:keepLines/>
      <w:spacing w:before="0" w:line="578" w:lineRule="auto"/>
      <w:tabs>
        <w:tab w:val="clear" w:pos="567" w:leader="none"/>
      </w:tabs>
    </w:pPr>
    <w:rPr>
      <w:rFonts w:ascii="Times New Roman"/>
      <w:b w:val="0"/>
      <w:sz w:val="32"/>
    </w:rPr>
  </w:style>
  <w:style w:type="paragraph" w:styleId="1048" w:customStyle="1">
    <w:name w:val="丁华标题3"/>
    <w:basedOn w:val="1043"/>
    <w:next w:val="1044"/>
    <w:uiPriority w:val="99"/>
    <w:qFormat/>
    <w:pPr>
      <w:numPr>
        <w:numId w:val="0"/>
      </w:numPr>
      <w:ind w:left="1980" w:hanging="420"/>
      <w:spacing w:after="0"/>
      <w:tabs>
        <w:tab w:val="left" w:pos="1470" w:leader="none"/>
        <w:tab w:val="left" w:pos="1980" w:leader="none"/>
      </w:tabs>
      <w:outlineLvl w:val="2"/>
    </w:pPr>
    <w:rPr>
      <w:sz w:val="24"/>
    </w:rPr>
  </w:style>
  <w:style w:type="paragraph" w:styleId="1049" w:customStyle="1">
    <w:name w:val="表格1"/>
    <w:basedOn w:val="738"/>
    <w:uiPriority w:val="99"/>
    <w:qFormat/>
    <w:rPr>
      <w:rFonts w:ascii="宋体"/>
      <w:szCs w:val="21"/>
    </w:rPr>
  </w:style>
  <w:style w:type="paragraph" w:styleId="1050" w:customStyle="1">
    <w:name w:val="xl10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51" w:customStyle="1">
    <w:name w:val="[Normal]"/>
    <w:uiPriority w:val="99"/>
    <w:qFormat/>
    <w:rPr>
      <w:rFonts w:ascii="方正仿宋简体" w:hAnsi="方正仿宋简体" w:eastAsia="方正仿宋简体" w:cs="Courier New"/>
      <w:sz w:val="24"/>
      <w:szCs w:val="22"/>
      <w:lang w:val="zh-CN" w:eastAsia="zh-CN" w:bidi="ar-SA"/>
    </w:rPr>
  </w:style>
  <w:style w:type="paragraph" w:styleId="1052" w:customStyle="1">
    <w:name w:val="标题6"/>
    <w:basedOn w:val="956"/>
    <w:uiPriority w:val="99"/>
    <w:qFormat/>
    <w:pPr>
      <w:numPr>
        <w:ilvl w:val="0"/>
        <w:numId w:val="3"/>
      </w:numPr>
      <w:keepLines/>
    </w:pPr>
    <w:rPr>
      <w:b w:val="0"/>
      <w:color w:val="000000"/>
      <w:sz w:val="24"/>
    </w:rPr>
  </w:style>
  <w:style w:type="paragraph" w:styleId="1053" w:customStyle="1">
    <w:name w:val="列出段落2"/>
    <w:basedOn w:val="738"/>
    <w:uiPriority w:val="34"/>
    <w:qFormat/>
    <w:pPr>
      <w:ind w:firstLine="420"/>
    </w:pPr>
  </w:style>
  <w:style w:type="paragraph" w:styleId="1054" w:customStyle="1">
    <w:name w:val="列出段落1"/>
    <w:basedOn w:val="738"/>
    <w:uiPriority w:val="99"/>
    <w:qFormat/>
    <w:pPr>
      <w:contextualSpacing/>
      <w:ind w:left="720"/>
      <w:jc w:val="left"/>
      <w:widowControl/>
    </w:pPr>
    <w:rPr>
      <w:rFonts w:ascii="Arial" w:hAnsi="Arial" w:eastAsia="黑体"/>
      <w:sz w:val="24"/>
      <w:szCs w:val="24"/>
      <w:lang w:eastAsia="en-US"/>
    </w:rPr>
  </w:style>
  <w:style w:type="paragraph" w:styleId="1055" w:customStyle="1">
    <w:name w:val="tableau"/>
    <w:basedOn w:val="738"/>
    <w:uiPriority w:val="99"/>
    <w:qFormat/>
    <w:pPr>
      <w:jc w:val="center"/>
      <w:spacing w:before="20" w:after="20"/>
      <w:widowControl/>
    </w:pPr>
    <w:rPr>
      <w:rFonts w:ascii="Arial" w:hAnsi="Arial"/>
      <w:sz w:val="16"/>
      <w:lang w:eastAsia="en-US"/>
    </w:rPr>
  </w:style>
  <w:style w:type="paragraph" w:styleId="1056" w:customStyle="1">
    <w:name w:val="普通正文"/>
    <w:basedOn w:val="738"/>
    <w:uiPriority w:val="0"/>
    <w:qFormat/>
    <w:pPr>
      <w:ind w:firstLine="480"/>
      <w:jc w:val="left"/>
      <w:spacing w:before="120" w:after="120" w:line="360" w:lineRule="auto"/>
    </w:pPr>
    <w:rPr>
      <w:rFonts w:ascii="Arial" w:hAnsi="Arial" w:cs="Arial"/>
      <w:sz w:val="24"/>
      <w:szCs w:val="24"/>
    </w:rPr>
  </w:style>
  <w:style w:type="paragraph" w:styleId="1057" w:customStyle="1">
    <w:name w:val="msolistparagraph"/>
    <w:basedOn w:val="738"/>
    <w:uiPriority w:val="99"/>
    <w:qFormat/>
    <w:pPr>
      <w:ind w:firstLine="420"/>
    </w:pPr>
    <w:rPr>
      <w:rFonts w:ascii="Calibri" w:hAnsi="Calibri"/>
      <w:szCs w:val="22"/>
    </w:rPr>
  </w:style>
  <w:style w:type="paragraph" w:styleId="1058" w:customStyle="1">
    <w:name w:val="xl116"/>
    <w:basedOn w:val="7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9" w:customStyle="1">
    <w:name w:val="默认段落字体 Para Char"/>
    <w:basedOn w:val="738"/>
    <w:uiPriority w:val="99"/>
    <w:qFormat/>
    <w:rPr>
      <w:sz w:val="24"/>
      <w:szCs w:val="24"/>
    </w:rPr>
  </w:style>
  <w:style w:type="paragraph" w:styleId="1060" w:customStyle="1">
    <w:name w:val="xl111"/>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1" w:customStyle="1">
    <w:name w:val="论文正文"/>
    <w:basedOn w:val="995"/>
    <w:uiPriority w:val="99"/>
    <w:qFormat/>
    <w:pPr>
      <w:ind w:left="0" w:firstLine="200"/>
      <w:jc w:val="left"/>
      <w:spacing w:line="360" w:lineRule="auto"/>
    </w:pPr>
    <w:rPr>
      <w:sz w:val="28"/>
      <w:szCs w:val="24"/>
    </w:rPr>
  </w:style>
  <w:style w:type="paragraph" w:styleId="1062" w:customStyle="1">
    <w:name w:val="xl107"/>
    <w:basedOn w:val="738"/>
    <w:uiPriority w:val="0"/>
    <w:qFormat/>
    <w:pPr>
      <w:jc w:val="left"/>
      <w:spacing w:before="100" w:beforeAutospacing="1" w:after="100" w:afterAutospacing="1"/>
      <w:widowControl/>
    </w:pPr>
    <w:rPr>
      <w:rFonts w:ascii="Arial" w:hAnsi="Arial" w:cs="Arial"/>
      <w:sz w:val="20"/>
    </w:rPr>
  </w:style>
  <w:style w:type="paragraph" w:styleId="1063"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064" w:customStyle="1">
    <w:name w:val="列出段落111"/>
    <w:basedOn w:val="738"/>
    <w:uiPriority w:val="99"/>
    <w:qFormat/>
    <w:pPr>
      <w:ind w:firstLine="420"/>
    </w:pPr>
    <w:rPr>
      <w:rFonts w:ascii="Calibri" w:hAnsi="Calibri"/>
      <w:szCs w:val="22"/>
    </w:rPr>
  </w:style>
  <w:style w:type="paragraph" w:styleId="1065" w:customStyle="1">
    <w:name w:val="Char Char Char Char Char Char Char Char Char Char Char Char Char"/>
    <w:basedOn w:val="977"/>
    <w:uiPriority w:val="99"/>
    <w:qFormat/>
    <w:rPr>
      <w:rFonts w:ascii="Tahoma" w:hAnsi="Tahoma"/>
      <w:sz w:val="24"/>
      <w:szCs w:val="24"/>
    </w:rPr>
  </w:style>
  <w:style w:type="paragraph" w:styleId="1066" w:customStyle="1">
    <w:name w:val="p0"/>
    <w:basedOn w:val="738"/>
    <w:uiPriority w:val="99"/>
    <w:qFormat/>
    <w:pPr>
      <w:widowControl/>
    </w:pPr>
    <w:rPr>
      <w:szCs w:val="21"/>
    </w:rPr>
  </w:style>
  <w:style w:type="paragraph" w:styleId="1067" w:customStyle="1">
    <w:name w:val="列出段落3"/>
    <w:basedOn w:val="738"/>
    <w:uiPriority w:val="34"/>
    <w:qFormat/>
    <w:pPr>
      <w:ind w:firstLine="420"/>
    </w:pPr>
  </w:style>
  <w:style w:type="paragraph" w:styleId="1068" w:customStyle="1">
    <w:name w:val="TOC 标题2"/>
    <w:basedOn w:val="931"/>
    <w:next w:val="738"/>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69" w:customStyle="1">
    <w:name w:val="列出段落4"/>
    <w:basedOn w:val="738"/>
    <w:uiPriority w:val="34"/>
    <w:qFormat/>
    <w:pPr>
      <w:ind w:firstLine="420"/>
    </w:pPr>
  </w:style>
  <w:style w:type="paragraph" w:styleId="1070" w:customStyle="1">
    <w:name w:val="Char1"/>
    <w:basedOn w:val="738"/>
    <w:uiPriority w:val="99"/>
    <w:qFormat/>
    <w:pPr>
      <w:jc w:val="left"/>
      <w:spacing w:after="160" w:line="240" w:lineRule="exact"/>
      <w:widowControl/>
    </w:pPr>
    <w:rPr>
      <w:rFonts w:ascii="Verdana" w:hAnsi="Verdana" w:eastAsia="仿宋_GB2312"/>
      <w:sz w:val="24"/>
      <w:lang w:eastAsia="en-US"/>
    </w:rPr>
  </w:style>
  <w:style w:type="paragraph" w:styleId="1071" w:customStyle="1">
    <w:name w:val="font5"/>
    <w:basedOn w:val="738"/>
    <w:uiPriority w:val="0"/>
    <w:qFormat/>
    <w:pPr>
      <w:jc w:val="left"/>
      <w:spacing w:before="100" w:beforeAutospacing="1" w:after="100" w:afterAutospacing="1"/>
      <w:widowControl/>
    </w:pPr>
    <w:rPr>
      <w:rFonts w:ascii="宋体" w:hAnsi="宋体" w:cs="宋体"/>
      <w:sz w:val="18"/>
      <w:szCs w:val="18"/>
    </w:rPr>
  </w:style>
  <w:style w:type="paragraph" w:styleId="107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3" w:customStyle="1">
    <w:name w:val="Body text|1"/>
    <w:basedOn w:val="738"/>
    <w:uiPriority w:val="0"/>
    <w:qFormat/>
    <w:pPr>
      <w:ind w:firstLine="400"/>
      <w:spacing w:line="305" w:lineRule="auto"/>
    </w:pPr>
    <w:rPr>
      <w:rFonts w:ascii="MingLiU" w:hAnsi="MingLiU" w:eastAsia="MingLiU" w:cs="MingLiU"/>
      <w:sz w:val="20"/>
      <w:lang w:val="zh-TW" w:eastAsia="zh-TW" w:bidi="zh-TW"/>
    </w:rPr>
  </w:style>
  <w:style w:type="paragraph" w:styleId="1074" w:customStyle="1">
    <w:name w:val="Char Char2 Char Char"/>
    <w:basedOn w:val="977"/>
    <w:uiPriority w:val="99"/>
    <w:qFormat/>
    <w:pPr>
      <w:spacing w:line="436" w:lineRule="exact"/>
    </w:pPr>
    <w:rPr>
      <w:rFonts w:ascii="Tahoma" w:hAnsi="Tahoma"/>
      <w:sz w:val="24"/>
    </w:rPr>
  </w:style>
  <w:style w:type="paragraph" w:styleId="1075" w:customStyle="1">
    <w:name w:val="表格内文字"/>
    <w:basedOn w:val="738"/>
    <w:uiPriority w:val="0"/>
    <w:qFormat/>
    <w:pPr>
      <w:spacing w:line="300" w:lineRule="atLeast"/>
    </w:pPr>
    <w:rPr>
      <w:sz w:val="18"/>
    </w:rPr>
  </w:style>
  <w:style w:type="paragraph" w:styleId="1076" w:customStyle="1">
    <w:name w:val="正文空两格"/>
    <w:basedOn w:val="738"/>
    <w:uiPriority w:val="0"/>
    <w:qFormat/>
    <w:pPr>
      <w:ind w:firstLine="200"/>
    </w:pPr>
  </w:style>
  <w:style w:type="paragraph" w:styleId="1077" w:customStyle="1">
    <w:name w:val="xl25"/>
    <w:basedOn w:val="738"/>
    <w:uiPriority w:val="99"/>
    <w:qFormat/>
    <w:pPr>
      <w:jc w:val="center"/>
      <w:spacing w:before="100" w:beforeAutospacing="1" w:after="100" w:afterAutospacing="1"/>
      <w:widowControl/>
      <w:pBdr>
        <w:right w:val="single" w:color="000000" w:sz="4" w:space="0"/>
      </w:pBdr>
    </w:pPr>
    <w:rPr>
      <w:szCs w:val="21"/>
    </w:rPr>
  </w:style>
  <w:style w:type="paragraph" w:styleId="1078" w:customStyle="1">
    <w:name w:val="默认段落字体 Para Char Char Char Char Char Char Char"/>
    <w:basedOn w:val="738"/>
    <w:uiPriority w:val="99"/>
    <w:qFormat/>
  </w:style>
  <w:style w:type="paragraph" w:styleId="1079" w:customStyle="1">
    <w:name w:val="段落"/>
    <w:basedOn w:val="738"/>
    <w:uiPriority w:val="99"/>
    <w:qFormat/>
    <w:pPr>
      <w:ind w:firstLine="480"/>
      <w:spacing w:line="460" w:lineRule="exact"/>
    </w:pPr>
    <w:rPr>
      <w:sz w:val="24"/>
    </w:rPr>
  </w:style>
  <w:style w:type="paragraph" w:styleId="1080" w:customStyle="1">
    <w:name w:val="Table Paragraph"/>
    <w:basedOn w:val="738"/>
    <w:uiPriority w:val="1"/>
    <w:qFormat/>
    <w:pPr>
      <w:jc w:val="left"/>
    </w:pPr>
    <w:rPr>
      <w:rFonts w:ascii="宋体" w:hAnsi="宋体" w:cs="宋体"/>
      <w:sz w:val="22"/>
      <w:lang w:val="zh-CN" w:bidi="zh-CN"/>
    </w:rPr>
  </w:style>
  <w:style w:type="paragraph" w:styleId="1081">
    <w:name w:val="List Paragraph"/>
    <w:basedOn w:val="738"/>
    <w:uiPriority w:val="34"/>
    <w:qFormat/>
    <w:pPr>
      <w:ind w:firstLine="420"/>
    </w:pPr>
  </w:style>
  <w:style w:type="paragraph" w:styleId="1082" w:customStyle="1">
    <w:name w:val="二级条标题"/>
    <w:basedOn w:val="738"/>
    <w:next w:val="738"/>
    <w:uiPriority w:val="0"/>
    <w:qFormat/>
    <w:pPr>
      <w:ind w:left="-420"/>
      <w:jc w:val="left"/>
      <w:widowControl/>
      <w:outlineLvl w:val="3"/>
    </w:pPr>
    <w:rPr>
      <w:rFonts w:eastAsia="黑体"/>
    </w:rPr>
  </w:style>
  <w:style w:type="paragraph" w:styleId="1083" w:customStyle="1">
    <w:name w:val="Char"/>
    <w:basedOn w:val="738"/>
    <w:uiPriority w:val="0"/>
    <w:qFormat/>
    <w:rPr>
      <w:rFonts w:ascii="Tahoma" w:hAnsi="Tahoma" w:cs="仿宋_GB2312"/>
      <w:sz w:val="24"/>
      <w:szCs w:val="28"/>
    </w:rPr>
  </w:style>
  <w:style w:type="paragraph" w:styleId="1084" w:customStyle="1">
    <w:name w:val="Bullets L1"/>
    <w:basedOn w:val="738"/>
    <w:uiPriority w:val="99"/>
    <w:qFormat/>
    <w:pPr>
      <w:numPr>
        <w:ilvl w:val="0"/>
        <w:numId w:val="5"/>
      </w:numPr>
      <w:jc w:val="left"/>
      <w:spacing w:before="60" w:after="60"/>
      <w:widowControl/>
    </w:pPr>
    <w:rPr>
      <w:rFonts w:ascii="Arial" w:hAnsi="Arial"/>
      <w:sz w:val="20"/>
    </w:rPr>
  </w:style>
  <w:style w:type="paragraph" w:styleId="1085" w:customStyle="1">
    <w:name w:val="样式"/>
    <w:basedOn w:val="738"/>
    <w:next w:val="942"/>
    <w:uiPriority w:val="99"/>
    <w:qFormat/>
    <w:rPr>
      <w:rFonts w:ascii="楷体_GB2312" w:hAnsi="Arial" w:eastAsia="楷体_GB2312"/>
      <w:sz w:val="28"/>
    </w:rPr>
  </w:style>
  <w:style w:type="paragraph" w:styleId="1086" w:customStyle="1">
    <w:name w:val="retrait3"/>
    <w:basedOn w:val="738"/>
    <w:uiPriority w:val="99"/>
    <w:qFormat/>
    <w:pPr>
      <w:ind w:left="851"/>
      <w:jc w:val="left"/>
      <w:spacing w:before="20" w:after="20"/>
      <w:widowControl/>
    </w:pPr>
    <w:rPr>
      <w:rFonts w:ascii="Arial" w:hAnsi="Arial"/>
      <w:sz w:val="24"/>
    </w:rPr>
  </w:style>
  <w:style w:type="paragraph" w:styleId="1087" w:customStyle="1">
    <w:name w:val="xl115"/>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8" w:customStyle="1">
    <w:name w:val="模板正文"/>
    <w:basedOn w:val="738"/>
    <w:uiPriority w:val="0"/>
    <w:qFormat/>
    <w:pPr>
      <w:ind w:firstLine="200"/>
      <w:spacing w:before="120" w:line="360" w:lineRule="auto"/>
    </w:pPr>
    <w:rPr>
      <w:rFonts w:eastAsia="仿宋_GB2312"/>
      <w:sz w:val="24"/>
      <w:szCs w:val="21"/>
    </w:rPr>
  </w:style>
  <w:style w:type="paragraph" w:styleId="1089" w:customStyle="1">
    <w:name w:val="bt1bt1"/>
    <w:basedOn w:val="931"/>
    <w:uiPriority w:val="99"/>
    <w:qFormat/>
    <w:pPr>
      <w:numPr>
        <w:numId w:val="0"/>
      </w:numPr>
      <w:jc w:val="center"/>
      <w:keepLines/>
      <w:spacing w:before="340" w:after="330"/>
      <w:tabs>
        <w:tab w:val="clear" w:pos="1440" w:leader="none"/>
        <w:tab w:val="clear" w:pos="5670" w:leader="none"/>
      </w:tabs>
    </w:pPr>
    <w:rPr>
      <w:b w:val="0"/>
      <w:bCs/>
      <w:sz w:val="36"/>
      <w:szCs w:val="36"/>
    </w:rPr>
  </w:style>
  <w:style w:type="paragraph" w:styleId="1090" w:customStyle="1">
    <w:name w:val="正文文本缩进1"/>
    <w:basedOn w:val="738"/>
    <w:uiPriority w:val="0"/>
    <w:qFormat/>
    <w:pPr>
      <w:ind w:left="420"/>
      <w:spacing w:after="120"/>
    </w:pPr>
  </w:style>
  <w:style w:type="paragraph" w:styleId="1091" w:customStyle="1">
    <w:name w:val="font6"/>
    <w:basedOn w:val="738"/>
    <w:uiPriority w:val="0"/>
    <w:qFormat/>
    <w:pPr>
      <w:jc w:val="left"/>
      <w:spacing w:before="100" w:beforeAutospacing="1" w:after="100" w:afterAutospacing="1"/>
      <w:widowControl/>
    </w:pPr>
    <w:rPr>
      <w:rFonts w:ascii="宋体" w:hAnsi="宋体" w:cs="宋体"/>
      <w:color w:val="000000"/>
      <w:sz w:val="20"/>
    </w:rPr>
  </w:style>
  <w:style w:type="paragraph" w:styleId="1092" w:customStyle="1">
    <w:name w:val="Char Char Char"/>
    <w:basedOn w:val="977"/>
    <w:uiPriority w:val="99"/>
    <w:qFormat/>
    <w:pPr>
      <w:spacing w:line="436" w:lineRule="exact"/>
    </w:pPr>
    <w:rPr>
      <w:szCs w:val="24"/>
    </w:rPr>
  </w:style>
  <w:style w:type="paragraph" w:styleId="1093" w:customStyle="1">
    <w:name w:val="首行缩进"/>
    <w:basedOn w:val="738"/>
    <w:uiPriority w:val="0"/>
    <w:qFormat/>
    <w:pPr>
      <w:ind w:firstLine="480"/>
      <w:jc w:val="left"/>
      <w:spacing w:line="360" w:lineRule="auto"/>
    </w:pPr>
    <w:rPr>
      <w:rFonts w:ascii="宋体" w:hAnsi="宋体"/>
      <w:sz w:val="24"/>
    </w:rPr>
  </w:style>
  <w:style w:type="paragraph" w:styleId="1094" w:customStyle="1">
    <w:name w:val="xl113"/>
    <w:basedOn w:val="7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95" w:customStyle="1">
    <w:name w:val="Char Char Char Char Char Char Char Char Char Char Char1 Char Char Char1"/>
    <w:basedOn w:val="738"/>
    <w:uiPriority w:val="99"/>
    <w:semiHidden/>
    <w:qFormat/>
    <w:pPr>
      <w:ind w:firstLine="200"/>
      <w:jc w:val="left"/>
    </w:pPr>
    <w:rPr>
      <w:rFonts w:ascii="Tahoma" w:hAnsi="Tahoma"/>
      <w:sz w:val="24"/>
      <w:szCs w:val="24"/>
    </w:rPr>
  </w:style>
  <w:style w:type="paragraph" w:styleId="1096" w:customStyle="1">
    <w:name w:val="xl110"/>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7" w:customStyle="1">
    <w:name w:val="xl11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8" w:customStyle="1">
    <w:name w:val="xl112"/>
    <w:basedOn w:val="7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9" w:customStyle="1">
    <w:name w:val="Char Char Char Char"/>
    <w:basedOn w:val="977"/>
    <w:uiPriority w:val="99"/>
    <w:qFormat/>
    <w:pPr>
      <w:spacing w:line="360" w:lineRule="auto"/>
    </w:pPr>
    <w:rPr>
      <w:rFonts w:ascii="Tahoma" w:hAnsi="Tahoma"/>
      <w:sz w:val="24"/>
      <w:szCs w:val="24"/>
    </w:rPr>
  </w:style>
  <w:style w:type="paragraph" w:styleId="1100" w:customStyle="1">
    <w:name w:val="font7"/>
    <w:basedOn w:val="738"/>
    <w:uiPriority w:val="0"/>
    <w:qFormat/>
    <w:pPr>
      <w:jc w:val="left"/>
      <w:spacing w:before="100" w:beforeAutospacing="1" w:after="100" w:afterAutospacing="1"/>
      <w:widowControl/>
    </w:pPr>
    <w:rPr>
      <w:rFonts w:ascii="Arial" w:hAnsi="Arial" w:cs="Arial"/>
      <w:color w:val="000000"/>
      <w:sz w:val="20"/>
    </w:rPr>
  </w:style>
  <w:style w:type="paragraph" w:styleId="1101" w:customStyle="1">
    <w:name w:val="无间隔1"/>
    <w:uiPriority w:val="1"/>
    <w:qFormat/>
    <w:pPr>
      <w:jc w:val="both"/>
      <w:widowControl w:val="off"/>
    </w:pPr>
    <w:rPr>
      <w:rFonts w:ascii="Times New Roman" w:hAnsi="Times New Roman" w:eastAsia="宋体" w:cs="Times New Roman"/>
      <w:sz w:val="21"/>
      <w:lang w:val="en-US" w:eastAsia="zh-CN" w:bidi="ar-SA"/>
    </w:rPr>
  </w:style>
  <w:style w:type="paragraph" w:styleId="1102" w:customStyle="1">
    <w:name w:val="_Style 2"/>
    <w:uiPriority w:val="99"/>
    <w:qFormat/>
    <w:pPr>
      <w:ind w:firstLine="623"/>
      <w:jc w:val="both"/>
      <w:spacing w:line="351" w:lineRule="atLeast"/>
      <w:widowControl w:val="off"/>
    </w:pPr>
    <w:rPr>
      <w:rFonts w:ascii="Times New Roman" w:hAnsi="Times New Roman" w:eastAsia="仿宋_GB2312" w:cs="Times New Roman"/>
      <w:color w:val="000000"/>
      <w:sz w:val="31"/>
      <w:lang w:val="en-US" w:eastAsia="zh-CN" w:bidi="ar-SA"/>
    </w:rPr>
  </w:style>
  <w:style w:type="paragraph" w:styleId="1103" w:customStyle="1">
    <w:name w:val="xl10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738"/>
    <w:uiPriority w:val="99"/>
    <w:qFormat/>
    <w:pPr>
      <w:ind w:firstLine="420"/>
    </w:pPr>
  </w:style>
  <w:style w:type="paragraph" w:styleId="1106" w:customStyle="1">
    <w:name w:val="Heading #2|1"/>
    <w:basedOn w:val="738"/>
    <w:uiPriority w:val="0"/>
    <w:qFormat/>
    <w:pPr>
      <w:jc w:val="center"/>
      <w:spacing w:after="500" w:line="571" w:lineRule="exact"/>
      <w:outlineLvl w:val="1"/>
    </w:pPr>
    <w:rPr>
      <w:rFonts w:ascii="宋体" w:hAnsi="宋体" w:cs="宋体"/>
      <w:sz w:val="34"/>
      <w:szCs w:val="34"/>
      <w:lang w:val="zh-TW" w:eastAsia="zh-TW" w:bidi="zh-TW"/>
    </w:rPr>
  </w:style>
  <w:style w:type="paragraph" w:styleId="1107" w:customStyle="1">
    <w:name w:val="无间隔11"/>
    <w:uiPriority w:val="0"/>
    <w:qFormat/>
    <w:pPr>
      <w:jc w:val="both"/>
      <w:widowControl w:val="off"/>
    </w:pPr>
    <w:rPr>
      <w:rFonts w:ascii="Calibri" w:hAnsi="Calibri" w:eastAsia="宋体" w:cs="Times New Roman"/>
      <w:sz w:val="21"/>
      <w:szCs w:val="22"/>
      <w:lang w:val="en-US" w:eastAsia="zh-CN" w:bidi="ar-SA"/>
    </w:rPr>
  </w:style>
  <w:style w:type="character" w:styleId="1108" w:customStyle="1">
    <w:name w:val="明显强调1"/>
    <w:uiPriority w:val="21"/>
    <w:qFormat/>
    <w:rPr>
      <w:i/>
      <w:iCs/>
      <w:color w:val="365f91"/>
    </w:rPr>
  </w:style>
  <w:style w:type="character" w:styleId="1109" w:customStyle="1">
    <w:name w:val="明显参考1"/>
    <w:uiPriority w:val="32"/>
    <w:qFormat/>
    <w:rPr>
      <w:b/>
      <w:bCs/>
      <w:smallCaps/>
      <w:color w:val="365f91"/>
      <w:spacing w:val="5"/>
    </w:rPr>
  </w:style>
  <w:style w:type="character" w:styleId="1110" w:customStyle="1">
    <w:name w:val="批注文字 Char1"/>
    <w:link w:val="753"/>
    <w:uiPriority w:val="99"/>
    <w:semiHidden/>
    <w:qFormat/>
    <w:rPr>
      <w:sz w:val="21"/>
    </w:rPr>
  </w:style>
  <w:style w:type="character" w:styleId="1111" w:customStyle="1">
    <w:name w:val="批注主题 Char1"/>
    <w:link w:val="773"/>
    <w:uiPriority w:val="99"/>
    <w:semiHidden/>
    <w:qFormat/>
    <w:rPr>
      <w:b/>
      <w:bCs/>
      <w:sz w:val="21"/>
    </w:rPr>
  </w:style>
  <w:style w:type="character" w:styleId="1112" w:customStyle="1">
    <w:name w:val="批注框文本 Char1"/>
    <w:basedOn w:val="748"/>
    <w:link w:val="760"/>
    <w:uiPriority w:val="99"/>
    <w:semiHidden/>
    <w:qFormat/>
    <w:rPr>
      <w:sz w:val="18"/>
      <w:szCs w:val="18"/>
    </w:rPr>
  </w:style>
  <w:style w:type="character" w:styleId="1113" w:customStyle="1">
    <w:name w:val="font51"/>
    <w:uiPriority w:val="0"/>
    <w:qFormat/>
    <w:rPr>
      <w:rFonts w:ascii="Times New Roman" w:hAnsi="Times New Roman" w:eastAsia="宋体" w:cs="Times New Roman"/>
      <w:sz w:val="21"/>
      <w:lang w:val="en-US" w:eastAsia="zh-CN" w:bidi="ar-SA"/>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单蓉蓉</cp:lastModifiedBy>
  <cp:revision>11</cp:revision>
  <dcterms:created xsi:type="dcterms:W3CDTF">2026-09-08T02:58:00Z</dcterms:created>
  <dcterms:modified xsi:type="dcterms:W3CDTF">2026-09-17T00:44:48Z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eyJoZGlkIjoiYzg1ZGUxYTY5MGVjNzViZjY4MmRiY2Q5MDg5OGFhNDYiLCJ1c2VySWQiOiI1ODM3MTE1NTUifQ==</vt:lpwstr>
  </property>
  <property fmtid="{D5CDD505-2E9C-101B-9397-08002B2CF9AE}" pid="3" name="KSOProductBuildVer">
    <vt:lpwstr>2052-12.1.0.24034</vt:lpwstr>
  </property>
  <property fmtid="{D5CDD505-2E9C-101B-9397-08002B2CF9AE}" pid="4" name="ICV">
    <vt:lpwstr>3CEDF5C7E8F445EABDA95B8831E145FC_13</vt:lpwstr>
  </property>
</Properties>
</file>