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eastAsia="zh-CN"/>
        </w:rPr>
        <w:t xml:space="preserve">JSZC-321003-JTGC-C2026-0008</w:t>
      </w:r>
      <w:r>
        <w:rPr>
          <w:rFonts w:hint="eastAsia" w:ascii="宋体" w:hAnsi="宋体"/>
          <w:b/>
          <w:bCs/>
          <w:color w:val="auto"/>
          <w:sz w:val="28"/>
          <w:szCs w:val="28"/>
          <w:highlight w:val="none"/>
        </w:rPr>
        <w:t xml:space="preserve">号</w:t>
      </w:r>
      <w:r/>
    </w:p>
    <w:p>
      <w:pPr>
        <w:pStyle w:val="755"/>
        <w:numPr>
          <w:ilvl w:val="0"/>
          <w:numId w:val="0"/>
        </w:numPr>
        <w:ind w:left="420"/>
        <w:rPr>
          <w:color w:val="auto"/>
          <w:highlight w:val="none"/>
        </w:rPr>
      </w:pPr>
      <w:r>
        <w:rPr>
          <w:color w:val="auto"/>
          <w:highlight w:val="none"/>
        </w:rPr>
      </w:r>
      <w:r/>
    </w:p>
    <w:p>
      <w:pPr>
        <w:pStyle w:val="755"/>
        <w:numPr>
          <w:ilvl w:val="0"/>
          <w:numId w:val="0"/>
        </w:numPr>
        <w:ind w:left="420"/>
        <w:rPr>
          <w:color w:val="auto"/>
          <w:highlight w:val="none"/>
        </w:rPr>
      </w:pPr>
      <w:r>
        <w:rPr>
          <w:color w:val="auto"/>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2026-2027年扬州市邗江区公道镇政府购买居家养老服务项目竞争性磋商文件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s="宋体"/>
          <w:color w:val="auto"/>
          <w:sz w:val="36"/>
          <w:highlight w:val="none"/>
        </w:rPr>
        <mc:AlternateContent>
          <mc:Choice Requires="wpg">
            <w:drawing>
              <wp:inline xmlns:wp="http://schemas.openxmlformats.org/drawingml/2006/wordprocessingDrawing" distT="0" distB="0" distL="0" distR="0">
                <wp:extent cx="4940300" cy="3454400"/>
                <wp:effectExtent l="0" t="0" r="12700" b="1270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4"/>
                        <a:stretch/>
                      </pic:blipFill>
                      <pic:spPr bwMode="auto">
                        <a:xfrm>
                          <a:off x="0" y="0"/>
                          <a:ext cx="4940300" cy="3454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9.0pt;height:272.0pt;mso-wrap-distance-left:0.0pt;mso-wrap-distance-top:0.0pt;mso-wrap-distance-right:0.0pt;mso-wrap-distance-bottom:0.0pt;" stroked="f">
                <v:path textboxrect="0,0,0,0"/>
                <v:imagedata r:id="rId14" o:title=""/>
              </v:shape>
            </w:pict>
          </mc:Fallback>
        </mc:AlternateContent>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扬州嘉泰工程项目管理有限公司</w:t>
      </w:r>
      <w:r/>
    </w:p>
    <w:p>
      <w:pPr>
        <w:jc w:val="center"/>
        <w:rPr>
          <w:rFonts w:ascii="宋体" w:hAnsi="宋体"/>
          <w:b/>
          <w:bCs/>
          <w:color w:val="auto"/>
          <w:sz w:val="36"/>
          <w:highlight w:val="none"/>
        </w:rPr>
      </w:pPr>
      <w:r>
        <w:rPr>
          <w:rFonts w:ascii="宋体" w:hAnsi="宋体"/>
          <w:b/>
          <w:bCs/>
          <w:color w:val="auto"/>
          <w:sz w:val="36"/>
          <w:highlight w:val="none"/>
        </w:rPr>
      </w:r>
      <w:r/>
    </w:p>
    <w:p>
      <w:pPr>
        <w:jc w:val="center"/>
        <w:rPr>
          <w:rFonts w:ascii="宋体" w:hAnsi="宋体"/>
          <w:color w:val="auto"/>
          <w:sz w:val="36"/>
          <w:highlight w:val="none"/>
        </w:rPr>
      </w:pPr>
      <w:r>
        <w:rPr>
          <w:rFonts w:hint="eastAsia" w:ascii="宋体" w:hAnsi="宋体"/>
          <w:b/>
          <w:bCs/>
          <w:color w:val="auto"/>
          <w:sz w:val="36"/>
          <w:highlight w:val="none"/>
        </w:rPr>
        <w:t xml:space="preserve">2026年9月14日</w:t>
      </w:r>
      <w:r/>
    </w:p>
    <w:p>
      <w:pPr>
        <w:rPr>
          <w:color w:val="auto"/>
          <w:highlight w:val="none"/>
        </w:rPr>
      </w:pPr>
      <w:r>
        <w:rPr>
          <w:color w:val="auto"/>
          <w:highlight w:val="none"/>
        </w:rPr>
      </w:r>
      <w:r/>
    </w:p>
    <w:p>
      <w:pPr>
        <w:pStyle w:val="936"/>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52"/>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s="宋体"/>
          <w:color w:val="auto"/>
          <w:szCs w:val="21"/>
          <w:highlight w:val="none"/>
        </w:rPr>
        <w:t xml:space="preserve">竞争性磋商采购公告</w:t>
      </w:r>
      <w:r>
        <w:rPr>
          <w:rFonts w:hint="eastAsia"/>
          <w:color w:val="auto"/>
          <w:highlight w:val="none"/>
        </w:rPr>
        <w:tab/>
      </w:r>
      <w:r>
        <w:rPr>
          <w:rFonts w:hint="eastAsia"/>
          <w:color w:val="auto"/>
          <w:highlight w:val="none"/>
        </w:rPr>
        <w:t xml:space="preserve">3</w:t>
      </w:r>
      <w:r/>
    </w:p>
    <w:p>
      <w:pPr>
        <w:pStyle w:val="952"/>
        <w:spacing w:line="480" w:lineRule="auto"/>
        <w:tabs>
          <w:tab w:val="right" w:pos="8296" w:leader="dot"/>
        </w:tabs>
        <w:rPr>
          <w:color w:val="auto"/>
          <w:highlight w:val="none"/>
        </w:rPr>
      </w:pPr>
      <w:r>
        <w:rPr>
          <w:rFonts w:hint="eastAsia" w:ascii="宋体" w:hAnsi="宋体"/>
          <w:color w:val="auto"/>
          <w:highlight w:val="none"/>
        </w:rPr>
        <w:t xml:space="preserve">第二章 </w:t>
      </w:r>
      <w:r>
        <w:rPr>
          <w:rFonts w:hint="eastAsia" w:ascii="宋体" w:hAnsi="宋体" w:cs="宋体"/>
          <w:color w:val="auto"/>
          <w:szCs w:val="21"/>
          <w:highlight w:val="none"/>
        </w:rPr>
        <w:t xml:space="preserve">磋商须知</w:t>
      </w:r>
      <w:r>
        <w:rPr>
          <w:rFonts w:hint="eastAsia"/>
          <w:color w:val="auto"/>
          <w:highlight w:val="none"/>
        </w:rPr>
        <w:tab/>
      </w:r>
      <w:r>
        <w:rPr>
          <w:rFonts w:hint="eastAsia"/>
          <w:color w:val="auto"/>
          <w:highlight w:val="none"/>
        </w:rPr>
        <w:t xml:space="preserve">7</w:t>
      </w:r>
      <w:r/>
    </w:p>
    <w:p>
      <w:pPr>
        <w:pStyle w:val="952"/>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17</w:t>
      </w:r>
      <w:r/>
    </w:p>
    <w:p>
      <w:pPr>
        <w:pStyle w:val="952"/>
        <w:spacing w:line="480" w:lineRule="auto"/>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22</w:t>
      </w:r>
      <w:r/>
    </w:p>
    <w:p>
      <w:pPr>
        <w:pStyle w:val="952"/>
        <w:spacing w:line="480" w:lineRule="auto"/>
        <w:tabs>
          <w:tab w:val="right" w:pos="8296" w:leader="dot"/>
        </w:tabs>
        <w:rPr>
          <w:color w:val="auto"/>
          <w:highlight w:val="none"/>
        </w:rPr>
      </w:pPr>
      <w:r>
        <w:rPr>
          <w:rFonts w:hint="eastAsia" w:ascii="宋体" w:hAnsi="宋体"/>
          <w:color w:val="auto"/>
          <w:highlight w:val="none"/>
        </w:rPr>
        <w:t xml:space="preserve">第五章 </w:t>
      </w:r>
      <w:r>
        <w:rPr>
          <w:rFonts w:hint="eastAsia"/>
          <w:color w:val="auto"/>
          <w:highlight w:val="none"/>
        </w:rPr>
        <w:t xml:space="preserve">评审方法与评审标准</w:t>
      </w:r>
      <w:r>
        <w:rPr>
          <w:rFonts w:hint="eastAsia"/>
          <w:color w:val="auto"/>
          <w:highlight w:val="none"/>
        </w:rPr>
        <w:tab/>
      </w:r>
      <w:r>
        <w:rPr>
          <w:rFonts w:hint="eastAsia"/>
          <w:color w:val="auto"/>
          <w:highlight w:val="none"/>
        </w:rPr>
        <w:t xml:space="preserve">25</w:t>
      </w:r>
      <w:r/>
    </w:p>
    <w:p>
      <w:pPr>
        <w:pStyle w:val="952"/>
        <w:spacing w:line="480" w:lineRule="auto"/>
        <w:tabs>
          <w:tab w:val="right" w:pos="8296" w:leader="dot"/>
        </w:tabs>
        <w:rPr>
          <w:color w:val="auto"/>
          <w:highlight w:val="none"/>
        </w:rPr>
      </w:pPr>
      <w:r>
        <w:rPr>
          <w:rFonts w:hint="eastAsia" w:ascii="宋体" w:hAnsi="宋体"/>
          <w:color w:val="auto"/>
          <w:highlight w:val="none"/>
        </w:rPr>
        <w:t xml:space="preserve">第六章 </w:t>
      </w:r>
      <w:r>
        <w:rPr>
          <w:rFonts w:hint="eastAsia" w:ascii="宋体" w:hAnsi="宋体" w:cs="宋体"/>
          <w:color w:val="auto"/>
          <w:szCs w:val="21"/>
          <w:highlight w:val="none"/>
        </w:rPr>
        <w:t xml:space="preserve">竞争性磋商响应文件格式</w:t>
      </w:r>
      <w:r>
        <w:rPr>
          <w:rFonts w:hint="eastAsia"/>
          <w:color w:val="auto"/>
          <w:highlight w:val="none"/>
        </w:rPr>
        <w:tab/>
      </w:r>
      <w:r>
        <w:rPr>
          <w:rFonts w:hint="eastAsia"/>
          <w:color w:val="auto"/>
          <w:highlight w:val="none"/>
        </w:rPr>
        <w:t xml:space="preserve">28</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33"/>
        <w:jc w:val="center"/>
        <w:spacing w:line="240" w:lineRule="auto"/>
        <w:rPr>
          <w:rFonts w:ascii="宋体" w:hAnsi="宋体"/>
          <w:color w:val="auto"/>
          <w:szCs w:val="36"/>
          <w:highlight w:val="none"/>
        </w:rPr>
      </w:pPr>
      <w:r/>
      <w:bookmarkStart w:id="0" w:name="_Toc55204177"/>
      <w:r>
        <w:rPr>
          <w:rFonts w:hint="eastAsia" w:ascii="宋体" w:hAnsi="宋体"/>
          <w:color w:val="auto"/>
          <w:szCs w:val="36"/>
          <w:highlight w:val="none"/>
        </w:rPr>
        <w:t xml:space="preserve">第一章 </w:t>
      </w:r>
      <w:bookmarkEnd w:id="0"/>
      <w:r>
        <w:rPr>
          <w:rFonts w:hint="eastAsia" w:ascii="宋体" w:hAnsi="宋体" w:cs="宋体"/>
          <w:color w:val="auto"/>
          <w:szCs w:val="21"/>
          <w:highlight w:val="none"/>
        </w:rPr>
        <w:t xml:space="preserve">竞争性磋商采购公告</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u w:val="single"/>
        </w:rPr>
        <w:t xml:space="preserve">扬州市邗江区公道镇人民政府</w:t>
      </w:r>
      <w:r>
        <w:rPr>
          <w:rFonts w:hint="eastAsia" w:ascii="宋体" w:hAnsi="宋体" w:cs="宋体"/>
          <w:color w:val="auto"/>
          <w:highlight w:val="none"/>
        </w:rPr>
        <w:t xml:space="preserve">的委托，</w:t>
      </w:r>
      <w:r>
        <w:rPr>
          <w:rFonts w:hint="eastAsia" w:ascii="宋体" w:hAnsi="宋体" w:cs="宋体"/>
          <w:color w:val="auto"/>
          <w:highlight w:val="none"/>
          <w:u w:val="single"/>
        </w:rPr>
        <w:t xml:space="preserve">扬州嘉泰工程项目管理有限公司</w:t>
      </w:r>
      <w:r>
        <w:rPr>
          <w:rFonts w:hint="eastAsia" w:ascii="宋体" w:hAnsi="宋体" w:cs="宋体"/>
          <w:color w:val="auto"/>
          <w:highlight w:val="none"/>
        </w:rPr>
        <w:t xml:space="preserve">就</w:t>
      </w:r>
      <w:r>
        <w:rPr>
          <w:rFonts w:hint="eastAsia" w:ascii="宋体" w:hAnsi="宋体" w:cs="宋体"/>
          <w:color w:val="auto"/>
          <w:highlight w:val="none"/>
          <w:u w:val="single"/>
        </w:rPr>
        <w:t xml:space="preserve">2026-2027年扬州市邗江区公道镇政府购买居家养老服务项目</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rPr>
        <w:t xml:space="preserve">2026-2027年扬州市邗江区公道镇政府购买居家养老服务项目</w:t>
      </w:r>
      <w:r>
        <w:rPr>
          <w:rFonts w:hint="eastAsia" w:ascii="宋体" w:hAnsi="宋体" w:cs="宋体"/>
          <w:color w:val="auto"/>
          <w:highlight w:val="none"/>
        </w:rPr>
        <w:t xml:space="preserve">的潜在投标人可在</w:t>
      </w:r>
      <w:r>
        <w:rPr>
          <w:rFonts w:hint="eastAsia" w:ascii="宋体" w:hAnsi="宋体" w:cs="宋体"/>
          <w:color w:val="auto"/>
          <w:szCs w:val="21"/>
          <w:highlight w:val="none"/>
          <w:u w:val="single"/>
          <w:shd w:val="clear" w:color="auto" w:fill="ffffff"/>
        </w:rPr>
        <w:t xml:space="preserve">“扬州市邗江区政府采购网”、</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2026年9月28日上午9:30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1" w:name="_Toc35393621"/>
      <w:r/>
      <w:bookmarkStart w:id="2" w:name="_Toc28359079"/>
      <w:r/>
      <w:bookmarkStart w:id="3" w:name="_Toc35393790"/>
      <w:r/>
      <w:bookmarkStart w:id="4" w:name="_Toc28359002"/>
      <w:r/>
      <w:bookmarkStart w:id="5" w:name="_Toc38985263"/>
      <w:r/>
      <w:bookmarkStart w:id="6" w:name="_Hlk24379207"/>
      <w:r>
        <w:rPr>
          <w:rFonts w:hint="eastAsia" w:ascii="宋体" w:hAnsi="宋体" w:cs="宋体"/>
          <w:b/>
          <w:bCs/>
          <w:color w:val="auto"/>
          <w:highlight w:val="none"/>
        </w:rPr>
        <w:t xml:space="preserve">一、项目基本情况</w:t>
      </w:r>
      <w:bookmarkEnd w:id="1"/>
      <w:r/>
      <w:bookmarkEnd w:id="2"/>
      <w:r/>
      <w:bookmarkEnd w:id="3"/>
      <w:r/>
      <w:bookmarkEnd w:id="4"/>
      <w:r/>
      <w:bookmarkEnd w:id="5"/>
      <w:r/>
      <w:bookmarkEnd w:id="6"/>
      <w:r/>
      <w:r/>
    </w:p>
    <w:p>
      <w:pPr>
        <w:ind w:firstLine="420"/>
        <w:spacing w:line="360" w:lineRule="auto"/>
        <w:rPr>
          <w:rFonts w:ascii="宋体" w:hAnsi="宋体" w:cs="宋体"/>
          <w:color w:val="auto"/>
          <w:szCs w:val="21"/>
          <w:highlight w:val="none"/>
        </w:rPr>
      </w:pPr>
      <w:r/>
      <w:bookmarkStart w:id="7" w:name="_Toc38985264"/>
      <w:r/>
      <w:bookmarkStart w:id="8" w:name="_Toc35393791"/>
      <w:r/>
      <w:bookmarkStart w:id="9" w:name="_Toc28359080"/>
      <w:r/>
      <w:bookmarkStart w:id="10" w:name="_Toc35393622"/>
      <w:r/>
      <w:bookmarkStart w:id="11" w:name="_Toc28359003"/>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JSZC-321003-JTGC-C2026-0008</w:t>
      </w:r>
      <w:r>
        <w:rPr>
          <w:rFonts w:hint="eastAsia" w:ascii="宋体" w:hAnsi="宋体" w:cs="宋体"/>
          <w:color w:val="auto"/>
          <w:highlight w:val="none"/>
        </w:rPr>
        <w:t xml:space="preserve">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2.项目名称：2026-2027年扬州市邗江区公道镇政府购买居家养老服务项目</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3.预算金额：180万元</w:t>
      </w:r>
      <w:r>
        <w:rPr>
          <w:rFonts w:hint="eastAsia" w:ascii="宋体" w:hAnsi="宋体" w:cs="宋体"/>
          <w:bCs/>
          <w:color w:val="auto"/>
          <w:szCs w:val="21"/>
          <w:highlight w:val="none"/>
        </w:rPr>
        <w:t xml:space="preserve">（本项目分两个包，采购包1预算85万元，采购包2预算95万元）</w:t>
      </w:r>
      <w:r/>
    </w:p>
    <w:p>
      <w:pPr>
        <w:ind w:firstLine="420"/>
        <w:spacing w:line="360" w:lineRule="auto"/>
        <w:rPr>
          <w:rFonts w:ascii="宋体" w:hAnsi="宋体" w:cs="宋体"/>
          <w:color w:val="auto"/>
          <w:spacing w:val="-7"/>
          <w:szCs w:val="21"/>
          <w:highlight w:val="none"/>
        </w:rPr>
      </w:pPr>
      <w:r>
        <w:rPr>
          <w:rFonts w:hint="eastAsia" w:ascii="宋体" w:hAnsi="宋体" w:cs="宋体"/>
          <w:color w:val="auto"/>
          <w:highlight w:val="none"/>
        </w:rPr>
        <w:t xml:space="preserve">4.本项目设置最高限价：包1为埝桥村、湖滨村、魁星村、河东村、河西村、欧阳村居家养老服务，最高限价为人民币29元/小时，包2为柏树村、赤岸村、花园村、太平村、桑园村、谷营村、赤居村、三界村居家养老服务，最高限价为人民币29元/小时。（以上</w:t>
      </w:r>
      <w:r>
        <w:rPr>
          <w:rFonts w:hint="eastAsia" w:ascii="宋体" w:hAnsi="宋体" w:cs="宋体"/>
          <w:color w:val="auto"/>
          <w:spacing w:val="-7"/>
          <w:szCs w:val="21"/>
          <w:highlight w:val="none"/>
        </w:rPr>
        <w:t xml:space="preserve">报价含服务费、管理费、服务人员交通费及通讯费等所有费用），报价超过最高限价的为无效报价，按照无效响应处理。</w:t>
      </w:r>
      <w:r/>
    </w:p>
    <w:p>
      <w:pPr>
        <w:ind w:firstLine="392"/>
        <w:spacing w:line="360" w:lineRule="auto"/>
        <w:rPr>
          <w:color w:val="auto"/>
          <w:highlight w:val="none"/>
        </w:rPr>
      </w:pPr>
      <w:r>
        <w:rPr>
          <w:rFonts w:hint="eastAsia" w:ascii="宋体" w:hAnsi="宋体" w:cs="宋体"/>
          <w:color w:val="auto"/>
          <w:spacing w:val="-7"/>
          <w:szCs w:val="21"/>
          <w:highlight w:val="none"/>
        </w:rPr>
        <w:t xml:space="preserve">本项目共有两个包，投标人可以兼投，也可以只选择其中一个包，不可兼中，开标顺序为：包1--包2。</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5.采购需求：见采购文件第四章</w:t>
      </w:r>
      <w:r/>
    </w:p>
    <w:p>
      <w:pPr>
        <w:ind w:firstLine="422"/>
        <w:spacing w:line="480" w:lineRule="exact"/>
        <w:rPr>
          <w:rFonts w:ascii="宋体" w:hAnsi="宋体"/>
          <w:color w:val="auto"/>
          <w:szCs w:val="21"/>
          <w:highlight w:val="none"/>
        </w:rPr>
      </w:pPr>
      <w:r>
        <w:rPr>
          <w:rFonts w:hint="eastAsia" w:ascii="宋体" w:hAnsi="宋体" w:cs="宋体"/>
          <w:color w:val="auto"/>
          <w:highlight w:val="none"/>
        </w:rPr>
        <w:t xml:space="preserve">6.合同履行期限：1年,</w:t>
      </w:r>
      <w:r>
        <w:rPr>
          <w:rFonts w:hint="eastAsia" w:hAnsi="宋体"/>
          <w:b/>
          <w:bCs/>
          <w:color w:val="auto"/>
          <w:highlight w:val="none"/>
        </w:rPr>
        <w:t xml:space="preserve"> </w:t>
      </w:r>
      <w:r>
        <w:rPr>
          <w:rFonts w:hint="eastAsia" w:hAnsi="宋体"/>
          <w:bCs/>
          <w:color w:val="auto"/>
          <w:highlight w:val="none"/>
        </w:rPr>
        <w:t xml:space="preserve">如政府有新政策或新文件需终止项目的，服务方需服务到当月月底后终止合同。</w:t>
      </w:r>
      <w:r/>
    </w:p>
    <w:p>
      <w:pPr>
        <w:ind w:firstLine="420"/>
        <w:spacing w:line="360" w:lineRule="auto"/>
        <w:rPr>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7"/>
      <w:r/>
      <w:bookmarkEnd w:id="8"/>
      <w:r/>
      <w:bookmarkEnd w:id="9"/>
      <w:r/>
      <w:bookmarkEnd w:id="10"/>
      <w:r/>
      <w:bookmarkEnd w:id="11"/>
      <w:r/>
      <w:r/>
    </w:p>
    <w:p>
      <w:pPr>
        <w:pStyle w:val="775"/>
        <w:ind w:firstLine="420"/>
        <w:jc w:val="left"/>
        <w:spacing w:before="0" w:beforeAutospacing="0" w:after="0" w:afterAutospacing="0" w:line="360" w:lineRule="auto"/>
        <w:widowControl/>
        <w:rPr>
          <w:color w:val="auto"/>
          <w:sz w:val="21"/>
          <w:szCs w:val="21"/>
          <w:highlight w:val="none"/>
        </w:rPr>
      </w:pPr>
      <w:r/>
      <w:bookmarkStart w:id="12" w:name="_Toc38985265"/>
      <w:r/>
      <w:bookmarkStart w:id="13" w:name="_Toc35393623"/>
      <w:r/>
      <w:bookmarkStart w:id="14" w:name="_Toc35393792"/>
      <w:r/>
      <w:bookmarkStart w:id="15" w:name="_Toc28359081"/>
      <w:r/>
      <w:bookmarkStart w:id="16" w:name="_Toc28359004"/>
      <w:r>
        <w:rPr>
          <w:rFonts w:hint="eastAsia"/>
          <w:color w:val="auto"/>
          <w:sz w:val="21"/>
          <w:szCs w:val="21"/>
          <w:highlight w:val="none"/>
        </w:rPr>
        <w:t xml:space="preserve">（一）满足《中华人民共和国政府采购法》第二十二条规定；</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1.法人或者其他组织的营业执照等证明文件，自然人的身份证明（身份证为正、反面）</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2.上一年度的财务状况报告（提供2025年度的财务状况报告，至少包含资产负债表、利润表，供应商成立</w:t>
      </w:r>
      <w:r>
        <w:rPr>
          <w:rFonts w:hint="eastAsia" w:ascii="宋体" w:hAnsi="宋体"/>
          <w:i/>
          <w:iCs/>
          <w:color w:val="auto"/>
          <w:highlight w:val="none"/>
          <w:u w:val="single"/>
        </w:rPr>
        <w:t xml:space="preserve">距投标截止日</w:t>
      </w:r>
      <w:r>
        <w:rPr>
          <w:rFonts w:hint="eastAsia" w:ascii="宋体" w:hAnsi="宋体"/>
          <w:i/>
          <w:iCs/>
          <w:color w:val="auto"/>
          <w:szCs w:val="21"/>
          <w:highlight w:val="none"/>
          <w:u w:val="single"/>
        </w:rPr>
        <w:t xml:space="preserve">不满一年无需提供）</w:t>
      </w:r>
      <w:r/>
    </w:p>
    <w:p>
      <w:pPr>
        <w:ind w:firstLine="420"/>
        <w:spacing w:line="440" w:lineRule="exact"/>
        <w:rPr>
          <w:rFonts w:ascii="宋体" w:hAnsi="宋体"/>
          <w:i/>
          <w:iCs/>
          <w:color w:val="auto"/>
          <w:highlight w:val="none"/>
          <w:u w:val="single"/>
        </w:rPr>
      </w:pPr>
      <w:r>
        <w:rPr>
          <w:rFonts w:hint="eastAsia" w:ascii="宋体" w:hAnsi="宋体"/>
          <w:i/>
          <w:iCs/>
          <w:color w:val="auto"/>
          <w:szCs w:val="21"/>
          <w:highlight w:val="none"/>
          <w:u w:val="single"/>
        </w:rPr>
        <w:t xml:space="preserve">3.依法缴纳税收和社会保障资金的相关材料（</w:t>
      </w:r>
      <w:r>
        <w:rPr>
          <w:rFonts w:hint="eastAsia" w:ascii="宋体" w:hAnsi="宋体"/>
          <w:i/>
          <w:iCs/>
          <w:color w:val="auto"/>
          <w:highlight w:val="none"/>
          <w:u w:val="single"/>
        </w:rPr>
        <w:t xml:space="preserve">提供提交响应文件截止时间前一年内至少一个月依法缴纳税收及缴纳社会保障资金的证明材料。认定税种不包括个人所得税。供应商依法享受缓缴、免缴税收、社会保障资金的提供证明材料。新成立企业距投标截止日不足30日的，可不提供，以新办企业营业执照发放日期为准）</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4.具备履行合同所必需的设备和专业技术能力的书面声明</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5.参加政府采购活动前3年内在经营活动中没有重大违法记录的书面声明</w:t>
      </w:r>
      <w:r/>
    </w:p>
    <w:p>
      <w:pPr>
        <w:ind w:firstLine="420"/>
        <w:spacing w:line="440" w:lineRule="exact"/>
        <w:rPr>
          <w:rFonts w:ascii="宋体" w:hAnsi="宋体"/>
          <w:i/>
          <w:color w:val="auto"/>
          <w:szCs w:val="21"/>
          <w:highlight w:val="none"/>
          <w:u w:val="single"/>
        </w:rPr>
      </w:pPr>
      <w:r>
        <w:rPr>
          <w:rFonts w:hint="eastAsia" w:ascii="宋体" w:hAnsi="宋体"/>
          <w:i/>
          <w:iCs/>
          <w:color w:val="auto"/>
          <w:szCs w:val="21"/>
          <w:highlight w:val="none"/>
          <w:u w:val="single"/>
        </w:rPr>
        <w:t xml:space="preserve">6.供应商信用承诺函</w:t>
      </w:r>
      <w:r/>
    </w:p>
    <w:p>
      <w:pPr>
        <w:ind w:firstLine="420"/>
        <w:spacing w:line="440" w:lineRule="exact"/>
        <w:rPr>
          <w:rFonts w:ascii="宋体" w:hAnsi="宋体"/>
          <w:i/>
          <w:iCs/>
          <w:color w:val="auto"/>
          <w:szCs w:val="21"/>
          <w:highlight w:val="none"/>
          <w:u w:val="single"/>
        </w:rPr>
      </w:pPr>
      <w:r>
        <w:rPr>
          <w:rFonts w:hint="eastAsia" w:ascii="宋体" w:hAnsi="宋体"/>
          <w:i/>
          <w:iCs/>
          <w:color w:val="auto"/>
          <w:szCs w:val="21"/>
          <w:highlight w:val="none"/>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pStyle w:val="775"/>
        <w:ind w:firstLine="480"/>
        <w:spacing w:before="0" w:beforeAutospacing="0" w:after="0" w:afterAutospacing="0" w:line="360" w:lineRule="auto"/>
        <w:shd w:val="clear" w:color="auto" w:fill="ffffff"/>
        <w:rPr>
          <w:rFonts w:cs="Times New Roman"/>
          <w:i/>
          <w:iCs/>
          <w:color w:val="auto"/>
          <w:sz w:val="21"/>
          <w:szCs w:val="21"/>
          <w:highlight w:val="none"/>
          <w:u w:val="single"/>
        </w:rPr>
      </w:pPr>
      <w:r>
        <w:rPr>
          <w:rFonts w:hint="eastAsia" w:cs="Times New Roman"/>
          <w:i/>
          <w:iCs/>
          <w:color w:val="auto"/>
          <w:sz w:val="21"/>
          <w:szCs w:val="21"/>
          <w:highlight w:val="none"/>
          <w:u w:val="single"/>
        </w:rPr>
        <w:t xml:space="preserve">8.磋商响应函；</w:t>
      </w:r>
      <w:r/>
    </w:p>
    <w:p>
      <w:pPr>
        <w:pStyle w:val="775"/>
        <w:ind w:firstLine="480"/>
        <w:spacing w:before="0" w:beforeAutospacing="0" w:after="0" w:afterAutospacing="0" w:line="360" w:lineRule="auto"/>
        <w:shd w:val="clear" w:color="auto" w:fill="ffffff"/>
        <w:rPr>
          <w:rFonts w:cs="Times New Roman"/>
          <w:i/>
          <w:iCs/>
          <w:color w:val="auto"/>
          <w:sz w:val="21"/>
          <w:szCs w:val="21"/>
          <w:highlight w:val="none"/>
          <w:u w:val="single"/>
        </w:rPr>
      </w:pPr>
      <w:r>
        <w:rPr>
          <w:rFonts w:hint="eastAsia" w:cs="Times New Roman"/>
          <w:i/>
          <w:iCs/>
          <w:color w:val="auto"/>
          <w:sz w:val="21"/>
          <w:szCs w:val="21"/>
          <w:highlight w:val="none"/>
          <w:u w:val="single"/>
        </w:rPr>
        <w:t xml:space="preserve">9.法人授权书。</w:t>
      </w:r>
      <w:r/>
    </w:p>
    <w:p>
      <w:pPr>
        <w:ind w:firstLine="420"/>
        <w:spacing w:line="360" w:lineRule="auto"/>
        <w:rPr>
          <w:rFonts w:ascii="宋体" w:hAnsi="宋体" w:cs="宋体"/>
          <w:color w:val="auto"/>
          <w:szCs w:val="21"/>
          <w:highlight w:val="none"/>
        </w:rPr>
      </w:pPr>
      <w:r>
        <w:rPr>
          <w:rFonts w:hint="eastAsia" w:ascii="宋体" w:hAnsi="宋体"/>
          <w:b/>
          <w:color w:val="auto"/>
          <w:szCs w:val="21"/>
          <w:highlight w:val="none"/>
        </w:rPr>
        <w:t xml:space="preserve">（二）落实政府采购政策需满足的资格要求</w:t>
      </w:r>
      <w:r>
        <w:rPr>
          <w:rFonts w:hint="eastAsia" w:ascii="宋体" w:hAnsi="宋体"/>
          <w:color w:val="auto"/>
          <w:szCs w:val="21"/>
          <w:highlight w:val="none"/>
        </w:rPr>
        <w:t xml:space="preserve">：</w:t>
      </w:r>
      <w:r>
        <w:rPr>
          <w:rFonts w:hint="eastAsia" w:ascii="宋体" w:hAnsi="宋体"/>
          <w:i/>
          <w:iCs/>
          <w:color w:val="auto"/>
          <w:szCs w:val="21"/>
          <w:highlight w:val="none"/>
          <w:u w:val="single"/>
        </w:rPr>
        <w:t xml:space="preserve">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color w:val="auto"/>
          <w:szCs w:val="21"/>
          <w:highlight w:val="none"/>
        </w:rPr>
      </w:pPr>
      <w:r>
        <w:rPr>
          <w:rFonts w:hint="eastAsia"/>
          <w:color w:val="auto"/>
          <w:szCs w:val="21"/>
          <w:highlight w:val="none"/>
        </w:rPr>
        <w:t xml:space="preserve">（三）本项目的特定资格要求：无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2"/>
      <w:r/>
      <w:bookmarkEnd w:id="13"/>
      <w:r/>
      <w:bookmarkEnd w:id="14"/>
      <w:r/>
      <w:bookmarkEnd w:id="15"/>
      <w:r/>
      <w:bookmarkEnd w:id="16"/>
      <w:r/>
      <w:r/>
    </w:p>
    <w:p>
      <w:pPr>
        <w:ind w:firstLine="420"/>
        <w:spacing w:line="360" w:lineRule="auto"/>
        <w:rPr>
          <w:color w:val="auto"/>
          <w:szCs w:val="21"/>
          <w:highlight w:val="none"/>
        </w:rPr>
      </w:pPr>
      <w:r/>
      <w:bookmarkStart w:id="17" w:name="_Toc38985266"/>
      <w:r/>
      <w:bookmarkStart w:id="18" w:name="_Toc28359082"/>
      <w:r/>
      <w:bookmarkStart w:id="19" w:name="_Toc35393624"/>
      <w:r/>
      <w:bookmarkStart w:id="20" w:name="_Toc35393793"/>
      <w:r/>
      <w:bookmarkStart w:id="21" w:name="_Toc28359005"/>
      <w:r>
        <w:rPr>
          <w:rFonts w:hint="eastAsia" w:ascii="宋体" w:hAnsi="宋体" w:cs="宋体"/>
          <w:color w:val="auto"/>
          <w:highlight w:val="none"/>
        </w:rPr>
        <w:t xml:space="preserve">1.时间：</w:t>
      </w:r>
      <w:r>
        <w:rPr>
          <w:rFonts w:hint="eastAsia"/>
          <w:color w:val="auto"/>
          <w:szCs w:val="21"/>
          <w:highlight w:val="none"/>
        </w:rPr>
        <w:t xml:space="preserve">自磋商文件公告发布之日起5个工作日，</w:t>
      </w:r>
      <w:r>
        <w:rPr>
          <w:rFonts w:hint="eastAsia" w:ascii="宋体" w:hAnsi="宋体" w:cs="宋体"/>
          <w:color w:val="auto"/>
          <w:highlight w:val="none"/>
        </w:rPr>
        <w:t xml:space="preserve">5个工作日后仍可下载采购文件，但不作为供应商权益受到损害的证明材料和依据。</w:t>
      </w:r>
      <w:bookmarkEnd w:id="17"/>
      <w:r/>
      <w:bookmarkEnd w:id="18"/>
      <w:r/>
      <w:bookmarkEnd w:id="19"/>
      <w:r/>
      <w:bookmarkEnd w:id="20"/>
      <w:r/>
      <w:bookmarkEnd w:id="21"/>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地点：“苏采云”系统内免费下载（投标人须在苏采云系统中获取采购文件，方能参与政府采购项目） </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方式：本项目采用网上注册登记方式</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地点：“扬州市邗江区政府采购网”、“扬州市政府采购网”、“江苏省政府采购网”、“中国政府采购网” </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方式：“苏采云”系统（网址： http://jszfcg.jsczt.cn/） </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售价：0.00元 </w:t>
      </w:r>
      <w:r/>
    </w:p>
    <w:p>
      <w:pPr>
        <w:pStyle w:val="738"/>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79"/>
          <w:rFonts w:hint="eastAsia" w:ascii="宋体" w:hAnsi="宋体" w:eastAsia="宋体" w:cs="宋体"/>
          <w:color w:val="auto"/>
          <w:sz w:val="21"/>
          <w:szCs w:val="21"/>
          <w:highlight w:val="none"/>
        </w:rPr>
        <w:t xml:space="preserve">四、响应文件提交</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截止时间：2026年9月28日</w:t>
      </w:r>
      <w:r>
        <w:rPr>
          <w:rFonts w:hint="eastAsia"/>
          <w:color w:val="auto"/>
          <w:sz w:val="21"/>
          <w:szCs w:val="21"/>
          <w:highlight w:val="none"/>
          <w:shd w:val="clear" w:color="auto" w:fill="ffffff"/>
        </w:rPr>
        <w:t xml:space="preserve">9点30分</w:t>
      </w:r>
      <w:r>
        <w:rPr>
          <w:rFonts w:hint="eastAsia"/>
          <w:color w:val="auto"/>
          <w:sz w:val="21"/>
          <w:szCs w:val="21"/>
          <w:highlight w:val="none"/>
        </w:rPr>
        <w:t xml:space="preserve">（北京时间）</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地点：“苏采云”系统（网址： http://jszfcg.jsczt.cn/） </w:t>
      </w:r>
      <w:r/>
    </w:p>
    <w:p>
      <w:pPr>
        <w:pStyle w:val="738"/>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79"/>
          <w:rFonts w:hint="eastAsia" w:ascii="宋体" w:hAnsi="宋体" w:eastAsia="宋体" w:cs="宋体"/>
          <w:color w:val="auto"/>
          <w:sz w:val="21"/>
          <w:szCs w:val="21"/>
          <w:highlight w:val="none"/>
        </w:rPr>
        <w:t xml:space="preserve">五、开启</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时间：2026年9月28日</w:t>
      </w:r>
      <w:r>
        <w:rPr>
          <w:rFonts w:hint="eastAsia"/>
          <w:color w:val="auto"/>
          <w:sz w:val="21"/>
          <w:szCs w:val="21"/>
          <w:highlight w:val="none"/>
          <w:shd w:val="clear" w:color="auto" w:fill="ffffff"/>
        </w:rPr>
        <w:t xml:space="preserve">9点30分</w:t>
      </w:r>
      <w:r>
        <w:rPr>
          <w:rFonts w:hint="eastAsia"/>
          <w:color w:val="auto"/>
          <w:sz w:val="21"/>
          <w:szCs w:val="21"/>
          <w:highlight w:val="none"/>
        </w:rPr>
        <w:t xml:space="preserve">（北京时间）</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地点：“苏采云”系统（网址： http://jszfcg.jsczt.cn/）“开标大厅” </w:t>
      </w:r>
      <w:r/>
    </w:p>
    <w:p>
      <w:pPr>
        <w:pStyle w:val="738"/>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79"/>
          <w:rFonts w:hint="eastAsia" w:ascii="宋体" w:hAnsi="宋体" w:eastAsia="宋体" w:cs="宋体"/>
          <w:color w:val="auto"/>
          <w:sz w:val="21"/>
          <w:szCs w:val="21"/>
          <w:highlight w:val="none"/>
        </w:rPr>
        <w:t xml:space="preserve">六、公告期限</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自本公告发布之日起5个工作日。</w:t>
      </w:r>
      <w:r/>
    </w:p>
    <w:p>
      <w:pPr>
        <w:pStyle w:val="738"/>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79"/>
          <w:rFonts w:hint="eastAsia" w:ascii="宋体" w:hAnsi="宋体" w:eastAsia="宋体" w:cs="宋体"/>
          <w:color w:val="auto"/>
          <w:sz w:val="21"/>
          <w:szCs w:val="21"/>
          <w:highlight w:val="none"/>
        </w:rPr>
        <w:t xml:space="preserve">七、其他补充事宜</w:t>
      </w:r>
      <w:r/>
    </w:p>
    <w:p>
      <w:pPr>
        <w:ind w:firstLine="422"/>
        <w:jc w:val="left"/>
        <w:spacing w:line="360" w:lineRule="auto"/>
        <w:widowControl/>
        <w:rPr>
          <w:rFonts w:ascii="宋体" w:hAnsi="宋体" w:cs="宋体"/>
          <w:color w:val="auto"/>
          <w:szCs w:val="21"/>
          <w:highlight w:val="none"/>
        </w:rPr>
      </w:pPr>
      <w:r>
        <w:rPr>
          <w:rStyle w:val="779"/>
          <w:rFonts w:hint="eastAsia" w:ascii="宋体" w:hAnsi="宋体" w:cs="宋体"/>
          <w:color w:val="auto"/>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color w:val="auto"/>
          <w:szCs w:val="21"/>
          <w:highlight w:val="none"/>
        </w:rPr>
      </w:pPr>
      <w:r>
        <w:rPr>
          <w:rStyle w:val="779"/>
          <w:rFonts w:hint="eastAsia" w:ascii="宋体" w:hAnsi="宋体" w:cs="宋体"/>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775"/>
        <w:ind w:firstLine="422"/>
        <w:jc w:val="left"/>
        <w:spacing w:before="0" w:beforeAutospacing="0" w:after="0" w:afterAutospacing="0" w:line="360" w:lineRule="auto"/>
        <w:widowControl/>
        <w:rPr>
          <w:color w:val="auto"/>
          <w:sz w:val="21"/>
          <w:szCs w:val="21"/>
          <w:highlight w:val="none"/>
        </w:rPr>
      </w:pPr>
      <w:r>
        <w:rPr>
          <w:rStyle w:val="779"/>
          <w:rFonts w:hint="eastAsia"/>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75"/>
        <w:ind w:firstLine="422"/>
        <w:jc w:val="left"/>
        <w:spacing w:before="0" w:beforeAutospacing="0" w:after="0" w:afterAutospacing="0" w:line="360" w:lineRule="auto"/>
        <w:widowControl/>
        <w:rPr>
          <w:color w:val="auto"/>
          <w:sz w:val="21"/>
          <w:szCs w:val="21"/>
          <w:highlight w:val="none"/>
        </w:rPr>
      </w:pPr>
      <w:r>
        <w:rPr>
          <w:rStyle w:val="779"/>
          <w:rFonts w:hint="eastAsia"/>
          <w:color w:val="auto"/>
          <w:sz w:val="21"/>
          <w:szCs w:val="21"/>
          <w:highlight w:val="none"/>
        </w:rPr>
        <w:t xml:space="preserve">4.潜在供应商对采购文件项目需求部分的询问、质疑请向采购人提出，由采购人负责答复。</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5.本次采购不收取保证金。</w:t>
      </w:r>
      <w:r/>
    </w:p>
    <w:p>
      <w:pPr>
        <w:ind w:firstLine="420"/>
        <w:spacing w:line="450" w:lineRule="exact"/>
        <w:rPr>
          <w:rFonts w:ascii="宋体" w:hAnsi="宋体"/>
          <w:bCs/>
          <w:color w:val="auto"/>
          <w:szCs w:val="21"/>
          <w:highlight w:val="none"/>
        </w:rPr>
      </w:pPr>
      <w:r>
        <w:rPr>
          <w:rFonts w:hint="eastAsia" w:ascii="宋体" w:hAnsi="宋体"/>
          <w:bCs/>
          <w:color w:val="auto"/>
          <w:szCs w:val="21"/>
          <w:highlight w:val="none"/>
        </w:rPr>
        <w:t xml:space="preserve">6.集中考察或召开答疑会：本项目不组织供应商集中考察。供应商如有需要，自行现场勘查。勘查时，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p>
    <w:p>
      <w:pPr>
        <w:ind w:firstLine="315"/>
        <w:spacing w:line="450" w:lineRule="exact"/>
        <w:rPr>
          <w:rFonts w:ascii="宋体" w:hAnsi="宋体"/>
          <w:bCs/>
          <w:color w:val="auto"/>
          <w:szCs w:val="21"/>
          <w:highlight w:val="none"/>
        </w:rPr>
      </w:pPr>
      <w:r>
        <w:rPr>
          <w:rFonts w:hint="eastAsia" w:ascii="宋体" w:hAnsi="宋体"/>
          <w:bCs/>
          <w:color w:val="auto"/>
          <w:szCs w:val="21"/>
          <w:highlight w:val="none"/>
        </w:rPr>
        <w:t xml:space="preserve">7.拒绝下述供应商参加本次采购活动：</w:t>
      </w:r>
      <w:r/>
    </w:p>
    <w:p>
      <w:pPr>
        <w:ind w:firstLine="315"/>
        <w:spacing w:line="45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（1）供应商单位负责人为同一人或者存在直接控股、管理关系的不同供应商，不得参加同一合同项下的政府采购活动。</w:t>
      </w:r>
      <w:r/>
    </w:p>
    <w:p>
      <w:pPr>
        <w:ind w:firstLine="315"/>
        <w:spacing w:line="450" w:lineRule="exact"/>
        <w:rPr>
          <w:rFonts w:ascii="宋体" w:hAnsi="宋体" w:cs="宋体"/>
          <w:color w:val="auto"/>
          <w:szCs w:val="21"/>
          <w:highlight w:val="none"/>
        </w:rPr>
      </w:pPr>
      <w:r>
        <w:rPr>
          <w:rFonts w:hint="eastAsia" w:ascii="宋体" w:hAnsi="宋体" w:cs="宋体"/>
          <w:bCs/>
          <w:i/>
          <w:iCs/>
          <w:color w:val="auto"/>
          <w:szCs w:val="21"/>
          <w:highlight w:val="none"/>
          <w:u w:val="single"/>
        </w:rPr>
        <w:t xml:space="preserve">（2）凡为采购项目提供整体设计、规范编制或者项目管理、监理、检测等服务的供应商，不得再参加该项目的其他采购活动。</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8.有关本次采购的事项若存在变动或修改，敬请及时关注“扬州市政府采购网”、“江苏省政府采购网”、“中国政府采购网”发布的信息。</w:t>
      </w:r>
      <w:r/>
    </w:p>
    <w:p>
      <w:pPr>
        <w:pStyle w:val="775"/>
        <w:ind w:firstLine="420"/>
        <w:jc w:val="left"/>
        <w:spacing w:before="0" w:beforeAutospacing="0" w:after="0" w:afterAutospacing="0" w:line="360" w:lineRule="auto"/>
        <w:widowControl/>
        <w:rPr>
          <w:color w:val="auto"/>
          <w:sz w:val="21"/>
          <w:szCs w:val="21"/>
          <w:highlight w:val="none"/>
        </w:rPr>
      </w:pPr>
      <w:r>
        <w:rPr>
          <w:rStyle w:val="781"/>
          <w:rFonts w:hint="eastAsia"/>
          <w:color w:val="auto"/>
          <w:sz w:val="21"/>
          <w:szCs w:val="21"/>
          <w:highlight w:val="none"/>
          <w:u w:val="single"/>
        </w:rPr>
        <w:t xml:space="preserve">9.本项目磋商文件中所有斜体下划线部分为实质性条款，如不满足，则为无效响应。</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10.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11.如在开标时间发生系统崩溃等不可预见的情况，造成开评标活动无法正常进行的，将延迟开评标，具体开评标时间另行通知。</w:t>
      </w:r>
      <w:r/>
    </w:p>
    <w:p>
      <w:pPr>
        <w:pStyle w:val="775"/>
        <w:ind w:firstLine="422"/>
        <w:jc w:val="left"/>
        <w:spacing w:before="0" w:beforeAutospacing="0" w:after="0" w:afterAutospacing="0" w:line="360" w:lineRule="auto"/>
        <w:widowControl/>
        <w:rPr>
          <w:color w:val="auto"/>
          <w:sz w:val="21"/>
          <w:szCs w:val="21"/>
          <w:highlight w:val="none"/>
        </w:rPr>
      </w:pPr>
      <w:r>
        <w:rPr>
          <w:rStyle w:val="779"/>
          <w:rFonts w:hint="eastAsia"/>
          <w:color w:val="auto"/>
          <w:sz w:val="21"/>
          <w:szCs w:val="21"/>
          <w:highlight w:val="none"/>
        </w:rPr>
        <w:t xml:space="preserve">12.落实好政府采购履约资金扶持政策。中标/成交供应商可凭政府采购合同办理融资贷款，详见江苏政府采购网“政采贷”专栏。</w:t>
      </w:r>
      <w:r/>
    </w:p>
    <w:p>
      <w:pPr>
        <w:pStyle w:val="775"/>
        <w:ind w:firstLine="422"/>
        <w:jc w:val="left"/>
        <w:spacing w:before="0" w:beforeAutospacing="0" w:after="0" w:afterAutospacing="0" w:line="360" w:lineRule="auto"/>
        <w:widowControl/>
        <w:rPr>
          <w:color w:val="auto"/>
          <w:sz w:val="21"/>
          <w:szCs w:val="21"/>
          <w:highlight w:val="none"/>
        </w:rPr>
      </w:pPr>
      <w:r>
        <w:rPr>
          <w:rStyle w:val="779"/>
          <w:rFonts w:hint="eastAsia"/>
          <w:color w:val="auto"/>
          <w:sz w:val="21"/>
          <w:szCs w:val="21"/>
          <w:highlight w:val="none"/>
        </w:rPr>
        <w:t xml:space="preserve">13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75"/>
        <w:ind w:firstLine="422"/>
        <w:jc w:val="left"/>
        <w:spacing w:before="0" w:beforeAutospacing="0" w:after="0" w:afterAutospacing="0" w:line="360" w:lineRule="auto"/>
        <w:widowControl/>
        <w:rPr>
          <w:color w:val="auto"/>
          <w:sz w:val="21"/>
          <w:szCs w:val="21"/>
          <w:highlight w:val="none"/>
        </w:rPr>
      </w:pPr>
      <w:r>
        <w:rPr>
          <w:rStyle w:val="779"/>
          <w:rFonts w:hint="eastAsia"/>
          <w:color w:val="auto"/>
          <w:sz w:val="21"/>
          <w:szCs w:val="21"/>
          <w:highlight w:val="none"/>
        </w:rPr>
        <w:t xml:space="preserve">14.严格执行政府采购关于支持</w:t>
      </w:r>
      <w:r>
        <w:rPr>
          <w:rStyle w:val="779"/>
          <w:rFonts w:hint="eastAsia"/>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75"/>
        <w:ind w:firstLine="422"/>
        <w:jc w:val="left"/>
        <w:spacing w:before="0" w:beforeAutospacing="0" w:after="0" w:afterAutospacing="0" w:line="360" w:lineRule="auto"/>
        <w:widowControl/>
        <w:rPr>
          <w:color w:val="auto"/>
          <w:sz w:val="21"/>
          <w:szCs w:val="21"/>
          <w:highlight w:val="none"/>
        </w:rPr>
      </w:pPr>
      <w:r>
        <w:rPr>
          <w:rStyle w:val="779"/>
          <w:rFonts w:hint="eastAsia"/>
          <w:color w:val="auto"/>
          <w:sz w:val="21"/>
          <w:szCs w:val="21"/>
          <w:highlight w:val="none"/>
        </w:rPr>
        <w:t xml:space="preserve">15.供应商对于投标产品的包装应按照“财办库〔2020〕123号《关于印发《商品包装政府采购需求标准（试行）》、《快递包装政府采购需求标准（试行）》的通知》”执行。</w:t>
      </w:r>
      <w:r/>
    </w:p>
    <w:p>
      <w:pPr>
        <w:pStyle w:val="738"/>
        <w:ind w:firstLine="422"/>
        <w:jc w:val="left"/>
        <w:keepLines w:val="0"/>
        <w:keepNext w:val="0"/>
        <w:spacing w:before="0" w:after="0" w:line="360" w:lineRule="auto"/>
        <w:widowControl/>
        <w:rPr>
          <w:rFonts w:ascii="宋体" w:hAnsi="宋体" w:eastAsia="宋体" w:cs="宋体"/>
          <w:color w:val="auto"/>
          <w:sz w:val="21"/>
          <w:szCs w:val="21"/>
          <w:highlight w:val="none"/>
        </w:rPr>
      </w:pPr>
      <w:r>
        <w:rPr>
          <w:rStyle w:val="779"/>
          <w:rFonts w:hint="eastAsia" w:ascii="宋体" w:hAnsi="宋体" w:eastAsia="宋体" w:cs="宋体"/>
          <w:color w:val="auto"/>
          <w:sz w:val="21"/>
          <w:szCs w:val="21"/>
          <w:highlight w:val="none"/>
        </w:rPr>
        <w:t xml:space="preserve">八、凡对本次采购提出询问，请按以下方式联系。</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名 称：扬州市邗江区公道镇人民政府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地 址：扬州市邗江区公道镇人民西路8号</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联系人：丁主任</w:t>
      </w:r>
      <w:r/>
    </w:p>
    <w:p>
      <w:pPr>
        <w:ind w:firstLine="420"/>
        <w:jc w:val="left"/>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联系方式：</w:t>
      </w:r>
      <w:r>
        <w:rPr>
          <w:rFonts w:hint="eastAsia" w:ascii="宋体" w:hAnsi="宋体" w:cs="宋体"/>
          <w:color w:val="auto"/>
          <w:szCs w:val="21"/>
          <w:highlight w:val="none"/>
        </w:rPr>
        <w:t xml:space="preserve">0514-87395273 </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称：扬州嘉泰工程项目管理有限公司</w:t>
      </w:r>
      <w:r/>
    </w:p>
    <w:p>
      <w:pPr>
        <w:pStyle w:val="775"/>
        <w:ind w:firstLine="420"/>
        <w:jc w:val="left"/>
        <w:spacing w:before="0" w:beforeAutospacing="0" w:after="0" w:afterAutospacing="0" w:line="360" w:lineRule="auto"/>
        <w:widowControl/>
        <w:rPr>
          <w:color w:val="auto"/>
          <w:sz w:val="21"/>
          <w:szCs w:val="21"/>
          <w:highlight w:val="none"/>
        </w:rPr>
      </w:pPr>
      <w:r>
        <w:rPr>
          <w:rFonts w:hint="eastAsia"/>
          <w:color w:val="auto"/>
          <w:sz w:val="21"/>
          <w:szCs w:val="21"/>
          <w:highlight w:val="none"/>
        </w:rPr>
        <w:t xml:space="preserve">地 址：扬州市邗江区西湖街道司徒庙路299号通达1号楼5楼</w:t>
      </w:r>
      <w:r/>
    </w:p>
    <w:p>
      <w:pPr>
        <w:pStyle w:val="737"/>
        <w:ind w:firstLine="420"/>
        <w:spacing w:before="0" w:after="0" w:line="360" w:lineRule="auto"/>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联系方式：</w:t>
      </w:r>
      <w:r>
        <w:rPr>
          <w:rFonts w:hint="eastAsia" w:ascii="宋体" w:hAnsi="宋体" w:eastAsia="宋体" w:cs="宋体"/>
          <w:color w:val="auto"/>
          <w:sz w:val="21"/>
          <w:szCs w:val="21"/>
          <w:highlight w:val="none"/>
        </w:rPr>
        <w:t xml:space="preserve">范工18952722687</w:t>
      </w:r>
      <w:r/>
    </w:p>
    <w:p>
      <w:pPr>
        <w:pStyle w:val="737"/>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pStyle w:val="737"/>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项目联系人：</w:t>
      </w:r>
      <w:r>
        <w:rPr>
          <w:rFonts w:hint="eastAsia" w:ascii="宋体" w:hAnsi="宋体" w:eastAsia="宋体" w:cs="宋体"/>
          <w:color w:val="auto"/>
          <w:sz w:val="21"/>
          <w:szCs w:val="21"/>
          <w:highlight w:val="none"/>
        </w:rPr>
        <w:t xml:space="preserve">范工</w:t>
      </w:r>
      <w:r/>
    </w:p>
    <w:p>
      <w:pPr>
        <w:pStyle w:val="737"/>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eastAsia="宋体" w:cs="宋体"/>
          <w:color w:val="auto"/>
          <w:sz w:val="21"/>
          <w:szCs w:val="21"/>
          <w:highlight w:val="none"/>
        </w:rPr>
        <w:t xml:space="preserve">18952722687</w:t>
      </w:r>
      <w:r>
        <w:rPr>
          <w:rFonts w:hint="eastAsia" w:ascii="宋体" w:hAnsi="宋体" w:cs="宋体"/>
          <w:color w:val="auto"/>
          <w:sz w:val="21"/>
          <w:szCs w:val="21"/>
          <w:highlight w:val="none"/>
        </w:rPr>
        <w:t xml:space="preserve"> </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九、中标/成交供应商可凭政府采购合同办理融资贷款，详见江苏政府采购网“政采贷”专栏。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十、本项目严格执行政府采购关于</w:t>
      </w:r>
      <w:r>
        <w:rPr>
          <w:rFonts w:hint="eastAsia" w:ascii="宋体" w:hAnsi="宋体" w:cs="宋体"/>
          <w:b/>
          <w:color w:val="auto"/>
          <w:szCs w:val="21"/>
          <w:highlight w:val="none"/>
        </w:rPr>
        <w:t xml:space="preserve">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优先采购节能产品、环境标志产品。</w:t>
      </w:r>
      <w:r/>
    </w:p>
    <w:p>
      <w:pPr>
        <w:spacing w:line="360" w:lineRule="auto"/>
        <w:rPr>
          <w:rFonts w:ascii="宋体" w:hAnsi="宋体"/>
          <w:color w:val="auto"/>
          <w:szCs w:val="36"/>
          <w:highlight w:val="none"/>
        </w:rPr>
      </w:pPr>
      <w:r>
        <w:rPr>
          <w:rFonts w:hint="eastAsia" w:ascii="宋体" w:hAnsi="宋体" w:cs="宋体"/>
          <w:b/>
          <w:color w:val="auto"/>
          <w:szCs w:val="21"/>
          <w:highlight w:val="none"/>
        </w:rPr>
        <w:t xml:space="preserve">十一、投标人/供应商对于投标产品的包装应按照“财办库〔2020〕123号《关于印发《商品包装政府采购需求标准（试行）》、《快递包装政府采购需求标准（试行）》的通知》”执行。</w:t>
      </w:r>
      <w:bookmarkStart w:id="22" w:name="_Toc55204178"/>
      <w:r/>
      <w:r/>
    </w:p>
    <w:p>
      <w:pPr>
        <w:rPr>
          <w:rFonts w:ascii="宋体" w:hAnsi="宋体"/>
          <w:color w:val="auto"/>
          <w:szCs w:val="36"/>
          <w:highlight w:val="none"/>
        </w:rPr>
      </w:pPr>
      <w:r>
        <w:rPr>
          <w:rFonts w:ascii="宋体" w:hAnsi="宋体"/>
          <w:color w:val="auto"/>
          <w:szCs w:val="36"/>
          <w:highlight w:val="none"/>
        </w:rPr>
      </w:r>
      <w:r/>
    </w:p>
    <w:p>
      <w:pPr>
        <w:pStyle w:val="933"/>
        <w:jc w:val="center"/>
        <w:spacing w:line="240" w:lineRule="auto"/>
        <w:rPr>
          <w:rFonts w:ascii="宋体" w:hAnsi="宋体"/>
          <w:color w:val="auto"/>
          <w:szCs w:val="36"/>
          <w:highlight w:val="none"/>
        </w:rPr>
      </w:pPr>
      <w:r>
        <w:rPr>
          <w:rFonts w:ascii="宋体" w:hAnsi="宋体"/>
          <w:color w:val="auto"/>
          <w:szCs w:val="36"/>
          <w:highlight w:val="none"/>
        </w:rPr>
      </w:r>
      <w:r/>
    </w:p>
    <w:p>
      <w:pPr>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748"/>
        <w:rPr>
          <w:rFonts w:ascii="宋体" w:hAnsi="宋体"/>
          <w:color w:val="auto"/>
          <w:szCs w:val="36"/>
          <w:highlight w:val="none"/>
        </w:rPr>
      </w:pPr>
      <w:r>
        <w:rPr>
          <w:rFonts w:ascii="宋体" w:hAnsi="宋体"/>
          <w:color w:val="auto"/>
          <w:szCs w:val="36"/>
          <w:highlight w:val="none"/>
        </w:rPr>
      </w:r>
      <w:r/>
    </w:p>
    <w:p>
      <w:pPr>
        <w:pStyle w:val="933"/>
        <w:jc w:val="center"/>
        <w:spacing w:line="240" w:lineRule="auto"/>
        <w:rPr>
          <w:rFonts w:ascii="宋体" w:hAnsi="宋体"/>
          <w:color w:val="auto"/>
          <w:szCs w:val="36"/>
          <w:highlight w:val="none"/>
        </w:rPr>
      </w:pPr>
      <w:r>
        <w:rPr>
          <w:rFonts w:hint="eastAsia" w:ascii="宋体" w:hAnsi="宋体"/>
          <w:color w:val="auto"/>
          <w:szCs w:val="36"/>
          <w:highlight w:val="none"/>
        </w:rPr>
        <w:t xml:space="preserve">第二章 </w:t>
      </w:r>
      <w:bookmarkEnd w:id="22"/>
      <w:r>
        <w:rPr>
          <w:rFonts w:hint="eastAsia" w:ascii="宋体" w:hAnsi="宋体"/>
          <w:color w:val="auto"/>
          <w:szCs w:val="36"/>
          <w:highlight w:val="none"/>
        </w:rPr>
        <w:t xml:space="preserve">磋商须知</w:t>
      </w:r>
      <w:r/>
    </w:p>
    <w:p>
      <w:pPr>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w:t>
      </w:r>
      <w:r>
        <w:rPr>
          <w:rFonts w:hint="eastAsia"/>
          <w:color w:val="auto"/>
          <w:highlight w:val="none"/>
        </w:rPr>
        <w:t xml:space="preserve">本次采购采取竞争性磋商方式</w:t>
      </w:r>
      <w:r>
        <w:rPr>
          <w:rFonts w:hint="eastAsia" w:ascii="宋体" w:hAnsi="宋体"/>
          <w:bCs/>
          <w:color w:val="auto"/>
          <w:szCs w:val="21"/>
          <w:highlight w:val="none"/>
        </w:rPr>
        <w:t xml:space="preserve">，本招标文件仅适用于JSZC-321003-JTGC-C2026-0008号项目。</w:t>
      </w:r>
      <w:r/>
    </w:p>
    <w:p>
      <w:pPr>
        <w:ind w:firstLine="420"/>
        <w:spacing w:line="360" w:lineRule="auto"/>
        <w:rPr>
          <w:b/>
          <w:bCs/>
          <w:color w:val="auto"/>
          <w:highlight w:val="none"/>
        </w:rPr>
      </w:pPr>
      <w:r>
        <w:rPr>
          <w:rFonts w:hint="eastAsia"/>
          <w:b/>
          <w:bCs/>
          <w:color w:val="auto"/>
          <w:highlight w:val="none"/>
        </w:rPr>
        <w:t xml:space="preserve">2、供应商</w:t>
      </w:r>
      <w:r/>
    </w:p>
    <w:p>
      <w:pPr>
        <w:ind w:firstLine="420"/>
        <w:spacing w:line="360" w:lineRule="auto"/>
        <w:rPr>
          <w:color w:val="auto"/>
          <w:highlight w:val="none"/>
        </w:rPr>
      </w:pPr>
      <w:r>
        <w:rPr>
          <w:rFonts w:hint="eastAsia"/>
          <w:color w:val="auto"/>
          <w:highlight w:val="none"/>
        </w:rPr>
        <w:t xml:space="preserve">2.1 参加竞争性磋商的供应商以下简称“供应商”，是指参加磋商并符合采购文件规定资格条件的法人、其他组织或者自然人。</w:t>
      </w:r>
      <w:r/>
    </w:p>
    <w:p>
      <w:pPr>
        <w:ind w:firstLine="420"/>
        <w:spacing w:line="360" w:lineRule="auto"/>
        <w:rPr>
          <w:color w:val="auto"/>
          <w:highlight w:val="none"/>
        </w:rPr>
      </w:pPr>
      <w:r>
        <w:rPr>
          <w:rFonts w:hint="eastAsia"/>
          <w:color w:val="auto"/>
          <w:highlight w:val="none"/>
        </w:rPr>
        <w:t xml:space="preserve">2.2合格的供应商</w:t>
      </w:r>
      <w:r/>
    </w:p>
    <w:p>
      <w:pPr>
        <w:ind w:firstLine="420"/>
        <w:spacing w:line="360" w:lineRule="auto"/>
        <w:rPr>
          <w:color w:val="auto"/>
          <w:highlight w:val="none"/>
        </w:rPr>
      </w:pPr>
      <w:r>
        <w:rPr>
          <w:rFonts w:hint="eastAsia"/>
          <w:color w:val="auto"/>
          <w:highlight w:val="none"/>
        </w:rPr>
        <w:t xml:space="preserve">2.2.1 满足采购公告中供应商的资格条件要求的规定。</w:t>
      </w:r>
      <w:r/>
    </w:p>
    <w:p>
      <w:pPr>
        <w:ind w:firstLine="420"/>
        <w:spacing w:line="360" w:lineRule="auto"/>
        <w:rPr>
          <w:color w:val="auto"/>
          <w:highlight w:val="none"/>
        </w:rPr>
      </w:pPr>
      <w:r>
        <w:rPr>
          <w:rFonts w:hint="eastAsia"/>
          <w:color w:val="auto"/>
          <w:highlight w:val="none"/>
        </w:rPr>
        <w:t xml:space="preserve">2.2.2 满足本文件实质性条款的规定。</w:t>
      </w:r>
      <w:r/>
    </w:p>
    <w:p>
      <w:pPr>
        <w:ind w:firstLine="420"/>
        <w:spacing w:line="360" w:lineRule="auto"/>
        <w:rPr>
          <w:b/>
          <w:bCs/>
          <w:color w:val="auto"/>
          <w:highlight w:val="none"/>
        </w:rPr>
      </w:pPr>
      <w:r>
        <w:rPr>
          <w:rFonts w:hint="eastAsia"/>
          <w:b/>
          <w:bCs/>
          <w:color w:val="auto"/>
          <w:highlight w:val="none"/>
        </w:rPr>
        <w:t xml:space="preserve">3、适用法律和标准</w:t>
      </w:r>
      <w:r/>
    </w:p>
    <w:p>
      <w:pPr>
        <w:ind w:firstLine="420"/>
        <w:spacing w:line="360" w:lineRule="auto"/>
        <w:rPr>
          <w:color w:val="auto"/>
          <w:highlight w:val="none"/>
        </w:rPr>
      </w:pPr>
      <w:r>
        <w:rPr>
          <w:rFonts w:hint="eastAsia"/>
          <w:color w:val="auto"/>
          <w:highlight w:val="none"/>
        </w:rPr>
        <w:t xml:space="preserve">3.1 本次采购及由此产生的合同受中华人民共和国有关的法律法规制约和保护。</w:t>
      </w:r>
      <w:r/>
    </w:p>
    <w:p>
      <w:pPr>
        <w:ind w:firstLine="420"/>
        <w:spacing w:line="360" w:lineRule="auto"/>
        <w:rPr>
          <w:color w:val="auto"/>
          <w:highlight w:val="none"/>
        </w:rPr>
      </w:pPr>
      <w:r>
        <w:rPr>
          <w:rFonts w:hint="eastAsia"/>
          <w:color w:val="auto"/>
          <w:highlight w:val="none"/>
        </w:rPr>
        <w:t xml:space="preserve">3.2 在本项目政府采购活动过程中，如果所执行的标准有更新的，按照最新标准执行。</w:t>
      </w:r>
      <w:r/>
    </w:p>
    <w:p>
      <w:pPr>
        <w:ind w:firstLine="420"/>
        <w:spacing w:line="360" w:lineRule="auto"/>
        <w:rPr>
          <w:b/>
          <w:bCs/>
          <w:color w:val="auto"/>
          <w:highlight w:val="none"/>
        </w:rPr>
      </w:pPr>
      <w:r>
        <w:rPr>
          <w:rFonts w:hint="eastAsia"/>
          <w:b/>
          <w:bCs/>
          <w:color w:val="auto"/>
          <w:highlight w:val="none"/>
        </w:rPr>
        <w:t xml:space="preserve">4、参加磋商费用</w:t>
      </w:r>
      <w:r/>
    </w:p>
    <w:p>
      <w:pPr>
        <w:ind w:firstLine="420"/>
        <w:spacing w:line="360" w:lineRule="auto"/>
        <w:rPr>
          <w:color w:val="auto"/>
          <w:highlight w:val="none"/>
        </w:rPr>
      </w:pPr>
      <w:r>
        <w:rPr>
          <w:rFonts w:hint="eastAsia"/>
          <w:color w:val="auto"/>
          <w:highlight w:val="none"/>
        </w:rPr>
        <w:t xml:space="preserve">4.1 供应商应自行承担所有与参加磋商有关的费用，无论磋商过程中的做法和结果如何，扬州嘉泰工程项目管理有限公司(以下简称代理机构)在任何情况下均无义务和责任承担这些费用。</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4.2</w:t>
      </w:r>
      <w:r>
        <w:rPr>
          <w:rFonts w:hint="eastAsia"/>
          <w:color w:val="auto"/>
          <w:highlight w:val="none"/>
        </w:rPr>
        <w:t xml:space="preserve">本次采购代理服务费由按照国家计委印发的《招标代理服务收费管理暂行办法》（计价格[2002]1980号文和发改价格[2011]534号）服务类标准，由成交单位在领取成交通知书前一次性支付给采购代理机构(不满3000元按3000元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（3）代理服务费不在报价中单列，由成交人支付给代理机构。</w:t>
      </w:r>
      <w:r/>
    </w:p>
    <w:p>
      <w:pPr>
        <w:ind w:firstLine="840"/>
        <w:spacing w:line="360" w:lineRule="auto"/>
        <w:rPr>
          <w:rFonts w:ascii="宋体" w:hAnsi="宋体" w:cs="宋体"/>
          <w:color w:val="auto"/>
          <w:highlight w:val="none"/>
        </w:rPr>
      </w:pPr>
      <w:r>
        <w:rPr>
          <w:rFonts w:hint="eastAsia" w:ascii="宋体" w:hAnsi="宋体" w:cs="宋体"/>
          <w:color w:val="auto"/>
          <w:highlight w:val="none"/>
        </w:rPr>
        <w:t xml:space="preserve">代理服务费开户银行：</w:t>
      </w:r>
      <w:r>
        <w:rPr>
          <w:rFonts w:hint="eastAsia" w:ascii="宋体" w:hAnsi="宋体" w:cs="宋体"/>
          <w:color w:val="auto"/>
          <w:szCs w:val="21"/>
          <w:highlight w:val="none"/>
        </w:rPr>
        <w:t xml:space="preserve">中国建设银行股份有限公司扬州维扬支行</w:t>
      </w:r>
      <w:r/>
    </w:p>
    <w:p>
      <w:pPr>
        <w:ind w:firstLine="840"/>
        <w:spacing w:line="360" w:lineRule="auto"/>
        <w:rPr>
          <w:rFonts w:ascii="宋体" w:hAnsi="宋体" w:cs="宋体"/>
          <w:color w:val="auto"/>
          <w:highlight w:val="none"/>
        </w:rPr>
      </w:pPr>
      <w:r>
        <w:rPr>
          <w:rFonts w:hint="eastAsia" w:ascii="宋体" w:hAnsi="宋体" w:cs="宋体"/>
          <w:color w:val="auto"/>
          <w:highlight w:val="none"/>
        </w:rPr>
        <w:t xml:space="preserve">开户名称：</w:t>
      </w:r>
      <w:r>
        <w:rPr>
          <w:rFonts w:hint="eastAsia" w:ascii="宋体" w:hAnsi="宋体" w:cs="宋体"/>
          <w:color w:val="auto"/>
          <w:szCs w:val="21"/>
          <w:highlight w:val="none"/>
        </w:rPr>
        <w:t xml:space="preserve">扬州嘉泰工程项目管理有限公司</w:t>
      </w:r>
      <w:r/>
    </w:p>
    <w:p>
      <w:pPr>
        <w:ind w:firstLine="840"/>
        <w:spacing w:line="360" w:lineRule="auto"/>
        <w:widowControl/>
        <w:rPr>
          <w:rFonts w:ascii="宋体" w:hAnsi="宋体" w:cs="宋体"/>
          <w:bCs/>
          <w:color w:val="auto"/>
          <w:szCs w:val="21"/>
          <w:highlight w:val="none"/>
        </w:rPr>
      </w:pPr>
      <w:r>
        <w:rPr>
          <w:rFonts w:hint="eastAsia" w:ascii="宋体" w:hAnsi="宋体" w:cs="宋体"/>
          <w:color w:val="auto"/>
          <w:highlight w:val="none"/>
        </w:rPr>
        <w:t xml:space="preserve">开户帐号：</w:t>
      </w:r>
      <w:r>
        <w:rPr>
          <w:rFonts w:hint="eastAsia" w:ascii="宋体" w:hAnsi="宋体" w:cs="宋体"/>
          <w:color w:val="auto"/>
          <w:szCs w:val="21"/>
          <w:highlight w:val="none"/>
        </w:rPr>
        <w:t xml:space="preserve">32050174930000000794</w:t>
      </w:r>
      <w:r/>
    </w:p>
    <w:p>
      <w:pPr>
        <w:ind w:firstLine="422"/>
        <w:spacing w:line="360" w:lineRule="auto"/>
        <w:rPr>
          <w:rFonts w:ascii="宋体" w:hAnsi="宋体"/>
          <w:b/>
          <w:bCs/>
          <w:color w:val="auto"/>
          <w:szCs w:val="21"/>
          <w:highlight w:val="none"/>
        </w:rPr>
      </w:pPr>
      <w:r>
        <w:rPr>
          <w:rFonts w:hint="eastAsia" w:ascii="宋体" w:hAnsi="宋体" w:cs="宋体"/>
          <w:color w:val="auto"/>
          <w:szCs w:val="21"/>
          <w:highlight w:val="none"/>
        </w:rPr>
        <w:t xml:space="preserve">4.3专家评审费按《扬州市财政局关于进一步规范扬州市政府采购专家评审费标准的通知》（扬财购〔2020〕40号）执行。</w:t>
      </w:r>
      <w:r/>
    </w:p>
    <w:p>
      <w:pPr>
        <w:ind w:firstLine="420"/>
        <w:spacing w:line="360" w:lineRule="auto"/>
        <w:rPr>
          <w:b/>
          <w:bCs/>
          <w:color w:val="auto"/>
          <w:highlight w:val="none"/>
        </w:rPr>
      </w:pPr>
      <w:r/>
      <w:bookmarkStart w:id="23" w:name="_Toc55204179"/>
      <w:r/>
      <w:bookmarkStart w:id="24" w:name="_Hlk69392822"/>
      <w:r>
        <w:rPr>
          <w:rFonts w:hint="eastAsia"/>
          <w:b/>
          <w:bCs/>
          <w:color w:val="auto"/>
          <w:highlight w:val="none"/>
        </w:rPr>
        <w:t xml:space="preserve">5、采购文件的约束力</w:t>
      </w:r>
      <w:r/>
    </w:p>
    <w:p>
      <w:pPr>
        <w:ind w:firstLine="420"/>
        <w:spacing w:line="360" w:lineRule="auto"/>
        <w:rPr>
          <w:color w:val="auto"/>
          <w:highlight w:val="none"/>
        </w:rPr>
      </w:pPr>
      <w:r>
        <w:rPr>
          <w:rFonts w:hint="eastAsia"/>
          <w:color w:val="auto"/>
          <w:highlight w:val="none"/>
        </w:rPr>
        <w:t xml:space="preserve">5.1 供应商一旦参加本项目采购活动，即被认为接受了本采购文件的规定和约束。</w:t>
      </w:r>
      <w:r/>
    </w:p>
    <w:p>
      <w:pPr>
        <w:ind w:firstLine="420"/>
        <w:spacing w:line="360" w:lineRule="auto"/>
        <w:rPr>
          <w:b/>
          <w:bCs/>
          <w:color w:val="auto"/>
          <w:highlight w:val="none"/>
        </w:rPr>
      </w:pPr>
      <w:r>
        <w:rPr>
          <w:rFonts w:hint="eastAsia"/>
          <w:b/>
          <w:bCs/>
          <w:color w:val="auto"/>
          <w:highlight w:val="none"/>
        </w:rPr>
        <w:t xml:space="preserve">6、采购文件构成</w:t>
      </w:r>
      <w:r/>
    </w:p>
    <w:p>
      <w:pPr>
        <w:ind w:firstLine="420"/>
        <w:spacing w:line="360" w:lineRule="auto"/>
        <w:rPr>
          <w:color w:val="auto"/>
          <w:highlight w:val="none"/>
        </w:rPr>
      </w:pPr>
      <w:r>
        <w:rPr>
          <w:rFonts w:hint="eastAsia"/>
          <w:color w:val="auto"/>
          <w:highlight w:val="none"/>
        </w:rPr>
        <w:t xml:space="preserve">6.1 采购文件有以下部分组成：</w:t>
      </w:r>
      <w:r/>
    </w:p>
    <w:p>
      <w:pPr>
        <w:ind w:firstLine="420"/>
        <w:spacing w:line="360" w:lineRule="auto"/>
        <w:rPr>
          <w:color w:val="auto"/>
          <w:highlight w:val="none"/>
        </w:rPr>
      </w:pPr>
      <w:r>
        <w:rPr>
          <w:rFonts w:hint="eastAsia"/>
          <w:color w:val="auto"/>
          <w:highlight w:val="none"/>
        </w:rPr>
        <w:t xml:space="preserve">（1）采购公告</w:t>
      </w:r>
      <w:r/>
    </w:p>
    <w:p>
      <w:pPr>
        <w:ind w:firstLine="420"/>
        <w:spacing w:line="360" w:lineRule="auto"/>
        <w:rPr>
          <w:color w:val="auto"/>
          <w:highlight w:val="none"/>
        </w:rPr>
      </w:pPr>
      <w:r>
        <w:rPr>
          <w:rFonts w:hint="eastAsia"/>
          <w:color w:val="auto"/>
          <w:highlight w:val="none"/>
        </w:rPr>
        <w:t xml:space="preserve">（2）磋商须知</w:t>
      </w:r>
      <w:r>
        <w:rPr>
          <w:rFonts w:hint="eastAsia"/>
          <w:color w:val="auto"/>
          <w:highlight w:val="none"/>
        </w:rPr>
        <w:tab/>
      </w:r>
      <w:r/>
    </w:p>
    <w:p>
      <w:pPr>
        <w:ind w:firstLine="420"/>
        <w:spacing w:line="360" w:lineRule="auto"/>
        <w:rPr>
          <w:color w:val="auto"/>
          <w:highlight w:val="none"/>
        </w:rPr>
      </w:pPr>
      <w:r>
        <w:rPr>
          <w:rFonts w:hint="eastAsia"/>
          <w:color w:val="auto"/>
          <w:highlight w:val="none"/>
        </w:rPr>
        <w:t xml:space="preserve">（3）合同条款及格式</w:t>
      </w:r>
      <w:r/>
    </w:p>
    <w:p>
      <w:pPr>
        <w:ind w:firstLine="420"/>
        <w:spacing w:line="360" w:lineRule="auto"/>
        <w:rPr>
          <w:color w:val="auto"/>
          <w:highlight w:val="none"/>
        </w:rPr>
      </w:pPr>
      <w:r>
        <w:rPr>
          <w:rFonts w:hint="eastAsia"/>
          <w:color w:val="auto"/>
          <w:highlight w:val="none"/>
        </w:rPr>
        <w:t xml:space="preserve">（4）项目需求</w:t>
      </w:r>
      <w:r/>
    </w:p>
    <w:p>
      <w:pPr>
        <w:ind w:firstLine="420"/>
        <w:spacing w:line="360" w:lineRule="auto"/>
        <w:rPr>
          <w:color w:val="auto"/>
          <w:highlight w:val="none"/>
        </w:rPr>
      </w:pPr>
      <w:r>
        <w:rPr>
          <w:rFonts w:hint="eastAsia"/>
          <w:color w:val="auto"/>
          <w:highlight w:val="none"/>
        </w:rPr>
        <w:t xml:space="preserve">（5）评审方法与评审标准</w:t>
      </w:r>
      <w:r/>
    </w:p>
    <w:p>
      <w:pPr>
        <w:ind w:firstLine="420"/>
        <w:spacing w:line="360" w:lineRule="auto"/>
        <w:rPr>
          <w:color w:val="auto"/>
          <w:highlight w:val="none"/>
        </w:rPr>
      </w:pPr>
      <w:r>
        <w:rPr>
          <w:rFonts w:hint="eastAsia"/>
          <w:color w:val="auto"/>
          <w:highlight w:val="none"/>
        </w:rPr>
        <w:t xml:space="preserve">（6）竞争性磋商响应文件格式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spacing w:line="360" w:lineRule="auto"/>
        <w:rPr>
          <w:color w:val="auto"/>
          <w:highlight w:val="none"/>
        </w:rPr>
      </w:pPr>
      <w:r>
        <w:rPr>
          <w:rFonts w:hint="eastAsia"/>
          <w:color w:val="auto"/>
          <w:highlight w:val="none"/>
        </w:rPr>
        <w:t xml:space="preserve">6.3 采购文件如果要求供应商提交备选响应方案的，供应商可以提交备选方案；否则，备选方案将被拒绝。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auto"/>
          <w:highlight w:val="none"/>
        </w:rPr>
      </w:pPr>
      <w:r>
        <w:rPr>
          <w:rFonts w:hint="eastAsia"/>
          <w:b/>
          <w:bCs/>
          <w:color w:val="auto"/>
          <w:highlight w:val="none"/>
        </w:rPr>
        <w:t xml:space="preserve">7、采购文件的澄清</w:t>
      </w:r>
      <w:r/>
    </w:p>
    <w:p>
      <w:pPr>
        <w:ind w:firstLine="420"/>
        <w:spacing w:line="360" w:lineRule="auto"/>
        <w:rPr>
          <w:color w:val="auto"/>
          <w:highlight w:val="none"/>
        </w:rPr>
      </w:pPr>
      <w:r>
        <w:rPr>
          <w:rFonts w:hint="eastAsia"/>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auto"/>
          <w:highlight w:val="none"/>
        </w:rPr>
      </w:pPr>
      <w:r>
        <w:rPr>
          <w:rFonts w:hint="eastAsia"/>
          <w:b/>
          <w:bCs/>
          <w:color w:val="auto"/>
          <w:highlight w:val="none"/>
        </w:rPr>
        <w:t xml:space="preserve">8、采购文件的修改</w:t>
      </w:r>
      <w:r/>
    </w:p>
    <w:p>
      <w:pPr>
        <w:ind w:firstLine="420"/>
        <w:spacing w:line="360" w:lineRule="auto"/>
        <w:rPr>
          <w:color w:val="auto"/>
          <w:highlight w:val="none"/>
        </w:rPr>
      </w:pPr>
      <w:r>
        <w:rPr>
          <w:rFonts w:hint="eastAsia"/>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auto"/>
          <w:highlight w:val="none"/>
        </w:rPr>
      </w:pPr>
      <w:r>
        <w:rPr>
          <w:rFonts w:hint="eastAsia"/>
          <w:color w:val="auto"/>
          <w:highlight w:val="none"/>
        </w:rPr>
        <w:t xml:space="preserve">8.2采购文件的修改将在“扬州市邗江区政府采购网”、“扬州市政府采购网”、“江苏省政府采购网”和“中国政府采购网”公布，补充文件将作为采购文件的组成部分，并对供应商具有约束力。</w:t>
      </w:r>
      <w:r/>
    </w:p>
    <w:p>
      <w:pPr>
        <w:ind w:firstLine="420"/>
        <w:spacing w:line="360" w:lineRule="auto"/>
        <w:rPr>
          <w:b/>
          <w:bCs/>
          <w:color w:val="auto"/>
          <w:highlight w:val="none"/>
        </w:rPr>
      </w:pPr>
      <w:r>
        <w:rPr>
          <w:rFonts w:hint="eastAsia"/>
          <w:b/>
          <w:bCs/>
          <w:color w:val="auto"/>
          <w:highlight w:val="none"/>
        </w:rPr>
        <w:t xml:space="preserve">9、采购文件的语言、度量衡单位、货币</w:t>
      </w:r>
      <w:r/>
    </w:p>
    <w:p>
      <w:pPr>
        <w:ind w:firstLine="420"/>
        <w:spacing w:line="360" w:lineRule="auto"/>
        <w:rPr>
          <w:color w:val="auto"/>
          <w:highlight w:val="none"/>
        </w:rPr>
      </w:pPr>
      <w:r>
        <w:rPr>
          <w:rFonts w:hint="eastAsia"/>
          <w:color w:val="auto"/>
          <w:highlight w:val="none"/>
        </w:rPr>
        <w:t xml:space="preserve">9.1供应商提交的响应文件以及供应商与代理机构就有关磋商的所有来往通知、函件和文件均应使用简体中文。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9.3采购文件中的服务（工程）单价和总价无特殊规定的采用人民币报价，以元为单位标注。采购文件中另有规定的按规定执行。</w:t>
      </w:r>
      <w:r/>
    </w:p>
    <w:p>
      <w:pPr>
        <w:ind w:firstLine="420"/>
        <w:spacing w:line="360" w:lineRule="auto"/>
        <w:rPr>
          <w:b/>
          <w:bCs/>
          <w:color w:val="auto"/>
          <w:highlight w:val="none"/>
        </w:rPr>
      </w:pPr>
      <w:r>
        <w:rPr>
          <w:rFonts w:hint="eastAsia"/>
          <w:b/>
          <w:bCs/>
          <w:color w:val="auto"/>
          <w:highlight w:val="none"/>
        </w:rPr>
        <w:t xml:space="preserve">10、响应文件构成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磋商文件由以下部分组成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）非实质性响应对照表</w:t>
      </w:r>
      <w:r/>
    </w:p>
    <w:p>
      <w:pPr>
        <w:ind w:firstLine="420"/>
        <w:spacing w:line="360" w:lineRule="auto"/>
        <w:rPr>
          <w:color w:val="auto"/>
          <w:highlight w:val="none"/>
        </w:rPr>
      </w:pPr>
      <w:r>
        <w:rPr>
          <w:rFonts w:hint="eastAsia"/>
          <w:color w:val="auto"/>
          <w:highlight w:val="none"/>
        </w:rPr>
        <w:t xml:space="preserve">（4）磋商响应报价表 </w:t>
      </w:r>
      <w:r/>
    </w:p>
    <w:p>
      <w:pPr>
        <w:ind w:firstLine="420"/>
        <w:spacing w:line="360" w:lineRule="auto"/>
        <w:rPr>
          <w:color w:val="auto"/>
          <w:highlight w:val="none"/>
        </w:rPr>
      </w:pPr>
      <w:r>
        <w:rPr>
          <w:rFonts w:hint="eastAsia"/>
          <w:color w:val="auto"/>
          <w:highlight w:val="none"/>
        </w:rPr>
        <w:t xml:space="preserve">（5）技术参数响应及偏离表 </w:t>
      </w:r>
      <w:r/>
    </w:p>
    <w:p>
      <w:pPr>
        <w:ind w:firstLine="420"/>
        <w:spacing w:line="360" w:lineRule="auto"/>
        <w:rPr>
          <w:color w:val="auto"/>
          <w:highlight w:val="none"/>
        </w:rPr>
      </w:pPr>
      <w:r>
        <w:rPr>
          <w:rFonts w:hint="eastAsia"/>
          <w:color w:val="auto"/>
          <w:highlight w:val="none"/>
        </w:rPr>
        <w:t xml:space="preserve">（6）商务条款响应及偏离表 </w:t>
      </w:r>
      <w:r/>
    </w:p>
    <w:p>
      <w:pPr>
        <w:ind w:firstLine="420"/>
        <w:spacing w:line="360" w:lineRule="auto"/>
        <w:rPr>
          <w:color w:val="auto"/>
          <w:highlight w:val="none"/>
        </w:rPr>
      </w:pPr>
      <w:r>
        <w:rPr>
          <w:rFonts w:hint="eastAsia"/>
          <w:color w:val="auto"/>
          <w:highlight w:val="none"/>
        </w:rPr>
        <w:t xml:space="preserve">（7）其他 （供应商认为有必要提供的声明和文件，如有自拟并自行添加）</w:t>
      </w:r>
      <w:r/>
    </w:p>
    <w:p>
      <w:pPr>
        <w:ind w:firstLine="420"/>
        <w:spacing w:line="360" w:lineRule="auto"/>
        <w:rPr>
          <w:color w:val="auto"/>
          <w:highlight w:val="none"/>
        </w:rPr>
      </w:pPr>
      <w:r>
        <w:rPr>
          <w:rFonts w:hint="eastAsia"/>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b/>
          <w:bCs/>
          <w:color w:val="auto"/>
          <w:highlight w:val="none"/>
        </w:rPr>
      </w:pPr>
      <w:r>
        <w:rPr>
          <w:rFonts w:hint="eastAsia"/>
          <w:b/>
          <w:bCs/>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11.3供应商除必须具有履行合同所需提供的产品或服务（工程）的能力外，还必须具备相应的财务、技术方面的能力。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11.4供应商应提交根据合同要求提供的证明服务（工程）质量合格以及符合采购文件规定的证明文件。</w:t>
      </w:r>
      <w:r/>
    </w:p>
    <w:p>
      <w:pPr>
        <w:ind w:firstLine="420"/>
        <w:spacing w:line="360" w:lineRule="auto"/>
        <w:rPr>
          <w:color w:val="auto"/>
          <w:highlight w:val="none"/>
        </w:rPr>
      </w:pPr>
      <w:r>
        <w:rPr>
          <w:rFonts w:hint="eastAsia"/>
          <w:color w:val="auto"/>
          <w:highlight w:val="none"/>
        </w:rPr>
        <w:t xml:space="preserve">11.5证明供应商所提供服务（工程）与采购文件的要求相一致的文件可以是手册、图纸、文字资料和数据。</w:t>
      </w:r>
      <w:r/>
    </w:p>
    <w:p>
      <w:pPr>
        <w:ind w:firstLine="420"/>
        <w:spacing w:line="360" w:lineRule="auto"/>
        <w:rPr>
          <w:b/>
          <w:bCs/>
          <w:color w:val="auto"/>
          <w:highlight w:val="none"/>
        </w:rPr>
      </w:pPr>
      <w:r>
        <w:rPr>
          <w:rFonts w:hint="eastAsia"/>
          <w:b/>
          <w:bCs/>
          <w:color w:val="auto"/>
          <w:highlight w:val="none"/>
        </w:rPr>
        <w:t xml:space="preserve">12、磋商响应报价表</w:t>
      </w:r>
      <w:r/>
    </w:p>
    <w:p>
      <w:pPr>
        <w:ind w:firstLine="420"/>
        <w:spacing w:line="360" w:lineRule="auto"/>
        <w:rPr>
          <w:color w:val="auto"/>
          <w:highlight w:val="none"/>
        </w:rPr>
      </w:pPr>
      <w:r>
        <w:rPr>
          <w:rFonts w:hint="eastAsia"/>
          <w:color w:val="auto"/>
          <w:highlight w:val="none"/>
        </w:rPr>
        <w:t xml:space="preserve">12.1 供应商应按照采购文件规定格式填报磋商响应报价表，每项服务（工程）只允许有一个报价，任何有选择的报价将不予接受。</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采购人需求的服务（工程）供应、安装，调试及有关技术服务等。</w:t>
      </w:r>
      <w:r/>
    </w:p>
    <w:p>
      <w:pPr>
        <w:ind w:firstLine="420"/>
        <w:spacing w:line="360" w:lineRule="auto"/>
        <w:rPr>
          <w:color w:val="auto"/>
          <w:highlight w:val="none"/>
        </w:rPr>
      </w:pPr>
      <w:r>
        <w:rPr>
          <w:rFonts w:hint="eastAsia"/>
          <w:color w:val="auto"/>
          <w:highlight w:val="none"/>
        </w:rPr>
        <w:t xml:space="preserve">12.3其它费用处理</w:t>
      </w:r>
      <w:r/>
    </w:p>
    <w:p>
      <w:pPr>
        <w:ind w:firstLine="420"/>
        <w:spacing w:line="360" w:lineRule="auto"/>
        <w:rPr>
          <w:color w:val="auto"/>
          <w:highlight w:val="none"/>
        </w:rPr>
      </w:pPr>
      <w:r>
        <w:rPr>
          <w:rFonts w:hint="eastAsia"/>
          <w:color w:val="auto"/>
          <w:highlight w:val="none"/>
        </w:rPr>
        <w:t xml:space="preserve">采购文件未列明，而供应商认为必需的费用也需列入报价。</w:t>
      </w:r>
      <w:r/>
    </w:p>
    <w:p>
      <w:pPr>
        <w:ind w:firstLine="420"/>
        <w:spacing w:line="360" w:lineRule="auto"/>
        <w:rPr>
          <w:b/>
          <w:bCs/>
          <w:color w:val="auto"/>
          <w:highlight w:val="none"/>
        </w:rPr>
      </w:pPr>
      <w:r>
        <w:rPr>
          <w:rFonts w:hint="eastAsia"/>
          <w:b/>
          <w:bCs/>
          <w:color w:val="auto"/>
          <w:highlight w:val="none"/>
        </w:rPr>
        <w:t xml:space="preserve">13、技术参数响应及偏离表、商务条款响应及偏离表及磋商服务（工程）说明</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详细阐述所投服务（工程）的主要组成部分、功能设计、实现思路及关键技术；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0"/>
        <w:spacing w:line="360" w:lineRule="auto"/>
        <w:rPr>
          <w:b/>
          <w:bCs/>
          <w:color w:val="auto"/>
          <w:highlight w:val="none"/>
        </w:rPr>
      </w:pPr>
      <w:r>
        <w:rPr>
          <w:rFonts w:hint="eastAsia"/>
          <w:b/>
          <w:bCs/>
          <w:color w:val="auto"/>
          <w:highlight w:val="none"/>
        </w:rPr>
        <w:t xml:space="preserve">14、服务承诺及售后服务机构、人员的情况介绍</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b/>
          <w:bCs/>
          <w:color w:val="auto"/>
          <w:highlight w:val="none"/>
        </w:rPr>
      </w:pPr>
      <w:r>
        <w:rPr>
          <w:rFonts w:hint="eastAsia"/>
          <w:b/>
          <w:bCs/>
          <w:color w:val="auto"/>
          <w:highlight w:val="none"/>
        </w:rPr>
        <w:t xml:space="preserve">15、磋商响应函</w:t>
      </w:r>
      <w:r/>
    </w:p>
    <w:p>
      <w:pPr>
        <w:ind w:firstLine="420"/>
        <w:spacing w:line="360" w:lineRule="auto"/>
        <w:rPr>
          <w:color w:val="auto"/>
          <w:highlight w:val="none"/>
        </w:rPr>
      </w:pPr>
      <w:r>
        <w:rPr>
          <w:rFonts w:hint="eastAsia"/>
          <w:color w:val="auto"/>
          <w:highlight w:val="none"/>
        </w:rPr>
        <w:t xml:space="preserve">15.1 供应商应按照扬州市政府采购交易管理系统提供的格式完整、正确填写磋商响应函。</w:t>
      </w:r>
      <w:r/>
    </w:p>
    <w:p>
      <w:pPr>
        <w:ind w:firstLine="420"/>
        <w:spacing w:line="360" w:lineRule="auto"/>
        <w:rPr>
          <w:b/>
          <w:bCs/>
          <w:color w:val="auto"/>
          <w:highlight w:val="none"/>
        </w:rPr>
      </w:pPr>
      <w:r>
        <w:rPr>
          <w:rFonts w:hint="eastAsia"/>
          <w:b/>
          <w:bCs/>
          <w:color w:val="auto"/>
          <w:highlight w:val="none"/>
        </w:rPr>
        <w:t xml:space="preserve">16、磋商响应有效期</w:t>
      </w:r>
      <w:r/>
    </w:p>
    <w:p>
      <w:pPr>
        <w:ind w:firstLine="420"/>
        <w:spacing w:line="360" w:lineRule="auto"/>
        <w:rPr>
          <w:color w:val="auto"/>
          <w:highlight w:val="none"/>
        </w:rPr>
      </w:pPr>
      <w:r>
        <w:rPr>
          <w:rFonts w:hint="eastAsia"/>
          <w:color w:val="auto"/>
          <w:highlight w:val="none"/>
        </w:rPr>
        <w:t xml:space="preserve">16.1 磋商响应有效期为代理机构规定的响应文件接收截止时间后</w:t>
      </w:r>
      <w:r>
        <w:rPr>
          <w:rFonts w:hint="eastAsia"/>
          <w:b/>
          <w:bCs/>
          <w:color w:val="auto"/>
          <w:highlight w:val="none"/>
          <w:u w:val="single"/>
        </w:rPr>
        <w:t xml:space="preserve">六十（60）天</w:t>
      </w:r>
      <w:r>
        <w:rPr>
          <w:rFonts w:hint="eastAsia"/>
          <w:color w:val="auto"/>
          <w:highlight w:val="none"/>
        </w:rPr>
        <w:t xml:space="preserve">。磋商响应有效期比规定短的将被视为非实质性响应性而予以拒绝。</w:t>
      </w:r>
      <w:r/>
    </w:p>
    <w:p>
      <w:pPr>
        <w:ind w:firstLine="420"/>
        <w:spacing w:line="360" w:lineRule="auto"/>
        <w:rPr>
          <w:color w:val="auto"/>
          <w:highlight w:val="none"/>
        </w:rPr>
      </w:pPr>
      <w:r>
        <w:rPr>
          <w:rFonts w:hint="eastAsia"/>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b/>
          <w:bCs/>
          <w:color w:val="auto"/>
          <w:highlight w:val="none"/>
        </w:rPr>
      </w:pPr>
      <w:r/>
      <w:bookmarkStart w:id="25" w:name="_Toc16938541"/>
      <w:r/>
      <w:bookmarkStart w:id="26" w:name="_Toc20823297"/>
      <w:r>
        <w:rPr>
          <w:rFonts w:hint="eastAsia"/>
          <w:b/>
          <w:bCs/>
          <w:color w:val="auto"/>
          <w:highlight w:val="none"/>
        </w:rPr>
        <w:t xml:space="preserve">17、响应文件</w:t>
      </w:r>
      <w:bookmarkEnd w:id="25"/>
      <w:r/>
      <w:bookmarkEnd w:id="26"/>
      <w:r>
        <w:rPr>
          <w:rFonts w:hint="eastAsia"/>
          <w:b/>
          <w:bCs/>
          <w:color w:val="auto"/>
          <w:highlight w:val="none"/>
        </w:rPr>
        <w:t xml:space="preserve">的递交</w:t>
      </w:r>
      <w:r/>
    </w:p>
    <w:p>
      <w:pPr>
        <w:ind w:firstLine="420"/>
        <w:spacing w:line="360" w:lineRule="auto"/>
        <w:rPr>
          <w:color w:val="auto"/>
          <w:highlight w:val="none"/>
        </w:rPr>
      </w:pPr>
      <w:r>
        <w:rPr>
          <w:rFonts w:hint="eastAsia"/>
          <w:color w:val="auto"/>
          <w:highlight w:val="none"/>
        </w:rPr>
        <w:t xml:space="preserve">17.1 电子响应文件的递交供应商应当按照《操作手册》规定，在磋商响应截止时间前制作并上传电子响应文件。</w:t>
      </w:r>
      <w:bookmarkStart w:id="27" w:name="_Toc20823298"/>
      <w:r/>
      <w:bookmarkStart w:id="28" w:name="_Toc16938542"/>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17.2政府采购管理交易系统（苏采云）相关要求是本采购文件的组成部分。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17.3供应商应对 CA 证书妥善保管，如被他人盗用投标，因此带来的结果均由供应商自行承担。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17.4供应商应当对采购文件提出的要求和条件作出实质性响应，并在电子投标系统逐条应答。</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17.5供应商应对要求提供的资格证明文件（如资质证书、资格证书）、技术资料（如白皮书、彩页、手册、检测报告等）扫描上传至投标系统。</w:t>
      </w:r>
      <w:r/>
    </w:p>
    <w:p>
      <w:pPr>
        <w:ind w:firstLine="420"/>
        <w:spacing w:line="360" w:lineRule="auto"/>
        <w:rPr>
          <w:color w:val="auto"/>
          <w:highlight w:val="none"/>
        </w:rPr>
      </w:pPr>
      <w:r>
        <w:rPr>
          <w:rFonts w:hint="eastAsia" w:ascii="宋体" w:hAnsi="宋体"/>
          <w:color w:val="auto"/>
          <w:szCs w:val="21"/>
          <w:highlight w:val="none"/>
        </w:rPr>
        <w:t xml:space="preserve">17.6各供应商应在规定时间内凭CA证书进行网上解密。</w:t>
      </w:r>
      <w:r/>
    </w:p>
    <w:p>
      <w:pPr>
        <w:ind w:firstLine="420"/>
        <w:spacing w:line="360" w:lineRule="auto"/>
        <w:rPr>
          <w:b/>
          <w:bCs/>
          <w:color w:val="auto"/>
          <w:sz w:val="24"/>
          <w:highlight w:val="none"/>
        </w:rPr>
      </w:pPr>
      <w:r>
        <w:rPr>
          <w:rFonts w:hint="eastAsia"/>
          <w:b/>
          <w:bCs/>
          <w:color w:val="auto"/>
          <w:highlight w:val="none"/>
        </w:rPr>
        <w:t xml:space="preserve">18、磋商响应截止日期</w:t>
      </w:r>
      <w:bookmarkEnd w:id="27"/>
      <w:r/>
      <w:bookmarkEnd w:id="28"/>
      <w:r/>
      <w:r/>
    </w:p>
    <w:p>
      <w:pPr>
        <w:ind w:firstLine="420"/>
        <w:spacing w:line="360" w:lineRule="auto"/>
        <w:rPr>
          <w:i/>
          <w:color w:val="auto"/>
          <w:highlight w:val="none"/>
          <w:u w:val="single"/>
        </w:rPr>
      </w:pPr>
      <w:r>
        <w:rPr>
          <w:rFonts w:hint="eastAsia"/>
          <w:i/>
          <w:color w:val="auto"/>
          <w:highlight w:val="none"/>
          <w:u w:val="single"/>
        </w:rPr>
        <w:t xml:space="preserve">18.1 供应商上传电子响应文件的时间不得迟于采购公告中规定的磋商响应截止时间。</w:t>
      </w:r>
      <w:r/>
    </w:p>
    <w:p>
      <w:pPr>
        <w:ind w:firstLine="420"/>
        <w:spacing w:line="360" w:lineRule="auto"/>
        <w:rPr>
          <w:color w:val="auto"/>
          <w:highlight w:val="none"/>
        </w:rPr>
      </w:pPr>
      <w:r>
        <w:rPr>
          <w:rFonts w:hint="eastAsia"/>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auto"/>
          <w:highlight w:val="none"/>
        </w:rPr>
      </w:pPr>
      <w:r>
        <w:rPr>
          <w:rFonts w:hint="eastAsia"/>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b/>
          <w:bCs/>
          <w:color w:val="auto"/>
          <w:highlight w:val="none"/>
        </w:rPr>
      </w:pPr>
      <w:r/>
      <w:bookmarkStart w:id="29" w:name="_Toc20823299"/>
      <w:r/>
      <w:bookmarkStart w:id="30" w:name="_Toc16938543"/>
      <w:r>
        <w:rPr>
          <w:rFonts w:hint="eastAsia"/>
          <w:b/>
          <w:bCs/>
          <w:color w:val="auto"/>
          <w:highlight w:val="none"/>
        </w:rPr>
        <w:t xml:space="preserve">19、响应文件</w:t>
      </w:r>
      <w:bookmarkEnd w:id="29"/>
      <w:r/>
      <w:bookmarkEnd w:id="30"/>
      <w:r>
        <w:rPr>
          <w:rFonts w:hint="eastAsia"/>
          <w:b/>
          <w:bCs/>
          <w:color w:val="auto"/>
          <w:highlight w:val="none"/>
        </w:rPr>
        <w:t xml:space="preserve">的拒收</w:t>
      </w:r>
      <w:r/>
    </w:p>
    <w:p>
      <w:pPr>
        <w:ind w:firstLine="420"/>
        <w:spacing w:line="360" w:lineRule="auto"/>
        <w:rPr>
          <w:color w:val="auto"/>
          <w:highlight w:val="none"/>
        </w:rPr>
      </w:pPr>
      <w:r>
        <w:rPr>
          <w:rFonts w:hint="eastAsia"/>
          <w:color w:val="auto"/>
          <w:highlight w:val="none"/>
        </w:rPr>
        <w:t xml:space="preserve">19.1代理机构拒绝接收在其规定的磋商截止时间后上传的任何响应文件。</w:t>
      </w:r>
      <w:r/>
    </w:p>
    <w:p>
      <w:pPr>
        <w:ind w:firstLine="420"/>
        <w:spacing w:line="360" w:lineRule="auto"/>
        <w:rPr>
          <w:b/>
          <w:bCs/>
          <w:color w:val="auto"/>
          <w:highlight w:val="none"/>
        </w:rPr>
      </w:pPr>
      <w:r/>
      <w:bookmarkStart w:id="31" w:name="_Toc16938544"/>
      <w:r/>
      <w:bookmarkStart w:id="32" w:name="_Toc20823300"/>
      <w:r>
        <w:rPr>
          <w:rFonts w:hint="eastAsia"/>
          <w:b/>
          <w:bCs/>
          <w:color w:val="auto"/>
          <w:highlight w:val="none"/>
        </w:rPr>
        <w:t xml:space="preserve">20、响应文件的撤回和修改</w:t>
      </w:r>
      <w:bookmarkEnd w:id="31"/>
      <w:r/>
      <w:bookmarkEnd w:id="32"/>
      <w:r/>
      <w:r/>
    </w:p>
    <w:p>
      <w:pPr>
        <w:ind w:firstLine="420"/>
        <w:spacing w:line="360" w:lineRule="auto"/>
        <w:rPr>
          <w:color w:val="auto"/>
          <w:highlight w:val="none"/>
        </w:rPr>
      </w:pPr>
      <w:r>
        <w:rPr>
          <w:rFonts w:hint="eastAsia"/>
          <w:color w:val="auto"/>
          <w:highlight w:val="none"/>
        </w:rPr>
        <w:t xml:space="preserve">20.1 响应文件的撤回</w:t>
      </w:r>
      <w:r/>
    </w:p>
    <w:p>
      <w:pPr>
        <w:ind w:firstLine="420"/>
        <w:spacing w:line="360" w:lineRule="auto"/>
        <w:rPr>
          <w:color w:val="auto"/>
          <w:highlight w:val="none"/>
        </w:rPr>
      </w:pPr>
      <w:r>
        <w:rPr>
          <w:rFonts w:hint="eastAsia"/>
          <w:color w:val="auto"/>
          <w:highlight w:val="none"/>
        </w:rPr>
        <w:t xml:space="preserve">20.1.1 电子响应文件的撤回</w:t>
      </w:r>
      <w:r/>
    </w:p>
    <w:p>
      <w:pPr>
        <w:ind w:firstLine="420"/>
        <w:spacing w:line="360" w:lineRule="auto"/>
        <w:rPr>
          <w:color w:val="auto"/>
          <w:highlight w:val="none"/>
        </w:rPr>
      </w:pPr>
      <w:r>
        <w:rPr>
          <w:rFonts w:hint="eastAsia"/>
          <w:color w:val="auto"/>
          <w:highlight w:val="none"/>
        </w:rPr>
        <w:t xml:space="preserve">供应商可在磋商截止时间前，撤回其电子响应文件，具体操作方法见《操作手册》。</w:t>
      </w:r>
      <w:r/>
    </w:p>
    <w:p>
      <w:pPr>
        <w:ind w:firstLine="420"/>
        <w:spacing w:line="360" w:lineRule="auto"/>
        <w:rPr>
          <w:color w:val="auto"/>
          <w:highlight w:val="none"/>
        </w:rPr>
      </w:pPr>
      <w:r>
        <w:rPr>
          <w:rFonts w:hint="eastAsia"/>
          <w:color w:val="auto"/>
          <w:highlight w:val="none"/>
        </w:rPr>
        <w:t xml:space="preserve">20.1.2 供应商撤回电子响应文件，则认为其不再参与本项目磋商谈判。</w:t>
      </w:r>
      <w:r/>
    </w:p>
    <w:p>
      <w:pPr>
        <w:ind w:firstLine="420"/>
        <w:spacing w:line="360" w:lineRule="auto"/>
        <w:rPr>
          <w:color w:val="auto"/>
          <w:highlight w:val="none"/>
        </w:rPr>
      </w:pPr>
      <w:r>
        <w:rPr>
          <w:rFonts w:hint="eastAsia"/>
          <w:color w:val="auto"/>
          <w:highlight w:val="none"/>
        </w:rPr>
        <w:t xml:space="preserve">20.2 响应文件的修改</w:t>
      </w:r>
      <w:r/>
    </w:p>
    <w:p>
      <w:pPr>
        <w:ind w:firstLine="420"/>
        <w:spacing w:line="360" w:lineRule="auto"/>
        <w:rPr>
          <w:color w:val="auto"/>
          <w:highlight w:val="none"/>
        </w:rPr>
      </w:pPr>
      <w:r>
        <w:rPr>
          <w:rFonts w:hint="eastAsia"/>
          <w:color w:val="auto"/>
          <w:highlight w:val="none"/>
        </w:rPr>
        <w:t xml:space="preserve">供应商可在磋商截止时间前，对其电子响应文件进行修改，具体操作方法见《操作手册》。</w:t>
      </w:r>
      <w:r/>
    </w:p>
    <w:p>
      <w:pPr>
        <w:ind w:firstLine="420"/>
        <w:spacing w:line="360" w:lineRule="auto"/>
        <w:rPr>
          <w:color w:val="auto"/>
          <w:highlight w:val="none"/>
        </w:rPr>
      </w:pPr>
      <w:r>
        <w:rPr>
          <w:rFonts w:hint="eastAsia"/>
          <w:color w:val="auto"/>
          <w:highlight w:val="none"/>
        </w:rPr>
        <w:t xml:space="preserve">20.3 在磋商截止时间之后，供应商不得对其电子响应文件作任何修改。</w:t>
      </w:r>
      <w:r/>
    </w:p>
    <w:p>
      <w:pPr>
        <w:ind w:firstLine="420"/>
        <w:spacing w:line="360" w:lineRule="auto"/>
        <w:rPr>
          <w:color w:val="auto"/>
          <w:highlight w:val="none"/>
        </w:rPr>
      </w:pPr>
      <w:r>
        <w:rPr>
          <w:rFonts w:hint="eastAsia"/>
          <w:color w:val="auto"/>
          <w:highlight w:val="none"/>
        </w:rPr>
        <w:t xml:space="preserve">20.4 在磋商截止时间至采购文件中规定的磋商有效期满之间的这段时间内，供应商不得撤回其响应文件。</w:t>
      </w:r>
      <w:r/>
    </w:p>
    <w:p>
      <w:pPr>
        <w:ind w:firstLine="420"/>
        <w:spacing w:line="360" w:lineRule="auto"/>
        <w:rPr>
          <w:b/>
          <w:bCs/>
          <w:color w:val="auto"/>
          <w:highlight w:val="none"/>
        </w:rPr>
      </w:pPr>
      <w:r>
        <w:rPr>
          <w:rFonts w:hint="eastAsia"/>
          <w:b/>
          <w:bCs/>
          <w:color w:val="auto"/>
          <w:highlight w:val="none"/>
        </w:rPr>
        <w:t xml:space="preserve">21、磋商</w:t>
      </w:r>
      <w:r/>
    </w:p>
    <w:p>
      <w:pPr>
        <w:ind w:firstLine="420"/>
        <w:spacing w:line="360" w:lineRule="auto"/>
        <w:rPr>
          <w:color w:val="auto"/>
          <w:highlight w:val="none"/>
        </w:rPr>
      </w:pPr>
      <w:r>
        <w:rPr>
          <w:rFonts w:hint="eastAsia"/>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color w:val="auto"/>
          <w:highlight w:val="none"/>
        </w:rPr>
      </w:pPr>
      <w:r>
        <w:rPr>
          <w:rFonts w:hint="eastAsia"/>
          <w:color w:val="auto"/>
          <w:highlight w:val="none"/>
        </w:rPr>
        <w:t xml:space="preserve">21.2供应商在磋商过程中涉及到的响应文件解密等工作，应按照《操作手册》规定执行。</w:t>
      </w:r>
      <w:r/>
    </w:p>
    <w:p>
      <w:pPr>
        <w:ind w:firstLine="420"/>
        <w:spacing w:line="360" w:lineRule="auto"/>
        <w:rPr>
          <w:b/>
          <w:bCs/>
          <w:color w:val="auto"/>
          <w:highlight w:val="none"/>
        </w:rPr>
      </w:pPr>
      <w:r>
        <w:rPr>
          <w:rFonts w:hint="eastAsia"/>
          <w:b/>
          <w:bCs/>
          <w:color w:val="auto"/>
          <w:highlight w:val="none"/>
        </w:rPr>
        <w:t xml:space="preserve">22、磋商小组</w:t>
      </w:r>
      <w:r/>
    </w:p>
    <w:p>
      <w:pPr>
        <w:ind w:firstLine="420"/>
        <w:spacing w:line="360" w:lineRule="auto"/>
        <w:rPr>
          <w:b/>
          <w:bCs/>
          <w:color w:val="auto"/>
          <w:highlight w:val="none"/>
        </w:rPr>
      </w:pPr>
      <w:r>
        <w:rPr>
          <w:rFonts w:hint="eastAsia"/>
          <w:color w:val="auto"/>
          <w:highlight w:val="none"/>
        </w:rPr>
        <w:t xml:space="preserve">22.1磋商开始后，代理机构将立即组织磋商小组进行评审。</w:t>
      </w:r>
      <w:r/>
    </w:p>
    <w:p>
      <w:pPr>
        <w:ind w:firstLine="420"/>
        <w:spacing w:line="360" w:lineRule="auto"/>
        <w:rPr>
          <w:color w:val="auto"/>
          <w:highlight w:val="none"/>
        </w:rPr>
      </w:pPr>
      <w:r>
        <w:rPr>
          <w:rFonts w:hint="eastAsia"/>
          <w:color w:val="auto"/>
          <w:highlight w:val="none"/>
        </w:rPr>
        <w:t xml:space="preserve">22.2磋商小组由采购人代表和有关技术、经济等方面的专家组成，且人员构成符合政府采购有关规定。</w:t>
      </w:r>
      <w:r/>
    </w:p>
    <w:p>
      <w:pPr>
        <w:ind w:firstLine="420"/>
        <w:spacing w:line="360" w:lineRule="auto"/>
        <w:rPr>
          <w:color w:val="auto"/>
          <w:highlight w:val="none"/>
        </w:rPr>
      </w:pPr>
      <w:r>
        <w:rPr>
          <w:rFonts w:hint="eastAsia"/>
          <w:color w:val="auto"/>
          <w:highlight w:val="none"/>
        </w:rPr>
        <w:t xml:space="preserve">22.3磋商小组独立工作，负责评审有效响应文件并确定成交候选供应商。</w:t>
      </w:r>
      <w:r/>
    </w:p>
    <w:p>
      <w:pPr>
        <w:ind w:firstLine="420"/>
        <w:spacing w:line="360" w:lineRule="auto"/>
        <w:rPr>
          <w:b/>
          <w:bCs/>
          <w:color w:val="auto"/>
          <w:highlight w:val="none"/>
        </w:rPr>
      </w:pPr>
      <w:r>
        <w:rPr>
          <w:rFonts w:hint="eastAsia"/>
          <w:b/>
          <w:bCs/>
          <w:color w:val="auto"/>
          <w:highlight w:val="none"/>
        </w:rPr>
        <w:t xml:space="preserve">23、评审过程的保密与公正</w:t>
      </w:r>
      <w:r/>
    </w:p>
    <w:p>
      <w:pPr>
        <w:ind w:firstLine="420"/>
        <w:spacing w:line="360" w:lineRule="auto"/>
        <w:rPr>
          <w:color w:val="auto"/>
          <w:highlight w:val="none"/>
        </w:rPr>
      </w:pPr>
      <w:r>
        <w:rPr>
          <w:rFonts w:hint="eastAsia"/>
          <w:color w:val="auto"/>
          <w:highlight w:val="none"/>
        </w:rPr>
        <w:t xml:space="preserve">23.1评审专家应当遵守评审工作纪律，不得泄露评审情况和评审中获悉的商业秘密。</w:t>
      </w:r>
      <w:r/>
    </w:p>
    <w:p>
      <w:pPr>
        <w:ind w:firstLine="420"/>
        <w:spacing w:line="360" w:lineRule="auto"/>
        <w:rPr>
          <w:color w:val="auto"/>
          <w:highlight w:val="none"/>
        </w:rPr>
      </w:pPr>
      <w:r>
        <w:rPr>
          <w:rFonts w:hint="eastAsia"/>
          <w:color w:val="auto"/>
          <w:highlight w:val="none"/>
        </w:rPr>
        <w:t xml:space="preserve">23.2在评审过程中，供应商不得以任何行为影响评审过程，否则其响应文件将被作为无效响应文件。</w:t>
      </w:r>
      <w:r/>
    </w:p>
    <w:p>
      <w:pPr>
        <w:ind w:firstLine="420"/>
        <w:spacing w:line="360" w:lineRule="auto"/>
        <w:rPr>
          <w:color w:val="auto"/>
          <w:highlight w:val="none"/>
        </w:rPr>
      </w:pPr>
      <w:r>
        <w:rPr>
          <w:rFonts w:hint="eastAsia"/>
          <w:color w:val="auto"/>
          <w:highlight w:val="none"/>
        </w:rPr>
        <w:t xml:space="preserve">23.3 在评审期间，代理机构将设专门工作人员与供应商联系。</w:t>
      </w:r>
      <w:r/>
    </w:p>
    <w:p>
      <w:pPr>
        <w:ind w:firstLine="420"/>
        <w:spacing w:line="360" w:lineRule="auto"/>
        <w:rPr>
          <w:color w:val="auto"/>
          <w:highlight w:val="none"/>
        </w:rPr>
      </w:pPr>
      <w:r>
        <w:rPr>
          <w:rFonts w:hint="eastAsia"/>
          <w:color w:val="auto"/>
          <w:highlight w:val="none"/>
        </w:rPr>
        <w:t xml:space="preserve">23.4 代理机构和磋商小组不向未成交的供应商解释未成交原因，也不公布评审过程中的相关细节。</w:t>
      </w:r>
      <w:r/>
    </w:p>
    <w:p>
      <w:pPr>
        <w:ind w:firstLine="420"/>
        <w:spacing w:line="360" w:lineRule="auto"/>
        <w:rPr>
          <w:b/>
          <w:bCs/>
          <w:color w:val="auto"/>
          <w:highlight w:val="none"/>
        </w:rPr>
      </w:pPr>
      <w:r>
        <w:rPr>
          <w:rFonts w:hint="eastAsia"/>
          <w:b/>
          <w:bCs/>
          <w:color w:val="auto"/>
          <w:highlight w:val="none"/>
        </w:rPr>
        <w:t xml:space="preserve">24、磋商的澄清</w:t>
      </w:r>
      <w:r/>
    </w:p>
    <w:p>
      <w:pPr>
        <w:ind w:firstLine="420"/>
        <w:spacing w:line="360" w:lineRule="auto"/>
        <w:rPr>
          <w:color w:val="auto"/>
          <w:highlight w:val="none"/>
        </w:rPr>
      </w:pPr>
      <w:r>
        <w:rPr>
          <w:rFonts w:hint="eastAsia"/>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color w:val="auto"/>
          <w:highlight w:val="none"/>
        </w:rPr>
      </w:pPr>
      <w:r>
        <w:rPr>
          <w:rFonts w:hint="eastAsia"/>
          <w:color w:val="auto"/>
          <w:highlight w:val="none"/>
        </w:rPr>
        <w:t xml:space="preserve">24.2接到磋商小组澄清要求的供应商应按磋商小组规定的时间和格式在</w:t>
      </w:r>
      <w:r>
        <w:rPr>
          <w:rFonts w:hint="eastAsia"/>
          <w:b/>
          <w:bCs/>
          <w:color w:val="auto"/>
          <w:highlight w:val="none"/>
        </w:rPr>
        <w:t xml:space="preserve">“政府采购管理交易系统（苏采云）”</w:t>
      </w:r>
      <w:r>
        <w:rPr>
          <w:rFonts w:hint="eastAsia"/>
          <w:color w:val="auto"/>
          <w:highlight w:val="none"/>
        </w:rPr>
        <w:t xml:space="preserve">中做出澄清，澄清的内容作为响应文件的补充部分。具体</w:t>
      </w:r>
      <w:r>
        <w:rPr>
          <w:color w:val="auto"/>
          <w:highlight w:val="none"/>
        </w:rPr>
        <w:t xml:space="preserve">操作</w:t>
      </w:r>
      <w:r>
        <w:rPr>
          <w:rFonts w:hint="eastAsia"/>
          <w:color w:val="auto"/>
          <w:highlight w:val="none"/>
        </w:rPr>
        <w:t xml:space="preserve">方式</w:t>
      </w:r>
      <w:r>
        <w:rPr>
          <w:color w:val="auto"/>
          <w:highlight w:val="none"/>
        </w:rPr>
        <w:t xml:space="preserve">见</w:t>
      </w:r>
      <w:r>
        <w:rPr>
          <w:rFonts w:hint="eastAsia"/>
          <w:bCs/>
          <w:color w:val="auto"/>
          <w:highlight w:val="none"/>
        </w:rPr>
        <w:t xml:space="preserve">《操作手册》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24.3 接到磋商小组澄清要求的供应商如未按规定做出澄清，其风险由供应商自行承担。</w:t>
      </w:r>
      <w:r/>
    </w:p>
    <w:p>
      <w:pPr>
        <w:ind w:firstLine="420"/>
        <w:spacing w:line="360" w:lineRule="auto"/>
        <w:rPr>
          <w:b/>
          <w:bCs/>
          <w:color w:val="auto"/>
          <w:highlight w:val="none"/>
        </w:rPr>
      </w:pPr>
      <w:r>
        <w:rPr>
          <w:rFonts w:hint="eastAsia"/>
          <w:b/>
          <w:bCs/>
          <w:color w:val="auto"/>
          <w:highlight w:val="none"/>
        </w:rPr>
        <w:t xml:space="preserve">25、对响应文件的初审</w:t>
      </w:r>
      <w:r/>
    </w:p>
    <w:p>
      <w:pPr>
        <w:ind w:firstLine="420"/>
        <w:spacing w:line="360" w:lineRule="auto"/>
        <w:rPr>
          <w:color w:val="auto"/>
          <w:highlight w:val="none"/>
        </w:rPr>
      </w:pPr>
      <w:r>
        <w:rPr>
          <w:rFonts w:hint="eastAsia"/>
          <w:color w:val="auto"/>
          <w:highlight w:val="none"/>
        </w:rPr>
        <w:t xml:space="preserve">25.1响应文件初审分为资格审查和符合性审查。</w:t>
      </w:r>
      <w:r/>
    </w:p>
    <w:p>
      <w:pPr>
        <w:ind w:firstLine="420"/>
        <w:spacing w:line="360" w:lineRule="auto"/>
        <w:rPr>
          <w:color w:val="auto"/>
          <w:highlight w:val="none"/>
        </w:rPr>
      </w:pPr>
      <w:r>
        <w:rPr>
          <w:rFonts w:hint="eastAsia"/>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color w:val="auto"/>
          <w:highlight w:val="none"/>
        </w:rPr>
      </w:pPr>
      <w:r>
        <w:rPr>
          <w:rFonts w:hint="eastAsia"/>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auto"/>
          <w:highlight w:val="none"/>
        </w:rPr>
      </w:pPr>
      <w:r>
        <w:rPr>
          <w:rFonts w:hint="eastAsia"/>
          <w:color w:val="auto"/>
          <w:highlight w:val="none"/>
        </w:rPr>
        <w:t xml:space="preserve">25.1.3 未通过资格审查或符合性审查的供应商，代理机构将在</w:t>
      </w:r>
      <w:r>
        <w:rPr>
          <w:rFonts w:hint="eastAsia"/>
          <w:b/>
          <w:bCs/>
          <w:color w:val="auto"/>
          <w:highlight w:val="none"/>
        </w:rPr>
        <w:t xml:space="preserve">“政府采购管理交易系统（苏采云）”</w:t>
      </w:r>
      <w:r>
        <w:rPr>
          <w:rFonts w:hint="eastAsia"/>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color w:val="auto"/>
          <w:highlight w:val="none"/>
        </w:rPr>
      </w:pPr>
      <w:r>
        <w:rPr>
          <w:rFonts w:hint="eastAsia"/>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auto"/>
          <w:highlight w:val="none"/>
        </w:rPr>
      </w:pPr>
      <w:r>
        <w:rPr>
          <w:rFonts w:hint="eastAsia"/>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auto"/>
          <w:highlight w:val="none"/>
        </w:rPr>
      </w:pPr>
      <w:r>
        <w:rPr>
          <w:rFonts w:hint="eastAsia"/>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auto"/>
          <w:highlight w:val="none"/>
        </w:rPr>
      </w:pPr>
      <w:r>
        <w:rPr>
          <w:rFonts w:hint="eastAsia"/>
          <w:color w:val="auto"/>
          <w:highlight w:val="none"/>
        </w:rPr>
        <w:t xml:space="preserve">25.4 供应商在开、评标全过程中应保持通讯畅通，并安排专人与代理机构及磋商小组联系。</w:t>
      </w:r>
      <w:r/>
    </w:p>
    <w:p>
      <w:pPr>
        <w:ind w:firstLine="420"/>
        <w:spacing w:line="360" w:lineRule="auto"/>
        <w:rPr>
          <w:b/>
          <w:bCs/>
          <w:color w:val="auto"/>
          <w:highlight w:val="none"/>
        </w:rPr>
      </w:pPr>
      <w:r>
        <w:rPr>
          <w:rFonts w:hint="eastAsia"/>
          <w:b/>
          <w:bCs/>
          <w:color w:val="auto"/>
          <w:highlight w:val="none"/>
        </w:rPr>
        <w:t xml:space="preserve">26、磋商程序及评审方法和标准</w:t>
      </w:r>
      <w:r/>
    </w:p>
    <w:p>
      <w:pPr>
        <w:ind w:firstLine="420"/>
        <w:spacing w:line="360" w:lineRule="auto"/>
        <w:rPr>
          <w:color w:val="auto"/>
          <w:highlight w:val="none"/>
        </w:rPr>
      </w:pPr>
      <w:r>
        <w:rPr>
          <w:rFonts w:hint="eastAsia"/>
          <w:color w:val="auto"/>
          <w:highlight w:val="none"/>
        </w:rPr>
        <w:t xml:space="preserve">26.1磋商程序</w:t>
      </w:r>
      <w:r/>
    </w:p>
    <w:p>
      <w:pPr>
        <w:ind w:firstLine="420"/>
        <w:spacing w:line="360" w:lineRule="auto"/>
        <w:rPr>
          <w:color w:val="auto"/>
          <w:highlight w:val="none"/>
        </w:rPr>
      </w:pPr>
      <w:r>
        <w:rPr>
          <w:rFonts w:hint="eastAsia"/>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color w:val="auto"/>
          <w:highlight w:val="none"/>
        </w:rPr>
      </w:pPr>
      <w:r>
        <w:rPr>
          <w:rFonts w:hint="eastAsia"/>
          <w:color w:val="auto"/>
          <w:highlight w:val="none"/>
        </w:rPr>
        <w:t xml:space="preserve">在磋商过程中，磋商小组可能根据磋商文件和磋商情况实质性变动的内容有：采购需求中的技术、服务（工程）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color w:val="auto"/>
          <w:highlight w:val="none"/>
        </w:rPr>
      </w:pPr>
      <w:r>
        <w:rPr>
          <w:rFonts w:hint="eastAsia"/>
          <w:color w:val="auto"/>
          <w:highlight w:val="none"/>
        </w:rPr>
        <w:t xml:space="preserve"> 26.1.2 采购文件能够详细列明采购标的的技术、服务（工程）要求的，磋商结束后，磋商小组将要求所有实质性响应的供应商在规定时间内提交最后报价。</w:t>
      </w:r>
      <w:r/>
    </w:p>
    <w:p>
      <w:pPr>
        <w:ind w:firstLine="420"/>
        <w:spacing w:line="360" w:lineRule="auto"/>
        <w:rPr>
          <w:color w:val="auto"/>
          <w:highlight w:val="none"/>
        </w:rPr>
      </w:pPr>
      <w:r>
        <w:rPr>
          <w:rFonts w:hint="eastAsia"/>
          <w:color w:val="auto"/>
          <w:highlight w:val="none"/>
        </w:rPr>
        <w:t xml:space="preserve"> 采购文件不能详细列明采购标的的技术、服务（工程）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color w:val="auto"/>
          <w:highlight w:val="none"/>
        </w:rPr>
      </w:pPr>
      <w:r>
        <w:rPr>
          <w:rFonts w:hint="eastAsia"/>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color w:val="auto"/>
          <w:highlight w:val="none"/>
        </w:rPr>
      </w:pPr>
      <w:r>
        <w:rPr>
          <w:rFonts w:hint="eastAsia"/>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color w:val="auto"/>
          <w:highlight w:val="none"/>
        </w:rPr>
      </w:pPr>
      <w:r>
        <w:rPr>
          <w:rFonts w:hint="eastAsia"/>
          <w:color w:val="auto"/>
          <w:highlight w:val="none"/>
        </w:rPr>
        <w:t xml:space="preserve">26.2 评审方法和标准</w:t>
      </w:r>
      <w:r/>
    </w:p>
    <w:p>
      <w:pPr>
        <w:ind w:firstLine="420"/>
        <w:spacing w:line="360" w:lineRule="auto"/>
        <w:rPr>
          <w:color w:val="auto"/>
          <w:highlight w:val="none"/>
        </w:rPr>
      </w:pPr>
      <w:r>
        <w:rPr>
          <w:rFonts w:hint="eastAsia"/>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color w:val="auto"/>
          <w:highlight w:val="none"/>
        </w:rPr>
      </w:pPr>
      <w:r>
        <w:rPr>
          <w:rFonts w:hint="eastAsia"/>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auto"/>
          <w:highlight w:val="none"/>
        </w:rPr>
      </w:pPr>
      <w:r>
        <w:rPr>
          <w:rFonts w:hint="eastAsia"/>
          <w:b/>
          <w:bCs/>
          <w:color w:val="auto"/>
          <w:highlight w:val="none"/>
        </w:rPr>
        <w:t xml:space="preserve">26.2.2评审标准</w:t>
      </w:r>
      <w:r/>
    </w:p>
    <w:p>
      <w:pPr>
        <w:ind w:firstLine="422"/>
        <w:spacing w:line="360" w:lineRule="auto"/>
        <w:rPr>
          <w:b/>
          <w:bCs/>
          <w:color w:val="auto"/>
          <w:highlight w:val="none"/>
        </w:rPr>
      </w:pPr>
      <w:r>
        <w:rPr>
          <w:rFonts w:hint="eastAsia"/>
          <w:b/>
          <w:bCs/>
          <w:color w:val="auto"/>
          <w:highlight w:val="none"/>
        </w:rPr>
        <w:t xml:space="preserve">见本采购文件第五章规定。</w:t>
      </w:r>
      <w:r/>
    </w:p>
    <w:p>
      <w:pPr>
        <w:ind w:firstLine="420"/>
        <w:spacing w:line="360" w:lineRule="auto"/>
        <w:rPr>
          <w:b/>
          <w:bCs/>
          <w:color w:val="auto"/>
          <w:highlight w:val="none"/>
        </w:rPr>
      </w:pPr>
      <w:r>
        <w:rPr>
          <w:rFonts w:hint="eastAsia"/>
          <w:color w:val="auto"/>
          <w:highlight w:val="none"/>
        </w:rPr>
        <w:t xml:space="preserve">27、无效响应及采购活动终止的情况</w:t>
      </w:r>
      <w:r/>
    </w:p>
    <w:p>
      <w:pPr>
        <w:ind w:firstLine="420"/>
        <w:spacing w:line="360" w:lineRule="auto"/>
        <w:rPr>
          <w:bCs/>
          <w:color w:val="auto"/>
          <w:highlight w:val="none"/>
        </w:rPr>
      </w:pPr>
      <w:r>
        <w:rPr>
          <w:rFonts w:hint="eastAsia"/>
          <w:bCs/>
          <w:color w:val="auto"/>
          <w:highlight w:val="none"/>
        </w:rPr>
        <w:t xml:space="preserve">27.1无效响应条款</w:t>
      </w:r>
      <w:r/>
    </w:p>
    <w:p>
      <w:pPr>
        <w:ind w:firstLine="420"/>
        <w:spacing w:line="360" w:lineRule="auto"/>
        <w:rPr>
          <w:bCs/>
          <w:color w:val="auto"/>
          <w:highlight w:val="none"/>
        </w:rPr>
      </w:pPr>
      <w:r>
        <w:rPr>
          <w:rFonts w:hint="eastAsia"/>
          <w:bCs/>
          <w:color w:val="auto"/>
          <w:highlight w:val="none"/>
        </w:rPr>
        <w:t xml:space="preserve">27.1.1 供应商未按照采购文件要求上传电子磋商响应文件的。</w:t>
      </w:r>
      <w:r/>
    </w:p>
    <w:p>
      <w:pPr>
        <w:ind w:firstLine="420"/>
        <w:spacing w:line="360" w:lineRule="auto"/>
        <w:rPr>
          <w:bCs/>
          <w:color w:val="auto"/>
          <w:highlight w:val="none"/>
        </w:rPr>
      </w:pPr>
      <w:r>
        <w:rPr>
          <w:rFonts w:hint="eastAsia"/>
          <w:bCs/>
          <w:color w:val="auto"/>
          <w:highlight w:val="none"/>
        </w:rPr>
        <w:t xml:space="preserve">27.1.2 供应商未成功解密电子磋商响应文件的。</w:t>
      </w:r>
      <w:r/>
    </w:p>
    <w:p>
      <w:pPr>
        <w:ind w:firstLine="420"/>
        <w:spacing w:line="360" w:lineRule="auto"/>
        <w:rPr>
          <w:bCs/>
          <w:color w:val="auto"/>
          <w:highlight w:val="none"/>
        </w:rPr>
      </w:pPr>
      <w:r>
        <w:rPr>
          <w:rFonts w:hint="eastAsia"/>
          <w:bCs/>
          <w:color w:val="auto"/>
          <w:highlight w:val="none"/>
        </w:rPr>
        <w:t xml:space="preserve">27.1.3 供应商不具备采购文件中规定资格要求的。</w:t>
      </w:r>
      <w:r/>
    </w:p>
    <w:p>
      <w:pPr>
        <w:ind w:firstLine="420"/>
        <w:spacing w:line="360" w:lineRule="auto"/>
        <w:rPr>
          <w:bCs/>
          <w:i/>
          <w:color w:val="auto"/>
          <w:highlight w:val="none"/>
          <w:u w:val="single"/>
        </w:rPr>
      </w:pPr>
      <w:r>
        <w:rPr>
          <w:rFonts w:hint="eastAsia"/>
          <w:bCs/>
          <w:color w:val="auto"/>
          <w:highlight w:val="none"/>
        </w:rPr>
        <w:t xml:space="preserve">27.1.4 未通过符合性审查的。</w:t>
      </w:r>
      <w:r/>
    </w:p>
    <w:p>
      <w:pPr>
        <w:ind w:firstLine="420"/>
        <w:spacing w:line="360" w:lineRule="auto"/>
        <w:rPr>
          <w:bCs/>
          <w:i/>
          <w:color w:val="auto"/>
          <w:highlight w:val="none"/>
          <w:u w:val="single"/>
        </w:rPr>
      </w:pPr>
      <w:r>
        <w:rPr>
          <w:rFonts w:hint="eastAsia"/>
          <w:bCs/>
          <w:color w:val="auto"/>
          <w:highlight w:val="none"/>
        </w:rPr>
        <w:t xml:space="preserve">27.1.5 不符合采购文件中规定的其他实质性要求和条件的（</w:t>
      </w:r>
      <w:r>
        <w:rPr>
          <w:rFonts w:hint="eastAsia"/>
          <w:bCs/>
          <w:i/>
          <w:color w:val="auto"/>
          <w:highlight w:val="none"/>
          <w:u w:val="single"/>
        </w:rPr>
        <w:t xml:space="preserve">本采购文件中斜体且有下划线部分为实质性要求和条件）。</w:t>
      </w:r>
      <w:r/>
    </w:p>
    <w:p>
      <w:pPr>
        <w:ind w:firstLine="420"/>
        <w:spacing w:line="360" w:lineRule="auto"/>
        <w:rPr>
          <w:color w:val="auto"/>
          <w:highlight w:val="none"/>
        </w:rPr>
      </w:pPr>
      <w:r>
        <w:rPr>
          <w:rFonts w:hint="eastAsia"/>
          <w:bCs/>
          <w:color w:val="auto"/>
          <w:highlight w:val="none"/>
        </w:rPr>
        <w:t xml:space="preserve">27.1.6 </w:t>
      </w:r>
      <w:r>
        <w:rPr>
          <w:rFonts w:hint="eastAsia"/>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
          <w:bCs/>
          <w:color w:val="auto"/>
          <w:highlight w:val="none"/>
        </w:rPr>
      </w:pPr>
      <w:r>
        <w:rPr>
          <w:rFonts w:hint="eastAsia"/>
          <w:b/>
          <w:bCs/>
          <w:color w:val="auto"/>
          <w:highlight w:val="none"/>
        </w:rPr>
        <w:t xml:space="preserve">27.1.7政府采购评审中出现下列情形之一的，评审委员会应当启动异常低价投标（响应）审查程序：</w:t>
      </w:r>
      <w:r/>
    </w:p>
    <w:p>
      <w:pPr>
        <w:ind w:firstLine="422"/>
        <w:jc w:val="left"/>
        <w:spacing w:line="0" w:lineRule="atLeast"/>
        <w:widowControl/>
        <w:rPr>
          <w:rFonts w:ascii="宋体" w:hAnsi="宋体"/>
          <w:b/>
          <w:bCs/>
          <w:color w:val="auto"/>
          <w:sz w:val="24"/>
          <w:szCs w:val="24"/>
          <w:highlight w:val="none"/>
        </w:rPr>
      </w:pPr>
      <w:r>
        <w:rPr>
          <w:rFonts w:hint="eastAsia" w:ascii="宋体" w:hAnsi="宋体" w:cs="宋体"/>
          <w:b/>
          <w:bCs/>
          <w:color w:val="auto"/>
          <w:szCs w:val="21"/>
          <w:highlight w:val="none"/>
        </w:rPr>
        <w:t xml:space="preserve">（一）评审过程中出现下列情形之一的，评审委员会应当启动异常低价投标（响应）审查程序：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3.投标（响应）报价低于采购项目最高限价45%的，即投标（响应）报价&lt;采购项目最高限价×45%；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bCs/>
          <w:color w:val="auto"/>
          <w:highlight w:val="none"/>
        </w:rPr>
      </w:pPr>
      <w:r>
        <w:rPr>
          <w:rFonts w:hint="eastAsia"/>
          <w:bCs/>
          <w:color w:val="auto"/>
          <w:highlight w:val="none"/>
        </w:rPr>
        <w:t xml:space="preserve">27.1.8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bCs/>
          <w:color w:val="auto"/>
          <w:highlight w:val="none"/>
        </w:rPr>
      </w:pPr>
      <w:r>
        <w:rPr>
          <w:rFonts w:hint="eastAsia"/>
          <w:bCs/>
          <w:color w:val="auto"/>
          <w:highlight w:val="none"/>
        </w:rPr>
        <w:t xml:space="preserve">27.1.9 响应文件未按照采购文件要求加盖电子签章。</w:t>
      </w:r>
      <w:r/>
    </w:p>
    <w:p>
      <w:pPr>
        <w:ind w:firstLine="420"/>
        <w:spacing w:line="360" w:lineRule="auto"/>
        <w:rPr>
          <w:bCs/>
          <w:color w:val="auto"/>
          <w:highlight w:val="none"/>
        </w:rPr>
      </w:pPr>
      <w:r>
        <w:rPr>
          <w:rFonts w:hint="eastAsia"/>
          <w:bCs/>
          <w:color w:val="auto"/>
          <w:highlight w:val="none"/>
        </w:rPr>
        <w:t xml:space="preserve">27.1.10 投标人所投标产品不符合招标文件中所列国家强制性标准的。</w:t>
      </w:r>
      <w:r/>
    </w:p>
    <w:p>
      <w:pPr>
        <w:ind w:firstLine="420"/>
        <w:spacing w:line="360" w:lineRule="auto"/>
        <w:rPr>
          <w:bCs/>
          <w:color w:val="auto"/>
          <w:highlight w:val="none"/>
        </w:rPr>
      </w:pPr>
      <w:r>
        <w:rPr>
          <w:rFonts w:hint="eastAsia"/>
          <w:bCs/>
          <w:color w:val="auto"/>
          <w:highlight w:val="none"/>
        </w:rPr>
        <w:t xml:space="preserve">27.1.11 其他法律、法规及本采购文件规定的属无效响应的情形。</w:t>
      </w:r>
      <w:r/>
    </w:p>
    <w:p>
      <w:pPr>
        <w:ind w:firstLine="420"/>
        <w:spacing w:line="360" w:lineRule="auto"/>
        <w:rPr>
          <w:bCs/>
          <w:color w:val="auto"/>
          <w:highlight w:val="none"/>
        </w:rPr>
      </w:pPr>
      <w:r>
        <w:rPr>
          <w:rFonts w:hint="eastAsia"/>
          <w:bCs/>
          <w:color w:val="auto"/>
          <w:highlight w:val="none"/>
        </w:rPr>
        <w:t xml:space="preserve">27.2 </w:t>
      </w:r>
      <w:r>
        <w:rPr>
          <w:rFonts w:hint="eastAsia"/>
          <w:color w:val="auto"/>
          <w:highlight w:val="none"/>
        </w:rPr>
        <w:t xml:space="preserve">采购活动终止的情况</w:t>
      </w:r>
      <w:r>
        <w:rPr>
          <w:rFonts w:hint="eastAsia"/>
          <w:bCs/>
          <w:color w:val="auto"/>
          <w:highlight w:val="none"/>
        </w:rPr>
        <w:t xml:space="preserve">：</w:t>
      </w:r>
      <w:r/>
    </w:p>
    <w:p>
      <w:pPr>
        <w:ind w:firstLine="420"/>
        <w:spacing w:line="360" w:lineRule="auto"/>
        <w:rPr>
          <w:bCs/>
          <w:color w:val="auto"/>
          <w:highlight w:val="none"/>
        </w:rPr>
      </w:pPr>
      <w:r>
        <w:rPr>
          <w:rFonts w:hint="eastAsia"/>
          <w:bCs/>
          <w:color w:val="auto"/>
          <w:highlight w:val="none"/>
        </w:rPr>
        <w:t xml:space="preserve">27.2.1 因情况变化，不再符合规定的竞争性磋商采购方式适用情形的；</w:t>
      </w:r>
      <w:r/>
    </w:p>
    <w:p>
      <w:pPr>
        <w:ind w:firstLine="420"/>
        <w:spacing w:line="360" w:lineRule="auto"/>
        <w:rPr>
          <w:bCs/>
          <w:color w:val="auto"/>
          <w:highlight w:val="none"/>
        </w:rPr>
      </w:pPr>
      <w:r>
        <w:rPr>
          <w:rFonts w:hint="eastAsia"/>
          <w:bCs/>
          <w:color w:val="auto"/>
          <w:highlight w:val="none"/>
        </w:rPr>
        <w:t xml:space="preserve">27.2.2 出现影响采购公正的违法、违规行为的；</w:t>
      </w:r>
      <w:r/>
    </w:p>
    <w:p>
      <w:pPr>
        <w:ind w:firstLine="420"/>
        <w:spacing w:line="360" w:lineRule="auto"/>
        <w:rPr>
          <w:bCs/>
          <w:color w:val="auto"/>
          <w:highlight w:val="none"/>
        </w:rPr>
      </w:pPr>
      <w:r>
        <w:rPr>
          <w:rFonts w:hint="eastAsia"/>
          <w:bCs/>
          <w:color w:val="auto"/>
          <w:highlight w:val="none"/>
        </w:rPr>
        <w:t xml:space="preserve">27.2.3 </w:t>
      </w:r>
      <w:r>
        <w:rPr>
          <w:rFonts w:hint="eastAsia"/>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bCs/>
          <w:color w:val="auto"/>
          <w:highlight w:val="none"/>
        </w:rPr>
      </w:pPr>
      <w:r>
        <w:rPr>
          <w:rFonts w:hint="eastAsia"/>
          <w:bCs/>
          <w:color w:val="auto"/>
          <w:highlight w:val="none"/>
        </w:rPr>
        <w:t xml:space="preserve">27.2.4 因重大变故，采购任务取消的。</w:t>
      </w:r>
      <w:r/>
    </w:p>
    <w:p>
      <w:pPr>
        <w:ind w:firstLine="420"/>
        <w:spacing w:line="360" w:lineRule="auto"/>
        <w:rPr>
          <w:b/>
          <w:bCs/>
          <w:color w:val="auto"/>
          <w:highlight w:val="none"/>
        </w:rPr>
      </w:pPr>
      <w:r>
        <w:rPr>
          <w:rFonts w:hint="eastAsia"/>
          <w:b/>
          <w:bCs/>
          <w:color w:val="auto"/>
          <w:highlight w:val="none"/>
        </w:rPr>
        <w:t xml:space="preserve">28、确定成交单位</w:t>
      </w:r>
      <w:r/>
    </w:p>
    <w:p>
      <w:pPr>
        <w:ind w:firstLine="420"/>
        <w:spacing w:line="360" w:lineRule="auto"/>
        <w:rPr>
          <w:color w:val="auto"/>
          <w:highlight w:val="none"/>
        </w:rPr>
      </w:pPr>
      <w:r>
        <w:rPr>
          <w:rFonts w:hint="eastAsia"/>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auto"/>
          <w:highlight w:val="none"/>
        </w:rPr>
      </w:pPr>
      <w:r>
        <w:rPr>
          <w:rFonts w:hint="eastAsia"/>
          <w:color w:val="auto"/>
          <w:highlight w:val="none"/>
        </w:rPr>
        <w:t xml:space="preserve">28.2 采购人应根据磋商推荐的成交候选人，按照排序由高到低的推荐确定成交供应商。</w:t>
      </w:r>
      <w:r/>
    </w:p>
    <w:p>
      <w:pPr>
        <w:ind w:firstLine="420"/>
        <w:spacing w:line="360" w:lineRule="auto"/>
        <w:rPr>
          <w:color w:val="auto"/>
          <w:highlight w:val="none"/>
        </w:rPr>
      </w:pPr>
      <w:r>
        <w:rPr>
          <w:rFonts w:hint="eastAsia"/>
          <w:color w:val="auto"/>
          <w:highlight w:val="none"/>
        </w:rPr>
        <w:t xml:space="preserve">28.3 代理机构将在“扬州市邗江区政府采购网”、“扬州市政府采购网”、“江苏省政府采购网”和“中国政府采购网”发布成交公告，公告期限为1个工作日。</w:t>
      </w:r>
      <w:r/>
    </w:p>
    <w:p>
      <w:pPr>
        <w:ind w:firstLine="420"/>
        <w:spacing w:line="360" w:lineRule="auto"/>
        <w:rPr>
          <w:color w:val="auto"/>
          <w:highlight w:val="none"/>
        </w:rPr>
      </w:pPr>
      <w:r>
        <w:rPr>
          <w:rFonts w:hint="eastAsia"/>
          <w:color w:val="auto"/>
          <w:highlight w:val="none"/>
        </w:rPr>
        <w:t xml:space="preserve">28.4 若有充分证据证明，成交供应商出现下列情况之一的，一经查实，将被取消成交资格：</w:t>
      </w:r>
      <w:r/>
    </w:p>
    <w:p>
      <w:pPr>
        <w:ind w:firstLine="420"/>
        <w:spacing w:line="360" w:lineRule="auto"/>
        <w:rPr>
          <w:color w:val="auto"/>
          <w:highlight w:val="none"/>
        </w:rPr>
      </w:pPr>
      <w:r>
        <w:rPr>
          <w:rFonts w:hint="eastAsia"/>
          <w:color w:val="auto"/>
          <w:highlight w:val="none"/>
        </w:rPr>
        <w:t xml:space="preserve">28.4.1 提供虚假材料谋取成交的；</w:t>
      </w:r>
      <w:r/>
    </w:p>
    <w:p>
      <w:pPr>
        <w:ind w:firstLine="420"/>
        <w:spacing w:line="360" w:lineRule="auto"/>
        <w:rPr>
          <w:color w:val="auto"/>
          <w:highlight w:val="none"/>
        </w:rPr>
      </w:pPr>
      <w:r>
        <w:rPr>
          <w:rFonts w:hint="eastAsia"/>
          <w:color w:val="auto"/>
          <w:highlight w:val="none"/>
        </w:rPr>
        <w:t xml:space="preserve">28.4.2 向采购人、代理机构行贿或者提供其他不正当利益的；</w:t>
      </w:r>
      <w:r/>
    </w:p>
    <w:p>
      <w:pPr>
        <w:ind w:firstLine="420"/>
        <w:spacing w:line="360" w:lineRule="auto"/>
        <w:rPr>
          <w:color w:val="auto"/>
          <w:highlight w:val="none"/>
        </w:rPr>
      </w:pPr>
      <w:r>
        <w:rPr>
          <w:rFonts w:hint="eastAsia"/>
          <w:color w:val="auto"/>
          <w:highlight w:val="none"/>
        </w:rPr>
        <w:t xml:space="preserve">28.4.3 恶意竞争，最终总报价明显低于其自身合理成本且又无法提供证明的；</w:t>
      </w:r>
      <w:r/>
    </w:p>
    <w:p>
      <w:pPr>
        <w:ind w:firstLine="420"/>
        <w:spacing w:line="360" w:lineRule="auto"/>
        <w:rPr>
          <w:color w:val="auto"/>
          <w:highlight w:val="none"/>
        </w:rPr>
      </w:pPr>
      <w:r>
        <w:rPr>
          <w:rFonts w:hint="eastAsia"/>
          <w:color w:val="auto"/>
          <w:highlight w:val="none"/>
        </w:rPr>
        <w:t xml:space="preserve">28.4.4 属于本文件规定的无效条件，但在评审过程中又未被磋商小组发现的；</w:t>
      </w:r>
      <w:r/>
    </w:p>
    <w:p>
      <w:pPr>
        <w:ind w:firstLine="420"/>
        <w:spacing w:line="360" w:lineRule="auto"/>
        <w:rPr>
          <w:color w:val="auto"/>
          <w:highlight w:val="none"/>
        </w:rPr>
      </w:pPr>
      <w:r>
        <w:rPr>
          <w:rFonts w:hint="eastAsia"/>
          <w:color w:val="auto"/>
          <w:highlight w:val="none"/>
        </w:rPr>
        <w:t xml:space="preserve">28.4.5 与采购人或者其他供应商恶意串通的；</w:t>
      </w:r>
      <w:r/>
    </w:p>
    <w:p>
      <w:pPr>
        <w:ind w:firstLine="420"/>
        <w:spacing w:line="360" w:lineRule="auto"/>
        <w:rPr>
          <w:color w:val="auto"/>
          <w:highlight w:val="none"/>
        </w:rPr>
      </w:pPr>
      <w:r>
        <w:rPr>
          <w:rFonts w:hint="eastAsia"/>
          <w:color w:val="auto"/>
          <w:highlight w:val="none"/>
        </w:rPr>
        <w:t xml:space="preserve">28.4.6 采取不正当手段诋毁、排挤其他供应商的；</w:t>
      </w:r>
      <w:r/>
    </w:p>
    <w:p>
      <w:pPr>
        <w:ind w:firstLine="420"/>
        <w:spacing w:line="360" w:lineRule="auto"/>
        <w:rPr>
          <w:color w:val="auto"/>
          <w:highlight w:val="none"/>
        </w:rPr>
      </w:pPr>
      <w:r>
        <w:rPr>
          <w:rFonts w:hint="eastAsia"/>
          <w:color w:val="auto"/>
          <w:highlight w:val="none"/>
        </w:rPr>
        <w:t xml:space="preserve">28.4.7 不符合法律、法规的规定的。</w:t>
      </w:r>
      <w:r/>
    </w:p>
    <w:p>
      <w:pPr>
        <w:ind w:firstLine="420"/>
        <w:spacing w:line="360" w:lineRule="auto"/>
        <w:rPr>
          <w:b/>
          <w:bCs/>
          <w:color w:val="auto"/>
          <w:highlight w:val="none"/>
        </w:rPr>
      </w:pPr>
      <w:r>
        <w:rPr>
          <w:rFonts w:hint="eastAsia"/>
          <w:b/>
          <w:bCs/>
          <w:color w:val="auto"/>
          <w:highlight w:val="none"/>
        </w:rPr>
        <w:t xml:space="preserve">29、质疑处理</w:t>
      </w:r>
      <w:r/>
    </w:p>
    <w:p>
      <w:pPr>
        <w:ind w:firstLine="420"/>
        <w:spacing w:line="360" w:lineRule="auto"/>
        <w:rPr>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auto"/>
          <w:highlight w:val="none"/>
        </w:rPr>
      </w:pPr>
      <w:r>
        <w:rPr>
          <w:rFonts w:hint="eastAsia"/>
          <w:color w:val="auto"/>
          <w:highlight w:val="none"/>
        </w:rPr>
        <w:t xml:space="preserve">对项目需求部分的质疑，潜在供应商应向采购人提出，由采购人负责答复。</w:t>
      </w:r>
      <w:r/>
    </w:p>
    <w:p>
      <w:pPr>
        <w:ind w:firstLine="420"/>
        <w:spacing w:line="360" w:lineRule="auto"/>
        <w:rPr>
          <w:color w:val="auto"/>
          <w:highlight w:val="none"/>
        </w:rPr>
      </w:pPr>
      <w:r>
        <w:rPr>
          <w:rFonts w:hint="eastAsia"/>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auto"/>
          <w:highlight w:val="none"/>
        </w:rPr>
      </w:pPr>
      <w:r>
        <w:rPr>
          <w:rFonts w:hint="eastAsia"/>
          <w:color w:val="auto"/>
          <w:highlight w:val="none"/>
        </w:rPr>
        <w:t xml:space="preserve">29.2.1对采购文件提出质疑的，应当在获取采购文件之日或者采购文件公告期限届满之日起7个工作日内提出。</w:t>
      </w:r>
      <w:r/>
    </w:p>
    <w:p>
      <w:pPr>
        <w:ind w:firstLine="420"/>
        <w:spacing w:line="360" w:lineRule="auto"/>
        <w:rPr>
          <w:color w:val="auto"/>
          <w:highlight w:val="none"/>
        </w:rPr>
      </w:pPr>
      <w:r>
        <w:rPr>
          <w:rFonts w:hint="eastAsia"/>
          <w:color w:val="auto"/>
          <w:highlight w:val="none"/>
        </w:rPr>
        <w:t xml:space="preserve">29.2.2对采购过程提出质疑的，为各采购程序环节结束之日起7个工作日内提出。</w:t>
      </w:r>
      <w:r/>
    </w:p>
    <w:p>
      <w:pPr>
        <w:ind w:firstLine="420"/>
        <w:spacing w:line="360" w:lineRule="auto"/>
        <w:rPr>
          <w:color w:val="auto"/>
          <w:highlight w:val="none"/>
        </w:rPr>
      </w:pPr>
      <w:r>
        <w:rPr>
          <w:rFonts w:hint="eastAsia"/>
          <w:color w:val="auto"/>
          <w:highlight w:val="none"/>
        </w:rPr>
        <w:t xml:space="preserve">29.2.3对成交结果提出质疑的，为成交结果公告期限届满之日起7个工作日内提出。</w:t>
      </w:r>
      <w:r/>
    </w:p>
    <w:p>
      <w:pPr>
        <w:ind w:firstLine="420"/>
        <w:spacing w:line="360" w:lineRule="auto"/>
        <w:rPr>
          <w:color w:val="auto"/>
          <w:highlight w:val="none"/>
        </w:rPr>
      </w:pPr>
      <w:r>
        <w:rPr>
          <w:rFonts w:hint="eastAsia"/>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auto"/>
          <w:highlight w:val="none"/>
        </w:rPr>
      </w:pPr>
      <w:r>
        <w:rPr>
          <w:rFonts w:hint="eastAsia"/>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auto"/>
          <w:highlight w:val="none"/>
        </w:rPr>
      </w:pPr>
      <w:r>
        <w:rPr>
          <w:rFonts w:hint="eastAsia"/>
          <w:color w:val="auto"/>
          <w:highlight w:val="none"/>
        </w:rPr>
        <w:t xml:space="preserve">29.5 代理机构及采购人只接收以纸质原件形式送达的质疑。</w:t>
      </w:r>
      <w:r/>
    </w:p>
    <w:p>
      <w:pPr>
        <w:ind w:firstLine="420"/>
        <w:spacing w:line="360" w:lineRule="auto"/>
        <w:rPr>
          <w:color w:val="auto"/>
          <w:highlight w:val="none"/>
        </w:rPr>
      </w:pPr>
      <w:r>
        <w:rPr>
          <w:rFonts w:hint="eastAsia"/>
          <w:color w:val="auto"/>
          <w:highlight w:val="none"/>
        </w:rPr>
        <w:t xml:space="preserve">采购人质疑接收人及联系方式见采购文件第一章。</w:t>
      </w:r>
      <w:r/>
    </w:p>
    <w:p>
      <w:pPr>
        <w:ind w:firstLine="420"/>
        <w:spacing w:line="360" w:lineRule="auto"/>
        <w:rPr>
          <w:color w:val="auto"/>
          <w:highlight w:val="none"/>
        </w:rPr>
      </w:pPr>
      <w:r>
        <w:rPr>
          <w:rFonts w:hint="eastAsia"/>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color w:val="auto"/>
          <w:highlight w:val="none"/>
        </w:rPr>
      </w:pPr>
      <w:r>
        <w:rPr>
          <w:rFonts w:hint="eastAsia"/>
          <w:color w:val="auto"/>
          <w:highlight w:val="none"/>
        </w:rPr>
        <w:t xml:space="preserve">29.7质疑人应当在法定质疑期限内进行补正并重新提交质疑函。</w:t>
      </w:r>
      <w:r/>
    </w:p>
    <w:p>
      <w:pPr>
        <w:ind w:firstLine="420"/>
        <w:spacing w:line="360" w:lineRule="auto"/>
        <w:rPr>
          <w:color w:val="auto"/>
          <w:highlight w:val="none"/>
        </w:rPr>
      </w:pPr>
      <w:r>
        <w:rPr>
          <w:rFonts w:hint="eastAsia"/>
          <w:color w:val="auto"/>
          <w:highlight w:val="none"/>
        </w:rPr>
        <w:t xml:space="preserve">29.8 以下情形的质疑不予受理</w:t>
      </w:r>
      <w:r/>
    </w:p>
    <w:p>
      <w:pPr>
        <w:ind w:firstLine="420"/>
        <w:spacing w:line="360" w:lineRule="auto"/>
        <w:rPr>
          <w:color w:val="auto"/>
          <w:highlight w:val="none"/>
        </w:rPr>
      </w:pPr>
      <w:r>
        <w:rPr>
          <w:rFonts w:hint="eastAsia"/>
          <w:color w:val="auto"/>
          <w:highlight w:val="none"/>
        </w:rPr>
        <w:t xml:space="preserve">29.8.1 内容不符合《政府采购质疑和投诉办法》第十二条规定的质疑。</w:t>
      </w:r>
      <w:r/>
    </w:p>
    <w:p>
      <w:pPr>
        <w:ind w:firstLine="420"/>
        <w:spacing w:line="360" w:lineRule="auto"/>
        <w:rPr>
          <w:color w:val="auto"/>
          <w:highlight w:val="none"/>
        </w:rPr>
      </w:pPr>
      <w:r>
        <w:rPr>
          <w:rFonts w:hint="eastAsia"/>
          <w:color w:val="auto"/>
          <w:highlight w:val="none"/>
        </w:rPr>
        <w:t xml:space="preserve">29.8.2 超出政府采购法定期限的质疑。</w:t>
      </w:r>
      <w:r/>
    </w:p>
    <w:p>
      <w:pPr>
        <w:ind w:firstLine="420"/>
        <w:spacing w:line="360" w:lineRule="auto"/>
        <w:rPr>
          <w:color w:val="auto"/>
          <w:highlight w:val="none"/>
        </w:rPr>
      </w:pPr>
      <w:r>
        <w:rPr>
          <w:rFonts w:hint="eastAsia"/>
          <w:color w:val="auto"/>
          <w:highlight w:val="none"/>
        </w:rPr>
        <w:t xml:space="preserve">29.8.3 以传真、电子邮件等方式递交的非原件形式的质疑。</w:t>
      </w:r>
      <w:r/>
    </w:p>
    <w:p>
      <w:pPr>
        <w:ind w:firstLine="420"/>
        <w:spacing w:line="360" w:lineRule="auto"/>
        <w:rPr>
          <w:color w:val="auto"/>
          <w:highlight w:val="none"/>
        </w:rPr>
      </w:pPr>
      <w:r>
        <w:rPr>
          <w:rFonts w:hint="eastAsia"/>
          <w:color w:val="auto"/>
          <w:highlight w:val="none"/>
        </w:rPr>
        <w:t xml:space="preserve">29.8.4 未参加磋商活动的供应商或在磋商活动中自身权益未受到损害的供应商所提出的质疑。</w:t>
      </w:r>
      <w:r/>
    </w:p>
    <w:p>
      <w:pPr>
        <w:ind w:firstLine="420"/>
        <w:spacing w:line="360" w:lineRule="auto"/>
        <w:rPr>
          <w:color w:val="auto"/>
          <w:highlight w:val="none"/>
        </w:rPr>
      </w:pPr>
      <w:r>
        <w:rPr>
          <w:rFonts w:hint="eastAsia"/>
          <w:color w:val="auto"/>
          <w:highlight w:val="none"/>
        </w:rPr>
        <w:t xml:space="preserve">29.8.5供应商组成联合体参加磋商，联合体中任何一方或多方未按要求签字、盖章、加盖公章的质疑。</w:t>
      </w:r>
      <w:r/>
    </w:p>
    <w:p>
      <w:pPr>
        <w:ind w:firstLine="420"/>
        <w:spacing w:line="360" w:lineRule="auto"/>
        <w:rPr>
          <w:color w:val="auto"/>
          <w:highlight w:val="none"/>
        </w:rPr>
      </w:pPr>
      <w:r>
        <w:rPr>
          <w:rFonts w:hint="eastAsia"/>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auto"/>
          <w:highlight w:val="none"/>
        </w:rPr>
      </w:pPr>
      <w:r>
        <w:rPr>
          <w:rFonts w:hint="eastAsia"/>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auto"/>
          <w:highlight w:val="none"/>
        </w:rPr>
      </w:pPr>
      <w:r>
        <w:rPr>
          <w:rFonts w:hint="eastAsia"/>
          <w:b/>
          <w:bCs/>
          <w:color w:val="auto"/>
          <w:highlight w:val="none"/>
        </w:rPr>
        <w:t xml:space="preserve">30、成交通知书</w:t>
      </w:r>
      <w:r/>
    </w:p>
    <w:p>
      <w:pPr>
        <w:ind w:firstLine="420"/>
        <w:spacing w:line="360" w:lineRule="auto"/>
        <w:rPr>
          <w:color w:val="auto"/>
          <w:highlight w:val="none"/>
        </w:rPr>
      </w:pPr>
      <w:r>
        <w:rPr>
          <w:rFonts w:hint="eastAsia"/>
          <w:color w:val="auto"/>
          <w:highlight w:val="none"/>
        </w:rPr>
        <w:t xml:space="preserve">30.l成交结果确定后，代理机构将向成交供应商发出成通知书。</w:t>
      </w:r>
      <w:r/>
    </w:p>
    <w:p>
      <w:pPr>
        <w:ind w:firstLine="420"/>
        <w:spacing w:line="360" w:lineRule="auto"/>
        <w:rPr>
          <w:color w:val="auto"/>
          <w:highlight w:val="none"/>
        </w:rPr>
      </w:pPr>
      <w:r>
        <w:rPr>
          <w:rFonts w:hint="eastAsia"/>
          <w:color w:val="auto"/>
          <w:highlight w:val="none"/>
        </w:rPr>
        <w:t xml:space="preserve">30.2 成交供应商可在“政府采购交易管理系统（苏采云）”成交通知书下载模块中自行下载成交通知书。</w:t>
      </w:r>
      <w:r/>
    </w:p>
    <w:p>
      <w:pPr>
        <w:ind w:firstLine="420"/>
        <w:spacing w:line="360" w:lineRule="auto"/>
        <w:rPr>
          <w:color w:val="auto"/>
          <w:highlight w:val="none"/>
        </w:rPr>
      </w:pPr>
      <w:r>
        <w:rPr>
          <w:rFonts w:hint="eastAsia"/>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b/>
          <w:bCs/>
          <w:color w:val="auto"/>
          <w:highlight w:val="none"/>
        </w:rPr>
      </w:pPr>
      <w:r>
        <w:rPr>
          <w:rFonts w:hint="eastAsia"/>
          <w:b/>
          <w:bCs/>
          <w:color w:val="auto"/>
          <w:highlight w:val="none"/>
        </w:rPr>
        <w:t xml:space="preserve">31、签订合同</w:t>
      </w:r>
      <w:r/>
    </w:p>
    <w:p>
      <w:pPr>
        <w:ind w:firstLine="420"/>
        <w:spacing w:line="360" w:lineRule="auto"/>
        <w:rPr>
          <w:color w:val="auto"/>
          <w:highlight w:val="none"/>
        </w:rPr>
      </w:pPr>
      <w:r>
        <w:rPr>
          <w:rFonts w:hint="eastAsia"/>
          <w:color w:val="auto"/>
          <w:highlight w:val="none"/>
        </w:rPr>
        <w:t xml:space="preserve">31.l成交供应商应在成交通知书发出之日起三十日内，按照采购文件确定的事项与采购人签订政府采购合同。</w:t>
      </w:r>
      <w:r/>
    </w:p>
    <w:p>
      <w:pPr>
        <w:ind w:firstLine="420"/>
        <w:spacing w:line="360" w:lineRule="auto"/>
        <w:rPr>
          <w:color w:val="auto"/>
          <w:highlight w:val="none"/>
        </w:rPr>
      </w:pPr>
      <w:r>
        <w:rPr>
          <w:rFonts w:hint="eastAsia"/>
          <w:color w:val="auto"/>
          <w:highlight w:val="none"/>
        </w:rPr>
        <w:t xml:space="preserve">31.2采购文件、成交供应商的响应文件及磋商过程中有关澄清、承诺文件均应作为合同附件。</w:t>
      </w:r>
      <w:r/>
    </w:p>
    <w:p>
      <w:pPr>
        <w:ind w:firstLine="420"/>
        <w:spacing w:line="360" w:lineRule="auto"/>
        <w:rPr>
          <w:color w:val="auto"/>
          <w:highlight w:val="none"/>
        </w:rPr>
      </w:pPr>
      <w:r>
        <w:rPr>
          <w:rFonts w:hint="eastAsia" w:ascii="宋体" w:hAnsi="宋体"/>
          <w:bCs/>
          <w:color w:val="auto"/>
          <w:szCs w:val="21"/>
          <w:highlight w:val="none"/>
        </w:rPr>
        <w:t xml:space="preserve">31.3 合同在“政府采购管理交易系统（苏采云）”中签订，签订合同后，</w:t>
      </w:r>
      <w:r>
        <w:rPr>
          <w:rFonts w:hint="eastAsia" w:ascii="宋体" w:hAnsi="宋体"/>
          <w:bCs/>
          <w:i/>
          <w:iCs/>
          <w:color w:val="auto"/>
          <w:szCs w:val="21"/>
          <w:highlight w:val="none"/>
          <w:u w:val="single"/>
        </w:rPr>
        <w:t xml:space="preserve">成交供应商不得将服务进行转包</w:t>
      </w:r>
      <w:r>
        <w:rPr>
          <w:rFonts w:hint="eastAsia" w:ascii="宋体" w:hAnsi="宋体"/>
          <w:bCs/>
          <w:color w:val="auto"/>
          <w:szCs w:val="21"/>
          <w:highlight w:val="none"/>
        </w:rPr>
        <w:t xml:space="preserve">。未经采购人同意，成交供应商也不得采用分包的形式履行合同，否则采购人有权终止合同，成交供应商的履约保证金（如有）将不予退还。转包或分包造成采购人损失的，成交供应商应承担赔偿责任。</w:t>
      </w:r>
      <w:r/>
    </w:p>
    <w:p>
      <w:pPr>
        <w:ind w:firstLine="420"/>
        <w:spacing w:line="360" w:lineRule="auto"/>
        <w:rPr>
          <w:color w:val="auto"/>
          <w:highlight w:val="none"/>
        </w:rPr>
      </w:pPr>
      <w:r>
        <w:rPr>
          <w:rFonts w:hint="eastAsia"/>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color w:val="auto"/>
          <w:highlight w:val="none"/>
        </w:rPr>
      </w:pPr>
      <w:r>
        <w:rPr>
          <w:rFonts w:hint="eastAsia"/>
          <w:b/>
          <w:bCs/>
          <w:color w:val="auto"/>
          <w:highlight w:val="none"/>
        </w:rPr>
        <w:t xml:space="preserve">32、其他</w:t>
      </w:r>
      <w:r/>
    </w:p>
    <w:p>
      <w:pPr>
        <w:ind w:firstLine="420"/>
        <w:spacing w:line="360" w:lineRule="auto"/>
        <w:rPr>
          <w:color w:val="auto"/>
          <w:highlight w:val="none"/>
        </w:rPr>
      </w:pPr>
      <w:r>
        <w:rPr>
          <w:color w:val="auto"/>
          <w:highlight w:val="none"/>
        </w:rPr>
        <w:t xml:space="preserve">3</w:t>
      </w:r>
      <w:r>
        <w:rPr>
          <w:rFonts w:hint="eastAsia"/>
          <w:color w:val="auto"/>
          <w:highlight w:val="none"/>
        </w:rPr>
        <w:t xml:space="preserve">2</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color w:val="auto"/>
          <w:highlight w:val="none"/>
        </w:rPr>
      </w:pPr>
      <w:r>
        <w:rPr>
          <w:color w:val="auto"/>
          <w:highlight w:val="none"/>
        </w:rPr>
        <w:br w:type="page" w:clear="all"/>
      </w:r>
      <w:r/>
    </w:p>
    <w:p>
      <w:pPr>
        <w:numPr>
          <w:ilvl w:val="0"/>
          <w:numId w:val="4"/>
        </w:numPr>
        <w:ind w:firstLine="420"/>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合同条款及格式</w:t>
      </w:r>
      <w:bookmarkEnd w:id="23"/>
      <w:r/>
      <w:r/>
    </w:p>
    <w:p>
      <w:pPr>
        <w:pStyle w:val="947"/>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47"/>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w:t>
      </w:r>
      <w:r/>
    </w:p>
    <w:p>
      <w:pPr>
        <w:spacing w:line="360" w:lineRule="auto"/>
        <w:rPr>
          <w:color w:val="auto"/>
          <w:highlight w:val="none"/>
        </w:rPr>
      </w:pPr>
      <w:r>
        <w:rPr>
          <w:rFonts w:hint="eastAsia"/>
          <w:color w:val="auto"/>
          <w:highlight w:val="none"/>
        </w:rPr>
        <w:t xml:space="preserve">项目名称：</w:t>
      </w:r>
      <w:r>
        <w:rPr>
          <w:rFonts w:hint="eastAsia" w:ascii="宋体" w:hAnsi="宋体" w:cs="宋体"/>
          <w:color w:val="auto"/>
          <w:highlight w:val="none"/>
        </w:rPr>
        <w:t xml:space="preserve">2026-2027年扬州市邗江区公道镇政府购买居家养老服务项目</w:t>
      </w:r>
      <w:r/>
    </w:p>
    <w:p>
      <w:pPr>
        <w:spacing w:line="480" w:lineRule="exact"/>
        <w:rPr>
          <w:color w:val="auto"/>
          <w:highlight w:val="none"/>
        </w:rPr>
      </w:pPr>
      <w:r>
        <w:rPr>
          <w:rFonts w:hint="eastAsia"/>
          <w:color w:val="auto"/>
          <w:highlight w:val="none"/>
        </w:rPr>
        <w:t xml:space="preserve">项目编号：</w:t>
      </w:r>
      <w:r/>
    </w:p>
    <w:p>
      <w:pPr>
        <w:spacing w:line="480" w:lineRule="exact"/>
        <w:rPr>
          <w:color w:val="auto"/>
          <w:highlight w:val="none"/>
        </w:rPr>
      </w:pPr>
      <w:r>
        <w:rPr>
          <w:rFonts w:hint="eastAsia"/>
          <w:color w:val="auto"/>
          <w:highlight w:val="none"/>
        </w:rPr>
        <w:t xml:space="preserve">甲方：（买方）扬州市邗江区公道镇人民政府</w:t>
      </w:r>
      <w:r/>
    </w:p>
    <w:p>
      <w:pPr>
        <w:spacing w:line="480" w:lineRule="exact"/>
        <w:rPr>
          <w:color w:val="auto"/>
          <w:highlight w:val="none"/>
        </w:rPr>
      </w:pPr>
      <w:r>
        <w:rPr>
          <w:rFonts w:hint="eastAsia"/>
          <w:color w:val="auto"/>
          <w:highlight w:val="none"/>
        </w:rPr>
        <w:t xml:space="preserve">乙方：（卖方）</w:t>
      </w:r>
      <w:r/>
    </w:p>
    <w:p>
      <w:pPr>
        <w:spacing w:line="480" w:lineRule="exact"/>
        <w:rPr>
          <w:color w:val="auto"/>
          <w:highlight w:val="none"/>
        </w:rPr>
      </w:pPr>
      <w:r>
        <w:rPr>
          <w:rFonts w:hint="eastAsia"/>
          <w:color w:val="auto"/>
          <w:highlight w:val="none"/>
        </w:rPr>
        <w:t xml:space="preserve">见证方：</w:t>
      </w:r>
      <w:r>
        <w:rPr>
          <w:rFonts w:hint="eastAsia" w:ascii="宋体" w:hAnsi="宋体" w:cs="宋体"/>
          <w:color w:val="auto"/>
          <w:highlight w:val="none"/>
        </w:rPr>
        <w:t xml:space="preserve">扬州嘉泰工程项目管理有限公司</w:t>
      </w:r>
      <w:r/>
    </w:p>
    <w:p>
      <w:pPr>
        <w:ind w:firstLine="420"/>
        <w:spacing w:line="480" w:lineRule="exact"/>
        <w:rPr>
          <w:color w:val="auto"/>
          <w:highlight w:val="none"/>
        </w:rPr>
      </w:pPr>
      <w:r>
        <w:rPr>
          <w:rFonts w:hint="eastAsia"/>
          <w:color w:val="auto"/>
          <w:highlight w:val="none"/>
        </w:rPr>
        <w:t xml:space="preserve">甲、乙双方</w:t>
      </w:r>
      <w:r>
        <w:rPr>
          <w:rFonts w:hint="eastAsia"/>
          <w:color w:val="auto"/>
          <w:highlight w:val="none"/>
          <w:lang w:val="en-US" w:eastAsia="zh-CN"/>
        </w:rPr>
        <w:t xml:space="preserve">本</w:t>
      </w:r>
      <w:r>
        <w:rPr>
          <w:rFonts w:hint="eastAsia"/>
          <w:color w:val="auto"/>
          <w:highlight w:val="none"/>
        </w:rPr>
        <w:t xml:space="preserve">项目采购的结果，签署本合同。</w:t>
      </w:r>
      <w:r/>
    </w:p>
    <w:p>
      <w:pPr>
        <w:ind w:firstLine="422"/>
        <w:spacing w:line="480" w:lineRule="exact"/>
        <w:rPr>
          <w:b/>
          <w:bCs/>
          <w:color w:val="auto"/>
          <w:highlight w:val="none"/>
        </w:rPr>
      </w:pPr>
      <w:r>
        <w:rPr>
          <w:rFonts w:hint="eastAsia"/>
          <w:b/>
          <w:bCs/>
          <w:color w:val="auto"/>
          <w:highlight w:val="none"/>
        </w:rPr>
        <w:t xml:space="preserve">一、服务及货物</w:t>
      </w:r>
      <w:r/>
    </w:p>
    <w:p>
      <w:pPr>
        <w:pStyle w:val="981"/>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服务名称：</w:t>
      </w:r>
      <w:r/>
    </w:p>
    <w:p>
      <w:pPr>
        <w:pStyle w:val="981"/>
        <w:ind w:firstLine="420"/>
        <w:spacing w:before="120" w:after="120" w:line="360" w:lineRule="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 xml:space="preserve">服务内容等要求详见采购文件及乙方投标文件(附：项目需求)。</w:t>
      </w:r>
      <w:r/>
    </w:p>
    <w:p>
      <w:pPr>
        <w:ind w:firstLine="422"/>
        <w:spacing w:line="480" w:lineRule="exact"/>
        <w:rPr>
          <w:b/>
          <w:bCs/>
          <w:color w:val="auto"/>
          <w:highlight w:val="none"/>
        </w:rPr>
      </w:pPr>
      <w:r>
        <w:rPr>
          <w:rFonts w:hint="eastAsia"/>
          <w:b/>
          <w:bCs/>
          <w:color w:val="auto"/>
          <w:highlight w:val="none"/>
        </w:rPr>
        <w:t xml:space="preserve">二、合同金额</w:t>
      </w:r>
      <w:r/>
    </w:p>
    <w:p>
      <w:pPr>
        <w:pStyle w:val="981"/>
        <w:ind w:firstLine="422"/>
        <w:spacing w:before="120" w:after="120" w:line="360" w:lineRule="auto"/>
        <w:rPr>
          <w:rFonts w:hAnsi="宋体"/>
          <w:color w:val="auto"/>
          <w:sz w:val="21"/>
          <w:highlight w:val="none"/>
        </w:rPr>
      </w:pPr>
      <w:r>
        <w:rPr>
          <w:rFonts w:hint="eastAsia" w:hAnsi="宋体"/>
          <w:color w:val="auto"/>
          <w:sz w:val="21"/>
          <w:highlight w:val="none"/>
        </w:rPr>
        <w:t xml:space="preserve">2.1本合同为固定单价合同，单价金额为(大写) ：人民币/小时(¥  元/小时)；最终根据供应商的成交单价和实际服务老人人数（老人名单由甲方提供）按实结算。</w:t>
      </w:r>
      <w:r/>
    </w:p>
    <w:p>
      <w:pPr>
        <w:pStyle w:val="981"/>
        <w:ind w:firstLine="422"/>
        <w:spacing w:before="120" w:after="120" w:line="360" w:lineRule="auto"/>
        <w:rPr>
          <w:rFonts w:hAnsi="宋体"/>
          <w:color w:val="auto"/>
          <w:sz w:val="21"/>
          <w:highlight w:val="none"/>
        </w:rPr>
      </w:pPr>
      <w:r>
        <w:rPr>
          <w:rFonts w:hint="eastAsia" w:hAnsi="宋体"/>
          <w:color w:val="auto"/>
          <w:sz w:val="21"/>
          <w:highlight w:val="none"/>
        </w:rPr>
        <w:t xml:space="preserve">2.2包括乙方提供的服务及其他有关的为完成本项目发生的所有费用，包括</w:t>
      </w:r>
      <w:r>
        <w:rPr>
          <w:rFonts w:hint="eastAsia" w:hAnsi="宋体" w:cs="宋体"/>
          <w:color w:val="auto"/>
          <w:spacing w:val="-7"/>
          <w:highlight w:val="none"/>
        </w:rPr>
        <w:t xml:space="preserve">服务费、管理费、服务人员交通费及通讯费等所有费用</w:t>
      </w:r>
      <w:r>
        <w:rPr>
          <w:rFonts w:hint="eastAsia" w:hAnsi="宋体"/>
          <w:color w:val="auto"/>
          <w:sz w:val="21"/>
          <w:highlight w:val="none"/>
        </w:rPr>
        <w:t xml:space="preserve">等为完成采购文件规定的服务工作所涉及到的一切相关费用，招标文件中另有规定的除外。</w:t>
      </w:r>
      <w:r/>
    </w:p>
    <w:p>
      <w:pPr>
        <w:pStyle w:val="981"/>
        <w:ind w:firstLine="422"/>
        <w:spacing w:before="120" w:after="120" w:line="360" w:lineRule="auto"/>
        <w:rPr>
          <w:rFonts w:hAnsi="宋体"/>
          <w:color w:val="auto"/>
          <w:sz w:val="21"/>
          <w:highlight w:val="none"/>
        </w:rPr>
      </w:pPr>
      <w:r>
        <w:rPr>
          <w:rFonts w:hint="eastAsia" w:hAnsi="宋体"/>
          <w:color w:val="auto"/>
          <w:sz w:val="21"/>
          <w:highlight w:val="none"/>
        </w:rPr>
        <w:t xml:space="preserve">2.3在招标文件未列明，而乙方认为履行本合同必需的费用也包含在内。</w:t>
      </w:r>
      <w:r/>
    </w:p>
    <w:p>
      <w:pPr>
        <w:pStyle w:val="981"/>
        <w:ind w:firstLine="422"/>
        <w:spacing w:before="120" w:after="120" w:line="360" w:lineRule="auto"/>
        <w:rPr>
          <w:rFonts w:hAnsi="宋体"/>
          <w:color w:val="auto"/>
          <w:sz w:val="21"/>
          <w:highlight w:val="none"/>
        </w:rPr>
      </w:pPr>
      <w:r>
        <w:rPr>
          <w:rFonts w:hint="eastAsia" w:hAnsi="宋体"/>
          <w:color w:val="auto"/>
          <w:sz w:val="21"/>
          <w:highlight w:val="none"/>
        </w:rPr>
        <w:t xml:space="preserve">2.4还包含乙方提供的伴随服务/售后服务费用。</w:t>
      </w:r>
      <w:r/>
    </w:p>
    <w:p>
      <w:pPr>
        <w:ind w:firstLine="422"/>
        <w:spacing w:line="480" w:lineRule="exact"/>
        <w:rPr>
          <w:rFonts w:hAnsi="宋体"/>
          <w:b/>
          <w:bCs/>
          <w:color w:val="auto"/>
          <w:highlight w:val="none"/>
        </w:rPr>
      </w:pPr>
      <w:r>
        <w:rPr>
          <w:rFonts w:hint="eastAsia" w:hAnsi="宋体"/>
          <w:color w:val="auto"/>
          <w:highlight w:val="none"/>
        </w:rPr>
        <w:t xml:space="preserve">2.5 本合同签订后：本项目采用单价合同，乙方已充分考虑自身实际情况进行报价，如有少报或者漏报,则视同乙方让利,签订合同时不因任何理由予以调整或补贴。除合同另有规定外，服务价格不因服务过程中政策、标准及市场因素变化等原因而调整。最终服务费根据乙方实际提供服务的老人人数(老人名单由甲方提供)以及服务单价按实结算。</w:t>
      </w:r>
      <w:r>
        <w:rPr>
          <w:rFonts w:hint="eastAsia" w:hAnsi="宋体"/>
          <w:b/>
          <w:bCs/>
          <w:color w:val="auto"/>
          <w:highlight w:val="none"/>
        </w:rPr>
        <w:t xml:space="preserve">如政府有新政策或新文件需终止项目的，服务方需服务到当月月底后终止合同。</w:t>
      </w:r>
      <w:r/>
    </w:p>
    <w:p>
      <w:pPr>
        <w:ind w:firstLine="422"/>
        <w:spacing w:line="480" w:lineRule="exact"/>
        <w:rPr>
          <w:rFonts w:hAnsi="宋体"/>
          <w:color w:val="auto"/>
          <w:highlight w:val="none"/>
        </w:rPr>
      </w:pPr>
      <w:r>
        <w:rPr>
          <w:rFonts w:hAnsi="宋体"/>
          <w:color w:val="auto"/>
          <w:highlight w:val="none"/>
        </w:rPr>
      </w:r>
      <w:r/>
    </w:p>
    <w:p>
      <w:pPr>
        <w:ind w:firstLine="422"/>
        <w:spacing w:line="480" w:lineRule="exact"/>
        <w:rPr>
          <w:color w:val="auto"/>
          <w:highlight w:val="none"/>
        </w:rPr>
      </w:pPr>
      <w:r>
        <w:rPr>
          <w:rFonts w:hint="eastAsia"/>
          <w:b/>
          <w:bCs/>
          <w:color w:val="auto"/>
          <w:highlight w:val="none"/>
        </w:rPr>
        <w:t xml:space="preserve">三、技术资料</w:t>
      </w:r>
      <w:r/>
    </w:p>
    <w:p>
      <w:pPr>
        <w:pStyle w:val="981"/>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3.1乙方应按招标文件规定的时间向甲方提供使用服务的有关技术资料。</w:t>
      </w:r>
      <w:r/>
    </w:p>
    <w:p>
      <w:pPr>
        <w:pStyle w:val="981"/>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480" w:lineRule="exact"/>
        <w:rPr>
          <w:b/>
          <w:bCs/>
          <w:color w:val="auto"/>
          <w:highlight w:val="none"/>
        </w:rPr>
      </w:pPr>
      <w:r>
        <w:rPr>
          <w:rFonts w:hint="eastAsia"/>
          <w:b/>
          <w:bCs/>
          <w:color w:val="auto"/>
          <w:highlight w:val="none"/>
        </w:rPr>
        <w:t xml:space="preserve">四、知识产权</w:t>
      </w:r>
      <w:r/>
    </w:p>
    <w:p>
      <w:pPr>
        <w:pStyle w:val="981"/>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4.1乙方应保证甲方在使用、接受本合同服务或其任何一部分时不受第三方提出侵犯其专利权、版权、商标权和工业设计权等知识产权的起诉。一旦出现侵权，由乙方负全部责任。</w:t>
      </w:r>
      <w:r/>
    </w:p>
    <w:p>
      <w:pPr>
        <w:ind w:firstLine="422"/>
        <w:spacing w:line="480" w:lineRule="exact"/>
        <w:rPr>
          <w:b/>
          <w:bCs/>
          <w:color w:val="auto"/>
          <w:highlight w:val="none"/>
        </w:rPr>
      </w:pPr>
      <w:r>
        <w:rPr>
          <w:rFonts w:hint="eastAsia"/>
          <w:b/>
          <w:bCs/>
          <w:color w:val="auto"/>
          <w:highlight w:val="none"/>
        </w:rPr>
        <w:t xml:space="preserve">五、产权担保</w:t>
      </w:r>
      <w:r/>
    </w:p>
    <w:p>
      <w:pPr>
        <w:ind w:firstLine="420"/>
        <w:spacing w:line="480" w:lineRule="exact"/>
        <w:rPr>
          <w:color w:val="auto"/>
          <w:highlight w:val="none"/>
        </w:rPr>
      </w:pPr>
      <w:r>
        <w:rPr>
          <w:rFonts w:hint="eastAsia"/>
          <w:color w:val="auto"/>
          <w:highlight w:val="none"/>
        </w:rPr>
        <w:t xml:space="preserve">5.1 乙方保证所交付的货物及服务的所有权完全属于乙方且无任何抵押、查封等产权瑕疵。</w:t>
      </w:r>
      <w:r/>
    </w:p>
    <w:p>
      <w:pPr>
        <w:ind w:firstLine="422"/>
        <w:spacing w:line="480" w:lineRule="exact"/>
        <w:rPr>
          <w:rFonts w:hAnsi="宋体"/>
          <w:color w:val="auto"/>
          <w:highlight w:val="none"/>
        </w:rPr>
      </w:pPr>
      <w:r>
        <w:rPr>
          <w:rFonts w:hint="eastAsia"/>
          <w:b/>
          <w:bCs/>
          <w:color w:val="auto"/>
          <w:highlight w:val="none"/>
        </w:rPr>
        <w:t xml:space="preserve">六、履约保证金：</w:t>
      </w:r>
      <w:r>
        <w:rPr>
          <w:rFonts w:hint="eastAsia" w:hAnsi="宋体"/>
          <w:color w:val="auto"/>
          <w:highlight w:val="none"/>
        </w:rPr>
        <w:t xml:space="preserve">无。</w:t>
      </w:r>
      <w:r/>
    </w:p>
    <w:p>
      <w:pPr>
        <w:ind w:firstLine="422"/>
        <w:spacing w:line="480" w:lineRule="exact"/>
        <w:rPr>
          <w:b/>
          <w:bCs/>
          <w:color w:val="auto"/>
          <w:highlight w:val="none"/>
        </w:rPr>
      </w:pPr>
      <w:r>
        <w:rPr>
          <w:rFonts w:hint="eastAsia"/>
          <w:b/>
          <w:bCs/>
          <w:color w:val="auto"/>
          <w:highlight w:val="none"/>
        </w:rPr>
        <w:t xml:space="preserve">七、转包或分包</w:t>
      </w:r>
      <w:r/>
    </w:p>
    <w:p>
      <w:pPr>
        <w:pStyle w:val="981"/>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7.1本合同范围的服务，应由乙方直接供应，不得转让他人供应；</w:t>
      </w:r>
      <w:r/>
    </w:p>
    <w:p>
      <w:pPr>
        <w:pStyle w:val="981"/>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81"/>
        <w:ind w:firstLine="420"/>
        <w:spacing w:before="120" w:after="120" w:line="360" w:lineRule="auto"/>
        <w:rPr>
          <w:rFonts w:hAnsi="宋体"/>
          <w:b/>
          <w:bCs/>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759"/>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759"/>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759"/>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9.1 交付期：甲方指定时间</w:t>
      </w:r>
      <w:r/>
    </w:p>
    <w:p>
      <w:pPr>
        <w:pStyle w:val="759"/>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9.2 交付方式：甲方指定方式</w:t>
      </w:r>
      <w:r/>
    </w:p>
    <w:p>
      <w:pPr>
        <w:pStyle w:val="759"/>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9.3 交付地点：甲方指定地点</w:t>
      </w:r>
      <w:r/>
    </w:p>
    <w:p>
      <w:pPr>
        <w:ind w:firstLine="422"/>
        <w:spacing w:line="480" w:lineRule="exact"/>
        <w:rPr>
          <w:color w:val="auto"/>
          <w:highlight w:val="none"/>
        </w:rPr>
      </w:pPr>
      <w:r>
        <w:rPr>
          <w:rFonts w:hint="eastAsia"/>
          <w:b/>
          <w:bCs/>
          <w:color w:val="auto"/>
          <w:highlight w:val="none"/>
        </w:rPr>
        <w:t xml:space="preserve">十、货款支付</w:t>
      </w:r>
      <w:r/>
    </w:p>
    <w:p>
      <w:pPr>
        <w:ind w:firstLine="420"/>
        <w:spacing w:line="480" w:lineRule="exact"/>
        <w:rPr>
          <w:color w:val="auto"/>
          <w:highlight w:val="none"/>
        </w:rPr>
      </w:pPr>
      <w:r>
        <w:rPr>
          <w:rFonts w:hint="eastAsia"/>
          <w:color w:val="auto"/>
          <w:highlight w:val="none"/>
        </w:rPr>
        <w:t xml:space="preserve">10.1 本合同项下所有款项均以人民币支付。 </w:t>
      </w:r>
      <w:r/>
    </w:p>
    <w:p>
      <w:pPr>
        <w:ind w:firstLine="420"/>
        <w:spacing w:line="480" w:lineRule="exact"/>
        <w:rPr>
          <w:color w:val="auto"/>
          <w:highlight w:val="none"/>
        </w:rPr>
      </w:pPr>
      <w:r>
        <w:rPr>
          <w:rFonts w:hint="eastAsia"/>
          <w:color w:val="auto"/>
          <w:highlight w:val="none"/>
        </w:rPr>
        <w:t xml:space="preserve">10.2 本合同项下的采购资金由甲方支付，付款前乙方向甲方开具发票。</w:t>
      </w:r>
      <w:r/>
    </w:p>
    <w:p>
      <w:pPr>
        <w:ind w:firstLine="420"/>
        <w:spacing w:line="480" w:lineRule="exact"/>
        <w:rPr>
          <w:rFonts w:ascii="仿宋_GB2312" w:hAnsi="仿宋_GB2312" w:eastAsia="仿宋_GB2312" w:cs="仿宋_GB2312"/>
          <w:b/>
          <w:bCs/>
          <w:color w:val="auto"/>
          <w:sz w:val="28"/>
          <w:szCs w:val="28"/>
          <w:highlight w:val="none"/>
        </w:rPr>
      </w:pPr>
      <w:r>
        <w:rPr>
          <w:rFonts w:hint="eastAsia"/>
          <w:b/>
          <w:bCs/>
          <w:color w:val="auto"/>
          <w:highlight w:val="none"/>
        </w:rPr>
        <w:t xml:space="preserve">10.3 甲方付款方式：</w:t>
      </w:r>
      <w:r/>
    </w:p>
    <w:p>
      <w:pPr>
        <w:ind w:firstLine="422"/>
        <w:spacing w:line="480" w:lineRule="exact"/>
        <w:rPr>
          <w:rFonts w:hint="eastAsia"/>
          <w:b/>
          <w:bCs/>
          <w:color w:val="auto"/>
          <w:highlight w:val="none"/>
        </w:rPr>
      </w:pPr>
      <w:r>
        <w:rPr>
          <w:rFonts w:hint="eastAsia"/>
          <w:b/>
          <w:bCs/>
          <w:color w:val="auto"/>
          <w:highlight w:val="none"/>
        </w:rPr>
        <w:t xml:space="preserve">10.3.1本项目采用单价合同，乙方已充分考虑自身实际情况进行报价，如有少报或者漏报，则视同乙方让利，签订合同时不因任何理由予以调整或补贴。除合同另有规定外，服务价格不因服务过程中政策、标准及市场因素变化等原因而调整。</w:t>
      </w:r>
      <w:r>
        <w:rPr>
          <w:rFonts w:hint="eastAsia"/>
          <w:b/>
          <w:bCs/>
          <w:color w:val="auto"/>
          <w:highlight w:val="none"/>
          <w:lang w:val="en-US" w:eastAsia="zh-CN"/>
        </w:rPr>
        <w:t xml:space="preserve">合同签订后乙方向甲方开具发票，甲方自收到发票之日起10日内支付年度预算的30%作为预付款。</w:t>
      </w:r>
      <w:r>
        <w:rPr>
          <w:rFonts w:hint="eastAsia"/>
          <w:b/>
          <w:bCs/>
          <w:color w:val="auto"/>
          <w:highlight w:val="none"/>
        </w:rPr>
        <w:t xml:space="preserve">服务费按季度结算，每季度甲方根据实际服务老人人数结合考核情况按实结算。(每季度进行付款时从预付款中抵扣，扣完为止)(出具正式发票)</w:t>
      </w:r>
      <w:r/>
    </w:p>
    <w:p>
      <w:pPr>
        <w:ind w:firstLine="422"/>
        <w:spacing w:line="480" w:lineRule="exact"/>
        <w:rPr>
          <w:b/>
          <w:bCs/>
          <w:color w:val="auto"/>
          <w:highlight w:val="none"/>
        </w:rPr>
      </w:pPr>
      <w:r>
        <w:rPr>
          <w:rFonts w:hint="eastAsia"/>
          <w:b/>
          <w:bCs/>
          <w:color w:val="auto"/>
          <w:highlight w:val="none"/>
        </w:rPr>
        <w:t xml:space="preserve">十一、税费</w:t>
      </w:r>
      <w:r/>
    </w:p>
    <w:p>
      <w:pPr>
        <w:ind w:firstLine="420"/>
        <w:spacing w:line="480" w:lineRule="exact"/>
        <w:rPr>
          <w:color w:val="auto"/>
          <w:highlight w:val="none"/>
        </w:rPr>
      </w:pPr>
      <w:r>
        <w:rPr>
          <w:rFonts w:hint="eastAsia"/>
          <w:color w:val="auto"/>
          <w:highlight w:val="none"/>
        </w:rPr>
        <w:t xml:space="preserve">11.1本合同执行中相关的一切税费均由乙方负担。</w:t>
      </w:r>
      <w:r/>
    </w:p>
    <w:p>
      <w:pPr>
        <w:ind w:firstLine="422"/>
        <w:spacing w:line="480" w:lineRule="exact"/>
        <w:rPr>
          <w:color w:val="auto"/>
          <w:highlight w:val="none"/>
        </w:rPr>
      </w:pPr>
      <w:r>
        <w:rPr>
          <w:rFonts w:hint="eastAsia"/>
          <w:b/>
          <w:bCs/>
          <w:color w:val="auto"/>
          <w:highlight w:val="none"/>
        </w:rPr>
        <w:t xml:space="preserve">十二、质量保证及售后服务</w:t>
      </w:r>
      <w:r/>
    </w:p>
    <w:p>
      <w:pPr>
        <w:ind w:firstLine="420"/>
        <w:spacing w:line="480" w:lineRule="exact"/>
        <w:rPr>
          <w:color w:val="auto"/>
          <w:highlight w:val="none"/>
        </w:rPr>
      </w:pPr>
      <w:r>
        <w:rPr>
          <w:rFonts w:hint="eastAsia"/>
          <w:color w:val="auto"/>
          <w:highlight w:val="none"/>
        </w:rPr>
        <w:t xml:space="preserve">12.1 乙方应按招标文件规定及响应文件承诺的技术性能、技术要求、质量标准向甲方提供服务；若无特殊说明，则按国家有关部门最新颁布的标准及规范为准。</w:t>
      </w:r>
      <w:r/>
    </w:p>
    <w:p>
      <w:pPr>
        <w:ind w:firstLine="420"/>
        <w:spacing w:line="480" w:lineRule="exact"/>
        <w:rPr>
          <w:color w:val="auto"/>
          <w:highlight w:val="none"/>
        </w:rPr>
      </w:pPr>
      <w:r>
        <w:rPr>
          <w:rFonts w:hint="eastAsia"/>
          <w:color w:val="auto"/>
          <w:highlight w:val="none"/>
        </w:rPr>
        <w:t xml:space="preserve">12.2乙方应保证其提供的服务是全面和规范的，并完全符合招投标文件。如因乙方提供的服务有瑕疵造成甲方损失的，所需费用由乙方承担。</w:t>
      </w:r>
      <w:r/>
    </w:p>
    <w:p>
      <w:pPr>
        <w:ind w:firstLine="420"/>
        <w:spacing w:line="480" w:lineRule="exact"/>
        <w:rPr>
          <w:color w:val="auto"/>
          <w:highlight w:val="none"/>
        </w:rPr>
      </w:pPr>
      <w:r>
        <w:rPr>
          <w:rFonts w:hint="eastAsia"/>
          <w:color w:val="auto"/>
          <w:highlight w:val="none"/>
        </w:rPr>
        <w:t xml:space="preserve">12.3 如在使用过程中发生质量问题，乙方在接到甲方通知后在___小时内到达甲方现场。</w:t>
      </w:r>
      <w:r/>
    </w:p>
    <w:p>
      <w:pPr>
        <w:ind w:firstLine="422"/>
        <w:spacing w:line="480" w:lineRule="exact"/>
        <w:rPr>
          <w:b/>
          <w:bCs/>
          <w:color w:val="auto"/>
          <w:highlight w:val="none"/>
        </w:rPr>
      </w:pPr>
      <w:r>
        <w:rPr>
          <w:rFonts w:hint="eastAsia"/>
          <w:b/>
          <w:bCs/>
          <w:color w:val="auto"/>
          <w:highlight w:val="none"/>
        </w:rPr>
        <w:t xml:space="preserve">十三、交付和验收</w:t>
      </w:r>
      <w:r/>
    </w:p>
    <w:p>
      <w:pPr>
        <w:ind w:firstLine="420"/>
        <w:spacing w:line="480" w:lineRule="exact"/>
        <w:rPr>
          <w:color w:val="auto"/>
          <w:highlight w:val="none"/>
        </w:rPr>
      </w:pPr>
      <w:r>
        <w:rPr>
          <w:rFonts w:hint="eastAsia"/>
          <w:color w:val="auto"/>
          <w:highlight w:val="none"/>
        </w:rPr>
        <w:t xml:space="preserve">13.1 乙方应当在合同签订后天内完成服务事项，招标文件有约定的，从其约定。</w:t>
      </w:r>
      <w:r/>
    </w:p>
    <w:p>
      <w:pPr>
        <w:spacing w:line="480" w:lineRule="exact"/>
        <w:rPr>
          <w:color w:val="auto"/>
          <w:highlight w:val="none"/>
        </w:rPr>
      </w:pPr>
      <w:r>
        <w:rPr>
          <w:rFonts w:hint="eastAsia"/>
          <w:color w:val="auto"/>
          <w:highlight w:val="none"/>
        </w:rPr>
        <w:t xml:space="preserve">在交付前，乙方应作出全面检查和对验收文件进行整理，并列出清单，作为甲方初验收和使用的技术条件依据，检验的结果交甲方。</w:t>
      </w:r>
      <w:r/>
    </w:p>
    <w:p>
      <w:pPr>
        <w:ind w:firstLine="420"/>
        <w:spacing w:line="480" w:lineRule="exact"/>
        <w:rPr>
          <w:color w:val="auto"/>
          <w:highlight w:val="none"/>
        </w:rPr>
      </w:pPr>
      <w:r>
        <w:rPr>
          <w:rFonts w:hint="eastAsia"/>
          <w:color w:val="auto"/>
          <w:highlight w:val="none"/>
        </w:rPr>
        <w:t xml:space="preserve">13.2 验收标准：按乙方投标文件的承诺，并不低于国家相关标准。</w:t>
      </w:r>
      <w:r/>
    </w:p>
    <w:p>
      <w:pPr>
        <w:spacing w:line="480" w:lineRule="exact"/>
        <w:rPr>
          <w:color w:val="auto"/>
          <w:highlight w:val="none"/>
        </w:rPr>
      </w:pPr>
      <w:r>
        <w:rPr>
          <w:rFonts w:hint="eastAsia"/>
          <w:color w:val="auto"/>
          <w:highlight w:val="none"/>
        </w:rPr>
        <w:t xml:space="preserve">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      </w:t>
      </w:r>
      <w:r/>
    </w:p>
    <w:p>
      <w:pPr>
        <w:ind w:firstLine="422"/>
        <w:spacing w:line="480" w:lineRule="exact"/>
        <w:rPr>
          <w:color w:val="auto"/>
          <w:highlight w:val="none"/>
        </w:rPr>
      </w:pPr>
      <w:r>
        <w:rPr>
          <w:rFonts w:hint="eastAsia"/>
          <w:b/>
          <w:bCs/>
          <w:color w:val="auto"/>
          <w:highlight w:val="none"/>
        </w:rPr>
        <w:t xml:space="preserve">十四、违约责任</w:t>
      </w:r>
      <w:r/>
    </w:p>
    <w:p>
      <w:pPr>
        <w:ind w:firstLine="420"/>
        <w:spacing w:line="480" w:lineRule="exact"/>
        <w:rPr>
          <w:color w:val="auto"/>
          <w:highlight w:val="none"/>
        </w:rPr>
      </w:pPr>
      <w:r>
        <w:rPr>
          <w:rFonts w:hint="eastAsia"/>
          <w:color w:val="auto"/>
          <w:highlight w:val="none"/>
        </w:rPr>
        <w:t xml:space="preserve">14.1 甲方无正当理由拒收服务的，甲方向乙方偿付拒收款项总值的百分之五违约金。</w:t>
      </w:r>
      <w:r/>
    </w:p>
    <w:p>
      <w:pPr>
        <w:ind w:firstLine="420"/>
        <w:spacing w:line="480" w:lineRule="exact"/>
        <w:rPr>
          <w:color w:val="auto"/>
          <w:highlight w:val="none"/>
        </w:rPr>
      </w:pPr>
      <w:r>
        <w:rPr>
          <w:rFonts w:hint="eastAsia"/>
          <w:color w:val="auto"/>
          <w:highlight w:val="none"/>
        </w:rPr>
        <w:t xml:space="preserve">14.2 甲方无故逾期验收和办理款项支付手续的,甲方应按逾期付款总额每日万分之五向乙方支付违约金。</w:t>
      </w:r>
      <w:r/>
    </w:p>
    <w:p>
      <w:pPr>
        <w:ind w:firstLine="420"/>
        <w:spacing w:line="480" w:lineRule="exact"/>
        <w:rPr>
          <w:color w:val="auto"/>
          <w:highlight w:val="none"/>
        </w:rPr>
      </w:pPr>
      <w:r>
        <w:rPr>
          <w:rFonts w:hint="eastAsia"/>
          <w:color w:val="auto"/>
          <w:highlight w:val="none"/>
        </w:rPr>
        <w:t xml:space="preserve">14.3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480" w:lineRule="exact"/>
        <w:rPr>
          <w:color w:val="auto"/>
          <w:highlight w:val="none"/>
        </w:rPr>
      </w:pPr>
      <w:r>
        <w:rPr>
          <w:rFonts w:hint="eastAsia"/>
          <w:color w:val="auto"/>
          <w:highlight w:val="none"/>
        </w:rPr>
        <w:t xml:space="preserve">14.4 乙方所交的服务数量、质量不符合合同规定及招标文件规定标准的，甲方有权拒收该服务，乙方愿意更换服务但逾期交付的，按乙方逾期交付处理。乙方拒绝更换服务的，甲方可单方面解除合同。</w:t>
      </w:r>
      <w:r/>
    </w:p>
    <w:p>
      <w:pPr>
        <w:ind w:firstLine="422"/>
        <w:spacing w:line="480" w:lineRule="exact"/>
        <w:rPr>
          <w:b/>
          <w:bCs/>
          <w:color w:val="auto"/>
          <w:highlight w:val="none"/>
        </w:rPr>
      </w:pPr>
      <w:r>
        <w:rPr>
          <w:rFonts w:hint="eastAsia"/>
          <w:b/>
          <w:bCs/>
          <w:color w:val="auto"/>
          <w:highlight w:val="none"/>
        </w:rPr>
        <w:t xml:space="preserve">十五、不可抗力事件处理</w:t>
      </w:r>
      <w:r/>
    </w:p>
    <w:p>
      <w:pPr>
        <w:ind w:firstLine="420"/>
        <w:spacing w:line="480" w:lineRule="exact"/>
        <w:rPr>
          <w:color w:val="auto"/>
          <w:highlight w:val="none"/>
        </w:rPr>
      </w:pPr>
      <w:r>
        <w:rPr>
          <w:rFonts w:hint="eastAsia"/>
          <w:color w:val="auto"/>
          <w:highlight w:val="none"/>
        </w:rPr>
        <w:t xml:space="preserve">15.1 在合同有效期内，任何一方因不可抗力事件导致不能履行合同，则合同履行期可延长，其延长期与不可抗力影响期相同。</w:t>
      </w:r>
      <w:r/>
    </w:p>
    <w:p>
      <w:pPr>
        <w:ind w:firstLine="420"/>
        <w:spacing w:line="480" w:lineRule="exact"/>
        <w:rPr>
          <w:color w:val="auto"/>
          <w:highlight w:val="none"/>
        </w:rPr>
      </w:pPr>
      <w:r>
        <w:rPr>
          <w:rFonts w:hint="eastAsia"/>
          <w:color w:val="auto"/>
          <w:highlight w:val="none"/>
        </w:rPr>
        <w:t xml:space="preserve">15.2 不可抗力事件发生后，应立即通知对方，并寄送有关权威机构出具的证明。</w:t>
      </w:r>
      <w:r/>
    </w:p>
    <w:p>
      <w:pPr>
        <w:ind w:firstLine="420"/>
        <w:spacing w:line="480" w:lineRule="exact"/>
        <w:rPr>
          <w:color w:val="auto"/>
          <w:highlight w:val="none"/>
        </w:rPr>
      </w:pPr>
      <w:r>
        <w:rPr>
          <w:rFonts w:hint="eastAsia"/>
          <w:color w:val="auto"/>
          <w:highlight w:val="none"/>
        </w:rPr>
        <w:t xml:space="preserve">15.3 不可抗力事件延续120天以上，双方应通过友好协商，确定是否继续履行合同。</w:t>
      </w:r>
      <w:r/>
    </w:p>
    <w:p>
      <w:pPr>
        <w:ind w:firstLine="422"/>
        <w:spacing w:line="480" w:lineRule="exact"/>
        <w:rPr>
          <w:b/>
          <w:bCs/>
          <w:color w:val="auto"/>
          <w:highlight w:val="none"/>
        </w:rPr>
      </w:pPr>
      <w:r>
        <w:rPr>
          <w:rFonts w:hint="eastAsia"/>
          <w:b/>
          <w:bCs/>
          <w:color w:val="auto"/>
          <w:highlight w:val="none"/>
        </w:rPr>
        <w:t xml:space="preserve">十六、诉讼</w:t>
      </w:r>
      <w:r/>
    </w:p>
    <w:p>
      <w:pPr>
        <w:ind w:firstLine="420"/>
        <w:spacing w:line="480" w:lineRule="exact"/>
        <w:rPr>
          <w:color w:val="auto"/>
          <w:highlight w:val="none"/>
        </w:rPr>
      </w:pPr>
      <w:r>
        <w:rPr>
          <w:rFonts w:hint="eastAsia"/>
          <w:color w:val="auto"/>
          <w:highlight w:val="none"/>
        </w:rPr>
        <w:t xml:space="preserve"> 双方在执行合同中所发生的一切争议，应通过协商解决。如协商不成，可向合同签订地法院起诉，合同签订地在此约定为扬州市。</w:t>
      </w:r>
      <w:r/>
    </w:p>
    <w:p>
      <w:pPr>
        <w:ind w:firstLine="422"/>
        <w:spacing w:line="360" w:lineRule="auto"/>
        <w:tabs>
          <w:tab w:val="left" w:pos="266" w:leader="none"/>
        </w:tabs>
        <w:rPr>
          <w:color w:val="auto"/>
          <w:highlight w:val="none"/>
        </w:rPr>
      </w:pPr>
      <w:r>
        <w:rPr>
          <w:rFonts w:hint="eastAsia"/>
          <w:b/>
          <w:bCs/>
          <w:color w:val="auto"/>
          <w:highlight w:val="none"/>
        </w:rPr>
        <w:t xml:space="preserve">十八、</w:t>
      </w:r>
      <w:r>
        <w:rPr>
          <w:rFonts w:hint="eastAsia" w:ascii="宋体" w:hAnsi="宋体" w:cs="宋体"/>
          <w:b/>
          <w:bCs/>
          <w:color w:val="auto"/>
          <w:highlight w:val="none"/>
        </w:rPr>
        <w:t xml:space="preserve">中标/成交供应商可凭政府采购合同办理融资贷款，详见江苏政府采购网“政采贷”专栏。</w:t>
      </w:r>
      <w:r/>
    </w:p>
    <w:p>
      <w:pPr>
        <w:ind w:firstLine="422"/>
        <w:spacing w:line="480" w:lineRule="exact"/>
        <w:rPr>
          <w:color w:val="auto"/>
          <w:highlight w:val="none"/>
        </w:rPr>
      </w:pPr>
      <w:r>
        <w:rPr>
          <w:rFonts w:hint="eastAsia"/>
          <w:b/>
          <w:bCs/>
          <w:color w:val="auto"/>
          <w:highlight w:val="none"/>
        </w:rPr>
        <w:t xml:space="preserve">十九、合同生效及其它</w:t>
      </w:r>
      <w:r/>
    </w:p>
    <w:p>
      <w:pPr>
        <w:ind w:firstLine="420"/>
        <w:spacing w:line="480" w:lineRule="exact"/>
        <w:rPr>
          <w:color w:val="auto"/>
          <w:highlight w:val="none"/>
        </w:rPr>
      </w:pPr>
      <w:r>
        <w:rPr>
          <w:rFonts w:hint="eastAsia"/>
          <w:color w:val="auto"/>
          <w:highlight w:val="none"/>
        </w:rPr>
        <w:t xml:space="preserve">19.1 合同经双方法定代表人签章并加盖单位公章，并经扬州嘉泰工程项目管理有限公司见证盖章后生效。</w:t>
      </w:r>
      <w:r/>
    </w:p>
    <w:p>
      <w:pPr>
        <w:ind w:firstLine="420"/>
        <w:spacing w:line="480" w:lineRule="exact"/>
        <w:rPr>
          <w:color w:val="auto"/>
          <w:highlight w:val="none"/>
        </w:rPr>
      </w:pPr>
      <w:r>
        <w:rPr>
          <w:rFonts w:hint="eastAsia"/>
          <w:color w:val="auto"/>
          <w:highlight w:val="none"/>
        </w:rPr>
        <w:t xml:space="preserve">19.2本合同未尽事宜，遵照《民法典》有关条文执行。</w:t>
      </w:r>
      <w:r/>
    </w:p>
    <w:p>
      <w:pPr>
        <w:ind w:firstLine="420"/>
        <w:spacing w:line="480" w:lineRule="exact"/>
        <w:rPr>
          <w:color w:val="auto"/>
          <w:highlight w:val="none"/>
        </w:rPr>
      </w:pPr>
      <w:r>
        <w:rPr>
          <w:rFonts w:hint="eastAsia"/>
          <w:color w:val="auto"/>
          <w:highlight w:val="none"/>
        </w:rPr>
        <w:t xml:space="preserve">19.3 本合同正本一式六份，具有同等法律效力，甲方、乙方各执两份，见证方及财政监管部门各执一份。  </w:t>
      </w:r>
      <w:r/>
    </w:p>
    <w:tbl>
      <w:tblPr>
        <w:tblStyle w:val="747"/>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4278"/>
        <w:gridCol w:w="3816"/>
      </w:tblGrid>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甲方： 扬州市邗江区公道镇人民政府</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rFonts w:hint="eastAsia"/>
                <w:color w:val="auto"/>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地址： </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rFonts w:hint="eastAsia"/>
                <w:color w:val="auto"/>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rFonts w:hint="eastAsia"/>
                <w:color w:val="auto"/>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联系电话：</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rFonts w:hint="eastAsia"/>
                <w:color w:val="auto"/>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rFonts w:hint="eastAsia"/>
                <w:color w:val="auto"/>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见证方：</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color w:val="auto"/>
                <w:highlight w:val="none"/>
              </w:rPr>
            </w:r>
            <w:r/>
          </w:p>
        </w:tc>
      </w:tr>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color w:val="auto"/>
                <w:highlight w:val="none"/>
              </w:rPr>
            </w:r>
            <w:r/>
          </w:p>
        </w:tc>
      </w:tr>
      <w:tr>
        <w:trPr/>
        <w:tc>
          <w:tcPr>
            <w:tcBorders>
              <w:top w:val="none" w:color="000000" w:sz="4" w:space="0"/>
              <w:left w:val="none" w:color="000000" w:sz="4" w:space="0"/>
              <w:bottom w:val="none" w:color="000000" w:sz="4" w:space="0"/>
              <w:right w:val="none" w:color="000000" w:sz="4" w:space="0"/>
            </w:tcBorders>
            <w:tcW w:w="4278" w:type="dxa"/>
            <w:textDirection w:val="lrTb"/>
            <w:noWrap/>
          </w:tcPr>
          <w:p>
            <w:pPr>
              <w:spacing w:line="480" w:lineRule="exact"/>
              <w:rPr>
                <w:color w:val="auto"/>
                <w:highlight w:val="none"/>
              </w:rPr>
            </w:pPr>
            <w:r>
              <w:rPr>
                <w:rFonts w:hint="eastAsia"/>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3816" w:type="dxa"/>
            <w:textDirection w:val="lrTb"/>
            <w:noWrap/>
          </w:tcPr>
          <w:p>
            <w:pPr>
              <w:spacing w:line="480" w:lineRule="exact"/>
              <w:rPr>
                <w:color w:val="auto"/>
                <w:highlight w:val="none"/>
              </w:rPr>
            </w:pPr>
            <w:r>
              <w:rPr>
                <w:color w:val="auto"/>
                <w:highlight w:val="none"/>
              </w:rPr>
            </w:r>
            <w:r/>
          </w:p>
        </w:tc>
      </w:tr>
    </w:tbl>
    <w:p>
      <w:pPr>
        <w:pStyle w:val="947"/>
        <w:spacing w:before="120" w:after="120" w:line="360" w:lineRule="auto"/>
        <w:rPr>
          <w:rFonts w:hAnsi="宋体"/>
          <w:color w:val="auto"/>
          <w:sz w:val="21"/>
          <w:highlight w:val="none"/>
        </w:rPr>
      </w:pPr>
      <w:r>
        <w:rPr>
          <w:rFonts w:hAnsi="宋体"/>
          <w:color w:val="auto"/>
          <w:sz w:val="21"/>
          <w:highlight w:val="none"/>
        </w:rPr>
      </w:r>
      <w:bookmarkEnd w:id="24"/>
      <w:r/>
      <w:r/>
    </w:p>
    <w:p>
      <w:pPr>
        <w:pStyle w:val="947"/>
        <w:spacing w:before="120" w:after="120" w:line="360" w:lineRule="auto"/>
        <w:rPr>
          <w:rFonts w:hAnsi="宋体"/>
          <w:color w:val="auto"/>
          <w:sz w:val="21"/>
          <w:highlight w:val="none"/>
        </w:rPr>
      </w:pPr>
      <w:r>
        <w:rPr>
          <w:rFonts w:hAnsi="宋体"/>
          <w:color w:val="auto"/>
          <w:sz w:val="21"/>
          <w:highlight w:val="none"/>
        </w:rPr>
      </w:r>
      <w:r/>
    </w:p>
    <w:p>
      <w:pPr>
        <w:rPr>
          <w:color w:val="auto"/>
          <w:highlight w:val="none"/>
        </w:rPr>
      </w:pPr>
      <w:r>
        <w:rPr>
          <w:color w:val="auto"/>
          <w:highlight w:val="none"/>
        </w:rPr>
      </w:r>
      <w:r/>
    </w:p>
    <w:p>
      <w:pPr>
        <w:pStyle w:val="942"/>
        <w:ind w:firstLine="0"/>
        <w:rPr>
          <w:color w:val="auto"/>
          <w:highlight w:val="none"/>
        </w:rPr>
      </w:pPr>
      <w:r>
        <w:rPr>
          <w:color w:val="auto"/>
          <w:highlight w:val="none"/>
        </w:rPr>
      </w:r>
      <w:r/>
    </w:p>
    <w:p>
      <w:pPr>
        <w:rPr>
          <w:color w:val="auto"/>
          <w:highlight w:val="none"/>
        </w:rPr>
      </w:pPr>
      <w:r>
        <w:rPr>
          <w:color w:val="auto"/>
          <w:highlight w:val="none"/>
        </w:rPr>
      </w:r>
      <w:r/>
    </w:p>
    <w:p>
      <w:pPr>
        <w:pStyle w:val="748"/>
        <w:rPr>
          <w:color w:val="auto"/>
          <w:highlight w:val="none"/>
        </w:rPr>
      </w:pPr>
      <w:r>
        <w:rPr>
          <w:color w:val="auto"/>
          <w:highlight w:val="none"/>
        </w:rPr>
      </w:r>
      <w:r/>
    </w:p>
    <w:p>
      <w:pPr>
        <w:pStyle w:val="933"/>
        <w:numPr>
          <w:ilvl w:val="0"/>
          <w:numId w:val="4"/>
        </w:numPr>
        <w:ind w:firstLine="420"/>
        <w:jc w:val="center"/>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项目需求</w:t>
      </w:r>
      <w:r/>
    </w:p>
    <w:p>
      <w:pPr>
        <w:pStyle w:val="970"/>
        <w:ind w:firstLine="0"/>
        <w:jc w:val="left"/>
        <w:spacing w:line="480" w:lineRule="auto"/>
        <w:rPr>
          <w:rFonts w:cs="Times New Roman"/>
          <w:b/>
          <w:bCs/>
          <w:color w:val="auto"/>
          <w:sz w:val="21"/>
          <w:szCs w:val="22"/>
          <w:highlight w:val="none"/>
        </w:rPr>
      </w:pPr>
      <w:r>
        <w:rPr>
          <w:rFonts w:hint="eastAsia" w:cs="Times New Roman"/>
          <w:b/>
          <w:bCs/>
          <w:color w:val="auto"/>
          <w:sz w:val="21"/>
          <w:szCs w:val="22"/>
          <w:highlight w:val="none"/>
        </w:rPr>
        <w:t xml:space="preserve">一、招标项目概况</w:t>
      </w:r>
      <w:r/>
    </w:p>
    <w:p>
      <w:pPr>
        <w:ind w:firstLine="420"/>
        <w:spacing w:line="48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JSZC-321003-JTGC-C2026-0008</w:t>
      </w:r>
      <w:r>
        <w:rPr>
          <w:rFonts w:hint="eastAsia" w:ascii="宋体" w:hAnsi="宋体" w:cs="宋体"/>
          <w:color w:val="auto"/>
          <w:highlight w:val="none"/>
        </w:rPr>
        <w:t xml:space="preserve">号</w:t>
      </w:r>
      <w:r/>
    </w:p>
    <w:p>
      <w:pPr>
        <w:ind w:firstLine="420"/>
        <w:spacing w:line="480" w:lineRule="auto"/>
        <w:rPr>
          <w:rFonts w:ascii="宋体" w:hAnsi="宋体" w:cs="宋体"/>
          <w:color w:val="auto"/>
          <w:highlight w:val="none"/>
        </w:rPr>
      </w:pPr>
      <w:r>
        <w:rPr>
          <w:rFonts w:hint="eastAsia" w:ascii="宋体" w:hAnsi="宋体" w:cs="宋体"/>
          <w:color w:val="auto"/>
          <w:highlight w:val="none"/>
        </w:rPr>
        <w:t xml:space="preserve">2.项目名称：2026-2027年扬州市邗江区公道镇政府购买居家养老服务项目</w:t>
      </w:r>
      <w:r/>
    </w:p>
    <w:p>
      <w:pPr>
        <w:ind w:firstLine="420"/>
        <w:spacing w:line="480" w:lineRule="auto"/>
        <w:rPr>
          <w:rFonts w:ascii="宋体" w:hAnsi="宋体" w:cs="宋体"/>
          <w:color w:val="auto"/>
          <w:szCs w:val="21"/>
          <w:highlight w:val="none"/>
        </w:rPr>
      </w:pPr>
      <w:r>
        <w:rPr>
          <w:rFonts w:hint="eastAsia" w:ascii="宋体" w:hAnsi="宋体" w:cs="宋体"/>
          <w:color w:val="auto"/>
          <w:highlight w:val="none"/>
        </w:rPr>
        <w:t xml:space="preserve">3.预算金额：180万元</w:t>
      </w:r>
      <w:r>
        <w:rPr>
          <w:rFonts w:hint="eastAsia" w:ascii="宋体" w:hAnsi="宋体" w:cs="宋体"/>
          <w:bCs/>
          <w:color w:val="auto"/>
          <w:szCs w:val="21"/>
          <w:highlight w:val="none"/>
        </w:rPr>
        <w:t xml:space="preserve">（本项目分两个包，采购包1预算85万元，采购包2预算95万元）</w:t>
      </w:r>
      <w:r/>
    </w:p>
    <w:p>
      <w:pPr>
        <w:ind w:firstLine="420"/>
        <w:spacing w:line="480" w:lineRule="auto"/>
        <w:rPr>
          <w:rFonts w:ascii="宋体" w:hAnsi="宋体" w:cs="宋体"/>
          <w:color w:val="auto"/>
          <w:spacing w:val="-7"/>
          <w:szCs w:val="21"/>
          <w:highlight w:val="none"/>
        </w:rPr>
      </w:pPr>
      <w:r>
        <w:rPr>
          <w:rFonts w:hint="eastAsia" w:ascii="宋体" w:hAnsi="宋体" w:cs="宋体"/>
          <w:color w:val="auto"/>
          <w:highlight w:val="none"/>
        </w:rPr>
        <w:t xml:space="preserve">4.本项目设置最高限价：包1为埝桥村、湖滨村、魁星村、河东村、河西村、欧阳村居家养老服务，最高限价为人民币29元/小时，包2为柏树村、赤岸村、花园村、太平村、桑园村、谷营村、赤居村、三界村居家养老服务，最高限价为人民币29元/小时。（以上</w:t>
      </w:r>
      <w:r>
        <w:rPr>
          <w:rFonts w:hint="eastAsia" w:ascii="宋体" w:hAnsi="宋体" w:cs="宋体"/>
          <w:color w:val="auto"/>
          <w:spacing w:val="-7"/>
          <w:szCs w:val="21"/>
          <w:highlight w:val="none"/>
        </w:rPr>
        <w:t xml:space="preserve">报价含服务费、管理费、服务人员交通费及通讯费等所有费用），报价超过最高限价的为无效报价，按照无效响应处理。</w:t>
      </w:r>
      <w:r/>
    </w:p>
    <w:p>
      <w:pPr>
        <w:ind w:firstLine="392"/>
        <w:spacing w:line="480" w:lineRule="auto"/>
        <w:rPr>
          <w:color w:val="auto"/>
          <w:highlight w:val="none"/>
        </w:rPr>
      </w:pPr>
      <w:r>
        <w:rPr>
          <w:rFonts w:hint="eastAsia" w:ascii="宋体" w:hAnsi="宋体" w:cs="宋体"/>
          <w:color w:val="auto"/>
          <w:spacing w:val="-7"/>
          <w:szCs w:val="21"/>
          <w:highlight w:val="none"/>
        </w:rPr>
        <w:t xml:space="preserve">本项目共有两个包，投标人可以兼投，也可以只选择其中一个包，不可兼中，开标顺序为：包1--包2。</w:t>
      </w:r>
      <w:r/>
    </w:p>
    <w:p>
      <w:pPr>
        <w:ind w:firstLine="420"/>
        <w:spacing w:line="480" w:lineRule="auto"/>
        <w:rPr>
          <w:rFonts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olor w:val="auto"/>
          <w:szCs w:val="21"/>
          <w:highlight w:val="none"/>
        </w:rPr>
        <w:t xml:space="preserve">为政府购买养老服务对象提供助餐、助洁、助浴、</w:t>
      </w:r>
      <w:r>
        <w:rPr>
          <w:rFonts w:hint="eastAsia"/>
          <w:color w:val="auto"/>
          <w:highlight w:val="none"/>
        </w:rPr>
        <w:t xml:space="preserve">家政服务、</w:t>
      </w:r>
      <w:r>
        <w:rPr>
          <w:rFonts w:hint="eastAsia" w:ascii="宋体" w:hAnsi="宋体"/>
          <w:color w:val="auto"/>
          <w:szCs w:val="21"/>
          <w:highlight w:val="none"/>
        </w:rPr>
        <w:t xml:space="preserve">生活照料、精神关爱、康复护理等</w:t>
      </w:r>
      <w:r/>
    </w:p>
    <w:p>
      <w:pPr>
        <w:ind w:firstLine="420"/>
        <w:jc w:val="left"/>
        <w:spacing w:line="480" w:lineRule="auto"/>
        <w:rPr>
          <w:rFonts w:ascii="宋体" w:hAnsi="宋体"/>
          <w:color w:val="auto"/>
          <w:szCs w:val="21"/>
          <w:highlight w:val="none"/>
        </w:rPr>
      </w:pPr>
      <w:r>
        <w:rPr>
          <w:rFonts w:hint="eastAsia" w:ascii="宋体" w:hAnsi="宋体" w:cs="宋体"/>
          <w:color w:val="auto"/>
          <w:highlight w:val="none"/>
        </w:rPr>
        <w:t xml:space="preserve">6.合同履行期限：1年,</w:t>
      </w:r>
      <w:r>
        <w:rPr>
          <w:rFonts w:hint="eastAsia" w:hAnsi="宋体"/>
          <w:bCs/>
          <w:color w:val="auto"/>
          <w:highlight w:val="none"/>
        </w:rPr>
        <w:t xml:space="preserve">如政府有新政策或新文件需终止项目的，服务方需服务到当月月底后终止合同。</w:t>
      </w:r>
      <w:r/>
    </w:p>
    <w:p>
      <w:pPr>
        <w:ind w:firstLine="420"/>
        <w:spacing w:line="48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pStyle w:val="970"/>
        <w:ind w:firstLine="422"/>
        <w:jc w:val="left"/>
        <w:spacing w:line="480" w:lineRule="auto"/>
        <w:rPr>
          <w:rFonts w:cs="Times New Roman"/>
          <w:color w:val="auto"/>
          <w:sz w:val="21"/>
          <w:szCs w:val="22"/>
          <w:highlight w:val="none"/>
        </w:rPr>
      </w:pPr>
      <w:r>
        <w:rPr>
          <w:rFonts w:hint="eastAsia" w:cs="Times New Roman"/>
          <w:color w:val="auto"/>
          <w:sz w:val="21"/>
          <w:szCs w:val="22"/>
          <w:highlight w:val="none"/>
        </w:rPr>
        <w:t xml:space="preserve">注：分散特困老人需按照民政——社会救助条线相关工作要求进行服务，以救助条线资金进行结算。</w:t>
      </w:r>
      <w:r/>
    </w:p>
    <w:p>
      <w:pPr>
        <w:ind w:firstLine="422"/>
        <w:spacing w:line="480" w:lineRule="auto"/>
        <w:rPr>
          <w:color w:val="auto"/>
          <w:highlight w:val="none"/>
        </w:rPr>
      </w:pPr>
      <w:r>
        <w:rPr>
          <w:rFonts w:hint="eastAsia"/>
          <w:b/>
          <w:bCs/>
          <w:color w:val="auto"/>
          <w:highlight w:val="none"/>
        </w:rPr>
        <w:t xml:space="preserve">包1、包2项目需求</w:t>
      </w:r>
      <w:r/>
    </w:p>
    <w:p>
      <w:pPr>
        <w:ind w:firstLine="422"/>
        <w:spacing w:line="480" w:lineRule="auto"/>
        <w:rPr>
          <w:b/>
          <w:bCs/>
          <w:color w:val="auto"/>
          <w:highlight w:val="none"/>
        </w:rPr>
      </w:pPr>
      <w:r>
        <w:rPr>
          <w:rFonts w:hint="eastAsia"/>
          <w:b/>
          <w:bCs/>
          <w:color w:val="auto"/>
          <w:highlight w:val="none"/>
        </w:rPr>
        <w:t xml:space="preserve">二、政府购买服务对象和标准</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困难老年人养老服务补贴。对户籍在邗江且长期（原则上指半年以上）居住在户籍地的 60 周岁以上散居特困老人、 低保家庭老人、计划生育特殊家庭老人、退役军人中的重点优抚对象、特殊贡献老人、孤寡老人、空巢独居老人以及其他困难老人，通过老年人能力评估，根据自理（能力完好）、半失能（轻度失能和中度失能）、失能（重度失能）类别，按照每人每月80元(60 周岁以上能力完好散居特困老人125元)、150 元、260 元标准上门服务。</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高龄老年人养老服务补贴。对户籍在邗江且长期（原则上指半年以上）居住在户籍地的80 周岁以上高龄老年人，在对高龄老人进行能力评估后，按照每人每月不低于 60 元的标准给予补贴。 </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上述两种类型的养老服务补贴不得重复享受。</w:t>
      </w:r>
      <w:r/>
    </w:p>
    <w:p>
      <w:pPr>
        <w:pStyle w:val="756"/>
        <w:ind w:left="0"/>
        <w:spacing w:line="480" w:lineRule="auto"/>
        <w:rPr>
          <w:color w:val="auto"/>
          <w:highlight w:val="none"/>
        </w:rPr>
      </w:pPr>
      <w:r>
        <w:rPr>
          <w:rFonts w:hint="eastAsia" w:ascii="宋体" w:hAnsi="宋体" w:cs="宋体"/>
          <w:color w:val="auto"/>
          <w:szCs w:val="21"/>
          <w:highlight w:val="none"/>
        </w:rPr>
        <w:t xml:space="preserve">其他：散居失能半失能特困人员目前服务对象4人(湖滨1人、欧阳2人、柏树1人），根据服务对象居住地划分给中标单位，合同单独签订。年预算服务费3.2万元，资金来源为区民政局拨款。</w:t>
      </w:r>
      <w:r/>
    </w:p>
    <w:p>
      <w:pPr>
        <w:numPr>
          <w:ilvl w:val="0"/>
          <w:numId w:val="5"/>
        </w:numPr>
        <w:ind w:firstLine="422"/>
        <w:spacing w:line="480" w:lineRule="auto"/>
        <w:rPr>
          <w:b/>
          <w:bCs/>
          <w:color w:val="auto"/>
          <w:highlight w:val="none"/>
        </w:rPr>
      </w:pPr>
      <w:r>
        <w:rPr>
          <w:rFonts w:hint="eastAsia"/>
          <w:b/>
          <w:bCs/>
          <w:color w:val="auto"/>
          <w:highlight w:val="none"/>
        </w:rPr>
        <w:t xml:space="preserve">项目预算</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每位服务对象每月政府购买服务补贴标准为</w:t>
      </w:r>
      <w:r>
        <w:rPr>
          <w:rFonts w:ascii="宋体" w:hAnsi="宋体" w:cs="宋体"/>
          <w:color w:val="auto"/>
          <w:szCs w:val="21"/>
          <w:highlight w:val="none"/>
        </w:rPr>
        <w:t xml:space="preserve">60、</w:t>
      </w:r>
      <w:r>
        <w:rPr>
          <w:rFonts w:hint="eastAsia" w:ascii="宋体" w:hAnsi="宋体" w:cs="宋体"/>
          <w:color w:val="auto"/>
          <w:szCs w:val="21"/>
          <w:highlight w:val="none"/>
        </w:rPr>
        <w:t xml:space="preserve">80、125、150、260元。其补助标准可能会根据市、区相关部门相关政策的要求做出相应的调整。</w:t>
      </w:r>
      <w:r>
        <w:rPr>
          <w:color w:val="auto"/>
          <w:highlight w:val="none"/>
        </w:rPr>
        <w:t xml:space="preserve">公道镇采购服务</w:t>
      </w:r>
      <w:r>
        <w:rPr>
          <w:rFonts w:hint="eastAsia" w:ascii="宋体" w:hAnsi="宋体" w:cs="宋体"/>
          <w:color w:val="auto"/>
          <w:szCs w:val="21"/>
          <w:highlight w:val="none"/>
        </w:rPr>
        <w:t xml:space="preserve">对象预计1600人（</w:t>
      </w:r>
      <w:r>
        <w:rPr>
          <w:rFonts w:hint="eastAsia"/>
          <w:color w:val="auto"/>
          <w:highlight w:val="none"/>
        </w:rPr>
        <w:t xml:space="preserve">具体人数以实际服务为准，根据政策调整，可适当调整服务人数</w:t>
      </w:r>
      <w:r>
        <w:rPr>
          <w:rFonts w:hint="eastAsia" w:ascii="宋体" w:hAnsi="宋体" w:cs="宋体"/>
          <w:color w:val="auto"/>
          <w:szCs w:val="21"/>
          <w:highlight w:val="none"/>
        </w:rPr>
        <w:t xml:space="preserve">），年预算约为180万元，资金来源为市、区财政补贴。</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2、服务内容：</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服务区域：公道镇辖区范围内</w:t>
      </w:r>
      <w:r/>
    </w:p>
    <w:tbl>
      <w:tblPr>
        <w:tblStyle w:val="747"/>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42"/>
        <w:gridCol w:w="6336"/>
        <w:gridCol w:w="2421"/>
      </w:tblGrid>
      <w:tr>
        <w:trPr>
          <w:jc w:val="center"/>
          <w:trHeight w:val="1303"/>
        </w:trPr>
        <w:tc>
          <w:tcPr>
            <w:tcW w:w="1242" w:type="dxa"/>
            <w:vAlign w:val="center"/>
            <w:textDirection w:val="lrTb"/>
            <w:noWrap w:val="false"/>
          </w:tcPr>
          <w:p>
            <w:pPr>
              <w:pStyle w:val="967"/>
              <w:ind w:firstLine="0"/>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补贴标准(元/人/月)</w:t>
            </w:r>
            <w:r/>
          </w:p>
        </w:tc>
        <w:tc>
          <w:tcPr>
            <w:tcW w:w="6336" w:type="dxa"/>
            <w:vAlign w:val="center"/>
            <w:textDirection w:val="lrTb"/>
            <w:noWrap w:val="false"/>
          </w:tcPr>
          <w:p>
            <w:pPr>
              <w:pStyle w:val="967"/>
              <w:ind w:firstLine="0"/>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基本服务内容</w:t>
            </w:r>
            <w:r/>
          </w:p>
        </w:tc>
        <w:tc>
          <w:tcPr>
            <w:tcW w:w="2421" w:type="dxa"/>
            <w:vAlign w:val="center"/>
            <w:textDirection w:val="lrTb"/>
            <w:noWrap w:val="false"/>
          </w:tcPr>
          <w:p>
            <w:pPr>
              <w:pStyle w:val="967"/>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拓展服务内容</w:t>
            </w:r>
            <w:r/>
          </w:p>
        </w:tc>
      </w:tr>
      <w:tr>
        <w:trPr>
          <w:jc w:val="center"/>
          <w:trHeight w:val="811"/>
        </w:trPr>
        <w:tc>
          <w:tcPr>
            <w:tcW w:w="1242" w:type="dxa"/>
            <w:vAlign w:val="center"/>
            <w:textDirection w:val="lrTb"/>
            <w:noWrap w:val="false"/>
          </w:tcPr>
          <w:p>
            <w:pPr>
              <w:pStyle w:val="967"/>
              <w:ind w:firstLine="0"/>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60元</w:t>
            </w:r>
            <w:r/>
          </w:p>
        </w:tc>
        <w:tc>
          <w:tcPr>
            <w:tcW w:w="6336" w:type="dxa"/>
            <w:vAlign w:val="center"/>
            <w:textDirection w:val="lrTb"/>
            <w:noWrap w:val="false"/>
          </w:tcPr>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助餐、助浴、助医、助洁等居家养老服务。</w:t>
            </w:r>
            <w:r/>
          </w:p>
        </w:tc>
        <w:tc>
          <w:tcPr>
            <w:tcW w:w="2421" w:type="dxa"/>
            <w:vAlign w:val="center"/>
            <w:vMerge w:val="restart"/>
            <w:textDirection w:val="lrTb"/>
            <w:noWrap w:val="false"/>
          </w:tcPr>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老年人及其家庭可根据老年人的实际需求，自主选择个性化、专业化的居家养老服务，政府补贴费用不足时， 应由老年人及其家庭自行承担。</w:t>
            </w:r>
            <w:r/>
          </w:p>
        </w:tc>
      </w:tr>
      <w:tr>
        <w:trPr>
          <w:jc w:val="center"/>
          <w:trHeight w:val="811"/>
        </w:trPr>
        <w:tc>
          <w:tcPr>
            <w:tcW w:w="1242" w:type="dxa"/>
            <w:vAlign w:val="center"/>
            <w:textDirection w:val="lrTb"/>
            <w:noWrap w:val="false"/>
          </w:tcPr>
          <w:p>
            <w:pPr>
              <w:pStyle w:val="967"/>
              <w:ind w:firstLine="0"/>
              <w:jc w:val="center"/>
              <w:spacing w:line="48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80元</w:t>
            </w:r>
            <w:r/>
          </w:p>
        </w:tc>
        <w:tc>
          <w:tcPr>
            <w:tcW w:w="6336" w:type="dxa"/>
            <w:vAlign w:val="center"/>
            <w:textDirection w:val="lrTb"/>
            <w:noWrap w:val="false"/>
          </w:tcPr>
          <w:p>
            <w:pPr>
              <w:pStyle w:val="967"/>
              <w:ind w:firstLine="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助餐、助浴、助医、助洁、助急等居家养老服务。</w:t>
            </w:r>
            <w:r/>
          </w:p>
        </w:tc>
        <w:tc>
          <w:tcPr>
            <w:tcW w:w="2421" w:type="dxa"/>
            <w:vAlign w:val="center"/>
            <w:vMerge w:val="continue"/>
            <w:textDirection w:val="lrTb"/>
            <w:noWrap w:val="false"/>
          </w:tcPr>
          <w:p>
            <w:pPr>
              <w:pStyle w:val="967"/>
              <w:ind w:firstLine="420"/>
              <w:spacing w:line="48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11"/>
        </w:trPr>
        <w:tc>
          <w:tcPr>
            <w:tcW w:w="1242" w:type="dxa"/>
            <w:vAlign w:val="center"/>
            <w:textDirection w:val="lrTb"/>
            <w:noWrap w:val="false"/>
          </w:tcPr>
          <w:p>
            <w:pPr>
              <w:pStyle w:val="967"/>
              <w:ind w:firstLine="0"/>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125元</w:t>
            </w:r>
            <w:r/>
          </w:p>
        </w:tc>
        <w:tc>
          <w:tcPr>
            <w:tcW w:w="6336" w:type="dxa"/>
            <w:vAlign w:val="center"/>
            <w:textDirection w:val="lrTb"/>
            <w:noWrap w:val="false"/>
          </w:tcPr>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助餐、助浴、助医、助洁、助急等居家养老服务。</w:t>
            </w:r>
            <w:r/>
          </w:p>
        </w:tc>
        <w:tc>
          <w:tcPr>
            <w:tcW w:w="2421" w:type="dxa"/>
            <w:vAlign w:val="center"/>
            <w:vMerge w:val="continue"/>
            <w:textDirection w:val="lrTb"/>
            <w:noWrap w:val="false"/>
          </w:tcPr>
          <w:p>
            <w:pPr>
              <w:pStyle w:val="967"/>
              <w:ind w:firstLine="420"/>
              <w:spacing w:line="48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1303"/>
        </w:trPr>
        <w:tc>
          <w:tcPr>
            <w:tcW w:w="1242" w:type="dxa"/>
            <w:vAlign w:val="center"/>
            <w:textDirection w:val="lrTb"/>
            <w:noWrap w:val="false"/>
          </w:tcPr>
          <w:p>
            <w:pPr>
              <w:pStyle w:val="967"/>
              <w:ind w:firstLine="0"/>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150元</w:t>
            </w:r>
            <w:r/>
          </w:p>
        </w:tc>
        <w:tc>
          <w:tcPr>
            <w:tcW w:w="6336" w:type="dxa"/>
            <w:vAlign w:val="center"/>
            <w:textDirection w:val="lrTb"/>
            <w:noWrap w:val="false"/>
          </w:tcPr>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助餐、助浴、助医、助洁、助急、代办服务、上门探视、生活照料、开设家庭养老床位等居家养老服务。</w:t>
            </w:r>
            <w:r/>
          </w:p>
        </w:tc>
        <w:tc>
          <w:tcPr>
            <w:tcW w:w="2421" w:type="dxa"/>
            <w:vAlign w:val="center"/>
            <w:vMerge w:val="continue"/>
            <w:textDirection w:val="lrTb"/>
            <w:noWrap w:val="false"/>
          </w:tcPr>
          <w:p>
            <w:pPr>
              <w:pStyle w:val="967"/>
              <w:ind w:firstLine="420"/>
              <w:spacing w:line="48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1317"/>
        </w:trPr>
        <w:tc>
          <w:tcPr>
            <w:tcW w:w="1242" w:type="dxa"/>
            <w:vAlign w:val="center"/>
            <w:textDirection w:val="lrTb"/>
            <w:noWrap w:val="false"/>
          </w:tcPr>
          <w:p>
            <w:pPr>
              <w:pStyle w:val="967"/>
              <w:ind w:firstLine="0"/>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260元</w:t>
            </w:r>
            <w:r/>
          </w:p>
        </w:tc>
        <w:tc>
          <w:tcPr>
            <w:tcW w:w="6336" w:type="dxa"/>
            <w:vAlign w:val="center"/>
            <w:textDirection w:val="lrTb"/>
            <w:noWrap w:val="false"/>
          </w:tcPr>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助餐、助浴、助医、助洁、助急、代办服务、上门探视、生活照料、康复护理、健康医疗、开设家庭养老床位等居家养老服务。</w:t>
            </w:r>
            <w:r/>
          </w:p>
        </w:tc>
        <w:tc>
          <w:tcPr>
            <w:tcW w:w="2421" w:type="dxa"/>
            <w:vAlign w:val="center"/>
            <w:vMerge w:val="continue"/>
            <w:textDirection w:val="lrTb"/>
            <w:noWrap w:val="false"/>
          </w:tcPr>
          <w:p>
            <w:pPr>
              <w:pStyle w:val="967"/>
              <w:ind w:firstLine="420"/>
              <w:spacing w:line="48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60"/>
        </w:trPr>
        <w:tc>
          <w:tcPr>
            <w:tcW w:w="1242" w:type="dxa"/>
            <w:vAlign w:val="center"/>
            <w:vMerge w:val="restart"/>
            <w:textDirection w:val="lrTb"/>
            <w:noWrap w:val="false"/>
          </w:tcPr>
          <w:p>
            <w:pPr>
              <w:pStyle w:val="967"/>
              <w:ind w:firstLine="0"/>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2"/>
            <w:tcW w:w="8757" w:type="dxa"/>
            <w:vAlign w:val="center"/>
            <w:vMerge w:val="restart"/>
            <w:textDirection w:val="lrTb"/>
            <w:noWrap w:val="false"/>
          </w:tcPr>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1、各地在购买基本服务的同时，要根据老年人实际养老需求，不断充实完善购买基本养老服务内容；</w:t>
            </w:r>
            <w:r/>
          </w:p>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p>
          <w:p>
            <w:pPr>
              <w:pStyle w:val="967"/>
              <w:ind w:firstLine="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3、根据第三方开展养老服务实际，积极鼓励开设</w:t>
            </w:r>
            <w:r>
              <w:rPr>
                <w:rFonts w:ascii="宋体" w:hAnsi="宋体" w:cs="宋体"/>
                <w:color w:val="auto"/>
                <w:szCs w:val="21"/>
                <w:highlight w:val="none"/>
              </w:rPr>
              <w:t xml:space="preserve">家庭</w:t>
            </w:r>
            <w:r>
              <w:rPr>
                <w:rFonts w:hint="eastAsia" w:ascii="宋体" w:hAnsi="宋体" w:cs="宋体"/>
                <w:color w:val="auto"/>
                <w:szCs w:val="21"/>
                <w:highlight w:val="none"/>
              </w:rPr>
              <w:t xml:space="preserve">养老床位建设，对符合养老机构备案条件的，各地民政部门应予以备案并列入养老机构管理。</w:t>
            </w:r>
            <w:r/>
          </w:p>
        </w:tc>
      </w:tr>
    </w:tbl>
    <w:p>
      <w:pPr>
        <w:ind w:firstLine="422"/>
        <w:spacing w:line="480" w:lineRule="auto"/>
        <w:rPr>
          <w:b/>
          <w:bCs/>
          <w:color w:val="auto"/>
          <w:highlight w:val="none"/>
        </w:rPr>
      </w:pPr>
      <w:r>
        <w:rPr>
          <w:rFonts w:hint="eastAsia"/>
          <w:b/>
          <w:bCs/>
          <w:color w:val="auto"/>
          <w:highlight w:val="none"/>
        </w:rPr>
        <w:t xml:space="preserve">四、服务要求</w:t>
      </w:r>
      <w:r/>
    </w:p>
    <w:p>
      <w:pPr>
        <w:ind w:firstLine="420"/>
        <w:spacing w:line="480" w:lineRule="auto"/>
        <w:rPr>
          <w:color w:val="auto"/>
          <w:highlight w:val="none"/>
        </w:rPr>
      </w:pPr>
      <w:r>
        <w:rPr>
          <w:rFonts w:hint="eastAsia"/>
          <w:color w:val="auto"/>
          <w:highlight w:val="none"/>
        </w:rPr>
        <w:t xml:space="preserve">1、服务人员要求：</w:t>
      </w:r>
      <w:r/>
    </w:p>
    <w:p>
      <w:pPr>
        <w:ind w:firstLine="420"/>
        <w:spacing w:line="480" w:lineRule="auto"/>
        <w:rPr>
          <w:color w:val="auto"/>
          <w:highlight w:val="none"/>
        </w:rPr>
      </w:pPr>
      <w:r>
        <w:rPr>
          <w:rFonts w:hint="eastAsia"/>
          <w:color w:val="auto"/>
          <w:highlight w:val="none"/>
        </w:rPr>
        <w:t xml:space="preserve">（1）服务团队需明确一名项目负责人，项目负责人具备一定的管理和服务能力，针对不同服务类别</w:t>
      </w:r>
      <w:r>
        <w:rPr>
          <w:color w:val="auto"/>
          <w:highlight w:val="none"/>
        </w:rPr>
        <w:t xml:space="preserve">为服务人员</w:t>
      </w:r>
      <w:r>
        <w:rPr>
          <w:rFonts w:hint="eastAsia"/>
          <w:color w:val="auto"/>
          <w:highlight w:val="none"/>
        </w:rPr>
        <w:t xml:space="preserve">提供</w:t>
      </w:r>
      <w:r>
        <w:rPr>
          <w:color w:val="auto"/>
          <w:highlight w:val="none"/>
        </w:rPr>
        <w:t xml:space="preserve">专业的指导</w:t>
      </w:r>
      <w:r>
        <w:rPr>
          <w:rFonts w:hint="eastAsia"/>
          <w:color w:val="auto"/>
          <w:highlight w:val="none"/>
        </w:rPr>
        <w:t xml:space="preserve">。项目负责人不得随意更换或挂名履职。成交单位负责组建一支专业的养老护理员队伍。投入本项目的服务人员需签订劳动合同，包含不限于护士、社工、养老护理员等工种。</w:t>
      </w:r>
      <w:r/>
    </w:p>
    <w:p>
      <w:pPr>
        <w:ind w:firstLine="420"/>
        <w:spacing w:line="480" w:lineRule="auto"/>
        <w:rPr>
          <w:color w:val="auto"/>
          <w:highlight w:val="none"/>
        </w:rPr>
      </w:pPr>
      <w:r>
        <w:rPr>
          <w:rFonts w:hint="eastAsia"/>
          <w:color w:val="auto"/>
          <w:highlight w:val="none"/>
        </w:rPr>
        <w:t xml:space="preserve">（2）</w:t>
      </w:r>
      <w:r>
        <w:rPr>
          <w:color w:val="auto"/>
          <w:highlight w:val="none"/>
        </w:rPr>
        <w:t xml:space="preserve">中标单位须要定期组织养老护理员培训，队伍</w:t>
      </w:r>
      <w:r>
        <w:rPr>
          <w:rFonts w:hint="eastAsia"/>
          <w:color w:val="auto"/>
          <w:highlight w:val="none"/>
        </w:rPr>
        <w:t xml:space="preserve">须熟练掌握专业的养老服务知识、方法和技能</w:t>
      </w:r>
      <w:r>
        <w:rPr>
          <w:color w:val="auto"/>
          <w:highlight w:val="none"/>
        </w:rPr>
        <w:t xml:space="preserve">。养老护理员</w:t>
      </w:r>
      <w:r>
        <w:rPr>
          <w:rFonts w:hint="eastAsia"/>
          <w:color w:val="auto"/>
          <w:highlight w:val="none"/>
        </w:rPr>
        <w:t xml:space="preserve">服务后还需填写服务记录表，记录表要体现出服务项目、服务时间、服务效果等内容，同时记录表需双方签字认可</w:t>
      </w:r>
      <w:r>
        <w:rPr>
          <w:color w:val="auto"/>
          <w:highlight w:val="none"/>
        </w:rPr>
        <w:t xml:space="preserve">（不会签字的可以按手印）</w:t>
      </w:r>
      <w:r>
        <w:rPr>
          <w:rFonts w:hint="eastAsia"/>
          <w:color w:val="auto"/>
          <w:highlight w:val="none"/>
        </w:rPr>
        <w:t xml:space="preserve">；</w:t>
      </w:r>
      <w:r/>
    </w:p>
    <w:p>
      <w:pPr>
        <w:numPr>
          <w:ilvl w:val="0"/>
          <w:numId w:val="6"/>
        </w:numPr>
        <w:ind w:firstLine="420"/>
        <w:spacing w:line="480" w:lineRule="auto"/>
        <w:rPr>
          <w:rFonts w:ascii="宋体" w:hAnsi="宋体" w:cs="宋体"/>
          <w:color w:val="auto"/>
          <w:szCs w:val="21"/>
          <w:highlight w:val="none"/>
        </w:rPr>
      </w:pPr>
      <w:r>
        <w:rPr>
          <w:rFonts w:ascii="宋体" w:hAnsi="宋体" w:cs="宋体"/>
          <w:color w:val="auto"/>
          <w:szCs w:val="21"/>
          <w:highlight w:val="none"/>
        </w:rPr>
        <w:t xml:space="preserve">明确时间要求</w:t>
      </w:r>
      <w:r>
        <w:rPr>
          <w:rFonts w:hint="eastAsia" w:ascii="宋体" w:hAnsi="宋体" w:cs="宋体"/>
          <w:color w:val="auto"/>
          <w:szCs w:val="21"/>
          <w:highlight w:val="none"/>
        </w:rPr>
        <w:t xml:space="preserve">：</w:t>
      </w:r>
      <w:r/>
    </w:p>
    <w:p>
      <w:pPr>
        <w:ind w:firstLine="420"/>
        <w:spacing w:line="480" w:lineRule="auto"/>
        <w:rPr>
          <w:rFonts w:ascii="宋体" w:hAnsi="宋体" w:cs="宋体"/>
          <w:color w:val="auto"/>
          <w:szCs w:val="21"/>
          <w:highlight w:val="none"/>
        </w:rPr>
      </w:pPr>
      <w:r>
        <w:rPr>
          <w:rFonts w:ascii="宋体" w:hAnsi="宋体" w:cs="宋体"/>
          <w:color w:val="auto"/>
          <w:szCs w:val="21"/>
          <w:highlight w:val="none"/>
        </w:rPr>
        <w:t xml:space="preserve">高龄老人上门服务每月不少于1次，月服务总时间不少于2小时</w:t>
      </w:r>
      <w:r>
        <w:rPr>
          <w:rFonts w:hint="eastAsia" w:ascii="宋体" w:hAnsi="宋体" w:cs="宋体"/>
          <w:color w:val="auto"/>
          <w:szCs w:val="21"/>
          <w:highlight w:val="none"/>
        </w:rPr>
        <w:t xml:space="preserve">；</w:t>
      </w:r>
      <w:r>
        <w:rPr>
          <w:rFonts w:ascii="宋体" w:hAnsi="宋体" w:cs="宋体"/>
          <w:color w:val="auto"/>
          <w:szCs w:val="21"/>
          <w:highlight w:val="none"/>
        </w:rPr>
        <w:t xml:space="preserve">困难老人上门服务自理老人每月不少于1次，月服务总时间不少于3小时</w:t>
      </w:r>
      <w:r>
        <w:rPr>
          <w:rFonts w:hint="eastAsia" w:ascii="宋体" w:hAnsi="宋体" w:cs="宋体"/>
          <w:color w:val="auto"/>
          <w:szCs w:val="21"/>
          <w:highlight w:val="none"/>
        </w:rPr>
        <w:t xml:space="preserve">；</w:t>
      </w:r>
      <w:r>
        <w:rPr>
          <w:rFonts w:ascii="宋体" w:hAnsi="宋体" w:cs="宋体"/>
          <w:color w:val="auto"/>
          <w:szCs w:val="21"/>
          <w:highlight w:val="none"/>
        </w:rPr>
        <w:t xml:space="preserve">半失能老人每月不少于2次，月服务总时间不少于5小时</w:t>
      </w:r>
      <w:r>
        <w:rPr>
          <w:rFonts w:hint="eastAsia" w:ascii="宋体" w:hAnsi="宋体" w:cs="宋体"/>
          <w:color w:val="auto"/>
          <w:szCs w:val="21"/>
          <w:highlight w:val="none"/>
        </w:rPr>
        <w:t xml:space="preserve">；</w:t>
      </w:r>
      <w:r>
        <w:rPr>
          <w:rFonts w:ascii="宋体" w:hAnsi="宋体" w:cs="宋体"/>
          <w:color w:val="auto"/>
          <w:szCs w:val="21"/>
          <w:highlight w:val="none"/>
        </w:rPr>
        <w:t xml:space="preserve">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ind w:firstLine="420"/>
        <w:spacing w:line="480" w:lineRule="auto"/>
        <w:rPr>
          <w:color w:val="auto"/>
          <w:highlight w:val="none"/>
        </w:rPr>
      </w:pPr>
      <w:r>
        <w:rPr>
          <w:rFonts w:hint="eastAsia"/>
          <w:color w:val="auto"/>
          <w:highlight w:val="none"/>
        </w:rPr>
        <w:t xml:space="preserve">3、</w:t>
      </w:r>
      <w:r>
        <w:rPr>
          <w:rFonts w:ascii="宋体" w:hAnsi="宋体" w:cs="宋体"/>
          <w:color w:val="auto"/>
          <w:szCs w:val="21"/>
          <w:highlight w:val="none"/>
        </w:rPr>
        <w:t xml:space="preserve">规范服务流程</w:t>
      </w:r>
      <w:r>
        <w:rPr>
          <w:rFonts w:hint="eastAsia"/>
          <w:color w:val="auto"/>
          <w:highlight w:val="none"/>
        </w:rPr>
        <w:t xml:space="preserve">：</w:t>
      </w:r>
      <w:r/>
    </w:p>
    <w:p>
      <w:pPr>
        <w:ind w:firstLine="420"/>
        <w:spacing w:line="480" w:lineRule="auto"/>
        <w:rPr>
          <w:rFonts w:ascii="宋体" w:hAnsi="宋体" w:cs="宋体"/>
          <w:color w:val="auto"/>
          <w:szCs w:val="21"/>
          <w:highlight w:val="none"/>
        </w:rPr>
      </w:pPr>
      <w:r>
        <w:rPr>
          <w:rFonts w:ascii="宋体" w:hAnsi="宋体" w:cs="宋体"/>
          <w:color w:val="auto"/>
          <w:szCs w:val="21"/>
          <w:highlight w:val="none"/>
        </w:rPr>
        <w:t xml:space="preserve">供应商接到老人服务需求后派出服务工单，服务人员上门服务</w:t>
      </w:r>
      <w:r>
        <w:rPr>
          <w:rFonts w:hint="eastAsia" w:ascii="宋体" w:hAnsi="宋体" w:cs="宋体"/>
          <w:color w:val="auto"/>
          <w:szCs w:val="21"/>
          <w:highlight w:val="none"/>
        </w:rPr>
        <w:t xml:space="preserve">，</w:t>
      </w:r>
      <w:r>
        <w:rPr>
          <w:rFonts w:ascii="宋体" w:hAnsi="宋体" w:cs="宋体"/>
          <w:color w:val="auto"/>
          <w:szCs w:val="21"/>
          <w:highlight w:val="none"/>
        </w:rPr>
        <w:t xml:space="preserve">最后供应商需要对所有完成的工单进行满意度回访。</w:t>
      </w:r>
      <w:r/>
    </w:p>
    <w:p>
      <w:pPr>
        <w:ind w:firstLine="420"/>
        <w:spacing w:line="480" w:lineRule="auto"/>
        <w:rPr>
          <w:color w:val="auto"/>
          <w:highlight w:val="none"/>
        </w:rPr>
      </w:pPr>
      <w:r>
        <w:rPr>
          <w:rFonts w:hint="eastAsia"/>
          <w:color w:val="auto"/>
          <w:highlight w:val="none"/>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ind w:firstLine="420"/>
        <w:spacing w:line="480" w:lineRule="auto"/>
        <w:rPr>
          <w:color w:val="auto"/>
          <w:highlight w:val="none"/>
        </w:rPr>
      </w:pPr>
      <w:r>
        <w:rPr>
          <w:rFonts w:hint="eastAsia"/>
          <w:color w:val="auto"/>
          <w:highlight w:val="none"/>
        </w:rPr>
        <w:t xml:space="preserve">4、其他要求：</w:t>
      </w:r>
      <w:r/>
    </w:p>
    <w:p>
      <w:pPr>
        <w:ind w:firstLine="420"/>
        <w:spacing w:line="480" w:lineRule="auto"/>
        <w:rPr>
          <w:rFonts w:ascii="宋体" w:hAnsi="宋体" w:cs="宋体"/>
          <w:color w:val="auto"/>
          <w:szCs w:val="21"/>
          <w:highlight w:val="none"/>
        </w:rPr>
      </w:pPr>
      <w:r>
        <w:rPr>
          <w:rFonts w:hint="eastAsia"/>
          <w:color w:val="auto"/>
          <w:highlight w:val="none"/>
        </w:rPr>
        <w:t xml:space="preserve">（1）供应商对于服务人员的聘用要严格把关，</w:t>
      </w:r>
      <w:r>
        <w:rPr>
          <w:rFonts w:ascii="宋体" w:hAnsi="宋体" w:cs="宋体"/>
          <w:color w:val="auto"/>
          <w:szCs w:val="21"/>
          <w:highlight w:val="none"/>
        </w:rPr>
        <w:t xml:space="preserve">要对服务人员集中开展文明礼仪和业务技能的培训，培训不合格人员不得上岗，不断提高服务人员综合素质和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spacing w:line="480" w:lineRule="auto"/>
        <w:rPr>
          <w:color w:val="auto"/>
          <w:highlight w:val="none"/>
        </w:rPr>
      </w:pPr>
      <w:r>
        <w:rPr>
          <w:rFonts w:hint="eastAsia"/>
          <w:color w:val="auto"/>
          <w:highlight w:val="none"/>
        </w:rPr>
        <w:t xml:space="preserve">（2）供应商每月底向甲方汇报上门服务情况，如有协议期限内不需要服务的老年人及时告知所属的社区备案并上报甲方。</w:t>
      </w:r>
      <w:r/>
    </w:p>
    <w:p>
      <w:pPr>
        <w:ind w:firstLine="420"/>
        <w:spacing w:line="480" w:lineRule="auto"/>
        <w:rPr>
          <w:color w:val="auto"/>
          <w:highlight w:val="none"/>
        </w:rPr>
      </w:pPr>
      <w:r>
        <w:rPr>
          <w:rFonts w:hint="eastAsia"/>
          <w:color w:val="auto"/>
          <w:highlight w:val="none"/>
        </w:rPr>
        <w:t xml:space="preserve">（3）按照区民政部门对居家养老服务的要求进行操作。</w:t>
      </w:r>
      <w:r/>
    </w:p>
    <w:p>
      <w:pPr>
        <w:ind w:firstLine="420"/>
        <w:spacing w:line="480" w:lineRule="auto"/>
        <w:rPr>
          <w:color w:val="auto"/>
          <w:highlight w:val="none"/>
        </w:rPr>
      </w:pPr>
      <w:r>
        <w:rPr>
          <w:rFonts w:hint="eastAsia"/>
          <w:color w:val="auto"/>
          <w:highlight w:val="none"/>
        </w:rPr>
        <w:t xml:space="preserve">（4）制定完善的管理制度、合理的薪资标准，符合劳动法等相关法律法规规定。</w:t>
      </w:r>
      <w:r/>
    </w:p>
    <w:p>
      <w:pPr>
        <w:ind w:firstLine="420"/>
        <w:spacing w:line="480" w:lineRule="auto"/>
        <w:rPr>
          <w:color w:val="auto"/>
          <w:highlight w:val="none"/>
        </w:rPr>
      </w:pPr>
      <w:r>
        <w:rPr>
          <w:rFonts w:hint="eastAsia"/>
          <w:color w:val="auto"/>
          <w:highlight w:val="none"/>
        </w:rPr>
        <w:t xml:space="preserve">（5）落实相关安全管理要求，确保服务过程中服务对象及服务人员的人身安全。</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配合</w:t>
      </w:r>
      <w:r>
        <w:rPr>
          <w:rFonts w:hint="eastAsia" w:ascii="宋体" w:hAnsi="宋体" w:cs="宋体"/>
          <w:color w:val="auto"/>
          <w:szCs w:val="21"/>
          <w:highlight w:val="none"/>
        </w:rPr>
        <w:t xml:space="preserve">甲方</w:t>
      </w:r>
      <w:r>
        <w:rPr>
          <w:rFonts w:ascii="宋体" w:hAnsi="宋体" w:cs="宋体"/>
          <w:color w:val="auto"/>
          <w:szCs w:val="21"/>
          <w:highlight w:val="none"/>
        </w:rPr>
        <w:t xml:space="preserve">加强购买服务人员动态管理。配合做好居家养老上门服务对象的增减工作</w:t>
      </w:r>
      <w:r>
        <w:rPr>
          <w:rFonts w:hint="eastAsia" w:ascii="宋体" w:hAnsi="宋体" w:cs="宋体"/>
          <w:color w:val="auto"/>
          <w:szCs w:val="21"/>
          <w:highlight w:val="none"/>
        </w:rPr>
        <w:t xml:space="preserve">。</w:t>
      </w:r>
      <w:r>
        <w:rPr>
          <w:rFonts w:ascii="宋体" w:hAnsi="宋体" w:cs="宋体"/>
          <w:color w:val="auto"/>
          <w:szCs w:val="21"/>
          <w:highlight w:val="none"/>
        </w:rPr>
        <w:t xml:space="preserve">对接受服务中的老年人，要实现村(社区)、服务人员、供应商、镇（街道）四方信息互通有无，定期核实居家养老上门服务对象真实情况，如发现有老人过世、迁出或其他不符合服务条件的情况，应立即上报村(社区)和镇（街道）进行复核增减。</w:t>
      </w:r>
      <w:r/>
    </w:p>
    <w:p>
      <w:pPr>
        <w:ind w:firstLine="422"/>
        <w:spacing w:line="480" w:lineRule="auto"/>
        <w:rPr>
          <w:b/>
          <w:bCs/>
          <w:color w:val="auto"/>
          <w:highlight w:val="none"/>
        </w:rPr>
      </w:pPr>
      <w:r>
        <w:rPr>
          <w:rFonts w:hint="eastAsia"/>
          <w:b/>
          <w:bCs/>
          <w:color w:val="auto"/>
          <w:highlight w:val="none"/>
        </w:rPr>
        <w:t xml:space="preserve">五、考核和签约</w:t>
      </w:r>
      <w:r/>
    </w:p>
    <w:p>
      <w:pPr>
        <w:ind w:firstLine="420"/>
        <w:spacing w:line="480" w:lineRule="auto"/>
        <w:rPr>
          <w:color w:val="auto"/>
          <w:highlight w:val="none"/>
        </w:rPr>
      </w:pPr>
      <w:r>
        <w:rPr>
          <w:rFonts w:hint="eastAsia"/>
          <w:color w:val="auto"/>
          <w:highlight w:val="none"/>
        </w:rPr>
        <w:t xml:space="preserve">1、考核办法：</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应具备服务监管能力。</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应及时跟踪回访完成服务工单，对每日产生的工单进行回访，所有回访结果必须记载备查，实现回访结果的统计、汇总、查询。对于服务时长不足等不符合服务规范的，均作废单处理，通知服务人员重新提供服务</w:t>
      </w:r>
      <w:r>
        <w:rPr>
          <w:rFonts w:hint="eastAsia" w:ascii="宋体" w:hAnsi="宋体" w:cs="宋体"/>
          <w:color w:val="auto"/>
          <w:szCs w:val="21"/>
          <w:highlight w:val="none"/>
        </w:rPr>
        <w:t xml:space="preserve">；</w:t>
      </w:r>
      <w:r>
        <w:rPr>
          <w:rFonts w:ascii="宋体" w:hAnsi="宋体" w:cs="宋体"/>
          <w:color w:val="auto"/>
          <w:szCs w:val="21"/>
          <w:highlight w:val="none"/>
        </w:rPr>
        <w:t xml:space="preserve">对于异常工单或投诉工单，要及时跟踪了解情况积极处理，并向</w:t>
      </w:r>
      <w:r>
        <w:rPr>
          <w:rFonts w:hint="eastAsia" w:ascii="宋体" w:hAnsi="宋体" w:cs="宋体"/>
          <w:color w:val="auto"/>
          <w:szCs w:val="21"/>
          <w:highlight w:val="none"/>
        </w:rPr>
        <w:t xml:space="preserve">甲方</w:t>
      </w:r>
      <w:r>
        <w:rPr>
          <w:rFonts w:ascii="宋体" w:hAnsi="宋体" w:cs="宋体"/>
          <w:color w:val="auto"/>
          <w:szCs w:val="21"/>
          <w:highlight w:val="none"/>
        </w:rPr>
        <w:t xml:space="preserve">反馈结果。</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（2）甲方</w:t>
      </w:r>
      <w:r>
        <w:rPr>
          <w:rFonts w:ascii="宋体" w:hAnsi="宋体" w:cs="宋体"/>
          <w:color w:val="auto"/>
          <w:szCs w:val="21"/>
          <w:highlight w:val="none"/>
        </w:rPr>
        <w:t xml:space="preserve">将对</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服务质量的考核评价制度，通过随机抽查、明查暗访和座谈会等形式，听取社区干部、老人及老人家属的意见，加强对</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的管理水平、服务能力、运营状况、服务满意度的监管，以科学严谨的考核方式，促进居家养老上门服务质量的提升，</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有以下情形之一的，取消服务资格，并在近三年内不得参与全区范围内的居家养老服务</w:t>
      </w:r>
      <w:r>
        <w:rPr>
          <w:rFonts w:hint="eastAsia" w:ascii="宋体" w:hAnsi="宋体" w:cs="宋体"/>
          <w:color w:val="auto"/>
          <w:szCs w:val="21"/>
          <w:highlight w:val="none"/>
        </w:rPr>
        <w:t xml:space="preserve">：</w:t>
      </w:r>
      <w:r>
        <w:rPr>
          <w:rFonts w:ascii="宋体" w:hAnsi="宋体" w:cs="宋体"/>
          <w:color w:val="auto"/>
          <w:szCs w:val="21"/>
          <w:highlight w:val="none"/>
        </w:rPr>
        <w:t xml:space="preserve">①以向服务对象送实物等变通方式套取服务对象补贴资金的</w:t>
      </w:r>
      <w:r>
        <w:rPr>
          <w:rFonts w:hint="eastAsia" w:ascii="宋体" w:hAnsi="宋体" w:cs="宋体"/>
          <w:color w:val="auto"/>
          <w:szCs w:val="21"/>
          <w:highlight w:val="none"/>
        </w:rPr>
        <w:t xml:space="preserve">；</w:t>
      </w:r>
      <w:r>
        <w:rPr>
          <w:rFonts w:ascii="宋体" w:hAnsi="宋体" w:cs="宋体"/>
          <w:color w:val="auto"/>
          <w:szCs w:val="21"/>
          <w:highlight w:val="none"/>
        </w:rPr>
        <w:t xml:space="preserve">②借助开展服务的机会向老年人推销保健产品的</w:t>
      </w:r>
      <w:r>
        <w:rPr>
          <w:rFonts w:hint="eastAsia" w:ascii="宋体" w:hAnsi="宋体" w:cs="宋体"/>
          <w:color w:val="auto"/>
          <w:szCs w:val="21"/>
          <w:highlight w:val="none"/>
        </w:rPr>
        <w:t xml:space="preserve">；</w:t>
      </w:r>
      <w:r>
        <w:rPr>
          <w:rFonts w:ascii="宋体" w:hAnsi="宋体" w:cs="宋体"/>
          <w:color w:val="auto"/>
          <w:szCs w:val="21"/>
          <w:highlight w:val="none"/>
        </w:rPr>
        <w:t xml:space="preserve">③借助开展服务的机会向老年人集资、吸储等严重损害了老年人合法权益的</w:t>
      </w:r>
      <w:r>
        <w:rPr>
          <w:rFonts w:hint="eastAsia" w:ascii="宋体" w:hAnsi="宋体" w:cs="宋体"/>
          <w:color w:val="auto"/>
          <w:szCs w:val="21"/>
          <w:highlight w:val="none"/>
        </w:rPr>
        <w:t xml:space="preserve">；</w:t>
      </w:r>
      <w:r>
        <w:rPr>
          <w:rFonts w:ascii="宋体" w:hAnsi="宋体" w:cs="宋体"/>
          <w:color w:val="auto"/>
          <w:szCs w:val="21"/>
          <w:highlight w:val="none"/>
        </w:rPr>
        <w:t xml:space="preserve">④</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后，不具备完成政府购买服务能力的</w:t>
      </w:r>
      <w:r>
        <w:rPr>
          <w:rFonts w:hint="eastAsia" w:ascii="宋体" w:hAnsi="宋体" w:cs="宋体"/>
          <w:color w:val="auto"/>
          <w:szCs w:val="21"/>
          <w:highlight w:val="none"/>
        </w:rPr>
        <w:t xml:space="preserve">；</w:t>
      </w:r>
      <w:r>
        <w:rPr>
          <w:rFonts w:ascii="宋体" w:hAnsi="宋体" w:cs="宋体"/>
          <w:color w:val="auto"/>
          <w:szCs w:val="21"/>
          <w:highlight w:val="none"/>
        </w:rPr>
        <w:t xml:space="preserve">⑤供应商有其他违法行为的。</w:t>
      </w:r>
      <w:r/>
    </w:p>
    <w:p>
      <w:pPr>
        <w:ind w:firstLine="420"/>
        <w:spacing w:line="480" w:lineRule="auto"/>
        <w:rPr>
          <w:color w:val="auto"/>
          <w:highlight w:val="none"/>
        </w:rPr>
      </w:pPr>
      <w:r>
        <w:rPr>
          <w:rFonts w:hint="eastAsia"/>
          <w:color w:val="auto"/>
          <w:highlight w:val="none"/>
        </w:rPr>
        <w:t xml:space="preserve">甲方根据运营管理情况每季度对乙方考核一次，通过上门、电话访问、填写服务满意度调查表的形式调查服务情况。具体考核办法由采购单位与成交单位根据采购文件及响应文件商榷后制定，考核情况与运营费用给付挂钩。以市、区政府购买居家养老上门服务文件为考核标准，如发生考核不合格的情况，甲方有权终止合同。</w:t>
      </w:r>
      <w:r/>
    </w:p>
    <w:p>
      <w:pPr>
        <w:ind w:firstLine="422"/>
        <w:spacing w:line="480" w:lineRule="auto"/>
        <w:rPr>
          <w:b/>
          <w:bCs/>
          <w:color w:val="auto"/>
          <w:highlight w:val="none"/>
        </w:rPr>
      </w:pPr>
      <w:r>
        <w:rPr>
          <w:rFonts w:hint="eastAsia"/>
          <w:b/>
          <w:bCs/>
          <w:color w:val="auto"/>
          <w:highlight w:val="none"/>
        </w:rPr>
        <w:t xml:space="preserve">六、其他要求</w:t>
      </w:r>
      <w:r/>
    </w:p>
    <w:p>
      <w:pPr>
        <w:ind w:firstLine="420"/>
        <w:spacing w:line="480" w:lineRule="auto"/>
        <w:rPr>
          <w:color w:val="auto"/>
          <w:highlight w:val="none"/>
        </w:rPr>
      </w:pPr>
      <w:r>
        <w:rPr>
          <w:rFonts w:hint="eastAsia"/>
          <w:color w:val="auto"/>
          <w:highlight w:val="none"/>
        </w:rPr>
        <w:t xml:space="preserve">1、成交单位的服务人员要统一服从采购单位的监管。</w:t>
      </w:r>
      <w:r/>
    </w:p>
    <w:p>
      <w:pPr>
        <w:ind w:firstLine="420"/>
        <w:spacing w:line="480" w:lineRule="auto"/>
        <w:rPr>
          <w:color w:val="auto"/>
          <w:highlight w:val="none"/>
        </w:rPr>
      </w:pPr>
      <w:r>
        <w:rPr>
          <w:rFonts w:hint="eastAsia"/>
          <w:color w:val="auto"/>
          <w:highlight w:val="none"/>
        </w:rPr>
        <w:t xml:space="preserve">2、成交单位具备居家上门服务质量内控管理系统，对服务辖区内服务质量进行质控。</w:t>
      </w:r>
      <w:r/>
    </w:p>
    <w:p>
      <w:pPr>
        <w:ind w:firstLine="420"/>
        <w:spacing w:line="480" w:lineRule="auto"/>
        <w:rPr>
          <w:color w:val="auto"/>
          <w:highlight w:val="none"/>
        </w:rPr>
      </w:pPr>
      <w:r>
        <w:rPr>
          <w:rFonts w:hint="eastAsia"/>
          <w:color w:val="auto"/>
          <w:highlight w:val="none"/>
        </w:rPr>
        <w:t xml:space="preserve">3、服务机构应根据采购单位需求，无条件配合采购单位向辖区独居、空巢、留守、失能 (失智)、计划生育特殊家庭等特殊困难老年人进行关爱探访服务。</w:t>
      </w:r>
      <w:r/>
    </w:p>
    <w:p>
      <w:pPr>
        <w:ind w:firstLine="420"/>
        <w:spacing w:line="480" w:lineRule="auto"/>
        <w:rPr>
          <w:color w:val="auto"/>
          <w:highlight w:val="none"/>
        </w:rPr>
      </w:pPr>
      <w:r>
        <w:rPr>
          <w:rFonts w:hint="eastAsia"/>
          <w:color w:val="auto"/>
          <w:highlight w:val="none"/>
        </w:rPr>
        <w:t xml:space="preserve">4、采购人除服务费用之外不再承担其它任何费用，服务人员的薪金、福利、休假日补贴、医疗费用、与工作相关的意外事故所产生的费用等均由成交单位负责，与采购人无关。</w:t>
      </w:r>
      <w:r/>
    </w:p>
    <w:p>
      <w:pPr>
        <w:ind w:firstLine="420"/>
        <w:spacing w:line="480" w:lineRule="auto"/>
        <w:rPr>
          <w:color w:val="auto"/>
          <w:highlight w:val="none"/>
        </w:rPr>
      </w:pPr>
      <w:r>
        <w:rPr>
          <w:rFonts w:hint="eastAsia"/>
          <w:color w:val="auto"/>
          <w:highlight w:val="none"/>
        </w:rPr>
        <w:t xml:space="preserve">5、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人员工资不得低于扬州市区最低工资标准。</w:t>
      </w:r>
      <w:r/>
    </w:p>
    <w:p>
      <w:pPr>
        <w:pStyle w:val="970"/>
        <w:ind w:firstLine="422"/>
        <w:jc w:val="left"/>
        <w:spacing w:line="480" w:lineRule="auto"/>
        <w:rPr>
          <w:b/>
          <w:bCs/>
          <w:color w:val="auto"/>
          <w:highlight w:val="none"/>
        </w:rPr>
      </w:pPr>
      <w:r>
        <w:rPr>
          <w:rFonts w:hint="eastAsia" w:cs="Times New Roman"/>
          <w:color w:val="auto"/>
          <w:sz w:val="21"/>
          <w:szCs w:val="22"/>
          <w:highlight w:val="none"/>
        </w:rPr>
        <w:t xml:space="preserve">注：公益一类事业单位、使用事业编制且由财政拨款保障的群团组织均不可作为政府购买服务的购买主体和承接主体。</w:t>
      </w:r>
      <w:r/>
    </w:p>
    <w:p>
      <w:pPr>
        <w:pStyle w:val="933"/>
        <w:jc w:val="center"/>
        <w:spacing w:line="360" w:lineRule="auto"/>
        <w:rPr>
          <w:rFonts w:hint="eastAsia"/>
          <w:b/>
          <w:bCs/>
          <w:color w:val="auto"/>
          <w:highlight w:val="none"/>
        </w:rPr>
      </w:pPr>
      <w:r>
        <w:rPr>
          <w:rFonts w:hint="eastAsia" w:ascii="宋体" w:hAnsi="宋体"/>
          <w:color w:val="auto"/>
          <w:sz w:val="32"/>
          <w:szCs w:val="32"/>
          <w:highlight w:val="none"/>
        </w:rPr>
        <w:t xml:space="preserve">第五章 评</w:t>
      </w:r>
      <w:r>
        <w:rPr>
          <w:rFonts w:hint="eastAsia" w:ascii="宋体" w:hAnsi="宋体"/>
          <w:color w:val="auto"/>
          <w:sz w:val="32"/>
          <w:szCs w:val="32"/>
          <w:highlight w:val="none"/>
          <w:lang w:val="en-US" w:eastAsia="zh-CN"/>
        </w:rPr>
        <w:t xml:space="preserve">审</w:t>
      </w:r>
      <w:r>
        <w:rPr>
          <w:rFonts w:hint="eastAsia" w:ascii="宋体" w:hAnsi="宋体"/>
          <w:color w:val="auto"/>
          <w:sz w:val="32"/>
          <w:szCs w:val="32"/>
          <w:highlight w:val="none"/>
        </w:rPr>
        <w:t xml:space="preserve">方法</w:t>
      </w:r>
      <w:r>
        <w:rPr>
          <w:rFonts w:hint="eastAsia" w:ascii="宋体" w:hAnsi="宋体"/>
          <w:color w:val="auto"/>
          <w:sz w:val="32"/>
          <w:szCs w:val="32"/>
          <w:highlight w:val="none"/>
          <w:lang w:val="en-US" w:eastAsia="zh-CN"/>
        </w:rPr>
        <w:t xml:space="preserve">与</w:t>
      </w:r>
      <w:r>
        <w:rPr>
          <w:rFonts w:hint="eastAsia" w:ascii="宋体" w:hAnsi="宋体"/>
          <w:color w:val="auto"/>
          <w:sz w:val="32"/>
          <w:szCs w:val="32"/>
          <w:highlight w:val="none"/>
        </w:rPr>
        <w:t xml:space="preserve">评</w:t>
      </w:r>
      <w:r>
        <w:rPr>
          <w:rFonts w:hint="eastAsia" w:ascii="宋体" w:hAnsi="宋体"/>
          <w:color w:val="auto"/>
          <w:sz w:val="32"/>
          <w:szCs w:val="32"/>
          <w:highlight w:val="none"/>
          <w:lang w:val="en-US" w:eastAsia="zh-CN"/>
        </w:rPr>
        <w:t xml:space="preserve">审</w:t>
      </w:r>
      <w:r>
        <w:rPr>
          <w:rFonts w:hint="eastAsia" w:ascii="宋体" w:hAnsi="宋体"/>
          <w:color w:val="auto"/>
          <w:sz w:val="32"/>
          <w:szCs w:val="32"/>
          <w:highlight w:val="none"/>
        </w:rPr>
        <w:t xml:space="preserve">标准</w:t>
      </w:r>
      <w:r/>
    </w:p>
    <w:p>
      <w:pPr>
        <w:pStyle w:val="968"/>
        <w:ind w:left="315" w:firstLine="105"/>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一、评标方法</w:t>
      </w:r>
      <w:r/>
    </w:p>
    <w:p>
      <w:pPr>
        <w:pStyle w:val="968"/>
        <w:ind w:left="315" w:firstLine="105"/>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68"/>
        <w:ind w:left="315" w:firstLine="105"/>
        <w:rPr>
          <w:rFonts w:hint="eastAsia" w:ascii="宋体" w:hAnsi="宋体"/>
          <w:b/>
          <w:bCs/>
          <w:color w:val="auto"/>
          <w:sz w:val="21"/>
          <w:szCs w:val="21"/>
          <w:highlight w:val="none"/>
        </w:rPr>
      </w:pPr>
      <w:r/>
      <w:bookmarkStart w:id="33" w:name="_Toc449017024"/>
      <w:r/>
      <w:bookmarkStart w:id="34" w:name="_Toc449016388"/>
      <w:r>
        <w:rPr>
          <w:rFonts w:hint="eastAsia" w:ascii="宋体" w:hAnsi="宋体"/>
          <w:b/>
          <w:bCs/>
          <w:color w:val="auto"/>
          <w:sz w:val="21"/>
          <w:szCs w:val="21"/>
          <w:highlight w:val="none"/>
        </w:rPr>
        <w:t xml:space="preserve">二、政府采购政策功能落实</w:t>
      </w:r>
      <w:bookmarkEnd w:id="33"/>
      <w:r/>
      <w:bookmarkEnd w:id="34"/>
      <w:r/>
      <w:r/>
    </w:p>
    <w:p>
      <w:pPr>
        <w:pStyle w:val="968"/>
        <w:ind w:left="315" w:firstLine="105"/>
        <w:rPr>
          <w:rFonts w:ascii="宋体" w:hAnsi="宋体"/>
          <w:color w:val="auto"/>
          <w:sz w:val="21"/>
          <w:szCs w:val="21"/>
          <w:highlight w:val="none"/>
        </w:rPr>
      </w:pPr>
      <w:r>
        <w:rPr>
          <w:rFonts w:ascii="宋体" w:hAnsi="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1、小微型企业价格扣除</w:t>
      </w:r>
      <w:r/>
    </w:p>
    <w:p>
      <w:pPr>
        <w:ind w:firstLine="315"/>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（1）本项目对小型和微型企业产品给予10%的扣除价格，用扣除后的价格参与评审。</w:t>
      </w:r>
      <w:r/>
    </w:p>
    <w:p>
      <w:pPr>
        <w:ind w:firstLine="315"/>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（2）供应商需按照采购文件的要求提供相应的《中小微企业声明函》。</w:t>
      </w:r>
      <w:r/>
    </w:p>
    <w:p>
      <w:pPr>
        <w:pStyle w:val="968"/>
        <w:ind w:left="315" w:firstLine="105"/>
        <w:rPr>
          <w:rFonts w:hint="eastAsia"/>
          <w:color w:val="auto"/>
          <w:highlight w:val="none"/>
          <w:lang w:val="en-US" w:eastAsia="zh-CN"/>
        </w:rPr>
      </w:pPr>
      <w:r>
        <w:rPr>
          <w:rFonts w:hint="eastAsia" w:ascii="Times New Roman" w:hAnsi="Times New Roman"/>
          <w:color w:val="auto"/>
          <w:sz w:val="21"/>
          <w:szCs w:val="21"/>
          <w:highlight w:val="none"/>
        </w:rPr>
        <w:t xml:space="preserve">（3）</w:t>
      </w:r>
      <w:r>
        <w:rPr>
          <w:rFonts w:hint="eastAsia" w:ascii="宋体" w:hAnsi="宋体"/>
          <w:color w:val="auto"/>
          <w:sz w:val="21"/>
          <w:szCs w:val="21"/>
          <w:highlight w:val="none"/>
        </w:rPr>
        <w:t xml:space="preserve">本项目</w:t>
      </w:r>
      <w:r>
        <w:rPr>
          <w:rFonts w:ascii="宋体" w:hAnsi="宋体"/>
          <w:color w:val="auto"/>
          <w:sz w:val="21"/>
          <w:szCs w:val="21"/>
          <w:highlight w:val="none"/>
        </w:rPr>
        <w:t xml:space="preserve">专门面向中小企业采购的项目或者采购包，不再执行价格评审优惠的扶持政策</w:t>
      </w:r>
      <w:r>
        <w:rPr>
          <w:rFonts w:hint="eastAsia" w:ascii="宋体" w:hAnsi="宋体"/>
          <w:color w:val="auto"/>
          <w:sz w:val="21"/>
          <w:szCs w:val="21"/>
          <w:highlight w:val="none"/>
        </w:rPr>
        <w:t xml:space="preserve">。</w:t>
      </w:r>
      <w:r/>
    </w:p>
    <w:p>
      <w:pPr>
        <w:ind w:firstLine="420"/>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2、残疾人福利单位价格扣除</w:t>
      </w:r>
      <w:r/>
    </w:p>
    <w:p>
      <w:pPr>
        <w:ind w:left="120" w:firstLine="315"/>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（1）本项目对残疾人福利性单位视同小型、微型企业，给予10%的价格扣除，用扣除后的价格参与评审。</w:t>
      </w:r>
      <w:r/>
    </w:p>
    <w:p>
      <w:pPr>
        <w:ind w:left="120" w:firstLine="315"/>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（2）残疾人福利单位需按照采购文件的要求提供《残疾人福利性单位声明函》。</w:t>
      </w:r>
      <w:r/>
    </w:p>
    <w:p>
      <w:pPr>
        <w:ind w:left="120" w:firstLine="315"/>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（3）残疾人福利单位标准请参照《关于促进残疾人就业政府采购政策的通知》（财库〔2017〕141号）。</w:t>
      </w:r>
      <w:r/>
    </w:p>
    <w:p>
      <w:pPr>
        <w:ind w:firstLine="420"/>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3、监狱和戒毒企业价格扣除</w:t>
      </w:r>
      <w:r/>
    </w:p>
    <w:p>
      <w:pPr>
        <w:ind w:firstLine="420"/>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（1）本项目对监狱和戒毒企业（简称监狱企业）视同小型、微型企业，给予10%的价格扣除，用扣除后的价格参与评审。</w:t>
      </w:r>
      <w:r/>
    </w:p>
    <w:p>
      <w:pPr>
        <w:ind w:firstLine="420"/>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before="120" w:after="120" w:line="0" w:lineRule="atLeas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（3）监狱企业标准请参照《关于政府采购支持监狱企业发展有关问题的通知》（财库〔2014〕68号）。</w:t>
      </w:r>
      <w:r/>
    </w:p>
    <w:p>
      <w:pPr>
        <w:ind w:firstLine="420"/>
        <w:jc w:val="left"/>
        <w:spacing w:before="120" w:after="12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4、残疾人福利单位、监狱企业属于小型、微型企业的，不重复享受政策。</w:t>
      </w:r>
      <w:r/>
    </w:p>
    <w:p>
      <w:pPr>
        <w:ind w:firstLine="420"/>
        <w:jc w:val="left"/>
        <w:spacing w:before="120" w:after="12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jc w:val="left"/>
        <w:spacing w:before="120" w:after="12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6、联合体各方均为小型、微型企业（残疾人福利单位、监狱企业）的，联合体享受10%价格扣除，用扣除后的价格参与评审。</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w:t>
      </w:r>
      <w:r>
        <w:rPr>
          <w:rFonts w:hint="eastAsia" w:ascii="宋体" w:hAnsi="宋体"/>
          <w:b/>
          <w:color w:val="auto"/>
          <w:szCs w:val="21"/>
          <w:highlight w:val="none"/>
          <w:lang w:val="en-US" w:eastAsia="zh-CN"/>
        </w:rPr>
        <w:t xml:space="preserve">包1、包2</w:t>
      </w:r>
      <w:r>
        <w:rPr>
          <w:rFonts w:hint="eastAsia" w:ascii="宋体" w:hAnsi="宋体"/>
          <w:b/>
          <w:color w:val="auto"/>
          <w:szCs w:val="21"/>
          <w:highlight w:val="none"/>
        </w:rPr>
        <w:t xml:space="preserve">评标标准</w:t>
      </w:r>
      <w:r/>
    </w:p>
    <w:tbl>
      <w:tblPr>
        <w:tblStyle w:val="747"/>
        <w:tblW w:w="53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436"/>
      </w:tblGrid>
      <w:tr>
        <w:trPr>
          <w:jc w:val="center"/>
          <w:trHeight w:val="225"/>
        </w:trPr>
        <w:tc>
          <w:tcPr>
            <w:tcW w:w="657" w:type="pct"/>
            <w:vAlign w:val="center"/>
            <w:textDirection w:val="lrTb"/>
            <w:noWrap w:val="false"/>
          </w:tcPr>
          <w:p>
            <w:pPr>
              <w:jc w:val="center"/>
              <w:keepLines w:val="0"/>
              <w:keepNext w:val="0"/>
              <w:pageBreakBefore w:val="0"/>
              <w:spacing w:line="312" w:lineRule="auto"/>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评分项目</w:t>
            </w:r>
            <w:r/>
          </w:p>
        </w:tc>
        <w:tc>
          <w:tcPr>
            <w:tcW w:w="4342" w:type="pct"/>
            <w:vAlign w:val="center"/>
            <w:textDirection w:val="lrTb"/>
            <w:noWrap w:val="false"/>
          </w:tcPr>
          <w:p>
            <w:pPr>
              <w:jc w:val="center"/>
              <w:keepLines w:val="0"/>
              <w:keepNext w:val="0"/>
              <w:pageBreakBefore w:val="0"/>
              <w:spacing w:line="312" w:lineRule="auto"/>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评分标准内容（总分100分）</w:t>
            </w:r>
            <w:r/>
          </w:p>
        </w:tc>
      </w:tr>
      <w:tr>
        <w:trPr>
          <w:jc w:val="center"/>
          <w:trHeight w:val="779"/>
        </w:trPr>
        <w:tc>
          <w:tcPr>
            <w:tcW w:w="657" w:type="pct"/>
            <w:vAlign w:val="center"/>
            <w:textDirection w:val="lrTb"/>
            <w:noWrap w:val="false"/>
          </w:tcPr>
          <w:p>
            <w:pPr>
              <w:jc w:val="center"/>
              <w:keepLines w:val="0"/>
              <w:keepNext w:val="0"/>
              <w:pageBreakBefore w:val="0"/>
              <w:spacing w:line="312"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价格</w:t>
            </w:r>
            <w:r/>
          </w:p>
          <w:p>
            <w:pPr>
              <w:jc w:val="center"/>
              <w:keepLines w:val="0"/>
              <w:keepNext w:val="0"/>
              <w:pageBreakBefore w:val="0"/>
              <w:spacing w:line="312"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0分）</w:t>
            </w:r>
            <w:r/>
          </w:p>
        </w:tc>
        <w:tc>
          <w:tcPr>
            <w:tcW w:w="4342" w:type="pct"/>
            <w:vAlign w:val="center"/>
            <w:textDirection w:val="lrTb"/>
            <w:noWrap w:val="false"/>
          </w:tcPr>
          <w:p>
            <w:pPr>
              <w:keepLines w:val="0"/>
              <w:keepNext w:val="0"/>
              <w:pageBreakBefore w:val="0"/>
              <w:spacing w:line="312" w:lineRule="auto"/>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以满足招标文件要求的最终报价的最低报价为基准价，得满分</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0分，其他报价得分=（基准价/其他报价）×</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0×100%（保留2位小数）</w:t>
            </w:r>
            <w:r/>
          </w:p>
          <w:p>
            <w:pPr>
              <w:keepLines w:val="0"/>
              <w:keepNext w:val="0"/>
              <w:pageBreakBefore w:val="0"/>
              <w:spacing w:line="312" w:lineRule="auto"/>
              <w:widowControl/>
              <w:rPr>
                <w:color w:val="auto"/>
                <w:highlight w:val="none"/>
              </w:rPr>
            </w:pPr>
            <w:r>
              <w:rPr>
                <w:rFonts w:hint="eastAsia" w:cs="宋体" w:asciiTheme="minorEastAsia" w:hAnsiTheme="minorEastAsia"/>
                <w:color w:val="auto"/>
                <w:szCs w:val="21"/>
                <w:highlight w:val="none"/>
              </w:rPr>
              <w:t xml:space="preserve">注：评审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tc>
      </w:tr>
      <w:tr>
        <w:trPr>
          <w:jc w:val="center"/>
          <w:trHeight w:val="90"/>
        </w:trPr>
        <w:tc>
          <w:tcPr>
            <w:tcW w:w="657" w:type="pct"/>
            <w:vAlign w:val="center"/>
            <w:vMerge w:val="restart"/>
            <w:textDirection w:val="lrTb"/>
            <w:noWrap w:val="false"/>
          </w:tcPr>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center"/>
              <w:keepLines w:val="0"/>
              <w:keepNext w:val="0"/>
              <w:pageBreakBefore w:val="0"/>
              <w:spacing w:line="312"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服务方案</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48</w:t>
            </w:r>
            <w:r>
              <w:rPr>
                <w:rFonts w:hint="eastAsia" w:cs="宋体" w:asciiTheme="minorEastAsia" w:hAnsiTheme="minorEastAsia"/>
                <w:color w:val="auto"/>
                <w:szCs w:val="21"/>
                <w:highlight w:val="none"/>
              </w:rPr>
              <w:t xml:space="preserve">分）</w:t>
            </w:r>
            <w:r/>
          </w:p>
        </w:tc>
        <w:tc>
          <w:tcPr>
            <w:tcW w:w="4342" w:type="pct"/>
            <w:vAlign w:val="center"/>
            <w:textDirection w:val="lrTb"/>
            <w:noWrap w:val="false"/>
          </w:tcPr>
          <w:p>
            <w:pPr>
              <w:numPr>
                <w:ilvl w:val="0"/>
                <w:numId w:val="7"/>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供应商根据招标文件项目需求制定适合的服务方案</w:t>
            </w:r>
            <w:r>
              <w:rPr>
                <w:rFonts w:hint="eastAsia" w:cs="宋体" w:asciiTheme="minorEastAsia" w:hAnsiTheme="minorEastAsia"/>
                <w:color w:val="auto"/>
                <w:szCs w:val="21"/>
                <w:highlight w:val="none"/>
                <w:lang w:eastAsia="zh-CN"/>
              </w:rPr>
              <w:t xml:space="preserve">：</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方案完整、细致，符合项目需求，可操作性强得</w:t>
            </w: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方案较完整、较细致，基本符合项目需求，可操作性较强得</w:t>
            </w: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方案不完整、不细致，与项目需求响应度低，可操作性一般得</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eastAsia="宋体" w:cs="宋体" w:asciiTheme="minorEastAsia" w:hAnsiTheme="minorEastAsia"/>
                <w:color w:val="auto"/>
                <w:szCs w:val="21"/>
                <w:highlight w:val="none"/>
                <w:lang w:val="en-US" w:eastAsia="zh-CN"/>
              </w:rPr>
            </w:pPr>
            <w:r>
              <w:rPr>
                <w:rFonts w:hint="eastAsia" w:cs="宋体" w:asciiTheme="minorEastAsia" w:hAnsiTheme="minorEastAsia"/>
                <w:color w:val="auto"/>
                <w:szCs w:val="21"/>
                <w:highlight w:val="none"/>
              </w:rPr>
              <w:t xml:space="preserve">方案较差得</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asciiTheme="minorEastAsia" w:hAnsiTheme="minorEastAsia"/>
                <w:color w:val="auto"/>
                <w:highlight w:val="none"/>
              </w:rPr>
            </w:pPr>
            <w:r>
              <w:rPr>
                <w:rFonts w:hint="eastAsia" w:cs="宋体" w:asciiTheme="minorEastAsia" w:hAnsiTheme="minorEastAsia"/>
                <w:color w:val="auto"/>
                <w:szCs w:val="21"/>
                <w:highlight w:val="none"/>
              </w:rPr>
              <w:t xml:space="preserve">未提供的不得分。</w:t>
            </w:r>
            <w:r/>
          </w:p>
        </w:tc>
      </w:tr>
      <w:tr>
        <w:trPr>
          <w:jc w:val="center"/>
          <w:trHeight w:val="1185"/>
        </w:trPr>
        <w:tc>
          <w:tcPr>
            <w:tcW w:w="657" w:type="pct"/>
            <w:vAlign w:val="center"/>
            <w:vMerge w:val="continue"/>
            <w:textDirection w:val="lrTb"/>
            <w:noWrap w:val="false"/>
          </w:tcPr>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W w:w="4342" w:type="pct"/>
            <w:vAlign w:val="center"/>
            <w:textDirection w:val="lrTb"/>
            <w:noWrap w:val="false"/>
          </w:tcPr>
          <w:p>
            <w:pPr>
              <w:numPr>
                <w:ilvl w:val="0"/>
                <w:numId w:val="7"/>
              </w:numPr>
              <w:ind w:left="0" w:firstLine="0"/>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供应商针对老年人的不同需求，为老年人提供个性化、专业化特色服务方案</w:t>
            </w:r>
            <w:r>
              <w:rPr>
                <w:rFonts w:hint="eastAsia" w:cs="宋体" w:asciiTheme="minorEastAsia" w:hAnsiTheme="minorEastAsia"/>
                <w:color w:val="auto"/>
                <w:szCs w:val="21"/>
                <w:highlight w:val="none"/>
                <w:lang w:eastAsia="zh-CN"/>
              </w:rPr>
              <w:t xml:space="preserve">：</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方案完整、细致，符合个性化需求，专业性强得</w:t>
            </w: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方案较完整、较细致，基本符合个性化需求，专业性较强得</w:t>
            </w: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方案不完整、不细致，与个性化需求响应度低，专业性一般得</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方案较差得</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cs="宋体" w:asciiTheme="minorEastAsia" w:hAnsiTheme="minorEastAsia"/>
                <w:b/>
                <w:color w:val="auto"/>
                <w:szCs w:val="21"/>
                <w:highlight w:val="none"/>
              </w:rPr>
            </w:pPr>
            <w:r>
              <w:rPr>
                <w:rFonts w:hint="eastAsia" w:cs="宋体" w:asciiTheme="minorEastAsia" w:hAnsiTheme="minorEastAsia"/>
                <w:color w:val="auto"/>
                <w:szCs w:val="21"/>
                <w:highlight w:val="none"/>
              </w:rPr>
              <w:t xml:space="preserve">未提供的不得分。</w:t>
            </w:r>
            <w:r/>
          </w:p>
        </w:tc>
      </w:tr>
      <w:tr>
        <w:trPr>
          <w:jc w:val="center"/>
          <w:trHeight w:val="1391"/>
        </w:trPr>
        <w:tc>
          <w:tcPr>
            <w:tcW w:w="657" w:type="pct"/>
            <w:vAlign w:val="center"/>
            <w:vMerge w:val="continue"/>
            <w:textDirection w:val="lrTb"/>
            <w:noWrap w:val="false"/>
          </w:tcPr>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W w:w="4342" w:type="pct"/>
            <w:vAlign w:val="center"/>
            <w:textDirection w:val="lrTb"/>
            <w:noWrap w:val="false"/>
          </w:tcPr>
          <w:p>
            <w:pPr>
              <w:numPr>
                <w:ilvl w:val="0"/>
                <w:numId w:val="7"/>
              </w:numPr>
              <w:ind w:left="0" w:firstLine="0"/>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评委根据供应商针对本项目拟设立的各项管理规章制度的建立管理进行评分（岗位责任制度、管理运作制度、考核制度、档案管理制度等）：</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制度完整、细致，符合项目需求，可操作性强得</w:t>
            </w: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制度较完整、较细致，基本符合项目需求，可操作性较强得</w:t>
            </w: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制度不完整、不细致，与项目需求响应度低，可操作性一般得</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方案较差得</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未提供的不得分。</w:t>
            </w:r>
            <w:r/>
          </w:p>
        </w:tc>
      </w:tr>
      <w:tr>
        <w:trPr>
          <w:jc w:val="center"/>
          <w:trHeight w:val="594"/>
        </w:trPr>
        <w:tc>
          <w:tcPr>
            <w:tcW w:w="657" w:type="pct"/>
            <w:vAlign w:val="center"/>
            <w:vMerge w:val="continue"/>
            <w:textDirection w:val="lrTb"/>
            <w:noWrap w:val="false"/>
          </w:tcPr>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W w:w="4342" w:type="pct"/>
            <w:vAlign w:val="center"/>
            <w:textDirection w:val="lrTb"/>
            <w:noWrap w:val="false"/>
          </w:tcPr>
          <w:p>
            <w:pPr>
              <w:numPr>
                <w:ilvl w:val="0"/>
                <w:numId w:val="7"/>
              </w:numPr>
              <w:ind w:left="0" w:firstLine="0"/>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供应商从服务质量管理、服务反馈、服务监督、服务对象档案管理、工作人员守则、考评及奖惩制度等供应商整体运营管理制度体系进行阐述：</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提供的内容完整、细致，符合个性化需求，专业性强得</w:t>
            </w: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较完整、较细致，基本符合个性化需求，专业性较强得</w:t>
            </w: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不完整、不细致，与个性化需求响应度低，专业性一般得</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较差得</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b/>
                <w:color w:val="auto"/>
                <w:szCs w:val="21"/>
                <w:highlight w:val="none"/>
              </w:rPr>
            </w:pPr>
            <w:r>
              <w:rPr>
                <w:rFonts w:hint="eastAsia" w:cs="宋体" w:asciiTheme="minorEastAsia" w:hAnsiTheme="minorEastAsia"/>
                <w:color w:val="auto"/>
                <w:szCs w:val="21"/>
                <w:highlight w:val="none"/>
              </w:rPr>
              <w:t xml:space="preserve">未提供的不得分。</w:t>
            </w:r>
            <w:r/>
          </w:p>
        </w:tc>
      </w:tr>
      <w:tr>
        <w:trPr>
          <w:jc w:val="center"/>
          <w:trHeight w:val="704"/>
        </w:trPr>
        <w:tc>
          <w:tcPr>
            <w:tcW w:w="657" w:type="pct"/>
            <w:vAlign w:val="center"/>
            <w:vMerge w:val="continue"/>
            <w:textDirection w:val="lrTb"/>
            <w:noWrap w:val="false"/>
          </w:tcPr>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W w:w="4342" w:type="pct"/>
            <w:vAlign w:val="center"/>
            <w:textDirection w:val="lrTb"/>
            <w:noWrap w:val="false"/>
          </w:tcPr>
          <w:p>
            <w:pPr>
              <w:numPr>
                <w:ilvl w:val="0"/>
                <w:numId w:val="7"/>
              </w:numPr>
              <w:ind w:left="0" w:firstLine="0"/>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人员培训方案，针对本项目人员的服务培训计划、方式、目的等进行评审：</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完善、合理的，得</w:t>
            </w: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较完善、合理的，得</w:t>
            </w: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不够完善、合理的，得</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较差得</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未提供的不得分。</w:t>
            </w:r>
            <w:r/>
          </w:p>
        </w:tc>
      </w:tr>
      <w:tr>
        <w:trPr>
          <w:jc w:val="center"/>
          <w:trHeight w:val="90"/>
        </w:trPr>
        <w:tc>
          <w:tcPr>
            <w:tcW w:w="657" w:type="pct"/>
            <w:vAlign w:val="center"/>
            <w:vMerge w:val="continue"/>
            <w:textDirection w:val="lrTb"/>
            <w:noWrap w:val="false"/>
          </w:tcPr>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W w:w="4342" w:type="pct"/>
            <w:vAlign w:val="center"/>
            <w:textDirection w:val="lrTb"/>
            <w:noWrap w:val="false"/>
          </w:tcPr>
          <w:p>
            <w:pPr>
              <w:numPr>
                <w:ilvl w:val="0"/>
                <w:numId w:val="7"/>
              </w:numPr>
              <w:ind w:left="0" w:firstLine="0"/>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评委根据供应商针对本项目服务过程中可能出现的紧急情况所提出的应急预案进行评分：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应急预案完整、细致，符合项目需求，可操作性强得</w:t>
            </w: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应急预案较完整、较细致，基本符合项目需求，可操作性较强得</w:t>
            </w: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应急预案不完整、不细致，与项目需求响应度低，可操作性一般得</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应急预案较差得</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分；</w:t>
            </w:r>
            <w:r/>
          </w:p>
          <w:p>
            <w:pPr>
              <w:numPr>
                <w:ilvl w:val="0"/>
                <w:numId w:val="0"/>
              </w:numPr>
              <w:keepLines w:val="0"/>
              <w:keepNext w:val="0"/>
              <w:pageBreakBefore w:val="0"/>
              <w:spacing w:line="312" w:lineRule="auto"/>
              <w:rPr>
                <w:rFonts w:cs="宋体" w:asciiTheme="minorEastAsia" w:hAnsiTheme="minorEastAsia"/>
                <w:b/>
                <w:color w:val="auto"/>
                <w:szCs w:val="21"/>
                <w:highlight w:val="none"/>
              </w:rPr>
            </w:pPr>
            <w:r>
              <w:rPr>
                <w:rFonts w:hint="eastAsia" w:cs="宋体" w:asciiTheme="minorEastAsia" w:hAnsiTheme="minorEastAsia"/>
                <w:color w:val="auto"/>
                <w:szCs w:val="21"/>
                <w:highlight w:val="none"/>
              </w:rPr>
              <w:t xml:space="preserve">未提供的不得分。</w:t>
            </w:r>
            <w:r/>
          </w:p>
        </w:tc>
      </w:tr>
      <w:tr>
        <w:trPr>
          <w:jc w:val="center"/>
          <w:trHeight w:val="1031"/>
        </w:trPr>
        <w:tc>
          <w:tcPr>
            <w:tcW w:w="657" w:type="pct"/>
            <w:vAlign w:val="center"/>
            <w:vMerge w:val="restart"/>
            <w:textDirection w:val="lrTb"/>
            <w:noWrap w:val="false"/>
          </w:tcPr>
          <w:p>
            <w:pPr>
              <w:jc w:val="center"/>
              <w:spacing w:line="3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企业管理</w:t>
            </w:r>
            <w:r/>
          </w:p>
          <w:p>
            <w:pPr>
              <w:keepLines w:val="0"/>
              <w:keepNext w:val="0"/>
              <w:pageBreakBefore w:val="0"/>
              <w:spacing w:line="312" w:lineRule="auto"/>
              <w:rPr>
                <w:rFonts w:cs="宋体" w:asciiTheme="minorEastAsia" w:hAnsiTheme="minorEastAsia"/>
                <w:color w:val="auto"/>
                <w:szCs w:val="21"/>
                <w:highlight w:val="none"/>
              </w:rPr>
            </w:pPr>
            <w:r>
              <w:rPr>
                <w:rFonts w:hint="eastAsia" w:ascii="宋体" w:hAnsi="宋体" w:cs="宋体"/>
                <w:color w:val="auto"/>
                <w:szCs w:val="21"/>
                <w:highlight w:val="none"/>
              </w:rPr>
              <w:t xml:space="preserve">（10分）</w:t>
            </w:r>
            <w:r/>
          </w:p>
        </w:tc>
        <w:tc>
          <w:tcPr>
            <w:tcW w:w="4342" w:type="pct"/>
            <w:vAlign w:val="center"/>
            <w:textDirection w:val="lrTb"/>
            <w:noWrap w:val="false"/>
          </w:tcPr>
          <w:p>
            <w:pPr>
              <w:jc w:val="both"/>
              <w:spacing w:line="340" w:lineRule="exact"/>
              <w:widowControl/>
              <w:rPr>
                <w:rFonts w:hint="eastAsia" w:ascii="宋体" w:hAnsi="宋体" w:eastAsia="宋体"/>
                <w:color w:val="auto"/>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安全管理</w:t>
            </w:r>
            <w:r>
              <w:rPr>
                <w:rFonts w:hint="eastAsia" w:ascii="宋体" w:hAnsi="宋体" w:cs="宋体"/>
                <w:color w:val="auto"/>
                <w:szCs w:val="21"/>
                <w:highlight w:val="none"/>
                <w:lang w:eastAsia="zh-CN"/>
              </w:rPr>
              <w:t xml:space="preserve">：</w:t>
            </w:r>
            <w:r>
              <w:rPr>
                <w:rFonts w:hint="eastAsia" w:ascii="宋体" w:hAnsi="宋体"/>
                <w:color w:val="auto"/>
                <w:highlight w:val="none"/>
              </w:rPr>
              <w:t xml:space="preserve">居家上门服务全流程安全生产管理制度和措施</w:t>
            </w:r>
            <w:r/>
          </w:p>
          <w:p>
            <w:pPr>
              <w:numPr>
                <w:ilvl w:val="0"/>
                <w:numId w:val="0"/>
              </w:numPr>
              <w:keepLines w:val="0"/>
              <w:keepNext w:val="0"/>
              <w:pageBreakBefore w:val="0"/>
              <w:spacing w:line="312" w:lineRule="auto"/>
              <w:rPr>
                <w:rFonts w:hint="eastAsia" w:ascii="宋体" w:hAnsi="宋体"/>
                <w:color w:val="auto"/>
                <w:highlight w:val="none"/>
              </w:rPr>
            </w:pPr>
            <w:r>
              <w:rPr>
                <w:rFonts w:hint="eastAsia" w:ascii="宋体" w:hAnsi="宋体"/>
                <w:color w:val="auto"/>
                <w:highlight w:val="none"/>
              </w:rPr>
              <w:t xml:space="preserve">投标人制定居家上门服务全流程安全生产管理制度和措施，定期开展安全生产培训，制定突发安全事件应对预案，承诺办理居家服务员意外伤害保险。</w:t>
            </w:r>
            <w:r/>
          </w:p>
          <w:p>
            <w:pPr>
              <w:jc w:val="left"/>
              <w:spacing w:line="340" w:lineRule="exact"/>
              <w:widowControl/>
              <w:rPr>
                <w:rFonts w:hint="eastAsia" w:ascii="宋体" w:hAnsi="宋体"/>
                <w:color w:val="auto"/>
                <w:highlight w:val="none"/>
              </w:rPr>
            </w:pPr>
            <w:r>
              <w:rPr>
                <w:rFonts w:hint="eastAsia" w:ascii="宋体" w:hAnsi="宋体"/>
                <w:color w:val="auto"/>
                <w:highlight w:val="none"/>
              </w:rPr>
              <w:t xml:space="preserve">制度完善、处置预案得当的得5分；</w:t>
            </w:r>
            <w:r/>
          </w:p>
          <w:p>
            <w:pPr>
              <w:jc w:val="left"/>
              <w:spacing w:line="340" w:lineRule="exact"/>
              <w:widowControl/>
              <w:rPr>
                <w:rFonts w:hint="eastAsia" w:ascii="宋体" w:hAnsi="宋体"/>
                <w:color w:val="auto"/>
                <w:highlight w:val="none"/>
              </w:rPr>
            </w:pPr>
            <w:r>
              <w:rPr>
                <w:rFonts w:hint="eastAsia" w:ascii="宋体" w:hAnsi="宋体"/>
                <w:color w:val="auto"/>
                <w:highlight w:val="none"/>
              </w:rPr>
              <w:t xml:space="preserve">制度较完善、处置预案较得当的得3分；</w:t>
            </w:r>
            <w:r/>
          </w:p>
          <w:p>
            <w:pPr>
              <w:jc w:val="left"/>
              <w:spacing w:line="340" w:lineRule="exact"/>
              <w:widowControl/>
              <w:rPr>
                <w:rFonts w:hint="eastAsia" w:ascii="宋体" w:hAnsi="宋体"/>
                <w:color w:val="auto"/>
                <w:highlight w:val="none"/>
              </w:rPr>
            </w:pPr>
            <w:r>
              <w:rPr>
                <w:rFonts w:hint="eastAsia" w:ascii="宋体" w:hAnsi="宋体"/>
                <w:color w:val="auto"/>
                <w:highlight w:val="none"/>
              </w:rPr>
              <w:t xml:space="preserve">制度不够完善、处置预案一般的得1分；</w:t>
            </w:r>
            <w:r/>
          </w:p>
          <w:p>
            <w:pPr>
              <w:pStyle w:val="748"/>
              <w:ind w:left="0" w:firstLine="0"/>
              <w:rPr>
                <w:rFonts w:hint="eastAsia"/>
                <w:color w:val="auto"/>
                <w:highlight w:val="none"/>
              </w:rPr>
            </w:pPr>
            <w:r>
              <w:rPr>
                <w:rFonts w:hint="eastAsia" w:ascii="宋体" w:hAnsi="宋体"/>
                <w:color w:val="auto"/>
                <w:highlight w:val="none"/>
              </w:rPr>
              <w:t xml:space="preserve">其他情况概不得分。</w:t>
            </w:r>
            <w:r/>
          </w:p>
        </w:tc>
      </w:tr>
      <w:tr>
        <w:trPr>
          <w:jc w:val="center"/>
          <w:trHeight w:val="1031"/>
        </w:trPr>
        <w:tc>
          <w:tcPr>
            <w:tcW w:w="657" w:type="pct"/>
            <w:vAlign w:val="center"/>
            <w:vMerge w:val="continue"/>
            <w:textDirection w:val="lrTb"/>
            <w:noWrap w:val="false"/>
          </w:tcPr>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W w:w="4342" w:type="pct"/>
            <w:vAlign w:val="center"/>
            <w:textDirection w:val="lrTb"/>
            <w:noWrap w:val="false"/>
          </w:tcPr>
          <w:p>
            <w:pPr>
              <w:jc w:val="both"/>
              <w:spacing w:line="340" w:lineRule="exact"/>
              <w:widowControl/>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2、</w:t>
            </w:r>
            <w:r>
              <w:rPr>
                <w:rFonts w:hint="eastAsia" w:ascii="宋体" w:hAnsi="宋体" w:cs="宋体"/>
                <w:color w:val="auto"/>
                <w:szCs w:val="21"/>
                <w:highlight w:val="none"/>
              </w:rPr>
              <w:t xml:space="preserve">劳动管理</w:t>
            </w:r>
            <w:r>
              <w:rPr>
                <w:rFonts w:hint="eastAsia" w:ascii="宋体" w:hAnsi="宋体" w:cs="宋体"/>
                <w:color w:val="auto"/>
                <w:szCs w:val="21"/>
                <w:highlight w:val="none"/>
                <w:lang w:eastAsia="zh-CN"/>
              </w:rPr>
              <w:t xml:space="preserve">：</w:t>
            </w:r>
            <w:r>
              <w:rPr>
                <w:rFonts w:hint="eastAsia" w:ascii="宋体" w:hAnsi="宋体"/>
                <w:color w:val="auto"/>
                <w:highlight w:val="none"/>
              </w:rPr>
              <w:t xml:space="preserve">配置管理团队和服务团队</w:t>
            </w:r>
            <w:r/>
          </w:p>
          <w:p>
            <w:pPr>
              <w:spacing w:line="340" w:lineRule="exact"/>
              <w:widowControl/>
              <w:rPr>
                <w:rFonts w:hint="eastAsia" w:ascii="宋体" w:hAnsi="宋体"/>
                <w:color w:val="auto"/>
                <w:highlight w:val="none"/>
              </w:rPr>
            </w:pPr>
            <w:r>
              <w:rPr>
                <w:rFonts w:hint="eastAsia" w:ascii="宋体" w:hAnsi="宋体"/>
                <w:color w:val="auto"/>
                <w:highlight w:val="none"/>
              </w:rPr>
              <w:t xml:space="preserve">投标人合理配置管理团队和服务团队，岗位工作制度完善、职责明确；用工管理符合相关法律法规规定</w:t>
            </w:r>
            <w:r>
              <w:rPr>
                <w:rFonts w:hint="eastAsia" w:ascii="宋体" w:hAnsi="宋体"/>
                <w:color w:val="auto"/>
                <w:highlight w:val="none"/>
                <w:lang w:eastAsia="zh-CN"/>
              </w:rPr>
              <w:t xml:space="preserve">，</w:t>
            </w:r>
            <w:r>
              <w:rPr>
                <w:rFonts w:hint="eastAsia" w:ascii="宋体" w:hAnsi="宋体"/>
                <w:color w:val="auto"/>
                <w:highlight w:val="none"/>
              </w:rPr>
              <w:t xml:space="preserve">从事养老服务人员薪酬制度合理，及时发放。</w:t>
            </w:r>
            <w:r/>
          </w:p>
          <w:p>
            <w:pPr>
              <w:spacing w:line="340" w:lineRule="exact"/>
              <w:widowControl/>
              <w:rPr>
                <w:rFonts w:hint="eastAsia" w:ascii="宋体" w:hAnsi="宋体"/>
                <w:color w:val="auto"/>
                <w:highlight w:val="none"/>
              </w:rPr>
            </w:pPr>
            <w:r>
              <w:rPr>
                <w:rFonts w:hint="eastAsia" w:ascii="宋体" w:hAnsi="宋体"/>
                <w:color w:val="auto"/>
                <w:highlight w:val="none"/>
              </w:rPr>
              <w:t xml:space="preserve">团队配置合理、岗位制度完善的得5分；</w:t>
            </w:r>
            <w:r/>
          </w:p>
          <w:p>
            <w:pPr>
              <w:spacing w:line="340" w:lineRule="exact"/>
              <w:widowControl/>
              <w:rPr>
                <w:rFonts w:hint="eastAsia" w:ascii="宋体" w:hAnsi="宋体"/>
                <w:color w:val="auto"/>
                <w:highlight w:val="none"/>
              </w:rPr>
            </w:pPr>
            <w:r>
              <w:rPr>
                <w:rFonts w:hint="eastAsia" w:ascii="宋体" w:hAnsi="宋体"/>
                <w:color w:val="auto"/>
                <w:highlight w:val="none"/>
              </w:rPr>
              <w:t xml:space="preserve">团队配置较合理、岗位制度较完善的得3分；</w:t>
            </w:r>
            <w:r/>
          </w:p>
          <w:p>
            <w:pPr>
              <w:spacing w:line="340" w:lineRule="exact"/>
              <w:widowControl/>
              <w:rPr>
                <w:rFonts w:hint="eastAsia" w:ascii="宋体" w:hAnsi="宋体"/>
                <w:color w:val="auto"/>
                <w:highlight w:val="none"/>
              </w:rPr>
            </w:pPr>
            <w:r>
              <w:rPr>
                <w:rFonts w:hint="eastAsia" w:ascii="宋体" w:hAnsi="宋体"/>
                <w:color w:val="auto"/>
                <w:highlight w:val="none"/>
              </w:rPr>
              <w:t xml:space="preserve">团队配置不够合理、岗位制度不够完善的得1分；</w:t>
            </w:r>
            <w:r/>
          </w:p>
          <w:p>
            <w:pPr>
              <w:numPr>
                <w:ilvl w:val="0"/>
                <w:numId w:val="0"/>
              </w:numPr>
              <w:keepLines w:val="0"/>
              <w:keepNext w:val="0"/>
              <w:pageBreakBefore w:val="0"/>
              <w:spacing w:line="312" w:lineRule="auto"/>
              <w:rPr>
                <w:rFonts w:hint="eastAsia" w:ascii="宋体" w:hAnsi="宋体"/>
                <w:color w:val="auto"/>
                <w:szCs w:val="21"/>
                <w:highlight w:val="none"/>
              </w:rPr>
            </w:pPr>
            <w:r>
              <w:rPr>
                <w:rFonts w:hint="eastAsia" w:ascii="宋体" w:hAnsi="宋体"/>
                <w:color w:val="auto"/>
                <w:highlight w:val="none"/>
              </w:rPr>
              <w:t xml:space="preserve">其他情况概不得分。</w:t>
            </w:r>
            <w:r/>
          </w:p>
        </w:tc>
      </w:tr>
      <w:tr>
        <w:trPr>
          <w:jc w:val="center"/>
          <w:trHeight w:val="1031"/>
        </w:trPr>
        <w:tc>
          <w:tcPr>
            <w:tcW w:w="657" w:type="pct"/>
            <w:vAlign w:val="center"/>
            <w:textDirection w:val="lrTb"/>
            <w:noWrap w:val="false"/>
          </w:tcPr>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jc w:val="center"/>
              <w:keepLines w:val="0"/>
              <w:keepNext w:val="0"/>
              <w:pageBreakBefore w:val="0"/>
              <w:spacing w:line="312" w:lineRule="auto"/>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人力资源配置方案</w:t>
            </w:r>
            <w:r/>
          </w:p>
          <w:p>
            <w:pPr>
              <w:jc w:val="center"/>
              <w:keepLines w:val="0"/>
              <w:keepNext w:val="0"/>
              <w:pageBreakBefore w:val="0"/>
              <w:spacing w:line="312" w:lineRule="auto"/>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w:t>
            </w:r>
            <w:r>
              <w:rPr>
                <w:rFonts w:hint="eastAsia" w:asciiTheme="minorEastAsia" w:hAnsiTheme="minorEastAsia"/>
                <w:color w:val="auto"/>
                <w:szCs w:val="21"/>
                <w:highlight w:val="none"/>
                <w:lang w:val="en-US" w:eastAsia="zh-CN"/>
              </w:rPr>
              <w:t xml:space="preserve">12</w:t>
            </w:r>
            <w:r>
              <w:rPr>
                <w:rFonts w:hint="eastAsia" w:asciiTheme="minorEastAsia" w:hAnsiTheme="minorEastAsia"/>
                <w:color w:val="auto"/>
                <w:szCs w:val="21"/>
                <w:highlight w:val="none"/>
              </w:rPr>
              <w:t xml:space="preserve">分）</w:t>
            </w:r>
            <w:r/>
          </w:p>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W w:w="4342" w:type="pct"/>
            <w:vAlign w:val="center"/>
            <w:textDirection w:val="lrTb"/>
            <w:noWrap w:val="false"/>
          </w:tcPr>
          <w:p>
            <w:pPr>
              <w:numPr>
                <w:ilvl w:val="0"/>
                <w:numId w:val="8"/>
              </w:numPr>
              <w:keepLines w:val="0"/>
              <w:keepNext w:val="0"/>
              <w:pageBreakBefore w:val="0"/>
              <w:spacing w:line="312" w:lineRule="auto"/>
              <w:rPr>
                <w:rFonts w:ascii="宋体" w:hAnsi="宋体"/>
                <w:color w:val="auto"/>
                <w:szCs w:val="21"/>
                <w:highlight w:val="none"/>
              </w:rPr>
            </w:pPr>
            <w:r>
              <w:rPr>
                <w:rFonts w:hint="eastAsia" w:ascii="宋体" w:hAnsi="宋体"/>
                <w:color w:val="auto"/>
                <w:szCs w:val="21"/>
                <w:highlight w:val="none"/>
              </w:rPr>
              <w:t xml:space="preserve">项目负责人</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本项满分5分）</w:t>
            </w:r>
            <w:r>
              <w:rPr>
                <w:rFonts w:hint="eastAsia" w:ascii="宋体" w:hAnsi="宋体"/>
                <w:color w:val="auto"/>
                <w:szCs w:val="21"/>
                <w:highlight w:val="none"/>
              </w:rPr>
              <w:t xml:space="preserve">：</w:t>
            </w:r>
            <w:r/>
          </w:p>
          <w:p>
            <w:pPr>
              <w:pStyle w:val="982"/>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项目负责人持养老护理员证书的得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，不提供不得分</w:t>
            </w:r>
            <w:r>
              <w:rPr>
                <w:rFonts w:hint="eastAsia" w:ascii="宋体" w:hAnsi="宋体" w:cs="宋体"/>
                <w:color w:val="auto"/>
                <w:sz w:val="21"/>
                <w:szCs w:val="21"/>
                <w:highlight w:val="none"/>
              </w:rPr>
              <w:t xml:space="preserve">。</w:t>
            </w:r>
            <w:r/>
          </w:p>
          <w:p>
            <w:pPr>
              <w:pStyle w:val="982"/>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项目负责人具有老年人能力评估师（高级）的得2分</w:t>
            </w:r>
            <w:r>
              <w:rPr>
                <w:rFonts w:hint="eastAsia" w:ascii="宋体" w:hAnsi="宋体" w:cs="宋体"/>
                <w:color w:val="auto"/>
                <w:sz w:val="21"/>
                <w:szCs w:val="21"/>
                <w:highlight w:val="none"/>
                <w:lang w:eastAsia="zh-CN"/>
              </w:rPr>
              <w:t xml:space="preserve">；具有二级技师的得</w:t>
            </w:r>
            <w:r>
              <w:rPr>
                <w:rFonts w:hint="eastAsia" w:ascii="宋体" w:hAnsi="宋体" w:cs="宋体"/>
                <w:color w:val="auto"/>
                <w:sz w:val="21"/>
                <w:szCs w:val="21"/>
                <w:highlight w:val="none"/>
                <w:lang w:val="en-US" w:eastAsia="zh-CN"/>
              </w:rPr>
              <w:t xml:space="preserve">1分，不提供不得分</w:t>
            </w:r>
            <w:r>
              <w:rPr>
                <w:rFonts w:hint="eastAsia" w:ascii="宋体" w:hAnsi="宋体" w:cs="宋体"/>
                <w:color w:val="auto"/>
                <w:sz w:val="21"/>
                <w:szCs w:val="21"/>
                <w:highlight w:val="none"/>
              </w:rPr>
              <w:t xml:space="preserve">。</w:t>
            </w:r>
            <w:r/>
          </w:p>
          <w:p>
            <w:pPr>
              <w:pStyle w:val="982"/>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项目负责人具有本科及以上学历的得1分；具有大专学历的得0.5分；其余不得分。</w:t>
            </w:r>
            <w:r/>
          </w:p>
          <w:p>
            <w:pPr>
              <w:keepLines w:val="0"/>
              <w:keepNext w:val="0"/>
              <w:pageBreakBefore w:val="0"/>
              <w:spacing w:line="312" w:lineRule="auto"/>
              <w:rPr>
                <w:rFonts w:hint="eastAsia" w:ascii="宋体" w:hAnsi="宋体" w:eastAsia="宋体"/>
                <w:b/>
                <w:bCs/>
                <w:color w:val="auto"/>
                <w:szCs w:val="21"/>
                <w:highlight w:val="none"/>
                <w:lang w:val="en-US" w:eastAsia="zh-CN"/>
              </w:rPr>
            </w:pPr>
            <w:r>
              <w:rPr>
                <w:rFonts w:hint="eastAsia" w:ascii="宋体" w:hAnsi="宋体" w:cs="宋体"/>
                <w:b/>
                <w:bCs/>
                <w:color w:val="auto"/>
                <w:szCs w:val="21"/>
                <w:highlight w:val="none"/>
              </w:rPr>
              <w:t xml:space="preserve">（以上须提供相关证书以及投标人为其缴纳的的近</w:t>
            </w:r>
            <w:r>
              <w:rPr>
                <w:rFonts w:hint="eastAsia" w:ascii="宋体" w:hAnsi="宋体" w:cs="宋体"/>
                <w:b/>
                <w:bCs/>
                <w:color w:val="auto"/>
                <w:szCs w:val="21"/>
                <w:highlight w:val="none"/>
                <w:lang w:eastAsia="zh-CN"/>
              </w:rPr>
              <w:t xml:space="preserve">三</w:t>
            </w:r>
            <w:r>
              <w:rPr>
                <w:rFonts w:hint="eastAsia" w:ascii="宋体" w:hAnsi="宋体" w:cs="宋体"/>
                <w:b/>
                <w:bCs/>
                <w:color w:val="auto"/>
                <w:szCs w:val="21"/>
                <w:highlight w:val="none"/>
              </w:rPr>
              <w:t xml:space="preserve">个月的任意一月社保缴纳证明，原件扫描件上传，否则不得分）</w:t>
            </w:r>
            <w:r/>
          </w:p>
          <w:p>
            <w:pPr>
              <w:numPr>
                <w:ilvl w:val="0"/>
                <w:numId w:val="0"/>
              </w:numPr>
              <w:keepLines w:val="0"/>
              <w:keepNext w:val="0"/>
              <w:pageBreakBefore w:val="0"/>
              <w:spacing w:line="312" w:lineRule="auto"/>
              <w:rPr>
                <w:rFonts w:ascii="宋体" w:hAnsi="宋体"/>
                <w:color w:val="auto"/>
                <w:szCs w:val="21"/>
                <w:highlight w:val="none"/>
              </w:rPr>
            </w:pPr>
            <w:r>
              <w:rPr>
                <w:rFonts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团队成员中</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本项满分7分）</w:t>
            </w:r>
            <w:r>
              <w:rPr>
                <w:rFonts w:hint="eastAsia" w:ascii="宋体" w:hAnsi="宋体"/>
                <w:color w:val="auto"/>
                <w:szCs w:val="21"/>
                <w:highlight w:val="none"/>
              </w:rPr>
              <w:t xml:space="preserve">：</w:t>
            </w:r>
            <w:r/>
          </w:p>
          <w:p>
            <w:pPr>
              <w:jc w:val="left"/>
              <w:spacing w:line="340" w:lineRule="exact"/>
              <w:widowControl/>
              <w:rPr>
                <w:rFonts w:hint="eastAsia" w:ascii="宋体" w:hAnsi="宋体"/>
                <w:color w:val="auto"/>
                <w:highlight w:val="none"/>
              </w:rPr>
            </w:pPr>
            <w:r>
              <w:rPr>
                <w:rFonts w:hint="eastAsia" w:ascii="宋体" w:hAnsi="宋体"/>
                <w:color w:val="auto"/>
                <w:highlight w:val="none"/>
              </w:rPr>
              <w:t xml:space="preserve">投标人服务及管理团队中，人员具有社会工作师证、养老护理员证、健康管理师证、</w:t>
            </w:r>
            <w:r>
              <w:rPr>
                <w:rFonts w:hint="eastAsia" w:ascii="宋体" w:hAnsi="宋体"/>
                <w:color w:val="auto"/>
                <w:highlight w:val="none"/>
                <w:lang w:eastAsia="zh-CN"/>
              </w:rPr>
              <w:t xml:space="preserve">康复医疗</w:t>
            </w:r>
            <w:r>
              <w:rPr>
                <w:rFonts w:hint="eastAsia" w:ascii="宋体" w:hAnsi="宋体"/>
                <w:color w:val="auto"/>
                <w:highlight w:val="none"/>
              </w:rPr>
              <w:t xml:space="preserve">证、公共营养师证、老年人能力评估师证</w:t>
            </w:r>
            <w:r>
              <w:rPr>
                <w:rFonts w:hint="eastAsia" w:ascii="宋体" w:hAnsi="宋体"/>
                <w:color w:val="auto"/>
                <w:highlight w:val="none"/>
                <w:lang w:eastAsia="zh-CN"/>
              </w:rPr>
              <w:t xml:space="preserve">、</w:t>
            </w:r>
            <w:r>
              <w:rPr>
                <w:rFonts w:hint="eastAsia"/>
                <w:color w:val="auto"/>
                <w:highlight w:val="none"/>
                <w:lang w:val="en-US" w:eastAsia="zh-CN"/>
              </w:rPr>
              <w:t xml:space="preserve">护士职业资格证书、心理咨询师证书</w:t>
            </w:r>
            <w:r>
              <w:rPr>
                <w:rFonts w:hint="eastAsia" w:ascii="宋体" w:hAnsi="宋体"/>
                <w:color w:val="auto"/>
                <w:highlight w:val="none"/>
              </w:rPr>
              <w:t xml:space="preserve">，每具有一种证书得1分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每人需持有以上任意一种证书</w:t>
            </w:r>
            <w:r>
              <w:rPr>
                <w:rFonts w:hint="eastAsia" w:ascii="宋体" w:hAnsi="宋体"/>
                <w:color w:val="auto"/>
                <w:highlight w:val="none"/>
                <w:lang w:eastAsia="zh-CN"/>
              </w:rPr>
              <w:t xml:space="preserve">）</w:t>
            </w:r>
            <w:r>
              <w:rPr>
                <w:rFonts w:hint="eastAsia" w:ascii="宋体" w:hAnsi="宋体"/>
                <w:color w:val="auto"/>
                <w:highlight w:val="none"/>
              </w:rPr>
              <w:t xml:space="preserve">，1人持多种证书的不重复计分。本项</w:t>
            </w:r>
            <w:r>
              <w:rPr>
                <w:rFonts w:hint="eastAsia" w:ascii="宋体" w:hAnsi="宋体"/>
                <w:color w:val="auto"/>
                <w:sz w:val="21"/>
                <w:szCs w:val="22"/>
                <w:highlight w:val="none"/>
                <w:lang w:eastAsia="zh-CN"/>
              </w:rPr>
              <w:t xml:space="preserve">最高分为</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numPr>
                <w:ilvl w:val="0"/>
                <w:numId w:val="0"/>
              </w:numPr>
              <w:ind w:left="0" w:firstLine="0"/>
              <w:jc w:val="left"/>
              <w:keepLines w:val="0"/>
              <w:keepNext w:val="0"/>
              <w:pageBreakBefore w:val="0"/>
              <w:spacing w:line="312" w:lineRule="auto"/>
              <w:rPr>
                <w:rFonts w:asciiTheme="minorEastAsia" w:hAnsiTheme="minorEastAsia"/>
                <w:color w:val="auto"/>
                <w:szCs w:val="21"/>
                <w:highlight w:val="none"/>
              </w:rPr>
              <w:outlineLvl w:val="0"/>
            </w:pPr>
            <w:r>
              <w:rPr>
                <w:rFonts w:hint="eastAsia" w:ascii="宋体" w:hAnsi="宋体"/>
                <w:b/>
                <w:bCs/>
                <w:color w:val="auto"/>
                <w:highlight w:val="none"/>
              </w:rPr>
              <w:t xml:space="preserve">注：提供上述证书</w:t>
            </w:r>
            <w:r>
              <w:rPr>
                <w:rFonts w:hint="eastAsia" w:ascii="宋体" w:hAnsi="宋体"/>
                <w:b/>
                <w:bCs/>
                <w:color w:val="auto"/>
                <w:highlight w:val="none"/>
                <w:lang w:eastAsia="zh-CN"/>
              </w:rPr>
              <w:t xml:space="preserve">扫描件、</w:t>
            </w:r>
            <w:r>
              <w:rPr>
                <w:rFonts w:hint="eastAsia" w:ascii="宋体" w:hAnsi="宋体"/>
                <w:b/>
                <w:color w:val="auto"/>
                <w:szCs w:val="21"/>
                <w:highlight w:val="none"/>
              </w:rPr>
              <w:t xml:space="preserve">团队花名册以及</w:t>
            </w:r>
            <w:r>
              <w:rPr>
                <w:rFonts w:hint="eastAsia" w:ascii="宋体" w:hAnsi="宋体" w:cs="宋体"/>
                <w:b/>
                <w:bCs/>
                <w:color w:val="auto"/>
                <w:szCs w:val="21"/>
                <w:highlight w:val="none"/>
              </w:rPr>
              <w:t xml:space="preserve">投标人与护理人员签署的劳动协议</w:t>
            </w:r>
            <w:r>
              <w:rPr>
                <w:rFonts w:hint="eastAsia" w:ascii="宋体" w:hAnsi="宋体" w:cs="宋体"/>
                <w:b/>
                <w:bCs/>
                <w:color w:val="auto"/>
                <w:szCs w:val="21"/>
                <w:highlight w:val="none"/>
                <w:lang w:eastAsia="zh-CN"/>
              </w:rPr>
              <w:t xml:space="preserve">等</w:t>
            </w:r>
            <w:r>
              <w:rPr>
                <w:rFonts w:hint="eastAsia" w:ascii="宋体" w:hAnsi="宋体"/>
                <w:b/>
                <w:color w:val="auto"/>
                <w:szCs w:val="21"/>
                <w:highlight w:val="none"/>
              </w:rPr>
              <w:t xml:space="preserve">相关证明材料</w:t>
            </w:r>
            <w:r>
              <w:rPr>
                <w:rFonts w:hint="eastAsia" w:ascii="宋体" w:hAnsi="宋体"/>
                <w:b/>
                <w:bCs/>
                <w:color w:val="auto"/>
                <w:szCs w:val="21"/>
                <w:highlight w:val="none"/>
                <w:lang w:val="en-US" w:eastAsia="zh-CN"/>
              </w:rPr>
              <w:t xml:space="preserve">并加盖公章，</w:t>
            </w:r>
            <w:r>
              <w:rPr>
                <w:rFonts w:hint="eastAsia" w:ascii="宋体" w:hAnsi="宋体" w:cs="宋体"/>
                <w:b/>
                <w:bCs/>
                <w:color w:val="auto"/>
                <w:szCs w:val="21"/>
                <w:highlight w:val="none"/>
              </w:rPr>
              <w:t xml:space="preserve">原件扫描件上传，否则不得分</w:t>
            </w:r>
            <w:r>
              <w:rPr>
                <w:rFonts w:hint="eastAsia" w:ascii="宋体" w:hAnsi="宋体"/>
                <w:color w:val="auto"/>
                <w:szCs w:val="21"/>
                <w:highlight w:val="none"/>
              </w:rPr>
              <w:t xml:space="preserve">。</w:t>
            </w:r>
            <w:r/>
          </w:p>
        </w:tc>
      </w:tr>
      <w:tr>
        <w:trPr>
          <w:jc w:val="center"/>
          <w:trHeight w:val="1058"/>
        </w:trPr>
        <w:tc>
          <w:tcPr>
            <w:shd w:val="clear" w:color="auto" w:fill="auto"/>
            <w:tcW w:w="657" w:type="pct"/>
            <w:vAlign w:val="center"/>
            <w:textDirection w:val="lrTb"/>
            <w:noWrap w:val="false"/>
          </w:tcPr>
          <w:p>
            <w:pPr>
              <w:jc w:val="center"/>
              <w:keepLines w:val="0"/>
              <w:keepNext w:val="0"/>
              <w:pageBreakBefore w:val="0"/>
              <w:spacing w:line="312"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企业综合实力</w:t>
            </w:r>
            <w:r/>
          </w:p>
          <w:p>
            <w:pPr>
              <w:jc w:val="center"/>
              <w:keepLines w:val="0"/>
              <w:keepNext w:val="0"/>
              <w:pageBreakBefore w:val="0"/>
              <w:spacing w:line="312" w:lineRule="auto"/>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w:t>
            </w:r>
            <w:r>
              <w:rPr>
                <w:rFonts w:hint="eastAsia" w:asciiTheme="minorEastAsia" w:hAnsiTheme="minorEastAsia"/>
                <w:color w:val="auto"/>
                <w:szCs w:val="21"/>
                <w:highlight w:val="none"/>
                <w:lang w:val="en-US" w:eastAsia="zh-CN"/>
              </w:rPr>
              <w:t xml:space="preserve">10分</w:t>
            </w:r>
            <w:r>
              <w:rPr>
                <w:rFonts w:hint="eastAsia" w:asciiTheme="minorEastAsia" w:hAnsiTheme="minorEastAsia"/>
                <w:color w:val="auto"/>
                <w:szCs w:val="21"/>
                <w:highlight w:val="none"/>
                <w:lang w:eastAsia="zh-CN"/>
              </w:rPr>
              <w:t xml:space="preserve">）</w:t>
            </w:r>
            <w:r/>
          </w:p>
          <w:p>
            <w:pPr>
              <w:keepLines w:val="0"/>
              <w:keepNext w:val="0"/>
              <w:pageBreakBefore w:val="0"/>
              <w:spacing w:line="312"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shd w:val="clear" w:color="auto" w:fill="auto"/>
            <w:tcW w:w="4342" w:type="pct"/>
            <w:vAlign w:val="center"/>
            <w:textDirection w:val="lrTb"/>
            <w:noWrap w:val="false"/>
          </w:tcPr>
          <w:p>
            <w:pPr>
              <w:numPr>
                <w:ilvl w:val="0"/>
                <w:numId w:val="0"/>
              </w:numPr>
              <w:keepLines w:val="0"/>
              <w:keepNext w:val="0"/>
              <w:pageBreakBefore w:val="0"/>
              <w:spacing w:line="312" w:lineRule="auto"/>
              <w:rPr>
                <w:rFonts w:hint="default" w:ascii="宋体" w:hAnsi="宋体" w:cs="宋体"/>
                <w:b/>
                <w:bCs/>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olor w:val="auto"/>
                <w:sz w:val="21"/>
                <w:szCs w:val="22"/>
                <w:highlight w:val="none"/>
              </w:rPr>
              <w:t xml:space="preserve">投标人应根据实际需求合理配备现场服务设施（如助浴设施、助洁</w:t>
            </w:r>
            <w:r>
              <w:rPr>
                <w:rFonts w:hint="eastAsia" w:ascii="宋体" w:hAnsi="宋体"/>
                <w:color w:val="auto"/>
                <w:sz w:val="21"/>
                <w:szCs w:val="22"/>
                <w:highlight w:val="none"/>
                <w:lang w:eastAsia="zh-CN"/>
              </w:rPr>
              <w:t xml:space="preserve">设施、助餐设施、</w:t>
            </w:r>
            <w:r>
              <w:rPr>
                <w:rFonts w:hint="eastAsia" w:ascii="宋体" w:hAnsi="宋体" w:cs="宋体"/>
                <w:color w:val="auto"/>
                <w:szCs w:val="21"/>
                <w:highlight w:val="none"/>
              </w:rPr>
              <w:t xml:space="preserve">助医</w:t>
            </w:r>
            <w:r>
              <w:rPr>
                <w:rFonts w:hint="eastAsia" w:ascii="宋体" w:hAnsi="宋体" w:cs="宋体"/>
                <w:color w:val="auto"/>
                <w:szCs w:val="21"/>
                <w:highlight w:val="none"/>
                <w:lang w:eastAsia="zh-CN"/>
              </w:rPr>
              <w:t xml:space="preserve">设施、</w:t>
            </w:r>
            <w:r>
              <w:rPr>
                <w:rFonts w:hint="eastAsia" w:ascii="宋体" w:hAnsi="宋体"/>
                <w:color w:val="auto"/>
                <w:sz w:val="21"/>
                <w:szCs w:val="22"/>
                <w:highlight w:val="none"/>
              </w:rPr>
              <w:t xml:space="preserve">康复设施</w:t>
            </w:r>
            <w:r>
              <w:rPr>
                <w:rFonts w:hint="eastAsia" w:ascii="宋体" w:hAnsi="宋体"/>
                <w:color w:val="auto"/>
                <w:sz w:val="21"/>
                <w:szCs w:val="22"/>
                <w:highlight w:val="none"/>
              </w:rPr>
              <w:t xml:space="preserve">、应急救助设施等)，每提供一项得1分，</w:t>
            </w:r>
            <w:r>
              <w:rPr>
                <w:rFonts w:hint="eastAsia" w:ascii="宋体" w:hAnsi="宋体"/>
                <w:color w:val="auto"/>
                <w:sz w:val="21"/>
                <w:szCs w:val="22"/>
                <w:highlight w:val="none"/>
                <w:lang w:eastAsia="zh-CN"/>
              </w:rPr>
              <w:t xml:space="preserve">本项最高分为</w:t>
            </w:r>
            <w:r>
              <w:rPr>
                <w:rFonts w:hint="eastAsia" w:ascii="宋体" w:hAnsi="宋体"/>
                <w:color w:val="auto"/>
                <w:sz w:val="21"/>
                <w:szCs w:val="22"/>
                <w:highlight w:val="none"/>
                <w:lang w:val="en-US" w:eastAsia="zh-CN"/>
              </w:rPr>
              <w:t xml:space="preserve">6</w:t>
            </w:r>
            <w:r>
              <w:rPr>
                <w:rFonts w:hint="eastAsia" w:ascii="宋体" w:hAnsi="宋体"/>
                <w:color w:val="auto"/>
                <w:sz w:val="21"/>
                <w:szCs w:val="22"/>
                <w:highlight w:val="none"/>
              </w:rPr>
              <w:t xml:space="preserve">分。</w:t>
            </w:r>
            <w:r>
              <w:rPr>
                <w:rFonts w:hint="eastAsia" w:ascii="宋体" w:hAnsi="宋体" w:cs="宋体"/>
                <w:b/>
                <w:color w:val="auto"/>
                <w:sz w:val="20"/>
                <w:szCs w:val="20"/>
                <w:highlight w:val="none"/>
              </w:rPr>
              <w:t xml:space="preserve">（以上提供实物照片上传</w:t>
            </w:r>
            <w:r>
              <w:rPr>
                <w:rFonts w:hint="eastAsia" w:ascii="宋体" w:hAnsi="宋体"/>
                <w:b/>
                <w:color w:val="auto"/>
                <w:szCs w:val="21"/>
                <w:highlight w:val="none"/>
              </w:rPr>
              <w:t xml:space="preserve">）</w:t>
            </w:r>
            <w:r/>
          </w:p>
          <w:p>
            <w:pPr>
              <w:widowControl/>
              <w:rPr>
                <w:rFonts w:hint="default" w:ascii="宋体" w:hAnsi="宋体" w:eastAsia="宋体" w:cs="宋体"/>
                <w:bCs/>
                <w:color w:val="auto"/>
                <w:sz w:val="21"/>
                <w:szCs w:val="21"/>
                <w:highlight w:val="none"/>
                <w:shd w:val="clear" w:color="auto" w:fill="ffffff"/>
                <w:vertAlign w:val="baseline"/>
                <w:lang w:val="en-US" w:eastAsia="zh-CN" w:bidi="ar"/>
              </w:rPr>
            </w:pPr>
            <w:r>
              <w:rPr>
                <w:rFonts w:hint="eastAsia" w:ascii="宋体" w:hAnsi="宋体"/>
                <w:color w:val="auto"/>
                <w:sz w:val="21"/>
                <w:szCs w:val="22"/>
                <w:highlight w:val="none"/>
                <w:lang w:val="en-US" w:eastAsia="zh-CN"/>
              </w:rPr>
              <w:t xml:space="preserve">2</w:t>
            </w:r>
            <w:r>
              <w:rPr>
                <w:rFonts w:hint="eastAsia" w:ascii="宋体" w:hAnsi="宋体"/>
                <w:color w:val="auto"/>
                <w:sz w:val="21"/>
                <w:szCs w:val="22"/>
                <w:highlight w:val="none"/>
              </w:rPr>
              <w:t xml:space="preserve">、</w:t>
            </w:r>
            <w:r>
              <w:rPr>
                <w:rFonts w:hint="eastAsia" w:ascii="宋体" w:hAnsi="宋体" w:cs="宋体"/>
                <w:color w:val="auto"/>
                <w:highlight w:val="none"/>
              </w:rPr>
              <w:t xml:space="preserve">202</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年9月1日以来，</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承担过类似项目的，每</w:t>
            </w:r>
            <w:r>
              <w:rPr>
                <w:rFonts w:hint="eastAsia" w:ascii="宋体" w:hAnsi="宋体" w:cs="宋体"/>
                <w:color w:val="auto"/>
                <w:highlight w:val="none"/>
                <w:lang w:eastAsia="zh-CN"/>
              </w:rPr>
              <w:t xml:space="preserve">提供</w:t>
            </w:r>
            <w:r>
              <w:rPr>
                <w:rFonts w:hint="eastAsia" w:ascii="宋体" w:hAnsi="宋体" w:cs="宋体"/>
                <w:color w:val="auto"/>
                <w:highlight w:val="none"/>
              </w:rPr>
              <w:t xml:space="preserve">1个得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分，本项最</w:t>
            </w:r>
            <w:r>
              <w:rPr>
                <w:rFonts w:hint="eastAsia" w:ascii="宋体" w:hAnsi="宋体" w:cs="宋体"/>
                <w:color w:val="auto"/>
                <w:highlight w:val="none"/>
                <w:lang w:eastAsia="zh-CN"/>
              </w:rPr>
              <w:t xml:space="preserve">高分为</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b/>
                <w:bCs/>
                <w:color w:val="auto"/>
                <w:highlight w:val="none"/>
              </w:rPr>
              <w:t xml:space="preserve">（须提供服务合同，时间以合同签订日期为准，</w:t>
            </w:r>
            <w:r>
              <w:rPr>
                <w:rFonts w:hint="eastAsia" w:ascii="宋体" w:hAnsi="宋体" w:cs="宋体"/>
                <w:b/>
                <w:bCs/>
                <w:color w:val="auto"/>
                <w:szCs w:val="21"/>
                <w:highlight w:val="none"/>
              </w:rPr>
              <w:t xml:space="preserve">原件扫描上传，否则不得分</w:t>
            </w:r>
            <w:r>
              <w:rPr>
                <w:rFonts w:hint="eastAsia" w:ascii="宋体" w:hAnsi="宋体" w:cs="宋体"/>
                <w:b/>
                <w:bCs/>
                <w:color w:val="auto"/>
                <w:highlight w:val="none"/>
              </w:rPr>
              <w:t xml:space="preserve">）</w:t>
            </w:r>
            <w:r/>
          </w:p>
        </w:tc>
      </w:tr>
    </w:tbl>
    <w:p>
      <w:pPr>
        <w:pStyle w:val="749"/>
        <w:ind w:left="0" w:firstLine="0"/>
        <w:rPr>
          <w:rFonts w:hint="eastAsia" w:ascii="宋体" w:hAnsi="宋体"/>
          <w:color w:val="auto"/>
          <w:highlight w:val="none"/>
        </w:rPr>
      </w:pPr>
      <w:r>
        <w:rPr>
          <w:rFonts w:hint="eastAsia" w:ascii="宋体" w:hAnsi="宋体"/>
          <w:color w:val="auto"/>
          <w:highlight w:val="none"/>
        </w:rPr>
      </w:r>
      <w:r/>
    </w:p>
    <w:p>
      <w:pPr>
        <w:pStyle w:val="749"/>
        <w:ind w:left="0" w:firstLine="0"/>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注：</w:t>
      </w:r>
      <w:r/>
    </w:p>
    <w:p>
      <w:pPr>
        <w:ind w:firstLine="422"/>
        <w:spacing w:line="400" w:lineRule="exact"/>
        <w:rPr>
          <w:rFonts w:hint="eastAsia"/>
          <w:b/>
          <w:color w:val="auto"/>
          <w:highlight w:val="none"/>
        </w:rPr>
      </w:pPr>
      <w:r>
        <w:rPr>
          <w:rFonts w:hint="eastAsia"/>
          <w:b/>
          <w:color w:val="auto"/>
          <w:highlight w:val="none"/>
          <w:lang w:val="en-US" w:eastAsia="zh-CN"/>
        </w:rPr>
        <w:t xml:space="preserve">1</w:t>
      </w:r>
      <w:r>
        <w:rPr>
          <w:rFonts w:hint="eastAsia"/>
          <w:b/>
          <w:color w:val="auto"/>
          <w:highlight w:val="none"/>
        </w:rPr>
        <w:t xml:space="preserve">、若发现有提供虚假的证明材料，视为无效投标，并追究相关责任。</w:t>
      </w:r>
      <w:r/>
    </w:p>
    <w:p>
      <w:pPr>
        <w:ind w:firstLine="422"/>
        <w:spacing w:line="400" w:lineRule="exact"/>
        <w:rPr>
          <w:rFonts w:hint="eastAsia" w:ascii="Calibri" w:hAnsi="Calibri" w:eastAsia="宋体" w:cs="Times New Roman"/>
          <w:b/>
          <w:color w:val="auto"/>
          <w:highlight w:val="none"/>
        </w:rPr>
      </w:pPr>
      <w:r>
        <w:rPr>
          <w:rFonts w:hint="eastAsia" w:cs="Times New Roman"/>
          <w:b/>
          <w:color w:val="auto"/>
          <w:highlight w:val="none"/>
          <w:lang w:val="en-US" w:eastAsia="zh-CN"/>
        </w:rPr>
        <w:t xml:space="preserve">2</w:t>
      </w:r>
      <w:r>
        <w:rPr>
          <w:rFonts w:hint="eastAsia" w:ascii="Calibri" w:hAnsi="Calibri" w:eastAsia="宋体" w:cs="Times New Roman"/>
          <w:b/>
          <w:color w:val="auto"/>
          <w:highlight w:val="none"/>
        </w:rPr>
        <w:t xml:space="preserve">、计分方式：汇总后取平均值，小数点保留二位。</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highlight w:val="none"/>
          <w:lang w:val="en-US" w:eastAsia="zh-CN"/>
        </w:rPr>
        <w:t xml:space="preserve">3、</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jc w:val="left"/>
        <w:spacing w:before="0" w:beforeAutospacing="0" w:after="0" w:afterAutospacing="0" w:line="0" w:lineRule="atLeast"/>
        <w:widowControl/>
        <w:rPr>
          <w:rFonts w:ascii="宋体" w:hAnsi="宋体" w:eastAsia="宋体" w:cs="Times New Roman"/>
          <w:b/>
          <w:bCs/>
          <w:color w:val="auto"/>
          <w:sz w:val="24"/>
          <w:szCs w:val="24"/>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（一）评审过程中出现下列情形之一的，评审委员会应当启动异常低价投标（响应）审查程序：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3.投标（响应）报价低于采购项目最高限价45%的，即投标（响应）报价&lt;采购项目最高限价×45%；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宋体"/>
          <w:b w:val="0"/>
          <w:bCs/>
          <w:color w:val="auto"/>
          <w:szCs w:val="21"/>
          <w:highlight w:val="none"/>
        </w:rP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hint="eastAsia" w:ascii="Calibri" w:hAnsi="Calibri" w:eastAsia="宋体" w:cs="Times New Roman"/>
          <w:b/>
          <w:color w:val="auto"/>
          <w:highlight w:val="none"/>
        </w:rPr>
      </w:pPr>
      <w:r>
        <w:rPr>
          <w:rFonts w:hint="eastAsia" w:ascii="Calibri" w:hAnsi="Calibri" w:eastAsia="宋体" w:cs="Times New Roman"/>
          <w:b/>
          <w:color w:val="auto"/>
          <w:highlight w:val="none"/>
        </w:rPr>
      </w:r>
      <w:r/>
    </w:p>
    <w:p>
      <w:pPr>
        <w:pStyle w:val="749"/>
        <w:rPr>
          <w:rFonts w:hint="eastAsia" w:ascii="宋体" w:hAnsi="宋体"/>
          <w:color w:val="auto"/>
          <w:highlight w:val="none"/>
        </w:rPr>
      </w:pPr>
      <w:r>
        <w:rPr>
          <w:rFonts w:hint="eastAsia" w:ascii="宋体" w:hAnsi="宋体"/>
          <w:color w:val="auto"/>
          <w:highlight w:val="none"/>
        </w:rPr>
      </w:r>
      <w:r/>
    </w:p>
    <w:p>
      <w:pPr>
        <w:pStyle w:val="749"/>
        <w:rPr>
          <w:rFonts w:ascii="宋体" w:hAnsi="宋体"/>
          <w:color w:val="auto"/>
          <w:highlight w:val="none"/>
        </w:rPr>
      </w:pPr>
      <w:r>
        <w:rPr>
          <w:rFonts w:ascii="宋体" w:hAnsi="宋体"/>
          <w:color w:val="auto"/>
          <w:highlight w:val="none"/>
        </w:rPr>
      </w:r>
      <w:r/>
    </w:p>
    <w:p>
      <w:pPr>
        <w:pStyle w:val="748"/>
        <w:rPr>
          <w:rFonts w:ascii="宋体" w:hAnsi="宋体"/>
          <w:color w:val="auto"/>
          <w:highlight w:val="none"/>
        </w:rPr>
      </w:pPr>
      <w:r>
        <w:rPr>
          <w:rFonts w:ascii="宋体" w:hAnsi="宋体"/>
          <w:color w:val="auto"/>
          <w:highlight w:val="none"/>
        </w:rPr>
      </w:r>
      <w:r/>
    </w:p>
    <w:p>
      <w:pPr>
        <w:pStyle w:val="933"/>
        <w:jc w:val="center"/>
        <w:rPr>
          <w:rFonts w:ascii="宋体" w:hAnsi="宋体"/>
          <w:color w:val="auto"/>
          <w:highlight w:val="none"/>
        </w:rPr>
      </w:pPr>
      <w:r>
        <w:rPr>
          <w:rFonts w:hint="eastAsia" w:ascii="宋体" w:hAnsi="宋体"/>
          <w:color w:val="auto"/>
          <w:highlight w:val="none"/>
        </w:rPr>
        <w:t xml:space="preserve">第六章 </w:t>
      </w:r>
      <w:r>
        <w:rPr>
          <w:rStyle w:val="983"/>
          <w:rFonts w:hint="eastAsia"/>
          <w:b/>
          <w:color w:val="auto"/>
          <w:highlight w:val="none"/>
        </w:rPr>
        <w:t xml:space="preserve">竞争性磋商响应文件格式</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响  应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807"/>
        <w:rPr>
          <w:rFonts w:ascii="宋体" w:hAnsi="宋体"/>
          <w:b/>
          <w:color w:val="auto"/>
          <w:sz w:val="36"/>
          <w:highlight w:val="none"/>
          <w:u w:val="single"/>
        </w:rPr>
      </w:pPr>
      <w:r>
        <w:rPr>
          <w:rFonts w:hint="eastAsia" w:ascii="宋体" w:hAnsi="宋体"/>
          <w:b/>
          <w:color w:val="auto"/>
          <w:sz w:val="36"/>
          <w:highlight w:val="none"/>
        </w:rPr>
        <w:t xml:space="preserve">项 目 名 称：</w:t>
      </w:r>
      <w:r/>
    </w:p>
    <w:p>
      <w:pPr>
        <w:pStyle w:val="748"/>
        <w:rPr>
          <w:rFonts w:ascii="宋体" w:hAnsi="宋体"/>
          <w:b/>
          <w:color w:val="auto"/>
          <w:sz w:val="36"/>
          <w:highlight w:val="none"/>
        </w:rPr>
      </w:pPr>
      <w:r>
        <w:rPr>
          <w:rFonts w:ascii="宋体" w:hAnsi="宋体"/>
          <w:b/>
          <w:color w:val="auto"/>
          <w:sz w:val="36"/>
          <w:highlight w:val="none"/>
        </w:rPr>
      </w:r>
      <w:r/>
    </w:p>
    <w:p>
      <w:pPr>
        <w:pStyle w:val="748"/>
        <w:rPr>
          <w:color w:val="auto"/>
          <w:highlight w:val="none"/>
        </w:rPr>
      </w:pPr>
      <w:r>
        <w:rPr>
          <w:rFonts w:hint="eastAsia" w:ascii="宋体" w:hAnsi="宋体"/>
          <w:b/>
          <w:color w:val="auto"/>
          <w:sz w:val="36"/>
          <w:highlight w:val="none"/>
        </w:rPr>
        <w:t xml:space="preserve">包号：</w:t>
      </w:r>
      <w:r/>
    </w:p>
    <w:p>
      <w:pPr>
        <w:pStyle w:val="748"/>
        <w:rPr>
          <w:color w:val="auto"/>
          <w:highlight w:val="none"/>
        </w:rPr>
      </w:pPr>
      <w:r>
        <w:rPr>
          <w:color w:val="auto"/>
          <w:highlight w:val="none"/>
        </w:rPr>
      </w:r>
      <w:r/>
    </w:p>
    <w:p>
      <w:pPr>
        <w:ind w:firstLine="1807"/>
        <w:rPr>
          <w:rFonts w:ascii="宋体" w:hAnsi="宋体"/>
          <w:b/>
          <w:color w:val="auto"/>
          <w:sz w:val="36"/>
          <w:highlight w:val="none"/>
          <w:u w:val="single"/>
        </w:rPr>
      </w:pPr>
      <w:r>
        <w:rPr>
          <w:rFonts w:hint="eastAsia" w:ascii="宋体" w:hAnsi="宋体"/>
          <w:b/>
          <w:color w:val="auto"/>
          <w:sz w:val="36"/>
          <w:highlight w:val="none"/>
        </w:rPr>
        <w:t xml:space="preserve">项目编 号：</w:t>
      </w:r>
      <w:r/>
    </w:p>
    <w:p>
      <w:pPr>
        <w:pStyle w:val="748"/>
        <w:rPr>
          <w:color w:val="auto"/>
          <w:highlight w:val="none"/>
        </w:rPr>
      </w:pPr>
      <w:r>
        <w:rPr>
          <w:color w:val="auto"/>
          <w:highlight w:val="none"/>
        </w:rPr>
      </w:r>
      <w:r/>
    </w:p>
    <w:p>
      <w:pPr>
        <w:ind w:firstLine="1807"/>
        <w:rPr>
          <w:rFonts w:ascii="宋体" w:hAnsi="宋体"/>
          <w:b/>
          <w:color w:val="auto"/>
          <w:sz w:val="36"/>
          <w:highlight w:val="none"/>
          <w:u w:val="single"/>
        </w:rPr>
      </w:pPr>
      <w:r>
        <w:rPr>
          <w:rFonts w:hint="eastAsia" w:ascii="宋体" w:hAnsi="宋体"/>
          <w:b/>
          <w:color w:val="auto"/>
          <w:sz w:val="36"/>
          <w:highlight w:val="none"/>
        </w:rPr>
        <w:t xml:space="preserve">供应商名称 ：（电子签章）</w:t>
      </w:r>
      <w:r/>
    </w:p>
    <w:p>
      <w:pPr>
        <w:pStyle w:val="748"/>
        <w:rPr>
          <w:color w:val="auto"/>
          <w:highlight w:val="none"/>
        </w:rPr>
      </w:pPr>
      <w:r>
        <w:rPr>
          <w:color w:val="auto"/>
          <w:highlight w:val="none"/>
        </w:rPr>
      </w:r>
      <w:r/>
    </w:p>
    <w:p>
      <w:pPr>
        <w:pStyle w:val="748"/>
        <w:rPr>
          <w:color w:val="auto"/>
          <w:highlight w:val="none"/>
        </w:rPr>
      </w:pPr>
      <w:r>
        <w:rPr>
          <w:rFonts w:hint="eastAsia" w:ascii="宋体" w:hAnsi="宋体"/>
          <w:b/>
          <w:color w:val="auto"/>
          <w:sz w:val="36"/>
          <w:highlight w:val="none"/>
        </w:rPr>
        <w:t xml:space="preserve">供应商地址：</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pStyle w:val="748"/>
        <w:rPr>
          <w:color w:val="auto"/>
          <w:highlight w:val="none"/>
        </w:rPr>
      </w:pPr>
      <w:r>
        <w:rPr>
          <w:color w:val="auto"/>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939"/>
        <w:ind w:firstLine="643"/>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643"/>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四、磋商响应报价表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七、拟投入人员一览表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其他 （供应商认为有必要提供的声明和文件，如有自拟并自行添加）</w:t>
      </w:r>
      <w:r/>
    </w:p>
    <w:p>
      <w:pPr>
        <w:ind w:firstLine="480"/>
        <w:spacing w:line="360" w:lineRule="auto"/>
        <w:rPr>
          <w:color w:val="auto"/>
          <w:sz w:val="36"/>
          <w:szCs w:val="36"/>
          <w:highlight w:val="none"/>
        </w:rPr>
      </w:pPr>
      <w:r>
        <w:rPr>
          <w:color w:val="auto"/>
          <w:sz w:val="36"/>
          <w:szCs w:val="36"/>
          <w:highlight w:val="none"/>
        </w:rPr>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34"/>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47"/>
        <w:tblW w:w="89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57"/>
        <w:gridCol w:w="1770"/>
      </w:tblGrid>
      <w:tr>
        <w:trPr>
          <w:trHeight w:val="647"/>
        </w:trPr>
        <w:tc>
          <w:tcPr>
            <w:tcW w:w="646" w:type="dxa"/>
            <w:vAlign w:val="center"/>
            <w:textDirection w:val="lrTb"/>
            <w:noWrap/>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557" w:type="dxa"/>
            <w:vAlign w:val="center"/>
            <w:textDirection w:val="lrTb"/>
            <w:noWrap/>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70" w:type="dxa"/>
            <w:vAlign w:val="center"/>
            <w:textDirection w:val="lrTb"/>
            <w:noWrap/>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973" w:type="dxa"/>
            <w:vAlign w:val="center"/>
            <w:textDirection w:val="lrTb"/>
            <w:noWrap/>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6557" w:type="dxa"/>
            <w:vAlign w:val="center"/>
            <w:textDirection w:val="lrTb"/>
            <w:noWrap/>
          </w:tcPr>
          <w:p>
            <w:pPr>
              <w:spacing w:line="440" w:lineRule="exact"/>
              <w:rPr>
                <w:rFonts w:ascii="宋体" w:hAnsi="宋体"/>
                <w:iCs/>
                <w:color w:val="auto"/>
                <w:szCs w:val="21"/>
                <w:highlight w:val="none"/>
              </w:rPr>
            </w:pPr>
            <w:r>
              <w:rPr>
                <w:rFonts w:hint="eastAsia" w:ascii="宋体" w:hAnsi="宋体"/>
                <w:i/>
                <w:iCs/>
                <w:color w:val="auto"/>
                <w:szCs w:val="21"/>
                <w:highlight w:val="none"/>
                <w:u w:val="single"/>
              </w:rPr>
              <w:t xml:space="preserve">法人或者其他组织的营业执照等证明文件，自然人的身份证明（身份证为正、反面）</w:t>
            </w:r>
            <w:r/>
          </w:p>
        </w:tc>
        <w:tc>
          <w:tcPr>
            <w:tcW w:w="1770" w:type="dxa"/>
            <w:vAlign w:val="center"/>
            <w:textDirection w:val="lrTb"/>
            <w:noWrap/>
          </w:tcPr>
          <w:p>
            <w:pPr>
              <w:spacing w:line="400" w:lineRule="exact"/>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6557" w:type="dxa"/>
            <w:vAlign w:val="center"/>
            <w:textDirection w:val="lrTb"/>
            <w:noWrap/>
          </w:tcPr>
          <w:p>
            <w:pPr>
              <w:spacing w:line="360" w:lineRule="auto"/>
              <w:rPr>
                <w:rFonts w:ascii="宋体" w:hAnsi="宋体"/>
                <w:iCs/>
                <w:color w:val="auto"/>
                <w:szCs w:val="21"/>
                <w:highlight w:val="none"/>
              </w:rPr>
            </w:pPr>
            <w:r>
              <w:rPr>
                <w:rFonts w:hint="eastAsia" w:ascii="宋体" w:hAnsi="宋体"/>
                <w:i/>
                <w:iCs/>
                <w:color w:val="auto"/>
                <w:szCs w:val="21"/>
                <w:highlight w:val="none"/>
                <w:u w:val="single"/>
              </w:rPr>
              <w:t xml:space="preserve">上一年度的财务状况报告（提供2025年度的财务状况报告，至少包含资产负债表、利润表，供应商成立</w:t>
            </w:r>
            <w:r>
              <w:rPr>
                <w:rFonts w:hint="eastAsia" w:ascii="宋体" w:hAnsi="宋体"/>
                <w:i/>
                <w:iCs/>
                <w:color w:val="auto"/>
                <w:highlight w:val="none"/>
                <w:u w:val="single"/>
              </w:rPr>
              <w:t xml:space="preserve">距投标截止日</w:t>
            </w:r>
            <w:r>
              <w:rPr>
                <w:rFonts w:hint="eastAsia" w:ascii="宋体" w:hAnsi="宋体"/>
                <w:i/>
                <w:iCs/>
                <w:color w:val="auto"/>
                <w:szCs w:val="21"/>
                <w:highlight w:val="none"/>
                <w:u w:val="single"/>
              </w:rPr>
              <w:t xml:space="preserve">不满一年无需提供）</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6557" w:type="dxa"/>
            <w:vAlign w:val="center"/>
            <w:textDirection w:val="lrTb"/>
            <w:noWrap/>
          </w:tcPr>
          <w:p>
            <w:pPr>
              <w:spacing w:line="440" w:lineRule="exact"/>
              <w:rPr>
                <w:rFonts w:ascii="宋体" w:hAnsi="宋体"/>
                <w:iCs/>
                <w:color w:val="auto"/>
                <w:szCs w:val="21"/>
                <w:highlight w:val="none"/>
              </w:rPr>
            </w:pPr>
            <w:r>
              <w:rPr>
                <w:rFonts w:hint="eastAsia" w:ascii="宋体" w:hAnsi="宋体"/>
                <w:i/>
                <w:iCs/>
                <w:color w:val="auto"/>
                <w:szCs w:val="21"/>
                <w:highlight w:val="none"/>
                <w:u w:val="single"/>
              </w:rPr>
              <w:t xml:space="preserve">依法缴纳税收和社会保障资金的相关材料（</w:t>
            </w:r>
            <w:r>
              <w:rPr>
                <w:rFonts w:hint="eastAsia" w:ascii="宋体" w:hAnsi="宋体"/>
                <w:i/>
                <w:iCs/>
                <w:color w:val="auto"/>
                <w:highlight w:val="none"/>
                <w:u w:val="single"/>
              </w:rPr>
              <w:t xml:space="preserve">提供提交响应文件截止时间前一年内至少一个月依法缴纳税收及缴纳社会保障资金的证明材料。认定税种不包括个人所得税。供应商依法享受缓缴、免缴税收、社会保障资金的提供证明材料。新成立企业距投标截止日不足30日的，可不提供，以新办企业营业执照发放日期为准）</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51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6557" w:type="dxa"/>
            <w:vAlign w:val="center"/>
            <w:textDirection w:val="lrTb"/>
            <w:noWrap/>
          </w:tcPr>
          <w:p>
            <w:pPr>
              <w:spacing w:line="440" w:lineRule="exact"/>
              <w:rPr>
                <w:rFonts w:ascii="宋体" w:hAnsi="宋体"/>
                <w:iCs/>
                <w:color w:val="auto"/>
                <w:szCs w:val="21"/>
                <w:highlight w:val="none"/>
              </w:rPr>
            </w:pPr>
            <w:r>
              <w:rPr>
                <w:rFonts w:hint="eastAsia" w:ascii="宋体" w:hAnsi="宋体"/>
                <w:i/>
                <w:iCs/>
                <w:color w:val="auto"/>
                <w:szCs w:val="21"/>
                <w:highlight w:val="none"/>
                <w:u w:val="single"/>
              </w:rPr>
              <w:t xml:space="preserve">具备履行合同所必需的设备和专业技术能力的书面声明</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6557" w:type="dxa"/>
            <w:vAlign w:val="center"/>
            <w:textDirection w:val="lrTb"/>
            <w:noWrap/>
          </w:tcPr>
          <w:p>
            <w:pPr>
              <w:spacing w:line="440" w:lineRule="exact"/>
              <w:rPr>
                <w:rFonts w:ascii="宋体" w:hAnsi="宋体"/>
                <w:iCs/>
                <w:color w:val="auto"/>
                <w:szCs w:val="21"/>
                <w:highlight w:val="none"/>
              </w:rPr>
            </w:pPr>
            <w:r>
              <w:rPr>
                <w:rFonts w:hint="eastAsia" w:ascii="宋体" w:hAnsi="宋体"/>
                <w:i/>
                <w:iCs/>
                <w:color w:val="auto"/>
                <w:szCs w:val="21"/>
                <w:highlight w:val="none"/>
                <w:u w:val="single"/>
              </w:rPr>
              <w:t xml:space="preserve">参加政府采购活动前3年内在经营活动中没有重大违法记录的书面声明</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6557" w:type="dxa"/>
            <w:vAlign w:val="center"/>
            <w:textDirection w:val="lrTb"/>
            <w:noWrap/>
          </w:tcPr>
          <w:p>
            <w:pPr>
              <w:spacing w:line="400" w:lineRule="exact"/>
              <w:rPr>
                <w:rFonts w:ascii="宋体" w:hAnsi="宋体"/>
                <w:iCs/>
                <w:color w:val="auto"/>
                <w:szCs w:val="21"/>
                <w:highlight w:val="none"/>
              </w:rPr>
            </w:pPr>
            <w:r>
              <w:rPr>
                <w:rFonts w:hint="eastAsia" w:ascii="宋体" w:hAnsi="宋体"/>
                <w:i/>
                <w:iCs/>
                <w:color w:val="auto"/>
                <w:szCs w:val="21"/>
                <w:highlight w:val="none"/>
                <w:u w:val="single"/>
              </w:rPr>
              <w:t xml:space="preserve">供应商信用承诺函</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6557" w:type="dxa"/>
            <w:vAlign w:val="center"/>
            <w:textDirection w:val="lrTb"/>
            <w:noWrap/>
          </w:tcPr>
          <w:p>
            <w:pPr>
              <w:spacing w:line="440" w:lineRule="exact"/>
              <w:rPr>
                <w:rFonts w:ascii="宋体" w:hAnsi="宋体" w:cs="宋体"/>
                <w:color w:val="auto"/>
                <w:szCs w:val="21"/>
                <w:highlight w:val="none"/>
              </w:rPr>
            </w:pPr>
            <w:r>
              <w:rPr>
                <w:rFonts w:hint="eastAsia" w:ascii="宋体" w:hAnsi="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90"/>
        </w:trPr>
        <w:tc>
          <w:tcPr>
            <w:gridSpan w:val="3"/>
            <w:tcW w:w="8973" w:type="dxa"/>
            <w:vAlign w:val="center"/>
            <w:textDirection w:val="lrTb"/>
            <w:noWrap/>
          </w:tcPr>
          <w:p>
            <w:pPr>
              <w:spacing w:line="400" w:lineRule="exact"/>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290"/>
        </w:trPr>
        <w:tc>
          <w:tcPr>
            <w:tcW w:w="646" w:type="dxa"/>
            <w:vAlign w:val="center"/>
            <w:textDirection w:val="lrTb"/>
            <w:noWrap/>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6557" w:type="dxa"/>
            <w:vAlign w:val="center"/>
            <w:textDirection w:val="lrTb"/>
            <w:noWrap/>
          </w:tcPr>
          <w:p>
            <w:pPr>
              <w:spacing w:line="360" w:lineRule="auto"/>
              <w:rPr>
                <w:rFonts w:ascii="宋体" w:hAnsi="宋体" w:cs="宋体"/>
                <w:color w:val="auto"/>
                <w:szCs w:val="21"/>
                <w:highlight w:val="none"/>
              </w:rPr>
            </w:pPr>
            <w:r>
              <w:rPr>
                <w:rFonts w:hint="eastAsia" w:ascii="宋体" w:hAnsi="宋体"/>
                <w:i/>
                <w:iCs/>
                <w:color w:val="auto"/>
                <w:szCs w:val="21"/>
                <w:highlight w:val="none"/>
                <w:u w:val="single"/>
              </w:rPr>
              <w:t xml:space="preserve">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973" w:type="dxa"/>
            <w:vAlign w:val="center"/>
            <w:textDirection w:val="lrTb"/>
            <w:noWrap/>
          </w:tcPr>
          <w:p>
            <w:pPr>
              <w:spacing w:line="400" w:lineRule="exact"/>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6557" w:type="dxa"/>
            <w:vAlign w:val="center"/>
            <w:textDirection w:val="lrTb"/>
            <w:noWrap/>
          </w:tcPr>
          <w:p>
            <w:pPr>
              <w:pStyle w:val="755"/>
              <w:numPr>
                <w:ilvl w:val="0"/>
                <w:numId w:val="0"/>
              </w:numPr>
              <w:rPr>
                <w:color w:val="auto"/>
                <w:highlight w:val="none"/>
              </w:rPr>
            </w:pPr>
            <w:r>
              <w:rPr>
                <w:rFonts w:hint="eastAsia"/>
                <w:color w:val="auto"/>
                <w:highlight w:val="none"/>
              </w:rPr>
              <w:t xml:space="preserve">无</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973" w:type="dxa"/>
            <w:vAlign w:val="center"/>
            <w:textDirection w:val="lrTb"/>
            <w:noWrap/>
          </w:tcPr>
          <w:p>
            <w:pPr>
              <w:spacing w:line="400" w:lineRule="exact"/>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6557" w:type="dxa"/>
            <w:vAlign w:val="center"/>
            <w:textDirection w:val="lrTb"/>
            <w:noWrap/>
          </w:tcPr>
          <w:p>
            <w:pPr>
              <w:jc w:val="left"/>
              <w:spacing w:line="400" w:lineRule="exact"/>
              <w:rPr>
                <w:rFonts w:ascii="宋体" w:hAnsi="宋体"/>
                <w:iCs/>
                <w:color w:val="auto"/>
                <w:szCs w:val="21"/>
                <w:highlight w:val="none"/>
              </w:rPr>
            </w:pPr>
            <w:r>
              <w:rPr>
                <w:rFonts w:hint="eastAsia" w:ascii="宋体" w:hAnsi="宋体"/>
                <w:iCs/>
                <w:color w:val="auto"/>
                <w:szCs w:val="21"/>
                <w:highlight w:val="none"/>
              </w:rPr>
              <w:t xml:space="preserve">磋商响应函</w:t>
            </w:r>
            <w:r/>
          </w:p>
        </w:tc>
        <w:tc>
          <w:tcPr>
            <w:tcW w:w="177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6557" w:type="dxa"/>
            <w:vAlign w:val="center"/>
            <w:textDirection w:val="lrTb"/>
            <w:noWrap/>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70"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headerReference w:type="default" r:id="rId10"/>
          <w:footerReference w:type="default" r:id="rId13"/>
          <w:footnotePr/>
          <w:endnotePr/>
          <w:type w:val="nextPage"/>
          <w:pgSz w:w="11906" w:h="16838" w:orient="portrait"/>
          <w:pgMar w:top="1440" w:right="1576" w:bottom="1440" w:left="1463" w:header="851" w:footer="992" w:gutter="0"/>
          <w:cols w:num="1" w:sep="0" w:space="1701" w:equalWidth="1"/>
          <w:docGrid w:linePitch="360"/>
        </w:sectPr>
      </w:pPr>
      <w:r>
        <w:rPr>
          <w:rFonts w:ascii="宋体" w:hAnsi="宋体"/>
          <w:b/>
          <w:bCs/>
          <w:color w:val="auto"/>
          <w:highlight w:val="none"/>
        </w:rPr>
      </w:r>
      <w:r/>
    </w:p>
    <w:p>
      <w:pPr>
        <w:jc w:val="center"/>
        <w:spacing w:before="156" w:after="156"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39"/>
        <w:ind w:firstLine="723"/>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p>
    <w:p>
      <w:pPr>
        <w:jc w:val="right"/>
        <w:spacing w:line="360" w:lineRule="auto"/>
        <w:rPr>
          <w:rFonts w:ascii="宋体" w:hAnsi="宋体"/>
          <w:bCs/>
          <w:color w:val="auto"/>
          <w:highlight w:val="none"/>
        </w:rPr>
      </w:pPr>
      <w:r>
        <w:rPr>
          <w:rFonts w:hint="eastAsia" w:ascii="宋体" w:hAnsi="宋体"/>
          <w:bCs/>
          <w:color w:val="auto"/>
          <w:highlight w:val="none"/>
        </w:rPr>
        <w:t xml:space="preserve">                                    日期：年月日</w:t>
      </w:r>
      <w:r/>
    </w:p>
    <w:p>
      <w:pPr>
        <w:pStyle w:val="939"/>
        <w:ind w:firstLine="723"/>
        <w:jc w:val="righ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738"/>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ind w:firstLine="422"/>
        <w:jc w:val="left"/>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p>
    <w:p>
      <w:pPr>
        <w:jc w:val="right"/>
        <w:spacing w:line="360" w:lineRule="auto"/>
        <w:rPr>
          <w:rFonts w:ascii="宋体" w:hAnsi="宋体"/>
          <w:bCs/>
          <w:color w:val="auto"/>
          <w:highlight w:val="none"/>
        </w:rPr>
      </w:pPr>
      <w:r>
        <w:rPr>
          <w:rFonts w:hint="eastAsia" w:ascii="宋体" w:hAnsi="宋体"/>
          <w:bCs/>
          <w:color w:val="auto"/>
          <w:highlight w:val="none"/>
        </w:rPr>
        <w:t xml:space="preserve">                                    日期：年月日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 w:val="28"/>
          <w:szCs w:val="28"/>
          <w:highlight w:val="none"/>
        </w:rPr>
      </w:pPr>
      <w:r>
        <w:rPr>
          <w:rFonts w:hint="eastAsia" w:ascii="宋体" w:hAnsi="宋体"/>
          <w:b/>
          <w:bCs/>
          <w:color w:val="auto"/>
          <w:highlight w:val="none"/>
        </w:rPr>
        <w:br w:type="page" w:clear="all"/>
      </w:r>
      <w:r>
        <w:rPr>
          <w:rFonts w:hint="eastAsia" w:ascii="宋体" w:hAnsi="宋体"/>
          <w:b/>
          <w:color w:val="auto"/>
          <w:sz w:val="28"/>
          <w:szCs w:val="28"/>
          <w:highlight w:val="none"/>
        </w:rPr>
        <w:t xml:space="preserve">供应商信用承诺书</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50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0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00" w:lineRule="exact"/>
        <w:rPr>
          <w:rFonts w:ascii="宋体" w:hAnsi="宋体" w:cs="宋体"/>
          <w:color w:val="auto"/>
          <w:szCs w:val="21"/>
          <w:highlight w:val="none"/>
        </w:rPr>
      </w:pPr>
      <w:r>
        <w:rPr>
          <w:rFonts w:hint="eastAsia" w:ascii="宋体" w:hAnsi="宋体"/>
          <w:color w:val="auto"/>
          <w:szCs w:val="21"/>
          <w:highlight w:val="none"/>
        </w:rPr>
        <w:t xml:space="preserve">　　　　　　　　　      　年    月    日</w:t>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磋商响应函</w:t>
      </w:r>
      <w:r/>
    </w:p>
    <w:p>
      <w:pPr>
        <w:ind w:firstLine="420"/>
        <w:spacing w:line="500" w:lineRule="exact"/>
        <w:rPr>
          <w:rFonts w:ascii="宋体" w:hAnsi="宋体"/>
          <w:color w:val="auto"/>
          <w:szCs w:val="21"/>
          <w:highlight w:val="none"/>
          <w:u w:val="single"/>
        </w:rPr>
      </w:pPr>
      <w:r>
        <w:rPr>
          <w:rFonts w:hint="eastAsia" w:ascii="宋体" w:hAnsi="宋体"/>
          <w:color w:val="auto"/>
          <w:szCs w:val="21"/>
          <w:highlight w:val="none"/>
        </w:rPr>
        <w:t xml:space="preserve">致：  扬州嘉泰工程项目管理有限公司              </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根据贵方的号磋商文件，正式授权下述签字人_________ (姓名和职务)代表我方______________（供应商的名称），全权处理本次项目磋商采购的有关事宜。</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1.按磋商文件规定的各项要求，向买方提供所需服务（工程）。</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2.我们已详细审核全部磋商文件及其有效补充文件，我们知道必须放弃提出含糊不清或误解问题的权利。</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3.我们同意从规定的响应文件接收截止时间起遵循本响应文件，并在规定的磋商有效期期满之前均具有约束力。</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6.遵守磋商文件中要求的收费项目和标准。</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7.与本磋商采购有关的正式通讯地址为：</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地 址：                         邮 编：</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电 话：                         传 真：</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供应商开户行：                  账 户： </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法定代表人姓名（签章）：         联系电话：</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供应商名称（公章）：            </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jc w:val="center"/>
        <w:spacing w:line="500" w:lineRule="exact"/>
        <w:rPr>
          <w:rFonts w:ascii="宋体" w:hAnsi="宋体"/>
          <w:b/>
          <w:color w:val="auto"/>
          <w:sz w:val="28"/>
          <w:szCs w:val="28"/>
          <w:highlight w:val="none"/>
        </w:rPr>
      </w:pPr>
      <w:r>
        <w:rPr>
          <w:rFonts w:hint="eastAsia" w:ascii="宋体" w:hAnsi="宋体"/>
          <w:color w:val="auto"/>
          <w:szCs w:val="21"/>
          <w:highlight w:val="none"/>
        </w:rPr>
        <w:br w:type="page" w:clear="all"/>
      </w:r>
      <w:r>
        <w:rPr>
          <w:rFonts w:hint="eastAsia" w:ascii="宋体" w:hAnsi="宋体"/>
          <w:b/>
          <w:color w:val="auto"/>
          <w:sz w:val="28"/>
          <w:szCs w:val="28"/>
          <w:highlight w:val="none"/>
        </w:rPr>
        <w:t xml:space="preserve">法人授权书</w:t>
      </w:r>
      <w:r/>
    </w:p>
    <w:p>
      <w:pPr>
        <w:ind w:firstLine="420"/>
        <w:jc w:val="center"/>
        <w:spacing w:line="500" w:lineRule="exact"/>
        <w:rPr>
          <w:rFonts w:ascii="宋体" w:hAnsi="宋体"/>
          <w:b/>
          <w:color w:val="auto"/>
          <w:sz w:val="28"/>
          <w:szCs w:val="28"/>
          <w:highlight w:val="none"/>
        </w:rPr>
      </w:pPr>
      <w:r>
        <w:rPr>
          <w:rFonts w:ascii="宋体" w:hAnsi="宋体"/>
          <w:b/>
          <w:color w:val="auto"/>
          <w:sz w:val="28"/>
          <w:szCs w:val="28"/>
          <w:highlight w:val="none"/>
        </w:rPr>
      </w:r>
      <w:r/>
    </w:p>
    <w:p>
      <w:pPr>
        <w:pStyle w:val="9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69"/>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96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p>
    <w:p>
      <w:pPr>
        <w:pStyle w:val="96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969"/>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69"/>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969"/>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pStyle w:val="934"/>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47"/>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tcPr>
          <w:p>
            <w:pPr>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34"/>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47"/>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tcPr>
          <w:p>
            <w:pPr>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pStyle w:val="939"/>
        <w:ind w:firstLine="400"/>
        <w:rPr>
          <w:color w:val="auto"/>
          <w:highlight w:val="none"/>
        </w:rPr>
      </w:pPr>
      <w:r>
        <w:rPr>
          <w:color w:val="auto"/>
          <w:highlight w:val="none"/>
        </w:rPr>
      </w:r>
      <w:r/>
    </w:p>
    <w:p>
      <w:pPr>
        <w:pStyle w:val="939"/>
        <w:ind w:firstLine="400"/>
        <w:rPr>
          <w:color w:val="auto"/>
          <w:highlight w:val="none"/>
        </w:rPr>
      </w:pPr>
      <w:r>
        <w:rPr>
          <w:color w:val="auto"/>
          <w:highlight w:val="none"/>
        </w:rPr>
      </w:r>
      <w:r/>
    </w:p>
    <w:p>
      <w:pPr>
        <w:pStyle w:val="77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5" w:name="_Toc109304977"/>
      <w:r>
        <w:rPr>
          <w:rFonts w:hint="eastAsia" w:ascii="宋体" w:hAnsi="宋体" w:eastAsia="宋体" w:cs="宋体"/>
          <w:b/>
          <w:bCs/>
          <w:color w:val="000000"/>
          <w:sz w:val="24"/>
          <w:szCs w:val="24"/>
        </w:rPr>
        <w:t xml:space="preserve">中小企业声明函（服务类项目）（采购包号：**）</w:t>
      </w:r>
      <w:r/>
    </w:p>
    <w:p>
      <w:pPr>
        <w:pStyle w:val="775"/>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7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u w:val="single"/>
          <w:lang w:val="en-US" w:eastAsia="zh-CN"/>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u w:val="single"/>
          <w:lang w:val="en-US" w:eastAsia="zh-CN"/>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5"/>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hint="eastAsia" w:ascii="宋体" w:hAnsi="宋体" w:eastAsia="宋体" w:cs="宋体"/>
          <w:color w:val="000000"/>
          <w:sz w:val="24"/>
          <w:szCs w:val="24"/>
        </w:rPr>
        <w:t xml:space="preserve">                企业名称（加盖CA电子公章）：</w:t>
      </w:r>
      <w:r/>
    </w:p>
    <w:p>
      <w:pPr>
        <w:pStyle w:val="775"/>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7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w:t>
      </w:r>
      <w:bookmarkStart w:id="42" w:name="_GoBack"/>
      <w:r/>
      <w:bookmarkEnd w:id="42"/>
      <w:r>
        <w:rPr>
          <w:rFonts w:hint="eastAsia" w:ascii="宋体" w:hAnsi="宋体" w:eastAsia="宋体" w:cs="宋体"/>
          <w:color w:val="000000"/>
          <w:sz w:val="24"/>
          <w:szCs w:val="24"/>
        </w:rPr>
        <w:t xml:space="preserve">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34"/>
        <w:spacing w:before="300" w:after="300"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bookmarkEnd w:id="35"/>
      <w:r>
        <w:rPr>
          <w:rFonts w:hint="eastAsia" w:ascii="宋体" w:hAnsi="宋体" w:cs="微软雅黑"/>
          <w:bCs w:val="0"/>
          <w:color w:val="auto"/>
          <w:sz w:val="21"/>
          <w:szCs w:val="21"/>
          <w:highlight w:val="none"/>
        </w:rPr>
        <w:t xml:space="preserve"> </w:t>
      </w:r>
      <w:r/>
    </w:p>
    <w:p>
      <w:pPr>
        <w:pStyle w:val="955"/>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59"/>
          <w:rFonts w:hint="eastAsia" w:ascii="宋体" w:hAnsi="宋体" w:cs="仿宋"/>
          <w:color w:val="auto"/>
          <w:sz w:val="21"/>
          <w:szCs w:val="21"/>
          <w:highlight w:val="none"/>
        </w:rPr>
        <w:t xml:space="preserve">中小微企业划型标准如下：</w:t>
      </w:r>
      <w:r/>
    </w:p>
    <w:tbl>
      <w:tblPr>
        <w:tblStyle w:val="747"/>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color w:val="auto"/>
                <w:highlight w:val="none"/>
              </w:rPr>
            </w:pPr>
            <w:r>
              <w:rPr>
                <w:rFonts w:hint="eastAsia"/>
                <w:color w:val="auto"/>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color w:val="auto"/>
                <w:highlight w:val="none"/>
              </w:rPr>
            </w:pPr>
            <w:r>
              <w:rPr>
                <w:rFonts w:hint="eastAsia"/>
                <w:color w:val="auto"/>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auto"/>
                <w:highlight w:val="none"/>
              </w:rPr>
            </w:pPr>
            <w:r>
              <w:rPr>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auto"/>
                <w:highlight w:val="none"/>
              </w:rPr>
            </w:pPr>
            <w:r>
              <w:rPr>
                <w:rFonts w:hint="eastAsia"/>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auto"/>
                <w:highlight w:val="none"/>
              </w:rPr>
            </w:pPr>
            <w:r>
              <w:rPr>
                <w:rFonts w:hint="eastAsia"/>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auto"/>
                <w:highlight w:val="none"/>
              </w:rPr>
            </w:pPr>
            <w:r>
              <w:rPr>
                <w:rFonts w:hint="eastAsia"/>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auto"/>
                <w:highlight w:val="none"/>
              </w:rPr>
            </w:pPr>
            <w:r>
              <w:rPr>
                <w:rFonts w:hint="eastAsia"/>
                <w:color w:val="auto"/>
                <w:highlight w:val="none"/>
              </w:rPr>
              <w:t xml:space="preserve">X＜10</w:t>
            </w:r>
            <w:r/>
          </w:p>
        </w:tc>
      </w:tr>
    </w:tbl>
    <w:p>
      <w:pPr>
        <w:pStyle w:val="955"/>
        <w:ind w:firstLine="420"/>
        <w:spacing w:before="300" w:after="452" w:line="360" w:lineRule="auto"/>
        <w:widowControl/>
        <w:rPr>
          <w:rStyle w:val="959"/>
          <w:rFonts w:ascii="宋体" w:hAnsi="宋体" w:cs="仿宋"/>
          <w:color w:val="auto"/>
          <w:sz w:val="21"/>
          <w:szCs w:val="21"/>
          <w:highlight w:val="none"/>
        </w:rPr>
      </w:pPr>
      <w:r>
        <w:rPr>
          <w:rStyle w:val="95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7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Style w:val="959"/>
          <w:rFonts w:ascii="宋体" w:hAnsi="宋体" w:cs="仿宋"/>
          <w:b w:val="0"/>
          <w:color w:val="auto"/>
          <w:sz w:val="21"/>
          <w:szCs w:val="21"/>
          <w:highlight w:val="none"/>
        </w:rPr>
        <w:br w:type="page" w:clear="all"/>
      </w:r>
      <w:r>
        <w:rPr>
          <w:rFonts w:hint="eastAsia" w:ascii="宋体" w:hAnsi="宋体" w:eastAsia="宋体" w:cs="宋体"/>
          <w:b/>
          <w:bCs/>
          <w:color w:val="000000"/>
          <w:sz w:val="24"/>
          <w:szCs w:val="24"/>
        </w:rPr>
        <w:t xml:space="preserve">残疾人福利性单位声明函（服务类项目）（采购包号：**）</w:t>
      </w:r>
      <w:r/>
    </w:p>
    <w:p>
      <w:pPr>
        <w:pStyle w:val="775"/>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77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7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7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7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75"/>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5"/>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供应商全称（加盖CA电子公章）：</w:t>
      </w:r>
      <w:r/>
    </w:p>
    <w:p>
      <w:pPr>
        <w:pStyle w:val="775"/>
        <w:ind w:left="0" w:right="1559" w:firstLine="480"/>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ind w:right="1560" w:firstLine="420"/>
        <w:jc w:val="center"/>
        <w:spacing w:line="588" w:lineRule="exact"/>
        <w:tabs>
          <w:tab w:val="left" w:pos="4860" w:leader="none"/>
        </w:tabs>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34"/>
        <w:ind w:firstLine="2570"/>
        <w:jc w:val="both"/>
        <w:spacing w:line="360" w:lineRule="auto"/>
        <w:rPr>
          <w:rFonts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四、磋商响应报价表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供应商全称（盖章）：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w:t>
      </w:r>
      <w:r/>
    </w:p>
    <w:p>
      <w:pPr>
        <w:ind w:firstLine="480"/>
        <w:rPr>
          <w:rFonts w:ascii="宋体" w:hAnsi="宋体"/>
          <w:color w:val="auto"/>
          <w:szCs w:val="21"/>
          <w:highlight w:val="none"/>
        </w:rPr>
      </w:pPr>
      <w:r>
        <w:rPr>
          <w:rFonts w:ascii="宋体" w:hAnsi="宋体"/>
          <w:color w:val="auto"/>
          <w:szCs w:val="21"/>
          <w:highlight w:val="none"/>
        </w:rPr>
      </w:r>
      <w:r/>
    </w:p>
    <w:tbl>
      <w:tblPr>
        <w:tblStyle w:val="74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6141"/>
      </w:tblGrid>
      <w:tr>
        <w:trPr>
          <w:cantSplit/>
          <w:trHeight w:val="1098"/>
        </w:trPr>
        <w:tc>
          <w:tcPr>
            <w:tcW w:w="2065" w:type="dxa"/>
            <w:vAlign w:val="center"/>
            <w:textDirection w:val="lrTb"/>
            <w:noWrap/>
          </w:tcPr>
          <w:p>
            <w:pPr>
              <w:pStyle w:val="94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614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697"/>
        </w:trPr>
        <w:tc>
          <w:tcPr>
            <w:tcW w:w="2065" w:type="dxa"/>
            <w:vAlign w:val="center"/>
            <w:textDirection w:val="lrTb"/>
            <w:noWrap/>
          </w:tcPr>
          <w:p>
            <w:pPr>
              <w:pStyle w:val="94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2026-2027年扬州市邗江区公道镇政府购买居家养老服务项目</w:t>
            </w:r>
            <w:r/>
          </w:p>
        </w:tc>
        <w:tc>
          <w:tcPr>
            <w:tcW w:w="6141" w:type="dxa"/>
            <w:vAlign w:val="center"/>
            <w:textDirection w:val="lrTb"/>
            <w:noWrap/>
          </w:tcPr>
          <w:p>
            <w:pPr>
              <w:pStyle w:val="943"/>
              <w:spacing w:line="30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大写：</w:t>
            </w:r>
            <w:r/>
          </w:p>
          <w:p>
            <w:pPr>
              <w:rPr>
                <w:color w:val="auto"/>
                <w:highlight w:val="none"/>
              </w:rPr>
            </w:pPr>
            <w:r>
              <w:rPr>
                <w:color w:val="auto"/>
                <w:highlight w:val="none"/>
              </w:rPr>
            </w:r>
            <w:r/>
          </w:p>
          <w:p>
            <w:pPr>
              <w:pStyle w:val="94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小写：(人民币)元/小时</w:t>
            </w:r>
            <w:r/>
          </w:p>
        </w:tc>
      </w:tr>
      <w:tr>
        <w:trPr>
          <w:cantSplit/>
          <w:trHeight w:val="965"/>
        </w:trPr>
        <w:tc>
          <w:tcPr>
            <w:tcW w:w="2065" w:type="dxa"/>
            <w:vAlign w:val="center"/>
            <w:textDirection w:val="lrTb"/>
            <w:noWrap/>
          </w:tcPr>
          <w:p>
            <w:pPr>
              <w:pStyle w:val="943"/>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141" w:type="dxa"/>
            <w:vAlign w:val="center"/>
            <w:textDirection w:val="lrTb"/>
            <w:noWrap/>
          </w:tcPr>
          <w:p>
            <w:pPr>
              <w:pStyle w:val="94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年月日</w:t>
      </w:r>
      <w:r/>
    </w:p>
    <w:p>
      <w:pPr>
        <w:pStyle w:val="934"/>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35"/>
        <w:ind w:firstLine="640"/>
        <w:rPr>
          <w:rFonts w:ascii="宋体" w:hAnsi="宋体"/>
          <w:color w:val="auto"/>
          <w:sz w:val="32"/>
          <w:szCs w:val="32"/>
          <w:highlight w:val="none"/>
        </w:rPr>
      </w:pPr>
      <w:r>
        <w:rPr>
          <w:rFonts w:ascii="宋体" w:hAnsi="宋体"/>
          <w:color w:val="auto"/>
          <w:sz w:val="32"/>
          <w:szCs w:val="32"/>
          <w:highlight w:val="none"/>
        </w:rPr>
      </w:r>
      <w:r/>
    </w:p>
    <w:p>
      <w:pPr>
        <w:pStyle w:val="970"/>
        <w:ind w:firstLine="420"/>
        <w:spacing w:line="360" w:lineRule="auto"/>
        <w:rPr>
          <w:color w:val="auto"/>
          <w:highlight w:val="none"/>
        </w:rPr>
      </w:pPr>
      <w:r>
        <w:rPr>
          <w:rFonts w:hint="eastAsia" w:ascii="宋体" w:hAnsi="宋体"/>
          <w:color w:val="auto"/>
          <w:sz w:val="32"/>
          <w:szCs w:val="32"/>
          <w:highlight w:val="none"/>
        </w:rPr>
        <w:br w:type="page" w:clear="all"/>
      </w:r>
      <w:r/>
    </w:p>
    <w:p>
      <w:pPr>
        <w:pStyle w:val="934"/>
        <w:ind w:firstLine="2811"/>
        <w:jc w:val="both"/>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五、技术参数响应及偏离表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供应商全称（盖章）：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w:t>
      </w:r>
      <w:r/>
    </w:p>
    <w:p>
      <w:pPr>
        <w:pStyle w:val="935"/>
        <w:rPr>
          <w:color w:val="auto"/>
          <w:highlight w:val="none"/>
        </w:rPr>
      </w:pPr>
      <w:r>
        <w:rPr>
          <w:color w:val="auto"/>
          <w:highlight w:val="none"/>
        </w:rPr>
      </w:r>
      <w:r/>
    </w:p>
    <w:tbl>
      <w:tblPr>
        <w:tblStyle w:val="747"/>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Height w:val="687"/>
        </w:trPr>
        <w:tc>
          <w:tcPr>
            <w:tcW w:w="793"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147"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330"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2031"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108" w:type="dxa"/>
            <w:textDirection w:val="lrTb"/>
            <w:noWrap/>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numPr>
          <w:ilvl w:val="0"/>
          <w:numId w:val="9"/>
        </w:numPr>
        <w:jc w:val="center"/>
        <w:rPr>
          <w:rFonts w:ascii="宋体" w:hAnsi="宋体"/>
          <w:b/>
          <w:bCs/>
          <w:color w:val="auto"/>
          <w:sz w:val="28"/>
          <w:szCs w:val="28"/>
          <w:highlight w:val="none"/>
        </w:rPr>
      </w:pPr>
      <w:r>
        <w:rPr>
          <w:rFonts w:hint="eastAsia" w:ascii="黑体" w:hAnsi="Arial" w:eastAsia="黑体"/>
          <w:color w:val="auto"/>
          <w:sz w:val="32"/>
          <w:highlight w:val="none"/>
        </w:rPr>
        <w:br w:type="page" w:clear="all"/>
      </w:r>
      <w:bookmarkStart w:id="36" w:name="_Hlt26955054"/>
      <w:r/>
      <w:bookmarkEnd w:id="36"/>
      <w:r/>
      <w:bookmarkStart w:id="37" w:name="_Toc113352363"/>
      <w:r>
        <w:rPr>
          <w:rFonts w:hint="eastAsia" w:ascii="宋体" w:hAnsi="宋体"/>
          <w:b/>
          <w:bCs/>
          <w:color w:val="auto"/>
          <w:sz w:val="28"/>
          <w:szCs w:val="28"/>
          <w:highlight w:val="none"/>
        </w:rPr>
        <w:t xml:space="preserve">商务条款响应及偏离表</w:t>
      </w:r>
      <w:bookmarkEnd w:id="37"/>
      <w:r/>
      <w:r/>
    </w:p>
    <w:p>
      <w:pPr>
        <w:pStyle w:val="756"/>
        <w:ind w:left="1260"/>
        <w:rPr>
          <w:rFonts w:ascii="宋体" w:hAnsi="宋体"/>
          <w:b/>
          <w:bCs/>
          <w:color w:val="auto"/>
          <w:sz w:val="28"/>
          <w:szCs w:val="28"/>
          <w:highlight w:val="none"/>
        </w:rPr>
      </w:pPr>
      <w:r>
        <w:rPr>
          <w:rFonts w:ascii="宋体" w:hAnsi="宋体"/>
          <w:b/>
          <w:bCs/>
          <w:color w:val="auto"/>
          <w:sz w:val="28"/>
          <w:szCs w:val="28"/>
          <w:highlight w:val="none"/>
        </w:rPr>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供应商全称（盖章）：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w:t>
      </w:r>
      <w:r/>
    </w:p>
    <w:p>
      <w:pPr>
        <w:rPr>
          <w:b/>
          <w:bCs/>
          <w:color w:val="auto"/>
          <w:highlight w:val="none"/>
        </w:rPr>
      </w:pPr>
      <w:r>
        <w:rPr>
          <w:b/>
          <w:bCs/>
          <w:color w:val="auto"/>
          <w:highlight w:val="none"/>
        </w:rPr>
      </w:r>
      <w:r/>
    </w:p>
    <w:p>
      <w:pPr>
        <w:pStyle w:val="784"/>
        <w:rPr>
          <w:color w:val="auto"/>
          <w:highlight w:val="none"/>
        </w:rPr>
      </w:pPr>
      <w:r>
        <w:rPr>
          <w:color w:val="auto"/>
          <w:highlight w:val="none"/>
        </w:rPr>
      </w:r>
      <w:r/>
    </w:p>
    <w:tbl>
      <w:tblPr>
        <w:tblStyle w:val="747"/>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textDirection w:val="lrTb"/>
            <w:noWrap/>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textDirection w:val="lrTb"/>
            <w:noWrap/>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textDirection w:val="lrTb"/>
            <w:noWrap/>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textDirection w:val="lrTb"/>
            <w:noWrap/>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textDirection w:val="lrTb"/>
            <w:noWrap/>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textDirection w:val="lrTb"/>
            <w:noWrap/>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35"/>
        <w:ind w:firstLine="480"/>
        <w:rPr>
          <w:rFonts w:ascii="宋体" w:hAnsi="宋体"/>
          <w:color w:val="auto"/>
          <w:sz w:val="24"/>
          <w:highlight w:val="none"/>
        </w:rPr>
      </w:pPr>
      <w:r/>
      <w:bookmarkStart w:id="38" w:name="_Hlt26671374"/>
      <w:r/>
      <w:bookmarkEnd w:id="38"/>
      <w:r/>
      <w:bookmarkStart w:id="39" w:name="_Hlt26955066"/>
      <w:r/>
      <w:bookmarkEnd w:id="39"/>
      <w:r/>
      <w:bookmarkStart w:id="40" w:name="_Hlt26609389"/>
      <w:r/>
      <w:bookmarkEnd w:id="40"/>
      <w:r/>
      <w:bookmarkStart w:id="41" w:name="_Toc462564146"/>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hint="eastAsia" w:ascii="宋体" w:hAnsi="宋体"/>
          <w:color w:val="auto"/>
          <w:sz w:val="24"/>
          <w:highlight w:val="none"/>
        </w:rPr>
        <w:t xml:space="preserve">.</w:t>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r/>
    </w:p>
    <w:p>
      <w:pPr>
        <w:pStyle w:val="935"/>
        <w:ind w:firstLine="480"/>
        <w:rPr>
          <w:rFonts w:ascii="宋体" w:hAnsi="宋体"/>
          <w:color w:val="auto"/>
          <w:sz w:val="24"/>
          <w:highlight w:val="none"/>
        </w:rPr>
      </w:pPr>
      <w:r>
        <w:rPr>
          <w:rFonts w:ascii="宋体" w:hAnsi="宋体"/>
          <w:color w:val="auto"/>
          <w:sz w:val="24"/>
          <w:highlight w:val="none"/>
        </w:rPr>
      </w:r>
      <w:bookmarkEnd w:id="41"/>
      <w:r/>
      <w:r/>
    </w:p>
    <w:p>
      <w:pPr>
        <w:numPr>
          <w:ilvl w:val="0"/>
          <w:numId w:val="9"/>
        </w:num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拟投入人员一览表.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供应商全称（盖章）：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w:t>
      </w:r>
      <w:r/>
    </w:p>
    <w:p>
      <w:pPr>
        <w:pStyle w:val="756"/>
        <w:ind w:left="1260"/>
        <w:rPr>
          <w:rFonts w:ascii="宋体" w:hAnsi="宋体"/>
          <w:b/>
          <w:bCs/>
          <w:color w:val="auto"/>
          <w:sz w:val="28"/>
          <w:szCs w:val="28"/>
          <w:highlight w:val="none"/>
        </w:rPr>
      </w:pPr>
      <w:r>
        <w:rPr>
          <w:rFonts w:ascii="宋体" w:hAnsi="宋体"/>
          <w:b/>
          <w:bCs/>
          <w:color w:val="auto"/>
          <w:sz w:val="28"/>
          <w:szCs w:val="28"/>
          <w:highlight w:val="none"/>
        </w:rPr>
      </w:r>
      <w:r/>
    </w:p>
    <w:p>
      <w:pPr>
        <w:rPr>
          <w:color w:val="auto"/>
          <w:highlight w:val="none"/>
        </w:rPr>
      </w:pPr>
      <w:r>
        <w:rPr>
          <w:color w:val="auto"/>
          <w:highlight w:val="none"/>
        </w:rPr>
      </w:r>
      <w:r/>
    </w:p>
    <w:p>
      <w:pPr>
        <w:rPr>
          <w:rFonts w:ascii="宋体" w:hAnsi="宋体"/>
          <w:b/>
          <w:bCs/>
          <w:color w:val="auto"/>
          <w:sz w:val="28"/>
          <w:szCs w:val="28"/>
          <w:highlight w:val="none"/>
        </w:rPr>
      </w:pPr>
      <w:r>
        <w:rPr>
          <w:rFonts w:ascii="宋体" w:hAnsi="宋体"/>
          <w:b/>
          <w:bCs/>
          <w:color w:val="auto"/>
          <w:sz w:val="28"/>
          <w:szCs w:val="28"/>
          <w:highlight w:val="none"/>
        </w:rPr>
      </w:r>
      <w:r/>
    </w:p>
    <w:tbl>
      <w:tblPr>
        <w:tblStyle w:val="747"/>
        <w:tblW w:w="7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88"/>
        <w:gridCol w:w="789"/>
        <w:gridCol w:w="850"/>
        <w:gridCol w:w="771"/>
        <w:gridCol w:w="1448"/>
        <w:gridCol w:w="1669"/>
        <w:gridCol w:w="924"/>
      </w:tblGrid>
      <w:tr>
        <w:trPr>
          <w:jc w:val="center"/>
          <w:trHeight w:val="727"/>
        </w:trPr>
        <w:tc>
          <w:tcPr>
            <w:tcW w:w="717"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序号</w:t>
            </w:r>
            <w:r/>
          </w:p>
        </w:tc>
        <w:tc>
          <w:tcPr>
            <w:tcW w:w="788"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岗位</w:t>
            </w:r>
            <w:r/>
          </w:p>
        </w:tc>
        <w:tc>
          <w:tcPr>
            <w:tcW w:w="789"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姓 名</w:t>
            </w:r>
            <w:r/>
          </w:p>
        </w:tc>
        <w:tc>
          <w:tcPr>
            <w:tcW w:w="850"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性别</w:t>
            </w:r>
            <w:r/>
          </w:p>
        </w:tc>
        <w:tc>
          <w:tcPr>
            <w:tcW w:w="771"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学历</w:t>
            </w:r>
            <w:r/>
          </w:p>
        </w:tc>
        <w:tc>
          <w:tcPr>
            <w:tcW w:w="1448"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出生年月</w:t>
            </w:r>
            <w:r/>
          </w:p>
        </w:tc>
        <w:tc>
          <w:tcPr>
            <w:tcW w:w="1669"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证书</w:t>
            </w:r>
            <w:r/>
          </w:p>
        </w:tc>
        <w:tc>
          <w:tcPr>
            <w:tcW w:w="924"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44"/>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62"/>
        </w:trPr>
        <w:tc>
          <w:tcPr>
            <w:tcW w:w="717"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8" w:type="dxa"/>
            <w:vAlign w:val="center"/>
            <w:textDirection w:val="lrTb"/>
            <w:noWrap/>
          </w:tcPr>
          <w:p>
            <w:pPr>
              <w:jc w:val="center"/>
              <w:spacing w:line="360" w:lineRule="auto"/>
              <w:rPr>
                <w:color w:val="auto"/>
                <w:szCs w:val="21"/>
                <w:highlight w:val="none"/>
              </w:rPr>
            </w:pPr>
            <w:r>
              <w:rPr>
                <w:color w:val="auto"/>
                <w:szCs w:val="21"/>
                <w:highlight w:val="none"/>
              </w:rPr>
            </w:r>
            <w:r/>
          </w:p>
        </w:tc>
        <w:tc>
          <w:tcPr>
            <w:tcW w:w="789"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tcPr>
          <w:p>
            <w:pPr>
              <w:jc w:val="center"/>
              <w:spacing w:line="360" w:lineRule="auto"/>
              <w:rPr>
                <w:color w:val="auto"/>
                <w:szCs w:val="21"/>
                <w:highlight w:val="none"/>
              </w:rPr>
            </w:pPr>
            <w:r>
              <w:rPr>
                <w:color w:val="auto"/>
                <w:szCs w:val="21"/>
                <w:highlight w:val="none"/>
              </w:rPr>
            </w:r>
            <w:r/>
          </w:p>
        </w:tc>
        <w:tc>
          <w:tcPr>
            <w:tcW w:w="771" w:type="dxa"/>
            <w:vAlign w:val="center"/>
            <w:textDirection w:val="lrTb"/>
            <w:noWrap/>
          </w:tcPr>
          <w:p>
            <w:pPr>
              <w:jc w:val="center"/>
              <w:spacing w:line="360" w:lineRule="auto"/>
              <w:rPr>
                <w:color w:val="auto"/>
                <w:szCs w:val="21"/>
                <w:highlight w:val="none"/>
              </w:rPr>
            </w:pPr>
            <w:r>
              <w:rPr>
                <w:color w:val="auto"/>
                <w:szCs w:val="21"/>
                <w:highlight w:val="none"/>
              </w:rPr>
            </w:r>
            <w:r/>
          </w:p>
        </w:tc>
        <w:tc>
          <w:tcPr>
            <w:tcW w:w="1448" w:type="dxa"/>
            <w:vAlign w:val="center"/>
            <w:textDirection w:val="lrTb"/>
            <w:noWrap/>
          </w:tcPr>
          <w:p>
            <w:pPr>
              <w:jc w:val="center"/>
              <w:spacing w:line="360" w:lineRule="auto"/>
              <w:rPr>
                <w:color w:val="auto"/>
                <w:szCs w:val="21"/>
                <w:highlight w:val="none"/>
              </w:rPr>
            </w:pPr>
            <w:r>
              <w:rPr>
                <w:color w:val="auto"/>
                <w:szCs w:val="21"/>
                <w:highlight w:val="none"/>
              </w:rPr>
            </w:r>
            <w:r/>
          </w:p>
        </w:tc>
        <w:tc>
          <w:tcPr>
            <w:tcW w:w="1669" w:type="dxa"/>
            <w:vAlign w:val="center"/>
            <w:textDirection w:val="lrTb"/>
            <w:noWrap/>
          </w:tcPr>
          <w:p>
            <w:pPr>
              <w:jc w:val="center"/>
              <w:spacing w:line="360" w:lineRule="auto"/>
              <w:rPr>
                <w:color w:val="auto"/>
                <w:szCs w:val="21"/>
                <w:highlight w:val="none"/>
              </w:rPr>
            </w:pPr>
            <w:r>
              <w:rPr>
                <w:color w:val="auto"/>
                <w:szCs w:val="21"/>
                <w:highlight w:val="none"/>
              </w:rPr>
            </w:r>
            <w:r/>
          </w:p>
        </w:tc>
        <w:tc>
          <w:tcPr>
            <w:tcW w:w="924" w:type="dxa"/>
            <w:vAlign w:val="center"/>
            <w:textDirection w:val="lrTb"/>
            <w:noWrap/>
          </w:tcPr>
          <w:p>
            <w:pPr>
              <w:jc w:val="center"/>
              <w:spacing w:line="360" w:lineRule="auto"/>
              <w:rPr>
                <w:color w:val="auto"/>
                <w:szCs w:val="21"/>
                <w:highlight w:val="none"/>
              </w:rPr>
            </w:pPr>
            <w:r>
              <w:rPr>
                <w:color w:val="auto"/>
                <w:szCs w:val="21"/>
                <w:highlight w:val="none"/>
              </w:rPr>
            </w:r>
            <w:r/>
          </w:p>
        </w:tc>
      </w:tr>
    </w:tbl>
    <w:p>
      <w:pPr>
        <w:pStyle w:val="939"/>
        <w:ind w:firstLine="0"/>
        <w:spacing w:line="360" w:lineRule="auto"/>
        <w:rPr>
          <w:rFonts w:ascii="宋体" w:hAnsi="宋体"/>
          <w:bCs/>
          <w:color w:val="auto"/>
          <w:highlight w:val="none"/>
        </w:rPr>
      </w:pPr>
      <w:r>
        <w:rPr>
          <w:rFonts w:ascii="宋体" w:hAnsi="宋体"/>
          <w:bCs/>
          <w:color w:val="auto"/>
          <w:highlight w:val="none"/>
        </w:rPr>
      </w:r>
      <w:r/>
    </w:p>
    <w:p>
      <w:pPr>
        <w:pStyle w:val="942"/>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ascii="宋体" w:hAnsi="宋体"/>
          <w:bCs/>
          <w:color w:val="auto"/>
          <w:highlight w:val="none"/>
        </w:rPr>
      </w:r>
      <w:r/>
    </w:p>
    <w:p>
      <w:pPr>
        <w:pStyle w:val="753"/>
        <w:rPr>
          <w:rFonts w:ascii="宋体" w:hAnsi="宋体"/>
          <w:b/>
          <w:color w:val="auto"/>
          <w:highlight w:val="none"/>
        </w:rPr>
      </w:pPr>
      <w:r>
        <w:rPr>
          <w:rFonts w:ascii="宋体" w:hAnsi="宋体"/>
          <w:b/>
          <w:color w:val="auto"/>
          <w:highlight w:val="none"/>
        </w:rPr>
      </w:r>
      <w:r/>
    </w:p>
    <w:p>
      <w:pPr>
        <w:rPr>
          <w:rFonts w:ascii="宋体" w:hAnsi="宋体"/>
          <w:color w:val="auto"/>
          <w:highlight w:val="none"/>
        </w:rPr>
      </w:pPr>
      <w:r>
        <w:rPr>
          <w:rFonts w:ascii="宋体" w:hAnsi="宋体"/>
          <w:color w:val="auto"/>
          <w:highlight w:val="none"/>
        </w:rPr>
      </w:r>
      <w:r/>
    </w:p>
    <w:p>
      <w:pPr>
        <w:numPr>
          <w:ilvl w:val="0"/>
          <w:numId w:val="9"/>
        </w:num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其他 </w:t>
      </w:r>
      <w:r/>
    </w:p>
    <w:p>
      <w:pPr>
        <w:pStyle w:val="784"/>
        <w:rPr>
          <w:color w:val="auto"/>
          <w:highlight w:val="none"/>
        </w:rPr>
      </w:pPr>
      <w:r>
        <w:rPr>
          <w:color w:val="auto"/>
          <w:highlight w:val="none"/>
        </w:rPr>
      </w:r>
      <w:r/>
    </w:p>
    <w:p>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（投标人认为有必要提供的声明和文件，如有自拟并自行添加）</w:t>
      </w:r>
      <w:r/>
    </w:p>
    <w:p>
      <w:pPr>
        <w:jc w:val="center"/>
        <w:rPr>
          <w:rFonts w:ascii="宋体" w:hAnsi="宋体"/>
          <w:b/>
          <w:bCs/>
          <w:color w:val="auto"/>
          <w:sz w:val="28"/>
          <w:szCs w:val="28"/>
          <w:highlight w:val="none"/>
        </w:rPr>
      </w:pPr>
      <w:r>
        <w:rPr>
          <w:rFonts w:ascii="宋体" w:hAnsi="宋体"/>
          <w:b/>
          <w:bCs/>
          <w:color w:val="auto"/>
          <w:sz w:val="28"/>
          <w:szCs w:val="28"/>
          <w:highlight w:val="none"/>
        </w:rPr>
      </w:r>
      <w:r/>
    </w:p>
    <w:p>
      <w:pPr>
        <w:rPr>
          <w:color w:val="auto"/>
          <w:highlight w:val="none"/>
        </w:rPr>
      </w:pPr>
      <w:r>
        <w:rPr>
          <w:color w:val="auto"/>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rPr>
        <w:lang w:val="zh-CN"/>
      </w:rPr>
      <w:t xml:space="preserve">18</w:t>
    </w:r>
    <w:r>
      <w:rPr>
        <w:lang w:val="zh-CN"/>
      </w:rP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rFonts w:hint="eastAsia"/>
      </w:rPr>
      <w:t xml:space="preserve">                </w:t>
    </w:r>
    <w:r>
      <w:rPr>
        <w:rFonts w:hint="eastAsia"/>
        <w:lang w:val="en-US" w:eastAsia="zh-CN"/>
      </w:rPr>
      <w:t xml:space="preserve">                                          </w:t>
    </w:r>
    <w:r>
      <w:rPr>
        <w:rFonts w:hint="eastAsia"/>
      </w:rPr>
      <w:t xml:space="preserve">扬州嘉泰工程项目管理有限公司</w:t>
    </w:r>
    <w:r/>
  </w:p>
  <w:p>
    <w:pPr>
      <w:pStyle w:val="95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pPr>
    <w:r>
      <w:rPr>
        <w:rFonts w:hint="eastAsia"/>
      </w:rPr>
      <w:t xml:space="preserve">                                                            </w:t>
    </w:r>
    <w:r>
      <w:rPr>
        <w:rFonts w:hint="eastAsia"/>
        <w:lang w:val="en-US" w:eastAsia="zh-CN"/>
      </w:rPr>
      <w:t xml:space="preserve">   </w:t>
    </w:r>
    <w:r>
      <w:rPr>
        <w:rFonts w:hint="eastAsia"/>
      </w:rPr>
      <w:t xml:space="preserve"> 扬州嘉泰工程项目管理有限公司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rFonts w:hint="eastAsia"/>
        <w:lang w:val="en-US" w:eastAsia="zh-CN"/>
      </w:rPr>
      <w:t xml:space="preserve">                                                      </w:t>
    </w:r>
    <w:r>
      <w:rPr>
        <w:rFonts w:hint="eastAsia"/>
      </w:rPr>
      <w:t xml:space="preserve">扬州嘉泰工程项目管理有限公司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5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8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3"/>
  </w:num>
  <w:num w:numId="6">
    <w:abstractNumId w:val="8"/>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2 Char"/>
    <w:basedOn w:val="746"/>
    <w:link w:val="738"/>
    <w:uiPriority w:val="9"/>
    <w:rPr>
      <w:rFonts w:ascii="Arial" w:hAnsi="Arial" w:eastAsia="Arial" w:cs="Arial"/>
      <w:sz w:val="34"/>
    </w:rPr>
  </w:style>
  <w:style w:type="character" w:styleId="720">
    <w:name w:val="Heading 3 Char"/>
    <w:basedOn w:val="746"/>
    <w:link w:val="739"/>
    <w:uiPriority w:val="9"/>
    <w:rPr>
      <w:rFonts w:ascii="Arial" w:hAnsi="Arial" w:eastAsia="Arial" w:cs="Arial"/>
      <w:sz w:val="30"/>
      <w:szCs w:val="30"/>
    </w:rPr>
  </w:style>
  <w:style w:type="character" w:styleId="721">
    <w:name w:val="Heading 4 Char"/>
    <w:basedOn w:val="746"/>
    <w:link w:val="740"/>
    <w:uiPriority w:val="9"/>
    <w:rPr>
      <w:rFonts w:ascii="Arial" w:hAnsi="Arial" w:eastAsia="Arial" w:cs="Arial"/>
      <w:b/>
      <w:bCs/>
      <w:sz w:val="26"/>
      <w:szCs w:val="26"/>
    </w:rPr>
  </w:style>
  <w:style w:type="character" w:styleId="722">
    <w:name w:val="Heading 5 Char"/>
    <w:basedOn w:val="746"/>
    <w:link w:val="741"/>
    <w:uiPriority w:val="9"/>
    <w:rPr>
      <w:rFonts w:ascii="Arial" w:hAnsi="Arial" w:eastAsia="Arial" w:cs="Arial"/>
      <w:b/>
      <w:bCs/>
      <w:sz w:val="24"/>
      <w:szCs w:val="24"/>
    </w:rPr>
  </w:style>
  <w:style w:type="character" w:styleId="723">
    <w:name w:val="Heading 6 Char"/>
    <w:basedOn w:val="746"/>
    <w:link w:val="742"/>
    <w:uiPriority w:val="9"/>
    <w:rPr>
      <w:rFonts w:ascii="Arial" w:hAnsi="Arial" w:eastAsia="Arial" w:cs="Arial"/>
      <w:b/>
      <w:bCs/>
      <w:sz w:val="22"/>
      <w:szCs w:val="22"/>
    </w:rPr>
  </w:style>
  <w:style w:type="character" w:styleId="724">
    <w:name w:val="Heading 7 Char"/>
    <w:basedOn w:val="746"/>
    <w:link w:val="743"/>
    <w:uiPriority w:val="9"/>
    <w:rPr>
      <w:rFonts w:ascii="Arial" w:hAnsi="Arial" w:eastAsia="Arial" w:cs="Arial"/>
      <w:b/>
      <w:bCs/>
      <w:i/>
      <w:iCs/>
      <w:sz w:val="22"/>
      <w:szCs w:val="22"/>
    </w:rPr>
  </w:style>
  <w:style w:type="character" w:styleId="725">
    <w:name w:val="Heading 8 Char"/>
    <w:basedOn w:val="746"/>
    <w:link w:val="744"/>
    <w:uiPriority w:val="9"/>
    <w:rPr>
      <w:rFonts w:ascii="Arial" w:hAnsi="Arial" w:eastAsia="Arial" w:cs="Arial"/>
      <w:i/>
      <w:iCs/>
      <w:sz w:val="22"/>
      <w:szCs w:val="22"/>
    </w:rPr>
  </w:style>
  <w:style w:type="character" w:styleId="726">
    <w:name w:val="Heading 9 Char"/>
    <w:basedOn w:val="746"/>
    <w:link w:val="745"/>
    <w:uiPriority w:val="9"/>
    <w:rPr>
      <w:rFonts w:ascii="Arial" w:hAnsi="Arial" w:eastAsia="Arial" w:cs="Arial"/>
      <w:i/>
      <w:iCs/>
      <w:sz w:val="21"/>
      <w:szCs w:val="21"/>
    </w:rPr>
  </w:style>
  <w:style w:type="character" w:styleId="727">
    <w:name w:val="Title Char"/>
    <w:basedOn w:val="746"/>
    <w:link w:val="776"/>
    <w:uiPriority w:val="10"/>
    <w:rPr>
      <w:sz w:val="48"/>
      <w:szCs w:val="48"/>
    </w:rPr>
  </w:style>
  <w:style w:type="character" w:styleId="728">
    <w:name w:val="Subtitle Char"/>
    <w:basedOn w:val="746"/>
    <w:link w:val="769"/>
    <w:uiPriority w:val="11"/>
    <w:rPr>
      <w:sz w:val="24"/>
      <w:szCs w:val="24"/>
    </w:rPr>
  </w:style>
  <w:style w:type="character" w:styleId="729">
    <w:name w:val="Quote Char"/>
    <w:link w:val="798"/>
    <w:uiPriority w:val="29"/>
    <w:rPr>
      <w:i/>
    </w:rPr>
  </w:style>
  <w:style w:type="character" w:styleId="730">
    <w:name w:val="Intense Quote Char"/>
    <w:link w:val="800"/>
    <w:uiPriority w:val="30"/>
    <w:rPr>
      <w:i/>
    </w:rPr>
  </w:style>
  <w:style w:type="character" w:styleId="731">
    <w:name w:val="Header Char"/>
    <w:basedOn w:val="746"/>
    <w:link w:val="766"/>
    <w:uiPriority w:val="99"/>
  </w:style>
  <w:style w:type="character" w:styleId="732">
    <w:name w:val="Caption Char"/>
    <w:basedOn w:val="751"/>
    <w:link w:val="764"/>
    <w:uiPriority w:val="99"/>
  </w:style>
  <w:style w:type="character" w:styleId="733">
    <w:name w:val="Footnote Text Char"/>
    <w:link w:val="770"/>
    <w:uiPriority w:val="99"/>
    <w:rPr>
      <w:sz w:val="18"/>
    </w:rPr>
  </w:style>
  <w:style w:type="character" w:styleId="734">
    <w:name w:val="Endnote Text Char"/>
    <w:link w:val="762"/>
    <w:uiPriority w:val="99"/>
    <w:rPr>
      <w:sz w:val="20"/>
    </w:rPr>
  </w:style>
  <w:style w:type="paragraph" w:styleId="735">
    <w:name w:val="TOC Heading"/>
    <w:uiPriority w:val="39"/>
    <w:unhideWhenUsed/>
  </w:style>
  <w:style w:type="paragraph" w:styleId="736" w:default="1">
    <w:name w:val="Normal"/>
    <w:next w:val="748"/>
    <w:uiPriority w:val="0"/>
    <w:qFormat/>
    <w:pPr>
      <w:jc w:val="both"/>
      <w:widowControl w:val="off"/>
    </w:pPr>
    <w:rPr>
      <w:rFonts w:ascii="Calibri" w:hAnsi="Calibri" w:eastAsia="宋体" w:cs="Times New Roman"/>
      <w:sz w:val="21"/>
      <w:szCs w:val="22"/>
      <w:lang w:val="en-US" w:eastAsia="zh-CN" w:bidi="ar-SA"/>
    </w:rPr>
  </w:style>
  <w:style w:type="paragraph" w:styleId="737">
    <w:name w:val="Heading 1"/>
    <w:basedOn w:val="736"/>
    <w:next w:val="736"/>
    <w:link w:val="983"/>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49"/>
    <w:link w:val="78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87"/>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88"/>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89"/>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90"/>
    <w:uiPriority w:val="9"/>
    <w:unhideWhenUsed/>
    <w:qFormat/>
    <w:pPr>
      <w:keepLines/>
      <w:keepNext/>
      <w:spacing w:before="320" w:after="200"/>
      <w:outlineLvl w:val="5"/>
    </w:pPr>
    <w:rPr>
      <w:rFonts w:ascii="Arial" w:hAnsi="Arial" w:eastAsia="Arial" w:cs="Arial"/>
      <w:b/>
      <w:bCs/>
      <w:sz w:val="22"/>
    </w:rPr>
  </w:style>
  <w:style w:type="paragraph" w:styleId="743">
    <w:name w:val="Heading 7"/>
    <w:basedOn w:val="736"/>
    <w:next w:val="736"/>
    <w:link w:val="791"/>
    <w:uiPriority w:val="9"/>
    <w:unhideWhenUsed/>
    <w:qFormat/>
    <w:pPr>
      <w:keepLines/>
      <w:keepNext/>
      <w:spacing w:before="320" w:after="200"/>
      <w:outlineLvl w:val="6"/>
    </w:pPr>
    <w:rPr>
      <w:rFonts w:ascii="Arial" w:hAnsi="Arial" w:eastAsia="Arial" w:cs="Arial"/>
      <w:b/>
      <w:bCs/>
      <w:i/>
      <w:iCs/>
      <w:sz w:val="22"/>
    </w:rPr>
  </w:style>
  <w:style w:type="paragraph" w:styleId="744">
    <w:name w:val="Heading 8"/>
    <w:basedOn w:val="736"/>
    <w:next w:val="736"/>
    <w:link w:val="792"/>
    <w:uiPriority w:val="9"/>
    <w:unhideWhenUsed/>
    <w:qFormat/>
    <w:pPr>
      <w:keepLines/>
      <w:keepNext/>
      <w:spacing w:before="320" w:after="200"/>
      <w:outlineLvl w:val="7"/>
    </w:pPr>
    <w:rPr>
      <w:rFonts w:ascii="Arial" w:hAnsi="Arial" w:eastAsia="Arial" w:cs="Arial"/>
      <w:i/>
      <w:iCs/>
      <w:sz w:val="22"/>
    </w:rPr>
  </w:style>
  <w:style w:type="paragraph" w:styleId="745">
    <w:name w:val="Heading 9"/>
    <w:basedOn w:val="736"/>
    <w:next w:val="736"/>
    <w:link w:val="793"/>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Block Text"/>
    <w:basedOn w:val="736"/>
    <w:uiPriority w:val="99"/>
    <w:unhideWhenUsed/>
    <w:qFormat/>
    <w:pPr>
      <w:ind w:left="1440" w:right="1440"/>
      <w:spacing w:after="120"/>
    </w:pPr>
  </w:style>
  <w:style w:type="paragraph" w:styleId="749">
    <w:name w:val="Normal Indent"/>
    <w:basedOn w:val="736"/>
    <w:uiPriority w:val="0"/>
    <w:unhideWhenUsed/>
    <w:qFormat/>
    <w:pPr>
      <w:ind w:firstLine="420"/>
    </w:pPr>
    <w:rPr>
      <w:rFonts w:ascii="Times New Roman" w:hAnsi="Times New Roman"/>
    </w:rPr>
  </w:style>
  <w:style w:type="paragraph" w:styleId="750">
    <w:name w:val="toc 7"/>
    <w:basedOn w:val="736"/>
    <w:next w:val="736"/>
    <w:uiPriority w:val="39"/>
    <w:unhideWhenUsed/>
    <w:qFormat/>
    <w:pPr>
      <w:ind w:left="1701"/>
      <w:spacing w:after="57"/>
    </w:pPr>
  </w:style>
  <w:style w:type="paragraph" w:styleId="751">
    <w:name w:val="Caption"/>
    <w:basedOn w:val="736"/>
    <w:next w:val="736"/>
    <w:uiPriority w:val="35"/>
    <w:semiHidden/>
    <w:unhideWhenUsed/>
    <w:qFormat/>
    <w:pPr>
      <w:spacing w:line="276" w:lineRule="auto"/>
    </w:pPr>
    <w:rPr>
      <w:b/>
      <w:bCs/>
      <w:color w:val="4f81bd" w:themeColor="accent1"/>
      <w:sz w:val="18"/>
      <w:szCs w:val="18"/>
    </w:rPr>
  </w:style>
  <w:style w:type="paragraph" w:styleId="752">
    <w:name w:val="annotation text"/>
    <w:basedOn w:val="736"/>
    <w:uiPriority w:val="99"/>
    <w:semiHidden/>
    <w:unhideWhenUsed/>
    <w:qFormat/>
    <w:pPr>
      <w:jc w:val="left"/>
    </w:pPr>
  </w:style>
  <w:style w:type="paragraph" w:styleId="753">
    <w:name w:val="Body Text"/>
    <w:basedOn w:val="736"/>
    <w:uiPriority w:val="99"/>
    <w:unhideWhenUsed/>
    <w:qFormat/>
    <w:rPr>
      <w:rFonts w:ascii="楷体_GB2312" w:hAnsi="Arial" w:eastAsia="楷体_GB2312"/>
      <w:sz w:val="28"/>
      <w:szCs w:val="28"/>
    </w:rPr>
  </w:style>
  <w:style w:type="paragraph" w:styleId="754">
    <w:name w:val="Body Text Indent"/>
    <w:basedOn w:val="736"/>
    <w:next w:val="749"/>
    <w:uiPriority w:val="99"/>
    <w:unhideWhenUsed/>
    <w:qFormat/>
    <w:pPr>
      <w:ind w:firstLine="540"/>
      <w:spacing w:line="400" w:lineRule="exact"/>
    </w:pPr>
    <w:rPr>
      <w:sz w:val="24"/>
    </w:rPr>
  </w:style>
  <w:style w:type="paragraph" w:styleId="755">
    <w:name w:val="List Bullet 2"/>
    <w:basedOn w:val="736"/>
    <w:uiPriority w:val="99"/>
    <w:semiHidden/>
    <w:unhideWhenUsed/>
    <w:qFormat/>
    <w:pPr>
      <w:numPr>
        <w:ilvl w:val="0"/>
        <w:numId w:val="1"/>
      </w:numPr>
    </w:pPr>
  </w:style>
  <w:style w:type="paragraph" w:styleId="756">
    <w:name w:val="index 4"/>
    <w:basedOn w:val="736"/>
    <w:next w:val="736"/>
    <w:uiPriority w:val="99"/>
    <w:unhideWhenUsed/>
    <w:qFormat/>
    <w:pPr>
      <w:ind w:left="600"/>
    </w:pPr>
  </w:style>
  <w:style w:type="paragraph" w:styleId="757">
    <w:name w:val="toc 5"/>
    <w:basedOn w:val="736"/>
    <w:next w:val="736"/>
    <w:uiPriority w:val="39"/>
    <w:unhideWhenUsed/>
    <w:qFormat/>
    <w:pPr>
      <w:ind w:left="1134"/>
      <w:spacing w:after="57"/>
    </w:pPr>
  </w:style>
  <w:style w:type="paragraph" w:styleId="758">
    <w:name w:val="toc 3"/>
    <w:basedOn w:val="736"/>
    <w:next w:val="736"/>
    <w:uiPriority w:val="39"/>
    <w:unhideWhenUsed/>
    <w:qFormat/>
    <w:pPr>
      <w:ind w:left="567"/>
      <w:spacing w:after="57"/>
    </w:pPr>
  </w:style>
  <w:style w:type="paragraph" w:styleId="759">
    <w:name w:val="Plain Text"/>
    <w:basedOn w:val="736"/>
    <w:uiPriority w:val="0"/>
    <w:qFormat/>
    <w:rPr>
      <w:rFonts w:ascii="宋体" w:hAnsi="Courier New"/>
      <w:sz w:val="20"/>
      <w:szCs w:val="21"/>
    </w:rPr>
  </w:style>
  <w:style w:type="paragraph" w:styleId="760">
    <w:name w:val="toc 8"/>
    <w:basedOn w:val="736"/>
    <w:next w:val="736"/>
    <w:uiPriority w:val="39"/>
    <w:unhideWhenUsed/>
    <w:qFormat/>
    <w:pPr>
      <w:ind w:left="1984"/>
      <w:spacing w:after="57"/>
    </w:pPr>
  </w:style>
  <w:style w:type="paragraph" w:styleId="761">
    <w:name w:val="Body Text Indent 2"/>
    <w:basedOn w:val="736"/>
    <w:uiPriority w:val="0"/>
    <w:qFormat/>
    <w:pPr>
      <w:ind w:firstLine="562"/>
      <w:spacing w:line="480" w:lineRule="exact"/>
    </w:pPr>
    <w:rPr>
      <w:rFonts w:ascii="楷体_GB2312" w:eastAsia="楷体_GB2312"/>
      <w:b/>
      <w:bCs/>
      <w:sz w:val="28"/>
      <w:szCs w:val="24"/>
    </w:rPr>
  </w:style>
  <w:style w:type="paragraph" w:styleId="762">
    <w:name w:val="endnote text"/>
    <w:basedOn w:val="736"/>
    <w:link w:val="931"/>
    <w:uiPriority w:val="99"/>
    <w:semiHidden/>
    <w:unhideWhenUsed/>
    <w:qFormat/>
    <w:rPr>
      <w:sz w:val="20"/>
    </w:rPr>
  </w:style>
  <w:style w:type="paragraph" w:styleId="763">
    <w:name w:val="Balloon Text"/>
    <w:basedOn w:val="736"/>
    <w:link w:val="985"/>
    <w:uiPriority w:val="99"/>
    <w:semiHidden/>
    <w:unhideWhenUsed/>
    <w:qFormat/>
    <w:rPr>
      <w:sz w:val="18"/>
      <w:szCs w:val="18"/>
    </w:rPr>
  </w:style>
  <w:style w:type="paragraph" w:styleId="764">
    <w:name w:val="Footer"/>
    <w:basedOn w:val="736"/>
    <w:link w:val="804"/>
    <w:uiPriority w:val="99"/>
    <w:unhideWhenUsed/>
    <w:qFormat/>
    <w:pPr>
      <w:tabs>
        <w:tab w:val="center" w:pos="7143" w:leader="none"/>
        <w:tab w:val="right" w:pos="14287" w:leader="none"/>
      </w:tabs>
    </w:pPr>
  </w:style>
  <w:style w:type="paragraph" w:styleId="765">
    <w:name w:val="envelope return"/>
    <w:basedOn w:val="736"/>
    <w:uiPriority w:val="0"/>
    <w:qFormat/>
    <w:rPr>
      <w:rFonts w:ascii="Arial" w:hAnsi="Arial"/>
    </w:rPr>
  </w:style>
  <w:style w:type="paragraph" w:styleId="766">
    <w:name w:val="Header"/>
    <w:basedOn w:val="736"/>
    <w:link w:val="802"/>
    <w:uiPriority w:val="99"/>
    <w:unhideWhenUsed/>
    <w:qFormat/>
    <w:pPr>
      <w:tabs>
        <w:tab w:val="center" w:pos="7143" w:leader="none"/>
        <w:tab w:val="right" w:pos="14287" w:leader="none"/>
      </w:tabs>
    </w:pPr>
  </w:style>
  <w:style w:type="paragraph" w:styleId="767">
    <w:name w:val="toc 1"/>
    <w:basedOn w:val="736"/>
    <w:next w:val="736"/>
    <w:uiPriority w:val="39"/>
    <w:unhideWhenUsed/>
    <w:qFormat/>
    <w:pPr>
      <w:spacing w:after="57"/>
    </w:pPr>
  </w:style>
  <w:style w:type="paragraph" w:styleId="768">
    <w:name w:val="toc 4"/>
    <w:basedOn w:val="736"/>
    <w:next w:val="736"/>
    <w:uiPriority w:val="39"/>
    <w:unhideWhenUsed/>
    <w:qFormat/>
    <w:pPr>
      <w:ind w:left="850"/>
      <w:spacing w:after="57"/>
    </w:pPr>
  </w:style>
  <w:style w:type="paragraph" w:styleId="769">
    <w:name w:val="Subtitle"/>
    <w:basedOn w:val="736"/>
    <w:next w:val="736"/>
    <w:link w:val="797"/>
    <w:uiPriority w:val="11"/>
    <w:qFormat/>
    <w:pPr>
      <w:spacing w:before="200" w:after="200"/>
    </w:pPr>
    <w:rPr>
      <w:sz w:val="24"/>
      <w:szCs w:val="24"/>
    </w:rPr>
  </w:style>
  <w:style w:type="paragraph" w:styleId="770">
    <w:name w:val="footnote text"/>
    <w:basedOn w:val="736"/>
    <w:link w:val="930"/>
    <w:uiPriority w:val="99"/>
    <w:semiHidden/>
    <w:unhideWhenUsed/>
    <w:qFormat/>
    <w:pPr>
      <w:spacing w:after="40"/>
    </w:pPr>
    <w:rPr>
      <w:sz w:val="18"/>
    </w:rPr>
  </w:style>
  <w:style w:type="paragraph" w:styleId="771">
    <w:name w:val="toc 6"/>
    <w:basedOn w:val="736"/>
    <w:next w:val="736"/>
    <w:uiPriority w:val="39"/>
    <w:unhideWhenUsed/>
    <w:qFormat/>
    <w:pPr>
      <w:ind w:left="1417"/>
      <w:spacing w:after="57"/>
    </w:pPr>
  </w:style>
  <w:style w:type="paragraph" w:styleId="772">
    <w:name w:val="table of figures"/>
    <w:basedOn w:val="736"/>
    <w:next w:val="736"/>
    <w:uiPriority w:val="99"/>
    <w:unhideWhenUsed/>
    <w:qFormat/>
  </w:style>
  <w:style w:type="paragraph" w:styleId="773">
    <w:name w:val="toc 2"/>
    <w:basedOn w:val="736"/>
    <w:next w:val="736"/>
    <w:uiPriority w:val="39"/>
    <w:unhideWhenUsed/>
    <w:qFormat/>
    <w:pPr>
      <w:ind w:left="283"/>
      <w:spacing w:after="57"/>
    </w:pPr>
  </w:style>
  <w:style w:type="paragraph" w:styleId="774">
    <w:name w:val="toc 9"/>
    <w:basedOn w:val="736"/>
    <w:next w:val="736"/>
    <w:uiPriority w:val="39"/>
    <w:unhideWhenUsed/>
    <w:qFormat/>
    <w:pPr>
      <w:ind w:left="2268"/>
      <w:spacing w:after="57"/>
    </w:pPr>
  </w:style>
  <w:style w:type="paragraph" w:styleId="775">
    <w:name w:val="Normal (Web)"/>
    <w:basedOn w:val="736"/>
    <w:uiPriority w:val="99"/>
    <w:unhideWhenUsed/>
    <w:qFormat/>
    <w:pPr>
      <w:spacing w:before="100" w:beforeAutospacing="1" w:after="100" w:afterAutospacing="1"/>
    </w:pPr>
    <w:rPr>
      <w:rFonts w:ascii="宋体" w:hAnsi="宋体" w:cs="宋体"/>
      <w:sz w:val="24"/>
      <w:szCs w:val="24"/>
    </w:rPr>
  </w:style>
  <w:style w:type="paragraph" w:styleId="776">
    <w:name w:val="Title"/>
    <w:basedOn w:val="736"/>
    <w:next w:val="736"/>
    <w:link w:val="796"/>
    <w:uiPriority w:val="10"/>
    <w:qFormat/>
    <w:pPr>
      <w:contextualSpacing/>
      <w:spacing w:before="300" w:after="200"/>
    </w:pPr>
    <w:rPr>
      <w:sz w:val="48"/>
      <w:szCs w:val="48"/>
    </w:rPr>
  </w:style>
  <w:style w:type="paragraph" w:styleId="777">
    <w:name w:val="Body Text First Indent 2"/>
    <w:basedOn w:val="754"/>
    <w:next w:val="736"/>
    <w:uiPriority w:val="99"/>
    <w:unhideWhenUsed/>
    <w:qFormat/>
    <w:pPr>
      <w:ind w:firstLine="42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uiPriority w:val="1"/>
    <w:qFormat/>
    <w:rPr>
      <w:b/>
    </w:rPr>
  </w:style>
  <w:style w:type="character" w:styleId="780">
    <w:name w:val="endnote reference"/>
    <w:uiPriority w:val="99"/>
    <w:semiHidden/>
    <w:unhideWhenUsed/>
    <w:qFormat/>
    <w:rPr>
      <w:vertAlign w:val="superscript"/>
    </w:rPr>
  </w:style>
  <w:style w:type="character" w:styleId="781">
    <w:name w:val="Emphasis"/>
    <w:uiPriority w:val="1"/>
    <w:qFormat/>
    <w:rPr>
      <w:i/>
    </w:rPr>
  </w:style>
  <w:style w:type="character" w:styleId="782">
    <w:name w:val="Hyperlink"/>
    <w:uiPriority w:val="99"/>
    <w:unhideWhenUsed/>
    <w:qFormat/>
    <w:rPr>
      <w:color w:val="0000ff" w:themeColor="hyperlink"/>
      <w:u w:val="single"/>
    </w:rPr>
  </w:style>
  <w:style w:type="character" w:styleId="783">
    <w:name w:val="footnote reference"/>
    <w:uiPriority w:val="99"/>
    <w:unhideWhenUsed/>
    <w:qFormat/>
    <w:rPr>
      <w:vertAlign w:val="superscript"/>
    </w:rPr>
  </w:style>
  <w:style w:type="paragraph" w:styleId="784" w:customStyle="1">
    <w:name w:val="Default"/>
    <w:next w:val="736"/>
    <w:uiPriority w:val="0"/>
    <w:qFormat/>
    <w:pPr>
      <w:widowControl w:val="off"/>
    </w:pPr>
    <w:rPr>
      <w:rFonts w:ascii="宋体" w:hAnsi="Times New Roman" w:eastAsia="宋体" w:cs="宋体"/>
      <w:color w:val="000000"/>
      <w:sz w:val="24"/>
      <w:szCs w:val="24"/>
      <w:lang w:val="en-US" w:eastAsia="zh-CN" w:bidi="ar-SA"/>
    </w:rPr>
  </w:style>
  <w:style w:type="character" w:styleId="785" w:customStyle="1">
    <w:name w:val="Heading 1 Char"/>
    <w:link w:val="737"/>
    <w:uiPriority w:val="9"/>
    <w:qFormat/>
    <w:rPr>
      <w:rFonts w:ascii="Arial" w:hAnsi="Arial" w:eastAsia="Arial" w:cs="Arial"/>
      <w:sz w:val="40"/>
      <w:szCs w:val="40"/>
    </w:rPr>
  </w:style>
  <w:style w:type="character" w:styleId="786" w:customStyle="1">
    <w:name w:val="标题 2 Char"/>
    <w:link w:val="738"/>
    <w:uiPriority w:val="9"/>
    <w:qFormat/>
    <w:rPr>
      <w:rFonts w:ascii="Arial" w:hAnsi="Arial" w:eastAsia="Arial" w:cs="Arial"/>
      <w:sz w:val="34"/>
    </w:rPr>
  </w:style>
  <w:style w:type="character" w:styleId="787" w:customStyle="1">
    <w:name w:val="标题 3 Char"/>
    <w:link w:val="739"/>
    <w:uiPriority w:val="9"/>
    <w:qFormat/>
    <w:rPr>
      <w:rFonts w:ascii="Arial" w:hAnsi="Arial" w:eastAsia="Arial" w:cs="Arial"/>
      <w:sz w:val="30"/>
      <w:szCs w:val="30"/>
    </w:rPr>
  </w:style>
  <w:style w:type="character" w:styleId="788" w:customStyle="1">
    <w:name w:val="标题 4 Char"/>
    <w:link w:val="740"/>
    <w:uiPriority w:val="9"/>
    <w:qFormat/>
    <w:rPr>
      <w:rFonts w:ascii="Arial" w:hAnsi="Arial" w:eastAsia="Arial" w:cs="Arial"/>
      <w:b/>
      <w:bCs/>
      <w:sz w:val="26"/>
      <w:szCs w:val="26"/>
    </w:rPr>
  </w:style>
  <w:style w:type="character" w:styleId="789" w:customStyle="1">
    <w:name w:val="标题 5 Char"/>
    <w:link w:val="741"/>
    <w:uiPriority w:val="9"/>
    <w:qFormat/>
    <w:rPr>
      <w:rFonts w:ascii="Arial" w:hAnsi="Arial" w:eastAsia="Arial" w:cs="Arial"/>
      <w:b/>
      <w:bCs/>
      <w:sz w:val="24"/>
      <w:szCs w:val="24"/>
    </w:rPr>
  </w:style>
  <w:style w:type="character" w:styleId="790" w:customStyle="1">
    <w:name w:val="标题 6 Char"/>
    <w:link w:val="742"/>
    <w:uiPriority w:val="9"/>
    <w:qFormat/>
    <w:rPr>
      <w:rFonts w:ascii="Arial" w:hAnsi="Arial" w:eastAsia="Arial" w:cs="Arial"/>
      <w:b/>
      <w:bCs/>
      <w:sz w:val="22"/>
      <w:szCs w:val="22"/>
    </w:rPr>
  </w:style>
  <w:style w:type="character" w:styleId="791" w:customStyle="1">
    <w:name w:val="标题 7 Char"/>
    <w:link w:val="743"/>
    <w:uiPriority w:val="9"/>
    <w:qFormat/>
    <w:rPr>
      <w:rFonts w:ascii="Arial" w:hAnsi="Arial" w:eastAsia="Arial" w:cs="Arial"/>
      <w:b/>
      <w:bCs/>
      <w:i/>
      <w:iCs/>
      <w:sz w:val="22"/>
      <w:szCs w:val="22"/>
    </w:rPr>
  </w:style>
  <w:style w:type="character" w:styleId="792" w:customStyle="1">
    <w:name w:val="标题 8 Char"/>
    <w:link w:val="744"/>
    <w:uiPriority w:val="9"/>
    <w:qFormat/>
    <w:rPr>
      <w:rFonts w:ascii="Arial" w:hAnsi="Arial" w:eastAsia="Arial" w:cs="Arial"/>
      <w:i/>
      <w:iCs/>
      <w:sz w:val="22"/>
      <w:szCs w:val="22"/>
    </w:rPr>
  </w:style>
  <w:style w:type="character" w:styleId="793" w:customStyle="1">
    <w:name w:val="标题 9 Char"/>
    <w:link w:val="745"/>
    <w:uiPriority w:val="9"/>
    <w:qFormat/>
    <w:rPr>
      <w:rFonts w:ascii="Arial" w:hAnsi="Arial" w:eastAsia="Arial" w:cs="Arial"/>
      <w:i/>
      <w:iCs/>
      <w:sz w:val="21"/>
      <w:szCs w:val="21"/>
    </w:rPr>
  </w:style>
  <w:style w:type="paragraph" w:styleId="794">
    <w:name w:val="List Paragraph"/>
    <w:basedOn w:val="736"/>
    <w:uiPriority w:val="34"/>
    <w:qFormat/>
    <w:pPr>
      <w:contextualSpacing/>
      <w:ind w:left="720"/>
    </w:pPr>
  </w:style>
  <w:style w:type="paragraph" w:styleId="795">
    <w:name w:val="No Spacing"/>
    <w:uiPriority w:val="1"/>
    <w:qFormat/>
    <w:rPr>
      <w:rFonts w:ascii="Times New Roman" w:hAnsi="Times New Roman" w:eastAsia="宋体" w:cs="Times New Roman"/>
      <w:lang w:val="en-US" w:eastAsia="zh-CN" w:bidi="ar-SA"/>
    </w:rPr>
  </w:style>
  <w:style w:type="character" w:styleId="796" w:customStyle="1">
    <w:name w:val="标题 Char"/>
    <w:link w:val="776"/>
    <w:uiPriority w:val="10"/>
    <w:qFormat/>
    <w:rPr>
      <w:sz w:val="48"/>
      <w:szCs w:val="48"/>
    </w:rPr>
  </w:style>
  <w:style w:type="character" w:styleId="797" w:customStyle="1">
    <w:name w:val="副标题 Char"/>
    <w:link w:val="769"/>
    <w:uiPriority w:val="11"/>
    <w:qFormat/>
    <w:rPr>
      <w:sz w:val="24"/>
      <w:szCs w:val="24"/>
    </w:rPr>
  </w:style>
  <w:style w:type="paragraph" w:styleId="798">
    <w:name w:val="Quote"/>
    <w:basedOn w:val="736"/>
    <w:next w:val="736"/>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736"/>
    <w:next w:val="736"/>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页眉 Char"/>
    <w:link w:val="766"/>
    <w:uiPriority w:val="99"/>
    <w:qFormat/>
  </w:style>
  <w:style w:type="character" w:styleId="803" w:customStyle="1">
    <w:name w:val="Footer Char"/>
    <w:link w:val="764"/>
    <w:uiPriority w:val="99"/>
    <w:qFormat/>
  </w:style>
  <w:style w:type="character" w:styleId="804" w:customStyle="1">
    <w:name w:val="页脚 Char"/>
    <w:link w:val="764"/>
    <w:uiPriority w:val="99"/>
    <w:qFormat/>
  </w:style>
  <w:style w:type="table" w:styleId="8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Char"/>
    <w:link w:val="770"/>
    <w:uiPriority w:val="99"/>
    <w:qFormat/>
    <w:rPr>
      <w:sz w:val="18"/>
    </w:rPr>
  </w:style>
  <w:style w:type="character" w:styleId="931" w:customStyle="1">
    <w:name w:val="尾注文本 Char"/>
    <w:link w:val="762"/>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paragraph" w:styleId="933" w:customStyle="1">
    <w:name w:val="标题 11"/>
    <w:basedOn w:val="736"/>
    <w:next w:val="736"/>
    <w:uiPriority w:val="9"/>
    <w:qFormat/>
    <w:pPr>
      <w:keepLines/>
      <w:keepNext/>
      <w:spacing w:before="340" w:after="330" w:line="578" w:lineRule="auto"/>
      <w:outlineLvl w:val="0"/>
    </w:pPr>
    <w:rPr>
      <w:b/>
      <w:bCs/>
      <w:sz w:val="44"/>
      <w:szCs w:val="44"/>
    </w:rPr>
  </w:style>
  <w:style w:type="paragraph" w:styleId="934" w:customStyle="1">
    <w:name w:val="标题 21"/>
    <w:basedOn w:val="736"/>
    <w:next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正文缩进1"/>
    <w:basedOn w:val="736"/>
    <w:uiPriority w:val="0"/>
    <w:unhideWhenUsed/>
    <w:qFormat/>
    <w:pPr>
      <w:ind w:firstLine="420"/>
    </w:pPr>
  </w:style>
  <w:style w:type="paragraph" w:styleId="936" w:customStyle="1">
    <w:name w:val="标题 31"/>
    <w:basedOn w:val="736"/>
    <w:next w:val="736"/>
    <w:uiPriority w:val="0"/>
    <w:qFormat/>
    <w:pPr>
      <w:keepLines/>
      <w:keepNext/>
      <w:spacing w:before="260" w:after="260" w:line="416" w:lineRule="auto"/>
      <w:outlineLvl w:val="2"/>
    </w:pPr>
    <w:rPr>
      <w:b/>
      <w:bCs/>
      <w:sz w:val="32"/>
      <w:szCs w:val="32"/>
    </w:rPr>
  </w:style>
  <w:style w:type="character" w:styleId="937" w:customStyle="1">
    <w:name w:val="默认段落字体1"/>
    <w:uiPriority w:val="1"/>
    <w:unhideWhenUsed/>
    <w:qFormat/>
  </w:style>
  <w:style w:type="table" w:styleId="938" w:customStyle="1">
    <w:name w:val="普通表格1"/>
    <w:uiPriority w:val="99"/>
    <w:unhideWhenUsed/>
    <w:qFormat/>
    <w:tblPr>
      <w:tblCellMar>
        <w:left w:w="0" w:type="dxa"/>
        <w:top w:w="0" w:type="dxa"/>
        <w:right w:w="0" w:type="dxa"/>
        <w:bottom w:w="0" w:type="dxa"/>
      </w:tblCellMar>
    </w:tblPr>
  </w:style>
  <w:style w:type="paragraph" w:styleId="939" w:customStyle="1">
    <w:name w:val="正文首行缩进 21"/>
    <w:basedOn w:val="940"/>
    <w:next w:val="942"/>
    <w:uiPriority w:val="0"/>
    <w:qFormat/>
    <w:pPr>
      <w:ind w:firstLine="420"/>
      <w:spacing w:before="100" w:beforeAutospacing="1"/>
    </w:pPr>
    <w:rPr>
      <w:rFonts w:ascii="Times New Roman" w:hAnsi="Times New Roman"/>
      <w:sz w:val="20"/>
      <w:szCs w:val="21"/>
    </w:rPr>
  </w:style>
  <w:style w:type="paragraph" w:styleId="940" w:customStyle="1">
    <w:name w:val="正文文本缩进1"/>
    <w:basedOn w:val="736"/>
    <w:next w:val="941"/>
    <w:uiPriority w:val="99"/>
    <w:unhideWhenUsed/>
    <w:qFormat/>
    <w:pPr>
      <w:ind w:firstLine="540"/>
      <w:spacing w:line="400" w:lineRule="exact"/>
    </w:pPr>
    <w:rPr>
      <w:sz w:val="24"/>
    </w:rPr>
  </w:style>
  <w:style w:type="paragraph" w:styleId="941" w:customStyle="1">
    <w:name w:val="寄信人地址1"/>
    <w:basedOn w:val="736"/>
    <w:uiPriority w:val="99"/>
    <w:unhideWhenUsed/>
    <w:qFormat/>
    <w:rPr>
      <w:rFonts w:ascii="Arial" w:hAnsi="Arial"/>
    </w:rPr>
  </w:style>
  <w:style w:type="paragraph" w:styleId="942" w:customStyle="1">
    <w:name w:val="正文首行缩进1"/>
    <w:basedOn w:val="943"/>
    <w:next w:val="736"/>
    <w:uiPriority w:val="0"/>
    <w:qFormat/>
    <w:pPr>
      <w:ind w:firstLine="425"/>
      <w:spacing w:before="100" w:after="100" w:line="360" w:lineRule="atLeast"/>
    </w:pPr>
    <w:rPr>
      <w:rFonts w:ascii="Times New Roman" w:hAnsi="Times New Roman" w:eastAsia="宋体"/>
    </w:rPr>
  </w:style>
  <w:style w:type="paragraph" w:styleId="943" w:customStyle="1">
    <w:name w:val="正文文本11"/>
    <w:basedOn w:val="736"/>
    <w:next w:val="736"/>
    <w:uiPriority w:val="0"/>
    <w:qFormat/>
    <w:rPr>
      <w:rFonts w:ascii="楷体_GB2312" w:hAnsi="Arial" w:eastAsia="楷体_GB2312"/>
      <w:sz w:val="28"/>
      <w:szCs w:val="28"/>
    </w:rPr>
  </w:style>
  <w:style w:type="paragraph" w:styleId="944" w:customStyle="1">
    <w:name w:val="批注文字1"/>
    <w:basedOn w:val="736"/>
    <w:link w:val="945"/>
    <w:uiPriority w:val="0"/>
    <w:qFormat/>
    <w:pPr>
      <w:jc w:val="left"/>
    </w:pPr>
  </w:style>
  <w:style w:type="character" w:styleId="945" w:customStyle="1">
    <w:name w:val="批注文字 Char"/>
    <w:link w:val="944"/>
    <w:uiPriority w:val="0"/>
    <w:qFormat/>
    <w:rPr>
      <w:rFonts w:ascii="Calibri" w:hAnsi="Calibri"/>
      <w:sz w:val="21"/>
      <w:szCs w:val="22"/>
    </w:rPr>
  </w:style>
  <w:style w:type="paragraph" w:styleId="946" w:customStyle="1">
    <w:name w:val="列表项目符号 21"/>
    <w:basedOn w:val="736"/>
    <w:uiPriority w:val="0"/>
    <w:qFormat/>
    <w:pPr>
      <w:numPr>
        <w:ilvl w:val="0"/>
        <w:numId w:val="2"/>
      </w:numPr>
    </w:pPr>
  </w:style>
  <w:style w:type="paragraph" w:styleId="947" w:customStyle="1">
    <w:name w:val="纯文本1"/>
    <w:basedOn w:val="736"/>
    <w:uiPriority w:val="99"/>
    <w:qFormat/>
    <w:rPr>
      <w:rFonts w:ascii="宋体" w:hAnsi="Courier New"/>
      <w:sz w:val="20"/>
      <w:szCs w:val="21"/>
    </w:rPr>
  </w:style>
  <w:style w:type="paragraph" w:styleId="948" w:customStyle="1">
    <w:name w:val="批注框文本1"/>
    <w:basedOn w:val="736"/>
    <w:link w:val="949"/>
    <w:uiPriority w:val="0"/>
    <w:qFormat/>
    <w:rPr>
      <w:sz w:val="18"/>
      <w:szCs w:val="18"/>
    </w:rPr>
  </w:style>
  <w:style w:type="character" w:styleId="949" w:customStyle="1">
    <w:name w:val="批注框文本 Char"/>
    <w:link w:val="948"/>
    <w:uiPriority w:val="0"/>
    <w:qFormat/>
    <w:rPr>
      <w:sz w:val="18"/>
      <w:szCs w:val="18"/>
    </w:rPr>
  </w:style>
  <w:style w:type="paragraph" w:styleId="950" w:customStyle="1">
    <w:name w:val="页脚1"/>
    <w:basedOn w:val="736"/>
    <w:uiPriority w:val="99"/>
    <w:unhideWhenUsed/>
    <w:qFormat/>
    <w:pPr>
      <w:jc w:val="left"/>
      <w:tabs>
        <w:tab w:val="center" w:pos="4153" w:leader="none"/>
        <w:tab w:val="right" w:pos="8306" w:leader="none"/>
      </w:tabs>
    </w:pPr>
    <w:rPr>
      <w:sz w:val="18"/>
      <w:szCs w:val="18"/>
    </w:rPr>
  </w:style>
  <w:style w:type="paragraph" w:styleId="951" w:customStyle="1">
    <w:name w:val="页眉1"/>
    <w:basedOn w:val="73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2" w:customStyle="1">
    <w:name w:val="目录 11"/>
    <w:basedOn w:val="736"/>
    <w:next w:val="736"/>
    <w:uiPriority w:val="39"/>
    <w:unhideWhenUsed/>
    <w:qFormat/>
  </w:style>
  <w:style w:type="paragraph" w:styleId="953" w:customStyle="1">
    <w:name w:val="正文文本 21"/>
    <w:basedOn w:val="736"/>
    <w:uiPriority w:val="0"/>
    <w:qFormat/>
    <w:pPr>
      <w:spacing w:after="120" w:line="480" w:lineRule="auto"/>
    </w:pPr>
  </w:style>
  <w:style w:type="paragraph" w:styleId="954" w:customStyle="1">
    <w:name w:val="信息标题1"/>
    <w:basedOn w:val="73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5" w:customStyle="1">
    <w:name w:val="普通(网站)1"/>
    <w:basedOn w:val="736"/>
    <w:uiPriority w:val="0"/>
    <w:qFormat/>
    <w:rPr>
      <w:rFonts w:ascii="Times New Roman" w:hAnsi="Times New Roman"/>
      <w:sz w:val="24"/>
    </w:rPr>
  </w:style>
  <w:style w:type="paragraph" w:styleId="956" w:customStyle="1">
    <w:name w:val="批注主题1"/>
    <w:basedOn w:val="944"/>
    <w:next w:val="944"/>
    <w:link w:val="957"/>
    <w:uiPriority w:val="0"/>
    <w:qFormat/>
    <w:rPr>
      <w:b/>
      <w:bCs/>
    </w:rPr>
  </w:style>
  <w:style w:type="character" w:styleId="957" w:customStyle="1">
    <w:name w:val="批注主题 Char"/>
    <w:link w:val="956"/>
    <w:uiPriority w:val="0"/>
    <w:qFormat/>
    <w:rPr>
      <w:rFonts w:ascii="Calibri" w:hAnsi="Calibri"/>
      <w:b/>
      <w:bCs/>
      <w:sz w:val="21"/>
      <w:szCs w:val="22"/>
    </w:rPr>
  </w:style>
  <w:style w:type="table" w:styleId="958" w:customStyle="1">
    <w:name w:val="网格型1"/>
    <w:basedOn w:val="938"/>
    <w:uiPriority w:val="59"/>
    <w:qFormat/>
    <w:tblPr>
      <w:tblCellMar>
        <w:left w:w="0" w:type="dxa"/>
        <w:top w:w="0" w:type="dxa"/>
        <w:right w:w="0" w:type="dxa"/>
        <w:bottom w:w="0" w:type="dxa"/>
      </w:tblCellMar>
    </w:tblPr>
  </w:style>
  <w:style w:type="character" w:styleId="959" w:customStyle="1">
    <w:name w:val="要点1"/>
    <w:uiPriority w:val="0"/>
    <w:qFormat/>
    <w:rPr>
      <w:b/>
    </w:rPr>
  </w:style>
  <w:style w:type="character" w:styleId="960" w:customStyle="1">
    <w:name w:val="超链接1"/>
    <w:uiPriority w:val="0"/>
    <w:qFormat/>
    <w:rPr>
      <w:color w:val="0000ff"/>
      <w:u w:val="single"/>
    </w:rPr>
  </w:style>
  <w:style w:type="character" w:styleId="961" w:customStyle="1">
    <w:name w:val="批注引用1"/>
    <w:uiPriority w:val="0"/>
    <w:qFormat/>
    <w:rPr>
      <w:sz w:val="21"/>
      <w:szCs w:val="21"/>
    </w:rPr>
  </w:style>
  <w:style w:type="paragraph" w:styleId="962" w:customStyle="1">
    <w:name w:val="正文1"/>
    <w:basedOn w:val="736"/>
    <w:next w:val="963"/>
    <w:uiPriority w:val="0"/>
    <w:qFormat/>
    <w:pPr>
      <w:jc w:val="left"/>
      <w:spacing w:line="360" w:lineRule="atLeast"/>
    </w:pPr>
    <w:rPr>
      <w:rFonts w:ascii="宋体"/>
      <w:sz w:val="24"/>
      <w:szCs w:val="20"/>
    </w:rPr>
  </w:style>
  <w:style w:type="paragraph" w:styleId="963" w:customStyle="1">
    <w:name w:val="正文文本1"/>
    <w:basedOn w:val="962"/>
    <w:next w:val="964"/>
    <w:uiPriority w:val="0"/>
    <w:qFormat/>
    <w:pPr>
      <w:spacing w:after="120"/>
    </w:pPr>
    <w:rPr>
      <w:lang w:eastAsia="en-US"/>
    </w:rPr>
  </w:style>
  <w:style w:type="paragraph" w:styleId="964" w:customStyle="1">
    <w:name w:val="一级条标题"/>
    <w:basedOn w:val="965"/>
    <w:next w:val="9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customStyle="1">
    <w:name w:val="章标题"/>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6" w:customStyle="1">
    <w:name w:val="段"/>
    <w:basedOn w:val="962"/>
    <w:next w:val="736"/>
    <w:uiPriority w:val="0"/>
    <w:qFormat/>
    <w:pPr>
      <w:ind w:firstLine="200"/>
      <w:widowControl/>
    </w:pPr>
    <w:rPr>
      <w:sz w:val="20"/>
    </w:rPr>
  </w:style>
  <w:style w:type="paragraph" w:styleId="967" w:customStyle="1">
    <w:name w:val="正文（缩进）"/>
    <w:basedOn w:val="736"/>
    <w:next w:val="736"/>
    <w:uiPriority w:val="0"/>
    <w:qFormat/>
    <w:pPr>
      <w:ind w:firstLine="480"/>
      <w:spacing w:before="156" w:after="156"/>
    </w:pPr>
  </w:style>
  <w:style w:type="paragraph" w:styleId="968"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969" w:customStyle="1">
    <w:name w:val="Char"/>
    <w:basedOn w:val="736"/>
    <w:uiPriority w:val="0"/>
    <w:qFormat/>
    <w:pPr>
      <w:ind w:firstLine="200"/>
      <w:tabs>
        <w:tab w:val="left" w:pos="360" w:leader="none"/>
      </w:tabs>
    </w:pPr>
    <w:rPr>
      <w:rFonts w:ascii="Times New Roman" w:hAnsi="Times New Roman"/>
      <w:sz w:val="28"/>
      <w:szCs w:val="30"/>
    </w:rPr>
  </w:style>
  <w:style w:type="paragraph" w:styleId="970" w:customStyle="1">
    <w:name w:val="正文空2格  1."/>
    <w:basedOn w:val="736"/>
    <w:uiPriority w:val="0"/>
    <w:qFormat/>
    <w:pPr>
      <w:ind w:firstLine="480"/>
    </w:pPr>
    <w:rPr>
      <w:rFonts w:cs="宋体"/>
      <w:sz w:val="28"/>
      <w:szCs w:val="20"/>
    </w:rPr>
  </w:style>
  <w:style w:type="character" w:styleId="971" w:customStyle="1">
    <w:name w:val="font61"/>
    <w:basedOn w:val="746"/>
    <w:uiPriority w:val="0"/>
    <w:qFormat/>
    <w:rPr>
      <w:rFonts w:ascii="Calibri" w:hAnsi="Calibri" w:cs="Calibri"/>
      <w:color w:val="000000"/>
      <w:sz w:val="20"/>
      <w:szCs w:val="20"/>
      <w:u w:val="none"/>
    </w:rPr>
  </w:style>
  <w:style w:type="character" w:styleId="972" w:customStyle="1">
    <w:name w:val="font71"/>
    <w:basedOn w:val="746"/>
    <w:uiPriority w:val="0"/>
    <w:qFormat/>
    <w:rPr>
      <w:rFonts w:hint="default" w:ascii="Calibri" w:hAnsi="Calibri" w:cs="Calibri"/>
      <w:color w:val="000000"/>
      <w:sz w:val="20"/>
      <w:szCs w:val="20"/>
      <w:u w:val="none"/>
    </w:rPr>
  </w:style>
  <w:style w:type="paragraph" w:styleId="973" w:customStyle="1">
    <w:name w:val="表格"/>
    <w:uiPriority w:val="0"/>
    <w:qFormat/>
    <w:pPr>
      <w:jc w:val="center"/>
      <w:spacing w:line="360" w:lineRule="auto"/>
    </w:pPr>
    <w:rPr>
      <w:rFonts w:ascii="宋体" w:hAnsi="宋体" w:eastAsia="宋体" w:cs="Times New Roman"/>
      <w:bCs/>
      <w:spacing w:val="-4"/>
      <w:sz w:val="21"/>
      <w:szCs w:val="22"/>
      <w:lang w:val="en-US" w:eastAsia="zh-CN" w:bidi="ar-SA"/>
    </w:rPr>
  </w:style>
  <w:style w:type="paragraph" w:styleId="974" w:customStyle="1">
    <w:name w:val="Table Paragraph"/>
    <w:basedOn w:val="736"/>
    <w:uiPriority w:val="99"/>
    <w:qFormat/>
    <w:pPr>
      <w:jc w:val="left"/>
    </w:pPr>
    <w:rPr>
      <w:rFonts w:cs="Calibri"/>
      <w:sz w:val="22"/>
      <w:lang w:eastAsia="en-US"/>
    </w:rPr>
  </w:style>
  <w:style w:type="character" w:styleId="975" w:customStyle="1">
    <w:name w:val="font01"/>
    <w:basedOn w:val="746"/>
    <w:uiPriority w:val="0"/>
    <w:qFormat/>
    <w:rPr>
      <w:rFonts w:hint="eastAsia" w:ascii="宋体" w:hAnsi="宋体" w:eastAsia="宋体" w:cs="宋体"/>
      <w:color w:val="000000"/>
      <w:sz w:val="24"/>
      <w:szCs w:val="24"/>
      <w:u w:val="none"/>
    </w:rPr>
  </w:style>
  <w:style w:type="character" w:styleId="976" w:customStyle="1">
    <w:name w:val="font31"/>
    <w:basedOn w:val="746"/>
    <w:uiPriority w:val="0"/>
    <w:qFormat/>
    <w:rPr>
      <w:rFonts w:hint="eastAsia" w:ascii="黑体" w:hAnsi="宋体" w:eastAsia="黑体" w:cs="黑体"/>
      <w:color w:val="000000"/>
      <w:sz w:val="24"/>
      <w:szCs w:val="24"/>
      <w:u w:val="none"/>
    </w:rPr>
  </w:style>
  <w:style w:type="character" w:styleId="977" w:customStyle="1">
    <w:name w:val="font51"/>
    <w:basedOn w:val="746"/>
    <w:uiPriority w:val="0"/>
    <w:qFormat/>
    <w:rPr>
      <w:rFonts w:hint="eastAsia" w:ascii="宋体" w:hAnsi="宋体" w:eastAsia="宋体" w:cs="宋体"/>
      <w:color w:val="000000"/>
      <w:sz w:val="24"/>
      <w:szCs w:val="24"/>
      <w:u w:val="none"/>
    </w:rPr>
  </w:style>
  <w:style w:type="character" w:styleId="978" w:customStyle="1">
    <w:name w:val="font41"/>
    <w:basedOn w:val="746"/>
    <w:uiPriority w:val="0"/>
    <w:qFormat/>
    <w:rPr>
      <w:rFonts w:hint="eastAsia" w:ascii="黑体" w:hAnsi="宋体" w:eastAsia="黑体" w:cs="黑体"/>
      <w:color w:val="000000"/>
      <w:sz w:val="24"/>
      <w:szCs w:val="24"/>
      <w:u w:val="none"/>
    </w:rPr>
  </w:style>
  <w:style w:type="table" w:styleId="979"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980" w:customStyle="1">
    <w:name w:val="ListBullet21"/>
    <w:basedOn w:val="736"/>
    <w:uiPriority w:val="0"/>
    <w:qFormat/>
    <w:pPr>
      <w:numPr>
        <w:ilvl w:val="0"/>
        <w:numId w:val="3"/>
      </w:numPr>
      <w:tabs>
        <w:tab w:val="decimal" w:pos="780" w:leader="none"/>
      </w:tabs>
    </w:pPr>
  </w:style>
  <w:style w:type="paragraph" w:styleId="981" w:customStyle="1">
    <w:name w:val="纯文本11"/>
    <w:basedOn w:val="736"/>
    <w:uiPriority w:val="99"/>
    <w:qFormat/>
    <w:rPr>
      <w:rFonts w:ascii="宋体" w:hAnsi="Courier New"/>
      <w:sz w:val="20"/>
      <w:szCs w:val="21"/>
    </w:rPr>
  </w:style>
  <w:style w:type="paragraph" w:styleId="982" w:customStyle="1">
    <w:name w:val="footer1"/>
    <w:basedOn w:val="736"/>
    <w:uiPriority w:val="0"/>
    <w:qFormat/>
    <w:pPr>
      <w:tabs>
        <w:tab w:val="center" w:pos="4153" w:leader="none"/>
        <w:tab w:val="right" w:pos="8306" w:leader="none"/>
      </w:tabs>
    </w:pPr>
    <w:rPr>
      <w:sz w:val="18"/>
    </w:rPr>
  </w:style>
  <w:style w:type="character" w:styleId="983" w:customStyle="1">
    <w:name w:val="标题 1 Char"/>
    <w:link w:val="737"/>
    <w:uiPriority w:val="9"/>
    <w:qFormat/>
    <w:rPr>
      <w:rFonts w:ascii="Arial" w:hAnsi="Arial" w:eastAsia="宋体" w:cs="Arial"/>
      <w:b/>
      <w:sz w:val="44"/>
      <w:szCs w:val="40"/>
    </w:rPr>
  </w:style>
  <w:style w:type="paragraph" w:styleId="984" w:customStyle="1">
    <w:name w:val="索引 41"/>
    <w:basedOn w:val="736"/>
    <w:next w:val="736"/>
    <w:uiPriority w:val="99"/>
    <w:unhideWhenUsed/>
    <w:qFormat/>
    <w:pPr>
      <w:ind w:left="600"/>
    </w:pPr>
  </w:style>
  <w:style w:type="character" w:styleId="985" w:customStyle="1">
    <w:name w:val="批注框文本 Char1"/>
    <w:basedOn w:val="746"/>
    <w:link w:val="763"/>
    <w:uiPriority w:val="99"/>
    <w:semiHidden/>
    <w:qFormat/>
    <w:rPr>
      <w:rFonts w:ascii="Calibri" w:hAnsi="Calibri"/>
      <w:sz w:val="18"/>
      <w:szCs w:val="18"/>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范玲玲</cp:lastModifiedBy>
  <cp:revision>20</cp:revision>
  <dcterms:created xsi:type="dcterms:W3CDTF">2026-09-07T01:33:00Z</dcterms:created>
  <dcterms:modified xsi:type="dcterms:W3CDTF">2026-09-12T07:25:15Z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6DE64486C7AE482FAE4085482A947B7B_13</vt:lpwstr>
  </property>
  <property fmtid="{D5CDD505-2E9C-101B-9397-08002B2CF9AE}" pid="4" name="KSOTemplateDocerSaveRecord">
    <vt:lpwstr>eyJoZGlkIjoiYmY4MGU0MmI2MGE2NDBlOTI1MzVlOGE1NThhYWE5NmEiLCJ1c2VySWQiOiIxMDY1MDYyOTQ0In0=</vt:lpwstr>
  </property>
</Properties>
</file>