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ascii="宋体" w:hAnsi="宋体" w:cs="宋体"/>
          <w:b/>
          <w:color w:val="auto"/>
          <w:sz w:val="72"/>
          <w:szCs w:val="72"/>
          <w:highlight w:val="none"/>
          <w:lang w:eastAsia="zh-CN"/>
        </w:rPr>
      </w:pPr>
      <w:r/>
      <w:bookmarkStart w:id="16" w:name="_GoBack"/>
      <w:r/>
      <w:r/>
    </w:p>
    <w:p>
      <w:pPr>
        <w:ind w:firstLine="0"/>
        <w:jc w:val="center"/>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center"/>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tabs>
          <w:tab w:val="left" w:pos="7544" w:leader="none"/>
        </w:tabs>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val="en-US" w:eastAsia="zh-CN"/>
        </w:rPr>
        <w:t xml:space="preserve">:</w:t>
      </w:r>
      <w:r>
        <w:rPr>
          <w:rFonts w:hint="eastAsia" w:ascii="宋体" w:hAnsi="宋体" w:cs="宋体"/>
          <w:b/>
          <w:color w:val="auto"/>
          <w:sz w:val="32"/>
          <w:szCs w:val="32"/>
          <w:highlight w:val="none"/>
          <w:lang w:eastAsia="zh-CN"/>
        </w:rPr>
        <w:t xml:space="preserve">JSZC-320205-WXCJ-G2026-0031</w:t>
      </w:r>
      <w:r/>
    </w:p>
    <w:p>
      <w:pPr>
        <w:ind w:left="3017" w:right="-139" w:hanging="3017"/>
        <w:jc w:val="both"/>
        <w:widowControl w:val="off"/>
        <w:rPr>
          <w:rFonts w:ascii="宋体" w:hAnsi="宋体" w:cs="宋体"/>
          <w:b/>
          <w:bCs/>
          <w:color w:val="auto"/>
          <w:sz w:val="32"/>
          <w:szCs w:val="32"/>
          <w:highlight w:val="none"/>
          <w:lang w:eastAsia="zh-CN"/>
        </w:rPr>
      </w:pPr>
      <w:r>
        <w:rPr>
          <w:rFonts w:hint="eastAsia" w:ascii="宋体" w:hAnsi="宋体" w:cs="宋体"/>
          <w:b/>
          <w:color w:val="auto"/>
          <w:sz w:val="32"/>
          <w:szCs w:val="32"/>
          <w:highlight w:val="none"/>
          <w:lang w:eastAsia="zh-CN"/>
        </w:rPr>
      </w:r>
      <w:r>
        <w:rPr>
          <w:rFonts w:hint="eastAsia" w:ascii="宋体" w:hAnsi="宋体" w:cs="宋体"/>
          <w:b/>
          <w:color w:val="auto"/>
          <w:sz w:val="32"/>
          <w:szCs w:val="32"/>
          <w:highlight w:val="none"/>
          <w:lang w:eastAsia="zh-CN"/>
        </w:rPr>
      </w:r>
    </w:p>
    <w:p>
      <w:pPr>
        <w:ind w:left="3017" w:right="-139" w:hanging="3017"/>
        <w:jc w:val="both"/>
        <w:widowControl w:val="off"/>
        <w:rPr>
          <w:rFonts w:hint="eastAsia" w:ascii="宋体" w:hAnsi="宋体" w:cs="宋体"/>
          <w:b/>
          <w:bCs/>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无锡市南京大学锡山应用生物技术研究所实验动物饲养设备及辅助设备项目</w:t>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人：无锡市南京大学锡山应用生物技术研究所</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0"/>
        <w:jc w:val="both"/>
        <w:spacing w:line="240" w:lineRule="auto"/>
        <w:widowControl w:val="off"/>
        <w:rPr>
          <w:rFonts w:hint="eastAsia" w:ascii="宋体" w:hAnsi="宋体" w:cs="宋体"/>
          <w:b/>
          <w:color w:val="auto"/>
          <w:sz w:val="32"/>
          <w:szCs w:val="32"/>
          <w:highlight w:val="none"/>
          <w:u w:val="none"/>
          <w:lang w:eastAsia="zh-CN"/>
        </w:rPr>
      </w:pPr>
      <w:r>
        <w:rPr>
          <w:rFonts w:hint="eastAsia" w:ascii="宋体" w:hAnsi="宋体" w:cs="宋体"/>
          <w:b/>
          <w:color w:val="auto"/>
          <w:sz w:val="32"/>
          <w:szCs w:val="32"/>
          <w:highlight w:val="none"/>
          <w:u w:val="none"/>
          <w:lang w:eastAsia="zh-CN"/>
        </w:rPr>
        <w:t xml:space="preserve">招 标 代 理 机 构：</w:t>
      </w:r>
      <w:r>
        <w:rPr>
          <w:rFonts w:hint="eastAsia" w:ascii="宋体" w:hAnsi="宋体"/>
          <w:b/>
          <w:color w:val="000000" w:themeColor="text1"/>
          <w:sz w:val="32"/>
          <w:szCs w:val="32"/>
          <w:highlight w:val="none"/>
          <w:u w:val="none"/>
          <w:lang w:eastAsia="zh-CN"/>
          <w14:textFill>
            <w14:solidFill>
              <w14:schemeClr w14:val="tx1"/>
            </w14:solidFill>
          </w14:textFill>
        </w:rPr>
        <w:t xml:space="preserve">江苏成建项目管理有限公司</w:t>
      </w:r>
      <w:r/>
    </w:p>
    <w:p>
      <w:pPr>
        <w:ind w:right="-29"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lang w:eastAsia="zh-CN"/>
        </w:rPr>
        <w:t xml:space="preserve">月</w:t>
      </w:r>
      <w:r/>
    </w:p>
    <w:p>
      <w:pPr>
        <w:ind w:firstLine="0"/>
        <w:spacing w:line="240" w:lineRule="auto"/>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sdt>
      <w:sdtPr>
        <w15:appearance w15:val="boundingBox"/>
        <w:id w:val="-1"/>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899"/>
            <w:jc w:val="center"/>
            <w:rPr>
              <w:rFonts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878"/>
            <w:rPr>
              <w:rFonts w:asciiTheme="minorHAnsi" w:hAnsiTheme="minorHAnsi" w:eastAsiaTheme="minorEastAsia" w:cstheme="minorBidi"/>
              <w:color w:val="auto"/>
              <w:sz w:val="21"/>
              <w:szCs w:val="22"/>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highlight w:val="none"/>
            </w:rPr>
            <w:fldChar w:fldCharType="begin"/>
          </w:r>
          <w:r>
            <w:rPr>
              <w:highlight w:val="none"/>
            </w:rPr>
            <w:instrText xml:space="preserve"> HYPERLINK \l "_Toc161316664" </w:instrText>
          </w:r>
          <w:r>
            <w:rPr>
              <w:highlight w:val="none"/>
            </w:rPr>
            <w:fldChar w:fldCharType="separate"/>
          </w:r>
          <w:r>
            <w:rPr>
              <w:rStyle w:val="885"/>
              <w:color w:val="auto"/>
              <w:highlight w:val="none"/>
              <w:lang w:eastAsia="zh-CN"/>
            </w:rPr>
            <w:t xml:space="preserve">一、投标邀请函</w:t>
          </w:r>
          <w:r>
            <w:rPr>
              <w:color w:val="auto"/>
              <w:highlight w:val="none"/>
            </w:rPr>
            <w:tab/>
          </w:r>
          <w:r>
            <w:rPr>
              <w:color w:val="auto"/>
              <w:highlight w:val="none"/>
            </w:rPr>
            <w:fldChar w:fldCharType="begin"/>
          </w:r>
          <w:r>
            <w:rPr>
              <w:color w:val="auto"/>
              <w:highlight w:val="none"/>
            </w:rPr>
            <w:instrText xml:space="preserve"> PAGEREF _Toc161316664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78"/>
            <w:rPr>
              <w:rFonts w:asciiTheme="minorHAnsi" w:hAnsiTheme="minorHAnsi" w:eastAsiaTheme="minorEastAsia" w:cstheme="minorBidi"/>
              <w:color w:val="auto"/>
              <w:sz w:val="21"/>
              <w:szCs w:val="22"/>
              <w:highlight w:val="none"/>
              <w:lang w:eastAsia="zh-CN"/>
              <w14:ligatures w14:val="standardContextual"/>
            </w:rPr>
          </w:pPr>
          <w:r>
            <w:rPr>
              <w:highlight w:val="none"/>
            </w:rPr>
            <w:fldChar w:fldCharType="begin"/>
          </w:r>
          <w:r>
            <w:rPr>
              <w:highlight w:val="none"/>
            </w:rPr>
            <w:instrText xml:space="preserve"> HYPERLINK \l "_Toc161316665" </w:instrText>
          </w:r>
          <w:r>
            <w:rPr>
              <w:highlight w:val="none"/>
            </w:rPr>
            <w:fldChar w:fldCharType="separate"/>
          </w:r>
          <w:r>
            <w:rPr>
              <w:rStyle w:val="885"/>
              <w:color w:val="auto"/>
              <w:highlight w:val="none"/>
              <w:lang w:eastAsia="zh-CN"/>
            </w:rPr>
            <w:t xml:space="preserve">二、供应商须知</w:t>
          </w:r>
          <w:r>
            <w:rPr>
              <w:color w:val="auto"/>
              <w:highlight w:val="none"/>
            </w:rPr>
            <w:tab/>
          </w:r>
          <w:r>
            <w:rPr>
              <w:color w:val="auto"/>
              <w:highlight w:val="none"/>
            </w:rPr>
            <w:fldChar w:fldCharType="begin"/>
          </w:r>
          <w:r>
            <w:rPr>
              <w:color w:val="auto"/>
              <w:highlight w:val="none"/>
            </w:rPr>
            <w:instrText xml:space="preserve"> PAGEREF _Toc161316665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878"/>
            <w:rPr>
              <w:rFonts w:hint="eastAsia" w:eastAsia="宋体" w:asciiTheme="minorHAnsi" w:hAnsiTheme="minorHAnsi" w:cstheme="minorBidi"/>
              <w:color w:val="auto"/>
              <w:sz w:val="21"/>
              <w:szCs w:val="22"/>
              <w:highlight w:val="none"/>
              <w:lang w:val="en-US" w:eastAsia="zh-CN"/>
              <w14:ligatures w14:val="standardContextual"/>
            </w:rPr>
          </w:pPr>
          <w:r>
            <w:rPr>
              <w:highlight w:val="none"/>
            </w:rPr>
            <w:fldChar w:fldCharType="begin"/>
          </w:r>
          <w:r>
            <w:rPr>
              <w:highlight w:val="none"/>
            </w:rPr>
            <w:instrText xml:space="preserve"> HYPERLINK \l "_Toc161316666" </w:instrText>
          </w:r>
          <w:r>
            <w:rPr>
              <w:highlight w:val="none"/>
            </w:rPr>
            <w:fldChar w:fldCharType="separate"/>
          </w:r>
          <w:r>
            <w:rPr>
              <w:rStyle w:val="885"/>
              <w:color w:val="auto"/>
              <w:highlight w:val="none"/>
              <w:lang w:eastAsia="zh-CN"/>
            </w:rPr>
            <w:t xml:space="preserve">三、采购需求和技术有关要求</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3</w:t>
          </w:r>
          <w:r/>
        </w:p>
        <w:p>
          <w:pPr>
            <w:pStyle w:val="878"/>
            <w:rPr>
              <w:rFonts w:hint="eastAsia" w:eastAsia="宋体" w:asciiTheme="minorHAnsi" w:hAnsiTheme="minorHAnsi" w:cstheme="minorBidi"/>
              <w:color w:val="auto"/>
              <w:sz w:val="21"/>
              <w:szCs w:val="22"/>
              <w:highlight w:val="none"/>
              <w:lang w:val="en-US" w:eastAsia="zh-CN"/>
              <w14:ligatures w14:val="standardContextual"/>
            </w:rPr>
          </w:pPr>
          <w:r>
            <w:rPr>
              <w:highlight w:val="none"/>
            </w:rPr>
            <w:fldChar w:fldCharType="begin"/>
          </w:r>
          <w:r>
            <w:rPr>
              <w:highlight w:val="none"/>
            </w:rPr>
            <w:instrText xml:space="preserve"> HYPERLINK \l "_Toc161316667" </w:instrText>
          </w:r>
          <w:r>
            <w:rPr>
              <w:highlight w:val="none"/>
            </w:rPr>
            <w:fldChar w:fldCharType="separate"/>
          </w:r>
          <w:r>
            <w:rPr>
              <w:rStyle w:val="885"/>
              <w:color w:val="auto"/>
              <w:highlight w:val="none"/>
              <w:lang w:eastAsia="zh-CN"/>
            </w:rPr>
            <w:t xml:space="preserve">四、合同书（格式文本）</w:t>
          </w:r>
          <w:r>
            <w:rPr>
              <w:color w:val="auto"/>
              <w:highlight w:val="none"/>
            </w:rPr>
            <w:tab/>
          </w:r>
          <w:r>
            <w:rPr>
              <w:rFonts w:hint="eastAsia"/>
              <w:color w:val="auto"/>
              <w:highlight w:val="none"/>
              <w:lang w:val="en-US" w:eastAsia="zh-CN"/>
            </w:rPr>
            <w:t xml:space="preserve">4</w:t>
          </w:r>
          <w:r>
            <w:rPr>
              <w:color w:val="auto"/>
              <w:highlight w:val="none"/>
            </w:rPr>
            <w:fldChar w:fldCharType="end"/>
          </w:r>
          <w:r>
            <w:rPr>
              <w:rFonts w:hint="eastAsia"/>
              <w:color w:val="auto"/>
              <w:highlight w:val="none"/>
              <w:lang w:val="en-US" w:eastAsia="zh-CN"/>
            </w:rPr>
            <w:t xml:space="preserve">0</w:t>
          </w:r>
          <w:r/>
        </w:p>
        <w:p>
          <w:pPr>
            <w:pStyle w:val="878"/>
            <w:rPr>
              <w:rFonts w:hint="eastAsia" w:eastAsia="宋体" w:asciiTheme="minorHAnsi" w:hAnsiTheme="minorHAnsi" w:cstheme="minorBidi"/>
              <w:color w:val="auto"/>
              <w:sz w:val="21"/>
              <w:szCs w:val="22"/>
              <w:highlight w:val="none"/>
              <w:lang w:val="en-US" w:eastAsia="zh-CN"/>
              <w14:ligatures w14:val="standardContextual"/>
            </w:rPr>
          </w:pPr>
          <w:r>
            <w:rPr>
              <w:highlight w:val="none"/>
            </w:rPr>
            <w:fldChar w:fldCharType="begin"/>
          </w:r>
          <w:r>
            <w:rPr>
              <w:highlight w:val="none"/>
            </w:rPr>
            <w:instrText xml:space="preserve"> HYPERLINK \l "_Toc161316668" </w:instrText>
          </w:r>
          <w:r>
            <w:rPr>
              <w:highlight w:val="none"/>
            </w:rPr>
            <w:fldChar w:fldCharType="separate"/>
          </w:r>
          <w:r>
            <w:rPr>
              <w:rStyle w:val="885"/>
              <w:color w:val="auto"/>
              <w:highlight w:val="none"/>
              <w:lang w:eastAsia="zh-CN"/>
            </w:rPr>
            <w:t xml:space="preserve">五、附件</w:t>
          </w:r>
          <w:r>
            <w:rPr>
              <w:color w:val="auto"/>
              <w:highlight w:val="none"/>
            </w:rPr>
            <w:tab/>
          </w:r>
          <w:r>
            <w:rPr>
              <w:rFonts w:hint="eastAsia"/>
              <w:color w:val="auto"/>
              <w:highlight w:val="none"/>
              <w:lang w:val="en-US" w:eastAsia="zh-CN"/>
            </w:rPr>
            <w:t xml:space="preserve">5</w:t>
          </w:r>
          <w:r>
            <w:rPr>
              <w:color w:val="auto"/>
              <w:highlight w:val="none"/>
            </w:rPr>
            <w:fldChar w:fldCharType="end"/>
          </w:r>
          <w:r>
            <w:rPr>
              <w:rFonts w:hint="eastAsia"/>
              <w:color w:val="auto"/>
              <w:highlight w:val="none"/>
              <w:lang w:val="en-US" w:eastAsia="zh-CN"/>
            </w:rPr>
            <w:t xml:space="preserve">6</w:t>
          </w:r>
          <w:r/>
        </w:p>
        <w:p>
          <w:pPr>
            <w:pStyle w:val="880"/>
            <w:ind w:left="480" w:firstLine="480"/>
            <w:tabs>
              <w:tab w:val="right" w:pos="8296" w:leader="dot"/>
            </w:tabs>
            <w:rPr>
              <w:rFonts w:hint="eastAsia" w:eastAsia="宋体" w:asciiTheme="minorHAnsi" w:hAnsiTheme="minorHAnsi" w:cstheme="minorBidi"/>
              <w:color w:val="auto"/>
              <w:sz w:val="21"/>
              <w:szCs w:val="22"/>
              <w:highlight w:val="none"/>
              <w:lang w:val="en-US" w:eastAsia="zh-CN"/>
              <w14:ligatures w14:val="standardContextual"/>
            </w:rPr>
          </w:pPr>
          <w:r>
            <w:rPr>
              <w:highlight w:val="none"/>
            </w:rPr>
            <w:fldChar w:fldCharType="begin"/>
          </w:r>
          <w:r>
            <w:rPr>
              <w:highlight w:val="none"/>
            </w:rPr>
            <w:instrText xml:space="preserve"> HYPERLINK \l "_Toc161316669" </w:instrText>
          </w:r>
          <w:r>
            <w:rPr>
              <w:highlight w:val="none"/>
            </w:rPr>
            <w:fldChar w:fldCharType="separate"/>
          </w:r>
          <w:r>
            <w:rPr>
              <w:rStyle w:val="885"/>
              <w:color w:val="auto"/>
              <w:highlight w:val="none"/>
              <w:lang w:eastAsia="zh-CN"/>
            </w:rPr>
            <w:t xml:space="preserve">附件一：评分标准</w:t>
          </w:r>
          <w:r>
            <w:rPr>
              <w:color w:val="auto"/>
              <w:highlight w:val="none"/>
            </w:rPr>
            <w:tab/>
          </w:r>
          <w:r>
            <w:rPr>
              <w:rFonts w:hint="eastAsia"/>
              <w:color w:val="auto"/>
              <w:highlight w:val="none"/>
              <w:lang w:val="en-US" w:eastAsia="zh-CN"/>
            </w:rPr>
            <w:t xml:space="preserve">5</w:t>
          </w:r>
          <w:r>
            <w:rPr>
              <w:color w:val="auto"/>
              <w:highlight w:val="none"/>
            </w:rPr>
            <w:fldChar w:fldCharType="end"/>
          </w:r>
          <w:r>
            <w:rPr>
              <w:rFonts w:hint="eastAsia"/>
              <w:color w:val="auto"/>
              <w:highlight w:val="none"/>
              <w:lang w:val="en-US" w:eastAsia="zh-CN"/>
            </w:rPr>
            <w:t xml:space="preserve">6</w:t>
          </w:r>
          <w:r/>
        </w:p>
        <w:p>
          <w:pPr>
            <w:pStyle w:val="880"/>
            <w:ind w:left="480" w:firstLine="480"/>
            <w:tabs>
              <w:tab w:val="right" w:pos="8296" w:leader="dot"/>
            </w:tabs>
            <w:rPr>
              <w:rFonts w:hint="eastAsia" w:eastAsia="宋体" w:asciiTheme="minorHAnsi" w:hAnsiTheme="minorHAnsi" w:cstheme="minorBidi"/>
              <w:color w:val="auto"/>
              <w:sz w:val="21"/>
              <w:szCs w:val="22"/>
              <w:highlight w:val="none"/>
              <w:lang w:val="en-US" w:eastAsia="zh-CN"/>
              <w14:ligatures w14:val="standardContextual"/>
            </w:rPr>
          </w:pPr>
          <w:r>
            <w:rPr>
              <w:highlight w:val="none"/>
            </w:rPr>
            <w:fldChar w:fldCharType="begin"/>
          </w:r>
          <w:r>
            <w:rPr>
              <w:highlight w:val="none"/>
            </w:rPr>
            <w:instrText xml:space="preserve"> HYPERLINK \l "_Toc161316670" </w:instrText>
          </w:r>
          <w:r>
            <w:rPr>
              <w:highlight w:val="none"/>
            </w:rPr>
            <w:fldChar w:fldCharType="separate"/>
          </w:r>
          <w:r>
            <w:rPr>
              <w:rStyle w:val="885"/>
              <w:color w:val="auto"/>
              <w:highlight w:val="none"/>
              <w:lang w:eastAsia="zh-CN"/>
            </w:rPr>
            <w:t xml:space="preserve">附件二：投标文件格式</w:t>
          </w:r>
          <w:r>
            <w:rPr>
              <w:color w:val="auto"/>
              <w:highlight w:val="none"/>
            </w:rPr>
            <w:tab/>
          </w:r>
          <w:r>
            <w:rPr>
              <w:rFonts w:hint="eastAsia"/>
              <w:color w:val="auto"/>
              <w:highlight w:val="none"/>
              <w:lang w:val="en-US" w:eastAsia="zh-CN"/>
            </w:rPr>
            <w:t xml:space="preserve">5</w:t>
          </w:r>
          <w:r>
            <w:rPr>
              <w:color w:val="auto"/>
              <w:highlight w:val="none"/>
            </w:rPr>
            <w:fldChar w:fldCharType="end"/>
          </w:r>
          <w:r>
            <w:rPr>
              <w:rFonts w:hint="eastAsia"/>
              <w:color w:val="auto"/>
              <w:highlight w:val="none"/>
              <w:lang w:val="en-US" w:eastAsia="zh-CN"/>
            </w:rPr>
            <w:t xml:space="preserve">9</w:t>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spacing w:line="240" w:lineRule="auto"/>
        <w:rPr>
          <w:rFonts w:eastAsia="黑体"/>
          <w:b/>
          <w:bCs/>
          <w:color w:val="auto"/>
          <w:sz w:val="36"/>
          <w:szCs w:val="44"/>
          <w:highlight w:val="none"/>
          <w:lang w:eastAsia="zh-CN"/>
        </w:rPr>
      </w:pPr>
      <w:r/>
      <w:bookmarkStart w:id="0" w:name="_Toc101981929"/>
      <w:r/>
      <w:bookmarkStart w:id="1" w:name="_Toc161316664"/>
      <w:r>
        <w:rPr>
          <w:color w:val="auto"/>
          <w:highlight w:val="none"/>
          <w:lang w:eastAsia="zh-CN"/>
        </w:rPr>
        <w:br w:type="page" w:clear="all"/>
      </w:r>
      <w:r/>
    </w:p>
    <w:p>
      <w:pPr>
        <w:pStyle w:val="861"/>
        <w:spacing w:after="240"/>
        <w:rPr>
          <w:color w:val="auto"/>
          <w:highlight w:val="none"/>
          <w:lang w:eastAsia="zh-CN"/>
        </w:rPr>
      </w:pPr>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left"/>
        <w:shd w:val="clear" w:color="auto" w:fill="ffffff"/>
        <w:widowControl/>
        <w:rPr>
          <w:rFonts w:hint="eastAsia" w:ascii="宋体" w:hAnsi="宋体" w:cs="宋体"/>
          <w:bCs w:val="0"/>
          <w:color w:val="auto"/>
          <w:szCs w:val="24"/>
          <w:highlight w:val="none"/>
          <w:lang w:eastAsia="zh-CN"/>
        </w:rPr>
      </w:pPr>
      <w:r>
        <w:rPr>
          <w:rFonts w:hint="eastAsia" w:ascii="宋体" w:hAnsi="宋体" w:eastAsia="宋体" w:cs="宋体"/>
          <w:b w:val="0"/>
          <w:color w:val="auto"/>
          <w:sz w:val="24"/>
          <w:szCs w:val="24"/>
          <w:highlight w:val="none"/>
          <w:u w:val="none"/>
          <w:lang w:eastAsia="zh-CN"/>
        </w:rPr>
        <w:t xml:space="preserve">江苏成建项目管理有限公司</w:t>
      </w:r>
      <w:r>
        <w:rPr>
          <w:rFonts w:hint="eastAsia" w:ascii="宋体" w:hAnsi="宋体" w:cs="宋体"/>
          <w:bCs w:val="0"/>
          <w:color w:val="auto"/>
          <w:szCs w:val="24"/>
          <w:highlight w:val="none"/>
          <w:lang w:eastAsia="zh-CN"/>
        </w:rPr>
        <w:t xml:space="preserve">受</w:t>
      </w:r>
      <w:r>
        <w:rPr>
          <w:rFonts w:hint="eastAsia" w:ascii="宋体" w:hAnsi="宋体" w:cs="宋体"/>
          <w:b w:val="0"/>
          <w:bCs w:val="0"/>
          <w:color w:val="auto"/>
          <w:szCs w:val="24"/>
          <w:highlight w:val="none"/>
          <w:lang w:eastAsia="zh-CN"/>
        </w:rPr>
        <w:t xml:space="preserve">无锡市南京大学锡山应用生物技术研究所</w:t>
      </w:r>
      <w:r>
        <w:rPr>
          <w:rFonts w:hint="eastAsia" w:ascii="宋体" w:hAnsi="宋体" w:cs="宋体"/>
          <w:bCs w:val="0"/>
          <w:color w:val="auto"/>
          <w:szCs w:val="24"/>
          <w:highlight w:val="none"/>
          <w:lang w:eastAsia="zh-CN"/>
        </w:rPr>
        <w:t xml:space="preserve">的委托，就</w:t>
      </w:r>
      <w:r>
        <w:rPr>
          <w:rFonts w:hint="eastAsia" w:ascii="宋体" w:hAnsi="宋体" w:cs="宋体"/>
          <w:b w:val="0"/>
          <w:bCs w:val="0"/>
          <w:color w:val="auto"/>
          <w:szCs w:val="24"/>
          <w:highlight w:val="none"/>
          <w:lang w:eastAsia="zh-CN"/>
        </w:rPr>
        <w:t xml:space="preserve">无锡市南京大学锡山应用生物技术研究所实验动物饲养设备及辅助设备项目</w:t>
      </w:r>
      <w:r>
        <w:rPr>
          <w:rFonts w:hint="eastAsia" w:ascii="宋体" w:hAnsi="宋体" w:cs="宋体"/>
          <w:bCs w:val="0"/>
          <w:color w:val="auto"/>
          <w:szCs w:val="24"/>
          <w:highlight w:val="none"/>
          <w:lang w:eastAsia="zh-CN"/>
        </w:rPr>
        <w:t xml:space="preserve">进行公开招标，欢迎符合相关条件的供应商参加投标并提请注意下列附表中的相关事项：</w:t>
      </w:r>
      <w:r/>
    </w:p>
    <w:p>
      <w:pPr>
        <w:ind w:firstLine="480"/>
        <w:shd w:val="clear" w:color="auto" w:fill="ffffff"/>
        <w:rPr>
          <w:rFonts w:hint="eastAsia" w:ascii="宋体" w:hAnsi="宋体" w:cs="宋体"/>
          <w:b w:val="0"/>
          <w:bCs w:val="0"/>
          <w:color w:val="auto"/>
          <w:szCs w:val="24"/>
          <w:highlight w:val="none"/>
          <w:lang w:eastAsia="zh-CN"/>
        </w:rPr>
      </w:pPr>
      <w:r>
        <w:rPr>
          <w:rFonts w:hint="eastAsia" w:ascii="宋体" w:hAnsi="宋体" w:cs="宋体"/>
          <w:b w:val="0"/>
          <w:bCs w:val="0"/>
          <w:color w:val="auto"/>
          <w:szCs w:val="24"/>
          <w:highlight w:val="none"/>
          <w:lang w:eastAsia="zh-CN"/>
        </w:rPr>
        <w:t xml:space="preserve">（一）项目信息</w:t>
      </w:r>
      <w:r/>
    </w:p>
    <w:p>
      <w:pPr>
        <w:ind w:firstLine="48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val="0"/>
          <w:color w:val="auto"/>
          <w:szCs w:val="24"/>
          <w:highlight w:val="none"/>
          <w:lang w:eastAsia="zh-CN"/>
        </w:rPr>
        <w:t xml:space="preserve">无锡市南京大学锡山应用生物技术研究所实验动物饲养设备及辅助设备项目</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2.项目编号：JSZC-320205-WXCJ-G2026-0031</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b/>
          <w:color w:val="auto"/>
          <w:szCs w:val="24"/>
          <w:highlight w:val="none"/>
          <w:lang w:eastAsia="zh-CN"/>
        </w:rPr>
        <w:t xml:space="preserve">投标最高限价为</w:t>
      </w:r>
      <w:r>
        <w:rPr>
          <w:rFonts w:hint="eastAsia" w:ascii="宋体" w:hAnsi="宋体" w:cs="宋体"/>
          <w:b/>
          <w:color w:val="auto"/>
          <w:szCs w:val="24"/>
          <w:highlight w:val="none"/>
          <w:lang w:val="en-US" w:eastAsia="zh-CN"/>
        </w:rPr>
        <w:t xml:space="preserve">130</w:t>
      </w:r>
      <w:r>
        <w:rPr>
          <w:rFonts w:hint="eastAsia" w:ascii="宋体" w:hAnsi="宋体" w:cs="宋体"/>
          <w:b/>
          <w:color w:val="auto"/>
          <w:szCs w:val="24"/>
          <w:highlight w:val="none"/>
          <w:lang w:eastAsia="zh-CN"/>
        </w:rPr>
        <w:t xml:space="preserve">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4.供货期：</w:t>
      </w:r>
      <w:r>
        <w:rPr>
          <w:rFonts w:hint="eastAsia" w:ascii="宋体" w:hAnsi="宋体" w:cs="宋体"/>
          <w:bCs/>
          <w:color w:val="000000" w:themeColor="text1"/>
          <w:szCs w:val="24"/>
          <w:highlight w:val="none"/>
          <w:lang w:eastAsia="zh-CN"/>
          <w14:textFill>
            <w14:solidFill>
              <w14:schemeClr w14:val="tx1"/>
            </w14:solidFill>
          </w14:textFill>
        </w:rPr>
        <w:t xml:space="preserve">合同签订后</w:t>
      </w:r>
      <w:r>
        <w:rPr>
          <w:rFonts w:hint="eastAsia" w:ascii="宋体" w:hAnsi="宋体" w:cs="宋体"/>
          <w:bCs/>
          <w:color w:val="000000" w:themeColor="text1"/>
          <w:szCs w:val="24"/>
          <w:highlight w:val="none"/>
          <w:lang w:val="en-US" w:eastAsia="zh-CN"/>
          <w14:textFill>
            <w14:solidFill>
              <w14:schemeClr w14:val="tx1"/>
            </w14:solidFill>
          </w14:textFill>
        </w:rPr>
        <w:t xml:space="preserve">55日历天</w:t>
      </w:r>
      <w:r>
        <w:rPr>
          <w:rFonts w:hint="eastAsia" w:ascii="宋体" w:hAnsi="宋体" w:cs="宋体"/>
          <w:bCs/>
          <w:color w:val="000000" w:themeColor="text1"/>
          <w:szCs w:val="24"/>
          <w:highlight w:val="none"/>
          <w:lang w:eastAsia="zh-CN"/>
          <w14:textFill>
            <w14:solidFill>
              <w14:schemeClr w14:val="tx1"/>
            </w14:solidFill>
          </w14:textFill>
        </w:rPr>
        <w:t xml:space="preserve">内</w:t>
      </w:r>
      <w:r>
        <w:rPr>
          <w:rFonts w:hint="eastAsia" w:ascii="宋体" w:hAnsi="宋体" w:cs="宋体"/>
          <w:bCs/>
          <w:color w:val="auto"/>
          <w:szCs w:val="24"/>
          <w:highlight w:val="none"/>
          <w:lang w:eastAsia="zh-CN"/>
        </w:rPr>
        <w:t xml:space="preserve">完成全部设备到场并且完成安装调试通过验收，交付采购人使用</w:t>
      </w:r>
      <w:r>
        <w:rPr>
          <w:rFonts w:hint="eastAsia" w:ascii="宋体" w:hAnsi="宋体" w:cs="宋体"/>
          <w:bCs/>
          <w:color w:val="000000" w:themeColor="text1"/>
          <w:szCs w:val="24"/>
          <w:highlight w:val="none"/>
          <w:lang w:eastAsia="zh-CN"/>
          <w14:textFill>
            <w14:solidFill>
              <w14:schemeClr w14:val="tx1"/>
            </w14:solidFill>
          </w14:textFill>
        </w:rPr>
        <w:t xml:space="preserve">。</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bCs/>
          <w:color w:val="auto"/>
          <w:szCs w:val="24"/>
          <w:highlight w:val="none"/>
          <w:lang w:val="en-US" w:eastAsia="zh-CN"/>
        </w:rPr>
        <w:t xml:space="preserve">5.</w:t>
      </w:r>
      <w:r>
        <w:rPr>
          <w:rFonts w:hint="eastAsia" w:ascii="宋体" w:hAnsi="宋体" w:cs="宋体"/>
          <w:bCs/>
          <w:color w:val="auto"/>
          <w:szCs w:val="24"/>
          <w:highlight w:val="none"/>
          <w:lang w:eastAsia="zh-CN"/>
        </w:rPr>
        <w:t xml:space="preserve">质量标准：达到国家（含推荐性标准、强制性标准）、行业合格标准及投标人承诺标准，且必须满足本次招标的要求。</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val="en-US" w:eastAsia="zh-CN"/>
        </w:rPr>
        <w:t xml:space="preserve">6</w:t>
      </w:r>
      <w:r>
        <w:rPr>
          <w:rFonts w:hint="eastAsia" w:ascii="宋体" w:hAnsi="宋体" w:cs="宋体"/>
          <w:bCs/>
          <w:color w:val="auto"/>
          <w:szCs w:val="24"/>
          <w:highlight w:val="none"/>
          <w:lang w:eastAsia="zh-CN"/>
        </w:rPr>
        <w:t xml:space="preserve">.设备质保期：质保期</w:t>
      </w:r>
      <w:r>
        <w:rPr>
          <w:rFonts w:hint="default" w:ascii="宋体" w:hAnsi="宋体" w:cs="宋体"/>
          <w:bCs/>
          <w:color w:val="auto"/>
          <w:szCs w:val="24"/>
          <w:highlight w:val="none"/>
          <w:lang w:val="en-US" w:eastAsia="zh-CN"/>
        </w:rPr>
        <w:t xml:space="preserve">3</w:t>
      </w:r>
      <w:r>
        <w:rPr>
          <w:rFonts w:hint="eastAsia" w:ascii="宋体" w:hAnsi="宋体" w:cs="宋体"/>
          <w:bCs/>
          <w:color w:val="auto"/>
          <w:szCs w:val="24"/>
          <w:highlight w:val="none"/>
          <w:lang w:eastAsia="zh-CN"/>
        </w:rPr>
        <w:t xml:space="preserve">年（若原厂质保期超过</w:t>
      </w:r>
      <w:r>
        <w:rPr>
          <w:rFonts w:hint="default" w:ascii="宋体" w:hAnsi="宋体" w:cs="宋体"/>
          <w:bCs/>
          <w:color w:val="auto"/>
          <w:szCs w:val="24"/>
          <w:highlight w:val="none"/>
          <w:lang w:val="en-US" w:eastAsia="zh-CN"/>
        </w:rPr>
        <w:t xml:space="preserve">3</w:t>
      </w:r>
      <w:r>
        <w:rPr>
          <w:rFonts w:ascii="宋体" w:hAnsi="宋体" w:cs="宋体"/>
          <w:bCs/>
          <w:color w:val="auto"/>
          <w:szCs w:val="24"/>
          <w:highlight w:val="none"/>
          <w:lang w:eastAsia="zh-CN"/>
        </w:rPr>
        <w:t xml:space="preserve">年的，以原厂质保期为准），质保期自</w:t>
      </w:r>
      <w:r>
        <w:rPr>
          <w:rFonts w:hint="eastAsia" w:ascii="宋体" w:hAnsi="宋体" w:cs="宋体"/>
          <w:bCs/>
          <w:color w:val="auto"/>
          <w:szCs w:val="24"/>
          <w:highlight w:val="none"/>
          <w:lang w:val="en-US" w:eastAsia="zh-CN"/>
        </w:rPr>
        <w:t xml:space="preserve">项目整体</w:t>
      </w:r>
      <w:r>
        <w:rPr>
          <w:rFonts w:ascii="宋体" w:hAnsi="宋体" w:cs="宋体"/>
          <w:bCs/>
          <w:color w:val="auto"/>
          <w:szCs w:val="24"/>
          <w:highlight w:val="none"/>
          <w:lang w:eastAsia="zh-CN"/>
        </w:rPr>
        <w:t xml:space="preserve">验收合格之日起计算</w:t>
      </w:r>
      <w:r>
        <w:rPr>
          <w:rFonts w:hint="eastAsia" w:ascii="宋体" w:hAnsi="宋体" w:cs="宋体"/>
          <w:bCs/>
          <w:color w:val="auto"/>
          <w:szCs w:val="24"/>
          <w:highlight w:val="none"/>
          <w:lang w:eastAsia="zh-CN"/>
        </w:rPr>
        <w:t xml:space="preserve">。</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7</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8</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无锡市南京大学锡山应用生物技术研究所</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9</w:t>
      </w:r>
      <w:r>
        <w:rPr>
          <w:rFonts w:hint="eastAsia" w:ascii="宋体" w:hAnsi="宋体" w:cs="宋体"/>
          <w:color w:val="auto"/>
          <w:szCs w:val="24"/>
          <w:highlight w:val="none"/>
          <w:lang w:eastAsia="zh-CN"/>
        </w:rPr>
        <w:t xml:space="preserve">.本项目标的所属行业：</w:t>
      </w:r>
      <w:r>
        <w:rPr>
          <w:rFonts w:hint="eastAsia" w:ascii="宋体" w:hAnsi="宋体" w:cs="宋体"/>
          <w:bCs/>
          <w:color w:val="auto"/>
          <w:szCs w:val="24"/>
          <w:highlight w:val="none"/>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10</w:t>
      </w:r>
      <w:r>
        <w:rPr>
          <w:rFonts w:hint="eastAsia" w:ascii="宋体" w:hAnsi="宋体" w:cs="宋体"/>
          <w:color w:val="auto"/>
          <w:szCs w:val="24"/>
          <w:highlight w:val="none"/>
          <w:lang w:eastAsia="zh-CN"/>
        </w:rPr>
        <w:t xml:space="preserve">.本项目是否专门面向中小企业：是  </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w:t>
      </w:r>
      <w:r>
        <w:rPr>
          <w:rFonts w:hint="eastAsia" w:ascii="宋体" w:hAnsi="宋体" w:cs="宋体"/>
          <w:bCs/>
          <w:color w:val="auto"/>
          <w:szCs w:val="24"/>
          <w:highlight w:val="none"/>
          <w:lang w:eastAsia="zh-CN"/>
        </w:rPr>
        <w:t xml:space="preserve">供应商应为中小微企业/监狱企业/残疾人福利性单位。</w:t>
      </w:r>
      <w:r>
        <w:rPr>
          <w:rFonts w:hint="eastAsia" w:ascii="宋体" w:hAnsi="宋体" w:cs="宋体"/>
          <w:bCs/>
          <w:color w:val="auto"/>
          <w:szCs w:val="24"/>
          <w:highlight w:val="none"/>
          <w:lang w:eastAsia="zh-CN"/>
        </w:rPr>
        <w:t xml:space="preserve">  </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本项目的特定资格要求：无。 </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rPr>
          <w:rFonts w:ascii="宋体" w:hAnsi="宋体" w:cs="宋体"/>
          <w:bCs/>
          <w:color w:val="auto"/>
          <w:szCs w:val="24"/>
          <w:highlight w:val="none"/>
          <w:lang w:eastAsia="zh-CN"/>
        </w:rPr>
      </w:pPr>
      <w:r/>
      <w:bookmarkStart w:id="3" w:name="_Toc112006903"/>
      <w:r>
        <w:rPr>
          <w:rFonts w:hint="eastAsia" w:ascii="宋体" w:hAnsi="宋体" w:cs="宋体"/>
          <w:bCs/>
          <w:color w:val="auto"/>
          <w:szCs w:val="24"/>
          <w:highlight w:val="none"/>
          <w:lang w:eastAsia="zh-CN"/>
        </w:rPr>
        <w:t xml:space="preserve">1、请有意参加本项目投标的投标供应商按以下流程进行操作：</w:t>
      </w:r>
      <w:r/>
    </w:p>
    <w:p>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（1）访问“无锡政府采购网”点击“江苏省政府采购（苏采云）平台”—“用户注册”按钮进入注册界面，也可以直接通过http://jszfcg.jsczt.cn/jszc/login进入注册界面。</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（2）办理并领取CA和电子签章（办理地址：无锡市观山路市民中心12号楼2楼公共资源交易大厅9号10号窗口）。</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（3）“苏采云”系统供应商操作手册链接：</w:t>
      </w:r>
      <w:r/>
    </w:p>
    <w:p>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（4）CA驱动下载链接（政务CA方正签章控件驱动）：</w:t>
      </w:r>
      <w:r/>
    </w:p>
    <w:p>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http://cz.wuxi.gov.cn/ztzl/zfcg/zlxz/scy/index.shtml </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技术服务QQ：3071474382（服务时间：工作日9:00-17:00）</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2、完成注册的供应商方可绑定CA，并使用CA登录苏采云平台，参与项目，上传投标文件，进行投标。</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3、如供应商未按上述要求操作，由此所产生的损失及风险由供应商自行承担。</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采购人、招标代理机构将以电话咨询、邮箱（jscjzbb2108@163.com</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等方式开展线上不见面答疑服务。截止至2026年</w:t>
      </w:r>
      <w:r>
        <w:rPr>
          <w:rFonts w:hint="eastAsia" w:ascii="宋体" w:hAnsi="宋体" w:cs="Times New Roman"/>
          <w:color w:val="auto"/>
          <w:szCs w:val="24"/>
          <w:highlight w:val="none"/>
          <w:lang w:val="en-US" w:eastAsia="zh-CN"/>
        </w:rPr>
        <w:t xml:space="preserve">09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02</w:t>
      </w:r>
      <w:r>
        <w:rPr>
          <w:rFonts w:hint="eastAsia" w:ascii="宋体" w:hAnsi="宋体" w:cs="Times New Roman"/>
          <w:color w:val="auto"/>
          <w:szCs w:val="24"/>
          <w:highlight w:val="none"/>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无锡市南京大学锡山应用生物技术研究所实验动物饲养设备及辅助设备项目需澄清问题”， 并于答疑截止时间前邮箱（jscjzbb2108@163.com</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给项目联系人。若未在法定时间内提出澄清，由此造成的损失及风险由供应商自行承担。 </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ascii="宋体" w:hAnsi="宋体" w:cs="Times New Roman"/>
          <w:color w:val="auto"/>
          <w:szCs w:val="24"/>
          <w:highlight w:val="none"/>
          <w:lang w:eastAsia="zh-CN"/>
        </w:rPr>
      </w:pPr>
      <w:r/>
      <w:bookmarkStart w:id="6" w:name="_Toc112006905"/>
      <w:r/>
      <w:bookmarkStart w:id="7" w:name="_Toc112006909"/>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投标截止时间（网上投标截止时间苏采云投标客户端投标）：2026年</w:t>
      </w:r>
      <w:r>
        <w:rPr>
          <w:rFonts w:hint="eastAsia" w:ascii="宋体" w:hAnsi="宋体" w:cs="Times New Roman"/>
          <w:color w:val="auto"/>
          <w:szCs w:val="24"/>
          <w:highlight w:val="none"/>
          <w:lang w:val="en-US" w:eastAsia="zh-CN"/>
        </w:rPr>
        <w:t xml:space="preserve">09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17</w:t>
      </w:r>
      <w:r>
        <w:rPr>
          <w:rFonts w:hint="eastAsia" w:ascii="宋体" w:hAnsi="宋体" w:cs="Times New Roman"/>
          <w:color w:val="auto"/>
          <w:szCs w:val="24"/>
          <w:highlight w:val="none"/>
          <w:lang w:eastAsia="zh-CN"/>
        </w:rPr>
        <w:t xml:space="preserve">日9:30，投标截止时间后的投标文件恕不接受。</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开标时间：2026年</w:t>
      </w:r>
      <w:r>
        <w:rPr>
          <w:rFonts w:hint="eastAsia" w:ascii="宋体" w:hAnsi="宋体" w:cs="Times New Roman"/>
          <w:color w:val="auto"/>
          <w:szCs w:val="24"/>
          <w:highlight w:val="none"/>
          <w:lang w:val="en-US" w:eastAsia="zh-CN"/>
        </w:rPr>
        <w:t xml:space="preserve">09</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17</w:t>
      </w:r>
      <w:r>
        <w:rPr>
          <w:rFonts w:hint="eastAsia" w:ascii="宋体" w:hAnsi="宋体" w:cs="Times New Roman"/>
          <w:color w:val="auto"/>
          <w:szCs w:val="24"/>
          <w:highlight w:val="none"/>
          <w:lang w:eastAsia="zh-CN"/>
        </w:rPr>
        <w:t xml:space="preserve">日 9:30。</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    </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（九）投标有效期：投标文件接收截止之日起90天</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（十）其他</w:t>
      </w:r>
      <w:r/>
    </w:p>
    <w:p>
      <w:pPr>
        <w:ind w:firstLine="480"/>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宋体"/>
          <w:bCs/>
          <w:color w:val="auto"/>
          <w:szCs w:val="24"/>
          <w:highlight w:val="none"/>
          <w:lang w:eastAsia="zh-CN"/>
        </w:rPr>
        <w:t xml:space="preserve">本次采购采用“江苏省政府采购（苏采云）平台”进行招标投标活动，招标、投标、评标和中标结果发布全程电子化。</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1、采购人：无锡市南京大学锡山应用生物技术研究所</w:t>
      </w:r>
      <w:r/>
    </w:p>
    <w:p>
      <w:pPr>
        <w:ind w:firstLine="480"/>
        <w:shd w:val="clear" w:color="auto" w:fill="ffffff"/>
        <w:tabs>
          <w:tab w:val="left" w:pos="5148" w:leader="none"/>
        </w:tabs>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采购人地址：无锡市锡山区安镇街道东安路88号5楼</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w:t>
      </w:r>
      <w:r>
        <w:rPr>
          <w:rFonts w:hint="eastAsia" w:ascii="宋体" w:hAnsi="宋体" w:cs="Times New Roman"/>
          <w:color w:val="auto"/>
          <w:szCs w:val="24"/>
          <w:highlight w:val="none"/>
          <w:lang w:val="en-US" w:eastAsia="zh-CN"/>
        </w:rPr>
        <w:t xml:space="preserve">周工</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w:t>
      </w:r>
      <w:r>
        <w:rPr>
          <w:rFonts w:ascii="宋体" w:hAnsi="宋体" w:cs="Times New Roman"/>
          <w:color w:val="auto"/>
          <w:szCs w:val="24"/>
          <w:highlight w:val="none"/>
          <w:lang w:eastAsia="zh-CN"/>
        </w:rPr>
        <w:t xml:space="preserve">0510-88998992</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、采购代理机构：</w:t>
      </w:r>
      <w:r>
        <w:rPr>
          <w:rFonts w:hint="eastAsia" w:ascii="宋体" w:hAnsi="宋体" w:cs="宋体"/>
          <w:bCs/>
          <w:color w:val="auto"/>
          <w:szCs w:val="24"/>
          <w:highlight w:val="none"/>
          <w:lang w:eastAsia="zh-CN"/>
        </w:rPr>
        <w:t xml:space="preserve"> </w:t>
      </w:r>
      <w:r>
        <w:rPr>
          <w:rFonts w:hint="eastAsia" w:ascii="宋体" w:hAnsi="宋体" w:cs="Times New Roman"/>
          <w:color w:val="auto"/>
          <w:szCs w:val="24"/>
          <w:highlight w:val="none"/>
          <w:lang w:eastAsia="zh-CN"/>
        </w:rPr>
        <w:t xml:space="preserve">江苏成建项目管理有限公司</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联系地址：无锡市梁溪区人民东路311号崇文大厦21楼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联系人：张怀平、华佳静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联系电话：13621516995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861"/>
        <w:jc w:val="both"/>
        <w:spacing w:after="240"/>
        <w:rPr>
          <w:rFonts w:ascii="黑体" w:hAnsi="黑体"/>
          <w:color w:val="auto"/>
          <w:szCs w:val="36"/>
          <w:highlight w:val="none"/>
          <w:lang w:eastAsia="zh-CN"/>
        </w:rPr>
      </w:pPr>
      <w:r/>
      <w:bookmarkStart w:id="8" w:name="_Toc161316665"/>
      <w:r>
        <w:rPr>
          <w:color w:val="auto"/>
          <w:highlight w:val="none"/>
          <w:lang w:eastAsia="zh-CN"/>
        </w:rPr>
        <w:br w:type="page" w:clear="all"/>
      </w:r>
      <w:r>
        <w:rPr>
          <w:rFonts w:hint="eastAsia" w:ascii="黑体" w:hAnsi="黑体"/>
          <w:color w:val="auto"/>
          <w:szCs w:val="36"/>
          <w:highlight w:val="none"/>
          <w:lang w:eastAsia="zh-CN"/>
        </w:rPr>
        <w:t xml:space="preserve">二、供应商须知</w:t>
      </w:r>
      <w:bookmarkEnd w:id="8"/>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1.招标文件包括本文件目录所列全部内容，投标人应仔细阅读，并在投标文件中充分响应招标文件的所有要求。</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2.潜在投标人可在项目招标公告附件中查看公开招标文件，如确定投标，必须在苏采云平台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3.投标人一旦参加本项目投标，即表明承诺接受了本招标文件中的所有条件和规定。</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5.招标文件中的“法定代表人”是指投标人的营业执照或相关部门的登记证明文件中的“法定代表人”或“负责人”。</w:t>
      </w:r>
      <w:r/>
    </w:p>
    <w:p>
      <w:pPr>
        <w:ind w:firstLine="480"/>
        <w:jc w:val="both"/>
        <w:widowControl w:val="off"/>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w:t>
      </w:r>
      <w:r>
        <w:rPr>
          <w:rFonts w:hint="eastAsia" w:ascii="宋体" w:hAnsi="宋体" w:cs="Times New Roman"/>
          <w:color w:val="auto"/>
          <w:szCs w:val="24"/>
          <w:highlight w:val="none"/>
          <w:lang w:eastAsia="zh-CN"/>
        </w:rPr>
        <w:t xml:space="preserve">江苏成建项目管理有限公司</w:t>
      </w:r>
      <w:r>
        <w:rPr>
          <w:rFonts w:hint="eastAsia" w:ascii="宋体" w:hAnsi="宋体" w:cs="宋体"/>
          <w:color w:val="auto"/>
          <w:szCs w:val="24"/>
          <w:highlight w:val="none"/>
          <w:lang w:eastAsia="zh-CN"/>
        </w:rPr>
        <w:t xml:space="preserve">，确认已收到修改文件或延期开标通知，邮箱：</w:t>
      </w:r>
      <w:r>
        <w:rPr>
          <w:rFonts w:hint="eastAsia" w:ascii="宋体" w:hAnsi="宋体" w:cs="宋体"/>
          <w:color w:val="auto"/>
          <w:szCs w:val="24"/>
          <w:highlight w:val="none"/>
          <w:u w:val="single"/>
          <w:lang w:eastAsia="zh-CN"/>
        </w:rPr>
        <w:t xml:space="preserve">jscjzbb2108@163.com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bookmarkEnd w:id="10"/>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shd w:val="clear" w:color="auto" w:fill="ffffff"/>
        <w:rPr>
          <w:rFonts w:ascii="宋体" w:hAnsi="宋体" w:cs="宋体"/>
          <w:b/>
          <w:color w:val="auto"/>
          <w:szCs w:val="24"/>
          <w:highlight w:val="none"/>
          <w:lang w:eastAsia="zh-CN" w:bidi="ar"/>
        </w:rPr>
      </w:pPr>
      <w:r>
        <w:rPr>
          <w:rFonts w:hint="eastAsia" w:ascii="宋体" w:hAnsi="宋体" w:cs="宋体"/>
          <w:bCs/>
          <w:color w:val="auto"/>
          <w:szCs w:val="24"/>
          <w:highlight w:val="none"/>
          <w:lang w:eastAsia="zh-CN" w:bidi="ar"/>
        </w:rPr>
        <w:t xml:space="preserve">3.供应商情况表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5</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商务偏离表</w:t>
      </w:r>
      <w:r>
        <w:rPr>
          <w:rFonts w:hint="eastAsia" w:ascii="宋体" w:hAnsi="宋体" w:cs="Times New Roman"/>
          <w:b/>
          <w:bCs/>
          <w:color w:val="auto"/>
          <w:szCs w:val="24"/>
          <w:highlight w:val="none"/>
          <w:lang w:eastAsia="zh-CN"/>
        </w:rPr>
        <w:t xml:space="preserve">（格式见附件）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7.技术规格偏离表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8.供应商近年已完成类似业绩一览表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9</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10.关于符合本国产品标准的声明函</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11</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12</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13.</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（投标人认为有必要提供的声明和文件，如有格式自拟并自行添加）</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上述1-11项供应商必须按要求全部提供，否则投标文件无效。如上述资格证明文件遇年检、换证，则必须提供法定年检、换证单位出具的有效证明扫描件。如上述资格证明文件第（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2.投标文件由投标人按给定格式如实填写(编写)，须有法人(盖章)、法定代表人或法定代表人授权代表签字或盖章，方为有效，未尽事宜可自行补充。</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3.如无特别说明，投标人报价一律以人民币为投标结算货币，结算单位为“元”。</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4.投标文件格式部分，应由投标人按给定格式提供，不得更改。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5.投标人在制作电子投标文件时，请正确关联到对应页，在评审过程中，评审专家如因在相对应页面找不到该相关联的文件，由此产生的后果由投标人自行承担。</w:t>
      </w:r>
      <w:r/>
    </w:p>
    <w:p>
      <w:pPr>
        <w:ind w:firstLine="480"/>
        <w:shd w:val="clear" w:color="auto" w:fill="ffffff"/>
        <w:rPr>
          <w:rFonts w:hint="default" w:ascii="宋体" w:hAnsi="宋体" w:cs="Times New Roman"/>
          <w:b/>
          <w:bCs/>
          <w:color w:val="auto"/>
          <w:szCs w:val="24"/>
          <w:highlight w:val="none"/>
          <w:lang w:val="en-US" w:eastAsia="zh-CN"/>
        </w:rPr>
      </w:pPr>
      <w:r>
        <w:rPr>
          <w:rFonts w:hint="eastAsia" w:ascii="宋体" w:hAnsi="宋体" w:cs="Times New Roman"/>
          <w:b/>
          <w:bCs/>
          <w:color w:val="auto"/>
          <w:szCs w:val="24"/>
          <w:highlight w:val="none"/>
          <w:lang w:eastAsia="zh-CN"/>
        </w:rPr>
        <w:t xml:space="preserve">6.投标费用自理，</w:t>
      </w:r>
      <w:r>
        <w:rPr>
          <w:rFonts w:hint="eastAsia" w:ascii="宋体" w:hAnsi="宋体" w:cs="Times New Roman"/>
          <w:b/>
          <w:bCs/>
          <w:color w:val="auto"/>
          <w:szCs w:val="24"/>
          <w:highlight w:val="none"/>
          <w:lang w:val="en-US" w:eastAsia="zh-CN"/>
        </w:rPr>
        <w:t xml:space="preserve">本项目预算金额中包含代理服务费，投标供应商应自行考虑将代理服务费纳入所报投标价中。</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2.投标人应对CA数字证书妥善保管，如被他人盗用投标，后果自负。</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3.投标人按招标文件规定的网上解密时间进行解密，如未按时解密后果自负。</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4.投标人应当对招标文件提出的要求和条件作出实质性响应，并在电子投标系统逐条应答。</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5.投标人应对要求提供的资格证明文件（如资质证书、资格证书）、技术资料（如白皮书、彩页、手册、检测报告等）扫描上传至投标系统。</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480"/>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7.供应商进行网上投标请参照《政府采购项目电子交易管理操作指南－供应商》。</w:t>
      </w:r>
      <w:r/>
    </w:p>
    <w:p>
      <w:pPr>
        <w:pStyle w:val="909"/>
        <w:ind w:firstLine="482"/>
        <w:spacing w:line="360" w:lineRule="auto"/>
        <w:rPr>
          <w:highlight w:val="none"/>
        </w:rPr>
      </w:pPr>
      <w:r>
        <w:rPr>
          <w:rFonts w:hint="eastAsia" w:ascii="宋体" w:hAnsi="宋体" w:cs="宋体"/>
          <w:b/>
          <w:bCs/>
          <w:color w:val="000000" w:themeColor="text1"/>
          <w:sz w:val="24"/>
          <w:szCs w:val="24"/>
          <w:highlight w:val="none"/>
          <w14:textFill>
            <w14:solidFill>
              <w14:schemeClr w14:val="tx1"/>
            </w14:solidFill>
          </w14:textFill>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投标人有下列情况之一者，投标文件无效：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3.投标人未按招标文件要求解密电子投标文件的；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4.投标人的法定代表人授权代表，无法定代表人授权委托书的；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5.投标人的法定代表人或被授权代表，未准时参加开标会议的；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11.不同投标人委托同一单位或者个人办理投标事宜的；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12.不同投标人的单位负责人为同一人或者存在直接控股、管理关系的；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13.不同投标人的投标文件存在明显的相似性或一致性，特征显示由同一单位或者同一个人编制的；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16.投标人提交两个（含）以上不同的投标报价或项目（标段）投标总价超过本项目（标段）预算或最高限价的；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w:t>
      </w:r>
      <w:r>
        <w:rPr>
          <w:rFonts w:hint="eastAsia"/>
          <w:highlight w:val="none"/>
          <w:lang w:eastAsia="zh-CN"/>
        </w:rPr>
        <w:t xml:space="preserve">未通过符合性审查的，采购清单技术参数要求中带“★”指标存在负偏离或未提供证明材料</w:t>
      </w:r>
      <w:r>
        <w:rPr>
          <w:rFonts w:hint="eastAsia"/>
          <w:highlight w:val="none"/>
          <w:lang w:val="en-US" w:eastAsia="zh-CN"/>
        </w:rPr>
        <w:t xml:space="preserve">或</w:t>
      </w:r>
      <w:r>
        <w:rPr>
          <w:rFonts w:hint="eastAsia"/>
          <w:highlight w:val="none"/>
          <w:lang w:eastAsia="zh-CN"/>
        </w:rPr>
        <w:t xml:space="preserve">证明材料无法佐证的</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22.未按要求提供第三章项目要求和有关说明中须提供的相关证明材料的；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23.法律法规和招标文件规定的其他无效情形。</w:t>
      </w:r>
      <w:r/>
    </w:p>
    <w:p>
      <w:pPr>
        <w:ind w:firstLine="480"/>
        <w:shd w:val="clear" w:color="auto" w:fill="ffffff"/>
        <w:rPr>
          <w:rFonts w:ascii="宋体" w:hAnsi="宋体" w:cs="Times New Roman"/>
          <w:color w:val="auto"/>
          <w:szCs w:val="24"/>
          <w:highlight w:val="none"/>
          <w:shd w:val="clear" w:color="auto" w:fill="ffffff"/>
          <w:lang w:eastAsia="zh-CN"/>
        </w:rPr>
      </w:pPr>
      <w:r>
        <w:rPr>
          <w:rFonts w:hint="eastAsia" w:ascii="宋体" w:hAnsi="宋体" w:cs="Times New Roman"/>
          <w:color w:val="auto"/>
          <w:szCs w:val="24"/>
          <w:highlight w:val="none"/>
          <w:lang w:eastAsia="zh-CN"/>
        </w:rPr>
        <w:t xml:space="preserve">24.</w:t>
      </w:r>
      <w:r>
        <w:rPr>
          <w:rFonts w:hint="eastAsia" w:ascii="宋体" w:hAnsi="宋体" w:cs="Times New Roman"/>
          <w:szCs w:val="24"/>
          <w:highlight w:val="none"/>
          <w:shd w:val="clear" w:color="auto" w:fill="ffffff"/>
          <w:lang w:eastAsia="zh-CN" w:bidi="ar"/>
        </w:rPr>
        <w:t xml:space="preserve">不同供应商</w:t>
      </w:r>
      <w:r>
        <w:rPr>
          <w:rFonts w:hint="eastAsia" w:ascii="宋体" w:hAnsi="宋体" w:cs="Times New Roman"/>
          <w:szCs w:val="24"/>
          <w:highlight w:val="none"/>
          <w:shd w:val="clear" w:color="auto" w:fill="ffffff"/>
          <w:lang w:eastAsia="zh-CN" w:bidi="ar"/>
        </w:rPr>
        <w:t xml:space="preserve">IP</w:t>
      </w:r>
      <w:r>
        <w:rPr>
          <w:rFonts w:hint="eastAsia" w:ascii="宋体" w:hAnsi="宋体" w:cs="Times New Roman"/>
          <w:szCs w:val="24"/>
          <w:highlight w:val="none"/>
          <w:shd w:val="clear" w:color="auto" w:fill="ffffff"/>
          <w:lang w:eastAsia="zh-CN" w:bidi="ar"/>
        </w:rPr>
        <w:t xml:space="preserve">地址、</w:t>
      </w:r>
      <w:r>
        <w:rPr>
          <w:rFonts w:hint="eastAsia" w:ascii="宋体" w:hAnsi="宋体" w:cs="Times New Roman"/>
          <w:szCs w:val="24"/>
          <w:highlight w:val="none"/>
          <w:shd w:val="clear" w:color="auto" w:fill="ffffff"/>
          <w:lang w:eastAsia="zh-CN" w:bidi="ar"/>
        </w:rPr>
        <w:t xml:space="preserve">MAC</w:t>
      </w:r>
      <w:r>
        <w:rPr>
          <w:rFonts w:hint="eastAsia" w:ascii="宋体" w:hAnsi="宋体" w:cs="Times New Roman"/>
          <w:szCs w:val="24"/>
          <w:highlight w:val="none"/>
          <w:shd w:val="clear" w:color="auto" w:fill="ffffff"/>
          <w:lang w:eastAsia="zh-CN" w:bidi="ar"/>
        </w:rPr>
        <w:t xml:space="preserve">地址、标书制作工具客户端标识码出现一致的情形；</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(3)投标人未参加开标的，视同认可开标结果。</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86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3006"/>
        <w:gridCol w:w="4885"/>
      </w:tblGrid>
      <w:tr>
        <w:trPr>
          <w:trHeight w:val="567"/>
        </w:trPr>
        <w:tc>
          <w:tcPr>
            <w:tcW w:w="366"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4633"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2868"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2868" w:type="pct"/>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2868" w:type="pct"/>
            <w:vAlign w:val="center"/>
            <w:textDirection w:val="lrTb"/>
            <w:noWrap w:val="false"/>
          </w:tcPr>
          <w:p>
            <w:pPr>
              <w:ind w:firstLine="0"/>
              <w:jc w:val="both"/>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2868" w:type="pct"/>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2868" w:type="pct"/>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2868" w:type="pct"/>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2868" w:type="pct"/>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2868" w:type="pct"/>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2868"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2868"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2868"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486"/>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2868" w:type="pct"/>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36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176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2868"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B</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86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2922"/>
        <w:gridCol w:w="4975"/>
      </w:tblGrid>
      <w:tr>
        <w:trPr>
          <w:trHeight w:val="535"/>
        </w:trPr>
        <w:tc>
          <w:tcPr>
            <w:tcW w:w="362"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1716"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2921"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493"/>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2921"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93"/>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bidi="ar"/>
              </w:rPr>
              <w:t xml:space="preserve">供应商情况表</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19"/>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462"/>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2921" w:type="pct"/>
            <w:vAlign w:val="center"/>
            <w:textDirection w:val="lrTb"/>
            <w:noWrap w:val="false"/>
          </w:tcPr>
          <w:p>
            <w:pPr>
              <w:ind w:firstLine="0"/>
              <w:jc w:val="center"/>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商务偏离表</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1716" w:type="pct"/>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技术规格偏离表</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1716" w:type="pct"/>
            <w:vAlign w:val="center"/>
            <w:textDirection w:val="lrTb"/>
            <w:noWrap w:val="false"/>
          </w:tcPr>
          <w:p>
            <w:pPr>
              <w:ind w:firstLine="0"/>
              <w:jc w:val="center"/>
              <w:spacing w:line="240" w:lineRule="auto"/>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供应商近年已完成类似业绩一览表</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0"/>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2921"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spacing w:before="240"/>
        <w:shd w:val="clear" w:color="auto" w:fill="ffffff"/>
        <w:rPr>
          <w:rFonts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评审过程中出现下列情形之一的，评审委员会应当启动异常低价投标（响应）审查程序：</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3）投标（响应）报价低于采购项目最高限价45%的，即投标（响应）报价&lt;采购项目最高限价×45%；</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4）评审委员会基于专业判断，认为供应商报价过低，有可能影响产品质量或者不能诚信履约的其他情形。</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(3)比较与评价。评标委员会按招标文件中规定的评标方法和标准，对资格性检查和符合性检查合格的投标文件进行商务和技术评估，综合比较与评价。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（1）投标人通过初审的，方可进入比较与评价程序，</w:t>
      </w:r>
      <w:r>
        <w:rPr>
          <w:rFonts w:hint="eastAsia" w:ascii="宋体" w:hAnsi="宋体" w:cs="Times New Roman"/>
          <w:b/>
          <w:color w:val="auto"/>
          <w:szCs w:val="24"/>
          <w:highlight w:val="none"/>
          <w:lang w:eastAsia="zh-CN"/>
        </w:rPr>
        <w:t xml:space="preserve">本项目采用综合评分法。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（3）采购本国产品的支持政策</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根据《国务院办公厅关于在政府采购中实施本国产品标准及相关政策的通知》（国办发〔2025〕34号）要求，本项目对采购本国产品</w:t>
      </w:r>
      <w:r>
        <w:rPr>
          <w:rFonts w:hint="eastAsia" w:ascii="宋体" w:hAnsi="宋体" w:cs="宋体"/>
          <w:bCs/>
          <w:color w:val="auto"/>
          <w:szCs w:val="24"/>
          <w:highlight w:val="none"/>
          <w:lang w:val="en-US" w:eastAsia="zh-CN"/>
        </w:rPr>
        <w:t xml:space="preserve">给予</w:t>
      </w:r>
      <w:r>
        <w:rPr>
          <w:rFonts w:hint="eastAsia" w:ascii="宋体" w:hAnsi="宋体" w:cs="宋体"/>
          <w:bCs/>
          <w:color w:val="auto"/>
          <w:szCs w:val="24"/>
          <w:highlight w:val="none"/>
          <w:lang w:eastAsia="zh-CN"/>
        </w:rPr>
        <w:t xml:space="preserve">政策支持。关于本国产品标准和本国产品标准的适用范围详见《国务院办公厅关于在政府采购中实施本国产品标准及相关政策的通知》（国办发〔2025〕34号）。</w:t>
      </w:r>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 xml:space="preserve">①</w:t>
      </w:r>
      <w:r>
        <w:rPr>
          <w:rFonts w:hint="eastAsia" w:ascii="宋体" w:hAnsi="宋体" w:cs="宋体"/>
          <w:bCs/>
          <w:color w:val="auto"/>
          <w:szCs w:val="24"/>
          <w:highlight w:val="none"/>
          <w:lang w:eastAsia="zh-CN"/>
        </w:rPr>
        <w:t xml:space="preserve">本国产品价格扣除政策</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t xml:space="preserve">②</w:t>
      </w:r>
      <w:r>
        <w:rPr>
          <w:rFonts w:hint="eastAsia" w:ascii="宋体" w:hAnsi="宋体" w:cs="宋体"/>
          <w:bCs/>
          <w:color w:val="auto"/>
          <w:szCs w:val="24"/>
          <w:highlight w:val="none"/>
          <w:lang w:eastAsia="zh-CN"/>
        </w:rPr>
        <w:t xml:space="preserve">注意事项</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1）提供本国产品进行投标（报价）的供应商需在其投</w:t>
      </w:r>
      <w:r>
        <w:rPr>
          <w:rFonts w:hint="eastAsia" w:ascii="宋体" w:hAnsi="宋体" w:cs="宋体"/>
          <w:bCs/>
          <w:color w:val="auto"/>
          <w:szCs w:val="24"/>
          <w:highlight w:val="none"/>
          <w:lang w:eastAsia="zh-CN"/>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即，当小微型企业价格扣除政策和本国产品价格扣除政策同时享受时，按以下计算方式进行计算：</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供应商参与评审的报价=供应商投标总报价×[1-（小微型企业价格扣除+本国产品价格扣除）]</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例如，供应商总报价1000000元，经认定可以享受小微型企业价格扣除政策以及本国产品价格扣除政策的，则该供应商参与评审的报价为：</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1000000×[1-（10%+20%）]=700000元</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numPr>
          <w:ilvl w:val="0"/>
          <w:numId w:val="1"/>
        </w:numPr>
        <w:ind w:left="0" w:firstLine="480"/>
        <w:spacing w:line="440" w:lineRule="exact"/>
        <w:tabs>
          <w:tab w:val="left" w:pos="525" w:leader="none"/>
          <w:tab w:val="left" w:pos="945" w:leader="none"/>
          <w:tab w:val="left" w:pos="1155" w:leader="none"/>
        </w:tabs>
        <w:rPr>
          <w:rFonts w:ascii="宋体" w:hAnsi="宋体" w:cs="宋体"/>
          <w:bCs/>
          <w:color w:val="000000" w:themeColor="text1"/>
          <w:szCs w:val="24"/>
          <w:highlight w:val="none"/>
          <w:lang w:eastAsia="zh-CN"/>
          <w14:textFill>
            <w14:solidFill>
              <w14:schemeClr w14:val="tx1"/>
            </w14:solidFill>
          </w14:textFill>
        </w:rPr>
      </w:pPr>
      <w:r/>
      <w:bookmarkStart w:id="11" w:name="_Toc161316666"/>
      <w:r>
        <w:rPr>
          <w:rFonts w:hint="eastAsia" w:ascii="宋体" w:hAnsi="宋体" w:cs="宋体"/>
          <w:bCs/>
          <w:color w:val="000000" w:themeColor="text1"/>
          <w:szCs w:val="24"/>
          <w:highlight w:val="none"/>
          <w:lang w:eastAsia="zh-CN"/>
          <w14:textFill>
            <w14:solidFill>
              <w14:schemeClr w14:val="tx1"/>
            </w14:solidFill>
          </w14:textFill>
        </w:rPr>
        <w:t xml:space="preserve">评标委员会根据招标文件规定的评标方法和评标标准进行评审，按评审得分由高到低的原则推荐中标候选人，</w:t>
      </w:r>
      <w:r>
        <w:rPr>
          <w:rFonts w:hint="eastAsia" w:ascii="宋体" w:hAnsi="宋体" w:cs="Times New Roman"/>
          <w:color w:val="auto"/>
          <w:szCs w:val="24"/>
          <w:highlight w:val="none"/>
          <w:lang w:eastAsia="zh-CN"/>
        </w:rPr>
        <w:t xml:space="preserve">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 xml:space="preserve">在评标结束后2个工作日内将评标报告</w:t>
      </w:r>
      <w:r>
        <w:rPr>
          <w:rFonts w:hint="eastAsia" w:ascii="宋体" w:hAnsi="宋体" w:cs="宋体"/>
          <w:bCs/>
          <w:color w:val="000000" w:themeColor="text1"/>
          <w:szCs w:val="24"/>
          <w:highlight w:val="none"/>
          <w:lang w:val="en-US" w:eastAsia="zh-CN"/>
          <w14:textFill>
            <w14:solidFill>
              <w14:schemeClr w14:val="tx1"/>
            </w14:solidFill>
          </w14:textFill>
        </w:rPr>
        <w:t xml:space="preserve">送达采</w:t>
      </w:r>
      <w:r>
        <w:rPr>
          <w:rFonts w:hint="eastAsia" w:ascii="宋体" w:hAnsi="宋体" w:cs="宋体"/>
          <w:bCs/>
          <w:color w:val="000000" w:themeColor="text1"/>
          <w:szCs w:val="24"/>
          <w:highlight w:val="none"/>
          <w:lang w:eastAsia="zh-CN"/>
          <w14:textFill>
            <w14:solidFill>
              <w14:schemeClr w14:val="tx1"/>
            </w14:solidFill>
          </w14:textFill>
        </w:rPr>
        <w:t xml:space="preserve">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Times New Roman"/>
          <w:color w:val="auto"/>
          <w:szCs w:val="24"/>
          <w:highlight w:val="none"/>
          <w:lang w:eastAsia="zh-CN"/>
        </w:rPr>
        <w:t xml:space="preserve">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 xml:space="preserve">将在江苏政府采购网上发布中标公告。</w:t>
      </w:r>
      <w:r>
        <w:rPr>
          <w:rFonts w:hint="eastAsia" w:ascii="宋体" w:hAnsi="宋体" w:cs="Times New Roman"/>
          <w:color w:val="auto"/>
          <w:szCs w:val="24"/>
          <w:highlight w:val="none"/>
          <w:lang w:eastAsia="zh-CN"/>
        </w:rPr>
        <w:t xml:space="preserve">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 xml:space="preserve">和评标委员会对未中标原因不作解释。</w:t>
      </w:r>
      <w:r/>
    </w:p>
    <w:p>
      <w:pPr>
        <w:numPr>
          <w:ilvl w:val="0"/>
          <w:numId w:val="1"/>
        </w:numPr>
        <w:ind w:left="0" w:firstLine="480"/>
        <w:spacing w:line="440" w:lineRule="exact"/>
        <w:tabs>
          <w:tab w:val="left" w:pos="525" w:leader="none"/>
          <w:tab w:val="left" w:pos="945" w:leader="none"/>
          <w:tab w:val="left" w:pos="1155" w:leader="none"/>
        </w:tabs>
        <w:rPr>
          <w:rFonts w:ascii="宋体" w:hAnsi="宋体" w:cs="宋体"/>
          <w:bCs/>
          <w:color w:val="000000" w:themeColor="text1"/>
          <w:szCs w:val="24"/>
          <w:highlight w:val="none"/>
          <w:lang w:eastAsia="zh-CN"/>
          <w14:textFill>
            <w14:solidFill>
              <w14:schemeClr w14:val="tx1"/>
            </w14:solidFill>
          </w14:textFill>
        </w:rPr>
      </w:pPr>
      <w:r>
        <w:rPr>
          <w:rFonts w:hint="eastAsia" w:ascii="宋体" w:hAnsi="宋体" w:cs="宋体"/>
          <w:bCs/>
          <w:color w:val="000000" w:themeColor="text1"/>
          <w:szCs w:val="24"/>
          <w:highlight w:val="none"/>
          <w:lang w:eastAsia="zh-CN"/>
          <w14:textFill>
            <w14:solidFill>
              <w14:schemeClr w14:val="tx1"/>
            </w14:solidFill>
          </w14:textFill>
        </w:rPr>
        <w:t xml:space="preserve">在发布中标公告的同时，</w:t>
      </w:r>
      <w:r>
        <w:rPr>
          <w:rFonts w:hint="eastAsia" w:ascii="宋体" w:hAnsi="宋体" w:cs="Times New Roman"/>
          <w:color w:val="auto"/>
          <w:szCs w:val="24"/>
          <w:highlight w:val="none"/>
          <w:lang w:eastAsia="zh-CN"/>
        </w:rPr>
        <w:t xml:space="preserve">江苏成建项目管理有限公司</w:t>
      </w:r>
      <w:r>
        <w:rPr>
          <w:rFonts w:hint="eastAsia" w:ascii="宋体" w:hAnsi="宋体" w:cs="宋体"/>
          <w:bCs/>
          <w:color w:val="000000" w:themeColor="text1"/>
          <w:szCs w:val="24"/>
          <w:highlight w:val="none"/>
          <w:lang w:eastAsia="zh-CN"/>
          <w14:textFill>
            <w14:solidFill>
              <w14:schemeClr w14:val="tx1"/>
            </w14:solidFill>
          </w14:textFill>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hd w:val="clear" w:color="auto" w:fill="ffffff"/>
        <w:rPr>
          <w:rFonts w:ascii="宋体" w:hAnsi="宋体" w:cs="Times New Roman"/>
          <w:color w:val="auto"/>
          <w:szCs w:val="24"/>
          <w:highlight w:val="none"/>
          <w:lang w:eastAsia="zh-CN"/>
        </w:rPr>
      </w:pPr>
      <w:r>
        <w:rPr>
          <w:rFonts w:hint="eastAsia" w:ascii="宋体" w:hAnsi="宋体" w:cs="宋体"/>
          <w:bCs/>
          <w:color w:val="000000" w:themeColor="text1"/>
          <w:szCs w:val="24"/>
          <w:highlight w:val="none"/>
          <w:lang w:eastAsia="zh-CN"/>
          <w14:textFill>
            <w14:solidFill>
              <w14:schemeClr w14:val="tx1"/>
            </w14:solidFill>
          </w14:textFill>
        </w:rPr>
        <w:t xml:space="preserve">3.投标供应商电子投标文件将作为电子档案保存。</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（十二）中标无效的确认：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本项目履约保证金：</w:t>
      </w:r>
      <w:r>
        <w:rPr>
          <w:rFonts w:hint="eastAsia" w:ascii="宋体" w:hAnsi="宋体" w:cs="Times New Roman"/>
          <w:color w:val="auto"/>
          <w:szCs w:val="24"/>
          <w:highlight w:val="none"/>
          <w:lang w:val="en-US" w:eastAsia="zh-CN"/>
        </w:rPr>
        <w:t xml:space="preserve">合同价的10%</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w:t>
      </w:r>
      <w:r>
        <w:rPr>
          <w:rFonts w:hint="eastAsia" w:ascii="宋体" w:hAnsi="宋体" w:cs="宋体"/>
          <w:bCs/>
          <w:color w:val="auto"/>
          <w:szCs w:val="24"/>
          <w:highlight w:val="none"/>
          <w:lang w:val="zh-CN" w:eastAsia="zh-CN"/>
        </w:rPr>
        <w:t xml:space="preserve">所质疑项目采购活动的供应商。潜在供应商依法获取其可质疑的采购文件的，可以对采购文件提出质疑。供应商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采购人、交易中心只接收以纸质原件形式送达的质疑，质疑供应商可通过面交或邮寄方式送达（采购人和交易中心不接受未填写快递运单的快件）。</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采购人、交易中心联系人、联系方式、通信地址见招标文件第一章。</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 以下情形的质疑不予受理</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5.4未参加投标活动的供应商或在投标活动中自身权益未受到损害的供应商所提出的质疑。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5.5供应商组成联合体参加投标，联合体中任何一方或多方未按要求签字、盖章、加盖公章的质疑。</w:t>
      </w:r>
      <w:r/>
    </w:p>
    <w:p>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（十五）服务费：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招标代理服务费以中标价为计费基础，收费标准为（货物类）：中标金额100万（含100万）以下费率为中标金额的</w:t>
      </w:r>
      <w:r>
        <w:rPr>
          <w:rFonts w:hint="eastAsia" w:ascii="宋体" w:hAnsi="宋体" w:cs="Times New Roman"/>
          <w:color w:val="auto"/>
          <w:szCs w:val="24"/>
          <w:highlight w:val="none"/>
          <w:lang w:val="en-US" w:eastAsia="zh-CN"/>
        </w:rPr>
        <w:t xml:space="preserve">1.125</w:t>
      </w:r>
      <w:r>
        <w:rPr>
          <w:rFonts w:hint="eastAsia" w:ascii="宋体" w:hAnsi="宋体" w:cs="Times New Roman"/>
          <w:color w:val="auto"/>
          <w:szCs w:val="24"/>
          <w:highlight w:val="none"/>
          <w:lang w:eastAsia="zh-CN"/>
        </w:rPr>
        <w:t xml:space="preserve">%，中标金额100万～500万元（含）费率为中标金额的</w:t>
      </w:r>
      <w:r>
        <w:rPr>
          <w:rFonts w:hint="eastAsia" w:ascii="宋体" w:hAnsi="宋体" w:cs="Times New Roman"/>
          <w:color w:val="auto"/>
          <w:szCs w:val="24"/>
          <w:highlight w:val="none"/>
          <w:lang w:val="en-US" w:eastAsia="zh-CN"/>
        </w:rPr>
        <w:t xml:space="preserve">0.825</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根据委托代理协议签订内容，本项目招标代理服务费</w:t>
      </w:r>
      <w:r>
        <w:rPr>
          <w:rFonts w:hint="eastAsia" w:ascii="宋体" w:hAnsi="宋体" w:cs="Times New Roman"/>
          <w:color w:val="auto"/>
          <w:szCs w:val="24"/>
          <w:highlight w:val="none"/>
          <w:lang w:eastAsia="zh-CN"/>
        </w:rPr>
        <w:t xml:space="preserve">由中标供应商支付，本项目预算金额中包含代理服务费，投标供应商应自行考虑将代理服务费纳入所报投标价中。</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color w:val="auto"/>
          <w:highlight w:val="none"/>
          <w:lang w:eastAsia="zh-CN"/>
        </w:rPr>
        <w:br w:type="page" w:clear="all"/>
      </w:r>
      <w:r/>
    </w:p>
    <w:p>
      <w:pPr>
        <w:pStyle w:val="861"/>
        <w:spacing w:after="240"/>
        <w:rPr>
          <w:rFonts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1"/>
      <w:r/>
      <w:r/>
    </w:p>
    <w:p>
      <w:pPr>
        <w:ind w:right="-143" w:firstLine="480"/>
        <w:rPr>
          <w:color w:val="auto"/>
          <w:highlight w:val="none"/>
          <w:lang w:eastAsia="zh-CN"/>
        </w:rPr>
      </w:pPr>
      <w:r>
        <w:rPr>
          <w:rFonts w:hint="eastAsia"/>
          <w:color w:val="auto"/>
          <w:highlight w:val="none"/>
          <w:lang w:eastAsia="zh-CN"/>
        </w:rPr>
        <w:t xml:space="preserve">本项目为无锡市南京大学锡山应用生物技术研究所实验动物饲养设备及辅助设备项目，本项目中的</w:t>
      </w:r>
      <w:r>
        <w:rPr>
          <w:rFonts w:hint="eastAsia"/>
          <w:b/>
          <w:bCs w:val="0"/>
          <w:color w:val="auto"/>
          <w:highlight w:val="none"/>
          <w:lang w:eastAsia="zh-CN"/>
        </w:rPr>
        <w:t xml:space="preserve">核心产品为</w:t>
      </w:r>
      <w:r>
        <w:rPr>
          <w:rFonts w:hint="eastAsia"/>
          <w:b/>
          <w:bCs/>
          <w:color w:val="auto"/>
          <w:highlight w:val="none"/>
          <w:lang w:eastAsia="zh-CN"/>
        </w:rPr>
        <w:t xml:space="preserve">IVC小鼠笼具（一拖二140笼）</w:t>
      </w:r>
      <w:r>
        <w:rPr>
          <w:rFonts w:hint="eastAsia"/>
          <w:color w:val="auto"/>
          <w:highlight w:val="none"/>
          <w:lang w:eastAsia="zh-CN"/>
        </w:rPr>
        <w:t xml:space="preserve">。</w:t>
      </w:r>
      <w:r/>
    </w:p>
    <w:p>
      <w:pPr>
        <w:ind w:right="-143" w:firstLine="0"/>
        <w:rPr>
          <w:color w:val="auto"/>
          <w:highlight w:val="none"/>
          <w:lang w:eastAsia="zh-CN"/>
        </w:rPr>
      </w:pPr>
      <w:r>
        <w:rPr>
          <w:rFonts w:hint="eastAsia"/>
          <w:b/>
          <w:color w:val="auto"/>
          <w:highlight w:val="none"/>
          <w:lang w:val="en-US" w:eastAsia="zh-CN"/>
        </w:rPr>
        <w:t xml:space="preserve">一、</w:t>
      </w:r>
      <w:r>
        <w:rPr>
          <w:rFonts w:hint="eastAsia"/>
          <w:b/>
          <w:color w:val="auto"/>
          <w:highlight w:val="none"/>
          <w:lang w:eastAsia="zh-CN"/>
        </w:rPr>
        <w:t xml:space="preserve">项目基本情况</w:t>
      </w:r>
      <w:r/>
    </w:p>
    <w:p>
      <w:pPr>
        <w:ind w:right="-143" w:firstLine="480"/>
        <w:rPr>
          <w:color w:val="auto"/>
          <w:highlight w:val="none"/>
          <w:lang w:eastAsia="zh-CN"/>
        </w:rPr>
      </w:pPr>
      <w:r>
        <w:rPr>
          <w:rFonts w:hint="eastAsia"/>
          <w:color w:val="auto"/>
          <w:highlight w:val="none"/>
          <w:lang w:eastAsia="zh-CN"/>
        </w:rPr>
        <w:t xml:space="preserve">1、项目地址：无锡市南京大学锡山应用生物技术研究所。</w:t>
      </w:r>
      <w:r/>
    </w:p>
    <w:p>
      <w:pPr>
        <w:ind w:right="-143" w:firstLine="480"/>
        <w:rPr>
          <w:color w:val="auto"/>
          <w:highlight w:val="none"/>
          <w:lang w:eastAsia="zh-CN"/>
        </w:rPr>
      </w:pPr>
      <w:r>
        <w:rPr>
          <w:rFonts w:hint="eastAsia"/>
          <w:color w:val="auto"/>
          <w:highlight w:val="none"/>
          <w:lang w:eastAsia="zh-CN"/>
        </w:rPr>
        <w:t xml:space="preserve">2、采购范围：清单范围内的无锡市南京大学锡山应用生物技术研究所实验动物饲养设备及辅助设备。</w:t>
      </w:r>
      <w:r/>
    </w:p>
    <w:p>
      <w:pPr>
        <w:ind w:firstLine="480"/>
        <w:shd w:val="clear" w:color="auto" w:fill="ffffff"/>
        <w:rPr>
          <w:rFonts w:hint="eastAsia" w:ascii="宋体" w:hAnsi="宋体" w:cs="宋体"/>
          <w:bCs/>
          <w:color w:val="auto"/>
          <w:szCs w:val="24"/>
          <w:highlight w:val="none"/>
          <w:lang w:eastAsia="zh-CN"/>
        </w:rPr>
      </w:pPr>
      <w:r>
        <w:rPr>
          <w:rFonts w:hint="eastAsia" w:eastAsia="宋体"/>
          <w:color w:val="auto"/>
          <w:highlight w:val="none"/>
          <w:lang w:val="en-US" w:eastAsia="zh-CN"/>
        </w:rPr>
        <w:t xml:space="preserve">3</w:t>
      </w:r>
      <w:r>
        <w:rPr>
          <w:rFonts w:hint="eastAsia" w:eastAsia="宋体"/>
          <w:color w:val="auto"/>
          <w:highlight w:val="none"/>
          <w:lang w:eastAsia="zh-CN"/>
        </w:rPr>
        <w:t xml:space="preserve">.供货期：</w:t>
      </w:r>
      <w:r>
        <w:rPr>
          <w:rFonts w:hint="eastAsia" w:ascii="宋体" w:hAnsi="宋体" w:cs="宋体"/>
          <w:bCs/>
          <w:color w:val="000000" w:themeColor="text1"/>
          <w:szCs w:val="24"/>
          <w:highlight w:val="none"/>
          <w:lang w:eastAsia="zh-CN"/>
          <w14:textFill>
            <w14:solidFill>
              <w14:schemeClr w14:val="tx1"/>
            </w14:solidFill>
          </w14:textFill>
        </w:rPr>
        <w:t xml:space="preserve">合同签订后</w:t>
      </w:r>
      <w:r>
        <w:rPr>
          <w:rFonts w:hint="eastAsia" w:ascii="宋体" w:hAnsi="宋体" w:cs="宋体"/>
          <w:bCs/>
          <w:color w:val="000000" w:themeColor="text1"/>
          <w:szCs w:val="24"/>
          <w:highlight w:val="none"/>
          <w:lang w:val="en-US" w:eastAsia="zh-CN"/>
          <w14:textFill>
            <w14:solidFill>
              <w14:schemeClr w14:val="tx1"/>
            </w14:solidFill>
          </w14:textFill>
        </w:rPr>
        <w:t xml:space="preserve">55日历天</w:t>
      </w:r>
      <w:r>
        <w:rPr>
          <w:rFonts w:hint="eastAsia" w:ascii="宋体" w:hAnsi="宋体" w:cs="宋体"/>
          <w:bCs/>
          <w:color w:val="000000" w:themeColor="text1"/>
          <w:szCs w:val="24"/>
          <w:highlight w:val="none"/>
          <w:lang w:eastAsia="zh-CN"/>
          <w14:textFill>
            <w14:solidFill>
              <w14:schemeClr w14:val="tx1"/>
            </w14:solidFill>
          </w14:textFill>
        </w:rPr>
        <w:t xml:space="preserve">内</w:t>
      </w:r>
      <w:r>
        <w:rPr>
          <w:rFonts w:hint="eastAsia" w:ascii="宋体" w:hAnsi="宋体" w:cs="宋体"/>
          <w:bCs/>
          <w:color w:val="auto"/>
          <w:szCs w:val="24"/>
          <w:highlight w:val="none"/>
          <w:lang w:eastAsia="zh-CN"/>
        </w:rPr>
        <w:t xml:space="preserve">完成全部设备到场并且完成安装调试通过验收，交付采购人使用</w:t>
      </w:r>
      <w:r>
        <w:rPr>
          <w:rFonts w:hint="eastAsia" w:ascii="宋体" w:hAnsi="宋体" w:cs="宋体"/>
          <w:bCs/>
          <w:color w:val="000000" w:themeColor="text1"/>
          <w:szCs w:val="24"/>
          <w:highlight w:val="none"/>
          <w:lang w:eastAsia="zh-CN"/>
          <w14:textFill>
            <w14:solidFill>
              <w14:schemeClr w14:val="tx1"/>
            </w14:solidFill>
          </w14:textFill>
        </w:rPr>
        <w:t xml:space="preserve">。</w:t>
      </w:r>
      <w:r/>
    </w:p>
    <w:p>
      <w:pPr>
        <w:ind w:firstLine="480"/>
        <w:shd w:val="clear" w:color="auto" w:fill="ffffff"/>
        <w:rPr>
          <w:rFonts w:hint="eastAsia" w:ascii="宋体" w:hAnsi="宋体" w:cs="宋体"/>
          <w:bCs/>
          <w:color w:val="auto"/>
          <w:szCs w:val="24"/>
          <w:highlight w:val="none"/>
          <w:lang w:eastAsia="zh-CN"/>
        </w:rPr>
      </w:pPr>
      <w:r>
        <w:rPr>
          <w:rFonts w:hint="eastAsia" w:eastAsia="宋体"/>
          <w:color w:val="auto"/>
          <w:highlight w:val="none"/>
          <w:lang w:val="en-US" w:eastAsia="zh-CN"/>
        </w:rPr>
        <w:t xml:space="preserve">4.质量标准：</w:t>
      </w:r>
      <w:r>
        <w:rPr>
          <w:rFonts w:hint="eastAsia" w:ascii="宋体" w:hAnsi="宋体" w:cs="宋体"/>
          <w:bCs/>
          <w:color w:val="auto"/>
          <w:szCs w:val="24"/>
          <w:highlight w:val="none"/>
          <w:lang w:eastAsia="zh-CN"/>
        </w:rPr>
        <w:t xml:space="preserve">达到国家（含推荐性标准、强制性标准）、行业合格标准及投标人承诺标准，且必须满足本次招标的要求。</w:t>
      </w:r>
      <w:r/>
    </w:p>
    <w:p>
      <w:pPr>
        <w:ind w:right="-143" w:firstLine="480"/>
        <w:rPr>
          <w:rFonts w:hint="eastAsia" w:ascii="宋体" w:hAnsi="宋体" w:cs="宋体"/>
          <w:bCs/>
          <w:color w:val="auto"/>
          <w:szCs w:val="24"/>
          <w:highlight w:val="none"/>
          <w:lang w:eastAsia="zh-CN"/>
        </w:rPr>
      </w:pPr>
      <w:r>
        <w:rPr>
          <w:rFonts w:hint="eastAsia" w:eastAsia="宋体"/>
          <w:color w:val="auto"/>
          <w:highlight w:val="none"/>
          <w:lang w:val="en-US" w:eastAsia="zh-CN"/>
        </w:rPr>
        <w:t xml:space="preserve">5.设备质保期：</w:t>
      </w:r>
      <w:r>
        <w:rPr>
          <w:rFonts w:hint="eastAsia" w:ascii="宋体" w:hAnsi="宋体" w:cs="宋体"/>
          <w:bCs/>
          <w:color w:val="auto"/>
          <w:szCs w:val="24"/>
          <w:highlight w:val="none"/>
          <w:lang w:eastAsia="zh-CN"/>
        </w:rPr>
        <w:t xml:space="preserve">质保期</w:t>
      </w:r>
      <w:r>
        <w:rPr>
          <w:rFonts w:hint="default" w:ascii="宋体" w:hAnsi="宋体" w:cs="宋体"/>
          <w:bCs/>
          <w:color w:val="auto"/>
          <w:szCs w:val="24"/>
          <w:highlight w:val="none"/>
          <w:lang w:val="en-US" w:eastAsia="zh-CN"/>
        </w:rPr>
        <w:t xml:space="preserve">3</w:t>
      </w:r>
      <w:r>
        <w:rPr>
          <w:rFonts w:hint="eastAsia" w:ascii="宋体" w:hAnsi="宋体" w:cs="宋体"/>
          <w:bCs/>
          <w:color w:val="auto"/>
          <w:szCs w:val="24"/>
          <w:highlight w:val="none"/>
          <w:lang w:eastAsia="zh-CN"/>
        </w:rPr>
        <w:t xml:space="preserve">年（若原厂质保期超过</w:t>
      </w:r>
      <w:r>
        <w:rPr>
          <w:rFonts w:hint="default" w:ascii="宋体" w:hAnsi="宋体" w:cs="宋体"/>
          <w:bCs/>
          <w:color w:val="auto"/>
          <w:szCs w:val="24"/>
          <w:highlight w:val="none"/>
          <w:lang w:val="en-US" w:eastAsia="zh-CN"/>
        </w:rPr>
        <w:t xml:space="preserve">3</w:t>
      </w:r>
      <w:r>
        <w:rPr>
          <w:rFonts w:ascii="宋体" w:hAnsi="宋体" w:cs="宋体"/>
          <w:bCs/>
          <w:color w:val="auto"/>
          <w:szCs w:val="24"/>
          <w:highlight w:val="none"/>
          <w:lang w:eastAsia="zh-CN"/>
        </w:rPr>
        <w:t xml:space="preserve">年的，以原厂质保期为准），质保期自</w:t>
      </w:r>
      <w:r>
        <w:rPr>
          <w:rFonts w:hint="eastAsia" w:ascii="宋体" w:hAnsi="宋体" w:cs="宋体"/>
          <w:bCs/>
          <w:color w:val="auto"/>
          <w:szCs w:val="24"/>
          <w:highlight w:val="none"/>
          <w:lang w:val="en-US" w:eastAsia="zh-CN"/>
        </w:rPr>
        <w:t xml:space="preserve">项目整体</w:t>
      </w:r>
      <w:r>
        <w:rPr>
          <w:rFonts w:ascii="宋体" w:hAnsi="宋体" w:cs="宋体"/>
          <w:bCs/>
          <w:color w:val="auto"/>
          <w:szCs w:val="24"/>
          <w:highlight w:val="none"/>
          <w:lang w:eastAsia="zh-CN"/>
        </w:rPr>
        <w:t xml:space="preserve">验收合格之日起计算</w:t>
      </w:r>
      <w:r>
        <w:rPr>
          <w:rFonts w:hint="eastAsia" w:ascii="宋体" w:hAnsi="宋体" w:cs="宋体"/>
          <w:bCs/>
          <w:color w:val="auto"/>
          <w:szCs w:val="24"/>
          <w:highlight w:val="none"/>
          <w:lang w:eastAsia="zh-CN"/>
        </w:rPr>
        <w:t xml:space="preserve">。</w:t>
      </w:r>
      <w:r/>
    </w:p>
    <w:p>
      <w:pPr>
        <w:ind w:right="-143" w:firstLine="480"/>
        <w:rPr>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、付款方式：</w:t>
      </w:r>
      <w:r>
        <w:rPr>
          <w:rFonts w:hint="eastAsia"/>
          <w:highlight w:val="none"/>
        </w:rPr>
        <w:t xml:space="preserve">预付款：合同签订后，采购人向中标供应商支付合同总价30%作为项目预付款；进度款：设备完成安装调试，经采购人初步验收合格后，采购人支付至合同总价70%；验收款：设备完成IQ、OQ、PQ全项验证，正常运行且</w:t>
      </w:r>
      <w:r>
        <w:rPr>
          <w:rFonts w:hint="eastAsia"/>
          <w:highlight w:val="none"/>
          <w:lang w:val="en-US" w:eastAsia="zh-CN"/>
        </w:rPr>
        <w:t xml:space="preserve">完成实验动物使用许可证的办理后，</w:t>
      </w:r>
      <w:r>
        <w:rPr>
          <w:rFonts w:hint="eastAsia"/>
          <w:highlight w:val="none"/>
        </w:rPr>
        <w:t xml:space="preserve">采购人支付至合同总价</w:t>
      </w:r>
      <w:r>
        <w:rPr>
          <w:rFonts w:hint="eastAsia"/>
          <w:highlight w:val="none"/>
          <w:lang w:val="en-US" w:eastAsia="zh-CN"/>
        </w:rPr>
        <w:t xml:space="preserve">100</w:t>
      </w:r>
      <w:r>
        <w:rPr>
          <w:rFonts w:hint="eastAsia"/>
          <w:highlight w:val="none"/>
        </w:rPr>
        <w:t xml:space="preserve">%。</w:t>
      </w:r>
      <w:r>
        <w:rPr>
          <w:rFonts w:hint="eastAsia"/>
          <w:color w:val="auto"/>
          <w:highlight w:val="none"/>
          <w:lang w:eastAsia="zh-CN"/>
        </w:rPr>
        <w:t xml:space="preserve">每次付款前中标人需提交相应的付款发票。若中标人未能按期开具发票，采购人可顺延付款。</w:t>
      </w:r>
      <w:r/>
    </w:p>
    <w:p>
      <w:pPr>
        <w:ind w:right="-143" w:firstLine="0"/>
        <w:rPr>
          <w:rFonts w:hint="default"/>
          <w:b/>
          <w:color w:val="auto"/>
          <w:highlight w:val="none"/>
          <w:lang w:val="en-US" w:eastAsia="zh-CN"/>
        </w:rPr>
      </w:pPr>
      <w:r>
        <w:rPr>
          <w:rFonts w:hint="eastAsia"/>
          <w:b/>
          <w:color w:val="auto"/>
          <w:highlight w:val="none"/>
          <w:lang w:val="en-US" w:eastAsia="zh-CN"/>
        </w:rPr>
        <w:t xml:space="preserve">二、</w:t>
      </w:r>
      <w:r>
        <w:rPr>
          <w:rFonts w:hint="eastAsia"/>
          <w:b/>
          <w:color w:val="auto"/>
          <w:highlight w:val="none"/>
          <w:lang w:eastAsia="zh-CN"/>
        </w:rPr>
        <w:t xml:space="preserve">采购清单</w:t>
      </w:r>
      <w:r>
        <w:rPr>
          <w:rFonts w:hint="eastAsia"/>
          <w:b/>
          <w:color w:val="auto"/>
          <w:highlight w:val="none"/>
          <w:lang w:val="en-US" w:eastAsia="zh-CN"/>
        </w:rPr>
        <w:t xml:space="preserve">及要求</w:t>
      </w:r>
      <w:r/>
    </w:p>
    <w:p>
      <w:pPr>
        <w:ind w:right="-143" w:firstLine="0"/>
        <w:rPr>
          <w:rFonts w:hint="default"/>
          <w:b/>
          <w:color w:val="auto"/>
          <w:highlight w:val="none"/>
          <w:lang w:val="en-US" w:eastAsia="zh-CN"/>
        </w:rPr>
      </w:pPr>
      <w:r>
        <w:rPr>
          <w:rFonts w:hint="eastAsia"/>
          <w:b/>
          <w:color w:val="auto"/>
          <w:highlight w:val="none"/>
          <w:lang w:eastAsia="zh-CN"/>
        </w:rPr>
        <w:t xml:space="preserve">（</w:t>
      </w:r>
      <w:r>
        <w:rPr>
          <w:rFonts w:hint="eastAsia"/>
          <w:b/>
          <w:color w:val="auto"/>
          <w:highlight w:val="none"/>
          <w:lang w:val="en-US" w:eastAsia="zh-CN"/>
        </w:rPr>
        <w:t xml:space="preserve">一</w:t>
      </w:r>
      <w:r>
        <w:rPr>
          <w:rFonts w:hint="eastAsia"/>
          <w:b/>
          <w:color w:val="auto"/>
          <w:highlight w:val="none"/>
          <w:lang w:eastAsia="zh-CN"/>
        </w:rPr>
        <w:t xml:space="preserve">）</w:t>
      </w:r>
      <w:r>
        <w:rPr>
          <w:rFonts w:hint="eastAsia"/>
          <w:b/>
          <w:color w:val="auto"/>
          <w:highlight w:val="none"/>
          <w:lang w:val="en-US" w:eastAsia="zh-CN"/>
        </w:rPr>
        <w:t xml:space="preserve">采购清单</w:t>
      </w:r>
      <w:r/>
    </w:p>
    <w:tbl>
      <w:tblPr>
        <w:tblStyle w:val="88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22"/>
        <w:gridCol w:w="1799"/>
        <w:gridCol w:w="3331"/>
        <w:gridCol w:w="775"/>
        <w:gridCol w:w="605"/>
      </w:tblGrid>
      <w:tr>
        <w:trPr>
          <w:trHeight w:val="90"/>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776" w:type="pct"/>
            <w:vAlign w:val="center"/>
            <w:textDirection w:val="lrTb"/>
            <w:noWrap w:val="false"/>
          </w:tcPr>
          <w:p>
            <w:pPr>
              <w:pStyle w:val="872"/>
              <w:ind w:left="0" w:firstLine="0"/>
              <w:jc w:val="center"/>
              <w:keepLines w:val="0"/>
              <w:keepNext w:val="0"/>
              <w:pageBreakBefore w:val="0"/>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区域</w:t>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名称</w:t>
            </w:r>
            <w:r/>
          </w:p>
        </w:tc>
        <w:tc>
          <w:tcPr>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配置</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数量</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单位</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776" w:type="pct"/>
            <w:vAlign w:val="center"/>
            <w:vMerge w:val="restart"/>
            <w:textDirection w:val="lrTb"/>
            <w:noWrap w:val="false"/>
          </w:tcPr>
          <w:p>
            <w:pPr>
              <w:numPr>
                <w:ilvl w:val="0"/>
                <w:numId w:val="0"/>
              </w:num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区屏障</w:t>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IVC小鼠笼具（一拖二140笼）</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56" w:type="pct"/>
            <w:vAlign w:val="center"/>
            <w:textDirection w:val="lrTb"/>
            <w:noWrap w:val="false"/>
          </w:tcPr>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包含：</w:t>
            </w:r>
            <w:r/>
          </w:p>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主机（1个）                                   笼架（2个）：7列*10层*2架                                </w:t>
            </w:r>
            <w:r/>
          </w:p>
          <w:p>
            <w:pPr>
              <w:pStyle w:val="872"/>
              <w:ind w:left="0" w:firstLine="0"/>
              <w:jc w:val="both"/>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笼盒（140个）：PPSU材质，含水瓶、全网罩、标牌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776" w:type="pct"/>
            <w:vAlign w:val="center"/>
            <w:vMerge w:val="continue"/>
            <w:textDirection w:val="lrTb"/>
            <w:noWrap w:val="false"/>
          </w:tcPr>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IVC小鼠笼具（一拖一70笼）</w:t>
            </w:r>
            <w:r/>
          </w:p>
          <w:p>
            <w:pPr>
              <w:numPr>
                <w:ilvl w:val="0"/>
                <w:numId w:val="0"/>
              </w:num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56" w:type="pct"/>
            <w:vAlign w:val="center"/>
            <w:textDirection w:val="lrTb"/>
            <w:noWrap w:val="false"/>
          </w:tcPr>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包含：</w:t>
            </w:r>
            <w:r/>
          </w:p>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主机（1个）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笼架（1个）：7列*10层*1架                                 </w:t>
            </w:r>
            <w:r/>
          </w:p>
          <w:p>
            <w:pPr>
              <w:pStyle w:val="872"/>
              <w:ind w:left="0" w:firstLine="0"/>
              <w:jc w:val="both"/>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笼盒（70个）：PPSU材质，含水瓶、全网罩、标牌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IVC小鼠笼具（一拖一63笼）</w:t>
            </w:r>
            <w:r/>
          </w:p>
        </w:tc>
        <w:tc>
          <w:tcPr>
            <w:tcW w:w="1956" w:type="pct"/>
            <w:vAlign w:val="center"/>
            <w:textDirection w:val="lrTb"/>
            <w:noWrap w:val="false"/>
          </w:tcPr>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包含：</w:t>
            </w:r>
            <w:r/>
          </w:p>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主机（1个）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笼架（1个）：7列*9层*1架                                 </w:t>
            </w:r>
            <w:r/>
          </w:p>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笼盒（63个）：PPSU材质，含水瓶、全网罩、标牌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小鼠备用笼盒</w:t>
            </w:r>
            <w:r/>
          </w:p>
        </w:tc>
        <w:tc>
          <w:tcPr>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PPSU材质，含水瓶、全网罩、标牌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290</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IVC大鼠笼具（一拖二70笼）</w:t>
            </w:r>
            <w:r/>
          </w:p>
        </w:tc>
        <w:tc>
          <w:tcPr>
            <w:tcW w:w="1956" w:type="pct"/>
            <w:vAlign w:val="center"/>
            <w:textDirection w:val="lrTb"/>
            <w:noWrap w:val="false"/>
          </w:tcPr>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包含：</w:t>
            </w:r>
            <w:r/>
          </w:p>
          <w:p>
            <w:pPr>
              <w:numPr>
                <w:ilvl w:val="0"/>
                <w:numId w:val="0"/>
              </w:numPr>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主机（1个）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笼架（2个）：5列*7层*1架                                 </w:t>
            </w:r>
            <w:r/>
          </w:p>
          <w:p>
            <w:pPr>
              <w:numPr>
                <w:ilvl w:val="0"/>
                <w:numId w:val="0"/>
              </w:numPr>
              <w:jc w:val="left"/>
              <w:keepLines w:val="0"/>
              <w:keepNext w:val="0"/>
              <w:spacing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笼盒（70个）：PPSU材质，含双水瓶、全网罩、标牌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IVC大鼠笼具（一拖二56笼）</w:t>
            </w:r>
            <w:r/>
          </w:p>
        </w:tc>
        <w:tc>
          <w:tcPr>
            <w:tcW w:w="1956" w:type="pct"/>
            <w:vAlign w:val="center"/>
            <w:textDirection w:val="lrTb"/>
            <w:noWrap w:val="false"/>
          </w:tcPr>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包含：</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主机（1个）                                        </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笼架（2个）：4列*7层*1架                                 </w:t>
            </w:r>
            <w:r/>
          </w:p>
          <w:p>
            <w:pPr>
              <w:ind w:left="0" w:firstLine="0"/>
              <w:jc w:val="left"/>
              <w:keepLines w:val="0"/>
              <w:keepNext w:val="0"/>
              <w:spacing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笼盒（</w:t>
            </w:r>
            <w:r>
              <w:rPr>
                <w:rFonts w:hint="eastAsia" w:ascii="宋体" w:hAnsi="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lang w:val="en-US" w:eastAsia="zh-CN" w:bidi="ar"/>
              </w:rPr>
              <w:t xml:space="preserve">个）：PPSU材质，含双水瓶、全网罩、标牌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IVC大鼠笼具（一拖一35笼）</w:t>
            </w:r>
            <w:r/>
          </w:p>
        </w:tc>
        <w:tc>
          <w:tcPr>
            <w:tcW w:w="1956" w:type="pct"/>
            <w:vAlign w:val="center"/>
            <w:textDirection w:val="lrTb"/>
            <w:noWrap w:val="false"/>
          </w:tcPr>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包含：</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主机（1个）：                                              </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笼架（1个）：5列*7层*1架                                 </w:t>
            </w:r>
            <w:r/>
          </w:p>
          <w:p>
            <w:pPr>
              <w:ind w:left="0" w:firstLine="0"/>
              <w:jc w:val="left"/>
              <w:keepLines w:val="0"/>
              <w:keepNext w:val="0"/>
              <w:spacing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笼盒（35个）：PPSU材质，含双水瓶、全网罩、标牌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IVC豚鼠笼具（一拖一24笼）</w:t>
            </w:r>
            <w:r/>
          </w:p>
        </w:tc>
        <w:tc>
          <w:tcPr>
            <w:tcW w:w="1956" w:type="pct"/>
            <w:vAlign w:val="center"/>
            <w:textDirection w:val="lrTb"/>
            <w:noWrap w:val="false"/>
          </w:tcPr>
          <w:p>
            <w:pPr>
              <w:numPr>
                <w:ilvl w:val="0"/>
                <w:numId w:val="0"/>
              </w:numPr>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包含：</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主机（1个）                                                            笼架（</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个）：4列*6层*1架                                 </w:t>
            </w:r>
            <w:r/>
          </w:p>
          <w:p>
            <w:pPr>
              <w:ind w:left="0" w:firstLine="0"/>
              <w:jc w:val="left"/>
              <w:keepLines w:val="0"/>
              <w:keepNext w:val="0"/>
              <w:spacing w:line="36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笼盒（24个）：PPSU材质，含水瓶、全网罩、标牌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大鼠备用笼盒</w:t>
            </w:r>
            <w:r/>
          </w:p>
        </w:tc>
        <w:tc>
          <w:tcPr>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PPSU材质，含水瓶、全网罩、标牌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65</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rHeight w:val="90"/>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豚鼠备用笼盒</w:t>
            </w:r>
            <w:r/>
          </w:p>
        </w:tc>
        <w:tc>
          <w:tcPr>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i w:val="0"/>
                <w:iCs w:val="0"/>
                <w:color w:val="000000"/>
                <w:sz w:val="24"/>
                <w:szCs w:val="24"/>
                <w:highlight w:val="none"/>
                <w:u w:val="none"/>
                <w:lang w:val="en-US" w:eastAsia="zh-CN" w:bidi="ar"/>
              </w:rPr>
              <w:t xml:space="preserve">PPSU材质，含水瓶、全网罩、标牌</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25</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小鼠开放饲养笼架</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小鼠开放饲养笼架</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大鼠开放饲养笼架</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大鼠开放饲养笼架</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13</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豚鼠开放饲养笼架</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豚鼠开放饲养笼架</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rHeight w:val="313"/>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14</w:t>
            </w:r>
            <w:r/>
          </w:p>
        </w:tc>
        <w:tc>
          <w:tcPr>
            <w:tcW w:w="776" w:type="pct"/>
            <w:vAlign w:val="center"/>
            <w:vMerge w:val="restart"/>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普通区</w:t>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不锈钢犬笼</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不锈钢犬笼</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不锈钢大猪笼</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不锈钢大猪笼</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16</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不锈钢兔笼</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不锈钢兔笼</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17</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不锈钢豚鼠笼</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不锈钢豚鼠笼</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套</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18</w:t>
            </w:r>
            <w:r/>
          </w:p>
        </w:tc>
        <w:tc>
          <w:tcPr>
            <w:tcW w:w="776" w:type="pct"/>
            <w:vAlign w:val="center"/>
            <w:vMerge w:val="restart"/>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配套</w:t>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垫料倾倒收集系统</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垫料倾倒收集系统</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19</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负压解剖台</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负压解剖台</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20</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不锈钢笼盒转运车</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不锈钢笼盒转运车</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21</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小鼠转运车</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小鼠转运车</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22</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两层平台车</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两层平台车</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r>
      <w:tr>
        <w:trPr>
          <w:trHeight w:val="268"/>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23</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平板送物车</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平板送物车</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r>
      <w:tr>
        <w:trPr/>
        <w:tc>
          <w:tcPr>
            <w:tcW w:w="400"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24</w:t>
            </w:r>
            <w:r/>
          </w:p>
        </w:tc>
        <w:tc>
          <w:tcPr>
            <w:tcW w:w="776" w:type="pct"/>
            <w:vAlign w:val="center"/>
            <w:vMerge w:val="continue"/>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0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双层手推车</w:t>
            </w:r>
            <w:r/>
          </w:p>
        </w:tc>
        <w:tc>
          <w:tcPr>
            <w:shd w:val="clear" w:color="auto" w:fill="auto"/>
            <w:tcW w:w="1956"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rPr>
              <w:t xml:space="preserve">双层手推车</w:t>
            </w:r>
            <w:r/>
          </w:p>
        </w:tc>
        <w:tc>
          <w:tcPr>
            <w:tcW w:w="4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55" w:type="pct"/>
            <w:vAlign w:val="center"/>
            <w:textDirection w:val="lrTb"/>
            <w:noWrap w:val="false"/>
          </w:tcPr>
          <w:p>
            <w:pPr>
              <w:pStyle w:val="872"/>
              <w:ind w:left="0" w:firstLine="0"/>
              <w:jc w:val="center"/>
              <w:keepLines w:val="0"/>
              <w:keepNext w:val="0"/>
              <w:pageBreakBefore w:val="0"/>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r>
    </w:tbl>
    <w:p>
      <w:pPr>
        <w:numPr>
          <w:ilvl w:val="0"/>
          <w:numId w:val="0"/>
        </w:numPr>
        <w:ind w:right="-143"/>
        <w:rPr>
          <w:rFonts w:hint="eastAsia"/>
          <w:b/>
          <w:color w:val="auto"/>
          <w:highlight w:val="none"/>
          <w:lang w:val="en-US" w:eastAsia="zh-CN"/>
        </w:rPr>
      </w:pPr>
      <w:r>
        <w:rPr>
          <w:rFonts w:hint="eastAsia"/>
          <w:b/>
          <w:color w:val="auto"/>
          <w:highlight w:val="none"/>
          <w:lang w:val="en-US" w:eastAsia="zh-CN"/>
        </w:rPr>
        <w:t xml:space="preserve">（二）具体技术要求</w:t>
      </w:r>
      <w:r/>
    </w:p>
    <w:tbl>
      <w:tblPr>
        <w:tblStyle w:val="86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9"/>
        <w:gridCol w:w="7697"/>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 名</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color w:val="000000"/>
                <w:sz w:val="24"/>
                <w:szCs w:val="24"/>
                <w:highlight w:val="none"/>
                <w:lang w:bidi="ar"/>
              </w:rPr>
              <w:t xml:space="preserve">配置及技术参数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IVC主机</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一、IVC主机参数</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auto"/>
                <w:spacing w:val="-3"/>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1.1、主机尺寸≤650*450*1650mm；</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1.2、主机材质：采用304不锈钢材质，经久耐用；</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2"/>
                <w:szCs w:val="22"/>
                <w:highlight w:val="none"/>
                <w:u w:val="none"/>
                <w:lang w:val="en-US" w:eastAsia="zh-CN" w:bidi="ar"/>
              </w:rPr>
              <w:t xml:space="preserve">主机能耗参数：最大运行功率≤200W</w:t>
            </w:r>
            <w:r>
              <w:rPr>
                <w:rFonts w:hint="eastAsia" w:ascii="宋体" w:hAnsi="宋体" w:eastAsia="宋体" w:cs="宋体"/>
                <w:i w:val="0"/>
                <w:iCs w:val="0"/>
                <w:color w:val="000000"/>
                <w:sz w:val="24"/>
                <w:szCs w:val="24"/>
                <w:highlight w:val="none"/>
                <w:u w:val="none"/>
                <w:lang w:val="en-US" w:eastAsia="zh-CN" w:bidi="ar"/>
              </w:rPr>
              <w:t xml:space="preserve">；</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1.4、主机电源：220V/50HZ；</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1.5、主机噪声：≤50(dB)。</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1.6、主机脚轮：主体为不锈钢万向脚轮，其中 2 个带刹车装置；</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1.7、风机性能：采用不高于24V安全电压直流无刷风机，风机直径≥140mm，最大风量300立方/小时。</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1.8、主要部件：风速传感器：精度≦±2%；温度传感器：精度≦±1℃；湿度传感器：精度≦±3%；压力传感器：精度≦±2%。</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1.9、补风装置：为防止空调负压对系统影响，应具备三通补风装置；</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1.10、初效过滤：尺寸≥360*250mm，进风口面积≥900cm2，过滤器更换应快捷方便，方便操作维护；</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1.11、换气次数及压差：主机具备正、负压可转换功能；换气次数1-75次/小时可调；各笼盒内气压值偏差小于15%，；梯度压差(Pa)：-20～20（可调）；</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lang w:val="en-US" w:eastAsia="zh-CN" w:bidi="ar"/>
              </w:rPr>
              <w:t xml:space="preserve">笼内微环境：气流速度(m/s)：≤0.15；空气洁净度(级)：100级；菌落数(个/皿小时)≤0</w:t>
            </w:r>
            <w:r>
              <w:rPr>
                <w:rFonts w:hint="eastAsia" w:ascii="宋体" w:hAnsi="宋体" w:eastAsia="宋体" w:cs="宋体"/>
                <w:i w:val="0"/>
                <w:iCs w:val="0"/>
                <w:color w:val="000000"/>
                <w:sz w:val="24"/>
                <w:szCs w:val="24"/>
                <w:highlight w:val="none"/>
                <w:u w:val="none"/>
                <w:lang w:val="en-US" w:eastAsia="zh-CN" w:bidi="ar"/>
              </w:rPr>
              <w:t xml:space="preserve">；</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1.13、独立主机：一台主机可连接多达2个双面架或 4 个单面架，笼位≥300笼；</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1.14、主机系统：应采用PLC智能控制设计模块组；</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lang w:val="en-US" w:eastAsia="zh-CN" w:bidi="ar"/>
              </w:rPr>
              <w:t xml:space="preserve">主机显示屏：应采用彩色液晶触摸屏，尺寸≥10寸，主屏同时显示温度、湿度、笼盒总数、换气次数设定值、实际值、实时压差设定值、实际值</w:t>
            </w:r>
            <w:r>
              <w:rPr>
                <w:rFonts w:hint="eastAsia" w:ascii="宋体" w:hAnsi="宋体" w:eastAsia="宋体" w:cs="宋体"/>
                <w:i w:val="0"/>
                <w:iCs w:val="0"/>
                <w:color w:val="000000"/>
                <w:sz w:val="24"/>
                <w:szCs w:val="24"/>
                <w:highlight w:val="none"/>
                <w:u w:val="none"/>
                <w:lang w:val="en-US" w:eastAsia="zh-CN" w:bidi="ar"/>
              </w:rPr>
              <w:t xml:space="preserve">；</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2"/>
                <w:szCs w:val="22"/>
                <w:highlight w:val="none"/>
                <w:u w:val="none"/>
                <w:lang w:val="en-US" w:eastAsia="zh-CN" w:bidi="ar"/>
              </w:rPr>
              <w:t xml:space="preserve">报警提示：主机显示面板应设有报警提示，根据不同提示，报警灯条显示不同颜色</w:t>
            </w:r>
            <w:r>
              <w:rPr>
                <w:rFonts w:hint="eastAsia" w:ascii="宋体" w:hAnsi="宋体" w:eastAsia="宋体" w:cs="宋体"/>
                <w:i w:val="0"/>
                <w:iCs w:val="0"/>
                <w:color w:val="000000"/>
                <w:sz w:val="24"/>
                <w:szCs w:val="24"/>
                <w:highlight w:val="none"/>
                <w:u w:val="none"/>
                <w:lang w:val="en-US" w:eastAsia="zh-CN" w:bidi="ar"/>
              </w:rPr>
              <w:t xml:space="preserve">；</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1.17、运行模式：应具备昼夜运行两种模式，熄屏模式（夜间）和常亮（白天）模式，保障动物福利。</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1.18、报警检测：主屏实时单独显示温度异常、湿度异常、送风异常、压差异常、过滤器堵塞程度、风机异常、异常断电等，主屏界面应通过屏幕闪烁、声音预警、客户端消息推送等多重报警机制；</w:t>
            </w:r>
            <w:r/>
          </w:p>
          <w:p>
            <w:pPr>
              <w:pStyle w:val="872"/>
              <w:ind w:left="0" w:firstLine="0"/>
              <w:jc w:val="left"/>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i w:val="0"/>
                <w:iCs w:val="0"/>
                <w:color w:val="000000"/>
                <w:sz w:val="24"/>
                <w:szCs w:val="24"/>
                <w:highlight w:val="none"/>
                <w:u w:val="none"/>
                <w:lang w:val="en-US" w:eastAsia="zh-CN" w:bidi="ar"/>
              </w:rPr>
              <w:t xml:space="preserve">1.19、管理人员可远程查看设备的工作情况，内容包括换气次数、压差、温度、湿度等具体数值显示；</w:t>
            </w:r>
            <w:r/>
          </w:p>
        </w:tc>
      </w:tr>
      <w:tr>
        <w:trPr>
          <w:trHeight w:val="2012"/>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IVC小鼠笼具（一拖二140笼）</w:t>
            </w:r>
            <w:r/>
          </w:p>
        </w:tc>
        <w:tc>
          <w:tcPr>
            <w:shd w:val="clear" w:color="auto" w:fill="auto"/>
            <w:tcBorders>
              <w:top w:val="single" w:color="000000" w:sz="4" w:space="0"/>
              <w:left w:val="single" w:color="000000" w:sz="4" w:space="0"/>
              <w:right w:val="single" w:color="000000" w:sz="4" w:space="0"/>
            </w:tcBorders>
            <w:tcW w:w="4518" w:type="pct"/>
            <w:vAlign w:val="center"/>
            <w:vMerge w:val="restart"/>
            <w:textDirection w:val="lrTb"/>
            <w:noWrap w:val="false"/>
          </w:tcPr>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二、IVC小鼠笼架参数</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2.1、笼架尺寸及规格：单面笼架笼位数63笼位，尺寸：≤1540*500*1850mm（长*宽*高）；单面笼架笼位数70笼位，尺寸：≤1540*500*2000mm（长*宽*高）；</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2.2、材质：笼架主体材质采用 304不锈钢材质，不锈钢厚度≥1.5mm，表面光滑无毛刺，无需工具即可拆卸清洗；</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2.3、坐标标识：笼架的每个位置带坐标标识，方便记录笼盒位置；笼架的纵向位置带有坐标编号为1、2、3、4…阿拉伯数字，笼架横向位置带有坐标编号为A、B、C、D…英文大写字母，坐标为可拆卸移动标识方便根据不同需求移动，方便笼盒位置的准确记录；</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2.4、正确定位指示标：笼架每个笼盒的塑料导轨存在笼盒入位指示标。当笼盒推入位置后，指示标消失代表笼盒被正确安置；</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2.5、笼架移动与固定：4 轮结构便于移动，带 2 个刹车脚轮； </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
              </w:rPr>
              <w:t xml:space="preserve">导轨：笼架上的笼盒导轨须无螺钉固定在笼架上，导轨长度≤22cm</w:t>
            </w:r>
            <w:r>
              <w:rPr>
                <w:rFonts w:hint="eastAsia" w:ascii="宋体" w:hAnsi="宋体" w:eastAsia="宋体" w:cs="宋体"/>
                <w:i w:val="0"/>
                <w:iCs w:val="0"/>
                <w:color w:val="000000"/>
                <w:sz w:val="24"/>
                <w:szCs w:val="24"/>
                <w:highlight w:val="none"/>
                <w:u w:val="none"/>
                <w:lang w:val="en-US" w:eastAsia="zh-CN" w:bidi="ar"/>
              </w:rPr>
              <w:t xml:space="preserve">；</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三、IVC小鼠笼盒参数</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★3.1、尺寸规格：390mm×200mm×165mm（±2mm），笼底高度：≥13cm，底面积≥500cm²；符合《GB14925-2023  实验动物环境及设施》相关要求；</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3.2、笼盒材质： 笼盒采用优质全新PPSU聚亚苯基砜树脂材料；</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3.3、笼盖密封：笼盒采用侧密封结构，胶条安装于盒底侧边；</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3.4、饮水瓶：容积≥250ml，瓶盖材质为SUS316不锈钢电抛光处理，瓶体采用PPSU材质，</w:t>
            </w:r>
            <w:r>
              <w:rPr>
                <w:rFonts w:hint="eastAsia" w:ascii="宋体" w:hAnsi="宋体" w:eastAsia="宋体" w:cs="宋体"/>
                <w:i w:val="0"/>
                <w:iCs w:val="0"/>
                <w:color w:val="000000"/>
                <w:sz w:val="24"/>
                <w:szCs w:val="24"/>
                <w:highlight w:val="none"/>
                <w:u w:val="none"/>
                <w:lang w:val="en-US" w:eastAsia="zh-CN" w:bidi="ar"/>
              </w:rPr>
              <w:t xml:space="preserve">饮水管与笼盖插孔采用O型硅胶垫圈密封和挡板遮口，防止气体吸入或者外泄</w:t>
            </w:r>
            <w:r>
              <w:rPr>
                <w:rFonts w:hint="eastAsia" w:ascii="宋体" w:hAnsi="宋体" w:eastAsia="宋体" w:cs="宋体"/>
                <w:i w:val="0"/>
                <w:iCs w:val="0"/>
                <w:color w:val="000000"/>
                <w:sz w:val="24"/>
                <w:szCs w:val="24"/>
                <w:highlight w:val="none"/>
                <w:u w:val="none"/>
                <w:lang w:val="en-US" w:eastAsia="zh-CN" w:bidi="ar"/>
              </w:rPr>
              <w:t xml:space="preserve">；</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3.5、食槽：全网罩304不锈钢，边框钢丝直径≥3mm，网盖钢丝直径≥2mm，水料同侧，配套304不锈钢卡扣，可做开放笼食槽使用。</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lang w:val="en-US" w:eastAsia="zh-CN" w:bidi="ar"/>
              </w:rPr>
              <w:t xml:space="preserve">标签：可水平90度翻起的双标签设计，单个标签尺寸≥75*100mm</w:t>
            </w:r>
            <w:r>
              <w:rPr>
                <w:rFonts w:hint="eastAsia" w:ascii="宋体" w:hAnsi="宋体" w:eastAsia="宋体" w:cs="宋体"/>
                <w:i w:val="0"/>
                <w:iCs w:val="0"/>
                <w:color w:val="000000"/>
                <w:sz w:val="24"/>
                <w:szCs w:val="24"/>
                <w:highlight w:val="none"/>
                <w:u w:val="none"/>
                <w:lang w:val="en-US" w:eastAsia="zh-CN" w:bidi="ar"/>
              </w:rPr>
              <w:t xml:space="preserve">；</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3.7、生命窗：笼盒顶部设有≥2</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0cm²方形生命窗，压紧式密封结构，一体成型内嵌硅胶密封条，保持长期高压灭菌不脱落</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2"/>
                <w:szCs w:val="22"/>
                <w:highlight w:val="none"/>
                <w:u w:val="none"/>
                <w:lang w:val="en-US" w:eastAsia="zh-CN" w:bidi="ar"/>
              </w:rPr>
              <w:t xml:space="preserve">卡扣：卡扣方便操作，一体式结构设计，无需搭扣配件，不因配件损坏而废弃</w:t>
            </w:r>
            <w:r>
              <w:rPr>
                <w:rFonts w:hint="eastAsia" w:ascii="宋体" w:hAnsi="宋体" w:eastAsia="宋体" w:cs="宋体"/>
                <w:i w:val="0"/>
                <w:iCs w:val="0"/>
                <w:color w:val="000000"/>
                <w:sz w:val="24"/>
                <w:szCs w:val="24"/>
                <w:highlight w:val="none"/>
                <w:u w:val="none"/>
                <w:lang w:val="en-US" w:eastAsia="zh-CN" w:bidi="ar"/>
              </w:rPr>
              <w:t xml:space="preserve">；</w:t>
            </w:r>
            <w:r/>
          </w:p>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3.9、水瓶导入设计： 笼盖上水瓶置放槽为水滴状自动滑落水瓶凹槽设计；</w:t>
            </w:r>
            <w:r/>
          </w:p>
          <w:p>
            <w:pPr>
              <w:pStyle w:val="872"/>
              <w:ind w:left="0" w:firstLine="0"/>
              <w:jc w:val="left"/>
              <w:spacing w:line="360" w:lineRule="auto"/>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i w:val="0"/>
                <w:iCs w:val="0"/>
                <w:color w:val="000000"/>
                <w:sz w:val="24"/>
                <w:szCs w:val="24"/>
                <w:highlight w:val="none"/>
                <w:u w:val="none"/>
                <w:lang w:val="en-US" w:eastAsia="zh-CN" w:bidi="ar"/>
              </w:rPr>
              <w:t xml:space="preserve">换笼效率：笼盖可堆叠，可单独直立放置，大大</w:t>
            </w:r>
            <w:r>
              <w:rPr>
                <w:rFonts w:hint="eastAsia" w:ascii="宋体" w:hAnsi="宋体" w:cs="宋体"/>
                <w:i w:val="0"/>
                <w:iCs w:val="0"/>
                <w:color w:val="000000"/>
                <w:sz w:val="24"/>
                <w:szCs w:val="24"/>
                <w:highlight w:val="none"/>
                <w:u w:val="none"/>
                <w:lang w:val="en-US" w:eastAsia="zh-CN" w:bidi="ar"/>
              </w:rPr>
              <w:t xml:space="preserve">减少</w:t>
            </w:r>
            <w:r>
              <w:rPr>
                <w:rFonts w:hint="eastAsia" w:ascii="宋体" w:hAnsi="宋体" w:eastAsia="宋体" w:cs="宋体"/>
                <w:i w:val="0"/>
                <w:iCs w:val="0"/>
                <w:color w:val="000000"/>
                <w:sz w:val="24"/>
                <w:szCs w:val="24"/>
                <w:highlight w:val="none"/>
                <w:u w:val="none"/>
                <w:lang w:val="en-US" w:eastAsia="zh-CN" w:bidi="ar"/>
              </w:rPr>
              <w:t xml:space="preserve">换笼占用空间，方便实现双人同时换笼</w:t>
            </w:r>
            <w:r>
              <w:rPr>
                <w:rFonts w:hint="eastAsia" w:ascii="宋体" w:hAnsi="宋体" w:cs="宋体"/>
                <w:i w:val="0"/>
                <w:iCs w:val="0"/>
                <w:color w:val="000000"/>
                <w:sz w:val="24"/>
                <w:szCs w:val="24"/>
                <w:highlight w:val="none"/>
                <w:u w:val="none"/>
                <w:lang w:val="en-US" w:eastAsia="zh-CN" w:bidi="ar"/>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IVC小鼠笼具（一拖一70笼）</w:t>
            </w:r>
            <w:r/>
          </w:p>
        </w:tc>
        <w:tc>
          <w:tcPr>
            <w:shd w:val="clear" w:color="auto" w:fill="auto"/>
            <w:tcBorders>
              <w:left w:val="single" w:color="000000" w:sz="4" w:space="0"/>
              <w:right w:val="single" w:color="000000" w:sz="4" w:space="0"/>
            </w:tcBorders>
            <w:tcW w:w="4518" w:type="pct"/>
            <w:vAlign w:val="center"/>
            <w:vMerge w:val="continue"/>
            <w:textDirection w:val="lrTb"/>
            <w:noWrap w:val="false"/>
          </w:tcPr>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IVC小鼠笼具（一拖一63笼）</w:t>
            </w:r>
            <w:r/>
          </w:p>
        </w:tc>
        <w:tc>
          <w:tcPr>
            <w:shd w:val="clear" w:color="auto" w:fill="auto"/>
            <w:tcBorders>
              <w:left w:val="single" w:color="000000" w:sz="4" w:space="0"/>
              <w:bottom w:val="single" w:color="000000" w:sz="4" w:space="0"/>
              <w:right w:val="single" w:color="000000" w:sz="4" w:space="0"/>
            </w:tcBorders>
            <w:tcW w:w="4518" w:type="pct"/>
            <w:vAlign w:val="center"/>
            <w:vMerge w:val="continue"/>
            <w:textDirection w:val="lrTb"/>
            <w:noWrap w:val="false"/>
          </w:tcPr>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828"/>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小鼠备用笼盒</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pStyle w:val="872"/>
              <w:ind w:left="0" w:firstLine="0"/>
              <w:jc w:val="left"/>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一、小鼠备用笼盒参数</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★1.1、尺寸规格：390mm×200mm×165mm（±2mm），笼底高度：≥13cm，底面积≥500cm²；符合《GB14925-2023  实验动物环境及设施》相关要求；</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★1.2、笼盒材质： 笼盒采用优质全新PPSU聚亚苯基砜树脂材料；</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3、笼盖密封：笼盒采用侧密封结构，胶条安装于盒底侧边；</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1.4、饮水瓶：瓶盖材质为SUS316不锈钢电抛光处理，瓶体采用PPSU材质，饮水管与笼盖插孔采用O型硅胶垫圈密封和挡板遮口，防止气体吸入或者外泄；</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1.5、食槽：全网罩304不锈钢，边框钢丝直径≥3mm，网盖钢丝直径≥2mm，水料同侧，配套304不锈钢卡扣，可做开放笼食槽使用。</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1.6、标签：可水平</w:t>
            </w:r>
            <w:r>
              <w:rPr>
                <w:rFonts w:hint="eastAsia" w:ascii="宋体" w:hAnsi="宋体" w:eastAsia="宋体" w:cs="宋体"/>
                <w:spacing w:val="0"/>
                <w:sz w:val="24"/>
                <w:szCs w:val="24"/>
                <w:highlight w:val="none"/>
                <w:u w:val="none"/>
                <w:lang w:eastAsia="zh-CN" w:bidi="ar"/>
              </w:rPr>
              <w:t xml:space="preserve">90度</w:t>
            </w:r>
            <w:r>
              <w:rPr>
                <w:rFonts w:hint="eastAsia" w:ascii="宋体" w:hAnsi="宋体" w:eastAsia="宋体" w:cs="宋体"/>
                <w:i w:val="0"/>
                <w:iCs w:val="0"/>
                <w:color w:val="000000"/>
                <w:sz w:val="24"/>
                <w:szCs w:val="24"/>
                <w:highlight w:val="none"/>
                <w:u w:val="none"/>
                <w:lang w:val="en-US" w:eastAsia="zh-CN" w:bidi="ar"/>
              </w:rPr>
              <w:t xml:space="preserve">翻起的双标签设计，单个标签尺寸≥75*100mm；</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1.7、生命窗：笼盒顶部设有≥2</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0cm²生命窗，压紧式密封结构，一体成型内嵌硅胶密封条，保持长期高压灭菌不脱落</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1.8、卡扣：一体式结构设计，无需搭扣配件，不因配件损坏而废弃，实现降本增效；</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1.9、水瓶导入设计： 笼盖上水瓶置放槽为水滴状自动滑落水瓶凹槽设计；</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1.10、换笼效率：笼盖可单独直立放置，大大提升换笼占用空间，方便实现双人同时换笼；</w:t>
            </w:r>
            <w:r/>
          </w:p>
        </w:tc>
      </w:tr>
      <w:tr>
        <w:trPr>
          <w:trHeight w:val="1239"/>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IVC大鼠笼具（一拖二70笼）</w:t>
            </w:r>
            <w:r/>
          </w:p>
        </w:tc>
        <w:tc>
          <w:tcPr>
            <w:shd w:val="clear" w:color="auto" w:fill="auto"/>
            <w:tcBorders>
              <w:top w:val="single" w:color="000000" w:sz="4" w:space="0"/>
              <w:left w:val="single" w:color="000000" w:sz="4" w:space="0"/>
              <w:right w:val="single" w:color="000000" w:sz="4" w:space="0"/>
            </w:tcBorders>
            <w:tcW w:w="4518" w:type="pct"/>
            <w:vAlign w:val="center"/>
            <w:vMerge w:val="restart"/>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一、IVC大鼠笼架参数</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★1.1 尺寸及规格：35笼位笼位单面架：≤1850*550*2000mm，采用5列7层设计； 28笼位笼位单面架：≤1500*550*2000mm，采用4列7层设计；</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1.2、材质：笼架主体材质采用 304不锈钢材质，不锈钢厚度≥1.5mm，表面光滑无毛刺，无需工具即可拆卸清洗；</w:t>
            </w:r>
            <w:r/>
          </w:p>
          <w:p>
            <w:pPr>
              <w:ind w:left="0" w:firstLine="0"/>
              <w:rPr>
                <w:rFonts w:hint="eastAsia" w:ascii="宋体" w:hAnsi="宋体" w:eastAsia="宋体" w:cs="宋体"/>
                <w:i w:val="0"/>
                <w:iCs w:val="0"/>
                <w:color w:val="000000"/>
                <w:sz w:val="24"/>
                <w:szCs w:val="24"/>
                <w:highlight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1.3、坐标标识：笼架的每个位置带坐标标识，方便记录笼盒位置；笼架的纵向位置带有坐标编号为1、2、3、4…阿拉伯数字，笼架横向位置带有坐标编号为A、B、C、D…英文大写字母，坐标为可拆卸移动标识方便根据不同需求移动，，方便笼盒位置的准确记录</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1.4、正确定位指示标：笼架每个笼盒的塑料导轨存在笼盒入位指示标。当笼盒推入位置后，指示标消失代表笼盒被正确安置；</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1.5、笼架移动与固定：4 轮结构便于移动，带 2 个刹车脚轮； </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二、IVC大鼠笼盒参数</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★2.1、尺寸规格：400×340×210mm</w:t>
            </w:r>
            <w:r>
              <w:rPr>
                <w:rFonts w:hint="eastAsia" w:ascii="宋体" w:hAnsi="宋体" w:eastAsia="宋体" w:cs="宋体"/>
                <w:i w:val="0"/>
                <w:iCs w:val="0"/>
                <w:color w:val="000000"/>
                <w:sz w:val="24"/>
                <w:szCs w:val="24"/>
                <w:highlight w:val="none"/>
                <w:u w:val="none"/>
                <w:lang w:val="en-US" w:eastAsia="zh-CN" w:bidi="ar"/>
              </w:rPr>
              <w:t xml:space="preserve">（±5mm）</w:t>
            </w:r>
            <w:r>
              <w:rPr>
                <w:rFonts w:hint="eastAsia" w:ascii="宋体" w:hAnsi="宋体" w:eastAsia="宋体" w:cs="宋体"/>
                <w:i w:val="0"/>
                <w:iCs w:val="0"/>
                <w:color w:val="000000"/>
                <w:sz w:val="24"/>
                <w:szCs w:val="24"/>
                <w:highlight w:val="none"/>
                <w:lang w:val="en-US" w:eastAsia="zh-CN" w:bidi="ar"/>
              </w:rPr>
              <w:t xml:space="preserve">，笼底高度：≥18cm，底面积≥900cm²；符合《GB14925实验动物环境及设施》相关要求；</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★2.2、笼盒材质： 笼盒采用优质全新PPSU聚亚苯基砜树脂材料；</w:t>
            </w:r>
            <w:r/>
          </w:p>
          <w:p>
            <w:pPr>
              <w:numPr>
                <w:ilvl w:val="0"/>
                <w:numId w:val="0"/>
              </w:numPr>
              <w:ind w:left="0" w:firstLine="0"/>
              <w:jc w:val="both"/>
              <w:keepLines w:val="0"/>
              <w:keepNext w:val="0"/>
              <w:spacing w:line="360" w:lineRule="auto"/>
              <w:widowControl/>
              <w:rPr>
                <w:rFonts w:hint="eastAsia" w:ascii="宋体" w:hAnsi="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2.3、笼盖密封：笼盒采用侧密封或者上盖密封方式</w:t>
            </w:r>
            <w:r>
              <w:rPr>
                <w:rFonts w:hint="eastAsia" w:ascii="宋体" w:hAnsi="宋体" w:cs="宋体"/>
                <w:i w:val="0"/>
                <w:iCs w:val="0"/>
                <w:color w:val="000000"/>
                <w:sz w:val="24"/>
                <w:szCs w:val="24"/>
                <w:highlight w:val="none"/>
                <w:lang w:val="en-US" w:eastAsia="zh-CN" w:bidi="ar"/>
              </w:rPr>
              <w:t xml:space="preserve">;</w:t>
            </w:r>
            <w:r/>
          </w:p>
          <w:p>
            <w:pPr>
              <w:numPr>
                <w:ilvl w:val="0"/>
                <w:numId w:val="0"/>
              </w:numPr>
              <w:ind w:left="0" w:firstLine="0"/>
              <w:jc w:val="both"/>
              <w:keepLines w:val="0"/>
              <w:keepNext w:val="0"/>
              <w:spacing w:line="360" w:lineRule="auto"/>
              <w:widowControl/>
              <w:rPr>
                <w:rFonts w:hint="eastAsia" w:ascii="宋体" w:hAnsi="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2.4、饮水瓶：</w:t>
            </w:r>
            <w:r>
              <w:rPr>
                <w:rFonts w:hint="eastAsia" w:ascii="宋体" w:hAnsi="宋体" w:eastAsia="宋体" w:cs="宋体"/>
                <w:i w:val="0"/>
                <w:iCs w:val="0"/>
                <w:color w:val="000000"/>
                <w:sz w:val="24"/>
                <w:szCs w:val="24"/>
                <w:highlight w:val="none"/>
                <w:lang w:val="en-US" w:eastAsia="zh-CN" w:bidi="ar"/>
              </w:rPr>
              <w:t xml:space="preserve">笼盖上外置式双瓶饮水瓶设计，容积≥2</w:t>
            </w:r>
            <w:r>
              <w:rPr>
                <w:rFonts w:hint="eastAsia" w:ascii="宋体" w:hAnsi="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lang w:val="en-US" w:eastAsia="zh-CN" w:bidi="ar"/>
              </w:rPr>
              <w:t xml:space="preserve">0ml，</w:t>
            </w:r>
            <w:r>
              <w:rPr>
                <w:rFonts w:hint="eastAsia" w:ascii="宋体" w:hAnsi="宋体" w:eastAsia="宋体" w:cs="宋体"/>
                <w:i w:val="0"/>
                <w:iCs w:val="0"/>
                <w:color w:val="000000"/>
                <w:sz w:val="24"/>
                <w:szCs w:val="24"/>
                <w:highlight w:val="none"/>
                <w:u w:val="none"/>
                <w:lang w:val="en-US" w:eastAsia="zh-CN" w:bidi="ar"/>
              </w:rPr>
              <w:t xml:space="preserve">瓶盖材质为SUS316不锈钢电抛光处理，瓶体采用PPSU材质，饮水管与笼盖插孔采用O型硅胶垫圈密封和挡板遮口，防止气体吸入或者外泄</w:t>
            </w:r>
            <w:r>
              <w:rPr>
                <w:rFonts w:hint="eastAsia" w:ascii="宋体" w:hAnsi="宋体" w:cs="宋体"/>
                <w:i w:val="0"/>
                <w:iCs w:val="0"/>
                <w:color w:val="000000"/>
                <w:sz w:val="24"/>
                <w:szCs w:val="24"/>
                <w:highlight w:val="none"/>
                <w:lang w:val="en-US" w:eastAsia="zh-CN" w:bidi="ar"/>
              </w:rPr>
              <w:t xml:space="preserve">;</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2.5、食槽：全网罩304不锈钢，边框钢丝直径≥3mm，网盖钢丝直径≥2mm，水料同侧，配套304不锈钢卡扣，可做开放笼食槽使用。</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2.6、标签：可水平</w:t>
            </w:r>
            <w:r>
              <w:rPr>
                <w:rFonts w:hint="eastAsia" w:ascii="宋体" w:hAnsi="宋体" w:eastAsia="宋体" w:cs="宋体"/>
                <w:spacing w:val="0"/>
                <w:sz w:val="24"/>
                <w:szCs w:val="24"/>
                <w:highlight w:val="none"/>
                <w:lang w:eastAsia="zh-CN" w:bidi="ar"/>
              </w:rPr>
              <w:t xml:space="preserve">90度</w:t>
            </w:r>
            <w:r>
              <w:rPr>
                <w:rFonts w:hint="eastAsia" w:ascii="宋体" w:hAnsi="宋体" w:eastAsia="宋体" w:cs="宋体"/>
                <w:i w:val="0"/>
                <w:iCs w:val="0"/>
                <w:color w:val="000000"/>
                <w:sz w:val="24"/>
                <w:szCs w:val="24"/>
                <w:highlight w:val="none"/>
                <w:lang w:val="en-US" w:eastAsia="zh-CN" w:bidi="ar"/>
              </w:rPr>
              <w:t xml:space="preserve">翻起的双标签设计，单个标签尺寸≥75*100mm；</w:t>
            </w:r>
            <w:r/>
          </w:p>
          <w:p>
            <w:pPr>
              <w:numPr>
                <w:ilvl w:val="0"/>
                <w:numId w:val="0"/>
              </w:num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2.7、生命窗：笼盒顶部设有≥2</w:t>
            </w:r>
            <w:r>
              <w:rPr>
                <w:rFonts w:hint="eastAsia" w:ascii="宋体" w:hAnsi="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lang w:val="en-US" w:eastAsia="zh-CN" w:bidi="ar"/>
              </w:rPr>
              <w:t xml:space="preserve">0cm²方形生命窗</w:t>
            </w:r>
            <w:r>
              <w:rPr>
                <w:rFonts w:hint="eastAsia" w:ascii="宋体" w:hAnsi="宋体" w:eastAsia="宋体" w:cs="宋体"/>
                <w:i w:val="0"/>
                <w:iCs w:val="0"/>
                <w:color w:val="000000"/>
                <w:sz w:val="24"/>
                <w:szCs w:val="24"/>
                <w:highlight w:val="none"/>
                <w:u w:val="none"/>
                <w:lang w:val="en-US" w:eastAsia="zh-CN" w:bidi="ar"/>
              </w:rPr>
              <w:t xml:space="preserve">，压紧式密封结构，一体成型内嵌硅胶密封条，保持长期高压灭菌不脱落</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2.8、卡扣：PPSU材质搭扣结构，操作更方便，减少故障率，延长使用寿命。搭扣安装在笼底上；</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IVC大鼠笼具（一拖二56笼）</w:t>
            </w:r>
            <w:r/>
          </w:p>
        </w:tc>
        <w:tc>
          <w:tcPr>
            <w:shd w:val="clear" w:color="auto" w:fill="auto"/>
            <w:tcBorders>
              <w:left w:val="single" w:color="000000" w:sz="4" w:space="0"/>
              <w:right w:val="single" w:color="000000" w:sz="4" w:space="0"/>
            </w:tcBorders>
            <w:tcW w:w="4518" w:type="pct"/>
            <w:vAlign w:val="center"/>
            <w:vMerge w:val="continue"/>
            <w:textDirection w:val="lrTb"/>
            <w:noWrap w:val="false"/>
          </w:tcPr>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857"/>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IVC大鼠笼具（一拖一35笼）</w:t>
            </w:r>
            <w:r/>
          </w:p>
        </w:tc>
        <w:tc>
          <w:tcPr>
            <w:shd w:val="clear" w:color="auto" w:fill="auto"/>
            <w:tcBorders>
              <w:left w:val="single" w:color="000000" w:sz="4" w:space="0"/>
              <w:bottom w:val="single" w:color="000000" w:sz="4" w:space="0"/>
              <w:right w:val="single" w:color="000000" w:sz="4" w:space="0"/>
            </w:tcBorders>
            <w:tcW w:w="4518" w:type="pct"/>
            <w:vAlign w:val="center"/>
            <w:vMerge w:val="continue"/>
            <w:textDirection w:val="lrTb"/>
            <w:noWrap w:val="false"/>
          </w:tcPr>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IVC豚鼠笼具（一拖一24笼）</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一、IVC豚鼠笼架参数</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1.1 尺寸及规格：：24笼位单面架：≤1340*600*2000mm，采用4列6层设计；</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1.2、材质：笼架主体材质采用 304不锈钢材质，不锈钢厚度≥1.5mm，表面光滑无毛刺，无需工具即可拆卸清洗；</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坐标标识：笼架的每个位置带坐标标识，方便记录笼盒位置；笼架的纵向位置带有坐标编号为1、2、3、4…阿拉伯数字，笼架横向位置带有坐标编号为A、B、C、D…英文大写字母，坐标为可拆卸移动标识方便根据不同需求移动，，方便笼盒位置的准确记录</w:t>
            </w:r>
            <w:r>
              <w:rPr>
                <w:rFonts w:hint="eastAsia" w:ascii="宋体" w:hAnsi="宋体" w:eastAsia="宋体" w:cs="宋体"/>
                <w:i w:val="0"/>
                <w:iCs w:val="0"/>
                <w:color w:val="000000"/>
                <w:sz w:val="24"/>
                <w:szCs w:val="24"/>
                <w:highlight w:val="none"/>
                <w:lang w:val="en-US" w:eastAsia="zh-CN" w:bidi="ar"/>
              </w:rPr>
              <w:t xml:space="preserve">；</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1.4、正确定位指示标：笼架每个笼盒的塑料导轨存在笼盒入位指示标。当笼盒推入位置后，指示标消失代表笼盒被正确安置；</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1.5、笼架移动与固定：4 轮结构便于移动，带 2 个刹车脚轮； </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二、IVC豚鼠笼盒参数</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★2.1、尺寸规格：480*310*250mm</w:t>
            </w:r>
            <w:r>
              <w:rPr>
                <w:rFonts w:hint="eastAsia" w:ascii="宋体" w:hAnsi="宋体" w:eastAsia="宋体" w:cs="宋体"/>
                <w:i w:val="0"/>
                <w:iCs w:val="0"/>
                <w:color w:val="000000"/>
                <w:sz w:val="24"/>
                <w:szCs w:val="24"/>
                <w:highlight w:val="none"/>
                <w:u w:val="none"/>
                <w:lang w:val="en-US" w:eastAsia="zh-CN" w:bidi="ar"/>
              </w:rPr>
              <w:t xml:space="preserve">（±5mm）</w:t>
            </w:r>
            <w:r>
              <w:rPr>
                <w:rFonts w:hint="eastAsia" w:ascii="宋体" w:hAnsi="宋体" w:eastAsia="宋体" w:cs="宋体"/>
                <w:i w:val="0"/>
                <w:iCs w:val="0"/>
                <w:color w:val="000000"/>
                <w:sz w:val="24"/>
                <w:szCs w:val="24"/>
                <w:highlight w:val="none"/>
                <w:lang w:val="en-US" w:eastAsia="zh-CN" w:bidi="ar"/>
              </w:rPr>
              <w:t xml:space="preserve">，笼底高度：≥20cm，底面积≥1000cm²；符合《GB14925-2023  实验动物环境及设施》相关要求；</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★2.2、笼盒材质： 笼盒采用优质全新PPSU聚亚苯基砜树脂材料；</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2.3、密封方式：笼盖上镶嵌上中下三侧医用硅胶圈密封；</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2.4、饮水瓶：笼盖上外置式单饮水瓶设计，容积≥500ml，瓶盖材质为SUS316不锈钢电抛光处理，瓶体采用PPSU材质，</w:t>
            </w:r>
            <w:r>
              <w:rPr>
                <w:rFonts w:hint="eastAsia" w:ascii="宋体" w:hAnsi="宋体" w:eastAsia="宋体" w:cs="宋体"/>
                <w:i w:val="0"/>
                <w:iCs w:val="0"/>
                <w:color w:val="000000"/>
                <w:sz w:val="24"/>
                <w:szCs w:val="24"/>
                <w:highlight w:val="none"/>
                <w:lang w:val="en-US" w:eastAsia="zh-CN" w:bidi="ar"/>
              </w:rPr>
              <w:t xml:space="preserve">饮水管与笼盖插孔采用O型硅胶垫圈密封和挡板遮口，防止气体吸入或者外泄</w:t>
            </w:r>
            <w:r>
              <w:rPr>
                <w:rFonts w:hint="eastAsia" w:ascii="宋体" w:hAnsi="宋体" w:eastAsia="宋体" w:cs="宋体"/>
                <w:i w:val="0"/>
                <w:iCs w:val="0"/>
                <w:color w:val="000000"/>
                <w:sz w:val="24"/>
                <w:szCs w:val="24"/>
                <w:highlight w:val="none"/>
                <w:lang w:val="en-US" w:eastAsia="zh-CN" w:bidi="ar"/>
              </w:rPr>
              <w:t xml:space="preserve">；</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2.5、食槽：全网罩304不锈钢材质，边框钢丝直径≥3mm，网盖钢丝直径≥2mm，方便检查食槽内的食量，水料同侧，无需取出笼盒，即可检查食物、饮水瓶余量等情况；</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2.6、标签：大标签设计，方便对复杂动物实验情况进行详细记录；</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2.7、生命窗：笼盖设有圆型气窗口直径≥150mm；</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2.8、卡扣：尼龙PA材质搭扣结构，搭扣和盒盖的分离式设计，不因配件损坏而需整体废弃；</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大鼠备用笼盒</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一、大鼠备用笼盒</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★1.1、尺寸规格：400×340×210mm（±5mm），笼底高度：≥18cm，底面积≥900cm²；符合《GB14925实验动物环境及设施》相关要求；</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★1.2、笼盒材质： 笼盒采用优质全新PPSU聚亚苯基砜树脂材料；</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1.3、笼盖密封：笼盒采用侧密封结构，胶条安装于盒底侧边；</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饮水瓶：</w:t>
            </w:r>
            <w:r>
              <w:rPr>
                <w:rFonts w:hint="eastAsia" w:ascii="宋体" w:hAnsi="宋体" w:eastAsia="宋体" w:cs="宋体"/>
                <w:i w:val="0"/>
                <w:iCs w:val="0"/>
                <w:color w:val="000000"/>
                <w:sz w:val="24"/>
                <w:szCs w:val="24"/>
                <w:highlight w:val="none"/>
                <w:lang w:val="en-US" w:eastAsia="zh-CN" w:bidi="ar"/>
              </w:rPr>
              <w:t xml:space="preserve">笼盖上外置式双瓶饮水瓶设计，容积≥2</w:t>
            </w:r>
            <w:r>
              <w:rPr>
                <w:rFonts w:hint="eastAsia" w:ascii="宋体" w:hAnsi="宋体" w:cs="宋体"/>
                <w:i w:val="0"/>
                <w:iCs w:val="0"/>
                <w:color w:val="000000"/>
                <w:sz w:val="24"/>
                <w:szCs w:val="24"/>
                <w:highlight w:val="none"/>
                <w:lang w:val="en-US" w:eastAsia="zh-CN" w:bidi="ar"/>
              </w:rPr>
              <w:t xml:space="preserve">5</w:t>
            </w:r>
            <w:r>
              <w:rPr>
                <w:rFonts w:hint="eastAsia" w:ascii="宋体" w:hAnsi="宋体" w:eastAsia="宋体" w:cs="宋体"/>
                <w:i w:val="0"/>
                <w:iCs w:val="0"/>
                <w:color w:val="000000"/>
                <w:sz w:val="24"/>
                <w:szCs w:val="24"/>
                <w:highlight w:val="none"/>
                <w:lang w:val="en-US" w:eastAsia="zh-CN" w:bidi="ar"/>
              </w:rPr>
              <w:t xml:space="preserve">0ml，</w:t>
            </w:r>
            <w:r>
              <w:rPr>
                <w:rFonts w:hint="eastAsia" w:ascii="宋体" w:hAnsi="宋体" w:eastAsia="宋体" w:cs="宋体"/>
                <w:i w:val="0"/>
                <w:iCs w:val="0"/>
                <w:color w:val="000000"/>
                <w:sz w:val="24"/>
                <w:szCs w:val="24"/>
                <w:highlight w:val="none"/>
                <w:u w:val="none"/>
                <w:lang w:val="en-US" w:eastAsia="zh-CN" w:bidi="ar"/>
              </w:rPr>
              <w:t xml:space="preserve">瓶盖材质为SUS316不锈钢电抛光处理，瓶体采用PPSU材质，饮水管与笼盖插孔采用O型硅胶垫圈密封和挡板遮口，防止气体吸入或者外泄</w:t>
            </w:r>
            <w:r>
              <w:rPr>
                <w:rFonts w:hint="eastAsia" w:ascii="宋体" w:hAnsi="宋体" w:eastAsia="宋体" w:cs="宋体"/>
                <w:i w:val="0"/>
                <w:iCs w:val="0"/>
                <w:color w:val="000000"/>
                <w:sz w:val="24"/>
                <w:szCs w:val="24"/>
                <w:highlight w:val="none"/>
                <w:u w:val="none"/>
                <w:lang w:val="en-US" w:eastAsia="zh-CN" w:bidi="ar"/>
              </w:rPr>
              <w:t xml:space="preserve">；</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1.5、食槽：全网罩304不锈钢，边框钢丝直径≥3mm，网盖钢丝直径≥2mm，水料同侧，配套304不锈钢卡扣，可做开放笼食槽使用。</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1.6、标签：可水平</w:t>
            </w:r>
            <w:r>
              <w:rPr>
                <w:rFonts w:hint="eastAsia" w:ascii="宋体" w:hAnsi="宋体" w:eastAsia="宋体" w:cs="宋体"/>
                <w:spacing w:val="0"/>
                <w:sz w:val="24"/>
                <w:szCs w:val="24"/>
                <w:highlight w:val="none"/>
                <w:lang w:eastAsia="zh-CN" w:bidi="ar"/>
              </w:rPr>
              <w:t xml:space="preserve">90度</w:t>
            </w:r>
            <w:r>
              <w:rPr>
                <w:rFonts w:hint="eastAsia" w:ascii="宋体" w:hAnsi="宋体" w:eastAsia="宋体" w:cs="宋体"/>
                <w:i w:val="0"/>
                <w:iCs w:val="0"/>
                <w:color w:val="000000"/>
                <w:sz w:val="24"/>
                <w:szCs w:val="24"/>
                <w:highlight w:val="none"/>
                <w:u w:val="none"/>
                <w:lang w:val="en-US" w:eastAsia="zh-CN" w:bidi="ar"/>
              </w:rPr>
              <w:t xml:space="preserve">翻起的双标签设计，单个标签尺寸≥75*100mm；</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1.7、生命窗：笼盒顶部设有≥2</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0cm²生命窗，压紧式密封结构，一体成型内嵌硅胶密封条，保持长期高压灭菌不脱落</w:t>
            </w:r>
            <w:r/>
          </w:p>
          <w:p>
            <w:pPr>
              <w:ind w:left="0" w:firstLine="0"/>
              <w:jc w:val="both"/>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1.8、卡扣：PPSU材质搭扣结构，操作更方便，减少故障率，延长使用寿命。搭扣安装在笼底上；</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豚鼠备用笼盒</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一、豚鼠备用笼盒</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★1.1、尺寸规格：480*310*250mm（±5mm），笼底高度：≥20cm，底面积≥1000cm²；符合《GB14925-2023  实验动物环境及设施》相关要求；</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★1.2、笼盒材质： 笼盒采用优质全新PPSU聚亚苯基砜树脂材料；</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1.3、密封方式：笼盖上镶嵌上中下三侧医用硅胶圈密封；</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1.4、饮水瓶：</w:t>
            </w:r>
            <w:r>
              <w:rPr>
                <w:rFonts w:hint="eastAsia" w:ascii="宋体" w:hAnsi="宋体" w:eastAsia="宋体" w:cs="宋体"/>
                <w:i w:val="0"/>
                <w:iCs w:val="0"/>
                <w:color w:val="000000"/>
                <w:sz w:val="24"/>
                <w:szCs w:val="24"/>
                <w:highlight w:val="none"/>
                <w:lang w:val="en-US" w:eastAsia="zh-CN" w:bidi="ar"/>
              </w:rPr>
              <w:t xml:space="preserve">笼盖上外置式单饮水瓶设计，容积≥500ml，瓶盖材质为SUS316不锈钢电抛光处理，瓶体采用PPSU材质，</w:t>
            </w:r>
            <w:r>
              <w:rPr>
                <w:rFonts w:hint="eastAsia" w:ascii="宋体" w:hAnsi="宋体" w:eastAsia="宋体" w:cs="宋体"/>
                <w:i w:val="0"/>
                <w:iCs w:val="0"/>
                <w:color w:val="000000"/>
                <w:sz w:val="24"/>
                <w:szCs w:val="24"/>
                <w:highlight w:val="none"/>
                <w:lang w:val="en-US" w:eastAsia="zh-CN" w:bidi="ar"/>
              </w:rPr>
              <w:t xml:space="preserve">饮水管与笼盖插孔采用O型硅胶垫圈密封和挡板遮口，防止气体吸入或者外泄</w:t>
            </w:r>
            <w:r>
              <w:rPr>
                <w:rFonts w:hint="eastAsia" w:ascii="宋体" w:hAnsi="宋体" w:eastAsia="宋体" w:cs="宋体"/>
                <w:i w:val="0"/>
                <w:iCs w:val="0"/>
                <w:color w:val="000000"/>
                <w:sz w:val="24"/>
                <w:szCs w:val="24"/>
                <w:highlight w:val="none"/>
                <w:lang w:val="en-US" w:eastAsia="zh-CN" w:bidi="ar"/>
              </w:rPr>
              <w:t xml:space="preserve">；</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1.5、食槽：全网罩304不锈钢材质，边框钢丝直径≥3mm，网盖钢丝直径≥2mm，方便检查食槽内的食量，水料同侧，无需取出笼盒，即可检查食物、饮水瓶余量等情况；</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1.6、标签：大标签设计，方便对复杂动物实验情况进行详细记录；</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1.7、生命窗：笼盖圆型气窗口直径≥150mm；</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1.8、卡扣：尼龙PA材质搭扣结构，搭扣和盒盖的分离式设计，不因配件损坏而需整体废弃；</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小鼠开放饲养笼架</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1.1.规格：可放置的PPSU小鼠笼盒(</w:t>
            </w:r>
            <w:r>
              <w:rPr>
                <w:rFonts w:hint="eastAsia" w:ascii="宋体" w:hAnsi="宋体" w:eastAsia="宋体" w:cs="宋体"/>
                <w:i w:val="0"/>
                <w:iCs w:val="0"/>
                <w:color w:val="000000"/>
                <w:sz w:val="24"/>
                <w:szCs w:val="24"/>
                <w:highlight w:val="none"/>
                <w:u w:val="none"/>
                <w:lang w:val="en-US" w:eastAsia="zh-CN" w:bidi="ar"/>
              </w:rPr>
              <w:t xml:space="preserve">尺寸≥375*190*130mm)</w:t>
            </w:r>
            <w:r>
              <w:rPr>
                <w:rFonts w:hint="eastAsia" w:ascii="宋体" w:hAnsi="宋体" w:eastAsia="宋体" w:cs="宋体"/>
                <w:i w:val="0"/>
                <w:iCs w:val="0"/>
                <w:color w:val="000000"/>
                <w:sz w:val="24"/>
                <w:szCs w:val="24"/>
                <w:highlight w:val="none"/>
                <w:u w:val="none"/>
                <w:lang w:val="en-US" w:eastAsia="zh-CN" w:bidi="ar"/>
              </w:rPr>
              <w:t xml:space="preserve">的笼位≥64个</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1.2.笼架采用SUS304不锈钢材质，带脚轮，其中前面带刹车。</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1.3.笼架尺寸：≤1750*400*2000mm（L×W×H）。</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1.4.台面拉丝哑光，焊缝做打磨、封头和无锐角处理，避免刮伤或卫生死角。</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大鼠开放饲养笼架</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 规格：可放置的PPSU大鼠笼盒(</w:t>
            </w:r>
            <w:r>
              <w:rPr>
                <w:rFonts w:hint="eastAsia" w:ascii="宋体" w:hAnsi="宋体" w:eastAsia="宋体" w:cs="宋体"/>
                <w:i w:val="0"/>
                <w:iCs w:val="0"/>
                <w:color w:val="000000"/>
                <w:sz w:val="24"/>
                <w:szCs w:val="24"/>
                <w:highlight w:val="none"/>
                <w:u w:val="none"/>
                <w:lang w:val="en-US" w:eastAsia="zh-CN" w:bidi="ar"/>
              </w:rPr>
              <w:t xml:space="preserve">尺寸≥370*335*184mm</w:t>
            </w:r>
            <w:r>
              <w:rPr>
                <w:rFonts w:hint="eastAsia" w:ascii="宋体" w:hAnsi="宋体" w:eastAsia="宋体" w:cs="宋体"/>
                <w:i w:val="0"/>
                <w:iCs w:val="0"/>
                <w:color w:val="000000"/>
                <w:sz w:val="24"/>
                <w:szCs w:val="24"/>
                <w:highlight w:val="none"/>
                <w:u w:val="none"/>
                <w:lang w:val="en-US" w:eastAsia="zh-CN" w:bidi="ar"/>
              </w:rPr>
              <w:t xml:space="preserve">)的笼位≥35个。</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1.2.笼架采用SUS304不锈钢材质，带脚轮，其中前面带刹车。</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1.3.笼架尺寸：≤1850*450*2000mm（L×W×H）。</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1.4.台面拉丝哑光，焊缝做打磨、封头和无锐角处理，避免刮伤或卫生死角。</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豚鼠开放饲养笼架</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1.1规格：可放置的PPSU豚鼠笼盒（尺寸≥</w:t>
            </w:r>
            <w:r>
              <w:rPr>
                <w:rFonts w:hint="eastAsia" w:ascii="宋体" w:hAnsi="宋体" w:eastAsia="宋体" w:cs="宋体"/>
                <w:i w:val="0"/>
                <w:iCs w:val="0"/>
                <w:color w:val="000000"/>
                <w:sz w:val="24"/>
                <w:szCs w:val="24"/>
                <w:highlight w:val="none"/>
                <w:u w:val="none"/>
                <w:lang w:val="en-US" w:eastAsia="zh-CN" w:bidi="ar"/>
              </w:rPr>
              <w:t xml:space="preserve">465×303×200mm</w:t>
            </w:r>
            <w:r>
              <w:rPr>
                <w:rFonts w:hint="eastAsia" w:ascii="宋体" w:hAnsi="宋体" w:eastAsia="宋体" w:cs="宋体"/>
                <w:i w:val="0"/>
                <w:iCs w:val="0"/>
                <w:color w:val="000000"/>
                <w:sz w:val="24"/>
                <w:szCs w:val="24"/>
                <w:highlight w:val="none"/>
                <w:u w:val="none"/>
                <w:lang w:val="en-US" w:eastAsia="zh-CN" w:bidi="ar"/>
              </w:rPr>
              <w:t xml:space="preserve">）的笼位≥30个。</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1.2笼架采用SUS304不锈钢材质，带脚轮，其中前面带刹车。</w:t>
            </w:r>
            <w:r/>
          </w:p>
          <w:p>
            <w:pPr>
              <w:ind w:left="0" w:firstLine="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1.3笼架尺寸：≤1850*500*2000mm（L×W×H）</w:t>
            </w:r>
            <w:r>
              <w:rPr>
                <w:rFonts w:hint="eastAsia" w:ascii="宋体" w:hAnsi="宋体" w:eastAsia="宋体" w:cs="宋体"/>
                <w:sz w:val="24"/>
                <w:szCs w:val="24"/>
                <w:highlight w:val="none"/>
                <w:lang w:val="en-US" w:eastAsia="zh-CN"/>
              </w:rPr>
              <w:t xml:space="preserve">。</w:t>
            </w:r>
            <w:r/>
          </w:p>
          <w:p>
            <w:p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1.4.台面拉丝哑光，焊缝做打磨、封头和无锐角处理，避免刮伤或卫生死角。</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不锈钢犬笼</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1.规格尺寸≥900*1000*2000mm（宽*深*高），结构为上下两层两个饲养单元，高度为含脚轮的总高度；</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2.材质：均为不锈钢304材质，光洁无毛刺；</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3.框架≥30*30*1.5mm（长*宽*厚）不锈钢方管；</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4.笼门可完全打开，重力锁设计，门锁操作灵活，安全可靠。表面光洁无毛刺；狗笼大门与其余网片均采用电解抛光处理；</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5.侧面：左右两侧有侧拉门，上半部分为≥Φ4mm钢丝网片，；</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6.正面笼门：为栅栏式设计，竖丝为≥Φ10mm圆钢，间距为6cm，围边用≥Φ12mm圆钢。栅栏中间需有一根≥Φ8mm不锈钢圆钢横杆；</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7.正门上带记录卡座牌，透明PC材质，一体成型，固定底板可防止动物从口扣拽卡片；</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8.粪盘：一体式水冲洗托盘设计，结构美观，可有效杜绝冲洗过程中污水的溅出；</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9.正门内侧设有2只不锈钢食盆框和食盆，即为食盆和水盆。</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10.顶网：采用≥Φ4mm圆钢，网格间距5cm；</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11.底板：竖径为≥Φ25*13mm的不锈钢扁管，间距为2cm；</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12.配备4个3寸不锈钢万向脚轮，不刮花地面；其中前部两个脚轮带刹车；</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不锈钢大猪笼</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1.大猪笼尺寸≤1300*1500*1500mm（宽*深*高）；</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2.猪笼边框采用≥30*30*2.0mm的304不锈钢方管,侧门和正门为≥Φ19*1.2mm的304不锈钢圆管,间距≤50mm,脚轮必须承重25-50kg,,且不剐蹭地板。</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3.食槽材质为304不锈钢板制作，门外添加饲料，猪在笼内进食；</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4.猪笼内地板到顶部高度大约为110-120cm,,四角带轮子,可以推动。大猪笼方便进出，</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5.地板材质专用漏粪板（复合塑料，满铺钢筋龙骨),地板满足防滑耐磨,不易淤积残留物利于冲洗,耐蚀和耐过氧化氢熏蒸。</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6.笼具粪盘为联排冲洗式，末端配置冲水漏斗，冲洗污物可排入地沟。</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不锈钢兔笼</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1.笼架规格：12笼位，4笼*3层，长≤2050mm，宽≤650mm，高≤1900mm。</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2.兔单笼规格：宽≥400mm，长≥500mm，高≥400mm。 </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3.兔笼架采用304不锈钢材质，笼架边框采用长≥38mm，宽≥25mm，厚≥1.2mm 的304不锈钢方管，横撑采用≥1.5mm厚不锈钢板折弯。框架无锐边及毛刺，框架表面整体应做拉丝处理。</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4.兔单笼采用304不锈钢丝编制，框架采用直径≥4mm圆钢，钢丝采用直径≥2.5mm圆钢，笼底格栅间距≤15mm，无锐边毛刺。</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5.饮水：需配有500ml饮水瓶</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6.兔笼应带不锈钢料盒。</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7.冲洗式：由上而下“S”型层层冲洗，需带水箱</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8.笼具应配有4个三寸304不锈钢脚轮，其中2个带刹车装置，可灵活移动。</w:t>
            </w:r>
            <w:r/>
          </w:p>
        </w:tc>
      </w:tr>
      <w:tr>
        <w:trPr>
          <w:trHeight w:val="1035"/>
        </w:trPr>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不锈钢豚鼠笼</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1.笼架，3层*4笼/层=12笼位。12笼位，4笼*3层，长≤2030mm，宽≤650mm，高≤1900mm。</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2.豚鼠单笼规格： 宽≥420mm，长≥500mm，高≥250mm。</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3.豚鼠笼架采用304不锈钢材质，笼架边框采用长≥35mm，宽≥25mm，厚≥1.2mm 的304不锈钢方管，横撑采用≥1.5mm厚不锈钢板折弯。框架无锐边及毛刺，框架表面整体应做拉丝处理。</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4.采用304不锈钢丝编制，框架采用直径≥4mm圆钢，钢丝采用直径≥2mm圆钢，笼底格栅间距≤10mm，无锐边毛刺。</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5.每笼配有单独食盒。</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6.饮水：需配有独立500ml饮水瓶。</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7.冲洗式：由上而下“S”型层层冲洗，需带水箱。</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8.配置4个三寸304不锈钢脚轮（前面2个带固定装置），可灵活移动。</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垫料倾倒收集系统</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用途：倾倒笼盒内垫料的设备，垫料倾倒入医用垃圾袋或医用垃圾桶内，倾倒作业者前端形成负压的区域，将有效控制垫料粉尘、动物排泄物、饲料残渣等有害微生物气溶胶在室内的散发，由排风机经高效过滤器过滤后排放至室内或室外，保护操作人员的健康。</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1.技术参数：</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1.1.工作环境：温度15-30°C,相对湿度30-85%；</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1.2.电源供应：220V/AC, 50Hz；</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1.3.产品重量：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150KG；</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1.4.主体材质：主机外壳配304优质不锈钢，表面光滑平整易清洁，边角设计圆润有弧度，不易碰撞损坏,抗压抗腐蚀，底部带4个可移动静音万向轮（带支撑脚）；</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1.5.规格：外部尺寸(W x D x H): mm </w:t>
            </w:r>
            <w:r>
              <w:rPr>
                <w:rFonts w:hint="eastAsia" w:ascii="宋体" w:hAnsi="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t xml:space="preserve">×780×1750，</w:t>
            </w:r>
            <w:r>
              <w:rPr>
                <w:rFonts w:hint="eastAsia" w:ascii="宋体" w:hAnsi="宋体" w:eastAsia="宋体" w:cs="宋体"/>
                <w:i w:val="0"/>
                <w:iCs w:val="0"/>
                <w:color w:val="000000"/>
                <w:sz w:val="24"/>
                <w:szCs w:val="24"/>
                <w:highlight w:val="none"/>
                <w:u w:val="none"/>
                <w:lang w:val="en-US" w:eastAsia="zh-CN" w:bidi="ar"/>
              </w:rPr>
              <w:t xml:space="preserve">工作区域尺寸≥ (W x D x H): mm 990*500*830</w:t>
            </w:r>
            <w:r>
              <w:rPr>
                <w:rFonts w:hint="eastAsia" w:ascii="宋体" w:hAnsi="宋体" w:eastAsia="宋体" w:cs="宋体"/>
                <w:i w:val="0"/>
                <w:iCs w:val="0"/>
                <w:color w:val="000000"/>
                <w:sz w:val="24"/>
                <w:szCs w:val="24"/>
                <w:highlight w:val="none"/>
                <w:u w:val="none"/>
                <w:lang w:val="en-US" w:eastAsia="zh-CN" w:bidi="ar"/>
              </w:rPr>
              <w:t xml:space="preserve">，单人单面操作；</w:t>
            </w:r>
            <w:r>
              <w:rPr>
                <w:rFonts w:hint="eastAsia" w:ascii="宋体" w:hAnsi="宋体" w:eastAsia="宋体" w:cs="宋体"/>
                <w:i w:val="0"/>
                <w:iCs w:val="0"/>
                <w:color w:val="000000"/>
                <w:sz w:val="24"/>
                <w:szCs w:val="24"/>
                <w:highlight w:val="none"/>
                <w:u w:val="none"/>
                <w:lang w:val="en-US" w:eastAsia="zh-CN" w:bidi="ar"/>
              </w:rPr>
              <w:t xml:space="preserve">机器主体设计:机器上部采用后缩100mm设计，减少操作人员碰撞风险；</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1.6.风机：</w:t>
            </w:r>
            <w:r>
              <w:rPr>
                <w:rFonts w:hint="eastAsia" w:ascii="宋体" w:hAnsi="宋体" w:eastAsia="宋体" w:cs="宋体"/>
                <w:i w:val="0"/>
                <w:iCs w:val="0"/>
                <w:color w:val="000000"/>
                <w:sz w:val="24"/>
                <w:szCs w:val="24"/>
                <w:highlight w:val="none"/>
                <w:u w:val="none"/>
                <w:lang w:val="en-US" w:eastAsia="zh-CN" w:bidi="ar"/>
              </w:rPr>
              <w:t xml:space="preserve">选用至少具有三种速度可调，功率≥500W的离心风机</w:t>
            </w:r>
            <w:r>
              <w:rPr>
                <w:rFonts w:hint="eastAsia" w:ascii="宋体" w:hAnsi="宋体" w:eastAsia="宋体" w:cs="宋体"/>
                <w:i w:val="0"/>
                <w:iCs w:val="0"/>
                <w:color w:val="000000"/>
                <w:sz w:val="24"/>
                <w:szCs w:val="24"/>
                <w:highlight w:val="none"/>
                <w:u w:val="none"/>
                <w:lang w:val="en-US" w:eastAsia="zh-CN" w:bidi="ar"/>
              </w:rPr>
              <w:t xml:space="preserve">，排风量≥1000m³/h；</w:t>
            </w:r>
            <w:r>
              <w:rPr>
                <w:rFonts w:hint="eastAsia" w:ascii="宋体" w:hAnsi="宋体" w:eastAsia="宋体" w:cs="宋体"/>
                <w:i w:val="0"/>
                <w:iCs w:val="0"/>
                <w:color w:val="000000"/>
                <w:sz w:val="24"/>
                <w:szCs w:val="24"/>
                <w:highlight w:val="none"/>
                <w:u w:val="none"/>
                <w:lang w:val="en-US" w:eastAsia="zh-CN" w:bidi="ar"/>
              </w:rPr>
              <w:t xml:space="preserve">柜门：采用自闭合页，可自动关闭柜门；杀菌控制：具有倒计时功能，时间到后自动关闭杀菌灯；报警：具有初高效过滤器报警功能，当初、高效过滤器到 达使用寿命时，能提供声光报警；更换滤网：可不借助工具，轻易更换初、高效过滤器;</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1.7.杀菌灯1个14W/T5、日光灯1个14W/T5；</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1.8.操作界面：显示屏为2.3英寸钢化玻璃触摸操作控制，显示杀菌、风速档位调节，杀菌有定时功能，杀菌时长可调节，杀菌和照明、风机互锁功能；</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lang w:val="en-US" w:eastAsia="zh-CN" w:bidi="ar"/>
              </w:rPr>
              <w:t xml:space="preserve">排风风速：≥ 0.3m/s</w:t>
            </w:r>
            <w:r>
              <w:rPr>
                <w:rFonts w:hint="eastAsia" w:ascii="宋体" w:hAnsi="宋体" w:cs="宋体"/>
                <w:i w:val="0"/>
                <w:iCs w:val="0"/>
                <w:color w:val="000000"/>
                <w:sz w:val="24"/>
                <w:szCs w:val="24"/>
                <w:highlight w:val="none"/>
                <w:u w:val="none"/>
                <w:lang w:val="en-US" w:eastAsia="zh-CN" w:bidi="ar"/>
              </w:rPr>
              <w:t xml:space="preserve">；</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1.10.运行噪音：</w:t>
            </w:r>
            <w:r>
              <w:rPr>
                <w:rFonts w:hint="eastAsia" w:ascii="宋体" w:hAnsi="宋体" w:eastAsia="宋体" w:cs="宋体"/>
                <w:i w:val="0"/>
                <w:iCs w:val="0"/>
                <w:color w:val="000000"/>
                <w:sz w:val="24"/>
                <w:szCs w:val="24"/>
                <w:highlight w:val="none"/>
                <w:u w:val="none"/>
                <w:lang w:val="en-US" w:eastAsia="zh-CN" w:bidi="ar"/>
              </w:rPr>
              <w:t xml:space="preserve">≤ 6</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 dB；采用声级计在安全柜前面中心水平向外300mm、工作台面上方380mm处测试</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lang w:val="en-US" w:eastAsia="zh-CN" w:bidi="ar"/>
              </w:rPr>
              <w:t xml:space="preserve">照明：照度≥3</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0Lx</w:t>
            </w:r>
            <w:r>
              <w:rPr>
                <w:rFonts w:hint="eastAsia" w:ascii="宋体" w:hAnsi="宋体" w:eastAsia="宋体" w:cs="宋体"/>
                <w:i w:val="0"/>
                <w:iCs w:val="0"/>
                <w:color w:val="000000"/>
                <w:sz w:val="24"/>
                <w:szCs w:val="24"/>
                <w:highlight w:val="none"/>
                <w:u w:val="none"/>
                <w:lang w:val="en-US" w:eastAsia="zh-CN" w:bidi="ar"/>
              </w:rPr>
              <w:t xml:space="preserve">；</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1.12.过滤器：高效过滤器：排气 1 个（级别 H14）；初效过滤器：排气 1 个（级别 G4），高效经DOP测试，随机附带检测报告；</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1.13.台面开400×380mm的垃圾倾倒口，配不锈钢垫料收集桶（500×500mm）</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1.14.配备304不锈钢手拉式小推车，结实耐用，便于运输垫料垃圾。</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负压解剖台</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1.负压排风，上排风或下排风均可，根据现场条件定做。</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2.规格≥长1500*宽800*高840mm。                                              </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3.台面上有移动盘可用于解剖过程的脏器放置                                    </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4.有移动喷淋水枪，水压可调节，可冲洗台解剖台整体污物。                                           5.侧边有防水电源插座及功能操作按键。</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不锈钢笼盒转运车</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1.规格≥1050*650*1300 mm（长*宽*高），三面围栏。不锈钢底板厚≥1.2 mm一体折边设计；四角立柱采用≥25*25*1.0mm不锈钢方管。</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2.表面：拉丝哑光，焊缝打磨、封头和无锐角处理，避免刮伤或卫生死角。</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3.脚轮：三寸不锈钢万向静音脚轮，其中2个带刹车装置。</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小鼠转运车</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val="false"/>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1.规格≥平面800*500*850 mm（长*宽*高），上下围栏高10cm一端带有推拉扶手。双层，层板间距60CM。台面要求304不锈钢板板厚≥1.2mm；一体折边设计；四角立柱采用≥25*25*1.0mm不锈钢方管。</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2.表面：拉丝哑光，焊缝打磨、封头和无锐角处理，避免刮伤或卫生死角。</w:t>
            </w:r>
            <w:r/>
          </w:p>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3.脚轮：三寸不锈钢万向静音脚轮，其中2个带刹车装置。</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两层平台车</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tcPr>
          <w:p>
            <w:pPr>
              <w:numPr>
                <w:ilvl w:val="0"/>
                <w:numId w:val="2"/>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规格≥800*500*900 mm（长*宽*高），高度含脚轮，上下围栏高10cm；</w:t>
            </w:r>
            <w:r/>
          </w:p>
          <w:p>
            <w:pPr>
              <w:numPr>
                <w:ilvl w:val="0"/>
                <w:numId w:val="2"/>
              </w:num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双层，台面要求304不锈钢板厚≥1.2mm；一体折边设计；四角立柱采用≥25*25*1.0mm不锈钢方管。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2.表面拉丝哑光，焊缝打磨、封头和无锐角处理，避免刮伤或卫生死角。</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3.脚轮：三寸不锈钢万向静音脚轮，其中2个带刹车装置。</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平板送物车</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1规格：平板长宽≥800*600，含扶手高850 mm。把手设计为圆管≥Φ32mm，弯制而成</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2.结构和工艺：底面有方管焊接加强支撑和稳定性。板面一体折边设计，表面拉丝哑光，焊缝打磨、封头和无锐角处理，避免刮伤</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3.三寸不锈钢万向静音脚轮，360°转向，其中2个带刹车装置，锁定防溜车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4.承重：≥300KG。</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双层手推车</w:t>
            </w:r>
            <w:r/>
          </w:p>
        </w:tc>
        <w:tc>
          <w:tcPr>
            <w:shd w:val="clear" w:color="auto" w:fill="auto"/>
            <w:tcBorders>
              <w:top w:val="single" w:color="000000" w:sz="4" w:space="0"/>
              <w:left w:val="single" w:color="000000" w:sz="4" w:space="0"/>
              <w:bottom w:val="single" w:color="000000" w:sz="4" w:space="0"/>
              <w:right w:val="single" w:color="000000" w:sz="4" w:space="0"/>
            </w:tcBorders>
            <w:tcW w:w="4518" w:type="pct"/>
            <w:vAlign w:val="center"/>
            <w:textDirection w:val="lrTb"/>
            <w:noWrap/>
          </w:tcPr>
          <w:p>
            <w:pPr>
              <w:ind w:left="0" w:firstLine="0"/>
              <w:jc w:val="left"/>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1.规格≥800*500*860 mm（长*宽*高），含扶手高10cm。高度含脚轮；双层，层板间距60CM。台面要求304不锈钢板厚≥1.2mm；一体折边设计；四角立柱采用≥25*25*1.0mm不锈钢方管。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2.表面拉丝哑光，焊缝打磨、封头和无锐角处理，避免刮伤或卫生死角。</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3.脚轮：三寸不锈钢万向静音脚轮，其中2个带刹车装置。</w:t>
            </w:r>
            <w:r/>
          </w:p>
        </w:tc>
      </w:tr>
    </w:tbl>
    <w:p>
      <w:pPr>
        <w:pStyle w:val="867"/>
        <w:ind w:left="0" w:firstLine="480"/>
        <w:rPr>
          <w:rFonts w:hint="eastAsia" w:ascii="宋体" w:hAnsi="宋体" w:cs="宋体" w:eastAsiaTheme="minorEastAsia"/>
          <w:b/>
          <w:bCs/>
          <w:color w:val="000000" w:themeColor="text1"/>
          <w:highlight w:val="none"/>
          <w:lang w:eastAsia="zh-CN"/>
          <w14:textFill>
            <w14:solidFill>
              <w14:schemeClr w14:val="tx1"/>
            </w14:solidFill>
          </w14:textFill>
        </w:rPr>
      </w:pPr>
      <w:r>
        <w:rPr>
          <w:rFonts w:hint="eastAsia" w:ascii="宋体" w:hAnsi="宋体" w:cs="宋体" w:eastAsiaTheme="minorEastAsia"/>
          <w:b/>
          <w:bCs/>
          <w:color w:val="000000" w:themeColor="text1"/>
          <w:highlight w:val="none"/>
          <w:lang w:val="en-US" w:eastAsia="zh-CN"/>
          <w14:textFill>
            <w14:solidFill>
              <w14:schemeClr w14:val="tx1"/>
            </w14:solidFill>
          </w14:textFill>
        </w:rPr>
        <w:t xml:space="preserve">注：</w:t>
      </w:r>
      <w:r>
        <w:rPr>
          <w:rFonts w:hint="eastAsia" w:ascii="宋体" w:hAnsi="宋体" w:cs="宋体" w:eastAsiaTheme="minorEastAsia"/>
          <w:b/>
          <w:bCs/>
          <w:color w:val="000000" w:themeColor="text1"/>
          <w:highlight w:val="none"/>
          <w:lang w:eastAsia="zh-CN"/>
          <w14:textFill>
            <w14:solidFill>
              <w14:schemeClr w14:val="tx1"/>
            </w14:solidFill>
          </w14:textFill>
        </w:rPr>
        <w:t xml:space="preserve">所投货物的技术参数为★号指标的，若出现负偏离即无效标书，投标人必须如实地在技术规格偏离表（格式见附件）中逐条标明满足与否，并对其真实性负责。标注“★”的指标必须在投标文件中提供有效证明电子件材料包括但不仅限于（厂家证明、彩页、手册、检测报告、说明书、设备照片等），否则视为负偏离，未按要求提供技术支持资料或提供的技术支持资料不能佐证偏离表内容的，视为负偏离。</w:t>
      </w:r>
      <w:r/>
    </w:p>
    <w:p>
      <w:pPr>
        <w:pStyle w:val="867"/>
        <w:ind w:left="0" w:firstLine="482"/>
        <w:rPr>
          <w:rFonts w:hint="eastAsia" w:eastAsia="宋体"/>
          <w:b/>
          <w:color w:val="auto"/>
          <w:highlight w:val="none"/>
          <w:lang w:val="en-US" w:eastAsia="zh-CN"/>
        </w:rPr>
      </w:pPr>
      <w:r>
        <w:rPr>
          <w:rFonts w:hint="eastAsia"/>
          <w:b/>
          <w:color w:val="auto"/>
          <w:highlight w:val="none"/>
          <w:lang w:val="en-US" w:eastAsia="zh-CN"/>
        </w:rPr>
        <w:t xml:space="preserve">（三）</w:t>
      </w:r>
      <w:r>
        <w:rPr>
          <w:rFonts w:hint="eastAsia" w:eastAsia="宋体"/>
          <w:b/>
          <w:color w:val="auto"/>
          <w:highlight w:val="none"/>
          <w:lang w:val="en-US" w:eastAsia="zh-CN"/>
        </w:rPr>
        <w:t xml:space="preserve">培训要求</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中标单位必须提供满足以下要求的培训服务：</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（1）对</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主要技术人员提供使用及维护培训，保证使用人员正常操作设备的各种功能；培训后能熟练操作、了解构造原理、日常维护、排除一般故障、掌握应急处理。</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（2）中标单位应提供完善的培训方案，培训方案包含培训内容、培训课时等。软件系统的培训工作要在设备试运行前实施，并在培训实施前编制专门的培训材料。</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（3）培训工作贯穿于项目的整个过程，所有的培训需提前制定培训计划，明确培训内容、培训时间、培训方式、所需要培训环境等，提供培训所需的资料、文档，针对培训，还需要制定培训用的PPT讲演稿。</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（4）中标单位在</w:t>
      </w:r>
      <w:r>
        <w:rPr>
          <w:rFonts w:hint="eastAsia" w:ascii="宋体" w:hAnsi="宋体" w:eastAsia="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现场的培训，中标单位必须无偿提供培训资料、讲稿的电子稿、培训用文字资料和讲义等相关用品，所有的资料必须是中文书写，同时允许</w:t>
      </w:r>
      <w:r>
        <w:rPr>
          <w:rFonts w:hint="eastAsia" w:ascii="宋体" w:hAnsi="宋体" w:eastAsia="宋体" w:cs="宋体"/>
          <w:color w:val="auto"/>
          <w:sz w:val="24"/>
          <w:szCs w:val="20"/>
          <w:highlight w:val="none"/>
          <w:lang w:eastAsia="zh-CN"/>
        </w:rPr>
        <w:t xml:space="preserve">采购人</w:t>
      </w:r>
      <w:r>
        <w:rPr>
          <w:rFonts w:hint="eastAsia" w:ascii="宋体" w:hAnsi="宋体" w:eastAsia="宋体" w:cs="宋体"/>
          <w:color w:val="auto"/>
          <w:sz w:val="24"/>
          <w:szCs w:val="20"/>
          <w:highlight w:val="none"/>
        </w:rPr>
        <w:t xml:space="preserve">在单位内部使用。</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（5）培训计划要有时间、地点、学时、培训大纲、培训对象等内容。</w:t>
      </w:r>
      <w:r/>
    </w:p>
    <w:p>
      <w:pPr>
        <w:ind w:firstLine="480"/>
        <w:spacing w:line="44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（6）中标单位应将所有培训费用（含培训教材费）及各项支出含在本次投标总价内。</w:t>
      </w:r>
      <w:r/>
    </w:p>
    <w:p>
      <w:pPr>
        <w:numPr>
          <w:ilvl w:val="0"/>
          <w:numId w:val="0"/>
        </w:numPr>
        <w:ind w:right="-143"/>
        <w:rPr>
          <w:color w:val="auto"/>
          <w:highlight w:val="none"/>
          <w:lang w:eastAsia="zh-CN"/>
        </w:rPr>
      </w:pPr>
      <w:r>
        <w:rPr>
          <w:rFonts w:hint="eastAsia"/>
          <w:b/>
          <w:color w:val="auto"/>
          <w:highlight w:val="none"/>
          <w:lang w:eastAsia="zh-CN"/>
        </w:rPr>
        <w:t xml:space="preserve">三、其他有关说明</w:t>
      </w:r>
      <w:r/>
    </w:p>
    <w:p>
      <w:pPr>
        <w:ind w:right="-143" w:firstLine="480"/>
        <w:rPr>
          <w:color w:val="auto"/>
          <w:highlight w:val="none"/>
          <w:lang w:eastAsia="zh-CN"/>
        </w:rPr>
      </w:pPr>
      <w:r>
        <w:rPr>
          <w:rFonts w:hint="eastAsia"/>
          <w:color w:val="auto"/>
          <w:highlight w:val="none"/>
          <w:lang w:eastAsia="zh-CN"/>
        </w:rPr>
        <w:t xml:space="preserve">1.</w:t>
      </w:r>
      <w:r>
        <w:rPr>
          <w:rFonts w:hint="eastAsia"/>
          <w:color w:val="auto"/>
          <w:highlight w:val="none"/>
          <w:lang w:eastAsia="zh-CN"/>
        </w:rPr>
        <w:tab/>
      </w:r>
      <w:r>
        <w:rPr>
          <w:rFonts w:hint="eastAsia"/>
          <w:color w:val="auto"/>
          <w:highlight w:val="none"/>
          <w:lang w:eastAsia="zh-CN"/>
        </w:rPr>
        <w:t xml:space="preserve">投标总报价包括满足本项目要求的所有产品及其配件、包装、运杂、安装调试及售后服务等从项目中标起到项目正式交付以及质保期内所发生的一切费用。</w:t>
      </w:r>
      <w:r>
        <w:rPr>
          <w:rFonts w:hint="eastAsia" w:ascii="宋体" w:hAnsi="宋体" w:cs="Times New Roman"/>
          <w:b/>
          <w:bCs/>
          <w:color w:val="auto"/>
          <w:szCs w:val="24"/>
          <w:highlight w:val="none"/>
          <w:lang w:val="en-US" w:eastAsia="zh-CN"/>
        </w:rPr>
        <w:t xml:space="preserve">本项目预算金额中包含代理服务费，投标供应商应自行考虑将代理服务费纳入所报投标价中。</w:t>
      </w:r>
      <w:r/>
    </w:p>
    <w:p>
      <w:pPr>
        <w:ind w:right="-143" w:firstLine="480"/>
        <w:rPr>
          <w:color w:val="auto"/>
          <w:highlight w:val="none"/>
          <w:lang w:eastAsia="zh-CN"/>
        </w:rPr>
      </w:pPr>
      <w:r>
        <w:rPr>
          <w:rFonts w:hint="eastAsia"/>
          <w:color w:val="auto"/>
          <w:highlight w:val="none"/>
          <w:lang w:eastAsia="zh-CN"/>
        </w:rPr>
        <w:t xml:space="preserve">2.</w:t>
      </w:r>
      <w:r>
        <w:rPr>
          <w:rFonts w:hint="eastAsia"/>
          <w:color w:val="auto"/>
          <w:highlight w:val="none"/>
          <w:lang w:eastAsia="zh-CN"/>
        </w:rPr>
        <w:tab/>
      </w:r>
      <w:r>
        <w:rPr>
          <w:rFonts w:hint="eastAsia"/>
          <w:color w:val="auto"/>
          <w:highlight w:val="none"/>
          <w:lang w:eastAsia="zh-CN"/>
        </w:rPr>
        <w:t xml:space="preserve">通过中国海关报关验放进入中国境内且产自中国境外的产品不在本项目的报价范围。</w:t>
      </w:r>
      <w:r/>
    </w:p>
    <w:p>
      <w:pPr>
        <w:ind w:right="-143" w:firstLine="480"/>
        <w:rPr>
          <w:color w:val="auto"/>
          <w:highlight w:val="none"/>
          <w:lang w:eastAsia="zh-CN"/>
        </w:rPr>
      </w:pPr>
      <w:r>
        <w:rPr>
          <w:rFonts w:hint="eastAsia"/>
          <w:color w:val="auto"/>
          <w:highlight w:val="none"/>
          <w:lang w:eastAsia="zh-CN"/>
        </w:rPr>
        <w:t xml:space="preserve">3.</w:t>
      </w:r>
      <w:r>
        <w:rPr>
          <w:rFonts w:hint="eastAsia"/>
          <w:color w:val="auto"/>
          <w:highlight w:val="none"/>
          <w:lang w:eastAsia="zh-CN"/>
        </w:rPr>
        <w:tab/>
      </w:r>
      <w:r>
        <w:rPr>
          <w:rFonts w:hint="eastAsia"/>
          <w:color w:val="auto"/>
          <w:highlight w:val="none"/>
          <w:lang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right="-143" w:firstLine="480"/>
        <w:rPr>
          <w:color w:val="auto"/>
          <w:highlight w:val="none"/>
          <w:lang w:eastAsia="zh-CN"/>
        </w:rPr>
      </w:pPr>
      <w:r>
        <w:rPr>
          <w:rFonts w:hint="eastAsia"/>
          <w:color w:val="auto"/>
          <w:highlight w:val="none"/>
          <w:lang w:eastAsia="zh-CN"/>
        </w:rPr>
        <w:t xml:space="preserve">4.</w:t>
      </w:r>
      <w:r>
        <w:rPr>
          <w:rFonts w:hint="eastAsia"/>
          <w:color w:val="auto"/>
          <w:highlight w:val="none"/>
          <w:lang w:eastAsia="zh-CN"/>
        </w:rPr>
        <w:tab/>
      </w:r>
      <w:r>
        <w:rPr>
          <w:rFonts w:hint="eastAsia"/>
          <w:color w:val="auto"/>
          <w:highlight w:val="none"/>
          <w:lang w:eastAsia="zh-CN"/>
        </w:rPr>
        <w:t xml:space="preserve">投标人必须在满足招标文件要求的基础上进行报价，如有技术偏离请于投标偏离表中说明。</w:t>
      </w:r>
      <w:r/>
    </w:p>
    <w:p>
      <w:pPr>
        <w:ind w:right="-143" w:firstLine="480"/>
        <w:rPr>
          <w:color w:val="auto"/>
          <w:highlight w:val="none"/>
          <w:lang w:eastAsia="zh-CN"/>
        </w:rPr>
      </w:pPr>
      <w:r>
        <w:rPr>
          <w:rFonts w:hint="eastAsia"/>
          <w:color w:val="auto"/>
          <w:highlight w:val="none"/>
          <w:lang w:val="en-US" w:eastAsia="zh-CN"/>
        </w:rPr>
        <w:t xml:space="preserve">5</w:t>
      </w:r>
      <w:r>
        <w:rPr>
          <w:rFonts w:hint="eastAsia"/>
          <w:color w:val="auto"/>
          <w:highlight w:val="none"/>
          <w:lang w:eastAsia="zh-CN"/>
        </w:rPr>
        <w:t xml:space="preserve">.维修服务响应时间：投标人负责所投产品在保修期内，一旦发生质量问题，中标人保证在接到通知12小时内响应，1日历天内赶到现场进行修理、更换或退货，费用由中标人负责。如中标人在接到通知后12小时内没有答复，则视为中标人承认质量问题并承担由此发生的一切费用。保修期间所有的一切质量问题，更换部件及产品本身质量原因造成的直接经济损失应全部由中标人负责。</w:t>
      </w:r>
      <w:r/>
    </w:p>
    <w:p>
      <w:pPr>
        <w:ind w:right="-143" w:firstLine="480"/>
        <w:rPr>
          <w:color w:val="auto"/>
          <w:highlight w:val="none"/>
          <w:lang w:eastAsia="zh-CN"/>
        </w:rPr>
      </w:pPr>
      <w:r>
        <w:rPr>
          <w:rFonts w:hint="eastAsia"/>
          <w:color w:val="auto"/>
          <w:highlight w:val="none"/>
          <w:lang w:val="en-US" w:eastAsia="zh-CN"/>
        </w:rPr>
        <w:t xml:space="preserve">6</w:t>
      </w:r>
      <w:r>
        <w:rPr>
          <w:rFonts w:hint="eastAsia"/>
          <w:color w:val="auto"/>
          <w:highlight w:val="none"/>
          <w:lang w:eastAsia="zh-CN"/>
        </w:rPr>
        <w:t xml:space="preserve">.中标供应商需负责安装验收时对有必要计量的系统设备进行计量校准（有资质的第三方认证机构），校准结果需符合相关标准要求，费用由中标人承担。</w:t>
      </w:r>
      <w:r/>
    </w:p>
    <w:p>
      <w:pPr>
        <w:ind w:right="-143" w:firstLine="480"/>
        <w:rPr>
          <w:color w:val="auto"/>
          <w:highlight w:val="none"/>
          <w:lang w:eastAsia="zh-CN"/>
        </w:rPr>
      </w:pPr>
      <w:r>
        <w:rPr>
          <w:rFonts w:hint="eastAsia"/>
          <w:color w:val="auto"/>
          <w:highlight w:val="none"/>
          <w:lang w:val="en-US" w:eastAsia="zh-CN"/>
        </w:rPr>
        <w:t xml:space="preserve">7</w:t>
      </w:r>
      <w:r>
        <w:rPr>
          <w:rFonts w:hint="eastAsia"/>
          <w:color w:val="auto"/>
          <w:highlight w:val="none"/>
          <w:lang w:eastAsia="zh-CN"/>
        </w:rPr>
        <w:t xml:space="preserve">.本项目合同履行地点：无锡市南京大学锡山应用生物技术研究所，具体地点以合同书约定为准。中标人必须按采购人要求将本项目中货物送到指定地点(包括可能的分布范围)，并实施安装调试。</w:t>
      </w:r>
      <w:r/>
    </w:p>
    <w:p>
      <w:pPr>
        <w:ind w:right="-143" w:firstLine="480"/>
        <w:rPr>
          <w:color w:val="auto"/>
          <w:highlight w:val="none"/>
          <w:lang w:eastAsia="zh-CN"/>
        </w:rPr>
      </w:pPr>
      <w:r>
        <w:rPr>
          <w:rFonts w:hint="eastAsia"/>
          <w:color w:val="auto"/>
          <w:highlight w:val="none"/>
          <w:lang w:val="en-US" w:eastAsia="zh-CN"/>
        </w:rPr>
        <w:t xml:space="preserve">8</w:t>
      </w:r>
      <w:r>
        <w:rPr>
          <w:rFonts w:hint="eastAsia"/>
          <w:color w:val="auto"/>
          <w:highlight w:val="none"/>
          <w:lang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right="-143" w:firstLine="480"/>
        <w:rPr>
          <w:color w:val="auto"/>
          <w:highlight w:val="none"/>
          <w:lang w:eastAsia="zh-CN"/>
        </w:rPr>
      </w:pPr>
      <w:r>
        <w:rPr>
          <w:rFonts w:hint="eastAsia"/>
          <w:color w:val="auto"/>
          <w:highlight w:val="none"/>
          <w:lang w:val="en-US" w:eastAsia="zh-CN"/>
        </w:rPr>
        <w:t xml:space="preserve">9.</w:t>
      </w:r>
      <w:r>
        <w:rPr>
          <w:rFonts w:hint="eastAsia"/>
          <w:color w:val="auto"/>
          <w:highlight w:val="none"/>
          <w:lang w:eastAsia="zh-CN"/>
        </w:rPr>
        <w:t xml:space="preserve">质量及验收：</w:t>
      </w:r>
      <w:r/>
    </w:p>
    <w:p>
      <w:pPr>
        <w:ind w:right="-143" w:firstLine="480"/>
        <w:rPr>
          <w:color w:val="auto"/>
          <w:highlight w:val="none"/>
          <w:lang w:eastAsia="zh-CN"/>
        </w:rPr>
      </w:pPr>
      <w:r>
        <w:rPr>
          <w:rFonts w:hint="eastAsia"/>
          <w:color w:val="auto"/>
          <w:highlight w:val="none"/>
          <w:lang w:eastAsia="zh-CN"/>
        </w:rPr>
        <w:t xml:space="preserve">（1）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ind w:right="-143" w:firstLine="480"/>
        <w:rPr>
          <w:color w:val="auto"/>
          <w:highlight w:val="none"/>
          <w:lang w:eastAsia="zh-CN"/>
        </w:rPr>
      </w:pPr>
      <w:r>
        <w:rPr>
          <w:rFonts w:hint="eastAsia"/>
          <w:color w:val="auto"/>
          <w:highlight w:val="none"/>
          <w:lang w:eastAsia="zh-CN"/>
        </w:rPr>
        <w:t xml:space="preserve">（2）投标人在中标后，采购人有权要求中标人提供投标文件内全部产品报告、证书等证明材料复印件并加盖原厂公章原件给采购人，如不能满足，采购人有权终止合同，并依法追究其责任。</w:t>
      </w:r>
      <w:r/>
    </w:p>
    <w:p>
      <w:pPr>
        <w:ind w:right="-143" w:firstLine="480"/>
        <w:rPr>
          <w:color w:val="auto"/>
          <w:highlight w:val="none"/>
          <w:lang w:eastAsia="zh-CN"/>
        </w:rPr>
      </w:pPr>
      <w:r>
        <w:rPr>
          <w:rFonts w:hint="eastAsia"/>
          <w:color w:val="auto"/>
          <w:highlight w:val="none"/>
          <w:lang w:eastAsia="zh-CN"/>
        </w:rPr>
        <w:t xml:space="preserve">1</w:t>
      </w:r>
      <w:r>
        <w:rPr>
          <w:rFonts w:hint="eastAsia"/>
          <w:color w:val="auto"/>
          <w:highlight w:val="none"/>
          <w:lang w:val="en-US" w:eastAsia="zh-CN"/>
        </w:rPr>
        <w:t xml:space="preserve">0</w:t>
      </w:r>
      <w:r>
        <w:rPr>
          <w:rFonts w:hint="eastAsia"/>
          <w:color w:val="auto"/>
          <w:highlight w:val="none"/>
          <w:lang w:eastAsia="zh-CN"/>
        </w:rPr>
        <w:t xml:space="preserve">. 履约保证金：本项目收取履约保证金，详见合同条款。</w:t>
      </w:r>
      <w:r/>
    </w:p>
    <w:p>
      <w:pPr>
        <w:ind w:firstLine="0"/>
        <w:spacing w:line="240" w:lineRule="auto"/>
        <w:rPr>
          <w:color w:val="auto"/>
          <w:highlight w:val="none"/>
          <w:lang w:eastAsia="zh-CN"/>
        </w:rPr>
      </w:pPr>
      <w:r>
        <w:rPr>
          <w:color w:val="auto"/>
          <w:highlight w:val="none"/>
          <w:lang w:eastAsia="zh-CN"/>
        </w:rPr>
        <w:br w:type="page" w:clear="all"/>
      </w:r>
      <w:r/>
    </w:p>
    <w:p>
      <w:pPr>
        <w:ind w:firstLine="0"/>
        <w:jc w:val="both"/>
        <w:widowControl w:val="off"/>
        <w:tabs>
          <w:tab w:val="left" w:pos="525" w:leader="none"/>
          <w:tab w:val="left" w:pos="630" w:leader="none"/>
          <w:tab w:val="left" w:pos="735" w:leader="none"/>
          <w:tab w:val="left" w:pos="945" w:leader="none"/>
        </w:tabs>
        <w:rPr>
          <w:rFonts w:ascii="宋体" w:hAnsi="宋体" w:eastAsia="等线" w:cs="Times New Roman"/>
          <w:b/>
          <w:bCs/>
          <w:color w:val="auto"/>
          <w:sz w:val="30"/>
          <w:szCs w:val="30"/>
          <w:highlight w:val="none"/>
          <w:lang w:eastAsia="zh-CN"/>
        </w:rPr>
      </w:pPr>
      <w:r>
        <w:rPr>
          <w:rFonts w:hint="eastAsia" w:ascii="宋体" w:hAnsi="宋体" w:eastAsia="等线" w:cs="Times New Roman"/>
          <w:b/>
          <w:color w:val="auto"/>
          <w:sz w:val="30"/>
          <w:szCs w:val="30"/>
          <w:highlight w:val="none"/>
          <w:lang w:eastAsia="zh-CN"/>
        </w:rPr>
        <w:t xml:space="preserve">附：政府采购政策（包括但不限于下列具体政策要求）</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2"/>
        <w:spacing w:line="336" w:lineRule="auto"/>
        <w:widowControl w:val="off"/>
        <w:tabs>
          <w:tab w:val="left" w:pos="840" w:leader="none"/>
          <w:tab w:val="left" w:pos="1155" w:leader="none"/>
        </w:tabs>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w:t>
      </w:r>
      <w:r>
        <w:rPr>
          <w:rFonts w:hint="eastAsia" w:ascii="宋体" w:hAnsi="宋体" w:cs="宋体"/>
          <w:bCs/>
          <w:color w:val="auto"/>
          <w:szCs w:val="24"/>
          <w:highlight w:val="none"/>
          <w:lang w:eastAsia="zh-CN"/>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2"/>
        <w:spacing w:line="336" w:lineRule="auto"/>
        <w:widowControl w:val="off"/>
        <w:tabs>
          <w:tab w:val="left" w:pos="840" w:leader="none"/>
          <w:tab w:val="left" w:pos="1155" w:leader="none"/>
        </w:tabs>
        <w:rPr>
          <w:highlight w:val="none"/>
          <w:lang w:eastAsia="zh-CN"/>
        </w:rPr>
      </w:pPr>
      <w:r>
        <w:rPr>
          <w:rFonts w:hint="eastAsia" w:ascii="宋体" w:hAnsi="宋体" w:cs="宋体"/>
          <w:bCs/>
          <w:color w:val="auto"/>
          <w:szCs w:val="24"/>
          <w:highlight w:val="none"/>
          <w:lang w:eastAsia="zh-CN"/>
        </w:rPr>
        <w:t xml:space="preserve">5.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0"/>
        <w:spacing w:line="336" w:lineRule="auto"/>
        <w:widowControl w:val="off"/>
        <w:tabs>
          <w:tab w:val="left" w:pos="945" w:leader="none"/>
          <w:tab w:val="left" w:pos="112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36"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36" w:lineRule="auto"/>
        <w:widowControl w:val="off"/>
        <w:rPr>
          <w:rFonts w:ascii="宋体" w:hAnsi="宋体" w:cs="宋体"/>
          <w:b/>
          <w:color w:val="auto"/>
          <w:szCs w:val="24"/>
          <w:highlight w:val="none"/>
          <w:lang w:eastAsia="zh-CN"/>
        </w:rPr>
      </w:pPr>
      <w:r>
        <w:rPr>
          <w:rFonts w:hint="eastAsia" w:ascii="宋体" w:hAnsi="宋体" w:cs="宋体"/>
          <w:color w:val="auto"/>
          <w:szCs w:val="24"/>
          <w:highlight w:val="none"/>
          <w:lang w:eastAsia="zh-CN"/>
        </w:rPr>
        <w:t xml:space="preserve">8.有关中小企业政策，如落实政府采购政策需满足的资格要求以及落实政府采购政策的价格调整的相关内容可详见本文件其他章节。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color w:val="auto"/>
          <w:szCs w:val="24"/>
          <w:highlight w:val="none"/>
          <w:lang w:eastAsia="zh-CN"/>
        </w:rPr>
        <w:t xml:space="preserve">中华人民共和国政府采购法</w:t>
      </w:r>
      <w:r>
        <w:rPr>
          <w:rFonts w:hint="eastAsia" w:ascii="宋体" w:hAnsi="宋体" w:cs="宋体"/>
          <w:bCs/>
          <w:color w:val="auto"/>
          <w:szCs w:val="24"/>
          <w:highlight w:val="none"/>
          <w:lang w:eastAsia="zh-CN"/>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36"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9.中标、成交供应商可采用合同融资形式，中标人可凭政府采购合同办理融资贷款，详见政府采购网“政采贷”专栏。</w:t>
      </w:r>
      <w:r/>
    </w:p>
    <w:p>
      <w:pPr>
        <w:contextualSpacing/>
        <w:ind w:firstLine="480"/>
        <w:spacing w:line="336"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36"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11.本项目中如有涉及数据库、操作系</w:t>
      </w:r>
      <w:r>
        <w:rPr>
          <w:rFonts w:hint="eastAsia" w:ascii="宋体" w:hAnsi="宋体" w:cs="宋体"/>
          <w:color w:val="auto"/>
          <w:szCs w:val="24"/>
          <w:highlight w:val="none"/>
          <w:lang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36"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36" w:lineRule="auto"/>
        <w:widowControl w:val="off"/>
        <w:rPr>
          <w:rFonts w:ascii="宋体" w:hAnsi="宋体" w:cs="宋体"/>
          <w:color w:val="auto"/>
          <w:szCs w:val="24"/>
          <w:highlight w:val="none"/>
          <w:lang w:val="en" w:eastAsia="zh-CN"/>
        </w:rPr>
      </w:pPr>
      <w:r>
        <w:rPr>
          <w:rFonts w:hint="eastAsia" w:ascii="宋体" w:hAnsi="宋体" w:cs="宋体"/>
          <w:color w:val="auto"/>
          <w:szCs w:val="24"/>
          <w:highlight w:val="none"/>
          <w:lang w:eastAsia="zh-CN"/>
        </w:rPr>
        <w:t xml:space="preserve">13.</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2"/>
        <w:rPr>
          <w:rFonts w:ascii="宋体" w:hAnsi="宋体" w:cs="宋体"/>
          <w:b/>
          <w:bCs/>
          <w:color w:val="auto"/>
          <w:szCs w:val="24"/>
          <w:highlight w:val="none"/>
          <w:lang w:val="en" w:eastAsia="zh-CN"/>
        </w:rPr>
      </w:pPr>
      <w:r>
        <w:rPr>
          <w:rFonts w:hint="eastAsia" w:ascii="宋体" w:hAnsi="宋体" w:cs="宋体"/>
          <w:b/>
          <w:bCs/>
          <w:color w:val="auto"/>
          <w:szCs w:val="24"/>
          <w:highlight w:val="none"/>
          <w:lang w:eastAsia="zh-CN"/>
        </w:rPr>
        <w:t xml:space="preserve">14.</w:t>
      </w:r>
      <w:r>
        <w:rPr>
          <w:rFonts w:hint="eastAsia" w:ascii="宋体" w:hAnsi="宋体" w:cs="宋体"/>
          <w:b/>
          <w:bCs/>
          <w:color w:val="auto"/>
          <w:szCs w:val="24"/>
          <w:highlight w:val="none"/>
          <w:lang w:val="en" w:eastAsia="zh-CN"/>
        </w:rPr>
        <w:t xml:space="preserve">政府采购中实施本国产品标准及相关政策</w:t>
      </w:r>
      <w:r/>
    </w:p>
    <w:p>
      <w:pPr>
        <w:contextualSpacing/>
        <w:ind w:firstLine="480"/>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 xml:space="preserve">（</w:t>
      </w: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en" w:eastAsia="zh-CN"/>
        </w:rPr>
        <w:t xml:space="preserve">）本项目对采购本国产品给予政策支持，具体内容见招标文件“二、供应商须知 (九)开标、评标</w:t>
      </w:r>
      <w:r>
        <w:rPr>
          <w:rFonts w:hint="eastAsia" w:ascii="宋体" w:hAnsi="宋体" w:cs="宋体"/>
          <w:color w:val="auto"/>
          <w:szCs w:val="24"/>
          <w:highlight w:val="none"/>
          <w:lang w:eastAsia="zh-CN"/>
        </w:rPr>
        <w:t xml:space="preserve">5.</w:t>
      </w:r>
      <w:r>
        <w:rPr>
          <w:rFonts w:hint="eastAsia" w:ascii="宋体" w:hAnsi="宋体" w:cs="宋体"/>
          <w:color w:val="auto"/>
          <w:szCs w:val="24"/>
          <w:highlight w:val="none"/>
          <w:lang w:val="en" w:eastAsia="zh-CN"/>
        </w:rPr>
        <w:t xml:space="preserve">评标方法”。</w:t>
      </w:r>
      <w:r/>
    </w:p>
    <w:p>
      <w:pPr>
        <w:contextualSpacing/>
        <w:ind w:firstLine="480"/>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 xml:space="preserve">（</w:t>
      </w:r>
      <w:r>
        <w:rPr>
          <w:rFonts w:hint="eastAsia" w:ascii="宋体" w:hAnsi="宋体" w:cs="宋体"/>
          <w:color w:val="auto"/>
          <w:szCs w:val="24"/>
          <w:highlight w:val="none"/>
          <w:lang w:eastAsia="zh-CN"/>
        </w:rPr>
        <w:t xml:space="preserve">2</w:t>
      </w:r>
      <w:r>
        <w:rPr>
          <w:rFonts w:hint="eastAsia" w:ascii="宋体" w:hAnsi="宋体" w:cs="宋体"/>
          <w:color w:val="auto"/>
          <w:szCs w:val="24"/>
          <w:highlight w:val="none"/>
          <w:lang w:val="e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rPr>
          <w:rFonts w:ascii="宋体" w:hAnsi="宋体" w:cs="宋体"/>
          <w:color w:val="auto"/>
          <w:szCs w:val="24"/>
          <w:highlight w:val="none"/>
          <w:lang w:val="en" w:eastAsia="zh-CN"/>
        </w:rPr>
      </w:pPr>
      <w:r>
        <w:rPr>
          <w:rFonts w:hint="eastAsia" w:ascii="宋体" w:hAnsi="宋体" w:cs="宋体"/>
          <w:color w:val="auto"/>
          <w:szCs w:val="24"/>
          <w:highlight w:val="none"/>
          <w:lang w:val="en" w:eastAsia="zh-CN"/>
        </w:rPr>
        <w:t xml:space="preserve">（</w:t>
      </w:r>
      <w:r>
        <w:rPr>
          <w:rFonts w:hint="eastAsia" w:ascii="宋体" w:hAnsi="宋体" w:cs="宋体"/>
          <w:color w:val="auto"/>
          <w:szCs w:val="24"/>
          <w:highlight w:val="none"/>
          <w:lang w:eastAsia="zh-CN"/>
        </w:rPr>
        <w:t xml:space="preserve">3</w:t>
      </w:r>
      <w:r>
        <w:rPr>
          <w:rFonts w:hint="eastAsia" w:ascii="宋体" w:hAnsi="宋体" w:cs="宋体"/>
          <w:color w:val="auto"/>
          <w:szCs w:val="24"/>
          <w:highlight w:val="none"/>
          <w:lang w:val="e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ascii="宋体" w:hAnsi="宋体" w:cs="宋体"/>
          <w:b/>
          <w:bCs/>
          <w:color w:val="auto"/>
          <w:szCs w:val="24"/>
          <w:highlight w:val="none"/>
          <w:lang w:val="zh-CN" w:eastAsia="zh-CN"/>
        </w:rPr>
      </w:pPr>
      <w:r>
        <w:rPr>
          <w:rFonts w:ascii="宋体" w:hAnsi="宋体" w:cs="宋体"/>
          <w:b/>
          <w:bCs/>
          <w:color w:val="auto"/>
          <w:szCs w:val="24"/>
          <w:highlight w:val="none"/>
          <w:lang w:val="zh-CN" w:eastAsia="zh-CN"/>
        </w:rPr>
      </w:r>
      <w:r/>
    </w:p>
    <w:p>
      <w:pPr>
        <w:ind w:firstLine="0"/>
        <w:spacing w:line="240" w:lineRule="auto"/>
        <w:rPr>
          <w:rFonts w:ascii="宋体" w:hAnsi="宋体" w:cs="宋体"/>
          <w:b/>
          <w:bCs/>
          <w:color w:val="auto"/>
          <w:szCs w:val="24"/>
          <w:highlight w:val="none"/>
          <w:lang w:val="zh-CN" w:eastAsia="zh-CN"/>
        </w:rPr>
      </w:pPr>
      <w:r>
        <w:rPr>
          <w:rFonts w:ascii="宋体" w:hAnsi="宋体" w:cs="宋体"/>
          <w:b/>
          <w:bCs/>
          <w:color w:val="auto"/>
          <w:szCs w:val="24"/>
          <w:highlight w:val="none"/>
          <w:lang w:val="zh-CN" w:eastAsia="zh-CN"/>
        </w:rPr>
        <w:br w:type="page" w:clear="all"/>
      </w:r>
      <w:r/>
    </w:p>
    <w:p>
      <w:pPr>
        <w:pStyle w:val="861"/>
        <w:jc w:val="center"/>
        <w:spacing w:after="240"/>
        <w:rPr>
          <w:color w:val="auto"/>
          <w:highlight w:val="none"/>
          <w:lang w:eastAsia="zh-CN"/>
        </w:rPr>
      </w:pPr>
      <w:r/>
      <w:bookmarkStart w:id="12" w:name="_Toc161316667"/>
      <w:r>
        <w:rPr>
          <w:rFonts w:hint="eastAsia"/>
          <w:color w:val="auto"/>
          <w:highlight w:val="none"/>
          <w:lang w:eastAsia="zh-CN"/>
        </w:rPr>
        <w:t xml:space="preserve">四、</w:t>
      </w:r>
      <w:bookmarkEnd w:id="12"/>
      <w:r>
        <w:rPr>
          <w:rFonts w:hint="eastAsia"/>
          <w:color w:val="auto"/>
          <w:highlight w:val="none"/>
          <w:lang w:eastAsia="zh-CN"/>
        </w:rPr>
        <w:t xml:space="preserve">政府采购货物买卖合同</w:t>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ascii="宋体" w:hAnsi="宋体" w:cs="宋体"/>
          <w:b/>
          <w:bCs/>
          <w:color w:val="auto"/>
          <w:spacing w:val="-20"/>
          <w:sz w:val="48"/>
          <w:szCs w:val="48"/>
          <w:highlight w:val="none"/>
          <w:lang w:eastAsia="zh-CN"/>
        </w:rPr>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left="420" w:firstLine="0"/>
        <w:jc w:val="both"/>
        <w:widowControl w:val="off"/>
        <w:rPr>
          <w:rFonts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ascii="等线" w:hAnsi="等线" w:eastAsia="黑体" w:cs="Times New Roman"/>
          <w:color w:val="auto"/>
          <w:sz w:val="44"/>
          <w:szCs w:val="44"/>
          <w:highlight w:val="none"/>
          <w:lang w:eastAsia="zh-CN"/>
        </w:rPr>
        <w:sectPr>
          <w:headerReference w:type="default" r:id="rId9"/>
          <w:footerReference w:type="default" r:id="rId13"/>
          <w:footnotePr/>
          <w:endnotePr/>
          <w:type w:val="nextPage"/>
          <w:pgSz w:w="11906" w:h="16838" w:orient="portrait"/>
          <w:pgMar w:top="1440" w:right="1803" w:bottom="1440" w:left="1803" w:header="851" w:footer="992" w:gutter="0"/>
          <w:cols w:num="1" w:sep="0" w:space="425" w:equalWidth="1"/>
          <w:docGrid w:linePitch="360"/>
        </w:sectPr>
      </w:pPr>
      <w:r>
        <w:rPr>
          <w:rFonts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ascii="黑体" w:hAnsi="华文中宋" w:eastAsia="黑体"/>
          <w:color w:val="auto"/>
          <w:sz w:val="28"/>
          <w:szCs w:val="28"/>
          <w:highlight w:val="none"/>
          <w:lang w:eastAsia="zh-CN"/>
        </w:rPr>
        <w:outlineLvl w:val="1"/>
      </w:pPr>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r/>
    </w:p>
    <w:p>
      <w:pPr>
        <w:pStyle w:val="883"/>
        <w:jc w:val="center"/>
        <w:keepLines/>
        <w:keepNext/>
        <w:spacing w:before="360" w:after="200"/>
        <w:widowControl w:val="off"/>
        <w:rPr>
          <w:rFonts w:ascii="黑体" w:hAnsi="华文中宋" w:eastAsia="黑体"/>
          <w:color w:val="auto"/>
          <w:sz w:val="28"/>
          <w:szCs w:val="28"/>
          <w:highlight w:val="none"/>
          <w:lang w:eastAsia="zh-CN"/>
        </w:rPr>
        <w:outlineLvl w:val="1"/>
      </w:pPr>
      <w:r>
        <w:rPr>
          <w:rFonts w:ascii="黑体" w:hAnsi="华文中宋" w:eastAsia="黑体"/>
          <w:color w:val="auto"/>
          <w:sz w:val="28"/>
          <w:szCs w:val="28"/>
          <w:highlight w:val="none"/>
          <w:lang w:eastAsia="zh-CN"/>
        </w:rPr>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等线" w:hAnsi="等线" w:cs="Times New Roman"/>
          <w:color w:val="auto"/>
          <w:sz w:val="21"/>
          <w:szCs w:val="22"/>
          <w:highlight w:val="none"/>
          <w:lang w:eastAsia="zh-CN"/>
        </w:rPr>
      </w:pPr>
      <w:r>
        <w:rPr>
          <w:rFonts w:ascii="等线" w:hAnsi="等线" w:cs="Times New Roman"/>
          <w:color w:val="auto"/>
          <w:sz w:val="21"/>
          <w:szCs w:val="22"/>
          <w:highlight w:val="none"/>
          <w:lang w:eastAsia="zh-CN"/>
        </w:rPr>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4"/>
        </w:numPr>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jc w:val="both"/>
        <w:spacing w:line="400" w:lineRule="exact"/>
        <w:widowControl w:val="off"/>
        <w:tabs>
          <w:tab w:val="left" w:pos="999"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945"/>
        <w:jc w:val="both"/>
        <w:spacing w:line="400" w:lineRule="exact"/>
        <w:widowControl w:val="off"/>
        <w:rPr>
          <w:rFonts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20"/>
        <w:spacing w:line="400" w:lineRule="exact"/>
        <w:rPr>
          <w:rFonts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22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jc w:val="both"/>
        <w:spacing w:line="400" w:lineRule="exact"/>
        <w:widowControl w:val="off"/>
        <w:rPr>
          <w:rFonts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840"/>
        <w:jc w:val="both"/>
        <w:spacing w:line="400" w:lineRule="exact"/>
        <w:widowControl w:val="off"/>
        <w:rPr>
          <w:rFonts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84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840"/>
        <w:jc w:val="both"/>
        <w:spacing w:line="400" w:lineRule="exact"/>
        <w:widowControl w:val="off"/>
        <w:rPr>
          <w:rFonts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3"/>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3"/>
        </w:numPr>
        <w:jc w:val="both"/>
        <w:spacing w:line="400" w:lineRule="exact"/>
        <w:widowControl w:val="off"/>
        <w:rPr>
          <w:rFonts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hint="eastAsia" w:ascii="宋体" w:hAnsi="宋体" w:eastAsia="等线" w:cs="宋体"/>
          <w:bCs/>
          <w:color w:val="auto"/>
          <w:sz w:val="21"/>
          <w:highlight w:val="none"/>
          <w:lang w:eastAsia="zh-CN"/>
        </w:rPr>
        <w:t xml:space="preserve">                            </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合同价款的10%  </w:t>
      </w:r>
      <w:r>
        <w:rPr>
          <w:rFonts w:hint="eastAsia" w:ascii="宋体" w:hAnsi="宋体" w:eastAsia="等线" w:cs="宋体"/>
          <w:bCs/>
          <w:color w:val="auto"/>
          <w:sz w:val="21"/>
          <w:highlight w:val="none"/>
          <w:lang w:eastAsia="zh-CN"/>
        </w:rPr>
        <w:t xml:space="preserve">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货物安装、调试、验收合格后10个工作日内退还。</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hint="eastAsia" w:ascii="宋体" w:hAnsi="宋体" w:eastAsia="等线" w:cs="宋体"/>
          <w:bCs/>
          <w:color w:val="auto"/>
          <w:sz w:val="21"/>
          <w:highlight w:val="none"/>
          <w:u w:val="single"/>
          <w:lang w:eastAsia="zh-CN"/>
        </w:rPr>
        <w:t xml:space="preserve"> 乙方在签订合同后5个工作日内，向甲方提交履约保证金。</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hint="eastAsia" w:ascii="宋体" w:hAnsi="宋体" w:eastAsia="等线" w:cs="宋体"/>
          <w:bCs/>
          <w:color w:val="auto"/>
          <w:sz w:val="21"/>
          <w:highlight w:val="none"/>
          <w:lang w:eastAsia="zh-CN"/>
        </w:rPr>
        <w:t xml:space="preserve">                                      </w:t>
      </w:r>
      <w:r/>
    </w:p>
    <w:p>
      <w:pPr>
        <w:ind w:left="3360" w:hanging="2730"/>
        <w:spacing w:line="400" w:lineRule="exact"/>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承担履约保证金金额千分之二/天的违约金。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3"/>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5"/>
        </w:numPr>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3"/>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3"/>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3"/>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86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4"/>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甲方</w:t>
            </w:r>
            <w:r>
              <w:rPr>
                <w:rFonts w:hint="eastAsia" w:ascii="等线" w:hAnsi="等线" w:eastAsia="等线" w:cs="Times New Roman"/>
                <w:color w:val="auto"/>
                <w:sz w:val="21"/>
                <w:highlight w:val="none"/>
                <w:lang w:eastAsia="zh-CN"/>
              </w:rPr>
              <w:t xml:space="preserve">（采购人</w:t>
            </w:r>
            <w:r>
              <w:rPr>
                <w:rFonts w:hint="eastAsia" w:ascii="宋体" w:hAnsi="宋体" w:eastAsia="等线" w:cs="Times New Roman"/>
                <w:color w:val="auto"/>
                <w:sz w:val="21"/>
                <w:highlight w:val="none"/>
                <w:lang w:eastAsia="zh-CN"/>
              </w:rPr>
              <w:t xml:space="preserve">、受采购人委托签订合同的单位或</w:t>
            </w:r>
            <w:r>
              <w:rPr>
                <w:rFonts w:hint="eastAsia" w:ascii="等线" w:hAnsi="等线" w:eastAsia="等线" w:cs="Times New Roman"/>
                <w:color w:val="auto"/>
                <w:sz w:val="21"/>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乙方</w:t>
            </w:r>
            <w:r>
              <w:rPr>
                <w:rFonts w:hint="eastAsia" w:ascii="等线" w:hAnsi="等线" w:eastAsia="等线" w:cs="Times New Roman"/>
                <w:color w:val="auto"/>
                <w:sz w:val="21"/>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10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ascii="等线" w:hAnsi="等线" w:eastAsia="等线" w:cs="Times New Roman"/>
                <w:color w:val="auto"/>
                <w:spacing w:val="20"/>
                <w:sz w:val="21"/>
                <w:highlight w:val="none"/>
                <w:lang w:eastAsia="zh-CN"/>
              </w:rPr>
            </w:pPr>
            <w:r>
              <w:rPr>
                <w:rFonts w:hint="eastAsia" w:ascii="宋体" w:hAnsi="宋体" w:eastAsia="等线" w:cs="Times New Roman"/>
                <w:color w:val="auto"/>
                <w:sz w:val="21"/>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r>
        <w:rPr>
          <w:rFonts w:hint="eastAsia" w:ascii="黑体" w:hAnsi="黑体" w:eastAsia="黑体"/>
          <w:color w:val="auto"/>
          <w:sz w:val="28"/>
          <w:szCs w:val="28"/>
          <w:highlight w:val="none"/>
          <w:lang w:eastAsia="zh-CN"/>
        </w:rPr>
        <w:t xml:space="preserve">第二节 政府采购合同通用条款</w:t>
      </w:r>
      <w:r/>
    </w:p>
    <w:p>
      <w:pPr>
        <w:ind w:firstLine="0"/>
        <w:spacing w:line="400" w:lineRule="exact"/>
        <w:widowControl w:val="off"/>
        <w:tabs>
          <w:tab w:val="left" w:pos="8820" w:leader="none"/>
          <w:tab w:val="left" w:pos="9345" w:leader="none"/>
          <w:tab w:val="left" w:pos="9765" w:leader="none"/>
        </w:tabs>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（1）采购人（以下称甲方）是指使用财政性资金，通过政府采购方式向供应商购买货物及其相关服务的国家机关、事业单位、团体组织。</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numPr>
          <w:ilvl w:val="0"/>
          <w:numId w:val="6"/>
        </w:numPr>
        <w:ind w:firstLine="0"/>
        <w:jc w:val="both"/>
        <w:spacing w:line="400" w:lineRule="exact"/>
        <w:widowControl w:val="off"/>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合同标的及金额</w:t>
      </w:r>
      <w:r/>
    </w:p>
    <w:p>
      <w:pPr>
        <w:ind w:firstLine="420"/>
        <w:spacing w:line="400" w:lineRule="exact"/>
        <w:widowControl w:val="off"/>
        <w:rPr>
          <w:rFonts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3. 履行合同的时间、地点和方式</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4. 甲方的权利和义务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jc w:val="both"/>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spacing w:line="400" w:lineRule="exact"/>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5.4国家法律法规规定及</w:t>
      </w:r>
      <w:r>
        <w:rPr>
          <w:rFonts w:hint="eastAsia" w:ascii="宋体" w:hAnsi="宋体" w:cs="宋体"/>
          <w:b/>
          <w:bCs/>
          <w:color w:val="auto"/>
          <w:highlight w:val="none"/>
          <w:lang w:eastAsia="zh-CN"/>
        </w:rPr>
        <w:t xml:space="preserve">【政府采购合同专用条款】</w:t>
      </w:r>
      <w:r>
        <w:rPr>
          <w:rFonts w:hint="eastAsia" w:ascii="宋体" w:hAnsi="宋体" w:cs="宋体"/>
          <w:color w:val="auto"/>
          <w:highlight w:val="none"/>
          <w:lang w:eastAsia="zh-CN"/>
        </w:rPr>
        <w:t xml:space="preserve">约定应由乙方承担的其他义务和责任。</w:t>
      </w:r>
      <w:r/>
    </w:p>
    <w:p>
      <w:pPr>
        <w:numPr>
          <w:ilvl w:val="0"/>
          <w:numId w:val="7"/>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spacing w:line="400" w:lineRule="exact"/>
        <w:widowControl w:val="off"/>
        <w:rPr>
          <w:rFonts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r>
        <w:rPr>
          <w:rFonts w:hint="eastAsia" w:ascii="宋体" w:hAnsi="宋体" w:cs="宋体"/>
          <w:color w:val="auto"/>
          <w:sz w:val="21"/>
          <w:highlight w:val="none"/>
          <w:lang w:eastAsia="zh-CN"/>
        </w:rPr>
        <w:t xml:space="preserve">。</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ind w:right="-143" w:firstLine="480"/>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w:t>
      </w:r>
      <w:r>
        <w:rPr>
          <w:rFonts w:hint="eastAsia" w:ascii="宋体" w:hAnsi="宋体" w:cs="宋体"/>
          <w:color w:val="auto"/>
          <w:sz w:val="21"/>
          <w:szCs w:val="15"/>
          <w:highlight w:val="none"/>
          <w:lang w:val="en-US" w:eastAsia="zh-CN"/>
        </w:rPr>
        <w:t xml:space="preserve"> </w:t>
      </w:r>
      <w:r>
        <w:rPr>
          <w:rFonts w:hint="eastAsia"/>
          <w:color w:val="auto"/>
          <w:sz w:val="21"/>
          <w:szCs w:val="21"/>
          <w:highlight w:val="none"/>
          <w:lang w:eastAsia="zh-CN"/>
        </w:rPr>
        <w:t xml:space="preserve">付款方式：</w:t>
      </w:r>
      <w:r>
        <w:rPr>
          <w:rFonts w:hint="eastAsia"/>
          <w:sz w:val="21"/>
          <w:szCs w:val="21"/>
          <w:highlight w:val="none"/>
        </w:rPr>
        <w:t xml:space="preserve">预付款：合同签订后，</w:t>
      </w:r>
      <w:r>
        <w:rPr>
          <w:rFonts w:hint="eastAsia"/>
          <w:sz w:val="21"/>
          <w:szCs w:val="21"/>
          <w:highlight w:val="none"/>
          <w:lang w:val="en-US" w:eastAsia="zh-CN"/>
        </w:rPr>
        <w:t xml:space="preserve">甲方</w:t>
      </w:r>
      <w:r>
        <w:rPr>
          <w:rFonts w:hint="eastAsia"/>
          <w:sz w:val="21"/>
          <w:szCs w:val="21"/>
          <w:highlight w:val="none"/>
        </w:rPr>
        <w:t xml:space="preserve">向</w:t>
      </w:r>
      <w:r>
        <w:rPr>
          <w:rFonts w:hint="eastAsia"/>
          <w:sz w:val="21"/>
          <w:szCs w:val="21"/>
          <w:highlight w:val="none"/>
          <w:lang w:val="en-US" w:eastAsia="zh-CN"/>
        </w:rPr>
        <w:t xml:space="preserve">乙方</w:t>
      </w:r>
      <w:r>
        <w:rPr>
          <w:rFonts w:hint="eastAsia"/>
          <w:sz w:val="21"/>
          <w:szCs w:val="21"/>
          <w:highlight w:val="none"/>
        </w:rPr>
        <w:t xml:space="preserve">支付合同总价30%作为项目预付款；进度款：设备完成安装调试，经</w:t>
      </w:r>
      <w:r>
        <w:rPr>
          <w:rFonts w:hint="eastAsia"/>
          <w:sz w:val="21"/>
          <w:szCs w:val="21"/>
          <w:highlight w:val="none"/>
          <w:lang w:val="en-US" w:eastAsia="zh-CN"/>
        </w:rPr>
        <w:t xml:space="preserve">甲方</w:t>
      </w:r>
      <w:r>
        <w:rPr>
          <w:rFonts w:hint="eastAsia"/>
          <w:sz w:val="21"/>
          <w:szCs w:val="21"/>
          <w:highlight w:val="none"/>
        </w:rPr>
        <w:t xml:space="preserve">初步验收合格后，</w:t>
      </w:r>
      <w:r>
        <w:rPr>
          <w:rFonts w:hint="eastAsia"/>
          <w:sz w:val="21"/>
          <w:szCs w:val="21"/>
          <w:highlight w:val="none"/>
          <w:lang w:val="en-US" w:eastAsia="zh-CN"/>
        </w:rPr>
        <w:t xml:space="preserve">甲方</w:t>
      </w:r>
      <w:r>
        <w:rPr>
          <w:rFonts w:hint="eastAsia"/>
          <w:sz w:val="21"/>
          <w:szCs w:val="21"/>
          <w:highlight w:val="none"/>
        </w:rPr>
        <w:t xml:space="preserve">支付至合同总价70%；验收款：设备完成IQ、OQ、PQ全项验证，正常运行且</w:t>
      </w:r>
      <w:r>
        <w:rPr>
          <w:rFonts w:hint="eastAsia"/>
          <w:sz w:val="21"/>
          <w:szCs w:val="21"/>
          <w:highlight w:val="none"/>
          <w:lang w:val="en-US" w:eastAsia="zh-CN"/>
        </w:rPr>
        <w:t xml:space="preserve">完成实验动物使用许可证的办理后，甲方</w:t>
      </w:r>
      <w:r>
        <w:rPr>
          <w:rFonts w:hint="eastAsia"/>
          <w:sz w:val="21"/>
          <w:szCs w:val="21"/>
          <w:highlight w:val="none"/>
        </w:rPr>
        <w:t xml:space="preserve">支付至合同总价</w:t>
      </w:r>
      <w:r>
        <w:rPr>
          <w:rFonts w:hint="eastAsia"/>
          <w:sz w:val="21"/>
          <w:szCs w:val="21"/>
          <w:highlight w:val="none"/>
          <w:lang w:val="en-US" w:eastAsia="zh-CN"/>
        </w:rPr>
        <w:t xml:space="preserve">100</w:t>
      </w:r>
      <w:r>
        <w:rPr>
          <w:rFonts w:hint="eastAsia"/>
          <w:sz w:val="21"/>
          <w:szCs w:val="21"/>
          <w:highlight w:val="none"/>
        </w:rPr>
        <w:t xml:space="preserve">%。</w:t>
      </w:r>
      <w:r>
        <w:rPr>
          <w:rFonts w:hint="eastAsia"/>
          <w:color w:val="auto"/>
          <w:sz w:val="21"/>
          <w:szCs w:val="21"/>
          <w:highlight w:val="none"/>
          <w:lang w:eastAsia="zh-CN"/>
        </w:rPr>
        <w:t xml:space="preserve">每次付款前</w:t>
      </w:r>
      <w:r>
        <w:rPr>
          <w:rFonts w:hint="eastAsia"/>
          <w:color w:val="auto"/>
          <w:sz w:val="21"/>
          <w:szCs w:val="21"/>
          <w:highlight w:val="none"/>
          <w:lang w:val="en-US" w:eastAsia="zh-CN"/>
        </w:rPr>
        <w:t xml:space="preserve">乙方</w:t>
      </w:r>
      <w:r>
        <w:rPr>
          <w:rFonts w:hint="eastAsia"/>
          <w:color w:val="auto"/>
          <w:sz w:val="21"/>
          <w:szCs w:val="21"/>
          <w:highlight w:val="none"/>
          <w:lang w:eastAsia="zh-CN"/>
        </w:rPr>
        <w:t xml:space="preserve">需提交相应的付款发票。若</w:t>
      </w:r>
      <w:r>
        <w:rPr>
          <w:rFonts w:hint="eastAsia"/>
          <w:color w:val="auto"/>
          <w:sz w:val="21"/>
          <w:szCs w:val="21"/>
          <w:highlight w:val="none"/>
          <w:lang w:val="en-US" w:eastAsia="zh-CN"/>
        </w:rPr>
        <w:t xml:space="preserve">乙方</w:t>
      </w:r>
      <w:r>
        <w:rPr>
          <w:rFonts w:hint="eastAsia"/>
          <w:color w:val="auto"/>
          <w:sz w:val="21"/>
          <w:szCs w:val="21"/>
          <w:highlight w:val="none"/>
          <w:lang w:eastAsia="zh-CN"/>
        </w:rPr>
        <w:t xml:space="preserve">未能按期开具发票，</w:t>
      </w:r>
      <w:r>
        <w:rPr>
          <w:rFonts w:hint="eastAsia"/>
          <w:color w:val="auto"/>
          <w:sz w:val="21"/>
          <w:szCs w:val="21"/>
          <w:highlight w:val="none"/>
          <w:lang w:val="en-US" w:eastAsia="zh-CN"/>
        </w:rPr>
        <w:t xml:space="preserve">甲方</w:t>
      </w:r>
      <w:r>
        <w:rPr>
          <w:rFonts w:hint="eastAsia"/>
          <w:color w:val="auto"/>
          <w:sz w:val="21"/>
          <w:szCs w:val="21"/>
          <w:highlight w:val="none"/>
          <w:lang w:eastAsia="zh-CN"/>
        </w:rPr>
        <w:t xml:space="preserve">可顺延付款。</w:t>
      </w:r>
      <w:r/>
    </w:p>
    <w:p>
      <w:pPr>
        <w:ind w:firstLine="0"/>
        <w:jc w:val="both"/>
        <w:spacing w:line="400" w:lineRule="exact"/>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乙方应当以保函等非现金形式提交。</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15.3 迟延支付的违约责任</w:t>
      </w:r>
      <w:r/>
    </w:p>
    <w:p>
      <w:pPr>
        <w:ind w:firstLine="420"/>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firstLine="420"/>
        <w:widowControl w:val="off"/>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firstLine="42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600" w:firstLine="0"/>
        <w:jc w:val="both"/>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8"/>
        </w:numPr>
        <w:jc w:val="both"/>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16.2合同的终止</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（1）合同履行过程中因供应商就采购文件、采购过程或结果提起投诉的，甲方认为有必要的，可以中止合同的履行。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（4）甲方不得以行政区划调整、政府换届、机构或者职能调整以及相关责任人更替为由终止合同。</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spacing w:line="400" w:lineRule="exact"/>
        <w:rPr>
          <w:rFonts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spacing w:line="400" w:lineRule="exact"/>
        <w:widowControl w:val="off"/>
        <w:rPr>
          <w:rFonts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9"/>
        </w:numPr>
        <w:jc w:val="both"/>
        <w:spacing w:line="400" w:lineRule="exact"/>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spacing w:line="400" w:lineRule="exact"/>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spacing w:line="400" w:lineRule="exact"/>
        <w:widowControl w:val="off"/>
        <w:rPr>
          <w:rFonts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r/>
    </w:p>
    <w:p>
      <w:pPr>
        <w:ind w:firstLine="0"/>
        <w:jc w:val="center"/>
        <w:spacing w:line="240" w:lineRule="auto"/>
        <w:widowControl w:val="off"/>
        <w:rPr>
          <w:rFonts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r/>
    </w:p>
    <w:tbl>
      <w:tblPr>
        <w:tblStyle w:val="866"/>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联合体具体要求</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p>
        </w:tc>
      </w:tr>
      <w:tr>
        <w:trPr>
          <w:trHeight w:val="607"/>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第1.2（7）项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其他术语解释</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第4.4款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履约验收中甲方提出异议或作出说明的期限</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t xml:space="preserve">20</w:t>
            </w:r>
            <w:r>
              <w:rPr>
                <w:rFonts w:hint="eastAsia" w:ascii="宋体" w:hAnsi="宋体" w:cs="Times New Roman"/>
                <w:color w:val="auto"/>
                <w:sz w:val="21"/>
                <w:highlight w:val="none"/>
                <w:lang w:eastAsia="zh-CN"/>
              </w:rPr>
              <w:t xml:space="preserve">个工作日</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第4.6款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约定甲方承担的其他义务和责任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第5.4款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约定乙方承担的其他义务和责任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第6.1款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履行合同义务的顺序</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cs="Times New Roman"/>
                <w:color w:val="auto"/>
                <w:sz w:val="21"/>
                <w:highlight w:val="none"/>
                <w:lang w:eastAsia="zh-CN"/>
              </w:rPr>
              <w:t xml:space="preserve">/</w:t>
            </w:r>
            <w:r/>
          </w:p>
        </w:tc>
      </w:tr>
      <w:tr>
        <w:trPr>
          <w:trHeight w:val="670"/>
        </w:trPr>
        <w:tc>
          <w:tcPr>
            <w:tcW w:w="1799" w:type="dxa"/>
            <w:vAlign w:val="center"/>
            <w:vMerge w:val="restart"/>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包装特殊要求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乙方应对任何由于不当包装或防护措施不力而导致的商品损坏、损失、锈蚀、费用增长等后果负责。</w:t>
            </w:r>
            <w:r/>
          </w:p>
        </w:tc>
      </w:tr>
      <w:tr>
        <w:trPr>
          <w:trHeight w:val="670"/>
        </w:trPr>
        <w:tc>
          <w:tcPr>
            <w:tcW w:w="1799" w:type="dxa"/>
            <w:vAlign w:val="center"/>
            <w:vMerge w:val="continue"/>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指定现场</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Calibri" w:hAnsi="Calibri" w:cs="Calibri"/>
                <w:sz w:val="21"/>
                <w:highlight w:val="none"/>
              </w:rPr>
              <w:t xml:space="preserve">甲方指定现场</w:t>
            </w:r>
            <w:r/>
          </w:p>
        </w:tc>
      </w:tr>
      <w:tr>
        <w:trPr>
          <w:trHeight w:val="775"/>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运输特殊要求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hint="eastAsia" w:ascii="宋体" w:hAnsi="宋体" w:cs="宋体"/>
                <w:color w:val="auto"/>
                <w:sz w:val="21"/>
                <w:highlight w:val="none"/>
                <w:lang w:eastAsia="zh-CN"/>
              </w:rPr>
              <w:t xml:space="preserve">由乙方负责办理运输并承担所有费用，直接送到甲方指定地点，并实施安装调试。</w:t>
            </w:r>
            <w:r/>
          </w:p>
        </w:tc>
      </w:tr>
      <w:tr>
        <w:trPr>
          <w:trHeight w:val="67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第7.3款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保险要求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第8.2（1）项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质量保证期</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cs="宋体"/>
                <w:color w:val="auto"/>
                <w:sz w:val="21"/>
                <w:highlight w:val="none"/>
                <w:lang w:eastAsia="zh-CN"/>
              </w:rPr>
              <w:t xml:space="preserve">自项目整体验收合格之日起</w:t>
            </w:r>
            <w:r>
              <w:rPr>
                <w:rFonts w:hint="eastAsia" w:ascii="宋体" w:hAnsi="宋体" w:cs="宋体"/>
                <w:color w:val="auto"/>
                <w:sz w:val="21"/>
                <w:highlight w:val="none"/>
                <w:lang w:val="en-US" w:eastAsia="zh-CN"/>
              </w:rPr>
              <w:t xml:space="preserve">3</w:t>
            </w:r>
            <w:r>
              <w:rPr>
                <w:rFonts w:hint="eastAsia" w:ascii="宋体" w:hAnsi="宋体" w:cs="宋体"/>
                <w:color w:val="auto"/>
                <w:sz w:val="21"/>
                <w:highlight w:val="none"/>
                <w:lang w:eastAsia="zh-CN"/>
              </w:rPr>
              <w:t xml:space="preserve">年</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货物质量缺陷</w:t>
            </w:r>
            <w:r/>
          </w:p>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响应时间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第二节</w:t>
            </w:r>
            <w:r/>
          </w:p>
          <w:p>
            <w:pPr>
              <w:ind w:firstLine="0"/>
              <w:jc w:val="center"/>
              <w:spacing w:line="400" w:lineRule="exact"/>
              <w:rPr>
                <w:rFonts w:ascii="华文楷体" w:hAnsi="华文楷体" w:eastAsia="华文楷体" w:cs="华文楷体"/>
                <w:color w:val="auto"/>
                <w:sz w:val="22"/>
                <w:highlight w:val="none"/>
                <w:lang w:eastAsia="zh-CN"/>
              </w:rPr>
            </w:pPr>
            <w:r>
              <w:rPr>
                <w:rFonts w:hint="eastAsia" w:ascii="宋体" w:hAnsi="宋体" w:cs="宋体"/>
                <w:color w:val="auto"/>
                <w:sz w:val="22"/>
                <w:highlight w:val="none"/>
                <w:lang w:eastAsia="zh-CN"/>
              </w:rPr>
              <w:t xml:space="preserve">第11.1款</w:t>
            </w:r>
            <w:r/>
          </w:p>
        </w:tc>
        <w:tc>
          <w:tcPr>
            <w:tcW w:w="1950"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其他应当保密的信息</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Calibri" w:hAnsi="Calibri" w:cs="Calibri"/>
                <w:sz w:val="21"/>
                <w:highlight w:val="none"/>
                <w:lang w:eastAsia="zh-CN"/>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合同价款支付时间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履约保证金不予退还的情形</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履约保证金退还时间及逾期退还的违约金</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运行监督、维修期限</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第14.1（5）项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货物回收的约定</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乙方提供的其他服务</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修理、重做、更换相关具体规定</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第15.2（2）项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迟延交货赔偿费</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t xml:space="preserve">除不可抗力外，每逾期一日，乙方应按照逾期交货金额的万分之五的标准累计计算向甲方支付违约金。逾期超过20个工作日的，甲方有权解除合同，甲方如已支付费用的，乙方全部返还;</w:t>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逾期付款利息</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t xml:space="preserve">甲方无正当理由逾期付款时，每逾期一日，甲方应按照逾期付款金额的万分之五的标准累计计算向乙方支付违约金。</w:t>
            </w:r>
            <w:r/>
          </w:p>
        </w:tc>
      </w:tr>
      <w:tr>
        <w:trPr>
          <w:trHeight w:val="880"/>
        </w:trPr>
        <w:tc>
          <w:tcPr>
            <w:tcBorders>
              <w:bottom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u w:val="single"/>
                <w:lang w:eastAsia="zh-CN"/>
              </w:rPr>
              <w:t xml:space="preserve">乙方如无不可抗力，又未履行招标文件、投标文件和合同条款的，一经查实，由乙方赔偿由此给甲方造成的损失，并按照合同总价的10%向甲方支付违约金，因招、投标产生的其他责任及后果按招标文件的相关要求及处理方式执行。</w:t>
            </w:r>
            <w:r/>
          </w:p>
        </w:tc>
      </w:tr>
      <w:tr>
        <w:trPr>
          <w:trHeight w:val="90"/>
        </w:trPr>
        <w:tc>
          <w:tcPr>
            <w:tcBorders>
              <w:top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因本合同及合同有关事项发生的争议，按下列第</w:t>
            </w:r>
            <w:r>
              <w:rPr>
                <w:rFonts w:hint="eastAsia" w:ascii="宋体" w:hAnsi="宋体" w:cs="宋体"/>
                <w:iCs/>
                <w:color w:val="auto"/>
                <w:sz w:val="21"/>
                <w:highlight w:val="none"/>
                <w:u w:val="single"/>
                <w:lang w:eastAsia="zh-CN"/>
              </w:rPr>
              <w:t xml:space="preserve">  （2） </w:t>
            </w:r>
            <w:r>
              <w:rPr>
                <w:rFonts w:hint="eastAsia" w:ascii="宋体" w:hAnsi="宋体" w:cs="宋体"/>
                <w:iCs/>
                <w:color w:val="auto"/>
                <w:sz w:val="21"/>
                <w:highlight w:val="none"/>
                <w:lang w:eastAsia="zh-CN"/>
              </w:rPr>
              <w:t xml:space="preserve">种方式解决：</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（1）向</w:t>
            </w:r>
            <w:r>
              <w:rPr>
                <w:rFonts w:hint="eastAsia" w:ascii="宋体" w:hAnsi="宋体" w:cs="宋体"/>
                <w:iCs/>
                <w:color w:val="auto"/>
                <w:sz w:val="21"/>
                <w:highlight w:val="none"/>
                <w:u w:val="single"/>
                <w:lang w:eastAsia="zh-CN"/>
              </w:rPr>
              <w:t xml:space="preserve">   无锡  </w:t>
            </w:r>
            <w:r>
              <w:rPr>
                <w:rFonts w:hint="eastAsia" w:ascii="宋体" w:hAnsi="宋体" w:cs="宋体"/>
                <w:iCs/>
                <w:color w:val="auto"/>
                <w:sz w:val="21"/>
                <w:highlight w:val="none"/>
                <w:lang w:eastAsia="zh-CN"/>
              </w:rPr>
              <w:t xml:space="preserve">仲裁委员会申请仲裁，仲裁地点为</w:t>
            </w:r>
            <w:r>
              <w:rPr>
                <w:rFonts w:hint="eastAsia" w:ascii="宋体" w:hAnsi="宋体" w:cs="宋体"/>
                <w:iCs/>
                <w:color w:val="auto"/>
                <w:sz w:val="21"/>
                <w:highlight w:val="none"/>
                <w:u w:val="single"/>
                <w:lang w:eastAsia="zh-CN"/>
              </w:rPr>
              <w:t xml:space="preserve"> 无锡锡山区  </w:t>
            </w:r>
            <w:r>
              <w:rPr>
                <w:rFonts w:hint="eastAsia" w:ascii="宋体" w:hAnsi="宋体" w:cs="宋体"/>
                <w:iCs/>
                <w:color w:val="auto"/>
                <w:sz w:val="21"/>
                <w:highlight w:val="none"/>
                <w:lang w:eastAsia="zh-CN"/>
              </w:rPr>
              <w:t xml:space="preserve">；</w:t>
            </w:r>
            <w:r/>
          </w:p>
          <w:p>
            <w:pPr>
              <w:ind w:firstLine="0"/>
              <w:spacing w:line="240" w:lineRule="auto"/>
              <w:widowControl w:val="off"/>
              <w:rPr>
                <w:rFonts w:ascii="宋体" w:hAnsi="宋体" w:eastAsia="等线" w:cs="Times New Roman"/>
                <w:color w:val="auto"/>
                <w:sz w:val="21"/>
                <w:highlight w:val="none"/>
                <w:u w:val="single"/>
                <w:lang w:eastAsia="zh-CN"/>
              </w:rPr>
            </w:pPr>
            <w:r>
              <w:rPr>
                <w:rFonts w:hint="eastAsia" w:ascii="宋体" w:hAnsi="宋体" w:cs="宋体"/>
                <w:iCs/>
                <w:color w:val="auto"/>
                <w:sz w:val="21"/>
                <w:highlight w:val="none"/>
                <w:lang w:eastAsia="zh-CN"/>
              </w:rPr>
              <w:t xml:space="preserve">（2）向</w:t>
            </w:r>
            <w:r>
              <w:rPr>
                <w:rFonts w:hint="eastAsia" w:ascii="宋体" w:hAnsi="宋体" w:cs="宋体"/>
                <w:iCs/>
                <w:color w:val="auto"/>
                <w:sz w:val="21"/>
                <w:highlight w:val="none"/>
                <w:u w:val="single"/>
                <w:lang w:eastAsia="zh-CN"/>
              </w:rPr>
              <w:t xml:space="preserve">  甲方所在地 </w:t>
            </w:r>
            <w:r>
              <w:rPr>
                <w:rFonts w:hint="eastAsia" w:ascii="宋体" w:hAnsi="宋体" w:cs="宋体"/>
                <w:iCs/>
                <w:color w:val="auto"/>
                <w:sz w:val="21"/>
                <w:highlight w:val="none"/>
                <w:lang w:eastAsia="zh-CN"/>
              </w:rPr>
              <w:t xml:space="preserve">人民法院起诉。</w:t>
            </w:r>
            <w:r/>
          </w:p>
        </w:tc>
      </w:tr>
      <w:tr>
        <w:trPr>
          <w:trHeight w:val="773"/>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第23.1款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bCs/>
                <w:color w:val="auto"/>
                <w:sz w:val="21"/>
                <w:highlight w:val="none"/>
                <w:lang w:eastAsia="zh-CN"/>
              </w:rPr>
              <w:t xml:space="preserve">其他专用条款</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r>
    </w:tbl>
    <w:p>
      <w:pPr>
        <w:ind w:firstLine="0"/>
        <w:widowControl w:val="off"/>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eastAsia="黑体"/>
          <w:b/>
          <w:bCs/>
          <w:color w:val="auto"/>
          <w:sz w:val="36"/>
          <w:szCs w:val="44"/>
          <w:highlight w:val="none"/>
          <w:lang w:eastAsia="zh-CN"/>
        </w:rPr>
      </w:pPr>
      <w:r>
        <w:rPr>
          <w:color w:val="auto"/>
          <w:highlight w:val="none"/>
          <w:lang w:eastAsia="zh-CN"/>
        </w:rPr>
        <w:br w:type="page" w:clear="all"/>
      </w:r>
      <w:r/>
    </w:p>
    <w:p>
      <w:pPr>
        <w:pStyle w:val="861"/>
        <w:rPr>
          <w:color w:val="auto"/>
          <w:highlight w:val="none"/>
          <w:lang w:eastAsia="zh-CN"/>
        </w:rPr>
      </w:pPr>
      <w:r>
        <w:rPr>
          <w:rFonts w:hint="eastAsia"/>
          <w:color w:val="auto"/>
          <w:highlight w:val="none"/>
          <w:lang w:eastAsia="zh-CN"/>
        </w:rPr>
        <w:t xml:space="preserve">五、附件</w:t>
      </w:r>
      <w:r/>
    </w:p>
    <w:p>
      <w:pPr>
        <w:pStyle w:val="862"/>
        <w:rPr>
          <w:color w:val="auto"/>
          <w:highlight w:val="none"/>
          <w:lang w:eastAsia="zh-CN"/>
        </w:rPr>
      </w:pPr>
      <w:r>
        <w:rPr>
          <w:rFonts w:hint="eastAsia"/>
          <w:color w:val="auto"/>
          <w:highlight w:val="none"/>
          <w:lang w:eastAsia="zh-CN"/>
        </w:rPr>
        <w:t xml:space="preserve">附件一：评分标准</w:t>
      </w:r>
      <w:r/>
    </w:p>
    <w:p>
      <w:pPr>
        <w:ind w:firstLine="480"/>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rPr>
          <w:rFonts w:ascii="宋体" w:hAnsi="宋体" w:cs="宋体"/>
          <w:szCs w:val="24"/>
          <w:highlight w:val="none"/>
          <w:lang w:eastAsia="zh-CN"/>
        </w:rPr>
      </w:pPr>
      <w:r>
        <w:rPr>
          <w:rFonts w:hint="eastAsia" w:ascii="宋体" w:hAnsi="宋体" w:cs="宋体"/>
          <w:szCs w:val="24"/>
          <w:highlight w:val="none"/>
          <w:lang w:val="en-US" w:eastAsia="zh-CN"/>
        </w:rPr>
        <w:t xml:space="preserve">一、</w:t>
      </w:r>
      <w:r>
        <w:rPr>
          <w:rFonts w:hint="eastAsia" w:ascii="宋体" w:hAnsi="宋体" w:cs="宋体"/>
          <w:szCs w:val="24"/>
          <w:highlight w:val="none"/>
          <w:lang w:eastAsia="zh-CN"/>
        </w:rPr>
        <w:t xml:space="preserve">评分项目及分值（总分100分）</w:t>
      </w:r>
      <w:r/>
    </w:p>
    <w:p>
      <w:pPr>
        <w:ind w:firstLine="482"/>
        <w:rPr>
          <w:rFonts w:ascii="宋体" w:hAnsi="宋体" w:cs="宋体"/>
          <w:b/>
          <w:szCs w:val="24"/>
          <w:highlight w:val="none"/>
          <w:lang w:eastAsia="zh-CN"/>
        </w:rPr>
      </w:pPr>
      <w:r>
        <w:rPr>
          <w:rFonts w:hint="eastAsia" w:ascii="宋体" w:hAnsi="宋体" w:cs="宋体"/>
          <w:b/>
          <w:szCs w:val="24"/>
          <w:highlight w:val="none"/>
          <w:lang w:eastAsia="zh-CN"/>
        </w:rPr>
        <w:t xml:space="preserve">（1）价格分                                     30分</w:t>
      </w:r>
      <w:r/>
    </w:p>
    <w:p>
      <w:pPr>
        <w:ind w:firstLine="482"/>
        <w:rPr>
          <w:rFonts w:ascii="宋体" w:hAnsi="宋体" w:cs="宋体"/>
          <w:b/>
          <w:szCs w:val="24"/>
          <w:highlight w:val="none"/>
          <w:lang w:eastAsia="zh-CN"/>
        </w:rPr>
      </w:pPr>
      <w:r>
        <w:rPr>
          <w:rFonts w:hint="eastAsia" w:ascii="宋体" w:hAnsi="宋体" w:cs="宋体"/>
          <w:b/>
          <w:szCs w:val="24"/>
          <w:highlight w:val="none"/>
          <w:lang w:eastAsia="zh-CN"/>
        </w:rPr>
        <w:t xml:space="preserve">（2）商务资信部分 （含加分因素）                2</w:t>
      </w:r>
      <w:r>
        <w:rPr>
          <w:rFonts w:hint="eastAsia" w:ascii="宋体" w:hAnsi="宋体" w:cs="宋体"/>
          <w:b/>
          <w:szCs w:val="24"/>
          <w:highlight w:val="none"/>
          <w:lang w:val="en-US" w:eastAsia="zh-CN"/>
        </w:rPr>
        <w:t xml:space="preserve">6</w:t>
      </w:r>
      <w:r>
        <w:rPr>
          <w:rFonts w:hint="eastAsia" w:ascii="宋体" w:hAnsi="宋体" w:cs="宋体"/>
          <w:b/>
          <w:szCs w:val="24"/>
          <w:highlight w:val="none"/>
          <w:lang w:eastAsia="zh-CN"/>
        </w:rPr>
        <w:t xml:space="preserve">分</w:t>
      </w:r>
      <w:r/>
    </w:p>
    <w:p>
      <w:pPr>
        <w:ind w:firstLine="482"/>
        <w:rPr>
          <w:rFonts w:ascii="宋体" w:hAnsi="宋体" w:cs="宋体"/>
          <w:szCs w:val="24"/>
          <w:highlight w:val="none"/>
          <w:lang w:eastAsia="zh-CN"/>
        </w:rPr>
      </w:pPr>
      <w:r>
        <w:rPr>
          <w:rFonts w:hint="eastAsia" w:ascii="宋体" w:hAnsi="宋体" w:cs="宋体"/>
          <w:b/>
          <w:szCs w:val="24"/>
          <w:highlight w:val="none"/>
          <w:lang w:eastAsia="zh-CN"/>
        </w:rPr>
        <w:t xml:space="preserve">（3）技术方案                                   4</w:t>
      </w:r>
      <w:r>
        <w:rPr>
          <w:rFonts w:hint="eastAsia" w:ascii="宋体" w:hAnsi="宋体" w:cs="宋体"/>
          <w:b/>
          <w:szCs w:val="24"/>
          <w:highlight w:val="none"/>
          <w:lang w:val="en-US" w:eastAsia="zh-CN"/>
        </w:rPr>
        <w:t xml:space="preserve">4</w:t>
      </w:r>
      <w:r>
        <w:rPr>
          <w:rFonts w:hint="eastAsia" w:ascii="宋体" w:hAnsi="宋体" w:cs="宋体"/>
          <w:b/>
          <w:szCs w:val="24"/>
          <w:highlight w:val="none"/>
          <w:lang w:eastAsia="zh-CN"/>
        </w:rPr>
        <w:t xml:space="preserve">分                           </w:t>
      </w:r>
      <w:r/>
    </w:p>
    <w:p>
      <w:pPr>
        <w:ind w:firstLine="480"/>
        <w:rPr>
          <w:rFonts w:hint="eastAsia" w:ascii="宋体" w:hAnsi="宋体" w:cs="宋体"/>
          <w:szCs w:val="24"/>
          <w:highlight w:val="none"/>
          <w:lang w:eastAsia="zh-CN"/>
        </w:rPr>
      </w:pPr>
      <w:r>
        <w:rPr>
          <w:rFonts w:hint="eastAsia" w:ascii="宋体" w:hAnsi="宋体" w:cs="宋体"/>
          <w:szCs w:val="24"/>
          <w:highlight w:val="none"/>
          <w:lang w:val="en-US" w:eastAsia="zh-CN"/>
        </w:rPr>
        <w:t xml:space="preserve">二、</w:t>
      </w:r>
      <w:r>
        <w:rPr>
          <w:rFonts w:hint="eastAsia" w:ascii="宋体" w:hAnsi="宋体" w:cs="宋体"/>
          <w:szCs w:val="24"/>
          <w:highlight w:val="none"/>
          <w:lang w:eastAsia="zh-CN"/>
        </w:rPr>
        <w:t xml:space="preserve">各项目评分标准</w:t>
      </w:r>
      <w:r/>
    </w:p>
    <w:p>
      <w:pPr>
        <w:ind w:firstLine="482"/>
        <w:rPr>
          <w:rFonts w:hint="eastAsia" w:ascii="宋体" w:hAnsi="宋体" w:cs="宋体"/>
          <w:b/>
          <w:szCs w:val="24"/>
          <w:highlight w:val="none"/>
          <w:lang w:eastAsia="zh-CN"/>
        </w:rPr>
      </w:pPr>
      <w:r>
        <w:rPr>
          <w:rFonts w:hint="eastAsia" w:ascii="宋体" w:hAnsi="宋体" w:cs="宋体"/>
          <w:b/>
          <w:szCs w:val="24"/>
          <w:highlight w:val="none"/>
          <w:lang w:eastAsia="zh-CN"/>
        </w:rPr>
        <w:t xml:space="preserve">（</w:t>
      </w:r>
      <w:r>
        <w:rPr>
          <w:rFonts w:hint="eastAsia" w:ascii="宋体" w:hAnsi="宋体" w:cs="宋体"/>
          <w:b/>
          <w:szCs w:val="24"/>
          <w:highlight w:val="none"/>
          <w:lang w:val="en-US" w:eastAsia="zh-CN"/>
        </w:rPr>
        <w:t xml:space="preserve">一</w:t>
      </w:r>
      <w:r>
        <w:rPr>
          <w:rFonts w:hint="eastAsia" w:ascii="宋体" w:hAnsi="宋体" w:cs="宋体"/>
          <w:b/>
          <w:szCs w:val="24"/>
          <w:highlight w:val="none"/>
          <w:lang w:eastAsia="zh-CN"/>
        </w:rPr>
        <w:t xml:space="preserve">）价格分（30分）</w:t>
      </w:r>
      <w:r/>
    </w:p>
    <w:p>
      <w:pPr>
        <w:ind w:firstLine="480"/>
        <w:keepLines w:val="0"/>
        <w:keepNext w:val="0"/>
        <w:pageBreakBefore w:val="0"/>
        <w:spacing w:line="360" w:lineRule="auto"/>
        <w:widowControl/>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1.投标总报价低于或等于采购最高限价的，为有效投标报价。超采购最高限价的投标报价为无效投标报价。无效投标报价的投标文件不进行评审，也不得中标。</w:t>
      </w:r>
      <w:r/>
    </w:p>
    <w:p>
      <w:pPr>
        <w:ind w:firstLine="480"/>
        <w:keepLines w:val="0"/>
        <w:keepNext w:val="0"/>
        <w:pageBreakBefore w:val="0"/>
        <w:spacing w:line="360" w:lineRule="auto"/>
        <w:widowControl/>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2.价格得分计算方法：采用低价优先法计算，即满足采购文件要求且投标价格最低的投标报价为评标基准价，其价格分为满分。其他投标供应商的价格分统一按照下列公式计算：</w:t>
      </w:r>
      <w:r/>
    </w:p>
    <w:p>
      <w:pPr>
        <w:ind w:firstLine="480"/>
        <w:keepLines w:val="0"/>
        <w:keepNext w:val="0"/>
        <w:pageBreakBefore w:val="0"/>
        <w:spacing w:line="360" w:lineRule="auto"/>
        <w:widowControl/>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投标报价得分=（评标基准价／投标报价）×价格分。</w:t>
      </w:r>
      <w:r/>
    </w:p>
    <w:p>
      <w:pPr>
        <w:ind w:firstLine="480"/>
        <w:keepLines w:val="0"/>
        <w:keepNext w:val="0"/>
        <w:pageBreakBefore w:val="0"/>
        <w:spacing w:line="360" w:lineRule="auto"/>
        <w:widowControl/>
        <w:rPr>
          <w:rFonts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项目评审过程中，不得去掉最后报价中的最高报价和最低报价。</w:t>
      </w:r>
      <w:r/>
    </w:p>
    <w:p>
      <w:pPr>
        <w:keepLines w:val="0"/>
        <w:keepNext w:val="0"/>
        <w:pageBreakBefore w:val="0"/>
        <w:spacing w:line="360" w:lineRule="auto"/>
        <w:widowControl/>
        <w:rPr>
          <w:rFonts w:hint="eastAsia" w:ascii="宋体" w:hAnsi="宋体" w:cs="宋体" w:eastAsiaTheme="minorEastAsia"/>
          <w:b/>
          <w:szCs w:val="24"/>
          <w:highlight w:val="none"/>
          <w:lang w:eastAsia="zh-CN"/>
        </w:rPr>
      </w:pPr>
      <w:r/>
      <w:bookmarkStart w:id="13" w:name="_Hlk61121298"/>
      <w:r>
        <w:rPr>
          <w:rFonts w:hint="eastAsia" w:ascii="宋体" w:hAnsi="宋体" w:cs="宋体" w:eastAsiaTheme="minorEastAsia"/>
          <w:b/>
          <w:szCs w:val="24"/>
          <w:highlight w:val="none"/>
          <w:lang w:eastAsia="zh-CN"/>
        </w:rPr>
        <w:t xml:space="preserve">评标委员会认定投标人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13"/>
      <w:r/>
      <w:r/>
    </w:p>
    <w:p>
      <w:pPr>
        <w:numPr>
          <w:ilvl w:val="0"/>
          <w:numId w:val="0"/>
        </w:numPr>
        <w:ind w:firstLine="241"/>
        <w:rPr>
          <w:rFonts w:hint="eastAsia" w:ascii="宋体" w:hAnsi="宋体" w:cs="宋体"/>
          <w:b/>
          <w:szCs w:val="24"/>
          <w:highlight w:val="none"/>
          <w:lang w:eastAsia="zh-CN"/>
        </w:rPr>
      </w:pPr>
      <w:r>
        <w:rPr>
          <w:rFonts w:hint="eastAsia" w:ascii="宋体" w:hAnsi="宋体" w:cs="宋体"/>
          <w:b/>
          <w:szCs w:val="24"/>
          <w:highlight w:val="none"/>
          <w:lang w:eastAsia="zh-CN"/>
        </w:rPr>
        <w:t xml:space="preserve">（</w:t>
      </w:r>
      <w:r>
        <w:rPr>
          <w:rFonts w:hint="eastAsia" w:ascii="宋体" w:hAnsi="宋体" w:cs="宋体"/>
          <w:b/>
          <w:szCs w:val="24"/>
          <w:highlight w:val="none"/>
          <w:lang w:val="en-US" w:eastAsia="zh-CN"/>
        </w:rPr>
        <w:t xml:space="preserve">二</w:t>
      </w:r>
      <w:r>
        <w:rPr>
          <w:rFonts w:hint="eastAsia" w:ascii="宋体" w:hAnsi="宋体" w:cs="宋体"/>
          <w:b/>
          <w:szCs w:val="24"/>
          <w:highlight w:val="none"/>
          <w:lang w:eastAsia="zh-CN"/>
        </w:rPr>
        <w:t xml:space="preserve">）商务资信部分（2</w:t>
      </w:r>
      <w:r>
        <w:rPr>
          <w:rFonts w:hint="eastAsia" w:ascii="宋体" w:hAnsi="宋体" w:cs="宋体"/>
          <w:b/>
          <w:szCs w:val="24"/>
          <w:highlight w:val="none"/>
          <w:lang w:val="en-US" w:eastAsia="zh-CN"/>
        </w:rPr>
        <w:t xml:space="preserve">6</w:t>
      </w:r>
      <w:r>
        <w:rPr>
          <w:rFonts w:hint="eastAsia" w:ascii="宋体" w:hAnsi="宋体" w:cs="宋体"/>
          <w:b/>
          <w:szCs w:val="24"/>
          <w:highlight w:val="none"/>
          <w:lang w:eastAsia="zh-CN"/>
        </w:rPr>
        <w:t xml:space="preserve">分）</w:t>
      </w:r>
      <w:r/>
    </w:p>
    <w:p>
      <w:pPr>
        <w:ind w:firstLine="480"/>
        <w:keepLines w:val="0"/>
        <w:keepNext w:val="0"/>
        <w:pageBreakBefore w:val="0"/>
        <w:spacing w:line="360" w:lineRule="auto"/>
        <w:widowControl/>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eastAsia="zh-CN"/>
        </w:rPr>
        <w:t xml:space="preserve">（</w:t>
      </w:r>
      <w:r>
        <w:rPr>
          <w:rFonts w:hint="eastAsia" w:ascii="宋体" w:hAnsi="宋体" w:cs="宋体" w:eastAsiaTheme="minorEastAsia"/>
          <w:bCs/>
          <w:szCs w:val="24"/>
          <w:highlight w:val="none"/>
          <w:lang w:val="en-US" w:eastAsia="zh-CN"/>
        </w:rPr>
        <w:t xml:space="preserve">1）企业业绩（3分）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投标供应商近三年（以招标公告发布日期起往前）以来承担过类似项目业绩的，每提供一个有效合同得</w:t>
      </w:r>
      <w:r>
        <w:rPr>
          <w:rFonts w:hint="eastAsia" w:ascii="宋体" w:hAnsi="宋体" w:cs="宋体" w:eastAsiaTheme="minorEastAsia"/>
          <w:bCs/>
          <w:szCs w:val="24"/>
          <w:highlight w:val="none"/>
          <w:lang w:val="en-US" w:eastAsia="zh-CN"/>
        </w:rPr>
        <w:t xml:space="preserve">1.5</w:t>
      </w:r>
      <w:r>
        <w:rPr>
          <w:rFonts w:hint="eastAsia" w:ascii="宋体" w:hAnsi="宋体" w:cs="宋体" w:eastAsiaTheme="minorEastAsia"/>
          <w:bCs/>
          <w:szCs w:val="24"/>
          <w:highlight w:val="none"/>
          <w:lang w:eastAsia="zh-CN"/>
        </w:rPr>
        <w:t xml:space="preserve">分，本项最高得</w:t>
      </w:r>
      <w:r>
        <w:rPr>
          <w:rFonts w:hint="eastAsia" w:ascii="宋体" w:hAnsi="宋体" w:cs="宋体" w:eastAsiaTheme="minorEastAsia"/>
          <w:bCs/>
          <w:szCs w:val="24"/>
          <w:highlight w:val="none"/>
          <w:lang w:val="en-US" w:eastAsia="zh-CN"/>
        </w:rPr>
        <w:t xml:space="preserve">3</w:t>
      </w:r>
      <w:r>
        <w:rPr>
          <w:rFonts w:hint="eastAsia" w:ascii="宋体" w:hAnsi="宋体" w:cs="宋体" w:eastAsiaTheme="minorEastAsia"/>
          <w:bCs/>
          <w:szCs w:val="24"/>
          <w:highlight w:val="none"/>
          <w:lang w:eastAsia="zh-CN"/>
        </w:rPr>
        <w:t xml:space="preserve">分。所提供的合同至少需包含合同双方签署页及合同签署双方的完整信息。时间以合同签订时间为准，投标文件中提供合同原件扫描件。</w:t>
      </w:r>
      <w:r/>
    </w:p>
    <w:p>
      <w:pPr>
        <w:numPr>
          <w:ilvl w:val="0"/>
          <w:numId w:val="0"/>
        </w:numPr>
        <w:ind w:left="200" w:firstLine="24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（2）技术响应（20分）</w:t>
      </w:r>
      <w:r/>
    </w:p>
    <w:tbl>
      <w:tblPr>
        <w:tblStyle w:val="86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5"/>
        <w:gridCol w:w="4688"/>
        <w:gridCol w:w="3450"/>
        <w:gridCol w:w="131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left"/>
              <w:rPr>
                <w:rFonts w:hint="eastAsia" w:ascii="宋体" w:hAnsi="宋体" w:eastAsia="宋体" w:cs="宋体"/>
                <w:b/>
                <w:bCs/>
                <w:i w:val="0"/>
                <w:iCs w:val="0"/>
                <w:color w:val="000000"/>
                <w:sz w:val="22"/>
                <w:szCs w:val="22"/>
                <w:highlight w:val="none"/>
                <w:u w:val="none"/>
                <w:lang w:val="en-US" w:eastAsia="zh-CN"/>
              </w:rPr>
            </w:pPr>
            <w:r>
              <w:rPr>
                <w:rFonts w:hint="eastAsia" w:ascii="宋体" w:hAnsi="宋体" w:eastAsia="宋体" w:cs="宋体"/>
                <w:b/>
                <w:bCs/>
                <w:i w:val="0"/>
                <w:iCs w:val="0"/>
                <w:color w:val="000000"/>
                <w:sz w:val="22"/>
                <w:szCs w:val="22"/>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采购需求</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加分要求</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left"/>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分值</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firstLine="0"/>
              <w:jc w:val="center"/>
              <w:keepLines w:val="0"/>
              <w:keepNext w:val="0"/>
              <w:widowControl/>
              <w:rPr>
                <w:rFonts w:hint="default"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IVC主机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1.3、主机能耗参数：最大运行功率≤200W；</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1.3、主机能耗参数：最大运行功率</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150W，得2分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1.12、笼内微环境：气流速度(m/s)：≤0.15；空气洁净度(级)：100级；菌落数(个/皿小时)≤0；</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1.12、笼内微环境：气流速度(m/s)：≤0.14；空气洁净度(级)：100级；菌落数(个/皿小时)≤0</w:t>
            </w:r>
            <w:r>
              <w:rPr>
                <w:rFonts w:hint="eastAsia" w:ascii="宋体" w:hAnsi="宋体" w:eastAsia="宋体" w:cs="宋体"/>
                <w:i w:val="0"/>
                <w:iCs w:val="0"/>
                <w:color w:val="000000"/>
                <w:sz w:val="22"/>
                <w:szCs w:val="22"/>
                <w:highlight w:val="none"/>
                <w:u w:val="none"/>
                <w:lang w:val="en-US" w:eastAsia="zh-CN" w:bidi="ar"/>
              </w:rPr>
              <w:t xml:space="preserve">，得2分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1.15、主机显示屏：应采用彩色液晶触摸屏，尺寸≥10寸，主屏同时显示温度、湿度、笼盒总数、换气次数设定值、实际值、实时压差设定值、实际值；</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主机显示屏：应采用彩色液晶触摸屏，尺寸≥10寸，主屏同时显示温度、湿度、笼盒总数、换气次数设定值、实际值；实时压差设定值、实际值；可通过PC或移动设备远程操作及显示仪器状态，运行数据可下载，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1.16、报警提示：主机显示面板应设有报警提示，根据不同提示，报警灯条显示不同颜色；</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1.16、报警提示：主机显示面板应设有报警提示，根据不同提示，报警灯条需包括显示红色、黄色、绿色等，可提示温湿度、压差等异常功能，得2分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IVC小鼠笼架参数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2.6、导轨：笼架上的笼盒导轨须无螺钉固定在笼架上，导轨长度≤22cm；</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2.6、导轨：笼架上的笼盒导轨须无螺钉固定在笼架上，导轨长度≤21.5cm，得2分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IVC小鼠笼盒参数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3.6、标签：可水平90度翻起的双标签设计，单个标签尺寸≥75*100mm；</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3.6、标签：可水平90度翻起的双标签设计，单个标签尺寸≥75*105mm，得2分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3.8、卡扣：卡扣方便操作，一体式结构设计，无需搭扣配件，不因配件损坏而废弃；</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3.8、卡扣：卡扣方便操作，一体式结构设计，材质均为PPSU，无需搭扣配件，不因配件损坏而废弃；，得2分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t xml:space="preserve">3.10、换笼效率：笼盖可堆叠，可单独直立放置，大大减少换笼占用空间，方便实现双人同时换笼;</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2"/>
                <w:szCs w:val="22"/>
                <w:highlight w:val="none"/>
                <w:u w:val="none"/>
              </w:rPr>
              <w:t xml:space="preserve">3.10、换笼效率：笼盖可堆叠，笼盖堆叠间距高度≤35mm</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可单独直立放置，大大减少换笼占用空间，方便实现双人同时换笼;</w:t>
            </w:r>
            <w:r>
              <w:rPr>
                <w:rFonts w:hint="eastAsia" w:ascii="宋体" w:hAnsi="宋体" w:eastAsia="宋体" w:cs="宋体"/>
                <w:i w:val="0"/>
                <w:iCs w:val="0"/>
                <w:color w:val="000000"/>
                <w:sz w:val="22"/>
                <w:szCs w:val="22"/>
                <w:highlight w:val="none"/>
                <w:u w:val="none"/>
                <w:lang w:val="en-US" w:eastAsia="zh-CN" w:bidi="ar"/>
              </w:rPr>
              <w:t xml:space="preserve">，得2分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IVC大鼠笼盒参数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2.3、笼盖密封：笼盒采用侧密封结构，胶条安装于盒底侧边;</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2.3、笼盖密封：笼盒采用侧密封结构，胶条安装于笼盒侧边,密封效果好，可耐受134℃高压蒸汽灭菌，可反复灭菌≥100 次</w:t>
            </w:r>
            <w:r>
              <w:rPr>
                <w:rFonts w:hint="eastAsia" w:ascii="宋体" w:hAnsi="宋体" w:eastAsia="宋体" w:cs="宋体"/>
                <w:i w:val="0"/>
                <w:iCs w:val="0"/>
                <w:color w:val="000000"/>
                <w:sz w:val="22"/>
                <w:szCs w:val="22"/>
                <w:highlight w:val="none"/>
                <w:u w:val="none"/>
                <w:lang w:val="en-US" w:eastAsia="zh-CN" w:bidi="ar"/>
              </w:rPr>
              <w:t xml:space="preserve">，得2分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337" w:type="pct"/>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2"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2.4、饮水瓶：笼盖上外置式双瓶饮水瓶设计，容积≥250ml，瓶盖材质为SUS316不锈钢电抛光处理，瓶体采用PPSU材质，饮水管与笼盖插孔采用O型硅胶垫圈密封和挡板遮口，防止气体吸入或者外泄;</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2.4、饮水瓶：笼盖上外置式双瓶饮水瓶设计，容积≥250ml，瓶盖材质为SUS316不锈钢电抛光处理，瓶体采用PPSU材质，</w:t>
            </w:r>
            <w:r>
              <w:rPr>
                <w:rFonts w:hint="eastAsia" w:ascii="宋体" w:hAnsi="宋体" w:eastAsia="宋体" w:cs="宋体"/>
                <w:i w:val="0"/>
                <w:iCs w:val="0"/>
                <w:color w:val="000000"/>
                <w:sz w:val="24"/>
                <w:szCs w:val="24"/>
                <w:highlight w:val="none"/>
                <w:u w:val="none"/>
              </w:rPr>
              <w:t xml:space="preserve">饮水管与笼盖插孔采用O型硅胶垫圈密封和挡板遮口，防止气体吸入或者外泄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耐受134℃高压蒸汽灭菌，可反复灭菌≥100 次</w:t>
            </w:r>
            <w:r>
              <w:rPr>
                <w:rFonts w:hint="eastAsia" w:ascii="宋体" w:hAnsi="宋体" w:eastAsia="宋体" w:cs="宋体"/>
                <w:i w:val="0"/>
                <w:iCs w:val="0"/>
                <w:color w:val="000000"/>
                <w:sz w:val="22"/>
                <w:szCs w:val="22"/>
                <w:highlight w:val="none"/>
                <w:u w:val="none"/>
                <w:lang w:val="en-US" w:eastAsia="zh-CN" w:bidi="ar"/>
              </w:rPr>
              <w:t xml:space="preserve">，得2分</w:t>
            </w:r>
            <w:r/>
          </w:p>
        </w:tc>
        <w:tc>
          <w:tcPr>
            <w:shd w:val="clear" w:color="auto" w:fill="auto"/>
            <w:tcBorders>
              <w:top w:val="single" w:color="000000" w:sz="4" w:space="0"/>
              <w:left w:val="single" w:color="000000" w:sz="4" w:space="0"/>
              <w:bottom w:val="single" w:color="000000" w:sz="4" w:space="0"/>
              <w:right w:val="single" w:color="000000" w:sz="4" w:space="0"/>
            </w:tcBorders>
            <w:tcW w:w="648"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bl>
    <w:p>
      <w:pPr>
        <w:ind w:firstLine="480"/>
        <w:keepLines w:val="0"/>
        <w:keepNext w:val="0"/>
        <w:pageBreakBefore w:val="0"/>
        <w:spacing w:line="360" w:lineRule="auto"/>
        <w:widowControl/>
        <w:rPr>
          <w:rFonts w:hint="eastAsia" w:ascii="宋体" w:hAnsi="宋体" w:cs="宋体" w:eastAsiaTheme="minorEastAsia"/>
          <w:b/>
          <w:bCs w:val="0"/>
          <w:szCs w:val="24"/>
          <w:highlight w:val="none"/>
          <w:lang w:val="en-US" w:eastAsia="zh-CN"/>
        </w:rPr>
      </w:pPr>
      <w:r>
        <w:rPr>
          <w:rFonts w:hint="eastAsia" w:ascii="宋体" w:hAnsi="宋体" w:cs="宋体" w:eastAsiaTheme="minorEastAsia"/>
          <w:b/>
          <w:bCs w:val="0"/>
          <w:szCs w:val="24"/>
          <w:highlight w:val="none"/>
          <w:lang w:val="en-US" w:eastAsia="zh-CN"/>
        </w:rPr>
        <w:t xml:space="preserve">注：</w:t>
      </w:r>
      <w:r>
        <w:rPr>
          <w:rFonts w:hint="eastAsia" w:ascii="宋体" w:hAnsi="宋体" w:cs="宋体" w:eastAsiaTheme="minorEastAsia"/>
          <w:b/>
          <w:bCs w:val="0"/>
          <w:szCs w:val="24"/>
          <w:highlight w:val="none"/>
          <w:lang w:eastAsia="zh-CN"/>
        </w:rPr>
        <w:t xml:space="preserve">投标人必须如实地在技术规格偏离表（格式见附件）中逐条标明满足与否，并对其真实性负责。以上技术</w:t>
      </w:r>
      <w:r>
        <w:rPr>
          <w:rFonts w:hint="eastAsia" w:ascii="宋体" w:hAnsi="宋体" w:cs="宋体" w:eastAsiaTheme="minorEastAsia"/>
          <w:b/>
          <w:bCs w:val="0"/>
          <w:szCs w:val="24"/>
          <w:highlight w:val="none"/>
          <w:lang w:val="en-US" w:eastAsia="zh-CN"/>
        </w:rPr>
        <w:t xml:space="preserve">参数</w:t>
      </w:r>
      <w:r>
        <w:rPr>
          <w:rFonts w:hint="eastAsia" w:ascii="宋体" w:hAnsi="宋体" w:cs="宋体" w:eastAsiaTheme="minorEastAsia"/>
          <w:b/>
          <w:bCs w:val="0"/>
          <w:szCs w:val="24"/>
          <w:highlight w:val="none"/>
          <w:lang w:eastAsia="zh-CN"/>
        </w:rPr>
        <w:t xml:space="preserve">条款均需在投标文件中提供有效证明电子件材料包括但不仅限于（厂家证明、彩页、手册、检测报告、说明书、设备照片等），未按要求提供技术支持资料或提供的技术支持资料不能佐证偏离表内容的</w:t>
      </w:r>
      <w:r>
        <w:rPr>
          <w:rFonts w:hint="eastAsia" w:ascii="宋体" w:hAnsi="宋体" w:cs="宋体" w:eastAsiaTheme="minorEastAsia"/>
          <w:b/>
          <w:bCs w:val="0"/>
          <w:szCs w:val="24"/>
          <w:highlight w:val="none"/>
          <w:lang w:val="en-US" w:eastAsia="zh-CN"/>
        </w:rPr>
        <w:t xml:space="preserve">不得分</w:t>
      </w:r>
      <w:r>
        <w:rPr>
          <w:rFonts w:hint="eastAsia" w:ascii="宋体" w:hAnsi="宋体" w:cs="宋体" w:eastAsiaTheme="minorEastAsia"/>
          <w:b/>
          <w:bCs w:val="0"/>
          <w:szCs w:val="24"/>
          <w:highlight w:val="none"/>
          <w:lang w:eastAsia="zh-CN"/>
        </w:rPr>
        <w:t xml:space="preserve">。</w:t>
      </w:r>
      <w:r/>
    </w:p>
    <w:p>
      <w:pPr>
        <w:numPr>
          <w:ilvl w:val="0"/>
          <w:numId w:val="0"/>
        </w:numPr>
        <w:ind w:left="200" w:firstLine="24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（3）加分因素（3分）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1）支持节能环保：</w:t>
      </w:r>
      <w:r/>
    </w:p>
    <w:p>
      <w:pPr>
        <w:ind w:firstLine="480"/>
        <w:keepLines w:val="0"/>
        <w:keepNext w:val="0"/>
        <w:pageBreakBefore w:val="0"/>
        <w:spacing w:line="360" w:lineRule="auto"/>
        <w:widowControl/>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cs="宋体" w:eastAsiaTheme="minorEastAsia"/>
          <w:b/>
          <w:bCs w:val="0"/>
          <w:szCs w:val="24"/>
          <w:highlight w:val="none"/>
          <w:lang w:eastAsia="zh-CN"/>
        </w:rPr>
        <w:t xml:space="preserve">（投标时须提供所投产品由国家确定的认证机构出具的、处于有效期之内的节能产品认证证书扫描件、环境标志产品认证证书扫描件并加盖公章或签电子公章，不提供或不符合要求均不得分）</w:t>
      </w:r>
      <w:r>
        <w:rPr>
          <w:rFonts w:hint="eastAsia" w:ascii="宋体" w:hAnsi="宋体" w:cs="宋体" w:eastAsiaTheme="minorEastAsia"/>
          <w:bCs/>
          <w:szCs w:val="24"/>
          <w:highlight w:val="none"/>
          <w:lang w:eastAsia="zh-CN"/>
        </w:rPr>
        <w:t xml:space="preserve">。</w:t>
      </w:r>
      <w:r/>
    </w:p>
    <w:p>
      <w:pPr>
        <w:ind w:firstLine="480"/>
        <w:keepLines w:val="0"/>
        <w:keepNext w:val="0"/>
        <w:pageBreakBefore w:val="0"/>
        <w:spacing w:line="360" w:lineRule="auto"/>
        <w:widowControl/>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2）支持绿色发展：</w:t>
      </w:r>
      <w:r/>
    </w:p>
    <w:p>
      <w:pPr>
        <w:ind w:firstLine="480"/>
        <w:keepLines w:val="0"/>
        <w:keepNext w:val="0"/>
        <w:pageBreakBefore w:val="0"/>
        <w:spacing w:line="360" w:lineRule="auto"/>
        <w:widowControl/>
        <w:rPr>
          <w:rFonts w:hint="eastAsia" w:ascii="宋体" w:hAnsi="宋体" w:cs="宋体" w:eastAsiaTheme="minorEastAsia"/>
          <w:bCs/>
          <w:szCs w:val="24"/>
          <w:highlight w:val="none"/>
          <w:lang w:eastAsia="zh-CN"/>
        </w:rPr>
      </w:pPr>
      <w:r>
        <w:rPr>
          <w:rFonts w:hint="eastAsia" w:ascii="宋体" w:hAnsi="宋体" w:cs="宋体" w:eastAsiaTheme="minorEastAsia"/>
          <w:bCs/>
          <w:szCs w:val="24"/>
          <w:highlight w:val="none"/>
          <w:lang w:eastAsia="zh-CN"/>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eastAsiaTheme="minorEastAsia"/>
          <w:b/>
          <w:bCs w:val="0"/>
          <w:szCs w:val="24"/>
          <w:highlight w:val="none"/>
          <w:lang w:eastAsia="zh-CN"/>
        </w:rPr>
        <w:t xml:space="preserve">（投标时须提供相应使用地VOCs 含量的有效证明材料扫描件并加盖公章或签电子公章，不提供或不符合要求均不得分）</w:t>
      </w:r>
      <w:r>
        <w:rPr>
          <w:rFonts w:hint="eastAsia" w:ascii="宋体" w:hAnsi="宋体" w:cs="宋体" w:eastAsiaTheme="minorEastAsia"/>
          <w:bCs/>
          <w:szCs w:val="24"/>
          <w:highlight w:val="none"/>
          <w:lang w:eastAsia="zh-CN"/>
        </w:rPr>
        <w:t xml:space="preserve">。</w:t>
      </w:r>
      <w:r/>
    </w:p>
    <w:p>
      <w:pPr>
        <w:numPr>
          <w:ilvl w:val="0"/>
          <w:numId w:val="0"/>
        </w:numPr>
        <w:ind w:firstLine="241"/>
        <w:rPr>
          <w:rFonts w:hint="eastAsia" w:ascii="宋体" w:hAnsi="宋体" w:cs="宋体"/>
          <w:b/>
          <w:szCs w:val="24"/>
          <w:highlight w:val="none"/>
          <w:lang w:eastAsia="zh-CN"/>
        </w:rPr>
      </w:pPr>
      <w:r>
        <w:rPr>
          <w:rFonts w:hint="eastAsia" w:ascii="宋体" w:hAnsi="宋体" w:cs="宋体"/>
          <w:b/>
          <w:szCs w:val="24"/>
          <w:highlight w:val="none"/>
          <w:lang w:eastAsia="zh-CN"/>
        </w:rPr>
        <w:t xml:space="preserve">（</w:t>
      </w:r>
      <w:r>
        <w:rPr>
          <w:rFonts w:hint="eastAsia" w:ascii="宋体" w:hAnsi="宋体" w:cs="宋体"/>
          <w:b/>
          <w:szCs w:val="24"/>
          <w:highlight w:val="none"/>
          <w:lang w:val="en-US" w:eastAsia="zh-CN"/>
        </w:rPr>
        <w:t xml:space="preserve">三</w:t>
      </w:r>
      <w:r>
        <w:rPr>
          <w:rFonts w:hint="eastAsia" w:ascii="宋体" w:hAnsi="宋体" w:cs="宋体"/>
          <w:b/>
          <w:szCs w:val="24"/>
          <w:highlight w:val="none"/>
          <w:lang w:eastAsia="zh-CN"/>
        </w:rPr>
        <w:t xml:space="preserve">）技术方案（44分）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（1）供货方案（12分）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 xml:space="preserve">投标人针对本项目提供的供货方案包括：①投标人针对本项目提出的供货方案（4分）、②投标人针对本项目提出的供货时间保证措施（4分）、③投标人针对本项目提出的供货组织及运输安排方案（4分）。</w:t>
      </w:r>
      <w:r>
        <w:rPr>
          <w:rFonts w:hint="eastAsia" w:ascii="宋体" w:hAnsi="宋体" w:cs="宋体" w:eastAsiaTheme="minorEastAsia"/>
          <w:bCs/>
          <w:szCs w:val="24"/>
          <w:highlight w:val="none"/>
          <w:lang w:val="en-US" w:eastAsia="zh-CN"/>
        </w:rPr>
        <w:t xml:space="preserve">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（2）项目实施方案及保证措施（8分）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 xml:space="preserve">投标人针对本项目提供的供货方案包括：①投标人针对本项目提出的质量保证措施（4分）、②投标人针对本项目提出的生产工艺及质量控制的方法、工具与重点（4分）。</w:t>
      </w:r>
      <w:r>
        <w:rPr>
          <w:rFonts w:hint="eastAsia" w:ascii="宋体" w:hAnsi="宋体" w:cs="宋体" w:eastAsiaTheme="minorEastAsia"/>
          <w:bCs/>
          <w:szCs w:val="24"/>
          <w:highlight w:val="none"/>
          <w:lang w:val="en-US" w:eastAsia="zh-CN"/>
        </w:rPr>
        <w:t xml:space="preserve">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2点内容，本项最高得8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（3）培训方案（4分）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 xml:space="preserve">投标人针对本项目提供的供货方案包括：①培训日程、培训地点、培训内容等内容（2分）、②负责培训的专业人员安排等内容（2分）。</w:t>
      </w:r>
      <w:r>
        <w:rPr>
          <w:rFonts w:hint="eastAsia" w:ascii="宋体" w:hAnsi="宋体" w:cs="宋体" w:eastAsiaTheme="minorEastAsia"/>
          <w:bCs/>
          <w:szCs w:val="24"/>
          <w:highlight w:val="none"/>
          <w:lang w:val="en-US" w:eastAsia="zh-CN"/>
        </w:rPr>
        <w:t xml:space="preserve">投标人针对上述内容进行阐述，要求阐述内容合理、针对性强、切实可行有效。以上每点内容不存在瑕疵的得2分，存在1处瑕疵的得1分，存在2处瑕疵的得0.5分，未进行阐述或不满足采购需求或内容存在3处及以上瑕疵的得0分；本项共计2点内容，本项最高得4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（4）售后服务方案（8分）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 xml:space="preserve">投标人针对本项目提供的供货方案包括：①售后服务体系（4分）、②售后服务内容（4分）。投标人针对上述内容进行阐述，要求阐述内容合理、针对性强、切实可行有效。</w:t>
      </w:r>
      <w:r>
        <w:rPr>
          <w:rFonts w:hint="eastAsia" w:ascii="宋体" w:hAnsi="宋体" w:cs="宋体" w:eastAsiaTheme="minorEastAsia"/>
          <w:bCs/>
          <w:szCs w:val="24"/>
          <w:highlight w:val="none"/>
          <w:lang w:val="en-US" w:eastAsia="zh-CN"/>
        </w:rPr>
        <w:t xml:space="preserve">以上每点内容不存在瑕疵的得4分，存在1处瑕疵的得2分，存在2处瑕疵的得1分，未进行阐述或不满足采购需求或内容存在3处及以上瑕疵的得0分；本项共计2点内容，本项最高得8分。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（5）专业技术保障及响应补救（12分）</w:t>
      </w:r>
      <w:r/>
    </w:p>
    <w:p>
      <w:pPr>
        <w:ind w:firstLine="480"/>
        <w:keepLines w:val="0"/>
        <w:keepNext w:val="0"/>
        <w:pageBreakBefore w:val="0"/>
        <w:spacing w:line="360" w:lineRule="auto"/>
        <w:widowControl/>
        <w:rPr>
          <w:rFonts w:hint="eastAsia" w:ascii="宋体" w:hAnsi="宋体" w:cs="宋体" w:eastAsiaTheme="minorEastAsia"/>
          <w:bCs/>
          <w:szCs w:val="24"/>
          <w:highlight w:val="none"/>
          <w:lang w:val="en-US" w:eastAsia="zh-CN"/>
        </w:rPr>
      </w:pPr>
      <w:r>
        <w:rPr>
          <w:rFonts w:hint="eastAsia" w:ascii="宋体" w:hAnsi="宋体" w:cs="宋体" w:eastAsiaTheme="minorEastAsia"/>
          <w:b/>
          <w:bCs w:val="0"/>
          <w:szCs w:val="24"/>
          <w:highlight w:val="none"/>
          <w:lang w:val="en-US" w:eastAsia="zh-CN"/>
        </w:rPr>
        <w:t xml:space="preserve">投标人针对本项目提供的供货方案包括：①故障解决方案（4分）、②专业技术人员保障方案（4分）、③响应时间及补救措施（4分）。</w:t>
      </w:r>
      <w:r>
        <w:rPr>
          <w:rFonts w:hint="eastAsia" w:ascii="宋体" w:hAnsi="宋体" w:cs="宋体" w:eastAsiaTheme="minorEastAsia"/>
          <w:bCs/>
          <w:szCs w:val="24"/>
          <w:highlight w:val="none"/>
          <w:lang w:val="en-US" w:eastAsia="zh-CN"/>
        </w:rPr>
        <w:t xml:space="preserve">投标人针对上述内容进行阐述，要求阐述内容合理、针对性强、切实可行有效。以上每点内容不存在瑕疵的得4分，存在1处瑕疵的得2分，存在2处瑕疵的得1分，未进行阐述或不满足采购需求或内容存在3处及以上瑕疵的得0分；本项共计3点内容，本项最高得12分。</w:t>
      </w:r>
      <w:r/>
    </w:p>
    <w:p>
      <w:pPr>
        <w:ind w:firstLine="480"/>
        <w:keepLines w:val="0"/>
        <w:keepNext w:val="0"/>
        <w:pageBreakBefore w:val="0"/>
        <w:spacing w:line="360" w:lineRule="auto"/>
        <w:widowControl/>
        <w:rPr>
          <w:rFonts w:hint="default" w:ascii="宋体" w:hAnsi="宋体" w:cs="宋体" w:eastAsiaTheme="minorEastAsia"/>
          <w:bCs/>
          <w:szCs w:val="24"/>
          <w:highlight w:val="none"/>
          <w:lang w:val="en-US" w:eastAsia="zh-CN"/>
        </w:rPr>
      </w:pPr>
      <w:r>
        <w:rPr>
          <w:rFonts w:hint="eastAsia" w:ascii="宋体" w:hAnsi="宋体" w:cs="宋体" w:eastAsiaTheme="minorEastAsia"/>
          <w:bCs/>
          <w:szCs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0"/>
        <w:rPr>
          <w:rFonts w:hint="eastAsia"/>
          <w:highlight w:val="none"/>
          <w:lang w:eastAsia="zh-CN"/>
        </w:rPr>
      </w:pPr>
      <w:r>
        <w:rPr>
          <w:rFonts w:hint="eastAsia"/>
          <w:highlight w:val="none"/>
          <w:lang w:eastAsia="zh-CN"/>
        </w:rPr>
      </w:r>
      <w:r/>
    </w:p>
    <w:p>
      <w:pPr>
        <w:pStyle w:val="867"/>
        <w:rPr>
          <w:rFonts w:hint="eastAsia"/>
          <w:highlight w:val="none"/>
          <w:lang w:eastAsia="zh-CN"/>
        </w:rPr>
      </w:pPr>
      <w:r>
        <w:rPr>
          <w:rFonts w:hint="eastAsia"/>
          <w:highlight w:val="none"/>
          <w:lang w:eastAsia="zh-CN"/>
        </w:rPr>
      </w:r>
      <w:r/>
    </w:p>
    <w:p>
      <w:pPr>
        <w:pStyle w:val="862"/>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pStyle w:val="862"/>
        <w:rPr>
          <w:rFonts w:hint="eastAsia"/>
          <w:color w:val="auto"/>
          <w:highlight w:val="none"/>
          <w:lang w:eastAsia="zh-CN"/>
        </w:rPr>
      </w:pPr>
      <w:r>
        <w:rPr>
          <w:rFonts w:hint="eastAsia"/>
          <w:color w:val="auto"/>
          <w:highlight w:val="none"/>
          <w:lang w:eastAsia="zh-CN"/>
        </w:rPr>
      </w:r>
      <w:r/>
    </w:p>
    <w:p>
      <w:pPr>
        <w:pStyle w:val="862"/>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pStyle w:val="864"/>
        <w:rPr>
          <w:rFonts w:hint="eastAsia"/>
          <w:color w:val="auto"/>
          <w:highlight w:val="none"/>
          <w:lang w:eastAsia="zh-CN"/>
        </w:rPr>
      </w:pPr>
      <w:r>
        <w:rPr>
          <w:rFonts w:hint="eastAsia"/>
          <w:color w:val="auto"/>
          <w:highlight w:val="none"/>
          <w:lang w:eastAsia="zh-CN"/>
        </w:rPr>
      </w:r>
      <w:r/>
    </w:p>
    <w:p>
      <w:pPr>
        <w:rPr>
          <w:rFonts w:hint="eastAsia"/>
          <w:highlight w:val="none"/>
          <w:lang w:eastAsia="zh-CN"/>
        </w:rPr>
      </w:pPr>
      <w:r>
        <w:rPr>
          <w:rFonts w:hint="eastAsia"/>
          <w:highlight w:val="none"/>
          <w:lang w:eastAsia="zh-CN"/>
        </w:rPr>
      </w:r>
      <w:r/>
    </w:p>
    <w:p>
      <w:pPr>
        <w:pStyle w:val="862"/>
        <w:rPr>
          <w:rFonts w:hint="eastAsia"/>
          <w:color w:val="auto"/>
          <w:highlight w:val="none"/>
          <w:lang w:eastAsia="zh-CN"/>
        </w:rPr>
      </w:pPr>
      <w:r>
        <w:rPr>
          <w:rFonts w:hint="eastAsia"/>
          <w:color w:val="auto"/>
          <w:highlight w:val="none"/>
          <w:lang w:eastAsia="zh-CN"/>
        </w:rPr>
      </w:r>
      <w:r/>
    </w:p>
    <w:p>
      <w:pPr>
        <w:rPr>
          <w:rFonts w:hint="eastAsia"/>
          <w:highlight w:val="none"/>
          <w:lang w:eastAsia="zh-CN"/>
        </w:rPr>
      </w:pPr>
      <w:r>
        <w:rPr>
          <w:rFonts w:hint="eastAsia"/>
          <w:highlight w:val="none"/>
          <w:lang w:eastAsia="zh-CN"/>
        </w:rPr>
      </w:r>
      <w:r/>
    </w:p>
    <w:p>
      <w:pPr>
        <w:rPr>
          <w:rFonts w:hint="eastAsia"/>
          <w:highlight w:val="none"/>
          <w:lang w:eastAsia="zh-CN"/>
        </w:rPr>
      </w:pPr>
      <w:r>
        <w:rPr>
          <w:rFonts w:hint="eastAsia"/>
          <w:highlight w:val="none"/>
          <w:lang w:eastAsia="zh-CN"/>
        </w:rPr>
      </w:r>
      <w:r/>
    </w:p>
    <w:p>
      <w:pPr>
        <w:pStyle w:val="862"/>
        <w:rPr>
          <w:color w:val="auto"/>
          <w:highlight w:val="none"/>
          <w:lang w:eastAsia="zh-CN"/>
        </w:rPr>
      </w:pPr>
      <w:r>
        <w:rPr>
          <w:rFonts w:hint="eastAsia"/>
          <w:color w:val="auto"/>
          <w:highlight w:val="none"/>
          <w:lang w:eastAsia="zh-CN"/>
        </w:rPr>
        <w:t xml:space="preserve">附件</w:t>
      </w:r>
      <w:r>
        <w:rPr>
          <w:rFonts w:hint="eastAsia"/>
          <w:color w:val="auto"/>
          <w:highlight w:val="none"/>
          <w:lang w:val="en-US" w:eastAsia="zh-CN"/>
        </w:rPr>
        <w:t xml:space="preserve">二</w:t>
      </w:r>
      <w:r>
        <w:rPr>
          <w:rFonts w:hint="eastAsia"/>
          <w:color w:val="auto"/>
          <w:highlight w:val="none"/>
          <w:lang w:eastAsia="zh-CN"/>
        </w:rPr>
        <w:t xml:space="preserve">：投标文件格式</w:t>
      </w:r>
      <w:r/>
    </w:p>
    <w:p>
      <w:pPr>
        <w:ind w:firstLine="0"/>
        <w:jc w:val="both"/>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color w:val="auto"/>
          <w:sz w:val="28"/>
          <w:highlight w:val="none"/>
          <w:lang w:eastAsia="zh-CN"/>
        </w:rPr>
      </w:pPr>
      <w:r>
        <w:rPr>
          <w:rFonts w:ascii="宋体" w:hAnsi="宋体" w:eastAsia="等线" w:cs="宋体"/>
          <w:b/>
          <w:color w:val="auto"/>
          <w:sz w:val="28"/>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spacing w:line="240" w:lineRule="auto"/>
        <w:rPr>
          <w:rFonts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r>
      <w:r/>
    </w:p>
    <w:p>
      <w:pPr>
        <w:ind w:firstLine="0"/>
        <w:spacing w:line="240" w:lineRule="auto"/>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r>
      <w:r/>
    </w:p>
    <w:p>
      <w:pPr>
        <w:ind w:firstLine="0"/>
        <w:spacing w:line="240" w:lineRule="auto"/>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r>
      <w:r/>
    </w:p>
    <w:p>
      <w:pPr>
        <w:ind w:firstLine="0"/>
        <w:spacing w:line="240" w:lineRule="auto"/>
        <w:rPr>
          <w:rFonts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致：无锡市南京大学锡山应用生物技术研究所</w:t>
      </w:r>
      <w:r/>
    </w:p>
    <w:p>
      <w:pPr>
        <w:ind w:firstLine="480"/>
        <w:spacing w:line="440" w:lineRule="exact"/>
        <w:rPr>
          <w:rFonts w:ascii="宋体" w:hAnsi="宋体" w:cs="宋体"/>
          <w:bCs/>
          <w:highlight w:val="none"/>
          <w:lang w:eastAsia="zh-CN"/>
        </w:rPr>
      </w:pPr>
      <w:r>
        <w:rPr>
          <w:rFonts w:hint="eastAsia" w:ascii="宋体" w:hAnsi="宋体" w:cs="宋体"/>
          <w:bCs/>
          <w:highlight w:val="none"/>
          <w:lang w:eastAsia="zh-CN"/>
        </w:rPr>
        <w:t xml:space="preserve">我方收到贵方编号招标文件，经仔细阅读和研究，我方决定参加此次     项目的投标。</w:t>
      </w:r>
      <w:r/>
    </w:p>
    <w:p>
      <w:pPr>
        <w:numPr>
          <w:ilvl w:val="0"/>
          <w:numId w:val="10"/>
        </w:numPr>
        <w:ind w:left="0" w:firstLine="480"/>
        <w:spacing w:line="440" w:lineRule="exact"/>
        <w:tabs>
          <w:tab w:val="left" w:pos="315" w:leader="none"/>
          <w:tab w:val="left" w:pos="840" w:leader="none"/>
          <w:tab w:val="left" w:pos="945" w:leader="none"/>
          <w:tab w:val="left" w:pos="1050" w:leader="none"/>
          <w:tab w:val="left" w:pos="1260" w:leader="none"/>
        </w:tabs>
        <w:rPr>
          <w:rFonts w:ascii="宋体" w:hAnsi="宋体" w:cs="宋体"/>
          <w:b/>
          <w:bCs/>
          <w:highlight w:val="none"/>
          <w:lang w:eastAsia="zh-CN"/>
        </w:rPr>
      </w:pPr>
      <w:r>
        <w:rPr>
          <w:rFonts w:hint="eastAsia" w:ascii="宋体" w:hAnsi="宋体" w:cs="宋体"/>
          <w:bCs/>
          <w:highlight w:val="none"/>
          <w:lang w:eastAsia="zh-CN"/>
        </w:rPr>
        <w:t xml:space="preserve">我方愿意按照招标文件的一切要求，提供本项目的投标，投标总价见《开标一览表》。</w:t>
      </w:r>
      <w:r/>
    </w:p>
    <w:p>
      <w:pPr>
        <w:numPr>
          <w:ilvl w:val="0"/>
          <w:numId w:val="10"/>
        </w:numPr>
        <w:ind w:left="0" w:firstLine="480"/>
        <w:spacing w:line="440" w:lineRule="exact"/>
        <w:tabs>
          <w:tab w:val="left" w:pos="315" w:leader="none"/>
          <w:tab w:val="left" w:pos="840" w:leader="none"/>
          <w:tab w:val="left" w:pos="945" w:leader="none"/>
          <w:tab w:val="left" w:pos="1050" w:leader="none"/>
          <w:tab w:val="left" w:pos="1260" w:leader="none"/>
        </w:tabs>
        <w:rPr>
          <w:rFonts w:ascii="宋体" w:hAnsi="宋体" w:cs="宋体"/>
          <w:b/>
          <w:bCs/>
          <w:highlight w:val="none"/>
          <w:lang w:eastAsia="zh-CN"/>
        </w:rPr>
      </w:pPr>
      <w:r>
        <w:rPr>
          <w:rFonts w:hint="eastAsia" w:ascii="宋体" w:hAnsi="宋体" w:cs="宋体"/>
          <w:bCs/>
          <w:highlight w:val="none"/>
          <w:lang w:eastAsia="zh-CN"/>
        </w:rPr>
        <w:t xml:space="preserve">我方愿意提供</w:t>
      </w:r>
      <w:r>
        <w:rPr>
          <w:rFonts w:hint="eastAsia" w:ascii="宋体" w:hAnsi="宋体" w:cs="Times New Roman"/>
          <w:color w:val="auto"/>
          <w:szCs w:val="24"/>
          <w:highlight w:val="none"/>
          <w:lang w:eastAsia="zh-CN"/>
        </w:rPr>
        <w:t xml:space="preserve">江苏成建项目管理有限公司</w:t>
      </w:r>
      <w:r>
        <w:rPr>
          <w:rFonts w:hint="eastAsia" w:ascii="宋体" w:hAnsi="宋体" w:cs="宋体"/>
          <w:bCs/>
          <w:highlight w:val="none"/>
          <w:lang w:eastAsia="zh-CN"/>
        </w:rPr>
        <w:t xml:space="preserve">在招标文件中要求的文件、资料。</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ascii="宋体" w:hAnsi="宋体" w:cs="宋体"/>
          <w:bCs/>
          <w:highlight w:val="none"/>
          <w:lang w:eastAsia="zh-CN"/>
        </w:rPr>
      </w:pPr>
      <w:r>
        <w:rPr>
          <w:rFonts w:hint="eastAsia" w:ascii="宋体" w:hAnsi="宋体" w:cs="宋体"/>
          <w:bCs/>
          <w:highlight w:val="none"/>
          <w:lang w:eastAsia="zh-CN"/>
        </w:rPr>
        <w:t xml:space="preserve">我方同意按招标文件中的规定，本投标文件投标的有效期限为投标截止之日起90天。</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ascii="宋体" w:hAnsi="宋体" w:cs="宋体"/>
          <w:bCs/>
          <w:highlight w:val="none"/>
          <w:lang w:eastAsia="zh-CN"/>
        </w:rPr>
      </w:pPr>
      <w:r>
        <w:rPr>
          <w:rFonts w:hint="eastAsia" w:ascii="宋体" w:hAnsi="宋体" w:cs="宋体"/>
          <w:bCs/>
          <w:highlight w:val="none"/>
          <w:lang w:eastAsia="zh-CN"/>
        </w:rPr>
        <w:t xml:space="preserve">如果我方的投标文件被接受，我方将履行招标文件中规定的每一项要求，按期、按质、按量，完成任务。</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ascii="宋体" w:hAnsi="宋体" w:cs="宋体"/>
          <w:bCs/>
          <w:highlight w:val="none"/>
          <w:lang w:eastAsia="zh-CN"/>
        </w:rPr>
      </w:pPr>
      <w:r>
        <w:rPr>
          <w:rFonts w:hint="eastAsia" w:ascii="宋体" w:hAnsi="宋体" w:cs="宋体"/>
          <w:bCs/>
          <w:highlight w:val="none"/>
          <w:lang w:eastAsia="zh-CN"/>
        </w:rPr>
        <w:t xml:space="preserve">我方认为贵方有权决定中标者。</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ascii="宋体" w:hAnsi="宋体" w:cs="宋体"/>
          <w:bCs/>
          <w:highlight w:val="none"/>
          <w:lang w:eastAsia="zh-CN"/>
        </w:rPr>
      </w:pPr>
      <w:r>
        <w:rPr>
          <w:rFonts w:hint="eastAsia" w:ascii="宋体" w:hAnsi="宋体" w:cs="宋体"/>
          <w:bCs/>
          <w:highlight w:val="none"/>
          <w:lang w:eastAsia="zh-CN"/>
        </w:rPr>
        <w:t xml:space="preserve">我方愿意遵守《中华人民共和国政府采购法》，并按《中华人民共和国民法典》、财政部《政府采购货物和服务招标投标管理办法》</w:t>
      </w:r>
      <w:r>
        <w:rPr>
          <w:rFonts w:hint="eastAsia" w:ascii="宋体" w:hAnsi="宋体" w:cs="宋体"/>
          <w:highlight w:val="none"/>
          <w:lang w:eastAsia="zh-CN"/>
        </w:rPr>
        <w:t xml:space="preserve">和</w:t>
      </w:r>
      <w:r>
        <w:rPr>
          <w:rFonts w:hint="eastAsia" w:ascii="宋体" w:hAnsi="宋体" w:cs="宋体"/>
          <w:bCs/>
          <w:highlight w:val="none"/>
          <w:lang w:eastAsia="zh-CN"/>
        </w:rPr>
        <w:t xml:space="preserve">合同条款履行自己的全部责任。</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ascii="宋体" w:hAnsi="宋体" w:cs="宋体"/>
          <w:bCs/>
          <w:highlight w:val="none"/>
          <w:lang w:eastAsia="zh-CN"/>
        </w:rPr>
      </w:pPr>
      <w:r>
        <w:rPr>
          <w:rFonts w:hint="eastAsia" w:ascii="宋体" w:hAnsi="宋体" w:cs="宋体"/>
          <w:bCs/>
          <w:highlight w:val="none"/>
          <w:lang w:eastAsia="zh-CN"/>
        </w:rPr>
        <w:t xml:space="preserve">我方认可并遵守招标文件的所有规定，</w:t>
      </w:r>
      <w:r>
        <w:rPr>
          <w:rFonts w:hint="eastAsia" w:ascii="宋体" w:hAnsi="宋体" w:cs="宋体"/>
          <w:bCs/>
          <w:highlight w:val="none"/>
          <w:lang w:val="en-US" w:eastAsia="zh-CN"/>
        </w:rPr>
        <w:t xml:space="preserve">不存在对招标文件有质疑</w:t>
      </w:r>
      <w:r>
        <w:rPr>
          <w:rFonts w:hint="eastAsia" w:ascii="宋体" w:hAnsi="宋体" w:cs="宋体"/>
          <w:bCs/>
          <w:highlight w:val="none"/>
          <w:lang w:eastAsia="zh-CN"/>
        </w:rPr>
        <w:t xml:space="preserve">。</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ascii="宋体" w:hAnsi="宋体" w:cs="宋体"/>
          <w:bCs/>
          <w:highlight w:val="none"/>
          <w:lang w:eastAsia="zh-CN"/>
        </w:rPr>
      </w:pPr>
      <w:r>
        <w:rPr>
          <w:rFonts w:hint="eastAsia" w:ascii="宋体" w:hAnsi="宋体" w:cs="宋体"/>
          <w:bCs/>
          <w:highlight w:val="none"/>
          <w:lang w:eastAsia="zh-CN"/>
        </w:rPr>
        <w:t xml:space="preserve">如我方在投标截止期后撤回投标及中标后拒绝遵守投标承诺或拒绝在规定的时间内与采购人签订合同，我方愿接受相关处罚。</w:t>
      </w:r>
      <w:r/>
    </w:p>
    <w:p>
      <w:pPr>
        <w:numPr>
          <w:ilvl w:val="0"/>
          <w:numId w:val="10"/>
        </w:numPr>
        <w:ind w:left="0" w:firstLine="480"/>
        <w:spacing w:line="440" w:lineRule="exact"/>
        <w:tabs>
          <w:tab w:val="left" w:pos="0" w:leader="none"/>
          <w:tab w:val="left" w:pos="315" w:leader="none"/>
          <w:tab w:val="left" w:pos="525" w:leader="none"/>
          <w:tab w:val="left" w:pos="945" w:leader="none"/>
          <w:tab w:val="left" w:pos="1050" w:leader="none"/>
        </w:tabs>
        <w:rPr>
          <w:rFonts w:ascii="宋体" w:hAnsi="宋体" w:cs="宋体"/>
          <w:bCs/>
          <w:highlight w:val="none"/>
          <w:lang w:eastAsia="zh-CN"/>
        </w:rPr>
      </w:pPr>
      <w:r>
        <w:rPr>
          <w:rFonts w:hint="eastAsia" w:ascii="宋体" w:hAnsi="宋体" w:cs="宋体"/>
          <w:bCs/>
          <w:highlight w:val="none"/>
          <w:lang w:eastAsia="zh-CN"/>
        </w:rPr>
        <w:t xml:space="preserve">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jc w:val="both"/>
        <w:widowControl w:val="off"/>
        <w:rPr>
          <w:rFonts w:ascii="宋体" w:hAnsi="宋体" w:cs="宋体"/>
          <w:color w:val="auto"/>
          <w:szCs w:val="24"/>
          <w:highlight w:val="none"/>
          <w:lang w:eastAsia="zh-CN"/>
        </w:rPr>
      </w:pPr>
      <w:r>
        <w:rPr>
          <w:rFonts w:hint="eastAsia" w:ascii="宋体" w:hAnsi="宋体" w:cs="宋体"/>
          <w:bCs/>
          <w:highlight w:val="none"/>
          <w:lang w:eastAsia="zh-CN"/>
        </w:rPr>
        <w:t xml:space="preserve">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jc w:val="both"/>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spacing w:line="410" w:lineRule="exact"/>
        <w:rPr>
          <w:rFonts w:ascii="宋体" w:hAnsi="宋体" w:cs="宋体"/>
          <w:bCs/>
          <w:highlight w:val="none"/>
          <w:lang w:eastAsia="zh-CN"/>
        </w:rPr>
      </w:pPr>
      <w:r>
        <w:rPr>
          <w:rFonts w:hint="eastAsia" w:ascii="宋体" w:hAnsi="宋体" w:cs="宋体"/>
          <w:bCs/>
          <w:highlight w:val="none"/>
          <w:lang w:eastAsia="zh-CN"/>
        </w:rPr>
        <w:t xml:space="preserve">投标供应商（盖章）：     </w:t>
      </w:r>
      <w:r/>
    </w:p>
    <w:p>
      <w:pPr>
        <w:ind w:firstLine="480"/>
        <w:spacing w:line="410" w:lineRule="exact"/>
        <w:rPr>
          <w:rFonts w:ascii="宋体" w:hAnsi="宋体" w:cs="宋体"/>
          <w:bCs/>
          <w:highlight w:val="none"/>
          <w:lang w:eastAsia="zh-CN"/>
        </w:rPr>
      </w:pPr>
      <w:r>
        <w:rPr>
          <w:rFonts w:hint="eastAsia" w:ascii="宋体" w:hAnsi="宋体" w:cs="宋体"/>
          <w:bCs/>
          <w:highlight w:val="none"/>
          <w:lang w:eastAsia="zh-CN"/>
        </w:rPr>
        <w:t xml:space="preserve">法定代表人或法定代表人授权代表签字或盖章：</w:t>
      </w:r>
      <w:r/>
    </w:p>
    <w:p>
      <w:pPr>
        <w:ind w:firstLine="480"/>
        <w:spacing w:line="410" w:lineRule="exact"/>
        <w:rPr>
          <w:rFonts w:ascii="宋体" w:hAnsi="宋体" w:cs="宋体"/>
          <w:bCs/>
          <w:highlight w:val="none"/>
          <w:lang w:eastAsia="zh-CN"/>
        </w:rPr>
      </w:pPr>
      <w:r>
        <w:rPr>
          <w:rFonts w:hint="eastAsia" w:ascii="宋体" w:hAnsi="宋体" w:cs="宋体"/>
          <w:bCs/>
          <w:highlight w:val="none"/>
          <w:lang w:eastAsia="zh-CN"/>
        </w:rPr>
        <w:t xml:space="preserve">电话：                              传真：</w:t>
      </w:r>
      <w:r/>
    </w:p>
    <w:p>
      <w:pPr>
        <w:ind w:firstLine="240"/>
        <w:jc w:val="both"/>
        <w:spacing w:line="240" w:lineRule="auto"/>
        <w:widowControl w:val="off"/>
        <w:rPr>
          <w:rFonts w:ascii="等线" w:hAnsi="等线" w:eastAsia="等线"/>
          <w:color w:val="auto"/>
          <w:sz w:val="21"/>
          <w:highlight w:val="none"/>
          <w:lang w:eastAsia="zh-CN"/>
        </w:rPr>
      </w:pPr>
      <w:r>
        <w:rPr>
          <w:rFonts w:hint="eastAsia" w:ascii="宋体" w:hAnsi="宋体" w:cs="宋体"/>
          <w:bCs/>
          <w:highlight w:val="none"/>
          <w:lang w:eastAsia="zh-CN"/>
        </w:rPr>
        <w:t xml:space="preserve">通讯地址：                          邮编：</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bookmarkStart w:id="14" w:name="（报价人）法定代表人授权书（格式）"/>
      <w:r/>
      <w:bookmarkEnd w:id="14"/>
      <w:r/>
      <w:bookmarkStart w:id="15" w:name="校园网系统报价和服务承诺表（格式）"/>
      <w:r/>
      <w:bookmarkEnd w:id="15"/>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无锡市南京大学锡山应用生物技术研究所 ：</w:t>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我公司(单位)愿针对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我公司(单位)符合《中华人民共和国政府采购法》第二十二条的规定，在此郑重承诺具备以下条件：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(一)具有独立承担民事责任的能力；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(二)具有良好的商业信誉和健全的财务会计制度；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(三)具有履行合同所必需的设备和专业技术能力；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(四)有依法缴纳税收和社会保障资金的良好记录；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(五)近三年内，在经营活动中没有重大违法记录；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若有违背，我公司(单位)愿意承担由此而产生的一切后果。</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u w:val="single"/>
          <w:lang w:eastAsia="zh-CN"/>
        </w:rPr>
      </w:pPr>
      <w:r>
        <w:rPr>
          <w:rFonts w:hint="eastAsia" w:ascii="宋体" w:hAnsi="宋体" w:cs="Times New Roman"/>
          <w:color w:val="auto"/>
          <w:szCs w:val="24"/>
          <w:highlight w:val="none"/>
          <w:u w:val="single"/>
          <w:lang w:eastAsia="zh-CN"/>
        </w:rPr>
        <w:t xml:space="preserve">无锡市南京大学锡山应用生物技术研究所</w:t>
      </w:r>
      <w:r>
        <w:rPr>
          <w:rFonts w:hint="eastAsia" w:ascii="宋体" w:hAnsi="宋体" w:cs="宋体"/>
          <w:color w:val="auto"/>
          <w:szCs w:val="24"/>
          <w:highlight w:val="none"/>
          <w:u w:val="single"/>
          <w:lang w:eastAsia="zh-CN"/>
        </w:rPr>
        <w:t xml:space="preserve">：</w:t>
      </w:r>
      <w:r>
        <w:rPr>
          <w:rFonts w:ascii="宋体" w:hAnsi="宋体" w:cs="宋体"/>
          <w:color w:val="auto"/>
          <w:szCs w:val="24"/>
          <w:highlight w:val="none"/>
          <w:u w:val="single"/>
          <w:lang w:eastAsia="zh-CN"/>
        </w:rPr>
        <w:t xml:space="preserve">  </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4445" t="4445" r="15875" b="10795"/>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4445" t="4445" r="7620" b="10795"/>
                <wp:docPr id="3"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spacing w:line="240" w:lineRule="auto"/>
        <w:widowControl w:val="off"/>
        <w:rPr>
          <w:rFonts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4445" t="4445" r="15875" b="10795"/>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4445" t="4445" r="5715" b="10795"/>
                <wp:docPr id="5"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spacing w:line="240" w:lineRule="auto"/>
        <w:rPr>
          <w:rFonts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我们若违反上述承诺，愿</w:t>
      </w:r>
      <w:r>
        <w:rPr>
          <w:rFonts w:hint="eastAsia" w:ascii="宋体" w:hAnsi="宋体" w:cs="宋体"/>
          <w:color w:val="auto"/>
          <w:szCs w:val="24"/>
          <w:highlight w:val="none"/>
          <w:lang w:val="en-US" w:eastAsia="zh-CN"/>
        </w:rPr>
        <w:t xml:space="preserve">接受</w:t>
      </w:r>
      <w:r>
        <w:rPr>
          <w:rFonts w:hint="eastAsia" w:ascii="宋体" w:hAnsi="宋体" w:cs="宋体"/>
          <w:color w:val="auto"/>
          <w:szCs w:val="24"/>
          <w:highlight w:val="none"/>
          <w:lang w:eastAsia="zh-CN"/>
        </w:rPr>
        <w:t xml:space="preserve">取消投标资格及其他任何形式的处理。</w:t>
      </w:r>
      <w:r/>
    </w:p>
    <w:p>
      <w:pPr>
        <w:ind w:firstLine="48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866"/>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无锡市南京大学锡山应用生物技术研究所实验动物饲养设备及辅助设备项目</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供货期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r>
        <w:trPr>
          <w:cantSplit/>
          <w:trHeight w:val="9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1200"/>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bl>
    <w:p>
      <w:pPr>
        <w:ind w:firstLine="0"/>
        <w:jc w:val="both"/>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ascii="宋体" w:hAnsi="宋体"/>
          <w:b/>
          <w:bCs/>
          <w:color w:val="auto"/>
          <w:szCs w:val="24"/>
          <w:highlight w:val="none"/>
          <w:lang w:eastAsia="zh-CN"/>
        </w:rPr>
      </w:pPr>
      <w:r>
        <w:rPr>
          <w:rFonts w:ascii="宋体" w:hAnsi="宋体"/>
          <w:b/>
          <w:bCs/>
          <w:color w:val="auto"/>
          <w:szCs w:val="24"/>
          <w:highlight w:val="none"/>
          <w:lang w:eastAsia="zh-CN"/>
        </w:rPr>
        <w:t xml:space="preserve">1、</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spacing w:line="240" w:lineRule="auto"/>
        <w:rPr>
          <w:rFonts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ascii="Times New Roman" w:hAnsi="Times New Roman" w:cs="Times New Roman"/>
          <w:b/>
          <w:color w:val="auto"/>
          <w:sz w:val="36"/>
          <w:szCs w:val="20"/>
          <w:highlight w:val="none"/>
          <w:lang w:eastAsia="zh-CN"/>
        </w:rPr>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名称(盖章)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tbl>
      <w:tblPr>
        <w:tblStyle w:val="866"/>
        <w:tblW w:w="524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2"/>
        <w:gridCol w:w="1108"/>
        <w:gridCol w:w="2246"/>
        <w:gridCol w:w="1637"/>
        <w:gridCol w:w="1188"/>
        <w:gridCol w:w="1125"/>
        <w:gridCol w:w="1087"/>
        <w:gridCol w:w="1077"/>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 名</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both"/>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cs="宋体"/>
                <w:b/>
                <w:bCs/>
                <w:i w:val="0"/>
                <w:iCs w:val="0"/>
                <w:color w:val="000000"/>
                <w:sz w:val="24"/>
                <w:szCs w:val="24"/>
                <w:highlight w:val="none"/>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0" w:firstLine="0"/>
              <w:jc w:val="both"/>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cs="宋体"/>
                <w:b/>
                <w:bCs/>
                <w:i w:val="0"/>
                <w:iCs w:val="0"/>
                <w:color w:val="000000"/>
                <w:sz w:val="24"/>
                <w:szCs w:val="24"/>
                <w:highlight w:val="none"/>
                <w:u w:val="none"/>
                <w:lang w:val="en-US" w:eastAsia="zh-CN"/>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left="0" w:firstLine="0"/>
              <w:jc w:val="both"/>
              <w:keepLines w:val="0"/>
              <w:keepNext w:val="0"/>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cs="宋体"/>
                <w:b/>
                <w:bCs/>
                <w:i w:val="0"/>
                <w:iCs w:val="0"/>
                <w:color w:val="000000"/>
                <w:sz w:val="24"/>
                <w:szCs w:val="24"/>
                <w:highlight w:val="none"/>
                <w:u w:val="none"/>
                <w:lang w:val="en-US" w:eastAsia="zh-CN"/>
              </w:rPr>
              <w:t xml:space="preserve">总价（元）</w:t>
            </w:r>
            <w:r/>
          </w:p>
        </w:tc>
      </w:tr>
      <w:tr>
        <w:trPr>
          <w:trHeight w:val="1197"/>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val="false"/>
          </w:tcPr>
          <w:p>
            <w:pPr>
              <w:ind w:lef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区屏障</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IVC小鼠笼具     （一拖二140笼）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IVC小鼠笼具     （一拖一70笼）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IVC小鼠笼具     （一拖一63笼）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小鼠备用笼盒</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21"/>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IVC大鼠笼具     （一拖二70笼）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023"/>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IVC大鼠笼具     （一拖二56笼）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IVC大鼠笼具     （一拖一35笼）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IVC豚鼠笼具     （一拖一24笼）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大鼠备用笼盒</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豚鼠备用笼盒</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小鼠开放         饲养笼架（定制式不锈钢）</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auto" w:sz="4" w:space="0"/>
              <w:right w:val="single" w:color="000000" w:sz="4" w:space="0"/>
            </w:tcBorders>
            <w:tcW w:w="510"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506"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大鼠开放         饲养笼架（定制式不锈钢）</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豚鼠开放          饲养笼架（定制式不锈钢）</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tcPr>
          <w:p>
            <w:pPr>
              <w:ind w:lef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普通区</w:t>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不锈钢犬笼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不锈钢大猪笼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不锈钢兔笼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37"/>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不锈钢豚鼠笼</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tcPr>
          <w:p>
            <w:pPr>
              <w:ind w:lef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配套</w:t>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垫料倾倒收集系统</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负压解剖台</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不锈钢笼盒转运车</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小鼠转运车</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两层平台车</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平板送物车</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pct"/>
            <w:vAlign w:val="center"/>
            <w:textDirection w:val="lrTb"/>
            <w:noWrap/>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5"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双层手推车</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ind w:lef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25"/>
        </w:trPr>
        <w:tc>
          <w:tcPr>
            <w:gridSpan w:val="6"/>
            <w:shd w:val="clear" w:color="auto" w:fill="auto"/>
            <w:tcBorders>
              <w:top w:val="single" w:color="000000" w:sz="4" w:space="0"/>
              <w:left w:val="single" w:color="000000" w:sz="4" w:space="0"/>
              <w:bottom w:val="single" w:color="000000" w:sz="4" w:space="0"/>
              <w:right w:val="single" w:color="000000" w:sz="4" w:space="0"/>
            </w:tcBorders>
            <w:tcW w:w="3983" w:type="pct"/>
            <w:vAlign w:val="center"/>
            <w:textDirection w:val="lrTb"/>
            <w:noWrap/>
          </w:tcPr>
          <w:p>
            <w:p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合计（含税，元）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16" w:type="pct"/>
            <w:vAlign w:val="center"/>
            <w:textDirection w:val="lrTb"/>
            <w:noWrap/>
          </w:tcPr>
          <w:p>
            <w:pPr>
              <w:ind w:firstLine="48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（1）该报价包括满足本项目要求的所有产品及其配件、包装、运杂、安装调试及售后服务等从项目中标起到项目正式交付以及免费质保期内所发生的一切费用；</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hint="eastAsia" w:ascii="Times New Roman" w:hAnsi="Times New Roman" w:cs="Times New Roman"/>
          <w:bCs/>
          <w:color w:val="auto"/>
          <w:szCs w:val="24"/>
          <w:highlight w:val="none"/>
          <w:lang w:eastAsia="zh-CN"/>
        </w:rPr>
        <w:t xml:space="preserve">（2）投标人应当根据“项目要求和有关说明”的内容在上表中详细填写；</w:t>
      </w:r>
      <w:r/>
    </w:p>
    <w:p>
      <w:pPr>
        <w:ind w:firstLine="0"/>
        <w:spacing w:line="400" w:lineRule="exact"/>
        <w:rPr>
          <w:rFonts w:ascii="宋体" w:hAnsi="宋体"/>
          <w:bCs/>
          <w:color w:val="auto"/>
          <w:highlight w:val="none"/>
          <w:lang w:eastAsia="zh-CN"/>
        </w:rPr>
        <w:outlineLvl w:val="0"/>
      </w:pPr>
      <w:r>
        <w:rPr>
          <w:rFonts w:hint="eastAsia" w:ascii="Times New Roman" w:hAnsi="Times New Roman" w:cs="Times New Roman"/>
          <w:bCs/>
          <w:color w:val="auto"/>
          <w:szCs w:val="24"/>
          <w:highlight w:val="none"/>
          <w:lang w:eastAsia="zh-CN"/>
        </w:rPr>
        <w:t xml:space="preserve">（3）</w:t>
      </w:r>
      <w:r>
        <w:rPr>
          <w:rFonts w:hint="eastAsia" w:ascii="宋体" w:hAnsi="宋体"/>
          <w:bCs/>
          <w:color w:val="auto"/>
          <w:highlight w:val="none"/>
          <w:lang w:eastAsia="zh-CN"/>
        </w:rPr>
        <w:t xml:space="preserve">当采</w:t>
      </w:r>
      <w:r>
        <w:rPr>
          <w:rFonts w:hint="eastAsia" w:ascii="宋体" w:hAnsi="宋体"/>
          <w:bCs/>
          <w:color w:val="auto"/>
          <w:highlight w:val="none"/>
          <w:lang w:eastAsia="zh-CN"/>
        </w:rPr>
        <w:t xml:space="preserve">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r/>
    </w:p>
    <w:p>
      <w:pPr>
        <w:ind w:firstLine="480"/>
        <w:spacing w:line="400" w:lineRule="exact"/>
        <w:rPr>
          <w:rFonts w:ascii="宋体"/>
          <w:bCs/>
          <w:color w:val="auto"/>
          <w:highlight w:val="none"/>
          <w:lang w:eastAsia="zh-CN"/>
        </w:rPr>
        <w:outlineLvl w:val="0"/>
      </w:pPr>
      <w:r>
        <w:rPr>
          <w:rFonts w:hint="eastAsia" w:ascii="宋体" w:hAnsi="宋体"/>
          <w:bCs/>
          <w:color w:val="auto"/>
          <w:highlight w:val="none"/>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ascii="宋体" w:hAnsi="宋体" w:eastAsia="等线"/>
          <w:b/>
          <w:bCs/>
          <w:color w:val="auto"/>
          <w:sz w:val="21"/>
          <w:highlight w:val="none"/>
          <w:lang w:eastAsia="zh-CN"/>
        </w:rPr>
      </w:pPr>
      <w:r>
        <w:rPr>
          <w:rFonts w:ascii="Times New Roman" w:hAnsi="Times New Roman" w:cs="Times New Roman"/>
          <w:b/>
          <w:bCs/>
          <w:color w:val="auto"/>
          <w:szCs w:val="24"/>
          <w:highlight w:val="none"/>
          <w:lang w:eastAsia="zh-CN"/>
        </w:rPr>
        <w:t xml:space="preserve">日期：</w:t>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r>
      <w:r/>
    </w:p>
    <w:p>
      <w:pPr>
        <w:numPr>
          <w:ilvl w:val="0"/>
          <w:numId w:val="11"/>
        </w:num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中小企业声明函（格式）：</w:t>
      </w:r>
      <w:r/>
    </w:p>
    <w:p>
      <w:pPr>
        <w:ind w:firstLine="0"/>
        <w:jc w:val="center"/>
        <w:widowControl w:val="off"/>
        <w:rPr>
          <w:rFonts w:ascii="Tahoma" w:hAnsi="Tahoma" w:cs="Times New Roman"/>
          <w:color w:val="auto"/>
          <w:szCs w:val="20"/>
          <w:highlight w:val="none"/>
          <w:lang w:eastAsia="zh-CN"/>
        </w:rPr>
      </w:pPr>
      <w:r>
        <w:rPr>
          <w:rFonts w:hint="eastAsia" w:ascii="黑体" w:hAnsi="黑体" w:eastAsia="黑体" w:cs="Times New Roman"/>
          <w:bCs/>
          <w:color w:val="auto"/>
          <w:sz w:val="28"/>
          <w:szCs w:val="28"/>
          <w:highlight w:val="none"/>
          <w:lang w:eastAsia="zh-CN"/>
        </w:rPr>
        <w:t xml:space="preserve">中小企业声明函（货物）</w:t>
      </w:r>
      <w:r/>
    </w:p>
    <w:p>
      <w:pPr>
        <w:ind w:firstLine="480"/>
        <w:rPr>
          <w:rFonts w:ascii="宋体" w:hAnsi="宋体" w:cs="宋体"/>
          <w:highlight w:val="none"/>
        </w:rPr>
      </w:pPr>
      <w:r>
        <w:rPr>
          <w:rFonts w:hint="eastAsia" w:ascii="宋体" w:hAnsi="宋体" w:cs="宋体"/>
          <w:highlight w:val="none"/>
          <w:lang w:eastAsia="zh-CN" w:bidi="ar"/>
        </w:rPr>
        <w:t xml:space="preserve">本公司（联合体）郑重声明，根据《政府采购促进中小企业发展管理办法》（财库﹝2020﹞46 号）的规定，本公司</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参加</w:t>
      </w:r>
      <w:r>
        <w:rPr>
          <w:rFonts w:hint="eastAsia" w:ascii="宋体" w:hAnsi="宋体" w:cs="宋体"/>
          <w:i/>
          <w:highlight w:val="none"/>
          <w:u w:val="single"/>
          <w:lang w:eastAsia="zh-CN" w:bidi="ar"/>
        </w:rPr>
        <w:t xml:space="preserve">（单位名称）</w:t>
      </w:r>
      <w:r>
        <w:rPr>
          <w:rFonts w:hint="eastAsia" w:ascii="宋体" w:hAnsi="宋体" w:cs="宋体"/>
          <w:highlight w:val="none"/>
          <w:lang w:eastAsia="zh-CN" w:bidi="ar"/>
        </w:rPr>
        <w:t xml:space="preserve">的</w:t>
      </w:r>
      <w:r>
        <w:rPr>
          <w:rFonts w:hint="eastAsia" w:ascii="宋体" w:hAnsi="宋体" w:cs="宋体"/>
          <w:i/>
          <w:highlight w:val="none"/>
          <w:u w:val="single"/>
          <w:lang w:eastAsia="zh-CN" w:bidi="ar"/>
        </w:rPr>
        <w:t xml:space="preserve">（项目名称）</w:t>
      </w:r>
      <w:r>
        <w:rPr>
          <w:rFonts w:hint="eastAsia" w:ascii="宋体" w:hAnsi="宋体" w:cs="宋体"/>
          <w:highlight w:val="none"/>
          <w:lang w:eastAsia="zh-CN" w:bidi="ar"/>
        </w:rPr>
        <w:t xml:space="preserve">采购活动，</w:t>
      </w:r>
      <w:r>
        <w:rPr>
          <w:rFonts w:hint="eastAsia" w:ascii="宋体" w:hAnsi="宋体" w:cs="宋体"/>
          <w:highlight w:val="none"/>
          <w:lang w:eastAsia="zh-CN"/>
        </w:rPr>
        <w:t xml:space="preserve">提供的货物全部由符合政策要求的中小企业制造。</w:t>
      </w:r>
      <w:r>
        <w:rPr>
          <w:rFonts w:hint="eastAsia" w:ascii="宋体" w:hAnsi="宋体" w:cs="宋体"/>
          <w:highlight w:val="none"/>
        </w:rPr>
        <w:t xml:space="preserve">企业的具体情况如下</w:t>
      </w:r>
      <w:r>
        <w:rPr>
          <w:rFonts w:hint="eastAsia" w:ascii="宋体" w:hAnsi="宋体" w:cs="宋体"/>
          <w:highlight w:val="none"/>
          <w:lang w:bidi="ar"/>
        </w:rPr>
        <w:t xml:space="preserve">：</w:t>
      </w:r>
      <w:r/>
    </w:p>
    <w:p>
      <w:pPr>
        <w:numPr>
          <w:ilvl w:val="0"/>
          <w:numId w:val="12"/>
        </w:numPr>
        <w:ind w:firstLine="480"/>
        <w:rPr>
          <w:rFonts w:ascii="宋体" w:hAnsi="宋体" w:cs="宋体"/>
          <w:highlight w:val="none"/>
          <w:lang w:eastAsia="zh-CN"/>
        </w:rPr>
      </w:pPr>
      <w:r>
        <w:rPr>
          <w:rFonts w:hint="eastAsia" w:ascii="宋体" w:hAnsi="宋体" w:cs="宋体"/>
          <w:highlight w:val="none"/>
          <w:u w:val="single"/>
          <w:lang w:eastAsia="zh-CN" w:bidi="ar"/>
        </w:rPr>
        <w:t xml:space="preserve"> </w:t>
      </w:r>
      <w:r>
        <w:rPr>
          <w:rFonts w:hint="eastAsia" w:ascii="宋体" w:hAnsi="宋体" w:eastAsia="宋体" w:cs="宋体"/>
          <w:i w:val="0"/>
          <w:iCs w:val="0"/>
          <w:color w:val="000000"/>
          <w:sz w:val="24"/>
          <w:szCs w:val="24"/>
          <w:highlight w:val="none"/>
          <w:u w:val="single"/>
          <w:lang w:val="en-US" w:eastAsia="zh-CN" w:bidi="ar"/>
        </w:rPr>
        <w:t xml:space="preserve">IVC小鼠笼具（一拖二140笼）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IVC小鼠笼具（一拖一70笼）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IVC小鼠笼具（一拖一63笼）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小鼠备用笼盒</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IVC大鼠笼具（一拖二70笼）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IVC大鼠笼具（一拖二56笼）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IVC大鼠笼具（一拖一35笼）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IVC豚鼠笼具（一拖一24笼）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大鼠备用笼盒</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豚鼠备用笼盒</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小鼠开放饲养笼架（定制式不锈钢）</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大鼠开放饲养笼架（定制式不锈钢）</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豚鼠开放饲养笼架（定制式不锈钢</w:t>
      </w:r>
      <w:r>
        <w:rPr>
          <w:rFonts w:hint="eastAsia" w:ascii="宋体" w:hAnsi="宋体" w:cs="宋体"/>
          <w:i w:val="0"/>
          <w:iCs w:val="0"/>
          <w:color w:val="000000"/>
          <w:sz w:val="24"/>
          <w:szCs w:val="24"/>
          <w:highlight w:val="none"/>
          <w:u w:val="single"/>
          <w:lang w:val="en-US" w:eastAsia="zh-CN" w:bidi="ar"/>
        </w:rPr>
        <w:t xml:space="preserve">）</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不锈钢犬笼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不锈钢大猪笼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不锈钢兔笼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不锈钢豚鼠笼</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垫料倾倒收集系统</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负压解剖台</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不锈钢笼盒转运车</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小鼠转运车</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两层平台车</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平板送物车</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numPr>
          <w:ilvl w:val="0"/>
          <w:numId w:val="12"/>
        </w:numPr>
        <w:ind w:firstLine="480"/>
        <w:rPr>
          <w:rFonts w:ascii="宋体" w:hAnsi="宋体" w:cs="宋体"/>
          <w:highlight w:val="none"/>
          <w:lang w:eastAsia="zh-CN" w:bidi="ar"/>
        </w:rPr>
      </w:pPr>
      <w:r>
        <w:rPr>
          <w:rFonts w:hint="eastAsia" w:ascii="宋体" w:hAnsi="宋体" w:eastAsia="宋体" w:cs="宋体"/>
          <w:i w:val="0"/>
          <w:iCs w:val="0"/>
          <w:color w:val="000000"/>
          <w:sz w:val="24"/>
          <w:szCs w:val="24"/>
          <w:highlight w:val="none"/>
          <w:u w:val="single"/>
          <w:lang w:val="en-US" w:eastAsia="zh-CN" w:bidi="ar"/>
        </w:rPr>
        <w:t xml:space="preserve">双层手推车</w:t>
      </w:r>
      <w:r>
        <w:rPr>
          <w:rFonts w:hint="eastAsia" w:ascii="宋体" w:hAnsi="宋体" w:cs="宋体"/>
          <w:highlight w:val="none"/>
          <w:lang w:eastAsia="zh-CN" w:bidi="ar"/>
        </w:rPr>
        <w:t xml:space="preserve">，属于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（采购文件中明确的所属行业）行业；制造商为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（企业名称），从业人员</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人，营业收入为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万元，资产总额为</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万元 ，属于</w:t>
      </w:r>
      <w:r>
        <w:rPr>
          <w:rFonts w:hint="eastAsia" w:ascii="宋体" w:hAnsi="宋体" w:cs="宋体"/>
          <w:highlight w:val="none"/>
          <w:u w:val="single"/>
          <w:lang w:eastAsia="zh-CN" w:bidi="ar"/>
        </w:rPr>
        <w:t xml:space="preserve">      </w:t>
      </w:r>
      <w:r>
        <w:rPr>
          <w:rFonts w:hint="eastAsia" w:ascii="宋体" w:hAnsi="宋体" w:cs="宋体"/>
          <w:highlight w:val="none"/>
          <w:lang w:eastAsia="zh-CN" w:bidi="ar"/>
        </w:rPr>
        <w:t xml:space="preserve">（中型企业、小型企业、微型企业）；</w:t>
      </w:r>
      <w:r/>
    </w:p>
    <w:p>
      <w:pPr>
        <w:pStyle w:val="881"/>
        <w:ind w:firstLine="480"/>
        <w:spacing w:before="120" w:beforeAutospacing="0" w:after="120" w:afterAutospacing="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以上企业，不属于大企业的分支机构，不存在控股股东为大企业的情形，也不存在与大企业的负责人为同一人的情形。</w:t>
      </w:r>
      <w:r/>
    </w:p>
    <w:p>
      <w:pPr>
        <w:pStyle w:val="881"/>
        <w:ind w:firstLine="480"/>
        <w:spacing w:before="120" w:beforeAutospacing="0" w:after="120" w:afterAutospacing="0"/>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　　本企业对上述声明内容的真实性负责。如有虚假，将依法承担相应责任。</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82"/>
        <w:jc w:val="both"/>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2"/>
        <w:jc w:val="both"/>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4、在货物采购项目中，供应商提供的货物既有中小企业制造货物，也有大型企业制造货物的，不享受本办法规定的中小企业扶持政策。</w:t>
      </w:r>
      <w:r/>
    </w:p>
    <w:p>
      <w:pPr>
        <w:ind w:firstLine="482"/>
        <w:jc w:val="both"/>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240" w:lineRule="auto"/>
        <w:rPr>
          <w:rFonts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line="240" w:lineRule="auto"/>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(九) 服务承诺(格式)：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名称(盖章)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spacing w:line="240" w:lineRule="auto"/>
        <w:rPr>
          <w:rFonts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 商务偏离表(格式)：</w:t>
      </w:r>
      <w:r/>
    </w:p>
    <w:p>
      <w:pPr>
        <w:ind w:firstLine="0"/>
        <w:jc w:val="center"/>
        <w:spacing w:line="240" w:lineRule="auto"/>
        <w:widowControl w:val="off"/>
        <w:rPr>
          <w:rFonts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商务偏离表</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866"/>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r>
    </w:tbl>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   （2）如有商务偏离项，请于本表中列明偏离内容，如需要可自行延长。</w:t>
      </w:r>
      <w:r/>
    </w:p>
    <w:p>
      <w:pPr>
        <w:ind w:firstLine="566"/>
        <w:rPr>
          <w:rFonts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w:t>
      </w:r>
      <w:r>
        <w:rPr>
          <w:rFonts w:hint="eastAsia" w:ascii="宋体" w:hAnsi="宋体"/>
          <w:color w:val="auto"/>
          <w:sz w:val="21"/>
          <w:highlight w:val="none"/>
          <w:lang w:eastAsia="zh-CN"/>
        </w:rPr>
        <w:t xml:space="preserve">。</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right="34" w:firstLine="0"/>
        <w:widowControl w:val="off"/>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(十一) 技术规格偏离表(格式)：</w:t>
      </w:r>
      <w:r/>
    </w:p>
    <w:p>
      <w:pPr>
        <w:ind w:firstLine="0"/>
        <w:jc w:val="center"/>
        <w:spacing w:line="240" w:lineRule="auto"/>
        <w:widowControl w:val="off"/>
        <w:rPr>
          <w:rFonts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技术规格偏离表</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866"/>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参数要求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ascii="宋体" w:hAnsi="宋体" w:eastAsia="等线"/>
                <w:bCs/>
                <w:color w:val="auto"/>
                <w:sz w:val="21"/>
                <w:highlight w:val="none"/>
                <w:lang w:eastAsia="zh-CN"/>
              </w:rPr>
            </w:pPr>
            <w:r>
              <w:rPr>
                <w:rFonts w:ascii="宋体" w:hAnsi="宋体" w:eastAsia="等线"/>
                <w:bCs/>
                <w:color w:val="auto"/>
                <w:sz w:val="21"/>
                <w:highlight w:val="none"/>
                <w:lang w:eastAsia="zh-CN"/>
              </w:rPr>
            </w:r>
            <w:r/>
          </w:p>
        </w:tc>
      </w:tr>
    </w:tbl>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ascii="宋体" w:hAnsi="宋体"/>
          <w:color w:val="auto"/>
          <w:szCs w:val="24"/>
          <w:highlight w:val="none"/>
          <w:lang w:eastAsia="zh-CN"/>
        </w:rPr>
      </w:pPr>
      <w:r>
        <w:rPr>
          <w:rFonts w:hint="eastAsia" w:ascii="宋体" w:hAnsi="宋体"/>
          <w:color w:val="auto"/>
          <w:szCs w:val="24"/>
          <w:highlight w:val="none"/>
          <w:lang w:eastAsia="zh-CN"/>
        </w:rPr>
        <w:t xml:space="preserve">   （2）如有技术参数偏离项，请于本表中列明偏离内容，如需要可自行延长。</w:t>
      </w:r>
      <w:r/>
    </w:p>
    <w:p>
      <w:pPr>
        <w:ind w:firstLine="566"/>
        <w:rPr>
          <w:rFonts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w:t>
      </w:r>
      <w:r>
        <w:rPr>
          <w:rFonts w:hint="eastAsia" w:ascii="宋体" w:hAnsi="宋体"/>
          <w:color w:val="auto"/>
          <w:sz w:val="21"/>
          <w:highlight w:val="none"/>
          <w:lang w:eastAsia="zh-CN"/>
        </w:rPr>
        <w:t xml:space="preserve">。</w:t>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right="34" w:firstLine="0"/>
        <w:widowControl w:val="off"/>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（十二）关于符合本国产品标准的声明函（格式）：</w:t>
      </w:r>
      <w:r/>
    </w:p>
    <w:p>
      <w:pPr>
        <w:ind w:firstLine="56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881"/>
        <w:ind w:firstLine="480"/>
        <w:spacing w:before="13" w:beforeAutospacing="0" w:after="13" w:afterAutospacing="0"/>
        <w:shd w:val="clear" w:color="auto" w:fill="ffffff"/>
        <w:rPr>
          <w:bCs/>
          <w:color w:val="auto"/>
          <w:highlight w:val="none"/>
          <w:lang w:eastAsia="zh-CN"/>
        </w:rPr>
      </w:pPr>
      <w:r>
        <w:rPr>
          <w:bCs/>
          <w:color w:val="auto"/>
          <w:highlight w:val="none"/>
          <w:lang w:eastAsia="zh-CN"/>
        </w:rPr>
      </w:r>
      <w:r/>
    </w:p>
    <w:p>
      <w:pPr>
        <w:pStyle w:val="881"/>
        <w:ind w:firstLine="480"/>
        <w:spacing w:before="13" w:beforeAutospacing="0" w:after="13" w:afterAutospacing="0"/>
        <w:shd w:val="clear" w:color="auto" w:fill="ffffff"/>
        <w:rPr>
          <w:bCs/>
          <w:color w:val="auto"/>
          <w:highlight w:val="none"/>
          <w:lang w:eastAsia="zh-CN"/>
        </w:rPr>
      </w:pPr>
      <w:r>
        <w:rPr>
          <w:rFonts w:hint="eastAsia"/>
          <w:bCs/>
          <w:color w:val="auto"/>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80"/>
        <w:spacing w:before="13" w:beforeAutospacing="0" w:after="13" w:afterAutospacing="0"/>
        <w:shd w:val="clear" w:color="auto" w:fill="ffffff"/>
        <w:rPr>
          <w:bCs/>
          <w:color w:val="auto"/>
          <w:highlight w:val="none"/>
          <w:lang w:eastAsia="zh-CN"/>
        </w:rPr>
      </w:pPr>
      <w:r>
        <w:rPr>
          <w:rFonts w:hint="eastAsia"/>
          <w:bCs/>
          <w:color w:val="auto"/>
          <w:highlight w:val="none"/>
          <w:lang w:eastAsia="zh-CN"/>
        </w:rPr>
        <w:t xml:space="preserve">1.（产品名称1）¹，生产厂为（厂名）²，厂址为（生产厂址）。（产品名称1）的中国境内生产的组件成本占比≥（规定比例）³。（产品名称1）的（关键组件）⁴在中国境内生产。（产品名称1）的（关键工序）⁵在中国境内完成。</w:t>
      </w:r>
      <w:r/>
    </w:p>
    <w:p>
      <w:pPr>
        <w:pStyle w:val="881"/>
        <w:ind w:firstLine="480"/>
        <w:spacing w:before="13" w:beforeAutospacing="0" w:after="13" w:afterAutospacing="0"/>
        <w:shd w:val="clear" w:color="auto" w:fill="ffffff"/>
        <w:rPr>
          <w:bCs/>
          <w:color w:val="auto"/>
          <w:highlight w:val="none"/>
          <w:lang w:eastAsia="zh-CN"/>
        </w:rPr>
      </w:pPr>
      <w:r>
        <w:rPr>
          <w:rFonts w:hint="eastAsia"/>
          <w:bCs/>
          <w:color w:val="auto"/>
          <w:highlight w:val="none"/>
          <w:lang w:eastAsia="zh-CN"/>
        </w:rPr>
        <w:t xml:space="preserve">2.（产品名称2），生产厂为（厂名），厂址为（生产厂址）。（产品名称2）的中国境内生产的组件成本占比≥（规定比例）。（产品名称2）的（关键组件）在中国境内生产。（产品名称2）的（关键工序）在中国境内完成。</w:t>
      </w:r>
      <w:r/>
    </w:p>
    <w:p>
      <w:pPr>
        <w:pStyle w:val="881"/>
        <w:ind w:firstLine="480"/>
        <w:spacing w:before="13" w:beforeAutospacing="0" w:after="13" w:afterAutospacing="0"/>
        <w:shd w:val="clear" w:color="auto" w:fill="ffffff"/>
        <w:rPr>
          <w:bCs/>
          <w:color w:val="auto"/>
          <w:highlight w:val="none"/>
          <w:lang w:eastAsia="zh-CN"/>
        </w:rPr>
      </w:pPr>
      <w:r>
        <w:rPr>
          <w:rFonts w:hint="eastAsia"/>
          <w:bCs/>
          <w:color w:val="auto"/>
          <w:highlight w:val="none"/>
          <w:lang w:eastAsia="zh-CN"/>
        </w:rPr>
        <w:t xml:space="preserve">……</w:t>
      </w:r>
      <w:r/>
    </w:p>
    <w:p>
      <w:pPr>
        <w:pStyle w:val="881"/>
        <w:ind w:firstLine="480"/>
        <w:spacing w:before="13" w:beforeAutospacing="0" w:after="13" w:afterAutospacing="0"/>
        <w:shd w:val="clear" w:color="auto" w:fill="ffffff"/>
        <w:rPr>
          <w:bCs/>
          <w:color w:val="auto"/>
          <w:highlight w:val="none"/>
          <w:lang w:eastAsia="zh-CN"/>
        </w:rPr>
      </w:pPr>
      <w:r>
        <w:rPr>
          <w:rFonts w:hint="eastAsia"/>
          <w:bCs/>
          <w:color w:val="auto"/>
          <w:highlight w:val="none"/>
          <w:lang w:eastAsia="zh-CN"/>
        </w:rPr>
        <w:t xml:space="preserve">本公司（单位）对上述声明内容的真实性负责。如有虚假，愿承担相应法律责任。</w:t>
      </w:r>
      <w:r/>
    </w:p>
    <w:p>
      <w:pPr>
        <w:pStyle w:val="881"/>
        <w:ind w:firstLine="480"/>
        <w:jc w:val="right"/>
        <w:spacing w:before="13" w:beforeAutospacing="0" w:after="13" w:afterAutospacing="0"/>
        <w:shd w:val="clear" w:color="auto" w:fill="ffffff"/>
        <w:rPr>
          <w:bCs/>
          <w:color w:val="auto"/>
          <w:highlight w:val="none"/>
          <w:lang w:eastAsia="zh-CN"/>
        </w:rPr>
      </w:pPr>
      <w:r>
        <w:rPr>
          <w:rFonts w:hint="eastAsia"/>
          <w:bCs/>
          <w:color w:val="auto"/>
          <w:highlight w:val="none"/>
          <w:lang w:eastAsia="zh-CN"/>
        </w:rPr>
        <w:t xml:space="preserve">公司（单位）名称（盖章）：      </w:t>
      </w:r>
      <w:r/>
    </w:p>
    <w:p>
      <w:pPr>
        <w:pStyle w:val="881"/>
        <w:ind w:firstLine="480"/>
        <w:jc w:val="right"/>
        <w:spacing w:before="13" w:beforeAutospacing="0" w:after="13" w:afterAutospacing="0"/>
        <w:shd w:val="clear" w:color="auto" w:fill="ffffff"/>
        <w:rPr>
          <w:bCs/>
          <w:color w:val="auto"/>
          <w:highlight w:val="none"/>
          <w:lang w:eastAsia="zh-CN"/>
        </w:rPr>
      </w:pPr>
      <w:r>
        <w:rPr>
          <w:rFonts w:hint="eastAsia"/>
          <w:bCs/>
          <w:color w:val="auto"/>
          <w:highlight w:val="none"/>
          <w:lang w:eastAsia="zh-CN"/>
        </w:rPr>
        <w:t xml:space="preserve">日期：　　　　　年　　月　日</w:t>
      </w:r>
      <w:r/>
    </w:p>
    <w:p>
      <w:pPr>
        <w:ind w:firstLine="480"/>
        <w:tabs>
          <w:tab w:val="center" w:pos="4870" w:leader="none"/>
        </w:tabs>
        <w:rPr>
          <w:rFonts w:ascii="宋体" w:hAnsi="宋体" w:cs="宋体"/>
          <w:bCs/>
          <w:color w:val="auto"/>
          <w:highlight w:val="none"/>
        </w:rPr>
        <w:outlineLvl w:val="0"/>
      </w:pPr>
      <w:r>
        <w:rPr>
          <w:rFonts w:ascii="宋体" w:hAnsi="宋体" w:cs="宋体"/>
          <w:bCs/>
          <w:color w:val="auto"/>
          <w:highlight w:val="none"/>
        </w:rPr>
      </w:r>
      <w:r/>
    </w:p>
    <w:p>
      <w:pPr>
        <w:ind w:firstLine="480"/>
        <w:tabs>
          <w:tab w:val="center" w:pos="4870" w:leader="none"/>
        </w:tabs>
        <w:rPr>
          <w:rFonts w:ascii="宋体" w:hAnsi="宋体" w:cs="宋体"/>
          <w:bCs/>
          <w:color w:val="auto"/>
          <w:highlight w:val="none"/>
        </w:rPr>
        <w:outlineLvl w:val="0"/>
      </w:pPr>
      <w:r>
        <w:rPr>
          <w:rFonts w:ascii="宋体" w:hAnsi="宋体" w:cs="宋体"/>
          <w:bCs/>
          <w:color w:val="auto"/>
          <w:highlight w:val="none"/>
        </w:rPr>
      </w:r>
      <w:r/>
    </w:p>
    <w:p>
      <w:pPr>
        <w:ind w:firstLine="480"/>
        <w:tabs>
          <w:tab w:val="center" w:pos="4870" w:leader="none"/>
        </w:tabs>
        <w:rPr>
          <w:rFonts w:ascii="宋体" w:hAnsi="宋体" w:cs="宋体"/>
          <w:bCs/>
          <w:color w:val="auto"/>
          <w:highlight w:val="none"/>
        </w:rPr>
        <w:outlineLvl w:val="0"/>
      </w:pPr>
      <w:r>
        <w:rPr>
          <w:rFonts w:ascii="宋体" w:hAnsi="宋体" w:cs="宋体"/>
          <w:bCs/>
          <w:color w:val="auto"/>
          <w:highlight w:val="none"/>
        </w:rPr>
      </w:r>
      <w:r/>
    </w:p>
    <w:p>
      <w:pPr>
        <w:ind w:firstLine="480"/>
        <w:tabs>
          <w:tab w:val="center" w:pos="4870" w:leader="none"/>
        </w:tabs>
        <w:rPr>
          <w:rFonts w:ascii="宋体" w:hAnsi="宋体" w:cs="宋体"/>
          <w:bCs/>
          <w:color w:val="auto"/>
          <w:highlight w:val="none"/>
        </w:rPr>
        <w:outlineLvl w:val="0"/>
      </w:pPr>
      <w:r>
        <w:rPr>
          <w:rFonts w:ascii="宋体" w:hAnsi="宋体" w:cs="宋体"/>
          <w:bCs/>
          <w:color w:val="auto"/>
          <w:highlight w:val="none"/>
        </w:rPr>
      </w:r>
      <w:r/>
    </w:p>
    <w:p>
      <w:pPr>
        <w:pStyle w:val="872"/>
        <w:ind w:left="1880" w:hanging="440"/>
        <w:spacing w:before="100" w:beforeAutospacing="1" w:after="100" w:afterAutospacing="1"/>
        <w:widowControl/>
        <w:rPr>
          <w:rFonts w:ascii="宋体" w:hAnsi="宋体" w:cs="宋体"/>
          <w:bCs/>
          <w:sz w:val="22"/>
          <w:szCs w:val="22"/>
          <w:highlight w:val="none"/>
        </w:rPr>
      </w:pPr>
      <w:r>
        <w:rPr>
          <w:rFonts w:hint="eastAsia" w:ascii="宋体" w:hAnsi="宋体" w:cs="宋体"/>
          <w:bCs/>
          <w:sz w:val="22"/>
          <w:szCs w:val="22"/>
          <w:highlight w:val="none"/>
        </w:rPr>
        <w:t xml:space="preserve">注：</w:t>
      </w:r>
      <w:r/>
    </w:p>
    <w:p>
      <w:pPr>
        <w:pStyle w:val="872"/>
        <w:ind w:left="1880" w:hanging="440"/>
        <w:spacing w:before="100" w:beforeAutospacing="1" w:after="100" w:afterAutospacing="1"/>
        <w:widowControl/>
        <w:rPr>
          <w:rFonts w:ascii="宋体" w:hAnsi="宋体" w:cs="宋体"/>
          <w:bCs/>
          <w:sz w:val="22"/>
          <w:szCs w:val="22"/>
          <w:highlight w:val="none"/>
        </w:rPr>
      </w:pPr>
      <w:r>
        <w:rPr>
          <w:rFonts w:hint="eastAsia" w:ascii="宋体" w:hAnsi="宋体" w:cs="宋体"/>
          <w:bCs/>
          <w:sz w:val="22"/>
          <w:szCs w:val="22"/>
          <w:highlight w:val="none"/>
        </w:rPr>
        <w:t xml:space="preserve">1.产品如有型号，请在“产品名称”栏一并填写。</w:t>
      </w:r>
      <w:r/>
    </w:p>
    <w:p>
      <w:pPr>
        <w:pStyle w:val="872"/>
        <w:ind w:left="1880" w:hanging="440"/>
        <w:spacing w:before="100" w:beforeAutospacing="1" w:after="100" w:afterAutospacing="1"/>
        <w:widowControl/>
        <w:rPr>
          <w:rFonts w:ascii="宋体" w:hAnsi="宋体" w:cs="宋体"/>
          <w:bCs/>
          <w:sz w:val="22"/>
          <w:szCs w:val="22"/>
          <w:highlight w:val="none"/>
        </w:rPr>
      </w:pPr>
      <w:r>
        <w:rPr>
          <w:rFonts w:hint="eastAsia" w:ascii="宋体" w:hAnsi="宋体" w:cs="宋体"/>
          <w:bCs/>
          <w:sz w:val="22"/>
          <w:szCs w:val="22"/>
          <w:highlight w:val="none"/>
        </w:rPr>
        <w:t xml:space="preserve">2.生产厂名与厂址应与生产厂营业执照载明的相关信息保持一致。</w:t>
      </w:r>
      <w:r/>
    </w:p>
    <w:p>
      <w:pPr>
        <w:pStyle w:val="872"/>
        <w:ind w:left="1880" w:hanging="440"/>
        <w:spacing w:before="100" w:beforeAutospacing="1" w:after="100" w:afterAutospacing="1"/>
        <w:widowControl/>
        <w:rPr>
          <w:rFonts w:ascii="宋体" w:hAnsi="宋体" w:cs="宋体"/>
          <w:bCs/>
          <w:sz w:val="22"/>
          <w:szCs w:val="22"/>
          <w:highlight w:val="none"/>
        </w:rPr>
      </w:pPr>
      <w:r>
        <w:rPr>
          <w:rFonts w:hint="eastAsia" w:ascii="宋体" w:hAnsi="宋体" w:cs="宋体"/>
          <w:bCs/>
          <w:sz w:val="22"/>
          <w:szCs w:val="22"/>
          <w:highlight w:val="none"/>
        </w:rPr>
        <w:t xml:space="preserve">3.该产品的中国境内生产的组件成本占比相关要求实施前，“规定比例”栏可不填，下同。</w:t>
      </w:r>
      <w:r/>
    </w:p>
    <w:p>
      <w:pPr>
        <w:pStyle w:val="872"/>
        <w:ind w:left="1440"/>
        <w:spacing w:before="100" w:beforeAutospacing="1" w:after="100" w:afterAutospacing="1"/>
        <w:widowControl/>
        <w:rPr>
          <w:rFonts w:ascii="宋体" w:hAnsi="宋体" w:cs="宋体"/>
          <w:bCs/>
          <w:sz w:val="22"/>
          <w:szCs w:val="22"/>
          <w:highlight w:val="none"/>
        </w:rPr>
      </w:pPr>
      <w:r>
        <w:rPr>
          <w:rFonts w:hint="eastAsia" w:ascii="宋体" w:hAnsi="宋体" w:cs="宋体"/>
          <w:bCs/>
          <w:sz w:val="22"/>
          <w:szCs w:val="22"/>
          <w:highlight w:val="none"/>
        </w:rPr>
        <w:t xml:space="preserve">（在分产品确定的中国境内生产组件成本占比要求正式实施前，只要产品符合“在中华人民共和国关境内完成制造、加工或组装”的基本条件，即可视同为本国产品，无需填写具体的比例数值）</w:t>
      </w:r>
      <w:r/>
    </w:p>
    <w:p>
      <w:pPr>
        <w:pStyle w:val="872"/>
        <w:ind w:left="1880" w:hanging="440"/>
        <w:spacing w:before="100" w:beforeAutospacing="1" w:after="100" w:afterAutospacing="1"/>
        <w:widowControl/>
        <w:rPr>
          <w:rFonts w:ascii="宋体" w:hAnsi="宋体" w:cs="宋体"/>
          <w:bCs/>
          <w:sz w:val="22"/>
          <w:szCs w:val="22"/>
          <w:highlight w:val="none"/>
        </w:rPr>
      </w:pPr>
      <w:r>
        <w:rPr>
          <w:rFonts w:hint="eastAsia" w:ascii="宋体" w:hAnsi="宋体" w:cs="宋体"/>
          <w:bCs/>
          <w:sz w:val="22"/>
          <w:szCs w:val="22"/>
          <w:highlight w:val="none"/>
        </w:rPr>
        <w:t xml:space="preserve">4.该产品的关键组件要求实施前，“关键组件”栏可不填，下同。</w:t>
      </w:r>
      <w:r/>
    </w:p>
    <w:p>
      <w:pPr>
        <w:pStyle w:val="872"/>
        <w:ind w:left="1880" w:hanging="440"/>
        <w:spacing w:before="100" w:beforeAutospacing="1" w:after="100" w:afterAutospacing="1"/>
        <w:widowControl/>
        <w:rPr>
          <w:rFonts w:ascii="宋体" w:hAnsi="宋体" w:cs="宋体"/>
          <w:b/>
          <w:color w:val="auto"/>
          <w:szCs w:val="24"/>
          <w:highlight w:val="none"/>
          <w:lang w:eastAsia="zh-CN" w:bidi="ar"/>
        </w:rPr>
      </w:pPr>
      <w:r>
        <w:rPr>
          <w:rFonts w:hint="eastAsia" w:ascii="宋体" w:hAnsi="宋体" w:cs="宋体"/>
          <w:bCs/>
          <w:sz w:val="22"/>
          <w:szCs w:val="22"/>
          <w:highlight w:val="none"/>
        </w:rPr>
        <w:t xml:space="preserve">5.该产品的关键工序要求实施前，“关键工序”栏可不填，下同。</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rPr>
        <w:t xml:space="preserve">（十三）</w:t>
      </w:r>
      <w:r>
        <w:rPr>
          <w:rFonts w:hint="eastAsia" w:ascii="宋体" w:hAnsi="宋体" w:cs="宋体"/>
          <w:b/>
          <w:color w:val="auto"/>
          <w:szCs w:val="24"/>
          <w:highlight w:val="none"/>
          <w:lang w:eastAsia="zh-CN" w:bidi="ar"/>
        </w:rPr>
        <w:t xml:space="preserve">供应商情况表（格式）：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shd w:val="clear" w:color="auto" w:fill="ffffff"/>
        <w:rPr>
          <w:rFonts w:ascii="黑体" w:hAnsi="黑体" w:eastAsia="黑体" w:cs="黑体"/>
          <w:sz w:val="28"/>
          <w:szCs w:val="28"/>
          <w:highlight w:val="none"/>
          <w:shd w:val="clear" w:color="auto" w:fill="ffffff"/>
          <w:lang w:eastAsia="zh-CN" w:bidi="ar"/>
        </w:rPr>
      </w:pPr>
      <w:r>
        <w:rPr>
          <w:rFonts w:hint="eastAsia" w:ascii="黑体" w:hAnsi="黑体" w:eastAsia="黑体" w:cs="黑体"/>
          <w:sz w:val="28"/>
          <w:szCs w:val="28"/>
          <w:highlight w:val="none"/>
          <w:shd w:val="clear" w:color="auto" w:fill="ffffff"/>
          <w:lang w:eastAsia="zh-CN" w:bidi="ar"/>
        </w:rPr>
        <w:t xml:space="preserve">供应商情况表</w:t>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9"/>
        <w:gridCol w:w="2700"/>
        <w:gridCol w:w="1960"/>
        <w:gridCol w:w="1889"/>
      </w:tblGrid>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法定代表人</w:t>
            </w:r>
            <w:r/>
          </w:p>
        </w:tc>
        <w:tc>
          <w:tcPr>
            <w:tcW w:w="270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成立日期</w:t>
            </w:r>
            <w:r/>
          </w:p>
        </w:tc>
        <w:tc>
          <w:tcPr>
            <w:tcW w:w="188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企业地址</w:t>
            </w:r>
            <w:r/>
          </w:p>
        </w:tc>
        <w:tc>
          <w:tcPr>
            <w:tcW w:w="270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注册资本</w:t>
            </w:r>
            <w:r/>
          </w:p>
        </w:tc>
        <w:tc>
          <w:tcPr>
            <w:tcW w:w="188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经营范围</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开户行</w:t>
            </w:r>
            <w:r/>
          </w:p>
        </w:tc>
        <w:tc>
          <w:tcPr>
            <w:tcW w:w="270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96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银行账号</w:t>
            </w:r>
            <w:r/>
          </w:p>
        </w:tc>
        <w:tc>
          <w:tcPr>
            <w:tcW w:w="188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资产总计</w:t>
            </w:r>
            <w:r/>
          </w:p>
        </w:tc>
        <w:tc>
          <w:tcPr>
            <w:tcW w:w="2700" w:type="dxa"/>
            <w:vAlign w:val="center"/>
            <w:textDirection w:val="lrTb"/>
            <w:noWrap w:val="false"/>
          </w:tcPr>
          <w:p>
            <w:pPr>
              <w:ind w:firstLine="96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总资产</w:t>
            </w:r>
            <w:r/>
          </w:p>
        </w:tc>
        <w:tc>
          <w:tcPr>
            <w:tcW w:w="1889" w:type="dxa"/>
            <w:vAlign w:val="center"/>
            <w:textDirection w:val="lrTb"/>
            <w:noWrap w:val="false"/>
          </w:tcPr>
          <w:p>
            <w:pPr>
              <w:ind w:firstLine="96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万元</w:t>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股东权益</w:t>
            </w:r>
            <w:r/>
          </w:p>
        </w:tc>
        <w:tc>
          <w:tcPr>
            <w:tcW w:w="2700" w:type="dxa"/>
            <w:vAlign w:val="center"/>
            <w:textDirection w:val="lrTb"/>
            <w:noWrap w:val="false"/>
          </w:tcPr>
          <w:p>
            <w:pPr>
              <w:ind w:firstLine="96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万元</w:t>
            </w:r>
            <w:r/>
          </w:p>
        </w:tc>
        <w:tc>
          <w:tcPr>
            <w:tcW w:w="196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主营收入</w:t>
            </w:r>
            <w:r/>
          </w:p>
        </w:tc>
        <w:tc>
          <w:tcPr>
            <w:tcW w:w="188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2025年  万元</w:t>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实现利润</w:t>
            </w:r>
            <w:r/>
          </w:p>
        </w:tc>
        <w:tc>
          <w:tcPr>
            <w:tcW w:w="270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2025年   万元</w:t>
            </w:r>
            <w:r/>
          </w:p>
        </w:tc>
        <w:tc>
          <w:tcPr>
            <w:tcW w:w="196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社保缴纳人数</w:t>
            </w:r>
            <w:r/>
          </w:p>
        </w:tc>
        <w:tc>
          <w:tcPr>
            <w:tcW w:w="188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经营面积</w:t>
            </w:r>
            <w:r/>
          </w:p>
        </w:tc>
        <w:tc>
          <w:tcPr>
            <w:tcW w:w="2700" w:type="dxa"/>
            <w:vAlign w:val="center"/>
            <w:textDirection w:val="lrTb"/>
            <w:noWrap w:val="false"/>
          </w:tcPr>
          <w:p>
            <w:pPr>
              <w:ind w:firstLine="96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平方米</w:t>
            </w:r>
            <w:r/>
          </w:p>
        </w:tc>
        <w:tc>
          <w:tcPr>
            <w:tcW w:w="1960"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其中:</w:t>
            </w:r>
            <w:r/>
          </w:p>
        </w:tc>
        <w:tc>
          <w:tcPr>
            <w:tcW w:w="188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自有面积</w:t>
            </w:r>
            <w:r/>
          </w:p>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承租面积</w:t>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单位建立及内设机构情况</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单位优势及特长</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近三年来完成或正在</w:t>
            </w:r>
            <w:r>
              <w:rPr>
                <w:rFonts w:hint="eastAsia" w:ascii="宋体" w:hAnsi="宋体" w:cs="宋体"/>
                <w:szCs w:val="24"/>
                <w:highlight w:val="none"/>
                <w:shd w:val="clear" w:color="auto" w:fill="ffffff"/>
                <w:lang w:val="en-US" w:eastAsia="zh-CN" w:bidi="ar"/>
              </w:rPr>
              <w:t xml:space="preserve">履行</w:t>
            </w:r>
            <w:r>
              <w:rPr>
                <w:rFonts w:hint="eastAsia" w:ascii="宋体" w:hAnsi="宋体" w:cs="宋体"/>
                <w:szCs w:val="24"/>
                <w:highlight w:val="none"/>
                <w:shd w:val="clear" w:color="auto" w:fill="ffffff"/>
                <w:lang w:eastAsia="zh-CN" w:bidi="ar"/>
              </w:rPr>
              <w:t xml:space="preserve">的重大合同情况</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最近2年内在经营过程中</w:t>
            </w:r>
            <w:r>
              <w:rPr>
                <w:rFonts w:hint="eastAsia" w:ascii="宋体" w:hAnsi="宋体" w:cs="宋体"/>
                <w:szCs w:val="24"/>
                <w:highlight w:val="none"/>
                <w:shd w:val="clear" w:color="auto" w:fill="ffffff"/>
                <w:lang w:val="en-US" w:eastAsia="zh-CN" w:bidi="ar"/>
              </w:rPr>
              <w:t xml:space="preserve">受到</w:t>
            </w:r>
            <w:r>
              <w:rPr>
                <w:rFonts w:hint="eastAsia" w:ascii="宋体" w:hAnsi="宋体" w:cs="宋体"/>
                <w:szCs w:val="24"/>
                <w:highlight w:val="none"/>
                <w:shd w:val="clear" w:color="auto" w:fill="ffffff"/>
                <w:lang w:eastAsia="zh-CN" w:bidi="ar"/>
              </w:rPr>
              <w:t xml:space="preserve">何种奖励或处分</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（包括财政、工伤、税务、物价、技监部门稽查情况及结果）</w:t>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最近3年内有无因售假、售劣或是其他原因被消费者投诉或起诉的情况及说明</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（包括解决方式和结果）</w:t>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参加政府采购活动前三年内，在经营活动中有无重大违法记录情况及说明</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获得技术认证的工程师及简介</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rHeight w:val="90"/>
        </w:trPr>
        <w:tc>
          <w:tcPr>
            <w:tcW w:w="312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其他需要说明的情况</w:t>
            </w:r>
            <w:r/>
          </w:p>
        </w:tc>
        <w:tc>
          <w:tcPr>
            <w:gridSpan w:val="3"/>
            <w:tcW w:w="6549" w:type="dxa"/>
            <w:vAlign w:val="center"/>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bl>
    <w:p>
      <w:pPr>
        <w:ind w:firstLine="0"/>
        <w:spacing w:line="240" w:lineRule="auto"/>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p>
      <w:pPr>
        <w:ind w:firstLine="0"/>
        <w:jc w:val="both"/>
        <w:spacing w:line="240" w:lineRule="auto"/>
        <w:widowControl w:val="off"/>
        <w:rPr>
          <w:rFonts w:ascii="宋体" w:hAnsi="宋体" w:cs="宋体"/>
          <w:b/>
          <w:color w:val="auto"/>
          <w:szCs w:val="24"/>
          <w:highlight w:val="none"/>
          <w:lang w:eastAsia="zh-CN" w:bidi="ar"/>
        </w:rPr>
      </w:pPr>
      <w:r>
        <w:rPr>
          <w:rFonts w:hint="eastAsia" w:ascii="宋体" w:hAnsi="宋体" w:cs="宋体"/>
          <w:b/>
          <w:color w:val="auto"/>
          <w:szCs w:val="24"/>
          <w:highlight w:val="none"/>
          <w:lang w:eastAsia="zh-CN" w:bidi="ar"/>
        </w:rPr>
        <w:t xml:space="preserve">（十四）</w:t>
      </w:r>
      <w:r>
        <w:rPr>
          <w:rFonts w:hint="eastAsia" w:ascii="宋体" w:hAnsi="宋体" w:cs="宋体"/>
          <w:b/>
          <w:color w:val="auto"/>
          <w:szCs w:val="24"/>
          <w:highlight w:val="none"/>
          <w:lang w:eastAsia="zh-CN"/>
        </w:rPr>
        <w:t xml:space="preserve">供应商近年已完成类似业绩一览表</w:t>
      </w:r>
      <w:r>
        <w:rPr>
          <w:rFonts w:hint="eastAsia" w:ascii="宋体" w:hAnsi="宋体" w:cs="宋体"/>
          <w:b/>
          <w:color w:val="auto"/>
          <w:szCs w:val="24"/>
          <w:highlight w:val="none"/>
          <w:lang w:eastAsia="zh-CN" w:bidi="ar"/>
        </w:rPr>
        <w:t xml:space="preserve">（格式）：</w:t>
      </w:r>
      <w:r/>
    </w:p>
    <w:p>
      <w:pPr>
        <w:numPr>
          <w:ilvl w:val="255"/>
          <w:numId w:val="0"/>
        </w:numPr>
        <w:jc w:val="both"/>
        <w:spacing w:line="240" w:lineRule="auto"/>
        <w:widowControl w:val="off"/>
        <w:rPr>
          <w:rFonts w:ascii="宋体" w:hAnsi="宋体" w:cs="宋体"/>
          <w:b/>
          <w:color w:val="auto"/>
          <w:szCs w:val="24"/>
          <w:highlight w:val="none"/>
          <w:lang w:eastAsia="zh-CN" w:bidi="ar"/>
        </w:rPr>
      </w:pPr>
      <w:r>
        <w:rPr>
          <w:rFonts w:ascii="宋体" w:hAnsi="宋体" w:cs="宋体"/>
          <w:b/>
          <w:color w:val="auto"/>
          <w:szCs w:val="24"/>
          <w:highlight w:val="none"/>
          <w:lang w:eastAsia="zh-CN" w:bidi="ar"/>
        </w:rPr>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hint="eastAsia" w:ascii="黑体" w:hAnsi="黑体" w:eastAsia="黑体" w:cs="黑体"/>
          <w:b/>
          <w:color w:val="auto"/>
          <w:sz w:val="28"/>
          <w:szCs w:val="28"/>
          <w:highlight w:val="none"/>
          <w:lang w:eastAsia="zh-CN"/>
        </w:rPr>
        <w:t xml:space="preserve">供应商近年已完成类似业绩一览表</w:t>
      </w:r>
      <w:r/>
    </w:p>
    <w:p>
      <w:pPr>
        <w:numPr>
          <w:ilvl w:val="255"/>
          <w:numId w:val="0"/>
        </w:numPr>
        <w:jc w:val="center"/>
        <w:spacing w:line="240" w:lineRule="auto"/>
        <w:widowControl w:val="off"/>
        <w:rPr>
          <w:rFonts w:ascii="黑体" w:hAnsi="黑体" w:eastAsia="黑体" w:cs="黑体"/>
          <w:b/>
          <w:color w:val="auto"/>
          <w:sz w:val="28"/>
          <w:szCs w:val="28"/>
          <w:highlight w:val="none"/>
          <w:lang w:eastAsia="zh-CN"/>
        </w:rPr>
      </w:pPr>
      <w:r>
        <w:rPr>
          <w:rFonts w:ascii="黑体" w:hAnsi="黑体" w:eastAsia="黑体" w:cs="黑体"/>
          <w:b/>
          <w:color w:val="auto"/>
          <w:sz w:val="28"/>
          <w:szCs w:val="28"/>
          <w:highlight w:val="none"/>
          <w:lang w:eastAsia="zh-CN"/>
        </w:rPr>
      </w:r>
      <w:r/>
    </w:p>
    <w:p>
      <w:pPr>
        <w:numPr>
          <w:ilvl w:val="255"/>
          <w:numId w:val="0"/>
        </w:numPr>
        <w:shd w:val="clear" w:color="auto" w:fill="ffffff"/>
        <w:rPr>
          <w:rFonts w:ascii="宋体" w:hAnsi="宋体" w:cs="宋体"/>
          <w:szCs w:val="24"/>
          <w:highlight w:val="none"/>
          <w:shd w:val="clear" w:color="auto" w:fill="ffffff"/>
          <w:lang w:eastAsia="zh-CN" w:bidi="ar"/>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1689"/>
        <w:gridCol w:w="1690"/>
        <w:gridCol w:w="1690"/>
        <w:gridCol w:w="1690"/>
        <w:gridCol w:w="1690"/>
      </w:tblGrid>
      <w:tr>
        <w:trPr/>
        <w:tc>
          <w:tcPr>
            <w:tcW w:w="1689" w:type="dxa"/>
            <w:vAlign w:val="center"/>
            <w:textDirection w:val="lrTb"/>
            <w:noWrap w:val="false"/>
          </w:tcPr>
          <w:p>
            <w:pPr>
              <w:ind w:firstLine="0"/>
              <w:jc w:val="center"/>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序号</w:t>
            </w:r>
            <w:r/>
          </w:p>
        </w:tc>
        <w:tc>
          <w:tcPr>
            <w:tcW w:w="1689" w:type="dxa"/>
            <w:vAlign w:val="center"/>
            <w:textDirection w:val="lrTb"/>
            <w:noWrap w:val="false"/>
          </w:tcPr>
          <w:p>
            <w:pPr>
              <w:ind w:firstLine="0"/>
              <w:jc w:val="center"/>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项目名称</w:t>
            </w:r>
            <w:r/>
          </w:p>
        </w:tc>
        <w:tc>
          <w:tcPr>
            <w:tcW w:w="1690" w:type="dxa"/>
            <w:vAlign w:val="center"/>
            <w:textDirection w:val="lrTb"/>
            <w:noWrap w:val="false"/>
          </w:tcPr>
          <w:p>
            <w:pPr>
              <w:ind w:firstLine="0"/>
              <w:jc w:val="center"/>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采购人</w:t>
            </w:r>
            <w:r/>
          </w:p>
        </w:tc>
        <w:tc>
          <w:tcPr>
            <w:tcW w:w="1690" w:type="dxa"/>
            <w:vAlign w:val="center"/>
            <w:textDirection w:val="lrTb"/>
            <w:noWrap w:val="false"/>
          </w:tcPr>
          <w:p>
            <w:pPr>
              <w:ind w:firstLine="0"/>
              <w:jc w:val="center"/>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合同金额</w:t>
            </w:r>
            <w:r/>
          </w:p>
          <w:p>
            <w:pPr>
              <w:ind w:firstLine="0"/>
              <w:jc w:val="center"/>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（万元）</w:t>
            </w:r>
            <w:r/>
          </w:p>
        </w:tc>
        <w:tc>
          <w:tcPr>
            <w:tcW w:w="1690" w:type="dxa"/>
            <w:vAlign w:val="center"/>
            <w:textDirection w:val="lrTb"/>
            <w:noWrap w:val="false"/>
          </w:tcPr>
          <w:p>
            <w:pPr>
              <w:ind w:firstLine="0"/>
              <w:jc w:val="center"/>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合同签订日期</w:t>
            </w:r>
            <w:r/>
          </w:p>
        </w:tc>
        <w:tc>
          <w:tcPr>
            <w:tcW w:w="1690" w:type="dxa"/>
            <w:vAlign w:val="center"/>
            <w:textDirection w:val="lrTb"/>
            <w:noWrap w:val="false"/>
          </w:tcPr>
          <w:p>
            <w:pPr>
              <w:ind w:firstLine="0"/>
              <w:jc w:val="center"/>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概况</w:t>
            </w:r>
            <w:r/>
          </w:p>
        </w:tc>
      </w:tr>
      <w:tr>
        <w:trPr/>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1</w:t>
            </w:r>
            <w:r/>
          </w:p>
        </w:tc>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2</w:t>
            </w:r>
            <w:r/>
          </w:p>
        </w:tc>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3</w:t>
            </w:r>
            <w:r/>
          </w:p>
        </w:tc>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4</w:t>
            </w:r>
            <w:r/>
          </w:p>
        </w:tc>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r>
        <w:trPr/>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hint="eastAsia" w:ascii="宋体" w:hAnsi="宋体" w:cs="宋体"/>
                <w:szCs w:val="24"/>
                <w:highlight w:val="none"/>
                <w:shd w:val="clear" w:color="auto" w:fill="ffffff"/>
                <w:lang w:eastAsia="zh-CN" w:bidi="ar"/>
              </w:rPr>
              <w:t xml:space="preserve">5</w:t>
            </w:r>
            <w:r/>
          </w:p>
        </w:tc>
        <w:tc>
          <w:tcPr>
            <w:tcW w:w="1689"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c>
          <w:tcPr>
            <w:tcW w:w="1690" w:type="dxa"/>
            <w:textDirection w:val="lrTb"/>
            <w:noWrap w:val="false"/>
          </w:tcPr>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tc>
      </w:tr>
    </w:tbl>
    <w:p>
      <w:pPr>
        <w:ind w:firstLine="0"/>
        <w:jc w:val="both"/>
        <w:rPr>
          <w:rFonts w:ascii="宋体" w:hAnsi="宋体" w:cs="宋体"/>
          <w:szCs w:val="24"/>
          <w:highlight w:val="none"/>
          <w:shd w:val="clear" w:color="auto" w:fill="ffffff"/>
          <w:lang w:eastAsia="zh-CN" w:bidi="ar"/>
        </w:rPr>
      </w:pPr>
      <w:r>
        <w:rPr>
          <w:rFonts w:ascii="宋体" w:hAnsi="宋体" w:cs="宋体"/>
          <w:szCs w:val="24"/>
          <w:highlight w:val="none"/>
          <w:shd w:val="clear" w:color="auto" w:fill="ffffff"/>
          <w:lang w:eastAsia="zh-CN" w:bidi="ar"/>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ascii="黑体" w:hAnsi="宋体" w:eastAsia="黑体" w:cs="Times New Roman"/>
          <w:bCs/>
          <w:color w:val="auto"/>
          <w:szCs w:val="24"/>
          <w:highlight w:val="none"/>
          <w:lang w:eastAsia="zh-CN"/>
        </w:rPr>
      </w:r>
      <w:r/>
    </w:p>
    <w:p>
      <w:pPr>
        <w:ind w:firstLine="0"/>
        <w:jc w:val="both"/>
        <w:widowControl w:val="off"/>
        <w:rPr>
          <w:rFonts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（十五）技术方案（详见评分标准）</w:t>
      </w:r>
      <w:r/>
    </w:p>
    <w:p>
      <w:pPr>
        <w:rPr>
          <w:highlight w:val="none"/>
        </w:rPr>
      </w:pPr>
      <w:r>
        <w:rPr>
          <w:highlight w:val="none"/>
        </w:rPr>
      </w:r>
      <w:r/>
    </w:p>
    <w:p>
      <w:pPr>
        <w:ind w:firstLine="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p>
      <w:pPr>
        <w:ind w:firstLine="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bookmarkEnd w:id="16"/>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汉仪书宋二S">
    <w:panose1 w:val="020B0503020202020204"/>
  </w:font>
  <w:font w:name="Symbol">
    <w:panose1 w:val="05050102010706020507"/>
  </w:font>
  <w:font w:name="华文楷体">
    <w:panose1 w:val="02010600040101010101"/>
  </w:font>
  <w:font w:name="Wingdings">
    <w:panose1 w:val="05000000000000000000"/>
  </w:font>
  <w:font w:name="Calibri">
    <w:panose1 w:val="020F0502020204030204"/>
  </w:font>
  <w:font w:name="等线">
    <w:panose1 w:val="02010600030101010101"/>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6"/>
                            <w:ind w:firstLine="36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ind w:firstLine="36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876"/>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0"/>
  </w:num>
  <w:num w:numId="4">
    <w:abstractNumId w:val="3"/>
  </w:num>
  <w:num w:numId="5">
    <w:abstractNumId w:val="5"/>
  </w:num>
  <w:num w:numId="6">
    <w:abstractNumId w:val="1"/>
  </w:num>
  <w:num w:numId="7">
    <w:abstractNumId w:val="9"/>
  </w:num>
  <w:num w:numId="8">
    <w:abstractNumId w:val="11"/>
  </w:num>
  <w:num w:numId="9">
    <w:abstractNumId w:val="7"/>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5"/>
    <w:link w:val="861"/>
    <w:uiPriority w:val="9"/>
    <w:rPr>
      <w:rFonts w:ascii="Arial" w:hAnsi="Arial" w:eastAsia="Arial" w:cs="Arial"/>
      <w:sz w:val="40"/>
      <w:szCs w:val="40"/>
    </w:rPr>
  </w:style>
  <w:style w:type="character" w:styleId="15">
    <w:name w:val="Heading 2 Char"/>
    <w:basedOn w:val="865"/>
    <w:link w:val="862"/>
    <w:uiPriority w:val="9"/>
    <w:rPr>
      <w:rFonts w:ascii="Arial" w:hAnsi="Arial" w:eastAsia="Arial" w:cs="Arial"/>
      <w:sz w:val="34"/>
    </w:rPr>
  </w:style>
  <w:style w:type="character" w:styleId="17">
    <w:name w:val="Heading 3 Char"/>
    <w:basedOn w:val="865"/>
    <w:link w:val="863"/>
    <w:uiPriority w:val="9"/>
    <w:rPr>
      <w:rFonts w:ascii="Arial" w:hAnsi="Arial" w:eastAsia="Arial" w:cs="Arial"/>
      <w:sz w:val="30"/>
      <w:szCs w:val="30"/>
    </w:rPr>
  </w:style>
  <w:style w:type="character" w:styleId="19">
    <w:name w:val="Heading 4 Char"/>
    <w:basedOn w:val="865"/>
    <w:link w:val="864"/>
    <w:uiPriority w:val="9"/>
    <w:rPr>
      <w:rFonts w:ascii="Arial" w:hAnsi="Arial" w:eastAsia="Arial" w:cs="Arial"/>
      <w:b/>
      <w:bCs/>
      <w:sz w:val="26"/>
      <w:szCs w:val="26"/>
    </w:rPr>
  </w:style>
  <w:style w:type="paragraph" w:styleId="20">
    <w:name w:val="Heading 5"/>
    <w:basedOn w:val="860"/>
    <w:next w:val="8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65"/>
    <w:link w:val="20"/>
    <w:uiPriority w:val="9"/>
    <w:rPr>
      <w:rFonts w:ascii="Arial" w:hAnsi="Arial" w:eastAsia="Arial" w:cs="Arial"/>
      <w:b/>
      <w:bCs/>
      <w:sz w:val="24"/>
      <w:szCs w:val="24"/>
    </w:rPr>
  </w:style>
  <w:style w:type="paragraph" w:styleId="22">
    <w:name w:val="Heading 6"/>
    <w:basedOn w:val="860"/>
    <w:next w:val="8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65"/>
    <w:link w:val="22"/>
    <w:uiPriority w:val="9"/>
    <w:rPr>
      <w:rFonts w:ascii="Arial" w:hAnsi="Arial" w:eastAsia="Arial" w:cs="Arial"/>
      <w:b/>
      <w:bCs/>
      <w:sz w:val="22"/>
      <w:szCs w:val="22"/>
    </w:rPr>
  </w:style>
  <w:style w:type="paragraph" w:styleId="24">
    <w:name w:val="Heading 7"/>
    <w:basedOn w:val="860"/>
    <w:next w:val="8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5"/>
    <w:link w:val="24"/>
    <w:uiPriority w:val="9"/>
    <w:rPr>
      <w:rFonts w:ascii="Arial" w:hAnsi="Arial" w:eastAsia="Arial" w:cs="Arial"/>
      <w:b/>
      <w:bCs/>
      <w:i/>
      <w:iCs/>
      <w:sz w:val="22"/>
      <w:szCs w:val="22"/>
    </w:rPr>
  </w:style>
  <w:style w:type="paragraph" w:styleId="26">
    <w:name w:val="Heading 8"/>
    <w:basedOn w:val="860"/>
    <w:next w:val="8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5"/>
    <w:link w:val="26"/>
    <w:uiPriority w:val="9"/>
    <w:rPr>
      <w:rFonts w:ascii="Arial" w:hAnsi="Arial" w:eastAsia="Arial" w:cs="Arial"/>
      <w:i/>
      <w:iCs/>
      <w:sz w:val="22"/>
      <w:szCs w:val="22"/>
    </w:rPr>
  </w:style>
  <w:style w:type="paragraph" w:styleId="28">
    <w:name w:val="Heading 9"/>
    <w:basedOn w:val="860"/>
    <w:next w:val="8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5"/>
    <w:link w:val="28"/>
    <w:uiPriority w:val="9"/>
    <w:rPr>
      <w:rFonts w:ascii="Arial" w:hAnsi="Arial" w:eastAsia="Arial" w:cs="Arial"/>
      <w:i/>
      <w:iCs/>
      <w:sz w:val="21"/>
      <w:szCs w:val="21"/>
    </w:rPr>
  </w:style>
  <w:style w:type="paragraph" w:styleId="33">
    <w:name w:val="Title"/>
    <w:basedOn w:val="860"/>
    <w:next w:val="860"/>
    <w:link w:val="34"/>
    <w:uiPriority w:val="10"/>
    <w:qFormat/>
    <w:pPr>
      <w:contextualSpacing/>
      <w:spacing w:before="300" w:after="200"/>
    </w:pPr>
    <w:rPr>
      <w:sz w:val="48"/>
      <w:szCs w:val="48"/>
    </w:rPr>
  </w:style>
  <w:style w:type="character" w:styleId="34">
    <w:name w:val="Title Char"/>
    <w:basedOn w:val="865"/>
    <w:link w:val="33"/>
    <w:uiPriority w:val="10"/>
    <w:rPr>
      <w:sz w:val="48"/>
      <w:szCs w:val="48"/>
    </w:rPr>
  </w:style>
  <w:style w:type="paragraph" w:styleId="35">
    <w:name w:val="Subtitle"/>
    <w:basedOn w:val="860"/>
    <w:next w:val="860"/>
    <w:link w:val="36"/>
    <w:uiPriority w:val="11"/>
    <w:qFormat/>
    <w:pPr>
      <w:spacing w:before="200" w:after="200"/>
    </w:pPr>
    <w:rPr>
      <w:sz w:val="24"/>
      <w:szCs w:val="24"/>
    </w:rPr>
  </w:style>
  <w:style w:type="character" w:styleId="36">
    <w:name w:val="Subtitle Char"/>
    <w:basedOn w:val="865"/>
    <w:link w:val="35"/>
    <w:uiPriority w:val="11"/>
    <w:rPr>
      <w:sz w:val="24"/>
      <w:szCs w:val="24"/>
    </w:rPr>
  </w:style>
  <w:style w:type="paragraph" w:styleId="37">
    <w:name w:val="Quote"/>
    <w:basedOn w:val="860"/>
    <w:next w:val="860"/>
    <w:link w:val="38"/>
    <w:uiPriority w:val="29"/>
    <w:qFormat/>
    <w:pPr>
      <w:ind w:left="720" w:right="720"/>
    </w:pPr>
    <w:rPr>
      <w:i/>
    </w:rPr>
  </w:style>
  <w:style w:type="character" w:styleId="38">
    <w:name w:val="Quote Char"/>
    <w:link w:val="37"/>
    <w:uiPriority w:val="29"/>
    <w:rPr>
      <w:i/>
    </w:rPr>
  </w:style>
  <w:style w:type="paragraph" w:styleId="39">
    <w:name w:val="Intense Quote"/>
    <w:basedOn w:val="860"/>
    <w:next w:val="8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5"/>
    <w:link w:val="877"/>
    <w:uiPriority w:val="99"/>
  </w:style>
  <w:style w:type="character" w:styleId="44">
    <w:name w:val="Footer Char"/>
    <w:basedOn w:val="865"/>
    <w:link w:val="876"/>
    <w:uiPriority w:val="99"/>
  </w:style>
  <w:style w:type="paragraph" w:styleId="45">
    <w:name w:val="Caption"/>
    <w:basedOn w:val="860"/>
    <w:next w:val="860"/>
    <w:uiPriority w:val="35"/>
    <w:semiHidden/>
    <w:unhideWhenUsed/>
    <w:qFormat/>
    <w:pPr>
      <w:spacing w:line="276" w:lineRule="auto"/>
    </w:pPr>
    <w:rPr>
      <w:b/>
      <w:bCs/>
      <w:color w:val="4f81bd" w:themeColor="accent1"/>
      <w:sz w:val="18"/>
      <w:szCs w:val="18"/>
    </w:rPr>
  </w:style>
  <w:style w:type="character" w:styleId="46">
    <w:name w:val="Caption Char"/>
    <w:basedOn w:val="45"/>
    <w:link w:val="876"/>
    <w:uiPriority w:val="99"/>
  </w:style>
  <w:style w:type="table" w:styleId="48">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5"/>
    <w:uiPriority w:val="99"/>
    <w:unhideWhenUsed/>
    <w:rPr>
      <w:vertAlign w:val="superscript"/>
    </w:rPr>
  </w:style>
  <w:style w:type="paragraph" w:styleId="177">
    <w:name w:val="endnote text"/>
    <w:basedOn w:val="8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5"/>
    <w:uiPriority w:val="99"/>
    <w:semiHidden/>
    <w:unhideWhenUsed/>
    <w:rPr>
      <w:vertAlign w:val="superscript"/>
    </w:rPr>
  </w:style>
  <w:style w:type="paragraph" w:styleId="183">
    <w:name w:val="toc 4"/>
    <w:basedOn w:val="860"/>
    <w:next w:val="860"/>
    <w:uiPriority w:val="39"/>
    <w:unhideWhenUsed/>
    <w:pPr>
      <w:ind w:left="850" w:right="0" w:firstLine="0"/>
      <w:spacing w:after="57"/>
    </w:pPr>
  </w:style>
  <w:style w:type="paragraph" w:styleId="184">
    <w:name w:val="toc 5"/>
    <w:basedOn w:val="860"/>
    <w:next w:val="860"/>
    <w:uiPriority w:val="39"/>
    <w:unhideWhenUsed/>
    <w:pPr>
      <w:ind w:left="1134" w:right="0" w:firstLine="0"/>
      <w:spacing w:after="57"/>
    </w:pPr>
  </w:style>
  <w:style w:type="paragraph" w:styleId="185">
    <w:name w:val="toc 6"/>
    <w:basedOn w:val="860"/>
    <w:next w:val="860"/>
    <w:uiPriority w:val="39"/>
    <w:unhideWhenUsed/>
    <w:pPr>
      <w:ind w:left="1417" w:right="0" w:firstLine="0"/>
      <w:spacing w:after="57"/>
    </w:pPr>
  </w:style>
  <w:style w:type="paragraph" w:styleId="186">
    <w:name w:val="toc 7"/>
    <w:basedOn w:val="860"/>
    <w:next w:val="860"/>
    <w:uiPriority w:val="39"/>
    <w:unhideWhenUsed/>
    <w:pPr>
      <w:ind w:left="1701" w:right="0" w:firstLine="0"/>
      <w:spacing w:after="57"/>
    </w:pPr>
  </w:style>
  <w:style w:type="paragraph" w:styleId="187">
    <w:name w:val="toc 8"/>
    <w:basedOn w:val="860"/>
    <w:next w:val="860"/>
    <w:uiPriority w:val="39"/>
    <w:unhideWhenUsed/>
    <w:pPr>
      <w:ind w:left="1984" w:right="0" w:firstLine="0"/>
      <w:spacing w:after="57"/>
    </w:pPr>
  </w:style>
  <w:style w:type="paragraph" w:styleId="188">
    <w:name w:val="toc 9"/>
    <w:basedOn w:val="860"/>
    <w:next w:val="8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0"/>
    <w:next w:val="860"/>
    <w:uiPriority w:val="99"/>
    <w:unhideWhenUsed/>
    <w:pPr>
      <w:spacing w:after="0" w:afterAutospacing="0"/>
    </w:pPr>
  </w:style>
  <w:style w:type="paragraph" w:styleId="860" w:default="1">
    <w:name w:val="Normal"/>
    <w:next w:val="864"/>
    <w:uiPriority w:val="0"/>
    <w:qFormat/>
    <w:pPr>
      <w:ind w:firstLine="200"/>
      <w:spacing w:line="360" w:lineRule="auto"/>
    </w:pPr>
    <w:rPr>
      <w:rFonts w:ascii="Arial" w:hAnsi="Arial" w:eastAsia="宋体" w:cs="Arial"/>
      <w:color w:val="000000"/>
      <w:sz w:val="24"/>
      <w:szCs w:val="21"/>
      <w:lang w:val="en-US" w:eastAsia="en-US" w:bidi="ar-SA"/>
    </w:rPr>
  </w:style>
  <w:style w:type="paragraph" w:styleId="861">
    <w:name w:val="Heading 1"/>
    <w:basedOn w:val="860"/>
    <w:next w:val="860"/>
    <w:link w:val="889"/>
    <w:uiPriority w:val="9"/>
    <w:qFormat/>
    <w:pPr>
      <w:ind w:firstLine="0"/>
      <w:jc w:val="center"/>
      <w:keepLines/>
      <w:keepNext/>
      <w:spacing w:line="240" w:lineRule="auto"/>
      <w:outlineLvl w:val="0"/>
    </w:pPr>
    <w:rPr>
      <w:rFonts w:eastAsia="黑体"/>
      <w:b/>
      <w:bCs/>
      <w:sz w:val="36"/>
      <w:szCs w:val="44"/>
    </w:rPr>
  </w:style>
  <w:style w:type="paragraph" w:styleId="862">
    <w:name w:val="Heading 2"/>
    <w:basedOn w:val="860"/>
    <w:next w:val="860"/>
    <w:link w:val="892"/>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63">
    <w:name w:val="Heading 3"/>
    <w:basedOn w:val="860"/>
    <w:next w:val="860"/>
    <w:link w:val="893"/>
    <w:uiPriority w:val="9"/>
    <w:unhideWhenUsed/>
    <w:qFormat/>
    <w:pPr>
      <w:ind w:firstLine="0"/>
      <w:keepLines/>
      <w:keepNext/>
      <w:spacing w:line="240" w:lineRule="auto"/>
      <w:outlineLvl w:val="2"/>
    </w:pPr>
    <w:rPr>
      <w:bCs/>
      <w:sz w:val="32"/>
      <w:szCs w:val="32"/>
    </w:rPr>
  </w:style>
  <w:style w:type="paragraph" w:styleId="864">
    <w:name w:val="Heading 4"/>
    <w:basedOn w:val="860"/>
    <w:next w:val="860"/>
    <w:link w:val="894"/>
    <w:uiPriority w:val="9"/>
    <w:unhideWhenUsed/>
    <w:qFormat/>
    <w:pPr>
      <w:ind w:firstLine="0"/>
      <w:keepLines/>
      <w:keepNext/>
      <w:spacing w:before="120"/>
      <w:outlineLvl w:val="3"/>
    </w:pPr>
    <w:rPr>
      <w:rFonts w:asciiTheme="majorHAnsi" w:hAnsiTheme="majorHAnsi" w:cstheme="majorBidi"/>
      <w:b/>
      <w:bCs/>
      <w:sz w:val="28"/>
      <w:szCs w:val="28"/>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Normal Indent"/>
    <w:basedOn w:val="860"/>
    <w:uiPriority w:val="0"/>
    <w:qFormat/>
    <w:pPr>
      <w:ind w:firstLine="420"/>
    </w:pPr>
  </w:style>
  <w:style w:type="paragraph" w:styleId="868">
    <w:name w:val="annotation text"/>
    <w:basedOn w:val="860"/>
    <w:link w:val="907"/>
    <w:uiPriority w:val="99"/>
    <w:semiHidden/>
    <w:unhideWhenUsed/>
    <w:qFormat/>
  </w:style>
  <w:style w:type="paragraph" w:styleId="869">
    <w:name w:val="Body Text"/>
    <w:basedOn w:val="860"/>
    <w:next w:val="860"/>
    <w:link w:val="891"/>
    <w:uiPriority w:val="0"/>
    <w:semiHidden/>
    <w:qFormat/>
    <w:pPr>
      <w:ind w:firstLine="0"/>
      <w:spacing w:line="240" w:lineRule="auto"/>
    </w:pPr>
    <w:rPr>
      <w:rFonts w:eastAsia="Arial"/>
      <w:sz w:val="21"/>
    </w:rPr>
  </w:style>
  <w:style w:type="paragraph" w:styleId="870">
    <w:name w:val="Body Text Indent"/>
    <w:basedOn w:val="860"/>
    <w:next w:val="871"/>
    <w:link w:val="897"/>
    <w:uiPriority w:val="99"/>
    <w:semiHidden/>
    <w:unhideWhenUsed/>
    <w:qFormat/>
    <w:pPr>
      <w:ind w:left="420"/>
      <w:spacing w:after="120"/>
    </w:pPr>
  </w:style>
  <w:style w:type="paragraph" w:styleId="871">
    <w:name w:val="Body Text First Indent 2"/>
    <w:basedOn w:val="870"/>
    <w:next w:val="860"/>
    <w:uiPriority w:val="99"/>
    <w:qFormat/>
    <w:pPr>
      <w:ind w:left="420" w:firstLine="210"/>
      <w:jc w:val="left"/>
      <w:spacing w:after="120"/>
    </w:pPr>
    <w:rPr>
      <w:sz w:val="20"/>
    </w:rPr>
  </w:style>
  <w:style w:type="paragraph" w:styleId="872">
    <w:name w:val="index 4"/>
    <w:basedOn w:val="860"/>
    <w:next w:val="860"/>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873">
    <w:name w:val="toc 3"/>
    <w:basedOn w:val="860"/>
    <w:next w:val="860"/>
    <w:uiPriority w:val="39"/>
    <w:unhideWhenUsed/>
    <w:qFormat/>
    <w:pPr>
      <w:ind w:left="840"/>
    </w:pPr>
  </w:style>
  <w:style w:type="paragraph" w:styleId="874">
    <w:name w:val="Plain Text"/>
    <w:basedOn w:val="860"/>
    <w:link w:val="898"/>
    <w:uiPriority w:val="0"/>
    <w:qFormat/>
    <w:pPr>
      <w:ind w:firstLine="0"/>
      <w:jc w:val="both"/>
      <w:spacing w:line="240" w:lineRule="auto"/>
      <w:widowControl w:val="off"/>
    </w:pPr>
    <w:rPr>
      <w:rFonts w:ascii="宋体" w:hAnsi="Courier New" w:cs="Courier New"/>
      <w:color w:val="161616"/>
      <w:sz w:val="21"/>
      <w:lang w:eastAsia="zh-CN"/>
    </w:rPr>
  </w:style>
  <w:style w:type="paragraph" w:styleId="875">
    <w:name w:val="Balloon Text"/>
    <w:basedOn w:val="860"/>
    <w:link w:val="902"/>
    <w:uiPriority w:val="99"/>
    <w:semiHidden/>
    <w:unhideWhenUsed/>
    <w:qFormat/>
    <w:pPr>
      <w:spacing w:line="240" w:lineRule="auto"/>
    </w:pPr>
    <w:rPr>
      <w:sz w:val="18"/>
      <w:szCs w:val="18"/>
    </w:rPr>
  </w:style>
  <w:style w:type="paragraph" w:styleId="876">
    <w:name w:val="Footer"/>
    <w:basedOn w:val="860"/>
    <w:link w:val="888"/>
    <w:uiPriority w:val="99"/>
    <w:unhideWhenUsed/>
    <w:qFormat/>
    <w:pPr>
      <w:tabs>
        <w:tab w:val="center" w:pos="4153" w:leader="none"/>
        <w:tab w:val="right" w:pos="8306" w:leader="none"/>
      </w:tabs>
    </w:pPr>
    <w:rPr>
      <w:sz w:val="18"/>
      <w:szCs w:val="18"/>
    </w:rPr>
  </w:style>
  <w:style w:type="paragraph" w:styleId="877">
    <w:name w:val="Header"/>
    <w:basedOn w:val="860"/>
    <w:link w:val="887"/>
    <w:uiPriority w:val="99"/>
    <w:unhideWhenUsed/>
    <w:qFormat/>
    <w:pPr>
      <w:jc w:val="center"/>
      <w:tabs>
        <w:tab w:val="center" w:pos="4153" w:leader="none"/>
        <w:tab w:val="right" w:pos="8306" w:leader="none"/>
      </w:tabs>
    </w:pPr>
    <w:rPr>
      <w:sz w:val="18"/>
      <w:szCs w:val="18"/>
    </w:rPr>
  </w:style>
  <w:style w:type="paragraph" w:styleId="878">
    <w:name w:val="toc 1"/>
    <w:basedOn w:val="860"/>
    <w:next w:val="860"/>
    <w:uiPriority w:val="39"/>
    <w:unhideWhenUsed/>
    <w:qFormat/>
    <w:pPr>
      <w:ind w:firstLine="0"/>
      <w:tabs>
        <w:tab w:val="right" w:pos="8890" w:leader="dot"/>
      </w:tabs>
    </w:pPr>
  </w:style>
  <w:style w:type="paragraph" w:styleId="879">
    <w:name w:val="List"/>
    <w:basedOn w:val="860"/>
    <w:uiPriority w:val="99"/>
    <w:qFormat/>
    <w:pPr>
      <w:ind w:left="200" w:hanging="200"/>
    </w:pPr>
    <w:rPr>
      <w:szCs w:val="21"/>
    </w:rPr>
  </w:style>
  <w:style w:type="paragraph" w:styleId="880">
    <w:name w:val="toc 2"/>
    <w:basedOn w:val="860"/>
    <w:next w:val="860"/>
    <w:uiPriority w:val="39"/>
    <w:unhideWhenUsed/>
    <w:qFormat/>
    <w:pPr>
      <w:ind w:left="420"/>
    </w:pPr>
  </w:style>
  <w:style w:type="paragraph" w:styleId="881">
    <w:name w:val="Normal (Web)"/>
    <w:basedOn w:val="860"/>
    <w:uiPriority w:val="99"/>
    <w:qFormat/>
    <w:pPr>
      <w:spacing w:before="100" w:beforeAutospacing="1" w:after="100" w:afterAutospacing="1"/>
    </w:pPr>
    <w:rPr>
      <w:rFonts w:ascii="宋体" w:hAnsi="宋体" w:cs="宋体"/>
      <w:szCs w:val="24"/>
    </w:rPr>
  </w:style>
  <w:style w:type="paragraph" w:styleId="882">
    <w:name w:val="annotation subject"/>
    <w:basedOn w:val="868"/>
    <w:next w:val="868"/>
    <w:link w:val="908"/>
    <w:uiPriority w:val="99"/>
    <w:semiHidden/>
    <w:unhideWhenUsed/>
    <w:qFormat/>
    <w:rPr>
      <w:b/>
      <w:bCs/>
    </w:rPr>
  </w:style>
  <w:style w:type="paragraph" w:styleId="883">
    <w:name w:val="Body Text First Indent"/>
    <w:basedOn w:val="869"/>
    <w:uiPriority w:val="0"/>
    <w:qFormat/>
    <w:pPr>
      <w:ind w:firstLine="420"/>
    </w:pPr>
    <w:rPr>
      <w:sz w:val="30"/>
    </w:rPr>
  </w:style>
  <w:style w:type="table" w:styleId="884">
    <w:name w:val="Table Grid"/>
    <w:basedOn w:val="86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Hyperlink"/>
    <w:basedOn w:val="865"/>
    <w:uiPriority w:val="99"/>
    <w:unhideWhenUsed/>
    <w:qFormat/>
    <w:rPr>
      <w:color w:val="0563c1" w:themeColor="hyperlink"/>
      <w:u w:val="single"/>
      <w14:textFill>
        <w14:solidFill>
          <w14:schemeClr w14:val="hlink"/>
        </w14:solidFill>
      </w14:textFill>
    </w:rPr>
  </w:style>
  <w:style w:type="character" w:styleId="886">
    <w:name w:val="annotation reference"/>
    <w:basedOn w:val="865"/>
    <w:uiPriority w:val="99"/>
    <w:semiHidden/>
    <w:unhideWhenUsed/>
    <w:qFormat/>
    <w:rPr>
      <w:sz w:val="21"/>
      <w:szCs w:val="21"/>
    </w:rPr>
  </w:style>
  <w:style w:type="character" w:styleId="887" w:customStyle="1">
    <w:name w:val="页眉 字符1"/>
    <w:basedOn w:val="865"/>
    <w:link w:val="877"/>
    <w:uiPriority w:val="99"/>
    <w:qFormat/>
    <w:rPr>
      <w:sz w:val="18"/>
      <w:szCs w:val="18"/>
    </w:rPr>
  </w:style>
  <w:style w:type="character" w:styleId="888" w:customStyle="1">
    <w:name w:val="页脚 字符"/>
    <w:basedOn w:val="865"/>
    <w:link w:val="876"/>
    <w:uiPriority w:val="99"/>
    <w:qFormat/>
    <w:rPr>
      <w:sz w:val="18"/>
      <w:szCs w:val="18"/>
    </w:rPr>
  </w:style>
  <w:style w:type="character" w:styleId="889" w:customStyle="1">
    <w:name w:val="标题 1 字符"/>
    <w:basedOn w:val="865"/>
    <w:link w:val="861"/>
    <w:uiPriority w:val="9"/>
    <w:qFormat/>
    <w:rPr>
      <w:rFonts w:ascii="Arial" w:hAnsi="Arial" w:eastAsia="黑体" w:cs="Arial"/>
      <w:b/>
      <w:bCs/>
      <w:color w:val="000000"/>
      <w:sz w:val="36"/>
      <w:szCs w:val="44"/>
      <w:lang w:eastAsia="en-US"/>
    </w:rPr>
  </w:style>
  <w:style w:type="paragraph" w:styleId="890">
    <w:name w:val="List Paragraph"/>
    <w:basedOn w:val="860"/>
    <w:uiPriority w:val="34"/>
    <w:qFormat/>
    <w:pPr>
      <w:ind w:left="360" w:firstLine="0"/>
      <w:jc w:val="center"/>
    </w:pPr>
  </w:style>
  <w:style w:type="character" w:styleId="891" w:customStyle="1">
    <w:name w:val="正文文本 字符"/>
    <w:basedOn w:val="865"/>
    <w:link w:val="869"/>
    <w:uiPriority w:val="0"/>
    <w:semiHidden/>
    <w:qFormat/>
    <w:rPr>
      <w:rFonts w:ascii="Arial" w:hAnsi="Arial" w:eastAsia="Arial" w:cs="Arial"/>
      <w:color w:val="000000"/>
      <w:szCs w:val="21"/>
      <w:lang w:eastAsia="en-US"/>
    </w:rPr>
  </w:style>
  <w:style w:type="character" w:styleId="892" w:customStyle="1">
    <w:name w:val="标题 2 字符"/>
    <w:basedOn w:val="865"/>
    <w:link w:val="862"/>
    <w:uiPriority w:val="9"/>
    <w:qFormat/>
    <w:rPr>
      <w:rFonts w:eastAsia="宋体" w:asciiTheme="majorHAnsi" w:hAnsiTheme="majorHAnsi" w:cstheme="majorBidi"/>
      <w:b/>
      <w:bCs/>
      <w:color w:val="000000"/>
      <w:sz w:val="32"/>
      <w:szCs w:val="32"/>
      <w:lang w:eastAsia="en-US"/>
    </w:rPr>
  </w:style>
  <w:style w:type="character" w:styleId="893" w:customStyle="1">
    <w:name w:val="标题 3 字符"/>
    <w:basedOn w:val="865"/>
    <w:link w:val="863"/>
    <w:uiPriority w:val="9"/>
    <w:qFormat/>
    <w:rPr>
      <w:rFonts w:ascii="Arial" w:hAnsi="Arial" w:eastAsia="宋体" w:cs="Arial"/>
      <w:bCs/>
      <w:color w:val="000000"/>
      <w:sz w:val="32"/>
      <w:szCs w:val="32"/>
      <w:lang w:eastAsia="en-US"/>
    </w:rPr>
  </w:style>
  <w:style w:type="character" w:styleId="894" w:customStyle="1">
    <w:name w:val="标题 4 字符"/>
    <w:basedOn w:val="865"/>
    <w:link w:val="864"/>
    <w:uiPriority w:val="9"/>
    <w:qFormat/>
    <w:rPr>
      <w:rFonts w:eastAsia="宋体" w:asciiTheme="majorHAnsi" w:hAnsiTheme="majorHAnsi" w:cstheme="majorBidi"/>
      <w:b/>
      <w:bCs/>
      <w:color w:val="000000"/>
      <w:sz w:val="28"/>
      <w:szCs w:val="28"/>
      <w:lang w:eastAsia="en-US"/>
    </w:rPr>
  </w:style>
  <w:style w:type="table" w:styleId="895" w:customStyle="1">
    <w:name w:val="Table Normal"/>
    <w:uiPriority w:val="0"/>
    <w:semiHidden/>
    <w:unhideWhenUsed/>
    <w:qFormat/>
    <w:tblPr>
      <w:tblCellMar>
        <w:left w:w="0" w:type="dxa"/>
        <w:top w:w="0" w:type="dxa"/>
        <w:right w:w="0" w:type="dxa"/>
        <w:bottom w:w="0" w:type="dxa"/>
      </w:tblCellMar>
    </w:tblPr>
  </w:style>
  <w:style w:type="paragraph" w:styleId="896" w:customStyle="1">
    <w:name w:val="Table Text"/>
    <w:basedOn w:val="860"/>
    <w:uiPriority w:val="0"/>
    <w:semiHidden/>
    <w:qFormat/>
    <w:pPr>
      <w:ind w:firstLine="0"/>
      <w:spacing w:line="240" w:lineRule="auto"/>
    </w:pPr>
    <w:rPr>
      <w:rFonts w:ascii="宋体" w:hAnsi="宋体" w:cs="宋体"/>
      <w:szCs w:val="24"/>
    </w:rPr>
  </w:style>
  <w:style w:type="character" w:styleId="897" w:customStyle="1">
    <w:name w:val="正文文本缩进 字符"/>
    <w:basedOn w:val="865"/>
    <w:link w:val="870"/>
    <w:uiPriority w:val="99"/>
    <w:semiHidden/>
    <w:qFormat/>
    <w:rPr>
      <w:rFonts w:ascii="Arial" w:hAnsi="Arial" w:eastAsia="宋体" w:cs="Arial"/>
      <w:color w:val="000000"/>
      <w:sz w:val="24"/>
      <w:szCs w:val="21"/>
      <w:lang w:eastAsia="en-US"/>
    </w:rPr>
  </w:style>
  <w:style w:type="character" w:styleId="898" w:customStyle="1">
    <w:name w:val="纯文本 字符"/>
    <w:basedOn w:val="865"/>
    <w:link w:val="874"/>
    <w:uiPriority w:val="0"/>
    <w:qFormat/>
    <w:rPr>
      <w:rFonts w:ascii="宋体" w:hAnsi="Courier New" w:eastAsia="宋体" w:cs="Courier New"/>
      <w:color w:val="161616"/>
      <w:szCs w:val="21"/>
    </w:rPr>
  </w:style>
  <w:style w:type="paragraph" w:styleId="899" w:customStyle="1">
    <w:name w:val="TOC 标题1"/>
    <w:basedOn w:val="861"/>
    <w:next w:val="860"/>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00">
    <w:name w:val="No Spacing"/>
    <w:uiPriority w:val="1"/>
    <w:qFormat/>
    <w:pPr>
      <w:ind w:firstLine="200"/>
    </w:pPr>
    <w:rPr>
      <w:rFonts w:ascii="Arial" w:hAnsi="Arial" w:eastAsia="宋体" w:cs="Arial"/>
      <w:color w:val="000000"/>
      <w:sz w:val="24"/>
      <w:szCs w:val="21"/>
      <w:lang w:val="en-US" w:eastAsia="en-US" w:bidi="ar-SA"/>
    </w:rPr>
  </w:style>
  <w:style w:type="character" w:styleId="901" w:customStyle="1">
    <w:name w:val="未处理的提及1"/>
    <w:basedOn w:val="865"/>
    <w:uiPriority w:val="99"/>
    <w:semiHidden/>
    <w:unhideWhenUsed/>
    <w:qFormat/>
    <w:rPr>
      <w:color w:val="605e5c"/>
      <w:shd w:val="clear" w:color="auto" w:fill="e1dfdd"/>
    </w:rPr>
  </w:style>
  <w:style w:type="character" w:styleId="902" w:customStyle="1">
    <w:name w:val="批注框文本 字符"/>
    <w:basedOn w:val="865"/>
    <w:link w:val="875"/>
    <w:uiPriority w:val="99"/>
    <w:semiHidden/>
    <w:qFormat/>
    <w:rPr>
      <w:rFonts w:ascii="Arial" w:hAnsi="Arial" w:eastAsia="宋体" w:cs="Arial"/>
      <w:color w:val="000000"/>
      <w:sz w:val="18"/>
      <w:szCs w:val="18"/>
      <w:lang w:eastAsia="en-US"/>
    </w:rPr>
  </w:style>
  <w:style w:type="paragraph" w:styleId="903" w:customStyle="1">
    <w:name w:val="页眉1"/>
    <w:basedOn w:val="860"/>
    <w:link w:val="904"/>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904" w:customStyle="1">
    <w:name w:val="页眉 字符"/>
    <w:link w:val="903"/>
    <w:uiPriority w:val="99"/>
    <w:qFormat/>
    <w:rPr>
      <w:rFonts w:ascii="等线" w:hAnsi="等线" w:eastAsia="等线" w:cs="Times New Roman"/>
      <w:sz w:val="18"/>
      <w:szCs w:val="18"/>
    </w:rPr>
  </w:style>
  <w:style w:type="paragraph" w:styleId="905" w:customStyle="1">
    <w:name w:val="修订1"/>
    <w:hidden/>
    <w:uiPriority w:val="99"/>
    <w:unhideWhenUsed/>
    <w:qFormat/>
    <w:rPr>
      <w:rFonts w:ascii="Arial" w:hAnsi="Arial" w:eastAsia="宋体" w:cs="Arial"/>
      <w:color w:val="000000"/>
      <w:sz w:val="24"/>
      <w:szCs w:val="21"/>
      <w:lang w:val="en-US" w:eastAsia="en-US" w:bidi="ar-SA"/>
    </w:rPr>
  </w:style>
  <w:style w:type="character" w:styleId="906" w:customStyle="1">
    <w:name w:val="页码11"/>
    <w:basedOn w:val="865"/>
    <w:uiPriority w:val="0"/>
    <w:qFormat/>
    <w:rPr>
      <w:rFonts w:ascii="Arial" w:hAnsi="Arial" w:eastAsia="宋体" w:cs="Arial"/>
      <w:color w:val="000000"/>
      <w:sz w:val="24"/>
      <w:szCs w:val="21"/>
      <w:lang w:val="en-US" w:eastAsia="en-US" w:bidi="ar"/>
    </w:rPr>
  </w:style>
  <w:style w:type="character" w:styleId="907" w:customStyle="1">
    <w:name w:val="批注文字 字符"/>
    <w:basedOn w:val="865"/>
    <w:link w:val="868"/>
    <w:uiPriority w:val="99"/>
    <w:semiHidden/>
    <w:qFormat/>
    <w:rPr>
      <w:rFonts w:ascii="Arial" w:hAnsi="Arial" w:cs="Arial"/>
      <w:color w:val="000000"/>
      <w:sz w:val="24"/>
      <w:szCs w:val="21"/>
      <w:lang w:eastAsia="en-US"/>
    </w:rPr>
  </w:style>
  <w:style w:type="character" w:styleId="908" w:customStyle="1">
    <w:name w:val="批注主题 字符"/>
    <w:basedOn w:val="907"/>
    <w:link w:val="882"/>
    <w:uiPriority w:val="99"/>
    <w:semiHidden/>
    <w:qFormat/>
    <w:rPr>
      <w:rFonts w:ascii="Arial" w:hAnsi="Arial" w:cs="Arial"/>
      <w:b/>
      <w:bCs/>
      <w:color w:val="000000"/>
      <w:sz w:val="24"/>
      <w:szCs w:val="21"/>
      <w:lang w:eastAsia="en-US"/>
    </w:rPr>
  </w:style>
  <w:style w:type="paragraph" w:styleId="909" w:customStyle="1">
    <w:name w:val="TOC Heading1"/>
    <w:next w:val="860"/>
    <w:uiPriority w:val="0"/>
    <w:qFormat/>
    <w:rPr>
      <w:rFonts w:ascii="Times New Roman" w:hAnsi="Times New Roman" w:eastAsia="宋体" w:cs="Times New Roman"/>
      <w:sz w:val="32"/>
      <w:lang w:val="en-US" w:eastAsia="zh-CN" w:bidi="ar-SA"/>
    </w:rPr>
  </w:style>
  <w:style w:type="character" w:styleId="910" w:customStyle="1">
    <w:name w:val="NormalCharacter"/>
    <w:link w:val="911"/>
    <w:uiPriority w:val="0"/>
    <w:qFormat/>
  </w:style>
  <w:style w:type="paragraph" w:styleId="911" w:customStyle="1">
    <w:name w:val="UserStyle_4"/>
    <w:basedOn w:val="860"/>
    <w:link w:val="910"/>
    <w:uiPriority w:val="99"/>
    <w:qFormat/>
  </w:style>
  <w:style w:type="paragraph" w:styleId="912" w:customStyle="1">
    <w:name w:val="修订2"/>
    <w:hidden/>
    <w:uiPriority w:val="99"/>
    <w:semiHidden/>
    <w:qFormat/>
    <w:rPr>
      <w:rFonts w:ascii="Arial" w:hAnsi="Arial" w:eastAsia="宋体" w:cs="Arial"/>
      <w:color w:val="000000"/>
      <w:sz w:val="24"/>
      <w:szCs w:val="21"/>
      <w:lang w:val="en-US" w:eastAsia="en-US" w:bidi="ar-SA"/>
    </w:rPr>
  </w:style>
  <w:style w:type="character" w:styleId="913" w:customStyle="1">
    <w:name w:val="font41"/>
    <w:basedOn w:val="865"/>
    <w:uiPriority w:val="0"/>
    <w:qFormat/>
    <w:rPr>
      <w:rFonts w:hint="eastAsia" w:ascii="宋体" w:hAnsi="宋体" w:eastAsia="宋体" w:cs="宋体"/>
      <w:color w:val="000000"/>
      <w:sz w:val="21"/>
      <w:szCs w:val="21"/>
      <w:u w:val="none"/>
    </w:rPr>
  </w:style>
  <w:style w:type="character" w:styleId="914" w:customStyle="1">
    <w:name w:val="font112"/>
    <w:basedOn w:val="865"/>
    <w:uiPriority w:val="0"/>
    <w:qFormat/>
    <w:rPr>
      <w:rFonts w:ascii="Calibri" w:hAnsi="Calibri" w:cs="Calibri"/>
      <w:color w:val="000000"/>
      <w:sz w:val="21"/>
      <w:szCs w:val="21"/>
      <w:u w:val="none"/>
    </w:rPr>
  </w:style>
  <w:style w:type="character" w:styleId="915" w:customStyle="1">
    <w:name w:val="font91"/>
    <w:basedOn w:val="865"/>
    <w:uiPriority w:val="0"/>
    <w:qFormat/>
    <w:rPr>
      <w:rFonts w:hint="eastAsia" w:ascii="宋体" w:hAnsi="宋体" w:eastAsia="宋体" w:cs="宋体"/>
      <w:color w:val="000000"/>
      <w:sz w:val="20"/>
      <w:szCs w:val="20"/>
      <w:u w:val="none"/>
    </w:rPr>
  </w:style>
  <w:style w:type="character" w:styleId="916" w:customStyle="1">
    <w:name w:val="font101"/>
    <w:basedOn w:val="865"/>
    <w:uiPriority w:val="0"/>
    <w:qFormat/>
    <w:rPr>
      <w:rFonts w:hint="eastAsia" w:ascii="宋体" w:hAnsi="宋体" w:eastAsia="宋体" w:cs="宋体"/>
      <w:color w:val="000000"/>
      <w:sz w:val="20"/>
      <w:szCs w:val="20"/>
      <w:u w:val="none"/>
    </w:rPr>
  </w:style>
  <w:style w:type="character" w:styleId="917" w:customStyle="1">
    <w:name w:val="font21"/>
    <w:basedOn w:val="865"/>
    <w:uiPriority w:val="0"/>
    <w:qFormat/>
    <w:rPr>
      <w:rFonts w:hint="eastAsia" w:ascii="宋体" w:hAnsi="宋体" w:eastAsia="宋体" w:cs="宋体"/>
      <w:color w:val="000000"/>
      <w:sz w:val="20"/>
      <w:szCs w:val="20"/>
      <w:u w:val="none"/>
    </w:rPr>
  </w:style>
  <w:style w:type="character" w:styleId="918" w:customStyle="1">
    <w:name w:val="font31"/>
    <w:basedOn w:val="865"/>
    <w:uiPriority w:val="0"/>
    <w:qFormat/>
    <w:rPr>
      <w:rFonts w:hint="eastAsia" w:ascii="宋体" w:hAnsi="宋体" w:eastAsia="宋体" w:cs="宋体"/>
      <w:color w:val="000000"/>
      <w:sz w:val="20"/>
      <w:szCs w:val="20"/>
      <w:u w:val="none"/>
    </w:rPr>
  </w:style>
  <w:style w:type="paragraph" w:styleId="919" w:customStyle="1">
    <w:name w:val="报告正文"/>
    <w:basedOn w:val="860"/>
    <w:uiPriority w:val="0"/>
    <w:qFormat/>
    <w:pPr>
      <w:ind w:firstLine="560"/>
    </w:pPr>
    <w:rPr>
      <w:szCs w:val="20"/>
      <w:lang w:val="zh-CN"/>
    </w:rPr>
  </w:style>
  <w:style w:type="table" w:styleId="920" w:customStyle="1">
    <w:name w:val="网格型6"/>
    <w:basedOn w:val="866"/>
    <w:uiPriority w:val="59"/>
    <w:qFormat/>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5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52827E1-D9F5-4967-A373-583B04F5BFE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华佳静</cp:lastModifiedBy>
  <cp:revision>4</cp:revision>
  <dcterms:created xsi:type="dcterms:W3CDTF">2026-04-07T05:56:00Z</dcterms:created>
  <dcterms:modified xsi:type="dcterms:W3CDTF">2026-09-01T02:23:11Z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2052-12.1.0.26988</vt:lpwstr>
  </property>
  <property fmtid="{D5CDD505-2E9C-101B-9397-08002B2CF9AE}" pid="3" name="ICV">
    <vt:lpwstr>9A59AE9B31B9468992B958EE0A53F7A2_13</vt:lpwstr>
  </property>
  <property fmtid="{D5CDD505-2E9C-101B-9397-08002B2CF9AE}" pid="4" name="KSOTemplateDocerSaveRecord">
    <vt:lpwstr>eyJoZGlkIjoiZWRhODA2NmI1NTQzODlhYWM4YzEwMTc1ZmRmYWRhYTUiLCJ1c2VySWQiOiI4MzQxNzExMjIifQ==</vt:lpwstr>
  </property>
</Properties>
</file>