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926"/>
        <w:jc w:val="center"/>
        <w:spacing w:before="120" w:after="120" w:line="6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rPr>
          <w:rFonts w:hint="eastAsia" w:ascii="方正小标宋_GBK" w:hAnsi="方正小标宋_GBK" w:eastAsia="方正小标宋_GBK" w:cs="方正小标宋_GBK"/>
          <w:sz w:val="44"/>
          <w:szCs w:val="44"/>
        </w:rPr>
      </w:r>
      <w:r/>
    </w:p>
    <w:p>
      <w:pPr>
        <w:pStyle w:val="926"/>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926"/>
        <w:jc w:val="left"/>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项目名称：江苏省计量科学研究院数智一体化平台国产化改造升级</w:t>
      </w:r>
      <w:r>
        <w:rPr>
          <w:rFonts w:ascii="方正黑体_GBK" w:hAnsi="方正黑体_GBK" w:eastAsia="方正黑体_GBK" w:cs="方正黑体_GBK"/>
          <w:sz w:val="28"/>
          <w:szCs w:val="28"/>
        </w:rPr>
      </w:r>
      <w:r/>
    </w:p>
    <w:p>
      <w:pPr>
        <w:pStyle w:val="926"/>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JSZC-320000-SCZX-C20</w:t>
      </w:r>
      <w:r>
        <w:rPr>
          <w:rFonts w:hint="eastAsia" w:eastAsia="方正黑体_GBK"/>
          <w:sz w:val="28"/>
          <w:szCs w:val="28"/>
        </w:rPr>
        <w:t xml:space="preserve">26</w:t>
      </w:r>
      <w:r>
        <w:rPr>
          <w:rFonts w:eastAsia="方正黑体_GBK"/>
          <w:sz w:val="28"/>
          <w:szCs w:val="28"/>
        </w:rPr>
        <w:t xml:space="preserve">-</w:t>
      </w:r>
      <w:r>
        <w:rPr>
          <w:rFonts w:hint="eastAsia" w:eastAsia="方正黑体_GBK"/>
          <w:sz w:val="28"/>
          <w:szCs w:val="28"/>
        </w:rPr>
        <w:t xml:space="preserve">0391</w:t>
      </w:r>
      <w:r>
        <w:rPr>
          <w:rFonts w:eastAsia="方正黑体_GBK"/>
          <w:sz w:val="28"/>
          <w:szCs w:val="28"/>
        </w:rPr>
        <w:t xml:space="preserve">  </w:t>
      </w:r>
      <w:r>
        <w:rPr>
          <w:rFonts w:ascii="Arial" w:hAnsi="Arial"/>
          <w:b/>
          <w:bCs/>
          <w:sz w:val="28"/>
          <w:szCs w:val="28"/>
        </w:rPr>
        <w:t xml:space="preserve">            </w:t>
      </w:r>
      <w:r>
        <w:rPr>
          <w:rFonts w:ascii="Arial" w:hAnsi="Arial"/>
          <w:b/>
          <w:bCs/>
          <w:sz w:val="28"/>
          <w:szCs w:val="28"/>
        </w:rPr>
      </w:r>
      <w:r/>
    </w:p>
    <w:p>
      <w:pPr>
        <w:pStyle w:val="926"/>
        <w:ind w:left="2800" w:hanging="280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26"/>
        <w:ind w:left="2800" w:hanging="2800"/>
        <w:jc w:val="center"/>
        <w:spacing w:line="660" w:lineRule="exact"/>
        <w:rPr>
          <w:rFonts w:hint="eastAsia" w:ascii="方正黑体_GBK" w:hAnsi="方正黑体_GBK" w:eastAsia="方正黑体_GBK" w:cs="方正黑体_GBK"/>
          <w:bCs/>
          <w:color w:val="ff0000"/>
          <w:sz w:val="28"/>
          <w:szCs w:val="28"/>
        </w:rPr>
      </w:pPr>
      <w:r>
        <w:rPr>
          <w:rFonts w:hint="eastAsia" w:ascii="方正黑体_GBK" w:hAnsi="方正黑体_GBK" w:eastAsia="方正黑体_GBK" w:cs="方正黑体_GBK"/>
          <w:bCs/>
          <w:color w:val="ff0000"/>
          <w:sz w:val="28"/>
          <w:szCs w:val="28"/>
        </w:rPr>
      </w:r>
      <w:r/>
    </w:p>
    <w:p>
      <w:pPr>
        <w:pStyle w:val="926"/>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926"/>
        <w:jc w:val="left"/>
        <w:spacing w:line="360" w:lineRule="auto"/>
        <w:rPr>
          <w:rFonts w:hint="eastAsia" w:ascii="宋体" w:hAnsi="宋体"/>
          <w:sz w:val="24"/>
          <w:szCs w:val="24"/>
        </w:rPr>
      </w:pPr>
      <w:r>
        <w:rPr>
          <w:rFonts w:hint="eastAsia" w:ascii="宋体" w:hAnsi="宋体"/>
          <w:sz w:val="24"/>
          <w:szCs w:val="24"/>
        </w:rPr>
      </w:r>
      <w:r/>
    </w:p>
    <w:p>
      <w:pPr>
        <w:pStyle w:val="926"/>
        <w:jc w:val="center"/>
        <w:spacing w:before="120" w:after="120" w:line="660" w:lineRule="exact"/>
        <w:rPr>
          <w:rFonts w:hint="eastAsia" w:ascii="宋体" w:hAnsi="宋体"/>
          <w:sz w:val="24"/>
          <w:szCs w:val="24"/>
        </w:rPr>
      </w:pPr>
      <w:r>
        <w:rPr>
          <w:rFonts w:hint="eastAsia" w:ascii="宋体" w:hAnsi="宋体"/>
          <w:sz w:val="24"/>
          <w:szCs w:val="24"/>
        </w:rPr>
      </w:r>
      <w:r/>
    </w:p>
    <w:p>
      <w:pPr>
        <w:pStyle w:val="926"/>
        <w:jc w:val="left"/>
        <w:spacing w:line="360" w:lineRule="auto"/>
        <w:rPr>
          <w:rFonts w:hint="eastAsia" w:ascii="宋体" w:hAnsi="宋体"/>
          <w:sz w:val="24"/>
          <w:szCs w:val="24"/>
        </w:rPr>
      </w:pPr>
      <w:r>
        <w:rPr>
          <w:rFonts w:hint="eastAsia" w:ascii="宋体" w:hAnsi="宋体"/>
          <w:sz w:val="24"/>
          <w:szCs w:val="24"/>
        </w:rPr>
      </w:r>
      <w:r/>
    </w:p>
    <w:p>
      <w:pPr>
        <w:pStyle w:val="926"/>
        <w:jc w:val="left"/>
        <w:spacing w:line="360" w:lineRule="auto"/>
        <w:rPr>
          <w:rFonts w:hint="eastAsia" w:ascii="宋体" w:hAnsi="宋体"/>
          <w:sz w:val="24"/>
          <w:szCs w:val="24"/>
        </w:rPr>
      </w:pPr>
      <w:r>
        <w:rPr>
          <w:rFonts w:hint="eastAsia" w:ascii="宋体" w:hAnsi="宋体"/>
          <w:sz w:val="24"/>
          <w:szCs w:val="24"/>
        </w:rPr>
      </w:r>
      <w:r/>
    </w:p>
    <w:p>
      <w:pPr>
        <w:pStyle w:val="926"/>
        <w:jc w:val="left"/>
        <w:spacing w:line="360" w:lineRule="auto"/>
        <w:rPr>
          <w:rFonts w:hint="eastAsia" w:ascii="宋体" w:hAnsi="宋体"/>
          <w:sz w:val="24"/>
          <w:szCs w:val="24"/>
        </w:rPr>
      </w:pPr>
      <w:r>
        <w:rPr>
          <w:rFonts w:hint="eastAsia" w:ascii="宋体" w:hAnsi="宋体"/>
          <w:sz w:val="24"/>
          <w:szCs w:val="24"/>
        </w:rPr>
      </w:r>
      <w:r/>
    </w:p>
    <w:p>
      <w:pPr>
        <w:pStyle w:val="926"/>
        <w:jc w:val="left"/>
        <w:spacing w:line="360" w:lineRule="auto"/>
        <w:rPr>
          <w:rFonts w:hint="eastAsia" w:ascii="宋体" w:hAnsi="宋体"/>
          <w:sz w:val="24"/>
          <w:szCs w:val="24"/>
        </w:rPr>
      </w:pPr>
      <w:r>
        <w:rPr>
          <w:rFonts w:hint="eastAsia" w:ascii="宋体" w:hAnsi="宋体"/>
          <w:sz w:val="24"/>
          <w:szCs w:val="24"/>
        </w:rPr>
      </w:r>
      <w:r/>
    </w:p>
    <w:p>
      <w:pPr>
        <w:pStyle w:val="926"/>
        <w:jc w:val="left"/>
        <w:spacing w:line="360" w:lineRule="auto"/>
        <w:rPr>
          <w:rFonts w:hint="eastAsia" w:ascii="宋体" w:hAnsi="宋体"/>
          <w:sz w:val="24"/>
          <w:szCs w:val="24"/>
        </w:rPr>
      </w:pPr>
      <w:r>
        <w:rPr>
          <w:rFonts w:hint="eastAsia" w:ascii="宋体" w:hAnsi="宋体"/>
          <w:sz w:val="24"/>
          <w:szCs w:val="24"/>
        </w:rPr>
      </w:r>
      <w:r/>
    </w:p>
    <w:p>
      <w:pPr>
        <w:pStyle w:val="92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92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2026年9月</w:t>
      </w:r>
      <w:r>
        <w:rPr>
          <w:rFonts w:hint="eastAsia" w:ascii="方正黑体_GBK" w:hAnsi="方正黑体_GBK" w:eastAsia="方正黑体_GBK" w:cs="方正黑体_GBK"/>
          <w:sz w:val="28"/>
          <w:szCs w:val="28"/>
        </w:rPr>
      </w:r>
      <w:r/>
    </w:p>
    <w:p>
      <w:pPr>
        <w:pStyle w:val="92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6"/>
        <w:jc w:val="center"/>
        <w:spacing w:before="120" w:after="120" w:line="360" w:lineRule="auto"/>
        <w:rPr>
          <w:rFonts w:hint="eastAsia" w:ascii="Arial" w:hAnsi="Arial"/>
          <w:sz w:val="24"/>
          <w:szCs w:val="24"/>
        </w:rPr>
      </w:pPr>
      <w:r>
        <w:rPr>
          <w:rFonts w:hint="eastAsia" w:ascii="Arial" w:hAnsi="Arial"/>
          <w:sz w:val="24"/>
          <w:szCs w:val="24"/>
        </w:rPr>
      </w:r>
      <w:r/>
    </w:p>
    <w:p>
      <w:pPr>
        <w:pStyle w:val="926"/>
        <w:jc w:val="center"/>
        <w:spacing w:line="400" w:lineRule="exact"/>
        <w:rPr>
          <w:rFonts w:hint="eastAsia" w:ascii="方正黑体_GBK" w:hAnsi="方正黑体_GBK" w:eastAsia="方正黑体_GBK" w:cs="方正黑体_GBK"/>
          <w:bCs/>
          <w:sz w:val="28"/>
          <w:szCs w:val="28"/>
        </w:rPr>
        <w:outlineLvl w:val="0"/>
      </w:pPr>
      <w:r>
        <w:rPr>
          <w:szCs w:val="21"/>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926"/>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926"/>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926"/>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 3 </w:t>
      </w:r>
      <w:r>
        <w:rPr>
          <w:rFonts w:hint="eastAsia" w:ascii="方正黑体_GBK" w:hAnsi="方正黑体_GBK" w:eastAsia="方正黑体_GBK" w:cs="方正黑体_GBK"/>
          <w:bCs/>
          <w:sz w:val="28"/>
          <w:szCs w:val="28"/>
        </w:rPr>
      </w:r>
      <w:r/>
    </w:p>
    <w:p>
      <w:pPr>
        <w:pStyle w:val="926"/>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 7  </w:t>
      </w:r>
      <w:r>
        <w:rPr>
          <w:rFonts w:hint="eastAsia" w:ascii="方正黑体_GBK" w:hAnsi="方正黑体_GBK" w:eastAsia="方正黑体_GBK" w:cs="方正黑体_GBK"/>
          <w:bCs/>
          <w:sz w:val="28"/>
          <w:szCs w:val="28"/>
        </w:rPr>
      </w:r>
      <w:r/>
    </w:p>
    <w:p>
      <w:pPr>
        <w:pStyle w:val="926"/>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合同文本……………………………………19</w:t>
      </w:r>
      <w:r>
        <w:rPr>
          <w:rFonts w:ascii="方正黑体_GBK" w:hAnsi="方正黑体_GBK" w:eastAsia="方正黑体_GBK" w:cs="方正黑体_GBK"/>
          <w:bCs/>
          <w:sz w:val="28"/>
          <w:szCs w:val="28"/>
        </w:rPr>
      </w:r>
      <w:r/>
    </w:p>
    <w:p>
      <w:pPr>
        <w:pStyle w:val="926"/>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第四章 采购需求……………………………………24</w:t>
      </w:r>
      <w:r>
        <w:rPr>
          <w:rFonts w:ascii="方正黑体_GBK" w:hAnsi="方正黑体_GBK" w:eastAsia="方正黑体_GBK" w:cs="方正黑体_GBK"/>
          <w:bCs/>
          <w:sz w:val="28"/>
          <w:szCs w:val="28"/>
        </w:rPr>
      </w:r>
      <w:r/>
    </w:p>
    <w:p>
      <w:pPr>
        <w:pStyle w:val="926"/>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第五章 评审方法与评审标准………………………48</w:t>
      </w:r>
      <w:r>
        <w:rPr>
          <w:rFonts w:ascii="方正黑体_GBK" w:hAnsi="方正黑体_GBK" w:eastAsia="方正黑体_GBK" w:cs="方正黑体_GBK"/>
          <w:bCs/>
          <w:sz w:val="28"/>
          <w:szCs w:val="28"/>
        </w:rPr>
      </w:r>
      <w:r/>
    </w:p>
    <w:p>
      <w:pPr>
        <w:pStyle w:val="926"/>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第六章 响应文件格式………………………………53</w:t>
      </w:r>
      <w:r>
        <w:rPr>
          <w:rFonts w:ascii="方正黑体_GBK" w:hAnsi="方正黑体_GBK" w:eastAsia="方正黑体_GBK" w:cs="方正黑体_GBK"/>
          <w:bCs/>
          <w:sz w:val="28"/>
          <w:szCs w:val="28"/>
        </w:rPr>
      </w:r>
      <w:r/>
    </w:p>
    <w:p>
      <w:pPr>
        <w:pStyle w:val="926"/>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rPr>
          <w:rFonts w:hint="eastAsia"/>
        </w:rPr>
      </w:pPr>
      <w:r>
        <w:rPr>
          <w:rFonts w:hint="eastAsia"/>
          <w:szCs w:val="21"/>
        </w:rPr>
      </w:r>
      <w:r>
        <w:rPr>
          <w:rFonts w:hint="eastAsia"/>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26"/>
        <w:rPr>
          <w:rFonts w:hint="eastAsia"/>
        </w:rPr>
      </w:pPr>
      <w:r>
        <w:rPr>
          <w:rFonts w:hint="eastAsia"/>
          <w:szCs w:val="21"/>
        </w:rPr>
      </w:r>
      <w:r/>
    </w:p>
    <w:p>
      <w:pPr>
        <w:pStyle w:val="926"/>
        <w:rPr>
          <w:rFonts w:hint="eastAsia"/>
          <w:szCs w:val="21"/>
        </w:rPr>
      </w:pPr>
      <w:r>
        <w:rPr>
          <w:rFonts w:hint="eastAsia"/>
          <w:szCs w:val="21"/>
        </w:rPr>
      </w:r>
      <w:r/>
    </w:p>
    <w:p>
      <w:pPr>
        <w:pStyle w:val="926"/>
        <w:rPr>
          <w:rFonts w:hint="eastAsia"/>
          <w:szCs w:val="21"/>
        </w:rPr>
      </w:pPr>
      <w:r>
        <w:rPr>
          <w:rFonts w:hint="eastAsia"/>
          <w:szCs w:val="21"/>
        </w:rPr>
      </w:r>
      <w:r/>
    </w:p>
    <w:p>
      <w:pPr>
        <w:pStyle w:val="926"/>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计量科学研究院（江苏省能源计量数据中心）的委托，江苏省政府采购中心就江苏省计量科学研究院数智一体化平台国产化改造升级(JSZC-320000-SCZX-C2026-0391)项目进行竞争性磋商采购，欢迎符合条件的供应商参加磋商。</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江苏省计量科学研究院数智一体化平台国产化改造升级</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rPr>
        <w:t xml:space="preserve">10月</w:t>
      </w:r>
      <w:r>
        <w:rPr>
          <w:rFonts w:hint="eastAsia" w:ascii="方正仿宋_GBK" w:hAnsi="方正仿宋_GBK" w:eastAsia="方正仿宋_GBK" w:cs="方正仿宋_GBK"/>
          <w:bCs/>
          <w:sz w:val="28"/>
          <w:szCs w:val="28"/>
        </w:rPr>
        <w:t xml:space="preserve">8日</w:t>
      </w:r>
      <w:r>
        <w:rPr>
          <w:rFonts w:hint="eastAsia" w:ascii="方正仿宋_GBK" w:hAnsi="方正仿宋_GBK" w:eastAsia="方正仿宋_GBK" w:cs="方正仿宋_GBK"/>
          <w:bCs/>
          <w:sz w:val="28"/>
          <w:szCs w:val="28"/>
        </w:rPr>
        <w:t xml:space="preserve">14时</w:t>
      </w:r>
      <w:r>
        <w:rPr>
          <w:rFonts w:hint="eastAsia" w:eastAsia="方正黑体_GBK"/>
          <w:sz w:val="28"/>
          <w:szCs w:val="28"/>
        </w:rPr>
        <w:t xml:space="preserve">30</w:t>
      </w:r>
      <w:r>
        <w:rPr>
          <w:rFonts w:hint="eastAsia" w:ascii="方正仿宋_GBK" w:hAnsi="方正仿宋_GBK" w:eastAsia="方正仿宋_GBK" w:cs="方正仿宋_GBK"/>
          <w:bCs/>
          <w:sz w:val="28"/>
          <w:szCs w:val="28"/>
        </w:rPr>
        <w:t xml:space="preserve">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6"/>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黑体_GBK"/>
          <w:sz w:val="28"/>
          <w:szCs w:val="28"/>
        </w:rPr>
        <w:t xml:space="preserve">JSZC-320000-SCZX-C2026-0391 </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2.项目名称：江苏省计量科学研究院数智一体化平台国产化改造升级</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26"/>
              <w:ind w:firstLine="1120"/>
              <w:spacing w:line="400" w:lineRule="exact"/>
              <w:rPr>
                <w:rFonts w:ascii="方正仿宋_GBK" w:hAnsi="方正仿宋_GBK" w:eastAsia="方正仿宋_GBK" w:cs="方正仿宋_GBK"/>
                <w:sz w:val="28"/>
                <w:szCs w:val="28"/>
              </w:rPr>
            </w:pPr>
            <w:r>
              <w:rPr>
                <w:rFonts w:hint="eastAsia" w:eastAsia="方正黑体_GBK"/>
                <w:sz w:val="28"/>
                <w:szCs w:val="28"/>
              </w:rPr>
              <w:t xml:space="preserve">125</w:t>
            </w:r>
            <w:r>
              <w:rPr>
                <w:rFonts w:ascii="方正仿宋_GBK" w:hAnsi="方正仿宋_GBK" w:eastAsia="方正仿宋_GBK" w:cs="方正仿宋_GBK"/>
                <w:sz w:val="28"/>
                <w:szCs w:val="28"/>
              </w:rPr>
            </w:r>
            <w:r/>
          </w:p>
        </w:tc>
      </w:tr>
    </w:tbl>
    <w:p>
      <w:pPr>
        <w:pStyle w:val="926"/>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26"/>
              <w:jc w:val="center"/>
              <w:spacing w:line="400" w:lineRule="exact"/>
              <w:rPr>
                <w:rFonts w:ascii="方正仿宋_GBK" w:hAnsi="方正仿宋_GBK" w:eastAsia="方正仿宋_GBK" w:cs="方正仿宋_GBK"/>
                <w:sz w:val="28"/>
                <w:szCs w:val="28"/>
              </w:rPr>
            </w:pPr>
            <w:r>
              <w:rPr>
                <w:rFonts w:hint="eastAsia" w:eastAsia="方正黑体_GBK"/>
                <w:sz w:val="28"/>
                <w:szCs w:val="28"/>
              </w:rPr>
              <w:t xml:space="preserve">125</w:t>
            </w:r>
            <w:r>
              <w:rPr>
                <w:rFonts w:ascii="方正仿宋_GBK" w:hAnsi="方正仿宋_GBK" w:eastAsia="方正仿宋_GBK" w:cs="方正仿宋_GBK"/>
                <w:sz w:val="28"/>
                <w:szCs w:val="28"/>
              </w:rPr>
            </w:r>
            <w:r/>
          </w:p>
        </w:tc>
      </w:tr>
    </w:tbl>
    <w:p>
      <w:pPr>
        <w:pStyle w:val="926"/>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26"/>
        <w:ind w:firstLine="560"/>
        <w:spacing w:line="400" w:lineRule="exact"/>
        <w:rPr>
          <w:rFonts w:ascii="宋体" w:hAnsi="宋体" w:eastAsia="方正仿宋_GBK"/>
          <w:sz w:val="28"/>
          <w:szCs w:val="28"/>
          <w:u w:val="single"/>
        </w:rPr>
      </w:pPr>
      <w:r>
        <w:rPr>
          <w:rFonts w:hint="eastAsia" w:ascii="方正仿宋_GBK" w:hAnsi="方正仿宋_GBK" w:eastAsia="方正仿宋_GBK" w:cs="方正仿宋_GBK"/>
          <w:sz w:val="28"/>
          <w:szCs w:val="28"/>
        </w:rPr>
        <w:t xml:space="preserve">5.采购需求（简介）：</w:t>
      </w:r>
      <w:r>
        <w:rPr>
          <w:rFonts w:hint="eastAsia" w:ascii="宋体" w:hAnsi="宋体" w:cs="宋体"/>
          <w:sz w:val="28"/>
          <w:szCs w:val="28"/>
          <w:lang w:bidi="ar"/>
        </w:rPr>
        <w:t xml:space="preserve">本项目旨在对我院现有数智一体化平台进行全栈国产化底</w:t>
      </w:r>
      <w:r>
        <w:rPr>
          <w:rFonts w:hint="eastAsia" w:ascii="宋体" w:hAnsi="宋体" w:cs="宋体"/>
          <w:sz w:val="28"/>
          <w:szCs w:val="28"/>
          <w:lang w:bidi="ar"/>
        </w:rPr>
        <w:t xml:space="preserve">座升级与核心能力深化建设。供应商需严格遵循国家及行业安全规范，完成对底层数据库、服务器及中间件的全面国产化适配改造，确保平台全生命周期的自主可控；同时，集中升级流程引擎、统一认证及数据交换等关键支撑组件，彻底打通与强检平台、税务及电子签章等外部系统的数据脉络，提升异构系统集成能力；在此基础上，深化统一待办消息中心建设，实现各类办公业务的一站式精准展示与高效处理，并全面优化收发管理、证书处理等精细化作业流程，从而构建一个底层安全合规、业务高效协同、管理精细智能的全链路数字化生态。（详细内容见本磋商文件第四章）</w:t>
      </w:r>
      <w:r>
        <w:rPr>
          <w:rFonts w:ascii="宋体" w:hAnsi="宋体" w:eastAsia="方正仿宋_GBK"/>
          <w:sz w:val="28"/>
          <w:szCs w:val="28"/>
          <w:u w:val="single"/>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6.合同履行期限：自合同签订之日起1</w:t>
      </w:r>
      <w:r>
        <w:rPr>
          <w:rFonts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个月完成所有软件系统的开发、安装部署、测试、试运行</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验收</w:t>
      </w:r>
      <w:r>
        <w:rPr>
          <w:rFonts w:hint="eastAsia" w:ascii="方正仿宋_GBK" w:hAnsi="方正仿宋_GBK" w:eastAsia="方正仿宋_GBK" w:cs="方正仿宋_GBK"/>
          <w:sz w:val="28"/>
          <w:szCs w:val="28"/>
        </w:rPr>
        <w:t xml:space="preserve">等工作。自验收合格之日起提供1年售后质保服务。</w:t>
      </w:r>
      <w:r>
        <w:rPr>
          <w:rFonts w:hint="eastAsia" w:ascii="方正仿宋_GBK" w:hAnsi="方正仿宋_GBK" w:eastAsia="方正仿宋_GBK" w:cs="方正仿宋_GBK"/>
          <w:sz w:val="28"/>
          <w:szCs w:val="28"/>
        </w:rPr>
      </w:r>
      <w:r/>
    </w:p>
    <w:p>
      <w:pPr>
        <w:pStyle w:val="926"/>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2" w:name="_Toc35393791"/>
      <w:r/>
      <w:bookmarkStart w:id="13" w:name="_Toc38985264"/>
      <w:r/>
      <w:bookmarkStart w:id="14" w:name="_Toc35393622"/>
      <w:r/>
      <w:bookmarkStart w:id="15" w:name="_Toc28359003"/>
      <w:r/>
      <w:bookmarkStart w:id="16" w:name="_Toc28359080"/>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926"/>
        <w:ind w:firstLine="560"/>
        <w:spacing w:line="400" w:lineRule="exact"/>
        <w:rPr>
          <w:rFonts w:hint="eastAsia" w:ascii="方正楷体_GBK" w:hAnsi="方正楷体_GBK" w:eastAsia="方正楷体_GBK" w:cs="方正楷体_GBK"/>
          <w:sz w:val="28"/>
          <w:szCs w:val="28"/>
        </w:rPr>
      </w:pPr>
      <w:r/>
      <w:bookmarkStart w:id="17" w:name="_Toc38985265"/>
      <w:r/>
      <w:bookmarkStart w:id="18" w:name="_Toc35393623"/>
      <w:r/>
      <w:bookmarkStart w:id="19" w:name="_Toc28359004"/>
      <w:r/>
      <w:bookmarkStart w:id="20" w:name="_Toc35393792"/>
      <w:r/>
      <w:bookmarkStart w:id="21" w:name="_Toc28359081"/>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523"/>
        <w:gridCol w:w="3438"/>
      </w:tblGrid>
      <w:tr>
        <w:trPr/>
        <w:tc>
          <w:tcPr>
            <w:tcW w:w="805"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523"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3438"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523"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3438"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26"/>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26"/>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507"/>
      </w:tblGrid>
      <w:tr>
        <w:trPr/>
        <w:tc>
          <w:tcPr>
            <w:tcW w:w="809"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507"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507"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eastAsia="方正黑体_GBK"/>
                <w:sz w:val="28"/>
                <w:szCs w:val="28"/>
              </w:rPr>
              <w:t xml:space="preserve">无</w:t>
            </w:r>
            <w:r>
              <w:rPr>
                <w:rFonts w:hint="eastAsia" w:ascii="方正仿宋_GBK" w:hAnsi="方正仿宋_GBK" w:eastAsia="方正仿宋_GBK" w:cs="方正仿宋_GBK"/>
                <w:sz w:val="28"/>
                <w:szCs w:val="28"/>
              </w:rPr>
            </w:r>
            <w:r/>
          </w:p>
        </w:tc>
      </w:tr>
    </w:tbl>
    <w:p>
      <w:pPr>
        <w:pStyle w:val="926"/>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926"/>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926"/>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rPr>
        <w:t xml:space="preserve">10月</w:t>
      </w:r>
      <w:r>
        <w:rPr>
          <w:rFonts w:hint="eastAsia" w:ascii="方正仿宋_GBK" w:hAnsi="方正仿宋_GBK" w:eastAsia="方正仿宋_GBK" w:cs="方正仿宋_GBK"/>
          <w:bCs/>
          <w:sz w:val="28"/>
          <w:szCs w:val="28"/>
        </w:rPr>
        <w:t xml:space="preserve">8日</w:t>
      </w:r>
      <w:r>
        <w:rPr>
          <w:rFonts w:hint="eastAsia" w:ascii="方正仿宋_GBK" w:hAnsi="方正仿宋_GBK" w:eastAsia="方正仿宋_GBK" w:cs="方正仿宋_GBK"/>
          <w:bCs/>
          <w:sz w:val="28"/>
          <w:szCs w:val="28"/>
        </w:rPr>
        <w:t xml:space="preserve">14时</w:t>
      </w:r>
      <w:r>
        <w:rPr>
          <w:rFonts w:hint="eastAsia" w:eastAsia="方正黑体_GBK"/>
          <w:sz w:val="28"/>
          <w:szCs w:val="28"/>
        </w:rPr>
        <w:t xml:space="preserve">30</w:t>
      </w:r>
      <w:r>
        <w:rPr>
          <w:rFonts w:hint="eastAsia" w:ascii="方正仿宋_GBK" w:hAnsi="方正仿宋_GBK" w:eastAsia="方正仿宋_GBK" w:cs="方正仿宋_GBK"/>
          <w:bCs/>
          <w:sz w:val="28"/>
          <w:szCs w:val="28"/>
        </w:rPr>
        <w:t xml:space="preserve">分（北京时间）。</w:t>
      </w:r>
      <w:r>
        <w:rPr>
          <w:rFonts w:ascii="宋体" w:hAnsi="宋体" w:cs="宋体"/>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26"/>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35393794"/>
      <w:r/>
      <w:bookmarkStart w:id="28" w:name="_Toc28359084"/>
      <w:r/>
      <w:bookmarkStart w:id="29" w:name="_Toc28359007"/>
      <w:r/>
      <w:bookmarkStart w:id="30" w:name="_Toc38985267"/>
      <w:r/>
      <w:bookmarkStart w:id="31" w:name="_Toc35393625"/>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926"/>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5393795"/>
      <w:r/>
      <w:bookmarkStart w:id="33" w:name="_Toc38985268"/>
      <w:r/>
      <w:bookmarkStart w:id="34" w:name="_Toc35393626"/>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26"/>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28359085"/>
      <w:r/>
      <w:bookmarkStart w:id="36" w:name="_Toc35393627"/>
      <w:r/>
      <w:bookmarkStart w:id="37" w:name="_Toc38985269"/>
      <w:r/>
      <w:bookmarkStart w:id="38" w:name="_Toc28359008"/>
      <w:r/>
      <w:bookmarkStart w:id="39" w:name="_Toc35393796"/>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926"/>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10"/>
      <w:r/>
      <w:bookmarkStart w:id="41" w:name="_Toc28359087"/>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江苏省计量科学研究院　　　</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南京市栖霞区仙林大学城文澜路95号</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朱建冰 </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025-86435585 </w:t>
      </w:r>
      <w:bookmarkStart w:id="42" w:name="_Toc28359086"/>
      <w:r/>
      <w:bookmarkStart w:id="43" w:name="_Toc28359009"/>
      <w:r>
        <w:rPr>
          <w:rFonts w:hint="eastAsia" w:ascii="方正仿宋_GBK" w:hAnsi="方正仿宋_GBK" w:eastAsia="方正仿宋_GBK" w:cs="方正仿宋_GBK"/>
          <w:sz w:val="28"/>
          <w:szCs w:val="28"/>
          <w:u w:val="single"/>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9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严晓薇 、陈瑜 </w:t>
      </w:r>
      <w:r>
        <w:rPr>
          <w:rFonts w:hint="eastAsia" w:ascii="方正仿宋_GBK" w:hAnsi="方正仿宋_GBK" w:eastAsia="方正仿宋_GBK" w:cs="方正仿宋_GBK"/>
          <w:color w:val="000000"/>
          <w:sz w:val="28"/>
          <w:szCs w:val="28"/>
        </w:rPr>
      </w:r>
      <w:r/>
    </w:p>
    <w:p>
      <w:pPr>
        <w:pStyle w:val="978"/>
        <w:ind w:firstLine="560"/>
        <w:tabs>
          <w:tab w:val="right" w:pos="8720" w:leader="dot"/>
        </w:tabs>
        <w:rPr>
          <w:rFonts w:hint="eastAsia"/>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025-83668537、83668552</w:t>
      </w:r>
      <w:r>
        <w:rPr>
          <w:rFonts w:hint="eastAsia"/>
        </w:rPr>
      </w:r>
      <w:r/>
    </w:p>
    <w:p>
      <w:pPr>
        <w:pStyle w:val="926"/>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40"/>
      <w:r/>
      <w:bookmarkEnd w:id="41"/>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4" w:name="_Toc120614211"/>
      <w:r/>
      <w:bookmarkStart w:id="45" w:name="_Toc16938519"/>
      <w:r/>
      <w:bookmarkStart w:id="46" w:name="_Toc120614214"/>
      <w:r/>
      <w:bookmarkStart w:id="47" w:name="_Toc20823275"/>
      <w:r/>
      <w:bookmarkStart w:id="48" w:name="_Toc513029203"/>
      <w:r>
        <w:rPr>
          <w:rFonts w:hint="eastAsia" w:ascii="方正黑体_GBK" w:hAnsi="方正黑体_GBK" w:eastAsia="方正黑体_GBK" w:cs="方正黑体_GBK"/>
          <w:sz w:val="28"/>
          <w:szCs w:val="28"/>
        </w:rPr>
        <w:t xml:space="preserve">第二章  </w:t>
      </w:r>
      <w:bookmarkEnd w:id="44"/>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926"/>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5"/>
      <w:r/>
      <w:bookmarkEnd w:id="46"/>
      <w:r/>
      <w:bookmarkEnd w:id="47"/>
      <w:r/>
      <w:bookmarkEnd w:id="48"/>
      <w:r/>
      <w:bookmarkStart w:id="49" w:name="_Toc513029209"/>
      <w:r/>
      <w:bookmarkStart w:id="50" w:name="_Toc120614215"/>
      <w:r/>
      <w:bookmarkStart w:id="51" w:name="_Toc20823281"/>
      <w:r/>
      <w:bookmarkStart w:id="52" w:name="_Toc16938525"/>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513029205"/>
      <w:r/>
      <w:bookmarkStart w:id="59" w:name="_Toc20823277"/>
      <w:r/>
      <w:bookmarkStart w:id="60" w:name="_Toc16938521"/>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16938522"/>
      <w:r/>
      <w:bookmarkStart w:id="62" w:name="_Toc513029206"/>
      <w:r/>
      <w:bookmarkStart w:id="63" w:name="_Toc20823278"/>
      <w:r/>
      <w:bookmarkStart w:id="64" w:name="_Toc16938523"/>
      <w:r/>
      <w:bookmarkStart w:id="65" w:name="_Toc513029207"/>
      <w:r/>
      <w:bookmarkStart w:id="66" w:name="_Toc462564067"/>
      <w:r/>
      <w:bookmarkStart w:id="67" w:name="_Toc20823279"/>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926"/>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9"/>
      <w:r/>
      <w:bookmarkEnd w:id="50"/>
      <w:r/>
      <w:bookmarkEnd w:id="51"/>
      <w:r/>
      <w:bookmarkEnd w:id="52"/>
      <w:r/>
      <w:bookmarkStart w:id="68" w:name="_Toc20823285"/>
      <w:r/>
      <w:bookmarkStart w:id="69" w:name="_Toc120614216"/>
      <w:r/>
      <w:bookmarkStart w:id="70" w:name="_Toc513029213"/>
      <w:r/>
      <w:bookmarkStart w:id="71" w:name="_Toc16938529"/>
      <w:r/>
      <w:bookmarkStart w:id="72" w:name="_Toc462564072"/>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513029210"/>
      <w:r/>
      <w:bookmarkStart w:id="74" w:name="_Toc20823282"/>
      <w:r/>
      <w:bookmarkStart w:id="75" w:name="_Toc16938526"/>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462564071"/>
      <w:r/>
      <w:bookmarkStart w:id="77" w:name="_Toc16938528"/>
      <w:r/>
      <w:bookmarkStart w:id="78" w:name="_Toc513029212"/>
      <w:r/>
      <w:bookmarkStart w:id="79" w:name="_Toc20823284"/>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926"/>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739"/>
      <w:r/>
      <w:bookmarkEnd w:id="80"/>
      <w:r/>
      <w:bookmarkStart w:id="81" w:name="_Hlt26954852"/>
      <w:r/>
      <w:bookmarkEnd w:id="81"/>
      <w:r/>
      <w:bookmarkStart w:id="82" w:name="_Toc16938530"/>
      <w:r/>
      <w:bookmarkStart w:id="83" w:name="_Toc462564073"/>
      <w:r/>
      <w:bookmarkStart w:id="84" w:name="_Toc20823286"/>
      <w:r/>
      <w:bookmarkStart w:id="85" w:name="_Toc513029214"/>
      <w:r/>
      <w:bookmarkStart w:id="86" w:name="_Toc513029224"/>
      <w:r/>
      <w:bookmarkStart w:id="87" w:name="_Toc120614217"/>
      <w:r/>
      <w:bookmarkStart w:id="88" w:name="_Toc16938540"/>
      <w:r/>
      <w:bookmarkStart w:id="89" w:name="_Toc20823296"/>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Toc462564074"/>
      <w:r/>
      <w:bookmarkStart w:id="91" w:name="_Toc513029215"/>
      <w:r/>
      <w:bookmarkStart w:id="92" w:name="_Toc16938531"/>
      <w:r/>
      <w:bookmarkStart w:id="93" w:name="_Toc20823287"/>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94" w:name="_Toc14577357"/>
      <w:r/>
      <w:bookmarkStart w:id="95" w:name="_Toc513029219"/>
      <w:r/>
      <w:bookmarkStart w:id="96" w:name="_Toc14577354"/>
      <w:r/>
      <w:bookmarkStart w:id="97" w:name="_Toc513029216"/>
      <w:r/>
      <w:bookmarkStart w:id="98" w:name="_Toc49090507"/>
      <w:r/>
      <w:bookmarkStart w:id="99" w:name="_Toc49090508"/>
      <w:r/>
      <w:bookmarkStart w:id="100" w:name="_Toc14577355"/>
      <w:r/>
      <w:bookmarkStart w:id="101" w:name="_Hlt26670360"/>
      <w:r/>
      <w:bookmarkEnd w:id="101"/>
      <w:r/>
      <w:bookmarkStart w:id="102" w:name="_Hlt26668975"/>
      <w:r/>
      <w:bookmarkEnd w:id="102"/>
      <w:r/>
      <w:bookmarkStart w:id="103" w:name="_Hlt26954838"/>
      <w:r/>
      <w:bookmarkEnd w:id="103"/>
      <w:r/>
      <w:bookmarkStart w:id="104" w:name="_Toc49090509"/>
      <w:r>
        <w:rPr>
          <w:rFonts w:hint="eastAsia" w:ascii="方正仿宋_GBK" w:hAnsi="方正仿宋_GBK" w:eastAsia="方正仿宋_GBK" w:cs="方正仿宋_GBK"/>
          <w:bCs/>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954846"/>
      <w:r/>
      <w:bookmarkEnd w:id="105"/>
      <w:r/>
      <w:bookmarkStart w:id="106" w:name="_Hlt26954848"/>
      <w:r/>
      <w:bookmarkEnd w:id="106"/>
      <w:r/>
      <w:bookmarkStart w:id="107" w:name="_Hlt26954731"/>
      <w:r/>
      <w:bookmarkEnd w:id="107"/>
      <w:r/>
      <w:bookmarkStart w:id="108" w:name="_Hlt26670486"/>
      <w:r/>
      <w:bookmarkEnd w:id="108"/>
      <w:r/>
      <w:bookmarkStart w:id="109" w:name="_Hlt26670482"/>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15.磋商有效期</w:t>
      </w:r>
      <w:bookmarkEnd w:id="112"/>
      <w:r/>
      <w:bookmarkEnd w:id="113"/>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926"/>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6"/>
      <w:r/>
      <w:bookmarkEnd w:id="87"/>
      <w:r/>
      <w:bookmarkEnd w:id="88"/>
      <w:r/>
      <w:bookmarkEnd w:id="89"/>
      <w:r/>
      <w:bookmarkStart w:id="114" w:name="_Toc16938545"/>
      <w:r/>
      <w:bookmarkStart w:id="115" w:name="_Toc513029229"/>
      <w:r/>
      <w:bookmarkStart w:id="116" w:name="_Toc120614218"/>
      <w:r/>
      <w:bookmarkStart w:id="117" w:name="_Toc20823301"/>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20823297"/>
      <w:r/>
      <w:bookmarkStart w:id="120" w:name="_Toc513029225"/>
      <w:r/>
      <w:bookmarkStart w:id="121" w:name="_Toc16938541"/>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513029226"/>
      <w:r/>
      <w:bookmarkStart w:id="124" w:name="_Toc20823298"/>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513029227"/>
      <w:r/>
      <w:bookmarkStart w:id="126" w:name="_Toc16938543"/>
      <w:r/>
      <w:bookmarkStart w:id="127" w:name="_Toc20823299"/>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16938544"/>
      <w:r/>
      <w:bookmarkStart w:id="129" w:name="_Toc20823300"/>
      <w:r/>
      <w:bookmarkStart w:id="130" w:name="_Toc513029228"/>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926"/>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513029230"/>
      <w:r/>
      <w:bookmarkStart w:id="133" w:name="_Toc20823302"/>
      <w:r/>
      <w:bookmarkStart w:id="134" w:name="_Toc513029232"/>
      <w:r/>
      <w:bookmarkStart w:id="135" w:name="_Toc20823304"/>
      <w:r/>
      <w:bookmarkStart w:id="136" w:name="_Toc16938548"/>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513029231"/>
      <w:r/>
      <w:bookmarkStart w:id="138" w:name="_Toc20823303"/>
      <w:r/>
      <w:bookmarkStart w:id="139" w:name="_Toc16938547"/>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16938549"/>
      <w:r/>
      <w:bookmarkStart w:id="141" w:name="_Toc513029233"/>
      <w:r/>
      <w:bookmarkStart w:id="142" w:name="_Toc20823305"/>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926"/>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926"/>
        <w:ind w:firstLine="562"/>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b/>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sz w:val="28"/>
          <w:szCs w:val="28"/>
        </w:rPr>
      </w:pPr>
      <w:r/>
      <w:bookmarkStart w:id="143" w:name="_Toc20823306"/>
      <w:r/>
      <w:bookmarkStart w:id="144" w:name="_Toc513029234"/>
      <w:r/>
      <w:bookmarkStart w:id="145"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926"/>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yellow"/>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926"/>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513029235"/>
      <w:r/>
      <w:bookmarkStart w:id="147" w:name="_Toc16938551"/>
      <w:r/>
      <w:bookmarkStart w:id="148" w:name="_Toc20823307"/>
      <w:r/>
      <w:bookmarkStart w:id="149" w:name="_Toc120614219"/>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926"/>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926"/>
        <w:ind w:firstLine="560"/>
        <w:keepLines/>
        <w:keepNext/>
        <w:spacing w:line="400" w:lineRule="exact"/>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4" w:name="_Toc513029236"/>
      <w:r/>
      <w:bookmarkStart w:id="155" w:name="_Toc16938552"/>
      <w:r/>
      <w:bookmarkStart w:id="156" w:name="_Toc120614220"/>
      <w:r/>
      <w:bookmarkStart w:id="157" w:name="_Toc20823308"/>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926"/>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4"/>
      <w:r/>
      <w:bookmarkEnd w:id="155"/>
      <w:r/>
      <w:bookmarkEnd w:id="156"/>
      <w:r/>
      <w:bookmarkEnd w:id="157"/>
      <w:r/>
      <w:bookmarkStart w:id="158" w:name="_Toc20823314"/>
      <w:r/>
      <w:bookmarkStart w:id="159" w:name="_Toc513029242"/>
      <w:r/>
      <w:bookmarkStart w:id="160" w:name="_Toc479757207"/>
      <w:r/>
      <w:bookmarkStart w:id="161" w:name="_Toc16938558"/>
      <w:r/>
      <w:bookmarkStart w:id="162" w:name="_Toc120614221"/>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3" w:name="_Toc20823309"/>
      <w:r/>
      <w:bookmarkStart w:id="164" w:name="_Toc513029237"/>
      <w:r/>
      <w:bookmarkStart w:id="165"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9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926"/>
        <w:ind w:firstLine="2240"/>
        <w:keepNext/>
        <w:spacing w:line="400" w:lineRule="exact"/>
        <w:rPr>
          <w:rFonts w:hint="eastAsia" w:ascii="宋体" w:hAnsi="宋体"/>
          <w:b/>
          <w:sz w:val="30"/>
          <w:szCs w:val="21"/>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bookmarkStart w:id="166" w:name="_Toc16938559"/>
      <w:r/>
      <w:bookmarkStart w:id="167" w:name="_Toc513029243"/>
      <w:r/>
      <w:bookmarkStart w:id="168" w:name="_Toc20823315"/>
      <w:r>
        <w:rPr>
          <w:rFonts w:hint="eastAsia" w:ascii="宋体" w:hAnsi="宋体"/>
          <w:b/>
          <w:sz w:val="30"/>
          <w:szCs w:val="21"/>
        </w:rPr>
      </w:r>
      <w:r/>
    </w:p>
    <w:p>
      <w:pPr>
        <w:pStyle w:val="957"/>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highlight w:val="green"/>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highlight w:val="green"/>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本项目的最终用户为采购人，本项目所产生的知识产权归采购人独享，中标人必须提供项目的所有开发源代码和技术文档。本项目中采购的商业软件（含自主品牌），最终许可用户名为采购人。投标人须承诺所提供的系统（含平台）不依赖于任何第三方商业平台的支持和环境。 </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4.2中标人须承诺且不限于以下保密条款要求： </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标人对本项目所产生的业务资料、技术信息等负有保密责任，未经采购人同意不得提供给任何第三方，包括中标人的分支机构、子公司、委托顾问方或接受咨询方。本项目所产生的知识产权归采购人独享，中标人须提供项目的所有源代码和开发文档给采购人。 </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（2）中标人应妥善保管有关的文件和资料，未经采购人许可，不对其复制、仿造等。 </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（3）中标人应对有关人员进行有效管理，包括制定规章制度，以确保本承诺书的履行。 </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（4）中标人若违反本承诺的约定，应赔偿采购人由此遭受的一切损失。 </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（5）保密期限：中标人需对本项目的业务资料、技术信息等在软件生命周期内一直保密，直至采购人同意或该业务资料、技术信息在同行业中已成为公开信息后方可解除保密义务。</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4.3乙方应保证甲方在使用、接受本合同标的或其任何一部分时不受第三方提出侵犯其专利权、版权、商标权和工业设计权等知识产权的起诉。一旦出现侵权，由乙方负全部责任。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bCs/>
          <w:sz w:val="28"/>
          <w:szCs w:val="28"/>
          <w:highlight w:val="yellow"/>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2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6.2.4履约保证金不予退还的情形：</w:t>
      </w:r>
      <w:r>
        <w:rPr>
          <w:rFonts w:hint="eastAsia" w:eastAsia="方正仿宋_GBK"/>
          <w:sz w:val="28"/>
          <w:szCs w:val="28"/>
        </w:rPr>
        <w:t xml:space="preserve">XXXX</w:t>
      </w:r>
      <w:r>
        <w:rPr>
          <w:rFonts w:hint="eastAsia" w:ascii="方正仿宋_GBK" w:hAnsi="方正仿宋_GBK" w:eastAsia="方正仿宋_GBK" w:cs="方正仿宋_GBK"/>
          <w:bCs/>
          <w:sz w:val="28"/>
          <w:szCs w:val="28"/>
          <w:highlight w:val="yellow"/>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合同签订后，采购人在收到发票后15日内，支付合同金额的30%；项目试运行支付合同金额的50%；项目验收合格后，支付合同金额的20%。</w:t>
      </w:r>
      <w:r>
        <w:rPr>
          <w:rFonts w:hint="eastAsia" w:ascii="方正仿宋_GBK" w:hAnsi="方正仿宋_GBK" w:eastAsia="方正仿宋_GBK" w:cs="方正仿宋_GBK"/>
          <w:bCs/>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926"/>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926"/>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926"/>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92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926"/>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926"/>
        <w:ind w:firstLine="480"/>
        <w:jc w:val="right"/>
        <w:spacing w:line="500" w:lineRule="exact"/>
        <w:rPr>
          <w:sz w:val="24"/>
          <w:szCs w:val="24"/>
        </w:rPr>
      </w:pPr>
      <w:r>
        <w:rPr>
          <w:sz w:val="24"/>
          <w:szCs w:val="24"/>
        </w:rPr>
      </w:r>
      <w:r/>
    </w:p>
    <w:p>
      <w:pPr>
        <w:pStyle w:val="926"/>
        <w:ind w:firstLine="480"/>
        <w:jc w:val="right"/>
        <w:spacing w:line="500" w:lineRule="exact"/>
        <w:rPr>
          <w:rFonts w:hint="eastAsia"/>
          <w:sz w:val="24"/>
          <w:szCs w:val="24"/>
        </w:rPr>
      </w:pPr>
      <w:r>
        <w:rPr>
          <w:rFonts w:hint="eastAsia"/>
          <w:sz w:val="24"/>
          <w:szCs w:val="24"/>
        </w:rPr>
        <w:t xml:space="preserve"> </w:t>
      </w:r>
      <w:r>
        <w:rPr>
          <w:rFonts w:hint="eastAsia"/>
          <w:sz w:val="24"/>
          <w:szCs w:val="24"/>
        </w:rPr>
      </w:r>
      <w:r/>
    </w:p>
    <w:p>
      <w:pPr>
        <w:pStyle w:val="926"/>
        <w:ind w:firstLine="480"/>
        <w:jc w:val="right"/>
        <w:spacing w:line="500" w:lineRule="exact"/>
        <w:rPr>
          <w:sz w:val="24"/>
          <w:szCs w:val="24"/>
        </w:rPr>
      </w:pPr>
      <w:r>
        <w:rPr>
          <w:sz w:val="24"/>
          <w:szCs w:val="24"/>
        </w:rPr>
      </w:r>
      <w:r/>
    </w:p>
    <w:p>
      <w:pPr>
        <w:pStyle w:val="928"/>
        <w:spacing w:line="400" w:lineRule="exact"/>
        <w:rPr>
          <w:rFonts w:ascii="宋体" w:hAnsi="Courier New" w:cs="Courier New"/>
          <w:sz w:val="28"/>
          <w:szCs w:val="28"/>
        </w:rPr>
      </w:pPr>
      <w:r/>
      <w:bookmarkEnd w:id="166"/>
      <w:r/>
      <w:bookmarkEnd w:id="167"/>
      <w:r/>
      <w:bookmarkEnd w:id="168"/>
      <w:r/>
      <w:bookmarkStart w:id="169" w:name="_Hlt16619369"/>
      <w:r/>
      <w:bookmarkEnd w:id="169"/>
      <w:r/>
      <w:bookmarkStart w:id="170" w:name="_Toc16938590"/>
      <w:r/>
      <w:bookmarkStart w:id="171" w:name="_Toc120614244"/>
      <w:r/>
      <w:bookmarkStart w:id="172" w:name="_Hlt16619350"/>
      <w:r/>
      <w:bookmarkStart w:id="173" w:name="_Toc20823346"/>
      <w:r/>
      <w:bookmarkStart w:id="174" w:name="_Toc479757211"/>
      <w:r/>
      <w:bookmarkStart w:id="175" w:name="_Toc462564139"/>
      <w:r>
        <w:rPr>
          <w:rFonts w:ascii="黑体" w:hAnsi="Courier New" w:eastAsia="黑体" w:cs="Courier New"/>
          <w:bCs w:val="0"/>
          <w:szCs w:val="21"/>
        </w:rPr>
        <w:br w:type="page" w:clear="all"/>
      </w:r>
      <w:bookmarkEnd w:id="170"/>
      <w:r/>
      <w:bookmarkEnd w:id="171"/>
      <w:r/>
      <w:bookmarkEnd w:id="172"/>
      <w:r/>
      <w:bookmarkEnd w:id="173"/>
      <w:r/>
      <w:bookmarkStart w:id="176" w:name="_Toc49090575"/>
      <w:r/>
      <w:bookmarkStart w:id="177" w:name="_Toc26554093"/>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928"/>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832"/>
        <w:gridCol w:w="2650"/>
        <w:gridCol w:w="3027"/>
      </w:tblGrid>
      <w:tr>
        <w:trPr>
          <w:cantSplit/>
        </w:trPr>
        <w:tc>
          <w:tcPr>
            <w:tcW w:w="1249"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832"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65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3027"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一</w:t>
            </w:r>
            <w:r>
              <w:rPr>
                <w:rFonts w:hint="eastAsia" w:ascii="方正仿宋_GBK" w:hAnsi="方正仿宋_GBK" w:eastAsia="方正仿宋_GBK" w:cs="方正仿宋_GBK"/>
                <w:sz w:val="28"/>
                <w:szCs w:val="28"/>
              </w:rPr>
            </w:r>
            <w:r/>
          </w:p>
        </w:tc>
        <w:tc>
          <w:tcPr>
            <w:tcW w:w="832"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650"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数智一体化平台国产化改造升级</w:t>
            </w:r>
            <w:r>
              <w:rPr>
                <w:rFonts w:hint="eastAsia" w:ascii="方正仿宋_GBK" w:hAnsi="方正仿宋_GBK" w:eastAsia="方正仿宋_GBK" w:cs="方正仿宋_GBK"/>
                <w:sz w:val="28"/>
                <w:szCs w:val="28"/>
              </w:rPr>
            </w:r>
            <w:r/>
          </w:p>
        </w:tc>
        <w:tc>
          <w:tcPr>
            <w:tcW w:w="3027"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926"/>
        <w:ind w:firstLine="560"/>
        <w:spacing w:line="400" w:lineRule="exact"/>
        <w:rPr>
          <w:rFonts w:hint="eastAsia" w:ascii="宋体" w:hAnsi="宋体"/>
          <w:sz w:val="28"/>
          <w:szCs w:val="28"/>
          <w:highlight w:val="yellow"/>
        </w:rPr>
      </w:pPr>
      <w:r>
        <w:rPr>
          <w:rFonts w:hint="eastAsia" w:ascii="宋体" w:hAnsi="宋体"/>
          <w:sz w:val="28"/>
          <w:szCs w:val="28"/>
          <w:highlight w:val="yellow"/>
        </w:rPr>
      </w:r>
      <w:r/>
    </w:p>
    <w:p>
      <w:pPr>
        <w:pStyle w:val="928"/>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926"/>
        <w:spacing w:line="360" w:lineRule="auto"/>
        <w:rPr>
          <w:rFonts w:ascii="宋体" w:hAnsi="宋体" w:cs="宋体"/>
          <w:b/>
          <w:color w:val="000000"/>
          <w:sz w:val="28"/>
          <w:szCs w:val="28"/>
        </w:rPr>
      </w:pPr>
      <w:r>
        <w:rPr>
          <w:rFonts w:hint="eastAsia" w:ascii="宋体" w:hAnsi="宋体" w:cs="宋体"/>
          <w:b/>
          <w:color w:val="000000"/>
          <w:sz w:val="28"/>
          <w:szCs w:val="28"/>
        </w:rPr>
        <w:t xml:space="preserve">注：本服务项目不涉及货物，投标文件中无需提供《关于符合本国产品标准的声明函》</w:t>
      </w:r>
      <w:r>
        <w:rPr>
          <w:rFonts w:ascii="宋体" w:hAnsi="宋体" w:cs="宋体"/>
          <w:b/>
          <w:color w:val="000000"/>
          <w:sz w:val="28"/>
          <w:szCs w:val="28"/>
        </w:rPr>
      </w:r>
      <w:r/>
    </w:p>
    <w:p>
      <w:pPr>
        <w:pStyle w:val="9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27"/>
        <w:jc w:val="both"/>
        <w:keepLines/>
        <w:keepNext w:val="0"/>
        <w:spacing w:line="360" w:lineRule="auto"/>
        <w:rPr>
          <w:rFonts w:hint="eastAsia" w:ascii="宋体" w:hAnsi="宋体" w:eastAsia="宋体" w:cs="宋体"/>
        </w:rPr>
      </w:pPr>
      <w:r/>
      <w:bookmarkStart w:id="178" w:name="_Toc20586_WPSOffice_Level1"/>
      <w:r>
        <w:rPr>
          <w:rFonts w:hint="eastAsia" w:ascii="宋体" w:hAnsi="宋体" w:eastAsia="宋体" w:cs="宋体"/>
        </w:rPr>
        <w:t xml:space="preserve">三、项目建设</w:t>
      </w:r>
      <w:bookmarkEnd w:id="178"/>
      <w:r>
        <w:rPr>
          <w:rFonts w:hint="eastAsia" w:ascii="宋体" w:hAnsi="宋体" w:eastAsia="宋体" w:cs="宋体"/>
        </w:rPr>
        <w:t xml:space="preserve">内容</w:t>
      </w:r>
      <w:r>
        <w:rPr>
          <w:rFonts w:hint="eastAsia" w:ascii="宋体" w:hAnsi="宋体" w:eastAsia="宋体" w:cs="宋体"/>
        </w:rPr>
      </w:r>
      <w:r/>
    </w:p>
    <w:p>
      <w:pPr>
        <w:pStyle w:val="928"/>
        <w:numPr>
          <w:ilvl w:val="0"/>
          <w:numId w:val="4"/>
        </w:numPr>
        <w:ind w:firstLine="0"/>
        <w:jc w:val="left"/>
        <w:spacing w:before="0"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项目建设要求</w:t>
      </w:r>
      <w:r>
        <w:rPr>
          <w:rFonts w:hint="eastAsia" w:ascii="宋体" w:hAnsi="宋体" w:eastAsia="宋体" w:cs="宋体"/>
          <w:sz w:val="24"/>
          <w:szCs w:val="24"/>
        </w:rPr>
      </w:r>
      <w:r/>
    </w:p>
    <w:p>
      <w:pPr>
        <w:pStyle w:val="940"/>
        <w:spacing w:line="360" w:lineRule="auto"/>
        <w:rPr>
          <w:rFonts w:hint="eastAsia" w:ascii="宋体" w:hAnsi="宋体" w:cs="宋体"/>
          <w:sz w:val="24"/>
          <w:szCs w:val="24"/>
          <w:lang w:bidi="ar"/>
        </w:rPr>
      </w:pPr>
      <w:r>
        <w:rPr>
          <w:rFonts w:hint="eastAsia" w:ascii="宋体" w:hAnsi="宋体" w:cs="宋体"/>
          <w:sz w:val="24"/>
          <w:szCs w:val="24"/>
          <w:lang w:bidi="ar"/>
        </w:rPr>
        <w:t xml:space="preserve">本次系统国产化改造升级工作主要涵盖四大核心板块：首先是系统环境及服务改造适配，需全面完成国产数据库、应用中间件及操作系统的调优适配，并同步落实数据转换与迁移、并发性能优化、安全防护升级以及终端与浏览器的兼容适配；其次是系统应用功能改造适配，重点针对数智一体化平台、云智苏量移动端以及门户网站开展国产化适配改造；此外，还需统筹执行系统服务迁移工作，并在改造完成后开展全面的系统改造测试验证，以确保整体系统平稳过渡与安全可靠。</w:t>
      </w:r>
      <w:r>
        <w:rPr>
          <w:rFonts w:hint="eastAsia" w:ascii="宋体" w:hAnsi="宋体" w:cs="宋体"/>
          <w:sz w:val="24"/>
          <w:szCs w:val="24"/>
          <w:lang w:bidi="ar"/>
        </w:rPr>
      </w:r>
      <w:r/>
    </w:p>
    <w:p>
      <w:pPr>
        <w:pStyle w:val="940"/>
        <w:spacing w:line="360" w:lineRule="auto"/>
        <w:rPr>
          <w:rFonts w:hint="eastAsia" w:ascii="宋体" w:hAnsi="宋体" w:cs="宋体"/>
          <w:sz w:val="24"/>
          <w:szCs w:val="24"/>
          <w:lang w:bidi="ar"/>
        </w:rPr>
      </w:pPr>
      <w:r>
        <w:rPr>
          <w:rFonts w:hint="eastAsia" w:ascii="宋体" w:hAnsi="宋体" w:cs="宋体"/>
          <w:sz w:val="24"/>
          <w:szCs w:val="24"/>
          <w:lang w:bidi="ar"/>
        </w:rPr>
        <w:t xml:space="preserve">我院无条件开放已有数智一体化平台功能，数智一体化平台以“数据互通、业务协同、智能决策”为核心，通过整合计量检测智慧管理平台、内控管理系统和OA协同办公系统，打破了传统的信息孤岛，构建了一个从前端业务到后端管理的全链路数字化生态。供应商需在原数智一体化平台基础上进行全栈国产化底座与应用规范升级，严格遵循国家及行业国产化标准升级，规范各业务模块在国产化环境下的运行要求，全面匹配自主可控的安全规范；完成对平台涉及的数据库、服务</w:t>
      </w:r>
      <w:r>
        <w:rPr>
          <w:rFonts w:hint="eastAsia" w:ascii="宋体" w:hAnsi="宋体" w:cs="宋体"/>
          <w:sz w:val="24"/>
          <w:szCs w:val="24"/>
          <w:lang w:bidi="ar"/>
        </w:rPr>
        <w:t xml:space="preserve">器、中间件等基础环境的国产化适配改造，实现从底层基础设施到上层应用系统的全栈迁移与新建能力建设。升级平台核心能力支撑模块：为满足科研管理、工程项目、样机业务、质量管理等复杂微服务接入要求，对流程引擎服务、任务消息队列、统一用户认证服务、数据交换服务等关键组件进行集中建设与改造升级，并结合数智一体化平台的既有能力，提高平台对内外部异构系统的集成接入能力，同时加强平台在跨部门协同中面向预算、采购、合同、收支等业务的事项办理与信息交互能力，彻底打通与强检平台、税务及电子签章等外部系统的数据脉络与流程消息互通能力。</w:t>
      </w:r>
      <w:r>
        <w:rPr>
          <w:rFonts w:hint="eastAsia" w:ascii="宋体" w:hAnsi="宋体" w:cs="宋体"/>
          <w:sz w:val="24"/>
          <w:szCs w:val="24"/>
          <w:lang w:bidi="ar"/>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1、在基于网络安全要求和国产化建设标准的基础上，完成数智一体化平台的深度改造，对平台涉及的数据库、相关服务、组件、服务器等进行全面的国产化适配，实现平台全生命周期的自主可控与安全合规；</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深化平台统一待办消息中心建设，通过智能分类与高效处理机制，满足全院员工在处理采购、费用报销、科研、资产、人力资源、工会管理及各类公共办公业务时，实现基于统一入口即可精准查看展示已办事项、待办事项及风险预警情况；</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3、升级平台的整体功能布局与业务流程，优化收发管理、证书处理、样机业务等精细化作业环节，提升全院在各类核心业务场景下的协同办公体验与精细化管理水平。</w:t>
      </w:r>
      <w:r>
        <w:rPr>
          <w:rFonts w:hint="eastAsia" w:ascii="宋体" w:hAnsi="宋体" w:cs="宋体"/>
          <w:sz w:val="24"/>
          <w:szCs w:val="24"/>
        </w:rPr>
      </w:r>
      <w:r/>
    </w:p>
    <w:p>
      <w:pPr>
        <w:pStyle w:val="926"/>
        <w:spacing w:line="360" w:lineRule="auto"/>
      </w:pPr>
      <w:r/>
      <w:r/>
    </w:p>
    <w:p>
      <w:pPr>
        <w:pStyle w:val="927"/>
        <w:jc w:val="both"/>
        <w:keepLines/>
        <w:keepNext w:val="0"/>
        <w:spacing w:line="360" w:lineRule="auto"/>
        <w:rPr>
          <w:rFonts w:hint="eastAsia" w:ascii="宋体" w:hAnsi="宋体" w:eastAsia="宋体" w:cs="宋体"/>
        </w:rPr>
      </w:pPr>
      <w:r>
        <w:rPr>
          <w:rFonts w:hint="eastAsia" w:ascii="宋体" w:hAnsi="宋体" w:eastAsia="宋体" w:cs="宋体"/>
        </w:rPr>
        <w:t xml:space="preserve">四、技术要求</w:t>
      </w:r>
      <w:r>
        <w:rPr>
          <w:rFonts w:hint="eastAsia" w:ascii="宋体" w:hAnsi="宋体" w:eastAsia="宋体" w:cs="宋体"/>
        </w:rPr>
      </w:r>
      <w:r/>
    </w:p>
    <w:p>
      <w:pPr>
        <w:pStyle w:val="926"/>
        <w:spacing w:line="0" w:lineRule="atLeast"/>
        <w:rPr>
          <w:rFonts w:hint="eastAsia" w:ascii="宋体" w:hAnsi="宋体"/>
          <w:b/>
          <w:i/>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hint="eastAsia" w:ascii="宋体" w:hAnsi="宋体"/>
          <w:b/>
          <w:i/>
          <w:color w:val="000000"/>
          <w:sz w:val="32"/>
          <w:szCs w:val="32"/>
          <w:u w:val="single"/>
        </w:rPr>
      </w:r>
      <w:r/>
    </w:p>
    <w:p>
      <w:pPr>
        <w:pStyle w:val="926"/>
        <w:ind w:firstLine="482"/>
        <w:spacing w:line="360" w:lineRule="auto"/>
        <w:rPr>
          <w:rFonts w:hint="eastAsia" w:ascii="宋体" w:hAnsi="宋体" w:cs="宋体"/>
          <w:b/>
          <w:i/>
          <w:iCs/>
          <w:sz w:val="24"/>
          <w:szCs w:val="24"/>
          <w:u w:val="single"/>
          <w:lang w:bidi="ar"/>
        </w:rPr>
      </w:pPr>
      <w:r>
        <w:rPr>
          <w:rFonts w:hint="eastAsia" w:ascii="宋体" w:hAnsi="宋体" w:cs="宋体"/>
          <w:b/>
          <w:i/>
          <w:iCs/>
          <w:sz w:val="24"/>
          <w:szCs w:val="24"/>
          <w:u w:val="single"/>
          <w:lang w:bidi="ar"/>
        </w:rPr>
      </w:r>
      <w:r/>
    </w:p>
    <w:p>
      <w:pPr>
        <w:pStyle w:val="928"/>
        <w:numPr>
          <w:ilvl w:val="0"/>
          <w:numId w:val="5"/>
        </w:numPr>
        <w:ind w:firstLine="0"/>
        <w:jc w:val="left"/>
        <w:keepNext w:val="0"/>
        <w:spacing w:before="0"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总体要求</w:t>
      </w:r>
      <w:r>
        <w:rPr>
          <w:rFonts w:hint="eastAsia" w:ascii="宋体" w:hAnsi="宋体" w:eastAsia="宋体" w:cs="宋体"/>
          <w:sz w:val="24"/>
          <w:szCs w:val="24"/>
        </w:rPr>
      </w:r>
      <w:r/>
    </w:p>
    <w:p>
      <w:pPr>
        <w:pStyle w:val="926"/>
        <w:ind w:firstLine="482"/>
        <w:spacing w:line="360" w:lineRule="auto"/>
        <w:rPr>
          <w:rFonts w:hint="eastAsia" w:ascii="宋体" w:hAnsi="宋体" w:cs="宋体"/>
          <w:b/>
          <w:sz w:val="24"/>
          <w:szCs w:val="24"/>
        </w:rPr>
      </w:pPr>
      <w:r>
        <w:rPr>
          <w:rFonts w:hint="eastAsia" w:ascii="宋体" w:hAnsi="宋体" w:cs="宋体"/>
          <w:b/>
          <w:sz w:val="24"/>
          <w:szCs w:val="24"/>
          <w:lang w:bidi="ar"/>
        </w:rPr>
        <w:t xml:space="preserve">1.性能和技术设计</w:t>
      </w:r>
      <w:r>
        <w:rPr>
          <w:rFonts w:hint="eastAsia" w:ascii="宋体" w:hAnsi="宋体" w:cs="宋体"/>
          <w:b/>
          <w:sz w:val="24"/>
          <w:szCs w:val="24"/>
        </w:rPr>
      </w:r>
      <w:r/>
    </w:p>
    <w:p>
      <w:pPr>
        <w:pStyle w:val="926"/>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需要结合项目特点，提供性能和技术方案，至少包括性能要求设计、软件技术要求设计方案。投标人结合项目特点，提供性能和技术方案，至少包括性能要求设计、软件技术要求设计等。</w:t>
      </w:r>
      <w:r>
        <w:rPr>
          <w:rFonts w:hint="eastAsia" w:ascii="宋体" w:hAnsi="宋体" w:cs="宋体"/>
          <w:bCs/>
          <w:sz w:val="24"/>
          <w:szCs w:val="24"/>
        </w:rPr>
      </w:r>
      <w:r/>
    </w:p>
    <w:p>
      <w:pPr>
        <w:pStyle w:val="926"/>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（1）性能需求</w:t>
      </w:r>
      <w:r>
        <w:rPr>
          <w:rFonts w:hint="eastAsia" w:ascii="宋体" w:hAnsi="宋体" w:cs="宋体"/>
          <w:bCs/>
          <w:sz w:val="24"/>
          <w:szCs w:val="24"/>
        </w:rPr>
      </w:r>
      <w:r/>
    </w:p>
    <w:p>
      <w:pPr>
        <w:pStyle w:val="926"/>
        <w:ind w:firstLine="482"/>
        <w:spacing w:line="360" w:lineRule="auto"/>
        <w:rPr>
          <w:rFonts w:hint="eastAsia" w:ascii="宋体" w:hAnsi="宋体" w:cs="宋体"/>
          <w:b/>
          <w:i/>
          <w:iCs/>
          <w:sz w:val="24"/>
          <w:szCs w:val="24"/>
          <w:u w:val="single"/>
        </w:rPr>
      </w:pPr>
      <w:r>
        <w:rPr>
          <w:rFonts w:hint="eastAsia" w:ascii="宋体" w:hAnsi="宋体" w:cs="宋体"/>
          <w:b/>
          <w:i/>
          <w:iCs/>
          <w:sz w:val="24"/>
          <w:szCs w:val="24"/>
          <w:u w:val="single"/>
          <w:lang w:bidi="ar"/>
        </w:rPr>
        <w:t xml:space="preserve">应用系统应满足用户的要求，系统并发数不小于100个，单一页面显示数据记录前台响应时间应≤5秒。</w:t>
      </w:r>
      <w:r>
        <w:rPr>
          <w:rFonts w:hint="eastAsia" w:ascii="宋体" w:hAnsi="宋体" w:cs="宋体"/>
          <w:b/>
          <w:i/>
          <w:iCs/>
          <w:sz w:val="24"/>
          <w:szCs w:val="24"/>
          <w:u w:val="single"/>
        </w:rPr>
      </w:r>
      <w:r/>
    </w:p>
    <w:p>
      <w:pPr>
        <w:pStyle w:val="926"/>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（2）稳定性需求</w:t>
      </w:r>
      <w:r>
        <w:rPr>
          <w:rFonts w:hint="eastAsia" w:ascii="宋体" w:hAnsi="宋体" w:cs="宋体"/>
          <w:bCs/>
          <w:sz w:val="24"/>
          <w:szCs w:val="24"/>
        </w:rPr>
      </w:r>
      <w:r/>
    </w:p>
    <w:p>
      <w:pPr>
        <w:pStyle w:val="926"/>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系统提供7×24小时的连续运行，系统平均故障修复时间（MTTR）&lt;＝60分钟，不可抗拒的因素除外。系统资源占用率（CPU占用率和内存使用率）不应超过70%。</w:t>
      </w:r>
      <w:r>
        <w:rPr>
          <w:rFonts w:hint="eastAsia" w:ascii="宋体" w:hAnsi="宋体" w:cs="宋体"/>
          <w:bCs/>
          <w:sz w:val="24"/>
          <w:szCs w:val="24"/>
        </w:rPr>
      </w:r>
      <w:r/>
    </w:p>
    <w:p>
      <w:pPr>
        <w:pStyle w:val="926"/>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（3）扩展性需求</w:t>
      </w:r>
      <w:r>
        <w:rPr>
          <w:rFonts w:hint="eastAsia" w:ascii="宋体" w:hAnsi="宋体" w:cs="宋体"/>
          <w:bCs/>
          <w:sz w:val="24"/>
          <w:szCs w:val="24"/>
        </w:rPr>
      </w:r>
      <w:r/>
    </w:p>
    <w:p>
      <w:pPr>
        <w:pStyle w:val="926"/>
        <w:ind w:firstLine="480"/>
        <w:spacing w:line="360" w:lineRule="auto"/>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系统应采用高内聚、低耦合的模块化架构设计。模块间通信须遵循标准化的接口协议（如 RESTful API 或 gRPC），并提供完整的 OpenAPI/Swagger 接口文档。模块内部逻辑变更不得影响外部接口契约，接口变更须遵循向后兼容原则，并提供版本控制策略。</w:t>
      </w:r>
      <w:r>
        <w:rPr>
          <w:rFonts w:hint="eastAsia" w:ascii="宋体" w:hAnsi="宋体" w:cs="宋体"/>
          <w:bCs/>
          <w:color w:val="000000"/>
          <w:sz w:val="24"/>
          <w:szCs w:val="24"/>
          <w:lang w:bidi="ar"/>
        </w:rPr>
      </w:r>
      <w:r/>
    </w:p>
    <w:p>
      <w:pPr>
        <w:pStyle w:val="926"/>
        <w:ind w:firstLine="480"/>
        <w:spacing w:line="360" w:lineRule="auto"/>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系统升级须保证向前兼容，支持历史数据平滑迁移。迁移过程须提供自动化数据校验工具，确保核心业务数据迁移准确率达到 100%。系统须具备不可篡改的数据审计与追溯机制，所有关键业务操作日志留存时间不少于</w:t>
      </w:r>
      <w:r>
        <w:rPr>
          <w:rFonts w:ascii="宋体" w:hAnsi="宋体" w:cs="宋体"/>
          <w:bCs/>
          <w:color w:val="000000"/>
          <w:sz w:val="24"/>
          <w:szCs w:val="24"/>
          <w:lang w:bidi="ar"/>
        </w:rPr>
        <w:t xml:space="preserve">3</w:t>
      </w:r>
      <w:r>
        <w:rPr>
          <w:rFonts w:hint="eastAsia" w:ascii="宋体" w:hAnsi="宋体" w:cs="宋体"/>
          <w:bCs/>
          <w:color w:val="000000"/>
          <w:sz w:val="24"/>
          <w:szCs w:val="24"/>
          <w:lang w:bidi="ar"/>
        </w:rPr>
        <w:t xml:space="preserve">年，并支持按时间、操作人等维度的全链路追溯查询。</w:t>
      </w:r>
      <w:r>
        <w:rPr>
          <w:rFonts w:hint="eastAsia" w:ascii="宋体" w:hAnsi="宋体" w:cs="宋体"/>
          <w:bCs/>
          <w:color w:val="000000"/>
          <w:sz w:val="24"/>
          <w:szCs w:val="24"/>
          <w:lang w:bidi="ar"/>
        </w:rPr>
      </w:r>
      <w:r/>
    </w:p>
    <w:p>
      <w:pPr>
        <w:pStyle w:val="926"/>
        <w:ind w:firstLine="482"/>
        <w:spacing w:line="360" w:lineRule="auto"/>
        <w:rPr>
          <w:rFonts w:hint="eastAsia" w:ascii="宋体" w:hAnsi="宋体" w:cs="宋体"/>
          <w:b/>
          <w:sz w:val="24"/>
          <w:szCs w:val="24"/>
        </w:rPr>
      </w:pPr>
      <w:r>
        <w:rPr>
          <w:rFonts w:hint="eastAsia" w:ascii="宋体" w:hAnsi="宋体" w:cs="宋体"/>
          <w:b/>
          <w:sz w:val="24"/>
          <w:szCs w:val="24"/>
          <w:lang w:bidi="ar"/>
        </w:rPr>
        <w:t xml:space="preserve">2.安全设计</w:t>
      </w:r>
      <w:r>
        <w:rPr>
          <w:rFonts w:hint="eastAsia" w:ascii="宋体" w:hAnsi="宋体" w:cs="宋体"/>
          <w:b/>
          <w:sz w:val="24"/>
          <w:szCs w:val="24"/>
        </w:rPr>
      </w:r>
      <w:r/>
    </w:p>
    <w:p>
      <w:pPr>
        <w:pStyle w:val="926"/>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需要结合项目特点，提供全面科学的安全性设计，至少包含关键性技术，安全应对措施的合理性、可行性说明。</w:t>
      </w:r>
      <w:r>
        <w:rPr>
          <w:rFonts w:hint="eastAsia" w:ascii="宋体" w:hAnsi="宋体" w:cs="宋体"/>
          <w:bCs/>
          <w:sz w:val="24"/>
          <w:szCs w:val="24"/>
        </w:rPr>
      </w:r>
      <w:r/>
    </w:p>
    <w:p>
      <w:pPr>
        <w:pStyle w:val="926"/>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需具备一套成熟、规范的信息安全管理体系，能充分保障系统的稳定、安全的运行，至少满足以下三个方面的要求。</w:t>
      </w:r>
      <w:r>
        <w:rPr>
          <w:rFonts w:hint="eastAsia" w:ascii="宋体" w:hAnsi="宋体" w:cs="宋体"/>
          <w:bCs/>
          <w:sz w:val="24"/>
          <w:szCs w:val="24"/>
        </w:rPr>
      </w:r>
      <w:r/>
    </w:p>
    <w:p>
      <w:pPr>
        <w:pStyle w:val="926"/>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系统级安全：制定和实施系统级安全策略，包括系统高可用性策略和数据库备份策略，满足信息安全等级保护要求。</w:t>
      </w:r>
      <w:r>
        <w:rPr>
          <w:rFonts w:hint="eastAsia" w:ascii="宋体" w:hAnsi="宋体" w:cs="宋体"/>
          <w:bCs/>
          <w:sz w:val="24"/>
          <w:szCs w:val="24"/>
        </w:rPr>
      </w:r>
      <w:r/>
    </w:p>
    <w:p>
      <w:pPr>
        <w:pStyle w:val="926"/>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应用级安全：制定和实施应用级安全防护策略，包括身份认证策略、访问权限策略、数据授权策略等。</w:t>
      </w:r>
      <w:r>
        <w:rPr>
          <w:rFonts w:hint="eastAsia" w:ascii="宋体" w:hAnsi="宋体" w:cs="宋体"/>
          <w:bCs/>
          <w:sz w:val="24"/>
          <w:szCs w:val="24"/>
        </w:rPr>
      </w:r>
      <w:r/>
    </w:p>
    <w:p>
      <w:pPr>
        <w:pStyle w:val="92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bidi="ar"/>
        </w:rPr>
        <w:t xml:space="preserve">数据安全：数据在存储或传输过程中应做加密处理；加密算法能抵抗暴力破解；系统数据存储与传输过程必须采用国家密码管理局批准的国密算法。其中，身份认证、密钥交换及数字签名环节须采用 SM2 非对称加密算法；敏感数据存储及通信数据流批量加密须采用 SM4 对称加密算法；数据完整性校验及消息摘要须采用 SM3 密码杂凑算法。</w:t>
      </w:r>
      <w:r>
        <w:rPr>
          <w:rFonts w:hint="eastAsia" w:ascii="宋体" w:hAnsi="宋体" w:cs="宋体"/>
          <w:bCs/>
          <w:color w:val="000000"/>
          <w:sz w:val="24"/>
          <w:szCs w:val="24"/>
        </w:rPr>
      </w:r>
      <w:r/>
    </w:p>
    <w:p>
      <w:pPr>
        <w:pStyle w:val="926"/>
        <w:ind w:firstLine="482"/>
        <w:spacing w:line="400" w:lineRule="exact"/>
        <w:tabs>
          <w:tab w:val="left" w:pos="900" w:leader="none"/>
        </w:tabs>
        <w:rPr>
          <w:rFonts w:hint="eastAsia" w:ascii="宋体" w:hAnsi="宋体" w:cs="宋体"/>
          <w:b/>
          <w:i/>
          <w:iCs/>
          <w:sz w:val="24"/>
          <w:szCs w:val="24"/>
          <w:u w:val="single"/>
        </w:rPr>
      </w:pPr>
      <w:r>
        <w:rPr>
          <w:rFonts w:hint="eastAsia" w:ascii="宋体" w:hAnsi="宋体" w:cs="宋体"/>
          <w:b/>
          <w:i/>
          <w:iCs/>
          <w:sz w:val="24"/>
          <w:szCs w:val="24"/>
          <w:u w:val="single"/>
          <w:lang w:bidi="ar"/>
        </w:rPr>
        <w:t xml:space="preserve">磋商供应商承诺符合国家网络安全法律法规要求，严格落实省委网信办、省数据局等相关网络安全要求，按照采购人网络安全工作要求，完成国产化改造的系统符合二级等保要求，并通过采购人委托的第三方检测机构的测评。</w:t>
      </w:r>
      <w:r>
        <w:rPr>
          <w:rFonts w:hint="eastAsia" w:ascii="宋体" w:hAnsi="宋体" w:cs="宋体"/>
          <w:b/>
          <w:i/>
          <w:iCs/>
          <w:sz w:val="24"/>
          <w:szCs w:val="24"/>
          <w:u w:val="single"/>
        </w:rPr>
      </w:r>
      <w:r/>
    </w:p>
    <w:p>
      <w:pPr>
        <w:pStyle w:val="928"/>
        <w:numPr>
          <w:ilvl w:val="0"/>
          <w:numId w:val="5"/>
        </w:numPr>
        <w:ind w:firstLine="0"/>
        <w:jc w:val="left"/>
        <w:keepNext w:val="0"/>
        <w:spacing w:before="0"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技术功能参数</w:t>
      </w:r>
      <w:r>
        <w:rPr>
          <w:rFonts w:hint="eastAsia" w:ascii="宋体" w:hAnsi="宋体" w:eastAsia="宋体" w:cs="宋体"/>
          <w:sz w:val="24"/>
          <w:szCs w:val="24"/>
        </w:rPr>
      </w:r>
      <w:r/>
    </w:p>
    <w:p>
      <w:pPr>
        <w:pStyle w:val="926"/>
        <w:ind w:firstLine="482"/>
        <w:spacing w:line="360" w:lineRule="auto"/>
        <w:rPr>
          <w:rFonts w:hint="eastAsia" w:ascii="宋体" w:hAnsi="宋体" w:cs="宋体"/>
          <w:bCs/>
          <w:sz w:val="24"/>
          <w:szCs w:val="24"/>
        </w:rPr>
      </w:pPr>
      <w:r>
        <w:rPr>
          <w:rFonts w:hint="eastAsia" w:ascii="宋体" w:hAnsi="宋体" w:cs="宋体"/>
          <w:bCs/>
          <w:sz w:val="24"/>
          <w:szCs w:val="24"/>
          <w:lang w:bidi="ar"/>
        </w:rPr>
        <w:t xml:space="preserve">所有“服务内容及技术要求”须在《技术（服务）条款响应及偏离表》中逐一明确是否响应或偏离。</w:t>
      </w:r>
      <w:r>
        <w:rPr>
          <w:rFonts w:hint="eastAsia" w:ascii="宋体" w:hAnsi="宋体" w:cs="宋体"/>
          <w:bCs/>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lang w:bidi="ar"/>
        </w:rPr>
        <w:t xml:space="preserve">数智一体化平台及相关移动端国产化适配改造：基于国产化的服务器、数据库、中间件等环境下，数智一体化平台自有应用模块的布局、管理、展示的应用的适配改造，</w:t>
      </w:r>
      <w:r>
        <w:rPr>
          <w:rFonts w:ascii="宋体" w:hAnsi="宋体" w:cs="宋体"/>
          <w:sz w:val="24"/>
          <w:szCs w:val="24"/>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（1）数智一体化平台国产化适配改造</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收发管理模块适配改造，根据提供的业务需求说明书、功能清单、接口文档完成原系统该模块所有功能改造，支持满足国产化环境下的部署应用，重点功能包含：委托单录入、国家强检、收费确认、证书/报告抽查任务、不符合的证书/报告等。</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▲1)委托单录入</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委托单录入页面为收发室前台人员收器具时的操作页面，因器具较多，该页面操作较为频繁，故该页面需操作方便简捷，尽可能减少窗口切换等耗时操作，协议客户自动关联报价合同，实现器具的批量修改、条码打印、外送器具选择、库位号选择等功能。</w:t>
      </w:r>
      <w:r>
        <w:rPr>
          <w:rFonts w:hint="eastAsia" w:ascii="宋体" w:hAnsi="宋体" w:cs="宋体"/>
          <w:sz w:val="24"/>
          <w:szCs w:val="24"/>
        </w:rPr>
      </w:r>
      <w:r/>
    </w:p>
    <w:p>
      <w:pPr>
        <w:pStyle w:val="926"/>
        <w:numPr>
          <w:ilvl w:val="0"/>
          <w:numId w:val="7"/>
        </w:numPr>
        <w:ind w:firstLine="480"/>
        <w:spacing w:line="360" w:lineRule="auto"/>
        <w:tabs>
          <w:tab w:val="left" w:pos="312" w:leader="none"/>
        </w:tabs>
        <w:rPr>
          <w:rFonts w:hint="eastAsia" w:ascii="宋体" w:hAnsi="宋体" w:cs="宋体"/>
          <w:sz w:val="24"/>
          <w:szCs w:val="24"/>
        </w:rPr>
      </w:pPr>
      <w:r>
        <w:rPr>
          <w:rFonts w:hint="eastAsia" w:ascii="宋体" w:hAnsi="宋体" w:cs="宋体"/>
          <w:sz w:val="24"/>
          <w:szCs w:val="24"/>
          <w:lang w:bidi="ar"/>
        </w:rPr>
        <w:t xml:space="preserve">国家强检</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对接国家强检平台，根据强检预约单号实现预约受理、支持一键生成委托单，证书完工后自动关联强检器具实现自动上传。</w:t>
      </w:r>
      <w:r>
        <w:rPr>
          <w:rFonts w:hint="eastAsia" w:ascii="宋体" w:hAnsi="宋体" w:cs="宋体"/>
          <w:sz w:val="24"/>
          <w:szCs w:val="24"/>
        </w:rPr>
      </w:r>
      <w:r/>
    </w:p>
    <w:p>
      <w:pPr>
        <w:pStyle w:val="926"/>
        <w:numPr>
          <w:ilvl w:val="0"/>
          <w:numId w:val="7"/>
        </w:numPr>
        <w:ind w:firstLine="480"/>
        <w:spacing w:line="360" w:lineRule="auto"/>
        <w:tabs>
          <w:tab w:val="left" w:pos="312" w:leader="none"/>
        </w:tabs>
        <w:rPr>
          <w:rFonts w:hint="eastAsia" w:ascii="宋体" w:hAnsi="宋体" w:cs="宋体"/>
          <w:sz w:val="24"/>
          <w:szCs w:val="24"/>
        </w:rPr>
      </w:pPr>
      <w:r>
        <w:rPr>
          <w:rFonts w:hint="eastAsia" w:ascii="宋体" w:hAnsi="宋体" w:cs="宋体"/>
          <w:sz w:val="24"/>
          <w:szCs w:val="24"/>
          <w:lang w:bidi="ar"/>
        </w:rPr>
        <w:t xml:space="preserve">收费确认</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收费人员根据委托单录入的费用信息，纳入收费后进行收费确认，录入开票单位、票本号、发票类型、回款日期、单位性质、付款方式等信息后完成收费操作。</w:t>
      </w:r>
      <w:r>
        <w:rPr>
          <w:rFonts w:hint="eastAsia" w:ascii="宋体" w:hAnsi="宋体" w:cs="宋体"/>
          <w:sz w:val="24"/>
          <w:szCs w:val="24"/>
        </w:rPr>
      </w:r>
      <w:r/>
    </w:p>
    <w:p>
      <w:pPr>
        <w:pStyle w:val="926"/>
        <w:numPr>
          <w:ilvl w:val="0"/>
          <w:numId w:val="7"/>
        </w:numPr>
        <w:ind w:firstLine="480"/>
        <w:spacing w:line="360" w:lineRule="auto"/>
        <w:tabs>
          <w:tab w:val="left" w:pos="312" w:leader="none"/>
        </w:tabs>
        <w:rPr>
          <w:rFonts w:hint="eastAsia" w:ascii="宋体" w:hAnsi="宋体" w:cs="宋体"/>
          <w:sz w:val="24"/>
          <w:szCs w:val="24"/>
        </w:rPr>
      </w:pPr>
      <w:r>
        <w:rPr>
          <w:rFonts w:hint="eastAsia" w:ascii="宋体" w:hAnsi="宋体" w:cs="宋体"/>
          <w:sz w:val="24"/>
          <w:szCs w:val="24"/>
          <w:lang w:bidi="ar"/>
        </w:rPr>
        <w:t xml:space="preserve">证书/报告抽查任务</w:t>
      </w:r>
      <w:r>
        <w:rPr>
          <w:rFonts w:hint="eastAsia" w:ascii="宋体" w:hAnsi="宋体" w:cs="宋体"/>
          <w:sz w:val="24"/>
          <w:szCs w:val="24"/>
        </w:rPr>
      </w:r>
      <w:r/>
    </w:p>
    <w:p>
      <w:pPr>
        <w:pStyle w:val="926"/>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实现证书报告与原始记录的线上检查。核心功能包括：按批次导入证书/报告抽查目录，含批次号、大单号、唯一性号、证书号报告号、证书类型/报告类型、仪器名称和技术依据号等，并为检查人分配待办任务；支持证书与原始记录的在线预览，以便逐条比对；提供在线批注工具，检查人可标记是否存在缺陷，对有缺陷的证书/报告需填写差错描述、缺陷记录并上传问题截图</w:t>
      </w:r>
      <w:r>
        <w:rPr>
          <w:rFonts w:ascii="Segoe UI" w:hAnsi="Segoe UI" w:eastAsia="Segoe UI" w:cs="Segoe UI"/>
          <w:color w:val="000000"/>
          <w:sz w:val="24"/>
          <w:szCs w:val="24"/>
          <w:shd w:val="clear" w:color="auto" w:fill="ffffff"/>
          <w:lang w:bidi="ar"/>
        </w:rPr>
        <w:t xml:space="preserve">；批注内容随抽查任务自动存档。</w:t>
      </w:r>
      <w:r>
        <w:rPr>
          <w:rFonts w:hint="eastAsia" w:ascii="宋体" w:hAnsi="宋体" w:cs="宋体"/>
          <w:color w:val="000000"/>
          <w:sz w:val="24"/>
          <w:szCs w:val="24"/>
          <w:lang w:bidi="ar"/>
        </w:rPr>
      </w:r>
      <w:r/>
    </w:p>
    <w:p>
      <w:pPr>
        <w:pStyle w:val="926"/>
        <w:numPr>
          <w:ilvl w:val="0"/>
          <w:numId w:val="7"/>
        </w:numPr>
        <w:ind w:firstLine="480"/>
        <w:spacing w:line="360" w:lineRule="auto"/>
        <w:tabs>
          <w:tab w:val="left" w:pos="312" w:leader="none"/>
        </w:tabs>
        <w:rPr>
          <w:rFonts w:hint="eastAsia" w:ascii="宋体" w:hAnsi="宋体" w:cs="宋体"/>
          <w:sz w:val="24"/>
          <w:szCs w:val="24"/>
        </w:rPr>
      </w:pPr>
      <w:r>
        <w:rPr>
          <w:rFonts w:hint="eastAsia" w:ascii="宋体" w:hAnsi="宋体" w:cs="宋体"/>
          <w:sz w:val="24"/>
          <w:szCs w:val="24"/>
          <w:lang w:bidi="ar"/>
        </w:rPr>
        <w:t xml:space="preserve">不符合的证书/报告</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自动筛选缺陷报告并生成差错确认表供负责人确认；支持导出确认后的PDF用于质量通报；根据任务动态开放受控文件及人员能力等查询权限，任务结束后自动关闭；系统自动记录所有证书的检查时间，便于后续质量考核。</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业务处理模块适配改造，根据提供的业务需求说明书、功能清单、接口文档完成原系统该模块所有功能改造，支持满足国产化环境下的部署应用，重点功能包含：现场检测计划、溯源证书有效性确认、收费标准测算表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▲1)现场检测计划</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实现现场检测计划从任务登记、智能排程、资质校验到移动端实时反馈的全流程闭环管理，以提升现场检测业务的规范化水平与协同执行效率。</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基本信息模块：系统支持自动生成计划单编号，提供包含周期性、临时性、急件、强检等12种计划性质的下拉选择，并默认记录当前填单人及填报时间。</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客户信息模块：支持通过单位名称进行模糊搜索，自动带出历史签约信息（如客户号、合同号等），且关键信息锁定不可修改。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客户要求及服务内容：需手动完善检测联系人、联系电话、详细地址（省市区）等信息；支持配置上门取件、送回证书、付款取件等服务选项；提供包含月结、季结、年结等多种结账方式及时间下拉选择；此外，支持选择车辆要求、合同要求及其他要求，且预约检测日期区间为必填项。提交后，系统将自动计算计划下达日期及提前天数。</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器具清单模块：支持动态添加、编辑和删除器具信息。需录入器具名称、证书单位（默认同委托单位）、检测所、检测人、检测形式、出厂编号及型号规格等字段，保存后生效。</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计划安排模块：各部门负责人负责安排同行人并指定一名现场组长；业务调度员根据预约时间安排车辆及发车时间。</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现场情况反馈：检测结束后，由现场组长根据实际情况填写下厂时间及现场完成情况等内容。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现场检测移动终端填写</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支持现场人员在移动终端上实时填写并反馈现场检测的完成情况。</w:t>
      </w:r>
      <w:r>
        <w:rPr>
          <w:rFonts w:hint="eastAsia" w:ascii="宋体" w:hAnsi="宋体" w:cs="宋体"/>
          <w:sz w:val="24"/>
          <w:szCs w:val="24"/>
        </w:rPr>
      </w:r>
      <w:r/>
    </w:p>
    <w:p>
      <w:pPr>
        <w:pStyle w:val="926"/>
        <w:ind w:left="480"/>
        <w:spacing w:line="360" w:lineRule="auto"/>
        <w:rPr>
          <w:rFonts w:hint="eastAsia" w:ascii="宋体" w:hAnsi="宋体" w:cs="宋体"/>
          <w:sz w:val="24"/>
          <w:szCs w:val="24"/>
        </w:rPr>
      </w:pPr>
      <w:r>
        <w:rPr>
          <w:rFonts w:hint="eastAsia" w:ascii="宋体" w:hAnsi="宋体" w:cs="宋体"/>
          <w:color w:val="000000"/>
          <w:sz w:val="24"/>
          <w:szCs w:val="24"/>
          <w:lang w:bidi="ar"/>
        </w:rPr>
        <w:t xml:space="preserve">▲2</w:t>
      </w:r>
      <w:r>
        <w:rPr>
          <w:rFonts w:hint="eastAsia" w:ascii="宋体" w:hAnsi="宋体" w:cs="宋体"/>
          <w:sz w:val="24"/>
          <w:szCs w:val="24"/>
          <w:lang w:bidi="ar"/>
        </w:rPr>
        <w:t xml:space="preserve">)溯源证书有效性确认</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部门仪器设备管理员点击已完工的证书，系统自动筛选出已完工的自检证书，选择对应的证书后发起证书有效性确认，外检和自检证书都需要在业务系统中进行证书确认，并可打印证书确认表。</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▲3)收费标准测算表</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根据计量检定收费标准测算方法，实现从测算申请、多级审批到标准入库的全流程线上化管理。</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测算表单管理：提供标准化的测算表填报界面。检定员需手工录入仪器名称、测量范围、准确度等级、收费单位等基础信息，并添加对应的检测项目。</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检测项目管理：检定员需填写检测项目相关的测算信息（包括恒温与非恒温时间、人数、处理时间及原材料费等），</w:t>
      </w:r>
      <w:r>
        <w:rPr>
          <w:rFonts w:hint="eastAsia" w:ascii="宋体" w:hAnsi="宋体" w:cs="宋体"/>
          <w:color w:val="000000"/>
          <w:sz w:val="24"/>
          <w:szCs w:val="24"/>
          <w:lang w:bidi="ar"/>
        </w:rPr>
        <w:t xml:space="preserve">系统设计对应的计算规则</w:t>
      </w:r>
      <w:r>
        <w:rPr>
          <w:rFonts w:hint="eastAsia" w:ascii="宋体" w:hAnsi="宋体" w:cs="宋体"/>
          <w:sz w:val="24"/>
          <w:szCs w:val="24"/>
          <w:lang w:bidi="ar"/>
        </w:rPr>
        <w:t xml:space="preserve">，自动测算并生成测试价格。</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基础数据联动：实现检测项目与“房型信息”及“设备信息”的关联。当检定员选择对应的房间和设备后，系统应自动带出相应的房间面积（恒温/非恒温/办公面积）及设备资产信息，确保数据的精准匹配。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多级审批工作流：配置标准化的线上审批流程，具体节点依次为：检定员发起申请 → 部门审批 → 价格管理审核 → 业务部审批 → 申请人确认。</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证书处理模块适配改造，根据提供的业务需求说明书、功能清单、接口文档完成原系统该模块所有功能改造，支持满足国产化环境下的部署应用，重点功能包含：证书录入、证书核验、证书批准等功能。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▲1)证书录入</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实现器具检测后的证书与原始记录数字化管理。检测人员通过系统录入原始记录与证书信息，支持电子原始记录数据一键同步至证书结果页，录入范围涵盖原始记录、证书首页、结果页、费用、技术依据、标准器具及标准装置等关联信息，提交核验前可以进行证书预览来检查证书是否完整。</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2)证书核验</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证书录入结束后需提交核验人进行核验，证书必须由本检测室的其他人员核验。</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3)证书批准</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证书核验后需经过批准人批准，只有具有签字权限的人才能批准证书。</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样机业务模块适配改造，根据提供的业务需求说明书、功能清单、接口文档完成原系统该模块所有功能改造，支持满足国产化环境下的部署应用，重点功能包含：报告录入、检验配时、型评任务等功能。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1)报告录入</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检验员勾选一条样机信息，选择对应报告模板后，录入报告结果信息，录入完成后系统自动生成检验报告预览功能。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2)检验配时</w:t>
      </w:r>
      <w:r>
        <w:rPr>
          <w:rFonts w:hint="eastAsia" w:ascii="宋体" w:hAnsi="宋体" w:cs="宋体"/>
          <w:sz w:val="24"/>
          <w:szCs w:val="24"/>
        </w:rPr>
      </w:r>
      <w:r/>
    </w:p>
    <w:p>
      <w:pPr>
        <w:pStyle w:val="926"/>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bidi="ar"/>
        </w:rPr>
        <w:t xml:space="preserve">资料审核结束后，主检人需确定样机包括哪些检测项目，并对检测项目进行配时。检测项目一般包括如下几种：常规项目检测、环境测试、电池兼容测试、安全性能测试、最后常规项目检测。不同的项目需由不同的检测人员完成。配时即确定存在哪些检测项目、各检测项目的先后顺序、检测人人、检测完成时限等。如果不涉及，则在资料审核时可以直接进入报告录入。可以选择科室以及具体测试人员，可以查看检验进程。</w:t>
      </w:r>
      <w:r>
        <w:rPr>
          <w:rFonts w:hint="eastAsia" w:ascii="宋体" w:hAnsi="宋体" w:cs="宋体"/>
          <w:color w:val="000000"/>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3)型评任务</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根据委托单函号、委托机构、委托时间等查询型评资料审批信息，所长可对资料进行审核、退回和派工，支持查询和导出。</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样机流程模块适配改造，根据提供的业务需求说明书、功能清单、接口文档完成原系统该模块所有功能改造，支持满足国产化环境下的部署应用，重点功能包含：样机明细、客户取件、报告返回修改等功能。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1)样机明细</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根据大单号、样机名称等查询条件，查询人可得到符合条件的样机信息。</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双击列表中的某一行，可以得到样机流转的详细信息。</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2)客户取件</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客户取件（取样机、取报告、取资料分开），记录取件人姓名、取件时间和操作人。</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3)报告返回修改</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修改已出具的报告，分三类：报告已在客户手中、报告在本院、报告未打印。</w:t>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质量管理模块适配改造，根据提供的业务需求说明书、功能清单、接口文档完成原系统该模块所有功能改造，支持满足国产化环境下的部署应用，重点功能包含：文件审批表、纠正措施/改进项目实施审批、管理评审计划审批等功能。</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1)文件审批表</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用户发起文件审批流程，支持流程新建、提交、撤回、退回等功能，可根据“文件类别、项目类型、项目名称、项目号、装置受控号、实施日期”查询文件审批流程信息，并进行信息维护。</w:t>
      </w:r>
      <w:r>
        <w:rPr>
          <w:rFonts w:hint="eastAsia" w:ascii="宋体" w:hAnsi="宋体" w:cs="宋体"/>
          <w:sz w:val="24"/>
          <w:szCs w:val="24"/>
        </w:rPr>
      </w:r>
      <w:r/>
    </w:p>
    <w:p>
      <w:pPr>
        <w:pStyle w:val="989"/>
        <w:ind w:firstLine="480"/>
        <w:jc w:val="both"/>
        <w:spacing w:before="0" w:beforeAutospacing="0" w:after="0" w:afterAutospacing="0"/>
      </w:pPr>
      <w:r>
        <w:rPr>
          <w:rFonts w:hint="eastAsia"/>
          <w:color w:val="000000"/>
          <w:lang w:bidi="ar"/>
        </w:rPr>
        <w:t xml:space="preserve">▲</w:t>
      </w:r>
      <w:r>
        <w:rPr>
          <w:rFonts w:hint="eastAsia"/>
          <w:lang w:bidi="ar"/>
        </w:rPr>
        <w:t xml:space="preserve">2)纠正措施/改进项目实施审批</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用户发起纠正措施审批流程，支持流程新建、提交、撤回、退回等功能，实现自动编号，责任部门完成原因分析、制定改进措施后，经质量负责人批准后实施，责任部门在流程中提交完成情况，直至有效性验证完成、归档。</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3)管理评审计划审批</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用户发起管理评审计划审批流程，支持流程新建、提交、撤回、退回等功能，维护管理评审计划审批流程信息，用户可根据“评审人员、评审日期”查询管理评审计划审批流程信息。</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设备管理模块适配改造，根据提供的业务需求说明书、功能清单、接口文档完成原系统该模块所有功能改造，支持满足国产化环境下的部署应用，重点功能包含：设备购置申请、设备维修申请、设备验收报告等功能</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▲1)设备购置申请</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用户发起设备购置申请流程，支持流程新建、提交、撤回、退回等功能，可根据“仪器设备名称、送检单位、购置用途、所属项目名称、购置类别、申请时间”查询设备购置申请流程信息，并进行信息维护。</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购置时需要填写设备名称、申购价格、采购方式、购置用途等基本信息，需求指标需要满足三家单位比选，比选内容包括设备名称、价格、生产厂商、供货商、型号规格、测量范围、报价等。</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2)设备维修申请</w:t>
      </w:r>
      <w:r/>
    </w:p>
    <w:p>
      <w:pPr>
        <w:pStyle w:val="926"/>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用户发起设备维修申请流程，支持流程新建、提交、撤回、退回等功能，可根据“仪器设备名称、设备所用项目、型号规格、准确度/不确定度、是否需要院长审批”查询设备维修申请信息，并进行信息维护。</w:t>
      </w:r>
      <w:r>
        <w:rPr>
          <w:rFonts w:hint="eastAsia" w:ascii="宋体" w:hAnsi="宋体" w:cs="宋体"/>
          <w:color w:val="000000"/>
          <w:sz w:val="24"/>
          <w:szCs w:val="24"/>
          <w:lang w:bidi="ar"/>
        </w:rPr>
      </w:r>
      <w:r/>
    </w:p>
    <w:p>
      <w:pPr>
        <w:pStyle w:val="926"/>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维修申请需要填写设备名称、设备所用项目、型号规格、准确度/ 不确定度、测量范围、国别/生产厂、出厂编号、自编号、购置日期、购置金额(元)、首次发现故障时间、维修报价、故障原因分析以及维修方式等信息；审批流程根据“是否需要院长审批”自动区分流转路径，审批记录全程留痕。</w:t>
      </w:r>
      <w:r>
        <w:rPr>
          <w:rFonts w:ascii="宋体" w:hAnsi="宋体" w:cs="宋体"/>
          <w:color w:val="000000"/>
          <w:sz w:val="24"/>
          <w:szCs w:val="24"/>
        </w:rPr>
      </w:r>
      <w:r/>
    </w:p>
    <w:p>
      <w:pPr>
        <w:pStyle w:val="989"/>
        <w:ind w:firstLine="480"/>
        <w:jc w:val="both"/>
        <w:spacing w:before="0" w:beforeAutospacing="0" w:after="0" w:afterAutospacing="0"/>
      </w:pPr>
      <w:r>
        <w:rPr>
          <w:rFonts w:hint="eastAsia"/>
          <w:lang w:bidi="ar"/>
        </w:rPr>
        <w:t xml:space="preserve">3)设备验收报告</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用户发起设备验收报告流程，支持流程新建、提交、撤回、退回等功能，可根据“验收人、部门、设备名称、项目名称、设备编号、设备类别”查询设备验收报告信息，并进行信息维护。</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项目管理模块适配改造，根据提供的业务需求说明书、功能清单、接口文档完成原系统该模块所有功能改造，支持满足国产化环境下的部署应用，重点功能包含：更新规程/规范/标准能力评审、CMA能力扩项申报、CNAS能力扩项申报等功能。</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1)更新规程/规范/标准能力评审</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用户发起更新规程/规范/标准能力评审流程，支持流程新建、提交、撤回、退回等功能，可根据“旧规程/规范/标准名称、新规程/规范/标准名称、相关检测所、项目负责人”查询更新规程/规范/标准能力评审信息，并进行信息维护。</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2)CMA能力扩项申报</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实现CMA能力扩项申报流程，填写授权类型、类别、说明等基本信息，关联仪器设备和等项目流程信息，支持查询、新增、编辑和导出功能。</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3)CNAS能力扩项申报</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实现CNAS能力扩项申报流程，填写扩项类型、大类编号、测量仪器名称等基本信息，关联仪器设备和方法标准信息等，支持查询、新增、编辑和导出功能。</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文档管理模块适配改造，根据提供的业务需求说明书、功能清单、接口文档完成原系统该模块所有功能改造，支持满足国产化环境下的部署应用，重点功能包含通用文档管理等功能。</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1)通用文档管理</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建立通用文档库，支持文档的新建、发布、退回和权限设置功能，根据权限控制用户能否查看和下载。</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基础数据模块适配改造，根据提供的业务需求说明书、功能清单、接口文档完成原系统该模块所有功能改造，支持满足国产化环境下的部署应用，重点功能包含：仪器设备库、计量标准库、人员技术档案等功能。</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1)仪器设备库</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用户可根据“自编号、器具名称、维修次数、所属部门、规格型号、在用证书号、保管人、检定有效期”查询仪器设备库信息，能够直接在仪器设备库发起停用和维修申请等。</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2)计量标准库</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用户可根据“标准代码、标准名称、准确度、测量范围、证书编号”等条件查询库计量标准库信息，并进行信息维护。</w:t>
      </w:r>
      <w:r>
        <w:rPr>
          <w:rFonts w:hint="eastAsia" w:ascii="宋体" w:hAnsi="宋体" w:cs="宋体"/>
          <w:sz w:val="24"/>
          <w:szCs w:val="24"/>
        </w:rPr>
      </w:r>
      <w:r/>
    </w:p>
    <w:p>
      <w:pPr>
        <w:pStyle w:val="989"/>
        <w:ind w:firstLine="480"/>
        <w:jc w:val="both"/>
        <w:spacing w:before="0" w:beforeAutospacing="0" w:after="0" w:afterAutospacing="0"/>
      </w:pPr>
      <w:r>
        <w:rPr>
          <w:rFonts w:hint="eastAsia"/>
          <w:lang w:bidi="ar"/>
        </w:rPr>
        <w:t xml:space="preserve">3)人员技术档案</w:t>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用户可根据“工号、姓名、出生年月、所在部门、岗位名称、技术职称、身份”等多种条件查询人员资质信息，并进行信息维护，能够自动导出人员授权书信息。</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预算管理模块适配改造，根据提供的业务需求说明书、功能清单、接口文档完成原系统该模块所有功能改造，支持满足国产化环境下的部署应用，重点功能包含：预算指标配置、一上项目预算申报、一上项目预算汇总、预算调剂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1）预算指标配置</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实现配置和管理预算指标的功能，支持财务对预算指标进行调整与修改。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▲2)一上项目预算申报</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支持各职能部门在线编制一上项目预算，选择部门预算指标并填写相应金额，同时填报会议、培训、政府采购及资产购置明细表。</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申报时，系统自动展示各项目上年预算数，便于进行对比分析，并支持逐级审批流程。</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▲3)一上项目预算汇总</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系统自动汇总各部门申报数据，支持按项目和按部门两种维度查看申报汇总表，并可生成本年度与上年度之间的申报总额变动对比表、经济分类对比分析表以及部门对比分析表，所有表单均支持财务人员导出。</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财务完成一上确认后，系统自动生成二上申报表单，预算指标及金额自动带入表单。</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4)预算调剂</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支持发起预算调剂流程，对项目内部子项目之间的预算指标进行重新分配，以满足项目变化的需求或优先级，调剂过程系统留痕记录。</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预算绩效模块适配改造，根据提供的业务需求说明书、功能清单、接口文档完成原系统该模块所有功能改造，支持满足国产化环境下的部署应用，重点功能包含：一上绩效申报、一上绩效汇总、绩效监控填报、绩效自评填报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1）一上绩效申报</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支持职能部门在线填报一上项目预算绩效表，系统根据一上表单自动生成二上绩效表，填写完成后提交至财务部统一汇总。</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2）一上绩效汇总</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财务部集中汇总各项目一上预算绩效目标表，支持导出各项目绩效目标表及整体预算绩效目标表，便于集中审核与上报。</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3）绩效监控填报</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系统每半年自动发起一次预算绩效监控任务，提醒相关人员填报项目预算绩效情况表并提交财务部审核；财务部对填报内容进行审核并反馈意见，支持导出绩效监控情况表。</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4）绩效自评填报</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系统每年自动发起一次预算绩效自评任务，提醒相关人员填报绩效自评价表并提交，支持财务人员导出预算绩效自评表进行审核归档。</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采购管理模块适配改造，根据提供的业务需求说明书、功能清单、接口文档完成原系统该模块所有功能改造，支持满足国产化环境下的部署应用，重点功能包含：采购审批、领料申请、供应商评价、政府采购实施计划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▲1)采购审批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支持需求部门发起采购申请，同时关联采购合同、资产验收及费用报销流程，系统对采购审批状态与进展进行全程跟踪，自动记录全流程操作信息。同时，支持打印采购审批单，审批完成后可发起采购报销。</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2)领料申请</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支持在线填写领料申请并提交多级审批，系统自动计算并实时显示库存可用量；同时支持查询并导出出库清单，便于统计追溯。</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3)供应商评价</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支持在线填写供应商评价信息并提交审批，审批通过后自动归档评价结果，用于对供应商的绩效、服务质量和合作表现进行评估。</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4)政府采购实施计划</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支持采购申请人线上填写政府采购实施计划，审核通过后系统自动存档，提供验收单打印功能，便于采购工作统筹管理。</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合同管理模块适配改造，根据提供的业务需求说明书、功能清单、接口文档完成原系统该模块所有功能改造，支持满足国产化环境下的部署应用，保障合同管理模块功能和性能稳定，重点功能包含：合同台账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▲1)合同台账</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合同登记完成后，系统自动生成合同台账，支持多维度查询、统计分析和报表导出。</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支持从台账发起合同变更，记录变更历史信息，确保合同变更过程可追溯。</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合同提前终止或到期终止时，可发起终止申请，审批通过后系统归档。</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系统根据合同约定及履约进展，支持发起支付申请，关联采购、验收报告等相关信息；若支付金额或日期发生变动，支持修改支付计划并关联预算指标，合同总额保持不变。</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资产管理模块适配改造，根据提供的业务需求说明书、功能清单、接口文档完成原系统该模块所有功能改造，支持满足国产化环境下的部署应用，重点功能包含：资产管理、资产调拨、资产盘点、资产处置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1)资产管理</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资产入库后自动生成资产卡片，支持资产管理员对卡片信息进行维护与更新。资产卡片贯穿资产生命周期全过程，完整记录入库、使用、调拨、处置等各环节的历史信息及当前使用状态，实现资产全流程可追溯。</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2)资产调拨</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支持资产管理部门对处于闲置状态的资产发起跨组织调拨流程，调拨完成后系统自动更新资产卡片信息，并将调拨记录保存至日志中，确保资产流向清晰可查。</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3)资产盘点</w:t>
      </w:r>
      <w:r>
        <w:rPr>
          <w:rFonts w:hint="eastAsia" w:ascii="宋体" w:hAnsi="宋体" w:cs="宋体"/>
          <w:sz w:val="24"/>
          <w:szCs w:val="24"/>
        </w:rPr>
      </w:r>
      <w:r/>
    </w:p>
    <w:p>
      <w:pPr>
        <w:pStyle w:val="926"/>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定期对单位内部资产进行盘点与核对，支持设置资产盘点计划，可自定义盘点时间、盘点内容等，系统自动生成盘点任务。</w:t>
      </w:r>
      <w:r>
        <w:rPr>
          <w:rFonts w:hint="eastAsia" w:ascii="宋体" w:hAnsi="宋体" w:cs="宋体"/>
          <w:sz w:val="24"/>
          <w:szCs w:val="24"/>
          <w:lang w:bidi="ar"/>
        </w:rPr>
      </w:r>
      <w:r/>
    </w:p>
    <w:p>
      <w:pPr>
        <w:pStyle w:val="926"/>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bidi="ar"/>
        </w:rPr>
        <w:t xml:space="preserve">支持通过标准接口协议对接主流RFID终端设备，实现数据自动采集与关联。支持RFID智能盘点，通过RFID终端设备完成实物扫描后自动生成盘点记录并关联资产卡片信息，形成资产盘点表，支持电子签名确认。</w:t>
      </w:r>
      <w:r>
        <w:rPr>
          <w:rFonts w:hint="eastAsia" w:ascii="宋体" w:hAnsi="宋体" w:cs="宋体"/>
          <w:color w:val="000000"/>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支持查看盘点记录。</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4)资产处置</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系统提供完整的资产处置流程管理功能，支持记录所有处置操作的相关信息，以供后续</w:t>
      </w:r>
      <w:r>
        <w:rPr>
          <w:rFonts w:hint="eastAsia" w:ascii="宋体" w:hAnsi="宋体" w:cs="宋体"/>
          <w:color w:val="000000"/>
          <w:sz w:val="24"/>
          <w:szCs w:val="24"/>
          <w:lang w:bidi="ar"/>
        </w:rPr>
        <w:t xml:space="preserve">查阅</w:t>
      </w:r>
      <w:r>
        <w:rPr>
          <w:rFonts w:hint="eastAsia" w:ascii="宋体" w:hAnsi="宋体" w:cs="宋体"/>
          <w:sz w:val="24"/>
          <w:szCs w:val="24"/>
          <w:lang w:bidi="ar"/>
        </w:rPr>
        <w:t xml:space="preserve">。</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事前审批模块适配改造，根据提供的业务需求说明书、功能清单、接口文档完成原系统该模块所有功能改造，支持满足国产化环境下的部署应用，重点功能包含：会议审批、培训审批、出差审批、专家劳务费审批、维修(护)审批、经费审批、参加考核评审审批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▲1)出差审批</w:t>
      </w:r>
      <w:r>
        <w:rPr>
          <w:rFonts w:hint="eastAsia" w:ascii="宋体" w:hAnsi="宋体" w:cs="宋体"/>
          <w:sz w:val="24"/>
          <w:szCs w:val="24"/>
        </w:rPr>
      </w:r>
      <w:r/>
    </w:p>
    <w:p>
      <w:pPr>
        <w:pStyle w:val="926"/>
        <w:ind w:firstLine="480"/>
        <w:spacing w:line="360" w:lineRule="auto"/>
        <w:rPr>
          <w:rFonts w:ascii="宋体" w:hAnsi="宋体" w:cs="宋体"/>
          <w:color w:val="000000"/>
          <w:sz w:val="24"/>
          <w:szCs w:val="24"/>
        </w:rPr>
      </w:pPr>
      <w:r>
        <w:rPr>
          <w:rFonts w:hint="eastAsia" w:ascii="宋体" w:hAnsi="宋体" w:cs="宋体"/>
          <w:sz w:val="24"/>
          <w:szCs w:val="24"/>
          <w:lang w:bidi="ar"/>
        </w:rPr>
        <w:t xml:space="preserve">实现出差事前申请的流程化管理，满足多人多天不同地点同行出差场景，现场检测任务需关联大单号并安排车辆，审批通过后，支持打印出差申请单，并凭单发起差旅费报销，</w:t>
      </w:r>
      <w:r>
        <w:rPr>
          <w:rFonts w:hint="eastAsia" w:ascii="宋体" w:hAnsi="宋体" w:cs="宋体"/>
          <w:color w:val="000000"/>
          <w:sz w:val="24"/>
          <w:szCs w:val="24"/>
          <w:lang w:bidi="ar"/>
        </w:rPr>
        <w:t xml:space="preserve">大单号为委托单录入后系统自动分配的单号。</w:t>
      </w:r>
      <w:r>
        <w:rPr>
          <w:rFonts w:ascii="宋体" w:hAnsi="宋体" w:cs="宋体"/>
          <w:color w:val="000000"/>
          <w:sz w:val="24"/>
          <w:szCs w:val="24"/>
        </w:rPr>
      </w:r>
      <w:r/>
    </w:p>
    <w:p>
      <w:pPr>
        <w:pStyle w:val="926"/>
        <w:ind w:firstLine="480"/>
        <w:spacing w:line="360" w:lineRule="auto"/>
        <w:rPr>
          <w:rFonts w:hint="eastAsia" w:ascii="宋体" w:hAnsi="宋体" w:cs="宋体"/>
          <w:sz w:val="24"/>
          <w:szCs w:val="24"/>
        </w:rPr>
      </w:pP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2)会议审批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支持会议事前申请，计划内会议直接从年度会议计划表中选择，计划外会议需单独发起审批流程；系统自动校验会议费预算，超出预算时提醒部门负责人。审批通过后，支持打印会议申请单并发起会议费报销。</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3)培训审批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培训事前申请，计划内培训直接从年度培训计划中选择，计划外培训需单独发起审批流程；系统自动校验培训费预算超出预算时提醒部门负责人。审批通过后，支持打印培训申请单，并可发起培训费报销流程。</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4)专家劳务费审批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支持专家劳务费事前申请与审批，审批通过后支持打印专家劳务费申请单。</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5)维修(护)审批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支持保障服务类、信息化类、仪器设备类等维修(护)申请的线上事前审批，审批通过后支持打印维修申请单。</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6)经费审批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支持通用经费申请的线上事前审批，审批通过后支持打印经费申请单。</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7)参加考核评审审批</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支持参加考核评审的事前申请与审批，审批通过后支持打印申请单。</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费用报销模块适配改造，根据提供的业务需求说明书、功能清单、接口文档完成原系统该模块所有功能改造，支持满足国产化环境下的部署应用，重点功能包含：差旅费报销、会议费报销、培训费报销、维修(护)费报销、经费报销、劳务费报销、采购经费报销、尾款支付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▲1)差旅费报销</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一般差旅费、会议差旅费、培训差旅费的线上报销，可关联对应的出差审批、会议审批及培训审批等事前流程。系统自动计算补助金额并校验费用标准，超出标准不予提交，支持上传发票、打印报销单及加盖电子签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2)会议费报销</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事前审批通过后自动生成会议费报销流程，会议申请单基础信息自动回填，报销人补充具体报销明细。系统自动校验会议费总额及各项费用标准，超出预算或标准时不予提交，并对必传的文件清单作出提示，支持上传发票、打印报销单及加盖电子签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3)培训费报销</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事前审批通过后自动生成会培训费报销流程，自动回写培训申请单基础内容，报销人根据实际情况填写报销类目并上传票据。系统自动校验培训费预算总额及报销标准，超出时予以提示并控制提交。自动关联事前申请、合同管理等流程，实现电子报销单功能，支持加盖电子签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4)维修(护)费报销</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支持保障服务类、信息化类、仪器设备类等维修(护)费的报销申请，支持关联合同及维修(护)票据，自动关联事前申请、合同管理、设备验收等流程，实现电子报销单功能，支持加盖电子签名。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5)经费报销</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支持通用经费线上报销流程，自动关联事前申请、合同管理等流程，实现电子报销单功能，支持加盖电子签名。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6)劳务费报销</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支持各类劳务费的报销申请，自动关联事前申请、合同管理等流程，实现电子报销单功能，支持加盖电子签名。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7)采购经费报销</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支持采购经费的线上报销，自动关联采购审批、合同管理及设备验收等相关流程，实现电子报销单功能，支持加盖电子签名。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8)尾款支付</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支持仪器设备尾款支付的线上流转，关联合同信息与验收报告，按合同约定比例自动计算尾款金额，审批通过后完成支付。</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工程项目管理适配改造，根据提供的业务需求说明书、功能清单、接口文档完成原系统该模块所有功能改造，支持满足国产化环境下的部署应用，重点功能包含：基建维修改造项目申请、工程项目申请与验收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1)基建维修改造项目申请</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支持基建维修改造项目的线上申请与多级审批，审批通过后可发起工程项目验收流程。</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2)工程项目申请与验收</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支持工程项目验收申请的发起与审批，竣工验收合格后自动完成项目归档，且不允许修改项目相关信息。</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科研项目管理模块适配改造，根据提供的业务需求说明书、功能清单、接口文档完成原系统该模块所有功能改造，支持满足国产化环境下的部署应用，重点功能包含：科研项目申报、科研成果备案、科研项目台账、科研项目终止/验收、科研用款申请、科研费用报销、科研预算申报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1)科研项目申报</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支持横向项目、纵向项目和院内项目的在线申报，立项通过后自动纳入科研项目台账，记录操作日志。</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2)科研成果备案</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用于记录和管理各种类别的科研成果信息，包括科研装置、规程/规范/标准、标物、专利、论文、软著和专著等。</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3)科研项目台账</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已立项的项目自动纳入科研项目台账，支持科研管理员对项目信息进行维护与更新。</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4)科研项目终止/验收</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支持从项目台账发起项目终止或验收流程，终止/验收通过后项目归档，归档后信息锁定不可修改，同一项目仅可发起一次终止/验收流程，支持导出经费决算表。</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5)科研用款申请</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支持发起科研项目用款流程，打印申请单，并自动关联设备购置、验收报告、科研费报销等流程。</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6)科研费用报销</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实现科研费用的报销审批流程，自动关联设备购置申请、用款申请、设备验收报告、采购验收单等流程，实现电子报销单功能，加盖电子签名。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7)科研预算申报</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支持项目负责人从项目台账发起预算填报，填写下一年度预算明细，提交科发部审核，审核通过后生效，未通过可驳回重填，支持导出预算明细汇总表。</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工会管理模块适配改造，根据提供的业务需求说明书、功能清单、接口文档完成原系统该模块所有功能改造，支持满足国产化环境下的部署应用，重点功能包含：工会经费报销、工会经费申请等功能。</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1)工会经费报销</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支持工会经费报销的线上申请与审批，自动关联经费申请流程，实现电子报销单功能，支持加盖电子签名。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2)工会经费申请</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支持工会经费申请的线上填报与审批，审批通过后自动关联报销流程，支持打印申请单。</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公共办公模块适配改造，根据提供的业务需求说明书、功能清单、接口文档完成原系统该模块所有功能改造，支持满足国产化环境下的部署应用，重点功能包含：用印申请、系统公告、上会议题申请、工作任务、会议室预约、收文管理、发文管理等功能。</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1)用印申请</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支持多种类型用印申请的线上填报与多级审批，审批通过后支持打印用印申请单，实现用印流程可追溯。</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2)系统公告</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支持发布系统通知、公告及工作提醒，可查看公告的已读/未读人员；通知与工作提醒可定向推送至具体人员，并自动同步至首页工作日历。</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3)上会议题申请</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在线提交需上会讨论的议题流程，实现多层级审批，确保议题材料完整可追溯、审批意见清晰留痕，提升会议决策效率与规范性。</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4)工作任务</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提供任务全生命周期管理能力，支持工作任务的下达、接收、执行、完成确认与最终评估。</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▲5)会议室预约</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提供会议室在线预约与可视化看板，可直观查看各会议室空闲时段，避免时间冲突，提高空间资源利用效率和管理便捷性。</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6)收文管理</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实现外部单位来文的快速登记、拟办、传阅、承办和归档管理，确保文件高效流转与安全保管。</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7)发文管理</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实现单位内部或对外正式公文从拟稿、套红、审核、签发、排版到发布的全流程管控，支持导出公文。</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人力资源模块适配改造，根据提供的业务需求说明书、功能清单、接口文档完成原系统该模块所有功能改造，支持满足国产化环境下的部署应用，重点功能包含：培训效果评估、培训主观评价、考勤情况反馈等功能。</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1)培训效果评估</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建立在线培训评估体系，支持填写培训信息及参训人员培训结果，可关联培训审批、报销及主观评价等流程，支持评价人电子签名确认及打印。</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2)培训主观评价</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支持培训自我评价表单定向分发，由参训人员独立填写并电子签名确认，支持打印与导出，推动培训质量持续改进提升。</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▲3)考勤情况反馈</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由人事部门统一发起，系统自动分发考勤反馈任务至指定人员待办，支持独立填写部门考勤情况并提交完成汇总，确保考勤数据采集的准确性与时效性。</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sz w:val="24"/>
          <w:szCs w:val="24"/>
        </w:rPr>
      </w:pPr>
      <w:r>
        <w:rPr>
          <w:rFonts w:hint="eastAsia" w:ascii="宋体" w:hAnsi="宋体" w:cs="宋体"/>
          <w:sz w:val="24"/>
          <w:szCs w:val="24"/>
          <w:lang w:bidi="ar"/>
        </w:rPr>
        <w:t xml:space="preserve">系统管理模块适配改造，根据提供的业务需求说明书、功能清单、接口文档完成原系统该模块所有功能改造，支持满足国产化环境下的部署应用，重点功能包含：会议室管理、考勤管理、邮件管理等功能。</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▲1)会议室管理</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支持会议室信息的新增、修改、删除与查询，并可关联会议室预约申请，实现会议室资源的一体化管理。</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提供会议室房态图，通过可视化界面实时动态展示所有会议室占用状态，提供直观、准确的资源可用性视图，为高效会议资源调度奠定</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▲2)考勤管理</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支持考勤组的创建与配置，可设定考勤时间、考勤点及考勤人员，实现考勤组的统一管理与维护。</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支持考勤点的新增、修改、删除与查询，支持在地图上选点并设置有效打卡范围。</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3)邮件管理</w:t>
      </w:r>
      <w:r>
        <w:rPr>
          <w:rFonts w:hint="eastAsia" w:ascii="宋体" w:hAnsi="宋体" w:cs="宋体"/>
          <w:sz w:val="24"/>
          <w:szCs w:val="24"/>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构建规范化、综合性的邮件协作功能，集成邮件撰写（支持签名、模板、多格式附件）、收发管理（收件箱、已发送、草稿箱、垃圾箱）、智能分类（待办邮件、标星邮件）、联系人集中化管理及附件中心等功能，保障单位内部及对外沟通的高效、安全与可追溯。</w:t>
      </w:r>
      <w:r>
        <w:rPr>
          <w:rFonts w:hint="eastAsia" w:ascii="宋体" w:hAnsi="宋体" w:cs="宋体"/>
          <w:sz w:val="24"/>
          <w:szCs w:val="24"/>
        </w:rPr>
      </w:r>
      <w:r/>
    </w:p>
    <w:p>
      <w:pPr>
        <w:pStyle w:val="926"/>
        <w:numPr>
          <w:ilvl w:val="0"/>
          <w:numId w:val="6"/>
        </w:numPr>
        <w:ind w:firstLine="480"/>
        <w:spacing w:line="360" w:lineRule="auto"/>
        <w:rPr>
          <w:rFonts w:hint="eastAsia" w:ascii="宋体" w:hAnsi="宋体" w:cs="宋体"/>
        </w:rPr>
      </w:pPr>
      <w:r>
        <w:rPr>
          <w:rFonts w:hint="eastAsia" w:ascii="宋体" w:hAnsi="宋体" w:cs="宋体"/>
          <w:sz w:val="24"/>
          <w:szCs w:val="24"/>
          <w:lang w:bidi="ar"/>
        </w:rPr>
        <w:t xml:space="preserve">系统配置模块改造，根据提供的业务需求说明书、功能清单、接口文档完成原系统该模块所有功能改造，支持满足国产化环境下的部署应用，重点功能包含：发文模板管理、通讯录管理等功能。</w:t>
      </w:r>
      <w:r>
        <w:rPr>
          <w:rFonts w:hint="eastAsia" w:ascii="宋体" w:hAnsi="宋体" w:cs="宋体"/>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1)发文模板管理</w:t>
      </w:r>
      <w:r>
        <w:rPr>
          <w:rFonts w:hint="eastAsia" w:ascii="宋体" w:hAnsi="宋体" w:cs="宋体"/>
          <w:sz w:val="24"/>
          <w:szCs w:val="24"/>
        </w:rPr>
      </w:r>
      <w:r/>
    </w:p>
    <w:p>
      <w:pPr>
        <w:pStyle w:val="926"/>
        <w:ind w:firstLine="480"/>
        <w:jc w:val="left"/>
        <w:spacing w:line="360" w:lineRule="auto"/>
        <w:widowControl/>
        <w:rPr>
          <w:rFonts w:hint="eastAsia" w:ascii="宋体" w:hAnsi="宋体" w:cs="宋体"/>
        </w:rPr>
      </w:pPr>
      <w:r>
        <w:rPr>
          <w:rFonts w:hint="eastAsia" w:ascii="宋体" w:hAnsi="宋体" w:cs="宋体"/>
          <w:sz w:val="24"/>
          <w:szCs w:val="24"/>
          <w:lang w:bidi="ar"/>
        </w:rPr>
        <w:t xml:space="preserve">实现对发文模板的统一管理，支持发文模板的新增、编辑与下载，可按模板名称、模板类型进行筛选。</w:t>
      </w:r>
      <w:r>
        <w:rPr>
          <w:rFonts w:hint="eastAsia" w:ascii="宋体" w:hAnsi="宋体" w:cs="宋体"/>
        </w:rPr>
      </w:r>
      <w:r/>
    </w:p>
    <w:p>
      <w:pPr>
        <w:pStyle w:val="926"/>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2)通讯录管理</w:t>
      </w:r>
      <w:r>
        <w:rPr>
          <w:rFonts w:hint="eastAsia" w:ascii="宋体" w:hAnsi="宋体" w:cs="宋体"/>
          <w:sz w:val="24"/>
          <w:szCs w:val="24"/>
        </w:rPr>
      </w:r>
      <w:r/>
    </w:p>
    <w:p>
      <w:pPr>
        <w:pStyle w:val="926"/>
        <w:ind w:firstLine="480"/>
        <w:jc w:val="left"/>
        <w:spacing w:line="360" w:lineRule="auto"/>
        <w:widowControl/>
        <w:rPr>
          <w:rFonts w:hint="eastAsia" w:ascii="宋体" w:hAnsi="宋体" w:cs="宋体"/>
        </w:rPr>
      </w:pPr>
      <w:r>
        <w:rPr>
          <w:rFonts w:hint="eastAsia" w:ascii="宋体" w:hAnsi="宋体" w:cs="宋体"/>
          <w:sz w:val="24"/>
          <w:szCs w:val="24"/>
          <w:lang w:bidi="ar"/>
        </w:rPr>
        <w:t xml:space="preserve">实现对通讯录的统一管理，支持通讯录信息的新增、编辑、删除与导入。</w:t>
      </w:r>
      <w:r>
        <w:rPr>
          <w:rFonts w:hint="eastAsia" w:ascii="宋体" w:hAnsi="宋体" w:cs="宋体"/>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（2）云智苏量移动端国产化适配改造</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基于国产化的服务器、数据库、中间件等环境下，云智苏量移动端 APP各类自有应用模块的布局、管理、展示的应用的适配改造。</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①用户登录适配，移动端自建用户认证登录功能的适配，需满足适配国产化的服务器、数据库、中间件等环境；</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②APP应用服务，包括待办事宜、已办事宜、办结事宜、我的请求、新建流程、公告、邮件、通讯录、考勤、扫码等功能足适配国产化的服务器、数据库、中间件等环境。</w:t>
      </w:r>
      <w:r>
        <w:rPr>
          <w:rFonts w:hint="eastAsia" w:ascii="宋体" w:hAnsi="宋体" w:cs="宋体"/>
          <w:sz w:val="24"/>
          <w:szCs w:val="24"/>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（3）门户网站适配改造</w:t>
      </w:r>
      <w:r>
        <w:rPr>
          <w:rFonts w:hint="eastAsia" w:ascii="宋体" w:hAnsi="宋体" w:cs="宋体"/>
          <w:sz w:val="24"/>
          <w:szCs w:val="24"/>
        </w:rPr>
      </w:r>
      <w:r/>
    </w:p>
    <w:p>
      <w:pPr>
        <w:pStyle w:val="926"/>
        <w:ind w:firstLine="480"/>
        <w:spacing w:line="360" w:lineRule="auto"/>
        <w:rPr>
          <w:rFonts w:hint="eastAsia" w:ascii="宋体" w:hAnsi="宋体"/>
          <w:b/>
          <w:i/>
          <w:color w:val="000000"/>
          <w:sz w:val="32"/>
          <w:szCs w:val="32"/>
          <w:u w:val="single"/>
        </w:rPr>
      </w:pPr>
      <w:r>
        <w:rPr>
          <w:rFonts w:hint="eastAsia" w:ascii="宋体" w:hAnsi="宋体" w:cs="宋体"/>
          <w:sz w:val="24"/>
          <w:szCs w:val="24"/>
          <w:lang w:bidi="ar"/>
        </w:rPr>
        <w:t xml:space="preserve">基于国产化的服务器、数据库、中间件等环境下，对门户网站的布局、管理、展示的应用的适配改造。</w:t>
      </w:r>
      <w:r>
        <w:rPr>
          <w:rFonts w:hint="eastAsia" w:ascii="宋体" w:hAnsi="宋体"/>
          <w:b/>
          <w:i/>
          <w:color w:val="000000"/>
          <w:sz w:val="32"/>
          <w:szCs w:val="32"/>
          <w:u w:val="single"/>
        </w:rPr>
      </w:r>
      <w:r/>
    </w:p>
    <w:p>
      <w:pPr>
        <w:pStyle w:val="928"/>
        <w:numPr>
          <w:ilvl w:val="0"/>
          <w:numId w:val="8"/>
        </w:numPr>
        <w:jc w:val="left"/>
        <w:spacing w:before="0" w:after="0" w:line="360" w:lineRule="auto"/>
        <w:widowControl/>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技术方案要求</w:t>
      </w:r>
      <w:r>
        <w:rPr>
          <w:rFonts w:hint="eastAsia" w:ascii="宋体" w:hAnsi="宋体" w:eastAsia="宋体" w:cs="宋体"/>
          <w:b w:val="0"/>
          <w:bCs w:val="0"/>
          <w:sz w:val="28"/>
          <w:szCs w:val="28"/>
        </w:rPr>
      </w:r>
      <w:r/>
    </w:p>
    <w:p>
      <w:pPr>
        <w:pStyle w:val="926"/>
        <w:spacing w:line="360" w:lineRule="auto"/>
        <w:rPr>
          <w:rFonts w:hint="eastAsia" w:ascii="宋体" w:hAnsi="宋体" w:cs="宋体"/>
          <w:b/>
          <w:bCs/>
          <w:sz w:val="24"/>
          <w:szCs w:val="24"/>
        </w:rPr>
      </w:pPr>
      <w:r>
        <w:rPr>
          <w:rFonts w:hint="eastAsia" w:ascii="宋体" w:hAnsi="宋体" w:cs="宋体"/>
          <w:b/>
          <w:bCs/>
          <w:sz w:val="24"/>
          <w:szCs w:val="24"/>
          <w:lang w:bidi="ar"/>
        </w:rPr>
        <w:t xml:space="preserve">1.总体设计方案</w:t>
      </w:r>
      <w:r>
        <w:rPr>
          <w:rFonts w:hint="eastAsia" w:ascii="宋体" w:hAnsi="宋体" w:cs="宋体"/>
          <w:b/>
          <w:bCs/>
          <w:sz w:val="24"/>
          <w:szCs w:val="24"/>
        </w:rPr>
      </w:r>
      <w:r/>
    </w:p>
    <w:p>
      <w:pPr>
        <w:pStyle w:val="926"/>
        <w:ind w:firstLine="561"/>
        <w:spacing w:line="360" w:lineRule="auto"/>
        <w:rPr>
          <w:rFonts w:hint="eastAsia" w:ascii="宋体" w:hAnsi="宋体" w:cs="宋体"/>
          <w:sz w:val="24"/>
          <w:szCs w:val="24"/>
        </w:rPr>
      </w:pPr>
      <w:r>
        <w:rPr>
          <w:rFonts w:hint="eastAsia" w:ascii="宋体" w:hAnsi="宋体" w:cs="宋体"/>
          <w:sz w:val="24"/>
          <w:szCs w:val="28"/>
        </w:rPr>
        <w:t xml:space="preserve">总体设计方案需</w:t>
      </w:r>
      <w:r>
        <w:rPr>
          <w:rFonts w:hint="eastAsia" w:ascii="宋体" w:hAnsi="宋体" w:cs="宋体"/>
          <w:sz w:val="24"/>
          <w:szCs w:val="24"/>
          <w:lang w:bidi="ar"/>
        </w:rPr>
        <w:t xml:space="preserve">包括组件化、标准化、高适应性。</w:t>
      </w:r>
      <w:r>
        <w:rPr>
          <w:rFonts w:hint="eastAsia" w:ascii="宋体" w:hAnsi="宋体" w:cs="宋体"/>
          <w:sz w:val="24"/>
          <w:szCs w:val="24"/>
        </w:rPr>
      </w:r>
      <w:r/>
    </w:p>
    <w:p>
      <w:pPr>
        <w:pStyle w:val="989"/>
        <w:spacing w:before="0" w:beforeAutospacing="0" w:after="200" w:afterAutospacing="0" w:line="276" w:lineRule="auto"/>
        <w:rPr>
          <w:rFonts w:hint="eastAsia"/>
        </w:rPr>
      </w:pPr>
      <w:r>
        <w:rPr>
          <w:rFonts w:hint="eastAsia"/>
          <w:sz w:val="22"/>
          <w:szCs w:val="22"/>
          <w:lang w:bidi="ar"/>
        </w:rPr>
        <mc:AlternateContent>
          <mc:Choice Requires="wpg">
            <w:drawing>
              <wp:inline xmlns:wp="http://schemas.openxmlformats.org/drawingml/2006/wordprocessingDrawing" distT="0" distB="0" distL="0" distR="0">
                <wp:extent cx="5362448" cy="256231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362448" cy="2562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2.2pt;height:201.8pt;mso-wrap-distance-left:0.0pt;mso-wrap-distance-top:0.0pt;mso-wrap-distance-right:0.0pt;mso-wrap-distance-bottom:0.0pt;" stroked="f">
                <v:path textboxrect="0,0,0,0"/>
                <v:imagedata r:id="rId12" o:title=""/>
              </v:shape>
            </w:pict>
          </mc:Fallback>
        </mc:AlternateContent>
      </w:r>
      <w:r>
        <w:rPr>
          <w:rFonts w:hint="eastAsia"/>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（1）组件化</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技术整体的架构应基于国产化、组件化设计，将相似的功能（软件功能，硬件平台）集成或集中在一起，形成支持某一特定功能的组成部件，集中开发，统一管理，从而保证各个组件的高度可重复利用性，节约开发资源和维护成本。应用组件设计的技术，设计遵循严格规范，保证所有组件可重用，并可扩展到不同的机器上。使用多层结构的设计，各层各司其职，在系统需要升级或扩展时，只需改动需要变动的局部能力，不会出现牵一发而动全身的局面。</w:t>
      </w:r>
      <w:r>
        <w:rPr>
          <w:rFonts w:hint="eastAsia" w:ascii="宋体" w:hAnsi="宋体" w:cs="宋体"/>
          <w:sz w:val="24"/>
          <w:szCs w:val="24"/>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（2）标准化</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在用户端使用统一的软、硬件平台，并符合国产化建设要求，使IT平台成为基于统一的国产化标准，尽可能选择国产化软件，或基于标准技术开发应用软件，确保国产化适配的开放性、标准型要求。</w:t>
      </w:r>
      <w:r>
        <w:rPr>
          <w:rFonts w:hint="eastAsia" w:ascii="宋体" w:hAnsi="宋体" w:cs="宋体"/>
          <w:sz w:val="24"/>
          <w:szCs w:val="24"/>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（3）高适应性</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数智一体化平台中使用的软件和硬件产品在符合国产化的前提下，必须有良好的适应性，能够迅速配合部门的相关规则的改变，业务流程调整而重新定制，无须大范围的进行系统开发。</w:t>
      </w:r>
      <w:r>
        <w:rPr>
          <w:rFonts w:hint="eastAsia" w:ascii="宋体" w:hAnsi="宋体" w:cs="宋体"/>
          <w:sz w:val="24"/>
          <w:szCs w:val="24"/>
        </w:rPr>
      </w:r>
      <w:r/>
    </w:p>
    <w:p>
      <w:pPr>
        <w:pStyle w:val="926"/>
        <w:spacing w:line="360" w:lineRule="auto"/>
        <w:rPr>
          <w:rFonts w:hint="eastAsia" w:ascii="宋体" w:hAnsi="宋体" w:cs="宋体"/>
          <w:b/>
          <w:bCs/>
          <w:sz w:val="24"/>
          <w:szCs w:val="24"/>
        </w:rPr>
      </w:pPr>
      <w:r>
        <w:rPr>
          <w:rFonts w:hint="eastAsia" w:ascii="宋体" w:hAnsi="宋体" w:cs="宋体"/>
          <w:b/>
          <w:bCs/>
          <w:sz w:val="24"/>
          <w:szCs w:val="24"/>
          <w:lang w:bidi="ar"/>
        </w:rPr>
        <w:t xml:space="preserve">2.系统环境及服务改造适配方案</w:t>
      </w:r>
      <w:r>
        <w:rPr>
          <w:rFonts w:hint="eastAsia" w:ascii="宋体" w:hAnsi="宋体" w:cs="宋体"/>
          <w:b/>
          <w:bCs/>
          <w:sz w:val="24"/>
          <w:szCs w:val="24"/>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（1）国产数据库改造适配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数据库类型及版本改造符合国产化数据库，系统需要基于提供的国产数据库驱动进行开发和适配，特别是在数据库 SQL 语句及函数调整中进行大量的适配改造和测试验证工作，改造适配包括：</w:t>
      </w:r>
      <w:r>
        <w:rPr>
          <w:rFonts w:hint="eastAsia" w:ascii="宋体" w:hAnsi="宋体" w:cs="宋体"/>
          <w:sz w:val="24"/>
          <w:szCs w:val="24"/>
        </w:rPr>
      </w:r>
      <w:r/>
    </w:p>
    <w:p>
      <w:pPr>
        <w:pStyle w:val="989"/>
        <w:numPr>
          <w:ilvl w:val="0"/>
          <w:numId w:val="9"/>
        </w:numPr>
        <w:contextualSpacing/>
        <w:jc w:val="both"/>
        <w:spacing w:line="360" w:lineRule="auto"/>
        <w:widowControl w:val="off"/>
      </w:pPr>
      <w:r>
        <w:t xml:space="preserve">数据库语法和查询差异改造</w:t>
      </w:r>
      <w:r/>
    </w:p>
    <w:p>
      <w:pPr>
        <w:pStyle w:val="989"/>
        <w:numPr>
          <w:ilvl w:val="0"/>
          <w:numId w:val="9"/>
        </w:numPr>
        <w:contextualSpacing/>
        <w:jc w:val="both"/>
        <w:spacing w:line="360" w:lineRule="auto"/>
        <w:widowControl w:val="off"/>
      </w:pPr>
      <w:r>
        <w:t xml:space="preserve">数据库驱动和接口改造</w:t>
      </w:r>
      <w:r/>
    </w:p>
    <w:p>
      <w:pPr>
        <w:pStyle w:val="989"/>
        <w:numPr>
          <w:ilvl w:val="0"/>
          <w:numId w:val="9"/>
        </w:numPr>
        <w:contextualSpacing/>
        <w:jc w:val="both"/>
        <w:spacing w:line="360" w:lineRule="auto"/>
        <w:widowControl w:val="off"/>
      </w:pPr>
      <w:r>
        <w:t xml:space="preserve">数据库架构和优化改造</w:t>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（2）国产应用中间件改造适配</w:t>
      </w:r>
      <w:r>
        <w:rPr>
          <w:rFonts w:hint="eastAsia" w:ascii="宋体" w:hAnsi="宋体" w:cs="宋体"/>
          <w:sz w:val="24"/>
          <w:szCs w:val="24"/>
        </w:rPr>
      </w:r>
      <w:r/>
    </w:p>
    <w:p>
      <w:pPr>
        <w:pStyle w:val="926"/>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bidi="ar"/>
        </w:rPr>
        <w:t xml:space="preserve">在提供的国产化应用中间件基础上，消息中间件、流程中间件等系统应用涉及的中间件服务改造符合国产化要求，并进行相关配置调整。同时，对中间件的API进行封装，确保与原有系统的兼容性。服务端系统需运行在环境下，需要对选定的应用中间件进行适配验证。验证包含相关技术组件更新和适配、代码兼容设置、开发框架。调优系统参数、设置相应使用参数配置和日志，以保障系统能够在容器中可正常运行。</w:t>
      </w:r>
      <w:r>
        <w:rPr>
          <w:rFonts w:hint="eastAsia" w:ascii="宋体" w:hAnsi="宋体" w:cs="宋体"/>
          <w:color w:val="000000"/>
          <w:sz w:val="24"/>
          <w:szCs w:val="24"/>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（3）国产操作系统调优适配</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在国产服务器操作系统运行系统及服务组件，调优符合国产化要求。对国产操作系统进行优化，包括系统内核参数调整、文件系统优化、网络性能优化等方面，以提高系统的整体性能和并发处理能力。</w:t>
      </w:r>
      <w:r>
        <w:rPr>
          <w:rFonts w:hint="eastAsia" w:ascii="宋体" w:hAnsi="宋体" w:cs="宋体"/>
          <w:sz w:val="24"/>
          <w:szCs w:val="24"/>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（4）数据转换、割接迁移</w:t>
      </w:r>
      <w:r>
        <w:rPr>
          <w:rFonts w:hint="eastAsia" w:ascii="宋体" w:hAnsi="宋体" w:cs="宋体"/>
          <w:sz w:val="24"/>
          <w:szCs w:val="24"/>
        </w:rPr>
      </w:r>
      <w:r/>
    </w:p>
    <w:p>
      <w:pPr>
        <w:pStyle w:val="926"/>
        <w:ind w:firstLine="480"/>
        <w:spacing w:line="360" w:lineRule="auto"/>
        <w:rPr>
          <w:rFonts w:hint="eastAsia" w:ascii="宋体" w:hAnsi="宋体" w:cs="宋体"/>
          <w:color w:val="000000"/>
          <w:sz w:val="24"/>
          <w:szCs w:val="24"/>
          <w:lang w:bidi="ar"/>
        </w:rPr>
      </w:pPr>
      <w:r>
        <w:rPr>
          <w:rFonts w:hint="eastAsia" w:ascii="宋体" w:hAnsi="宋体" w:cs="宋体"/>
          <w:sz w:val="24"/>
          <w:szCs w:val="24"/>
          <w:lang w:bidi="ar"/>
        </w:rPr>
        <w:t xml:space="preserve">投标人需根据磋商文件要求及采购人的现有系统和业务开展实际情况，分析研判该项目可能需要采取的数据迁移工作，及其潜在风险，制定详细的数据迁移方案，保障系统的安全过渡和历史数据的继承和迁移。方案内容包括但不限于：</w:t>
      </w:r>
      <w:r>
        <w:rPr>
          <w:rFonts w:hint="eastAsia" w:ascii="宋体" w:hAnsi="宋体" w:cs="宋体"/>
          <w:sz w:val="24"/>
          <w:szCs w:val="24"/>
          <w:lang w:bidi="ar"/>
        </w:rPr>
        <w:tab/>
      </w:r>
      <w:r>
        <w:rPr>
          <w:rFonts w:hint="eastAsia" w:ascii="宋体" w:hAnsi="宋体" w:cs="宋体"/>
          <w:sz w:val="24"/>
          <w:szCs w:val="24"/>
          <w:lang w:bidi="ar"/>
        </w:rPr>
        <w:t xml:space="preserve">1）迁移时序规划；2）‌关键数据保障措施等。数据迁移需要保证：一、甲方的历史数据完全保留且可查询；</w:t>
      </w:r>
      <w:r>
        <w:rPr>
          <w:rFonts w:hint="eastAsia" w:ascii="宋体" w:hAnsi="宋体" w:cs="宋体"/>
          <w:color w:val="000000"/>
          <w:sz w:val="24"/>
          <w:szCs w:val="24"/>
          <w:lang w:bidi="ar"/>
        </w:rPr>
        <w:t xml:space="preserve">二、迁移过程中，甲方的业务影响降至最低。</w:t>
      </w:r>
      <w:r>
        <w:rPr>
          <w:rFonts w:hint="eastAsia" w:ascii="宋体" w:hAnsi="宋体" w:cs="宋体"/>
          <w:color w:val="000000"/>
          <w:sz w:val="24"/>
          <w:szCs w:val="24"/>
          <w:lang w:bidi="ar"/>
        </w:rPr>
      </w:r>
      <w:r/>
    </w:p>
    <w:p>
      <w:pPr>
        <w:pStyle w:val="926"/>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（5）系统并发性能适配改造</w:t>
      </w:r>
      <w:r>
        <w:rPr>
          <w:rFonts w:hint="eastAsia" w:ascii="宋体" w:hAnsi="宋体" w:cs="宋体"/>
          <w:color w:val="000000"/>
          <w:sz w:val="24"/>
          <w:szCs w:val="24"/>
          <w:lang w:bidi="ar"/>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从国产化服务、系统架构、国产化改造应用能力等各角度，对系统服务部署迁移，满足系统建设和使用要求。</w:t>
      </w:r>
      <w:r>
        <w:rPr>
          <w:rFonts w:hint="eastAsia" w:ascii="宋体" w:hAnsi="宋体" w:cs="宋体"/>
          <w:sz w:val="24"/>
          <w:szCs w:val="24"/>
        </w:rPr>
      </w:r>
      <w:r/>
    </w:p>
    <w:p>
      <w:pPr>
        <w:pStyle w:val="926"/>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（6）系统安全适配改造</w:t>
      </w:r>
      <w:r>
        <w:rPr>
          <w:rFonts w:hint="eastAsia" w:ascii="宋体" w:hAnsi="宋体" w:cs="宋体"/>
          <w:color w:val="000000"/>
          <w:sz w:val="24"/>
          <w:szCs w:val="24"/>
          <w:lang w:bidi="ar"/>
        </w:rPr>
      </w:r>
      <w:r/>
    </w:p>
    <w:p>
      <w:pPr>
        <w:pStyle w:val="926"/>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bidi="ar"/>
        </w:rPr>
        <w:t xml:space="preserve">随着业务应用系统的持续建设，应用系统所涉及的重要信息数据不断增加，不可避免地面临着众多安全威胁。应用系统的安全风险主要体现在信息资源被非法使用，用户越权访问系统资源等方面，应包括：认证授权、信息保密、数据完整性、防抵赖性、审计、数据备份等方面防护。</w:t>
      </w:r>
      <w:r>
        <w:rPr>
          <w:rFonts w:hint="eastAsia" w:ascii="宋体" w:hAnsi="宋体" w:cs="宋体"/>
          <w:color w:val="000000"/>
          <w:sz w:val="24"/>
          <w:szCs w:val="24"/>
        </w:rPr>
      </w:r>
      <w:r/>
    </w:p>
    <w:p>
      <w:pPr>
        <w:pStyle w:val="926"/>
        <w:spacing w:line="360" w:lineRule="auto"/>
        <w:rPr>
          <w:rFonts w:hint="eastAsia" w:ascii="宋体" w:hAnsi="宋体" w:cs="宋体"/>
          <w:color w:val="000000"/>
          <w:sz w:val="24"/>
          <w:szCs w:val="24"/>
        </w:rPr>
      </w:pPr>
      <w:r>
        <w:rPr>
          <w:rFonts w:hint="eastAsia" w:ascii="宋体" w:hAnsi="宋体" w:cs="宋体"/>
          <w:color w:val="000000"/>
          <w:sz w:val="24"/>
          <w:szCs w:val="24"/>
          <w:lang w:bidi="ar"/>
        </w:rPr>
        <w:t xml:space="preserve">（7）终端、浏览器适配</w:t>
      </w:r>
      <w:r>
        <w:rPr>
          <w:rFonts w:hint="eastAsia" w:ascii="宋体" w:hAnsi="宋体" w:cs="宋体"/>
          <w:color w:val="000000"/>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基于国产化的服务器、数据库、中间件等环境下，整个系统基于WEB浏览器使用，对于终端硬件并无要求，能够在国产芯片CPU适配的浏览器上正常使用。</w:t>
      </w:r>
      <w:r>
        <w:rPr>
          <w:rFonts w:hint="eastAsia" w:ascii="宋体" w:hAnsi="宋体" w:cs="宋体"/>
          <w:sz w:val="24"/>
          <w:szCs w:val="24"/>
        </w:rPr>
      </w:r>
      <w:r/>
    </w:p>
    <w:p>
      <w:pPr>
        <w:pStyle w:val="926"/>
        <w:spacing w:line="360" w:lineRule="auto"/>
        <w:rPr>
          <w:rFonts w:hint="eastAsia" w:ascii="宋体" w:hAnsi="宋体" w:cs="宋体"/>
          <w:sz w:val="24"/>
          <w:szCs w:val="24"/>
        </w:rPr>
      </w:pPr>
      <w:r>
        <w:rPr>
          <w:rFonts w:hint="eastAsia" w:ascii="宋体" w:hAnsi="宋体" w:cs="宋体"/>
          <w:sz w:val="24"/>
          <w:szCs w:val="24"/>
          <w:lang w:bidi="ar"/>
        </w:rPr>
        <w:t xml:space="preserve">不同的浏览器厂商内核版本不一样，浏览器适配，确保应用程序在不同的浏览器上能够正确显示和正常运行的过程。由于不同浏览器厂商对于网页标准的解释和支持程度不同，开发人员需要进行适配工作，以确保用户在不同浏览器下获得一致的用户体验。</w:t>
      </w:r>
      <w:r>
        <w:rPr>
          <w:rFonts w:hint="eastAsia"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lang w:bidi="ar"/>
        </w:rPr>
        <w:t xml:space="preserve">浏览器适配是一项重要的工作，需要数智一体化平台国产化改在适配的设计和开发过程中考虑到各种浏览器的差异，并采取相应的技术和方法来确保应用程序的兼容性和稳定性。</w:t>
      </w:r>
      <w:r>
        <w:rPr>
          <w:rFonts w:hint="eastAsia" w:ascii="宋体" w:hAnsi="宋体" w:cs="宋体"/>
          <w:sz w:val="24"/>
          <w:szCs w:val="24"/>
        </w:rPr>
      </w:r>
      <w:r/>
    </w:p>
    <w:p>
      <w:pPr>
        <w:pStyle w:val="928"/>
        <w:jc w:val="left"/>
        <w:keepNext w:val="0"/>
        <w:spacing w:before="0"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3.项目实施要求</w:t>
      </w:r>
      <w:r>
        <w:rPr>
          <w:rFonts w:hint="eastAsia" w:ascii="宋体" w:hAnsi="宋体" w:eastAsia="宋体" w:cs="宋体"/>
          <w:sz w:val="24"/>
          <w:szCs w:val="24"/>
        </w:rPr>
      </w:r>
      <w:r/>
    </w:p>
    <w:p>
      <w:pPr>
        <w:pStyle w:val="989"/>
        <w:ind w:firstLine="480"/>
        <w:jc w:val="both"/>
        <w:spacing w:before="0" w:beforeAutospacing="0" w:after="0" w:afterAutospacing="0" w:line="360" w:lineRule="auto"/>
        <w:widowControl w:val="off"/>
        <w:rPr>
          <w:lang w:bidi="ar"/>
        </w:rPr>
      </w:pPr>
      <w:r>
        <w:rPr>
          <w:lang w:bidi="ar"/>
        </w:rPr>
        <w:t xml:space="preserve">投标人应根据磋商文件要求及本项目特点，制订项目实施方案。方案内容包括但不限于：</w:t>
      </w:r>
      <w:r>
        <w:rPr>
          <w:lang w:bidi="ar"/>
        </w:rPr>
      </w:r>
      <w:r/>
    </w:p>
    <w:p>
      <w:pPr>
        <w:pStyle w:val="989"/>
        <w:numPr>
          <w:ilvl w:val="0"/>
          <w:numId w:val="10"/>
        </w:numPr>
        <w:ind w:firstLine="480"/>
        <w:jc w:val="both"/>
        <w:spacing w:before="0" w:beforeAutospacing="0" w:after="0" w:afterAutospacing="0" w:line="360" w:lineRule="auto"/>
        <w:widowControl w:val="off"/>
      </w:pPr>
      <w:r>
        <w:rPr>
          <w:lang w:bidi="ar"/>
        </w:rPr>
        <w:t xml:space="preserve">进度计划。</w:t>
      </w:r>
      <w:r>
        <w:rPr>
          <w:shd w:val="clear" w:color="auto" w:fill="ffffff"/>
        </w:rPr>
        <w:t xml:space="preserve">须明确项目实施各阶段的时间节点、工作内容与交付物，同时须列明需要采购方提供的资源支持，</w:t>
      </w:r>
      <w:r>
        <w:rPr>
          <w:lang w:bidi="ar"/>
        </w:rPr>
        <w:t xml:space="preserve">确保在规定的交付时限内完成。</w:t>
      </w:r>
      <w:r/>
    </w:p>
    <w:p>
      <w:pPr>
        <w:pStyle w:val="989"/>
        <w:numPr>
          <w:ilvl w:val="0"/>
          <w:numId w:val="10"/>
        </w:numPr>
        <w:ind w:firstLine="480"/>
        <w:jc w:val="both"/>
        <w:spacing w:before="0" w:beforeAutospacing="0" w:after="0" w:afterAutospacing="0" w:line="360" w:lineRule="auto"/>
        <w:widowControl w:val="off"/>
        <w:rPr>
          <w:lang w:bidi="ar"/>
        </w:rPr>
      </w:pPr>
      <w:r>
        <w:rPr>
          <w:lang w:bidi="ar"/>
        </w:rPr>
        <w:t xml:space="preserve">项目团队组织。须明确项目组织结构、各岗位人员配置与职责分工、团队能力保障及稳定性保障措施等。</w:t>
      </w:r>
      <w:r>
        <w:rPr>
          <w:lang w:bidi="ar"/>
        </w:rPr>
      </w:r>
      <w:r/>
    </w:p>
    <w:p>
      <w:pPr>
        <w:pStyle w:val="989"/>
        <w:numPr>
          <w:ilvl w:val="0"/>
          <w:numId w:val="10"/>
        </w:numPr>
        <w:ind w:firstLine="480"/>
        <w:jc w:val="both"/>
        <w:spacing w:before="0" w:beforeAutospacing="0" w:after="0" w:afterAutospacing="0" w:line="360" w:lineRule="auto"/>
        <w:widowControl w:val="off"/>
        <w:rPr>
          <w:lang w:bidi="ar"/>
        </w:rPr>
      </w:pPr>
      <w:r>
        <w:rPr>
          <w:lang w:bidi="ar"/>
        </w:rPr>
        <w:t xml:space="preserve">工作机制及流程。</w:t>
      </w:r>
      <w:r>
        <w:rPr>
          <w:shd w:val="clear" w:color="auto" w:fill="ffffff"/>
        </w:rPr>
        <w:t xml:space="preserve">须提供实施进度保障措施、需求变更管理机制、项目协调与合作机制，确保项目各方协调一致、信息顺畅。</w:t>
      </w:r>
      <w:r>
        <w:rPr>
          <w:lang w:bidi="ar"/>
        </w:rPr>
      </w:r>
      <w:r/>
    </w:p>
    <w:p>
      <w:pPr>
        <w:pStyle w:val="989"/>
        <w:ind w:firstLine="480"/>
        <w:jc w:val="both"/>
        <w:spacing w:before="0" w:beforeAutospacing="0" w:after="0" w:afterAutospacing="0" w:line="360" w:lineRule="auto"/>
        <w:widowControl w:val="off"/>
        <w:rPr>
          <w:color w:val="000000"/>
          <w:lang w:bidi="ar"/>
        </w:rPr>
      </w:pPr>
      <w:r>
        <w:rPr>
          <w:color w:val="000000"/>
          <w:lang w:bidi="ar"/>
        </w:rPr>
      </w:r>
      <w:r/>
    </w:p>
    <w:p>
      <w:pPr>
        <w:pStyle w:val="928"/>
        <w:jc w:val="left"/>
        <w:keepNext w:val="0"/>
        <w:spacing w:before="0"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4.技术培训要求</w:t>
      </w:r>
      <w:r>
        <w:rPr>
          <w:rFonts w:hint="eastAsia" w:ascii="宋体" w:hAnsi="宋体" w:eastAsia="宋体" w:cs="宋体"/>
          <w:color w:val="000000"/>
          <w:sz w:val="24"/>
          <w:szCs w:val="24"/>
        </w:rPr>
      </w:r>
      <w:r/>
    </w:p>
    <w:p>
      <w:pPr>
        <w:pStyle w:val="989"/>
        <w:ind w:firstLine="480"/>
        <w:jc w:val="both"/>
        <w:spacing w:before="0" w:beforeAutospacing="0" w:after="0" w:afterAutospacing="0" w:line="360" w:lineRule="auto"/>
        <w:widowControl w:val="off"/>
        <w:rPr>
          <w:lang w:bidi="ar"/>
        </w:rPr>
      </w:pPr>
      <w:r>
        <w:rPr>
          <w:lang w:bidi="ar"/>
        </w:rPr>
        <w:t xml:space="preserve">投标人应根据磋商文件要求及本项目特点，安排具备相应资质和经验的技术人员，制订相应的技术培训方案。方案内容包括但不限于：</w:t>
      </w:r>
      <w:r>
        <w:rPr>
          <w:lang w:bidi="ar"/>
        </w:rPr>
      </w:r>
      <w:r/>
    </w:p>
    <w:p>
      <w:pPr>
        <w:pStyle w:val="989"/>
        <w:numPr>
          <w:ilvl w:val="0"/>
          <w:numId w:val="11"/>
        </w:numPr>
        <w:ind w:firstLine="480"/>
        <w:jc w:val="both"/>
        <w:spacing w:before="0" w:beforeAutospacing="0" w:after="0" w:afterAutospacing="0" w:line="360" w:lineRule="auto"/>
        <w:widowControl w:val="off"/>
        <w:rPr>
          <w:lang w:bidi="ar"/>
        </w:rPr>
      </w:pPr>
      <w:r>
        <w:rPr>
          <w:lang w:bidi="ar"/>
        </w:rPr>
        <w:t xml:space="preserve">培训对象。须按普通用户、系统管理员、领导及管理人员等不同角色安排差异化培训内容。</w:t>
      </w:r>
      <w:r>
        <w:rPr>
          <w:lang w:bidi="ar"/>
        </w:rPr>
      </w:r>
      <w:r/>
    </w:p>
    <w:p>
      <w:pPr>
        <w:pStyle w:val="989"/>
        <w:numPr>
          <w:ilvl w:val="0"/>
          <w:numId w:val="11"/>
        </w:numPr>
        <w:ind w:firstLine="480"/>
        <w:jc w:val="both"/>
        <w:spacing w:before="0" w:beforeAutospacing="0" w:after="0" w:afterAutospacing="0" w:line="360" w:lineRule="auto"/>
        <w:widowControl w:val="off"/>
        <w:rPr>
          <w:lang w:bidi="ar"/>
        </w:rPr>
      </w:pPr>
      <w:r>
        <w:rPr>
          <w:lang w:bidi="ar"/>
        </w:rPr>
        <w:t xml:space="preserve">培训计划。须提供详细的培训方案和培训课程，相关操作培训须在项目验收完成前完成。</w:t>
      </w:r>
      <w:r>
        <w:rPr>
          <w:lang w:bidi="ar"/>
        </w:rPr>
      </w:r>
      <w:r/>
    </w:p>
    <w:p>
      <w:pPr>
        <w:pStyle w:val="989"/>
        <w:numPr>
          <w:ilvl w:val="0"/>
          <w:numId w:val="11"/>
        </w:numPr>
        <w:ind w:firstLine="480"/>
        <w:jc w:val="both"/>
        <w:spacing w:before="0" w:beforeAutospacing="0" w:after="0" w:afterAutospacing="0" w:line="360" w:lineRule="auto"/>
        <w:widowControl w:val="off"/>
        <w:rPr>
          <w:lang w:bidi="ar"/>
        </w:rPr>
      </w:pPr>
      <w:r>
        <w:rPr>
          <w:lang w:bidi="ar"/>
        </w:rPr>
        <w:t xml:space="preserve">培训考核评估。须建立培训效果评估机制，培训结束后通过实际操作考核等方式检验培训效果，对考核不合格者免费安排补训，确保相关人员能熟练掌握系统的日常使用及维护。</w:t>
      </w:r>
      <w:r>
        <w:rPr>
          <w:lang w:bidi="ar"/>
        </w:rPr>
      </w:r>
      <w:r/>
    </w:p>
    <w:p>
      <w:pPr>
        <w:pStyle w:val="926"/>
        <w:ind w:firstLine="480"/>
        <w:spacing w:line="400" w:lineRule="exact"/>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pStyle w:val="928"/>
        <w:jc w:val="left"/>
        <w:keepNext w:val="0"/>
        <w:spacing w:before="0"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5.售后服务要求</w:t>
      </w:r>
      <w:r>
        <w:rPr>
          <w:rFonts w:hint="eastAsia" w:ascii="宋体" w:hAnsi="宋体" w:eastAsia="宋体" w:cs="宋体"/>
          <w:sz w:val="24"/>
          <w:szCs w:val="24"/>
        </w:rPr>
      </w:r>
      <w:r/>
    </w:p>
    <w:p>
      <w:pPr>
        <w:pStyle w:val="989"/>
        <w:ind w:firstLine="480"/>
        <w:jc w:val="both"/>
        <w:spacing w:before="0" w:beforeAutospacing="0" w:after="0" w:afterAutospacing="0" w:line="360" w:lineRule="auto"/>
        <w:widowControl w:val="off"/>
        <w:rPr>
          <w:lang w:bidi="ar"/>
        </w:rPr>
      </w:pPr>
      <w:r>
        <w:rPr>
          <w:lang w:bidi="ar"/>
        </w:rPr>
        <w:t xml:space="preserve">投标人应响应磋商文件要求，提交售后服务方案。售后服务方案包括但不限于：</w:t>
      </w:r>
      <w:r>
        <w:rPr>
          <w:lang w:bidi="ar"/>
        </w:rPr>
      </w:r>
      <w:r/>
    </w:p>
    <w:p>
      <w:pPr>
        <w:pStyle w:val="989"/>
        <w:numPr>
          <w:ilvl w:val="0"/>
          <w:numId w:val="12"/>
        </w:numPr>
        <w:ind w:firstLine="480"/>
        <w:jc w:val="both"/>
        <w:spacing w:before="0" w:beforeAutospacing="0" w:after="0" w:afterAutospacing="0" w:line="360" w:lineRule="auto"/>
        <w:widowControl w:val="off"/>
        <w:rPr>
          <w:lang w:bidi="ar"/>
        </w:rPr>
      </w:pPr>
      <w:r>
        <w:rPr>
          <w:lang w:bidi="ar"/>
        </w:rPr>
        <w:t xml:space="preserve">质保期服务内容。整个项目质保期为验收后一年，质保期间的维护服务不收取任何额外费用，由中标方提供免费的软件维护服务、技术服务支持，包括系统维护、性能提升、故障检测等，并保证系统正常运行，如果软件功能变更超出项目范围的百分之二十，按照工作量测算依据增加相应的服务费用。质保期后的服务费双方另行协商。</w:t>
      </w:r>
      <w:r>
        <w:rPr>
          <w:lang w:bidi="ar"/>
        </w:rPr>
      </w:r>
      <w:r/>
    </w:p>
    <w:p>
      <w:pPr>
        <w:pStyle w:val="989"/>
        <w:ind w:firstLine="480"/>
        <w:jc w:val="both"/>
        <w:spacing w:before="0" w:beforeAutospacing="0" w:after="0" w:afterAutospacing="0" w:line="360" w:lineRule="auto"/>
        <w:widowControl w:val="off"/>
        <w:rPr>
          <w:lang w:bidi="ar"/>
        </w:rPr>
      </w:pPr>
      <w:r>
        <w:rPr>
          <w:lang w:bidi="ar"/>
        </w:rPr>
        <w:t xml:space="preserve">在项目验收后的服务期内，如因需要增加系统功能而产生的费用，双方另议；如果是软件设计漏洞或偏差，中标方必须及时修正，且不另收费用。</w:t>
      </w:r>
      <w:r>
        <w:rPr>
          <w:lang w:bidi="ar"/>
        </w:rPr>
      </w:r>
      <w:r/>
    </w:p>
    <w:p>
      <w:pPr>
        <w:pStyle w:val="989"/>
        <w:numPr>
          <w:ilvl w:val="0"/>
          <w:numId w:val="12"/>
        </w:numPr>
        <w:ind w:firstLine="480"/>
        <w:jc w:val="both"/>
        <w:spacing w:before="0" w:beforeAutospacing="0" w:after="0" w:afterAutospacing="0" w:line="360" w:lineRule="auto"/>
        <w:widowControl w:val="off"/>
        <w:rPr>
          <w:lang w:bidi="ar"/>
        </w:rPr>
      </w:pPr>
      <w:r>
        <w:rPr>
          <w:lang w:bidi="ar"/>
        </w:rPr>
        <w:t xml:space="preserve">响应时间。须承诺提供7×24小时技术响应支持，明确各类故障与服务请求的分级响应和处置时限。</w:t>
      </w:r>
      <w:r>
        <w:rPr>
          <w:lang w:bidi="ar"/>
        </w:rPr>
      </w:r>
      <w:r/>
    </w:p>
    <w:p>
      <w:pPr>
        <w:pStyle w:val="989"/>
        <w:numPr>
          <w:ilvl w:val="0"/>
          <w:numId w:val="12"/>
        </w:numPr>
        <w:ind w:firstLine="480"/>
        <w:jc w:val="both"/>
        <w:spacing w:before="0" w:beforeAutospacing="0" w:after="0" w:afterAutospacing="0" w:line="360" w:lineRule="auto"/>
        <w:widowControl w:val="off"/>
        <w:rPr>
          <w:lang w:bidi="ar"/>
        </w:rPr>
      </w:pPr>
      <w:r>
        <w:rPr>
          <w:lang w:bidi="ar"/>
        </w:rPr>
        <w:t xml:space="preserve">响应计划。供应商要制定完整的问题响应和处理流程，确保系统正常运行，为配合用户使用提供全方位的技术支持工作。</w:t>
      </w:r>
      <w:r>
        <w:rPr>
          <w:lang w:bidi="ar"/>
        </w:rPr>
      </w:r>
      <w:r/>
    </w:p>
    <w:p>
      <w:pPr>
        <w:pStyle w:val="940"/>
        <w:ind w:firstLine="0"/>
        <w:rPr>
          <w:rFonts w:hint="eastAsia"/>
        </w:rPr>
      </w:pPr>
      <w:r>
        <w:rPr>
          <w:rFonts w:hint="eastAsia"/>
        </w:rPr>
      </w:r>
      <w:r/>
    </w:p>
    <w:p>
      <w:pPr>
        <w:pStyle w:val="928"/>
        <w:jc w:val="left"/>
        <w:spacing w:before="0" w:after="0" w:line="360" w:lineRule="auto"/>
        <w:widowControl/>
        <w:rPr>
          <w:lang w:bidi="ar"/>
        </w:rPr>
      </w:pPr>
      <w:r>
        <w:rPr>
          <w:rFonts w:hint="eastAsia" w:ascii="宋体" w:hAnsi="宋体" w:eastAsia="宋体" w:cs="宋体"/>
          <w:sz w:val="28"/>
          <w:szCs w:val="28"/>
        </w:rPr>
        <w:t xml:space="preserve">六、履约能力要求</w:t>
      </w:r>
      <w:r>
        <w:rPr>
          <w:lang w:bidi="ar"/>
        </w:rPr>
      </w:r>
      <w:r/>
    </w:p>
    <w:p>
      <w:pPr>
        <w:pStyle w:val="989"/>
        <w:ind w:firstLine="480"/>
        <w:jc w:val="both"/>
        <w:spacing w:before="0" w:beforeAutospacing="0" w:after="0" w:afterAutospacing="0" w:line="360" w:lineRule="auto"/>
        <w:widowControl w:val="off"/>
        <w:rPr>
          <w:rFonts w:hint="eastAsia"/>
          <w:color w:val="000000"/>
          <w:lang w:bidi="ar"/>
        </w:rPr>
      </w:pPr>
      <w:r>
        <w:rPr>
          <w:rFonts w:hint="eastAsia"/>
          <w:color w:val="000000"/>
          <w:lang w:bidi="ar"/>
        </w:rPr>
        <w:t xml:space="preserve">1</w:t>
      </w:r>
      <w:r>
        <w:rPr>
          <w:color w:val="000000"/>
          <w:lang w:bidi="ar"/>
        </w:rPr>
        <w:t xml:space="preserve">.</w:t>
      </w:r>
      <w:r>
        <w:rPr>
          <w:rFonts w:hint="eastAsia"/>
          <w:color w:val="000000"/>
          <w:lang w:bidi="ar"/>
        </w:rPr>
        <w:t xml:space="preserve">磋商供应商</w:t>
      </w:r>
      <w:r>
        <w:rPr>
          <w:color w:val="000000"/>
          <w:lang w:bidi="ar"/>
        </w:rPr>
        <w:t xml:space="preserve">业绩：</w:t>
      </w:r>
      <w:r>
        <w:rPr>
          <w:rFonts w:hint="eastAsia" w:ascii="宋体" w:hAnsi="宋体" w:eastAsia="宋体" w:cs="宋体"/>
          <w:color w:val="000000"/>
          <w:sz w:val="24"/>
          <w:szCs w:val="24"/>
          <w:lang w:bidi="ar"/>
        </w:rPr>
        <w:t xml:space="preserve">供应商自2020年1月1日起（以合同日期为准）承担过包含数据</w:t>
      </w:r>
      <w:r>
        <w:rPr>
          <w:rFonts w:hint="eastAsia" w:cs="宋体"/>
          <w:color w:val="000000"/>
          <w:sz w:val="24"/>
          <w:szCs w:val="24"/>
          <w:lang w:val="en-US" w:eastAsia="zh-CN" w:bidi="ar"/>
        </w:rPr>
        <w:t xml:space="preserve">治理</w:t>
      </w:r>
      <w:r>
        <w:rPr>
          <w:rFonts w:hint="eastAsia" w:ascii="宋体" w:hAnsi="宋体" w:eastAsia="宋体" w:cs="宋体"/>
          <w:color w:val="000000"/>
          <w:sz w:val="24"/>
          <w:szCs w:val="24"/>
          <w:lang w:bidi="ar"/>
        </w:rPr>
        <w:t xml:space="preserve">、综合监管、检验检测</w:t>
      </w:r>
      <w:r>
        <w:rPr>
          <w:rFonts w:hint="eastAsia" w:ascii="宋体" w:hAnsi="宋体" w:eastAsia="宋体" w:cs="宋体"/>
          <w:color w:val="000000"/>
          <w:sz w:val="24"/>
          <w:szCs w:val="24"/>
          <w:lang w:val="en-US" w:eastAsia="zh-CN" w:bidi="ar"/>
        </w:rPr>
        <w:t xml:space="preserve">或</w:t>
      </w:r>
      <w:r>
        <w:rPr>
          <w:rFonts w:hint="eastAsia" w:ascii="宋体" w:hAnsi="宋体" w:eastAsia="宋体" w:cs="宋体"/>
          <w:color w:val="000000"/>
          <w:sz w:val="24"/>
          <w:szCs w:val="24"/>
          <w:lang w:bidi="ar"/>
        </w:rPr>
        <w:t xml:space="preserve">业务运营等核心功能的类似信息化系统建设业绩</w:t>
      </w:r>
      <w:r>
        <w:rPr>
          <w:rFonts w:hint="eastAsia"/>
          <w:color w:val="000000"/>
          <w:lang w:bidi="ar"/>
        </w:rPr>
        <w:t xml:space="preserve">。</w:t>
      </w:r>
      <w:r>
        <w:rPr>
          <w:rFonts w:hint="eastAsia"/>
          <w:color w:val="000000"/>
          <w:lang w:bidi="ar"/>
        </w:rPr>
      </w:r>
      <w:r/>
    </w:p>
    <w:p>
      <w:pPr>
        <w:pStyle w:val="989"/>
        <w:ind w:firstLine="480"/>
        <w:jc w:val="both"/>
        <w:spacing w:before="0" w:beforeAutospacing="0" w:after="0" w:afterAutospacing="0" w:line="360" w:lineRule="auto"/>
        <w:widowControl w:val="off"/>
        <w:rPr>
          <w:color w:val="000000"/>
        </w:rPr>
      </w:pPr>
      <w:r>
        <w:rPr>
          <w:rFonts w:hint="eastAsia"/>
          <w:color w:val="000000"/>
          <w:lang w:bidi="ar"/>
        </w:rPr>
        <w:t xml:space="preserve">2</w:t>
      </w:r>
      <w:r>
        <w:rPr>
          <w:color w:val="000000"/>
          <w:lang w:bidi="ar"/>
        </w:rPr>
        <w:t xml:space="preserve">.软件著作权：</w:t>
      </w:r>
      <w:r>
        <w:rPr>
          <w:rFonts w:hint="eastAsia"/>
          <w:color w:val="000000"/>
          <w:lang w:bidi="ar"/>
        </w:rPr>
        <w:t xml:space="preserve">供应商</w:t>
      </w:r>
      <w:r>
        <w:rPr>
          <w:color w:val="000000"/>
          <w:lang w:bidi="ar"/>
        </w:rPr>
        <w:t xml:space="preserve">具有与本次招标内容相关的计算机软件著作权登记证书，包括：“</w:t>
      </w:r>
      <w:r>
        <w:rPr>
          <w:rFonts w:hint="eastAsia"/>
          <w:color w:val="000000"/>
          <w:lang w:bidi="ar"/>
        </w:rPr>
        <w:t xml:space="preserve">一体化应用</w:t>
      </w:r>
      <w:r>
        <w:rPr>
          <w:color w:val="000000"/>
          <w:lang w:bidi="ar"/>
        </w:rPr>
        <w:t xml:space="preserve">”或“</w:t>
      </w:r>
      <w:r>
        <w:rPr>
          <w:rFonts w:hint="eastAsia"/>
          <w:color w:val="000000"/>
          <w:lang w:bidi="ar"/>
        </w:rPr>
        <w:t xml:space="preserve">预算管理</w:t>
      </w:r>
      <w:r>
        <w:rPr>
          <w:color w:val="000000"/>
          <w:lang w:bidi="ar"/>
        </w:rPr>
        <w:t xml:space="preserve">”或“</w:t>
      </w:r>
      <w:r>
        <w:rPr>
          <w:rFonts w:hint="eastAsia"/>
          <w:color w:val="000000"/>
          <w:lang w:bidi="ar"/>
        </w:rPr>
        <w:t xml:space="preserve">电子证书报告</w:t>
      </w:r>
      <w:r>
        <w:rPr>
          <w:color w:val="000000"/>
          <w:lang w:bidi="ar"/>
        </w:rPr>
        <w:t xml:space="preserve">”。</w:t>
      </w:r>
      <w:r>
        <w:rPr>
          <w:color w:val="000000"/>
        </w:rPr>
        <w:t xml:space="preserve"> </w:t>
      </w:r>
      <w:r>
        <w:rPr>
          <w:color w:val="000000"/>
        </w:rPr>
      </w:r>
      <w:r/>
    </w:p>
    <w:p>
      <w:pPr>
        <w:pStyle w:val="989"/>
        <w:ind w:firstLine="480"/>
        <w:jc w:val="both"/>
        <w:spacing w:before="0" w:beforeAutospacing="0" w:after="0" w:afterAutospacing="0" w:line="360" w:lineRule="auto"/>
        <w:widowControl w:val="off"/>
        <w:rPr>
          <w:color w:val="000000"/>
          <w:lang w:bidi="ar"/>
        </w:rPr>
      </w:pPr>
      <w:r>
        <w:rPr>
          <w:rFonts w:hint="eastAsia"/>
          <w:color w:val="000000"/>
          <w:lang w:bidi="ar"/>
        </w:rPr>
        <w:t xml:space="preserve">3</w:t>
      </w:r>
      <w:r>
        <w:rPr>
          <w:color w:val="000000"/>
          <w:lang w:bidi="ar"/>
        </w:rPr>
        <w:t xml:space="preserve">.项目经理需具备信息系统项目管理师证和软件设计师证书。项目开发团队中，除项目经理以外的技术人员，需持有信息系统项目管理师、系统架构设计师、软件设计师、注册信息安全专业人员（（CISP或CISSP））、信息技术服务标准应用经理证书(ITSS)证书。</w:t>
      </w:r>
      <w:r>
        <w:rPr>
          <w:color w:val="000000"/>
          <w:lang w:bidi="ar"/>
        </w:rPr>
      </w:r>
      <w:r/>
    </w:p>
    <w:p>
      <w:pPr>
        <w:pStyle w:val="927"/>
        <w:jc w:val="both"/>
        <w:keepLines/>
        <w:keepNext w:val="0"/>
        <w:spacing w:line="360" w:lineRule="auto"/>
        <w:rPr>
          <w:lang w:bidi="ar"/>
        </w:rPr>
      </w:pPr>
      <w:r>
        <w:rPr>
          <w:rFonts w:hint="eastAsia" w:ascii="宋体" w:hAnsi="宋体" w:eastAsia="宋体" w:cs="宋体"/>
        </w:rPr>
        <w:t xml:space="preserve">七、商务要求</w:t>
      </w:r>
      <w:r>
        <w:rPr>
          <w:lang w:bidi="ar"/>
        </w:rPr>
      </w:r>
      <w:r/>
    </w:p>
    <w:p>
      <w:pPr>
        <w:pStyle w:val="928"/>
        <w:numPr>
          <w:ilvl w:val="0"/>
          <w:numId w:val="13"/>
        </w:numPr>
        <w:ind w:firstLine="0"/>
        <w:jc w:val="left"/>
        <w:keepNext w:val="0"/>
        <w:spacing w:before="0" w:after="0"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项目服务期限</w:t>
      </w:r>
      <w:r>
        <w:rPr>
          <w:rFonts w:hint="eastAsia" w:ascii="宋体" w:hAnsi="宋体" w:eastAsia="宋体" w:cs="宋体"/>
          <w:sz w:val="28"/>
          <w:szCs w:val="28"/>
        </w:rPr>
      </w:r>
      <w:r/>
    </w:p>
    <w:p>
      <w:pPr>
        <w:pStyle w:val="926"/>
        <w:ind w:firstLine="480"/>
        <w:spacing w:line="560" w:lineRule="exact"/>
        <w:rPr>
          <w:rFonts w:hint="eastAsia" w:ascii="宋体" w:hAnsi="宋体" w:cs="宋体"/>
          <w:sz w:val="24"/>
          <w:szCs w:val="24"/>
        </w:rPr>
      </w:pPr>
      <w:r>
        <w:rPr>
          <w:rFonts w:hint="eastAsia" w:ascii="宋体" w:hAnsi="宋体" w:cs="宋体"/>
          <w:sz w:val="24"/>
          <w:szCs w:val="24"/>
          <w:lang w:bidi="ar"/>
        </w:rPr>
        <w:t xml:space="preserve">自合同签订之日起1</w:t>
      </w:r>
      <w:r>
        <w:rPr>
          <w:rFonts w:ascii="宋体" w:hAnsi="宋体" w:cs="宋体"/>
          <w:sz w:val="24"/>
          <w:szCs w:val="24"/>
          <w:lang w:bidi="ar"/>
        </w:rPr>
        <w:t xml:space="preserve">2</w:t>
      </w:r>
      <w:r>
        <w:rPr>
          <w:rFonts w:hint="eastAsia" w:ascii="宋体" w:hAnsi="宋体" w:cs="宋体"/>
          <w:sz w:val="24"/>
          <w:szCs w:val="24"/>
          <w:lang w:bidi="ar"/>
        </w:rPr>
        <w:t xml:space="preserve">个月内完成所有软件系统的开发、安装部署、测试、试运行</w:t>
      </w:r>
      <w:r>
        <w:rPr>
          <w:rFonts w:hint="eastAsia" w:ascii="宋体" w:hAnsi="宋体" w:cs="宋体"/>
          <w:sz w:val="24"/>
          <w:szCs w:val="24"/>
          <w:lang w:eastAsia="zh-CN" w:bidi="ar"/>
        </w:rPr>
        <w:t xml:space="preserve">、</w:t>
      </w:r>
      <w:r>
        <w:rPr>
          <w:rFonts w:hint="eastAsia" w:ascii="宋体" w:hAnsi="宋体" w:cs="宋体"/>
          <w:sz w:val="24"/>
          <w:szCs w:val="24"/>
          <w:lang w:val="en-US" w:eastAsia="zh-CN" w:bidi="ar"/>
        </w:rPr>
        <w:t xml:space="preserve">验收</w:t>
      </w:r>
      <w:r>
        <w:rPr>
          <w:rFonts w:hint="eastAsia" w:ascii="宋体" w:hAnsi="宋体" w:cs="宋体"/>
          <w:sz w:val="24"/>
          <w:szCs w:val="24"/>
          <w:lang w:bidi="ar"/>
        </w:rPr>
        <w:t xml:space="preserve">等工作。自验收合格之日起提供1年售后质保服务，报价中应包含质保服务。</w:t>
      </w:r>
      <w:r>
        <w:rPr>
          <w:rFonts w:hint="eastAsia" w:ascii="宋体" w:hAnsi="宋体" w:cs="宋体"/>
          <w:sz w:val="24"/>
          <w:szCs w:val="24"/>
        </w:rPr>
      </w:r>
      <w:r/>
    </w:p>
    <w:p>
      <w:pPr>
        <w:pStyle w:val="928"/>
        <w:numPr>
          <w:ilvl w:val="0"/>
          <w:numId w:val="13"/>
        </w:numPr>
        <w:ind w:firstLine="0"/>
        <w:jc w:val="left"/>
        <w:keepNext w:val="0"/>
        <w:spacing w:before="0" w:after="0"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验收要求</w:t>
      </w:r>
      <w:r>
        <w:rPr>
          <w:rFonts w:hint="eastAsia" w:ascii="宋体" w:hAnsi="宋体" w:eastAsia="宋体" w:cs="宋体"/>
          <w:sz w:val="28"/>
          <w:szCs w:val="28"/>
        </w:rPr>
      </w:r>
      <w:r/>
    </w:p>
    <w:p>
      <w:pPr>
        <w:pStyle w:val="926"/>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系统正式交付前，中标方将技术文档和源码、软件交甲方，对于已检测出来的安全漏洞，必须由中标人修复完成，否则不予上线交付。 </w:t>
      </w:r>
      <w:r>
        <w:rPr>
          <w:rFonts w:hint="eastAsia" w:ascii="宋体" w:hAnsi="宋体" w:cs="宋体"/>
          <w:sz w:val="24"/>
          <w:szCs w:val="24"/>
        </w:rPr>
      </w:r>
      <w:r/>
    </w:p>
    <w:p>
      <w:pPr>
        <w:pStyle w:val="926"/>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1.项目验收前，中标方要完成招标文件和合同规定的各项建设内容并满足要求，符合国家有关工程建设、安全及保密等各项规定，验收资料齐全。 </w:t>
      </w:r>
      <w:r>
        <w:rPr>
          <w:rFonts w:hint="eastAsia" w:ascii="宋体" w:hAnsi="宋体" w:cs="宋体"/>
          <w:sz w:val="24"/>
          <w:szCs w:val="24"/>
        </w:rPr>
      </w:r>
      <w:r/>
    </w:p>
    <w:p>
      <w:pPr>
        <w:pStyle w:val="926"/>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2.项目完工后，中标方按招标文件和合同要求提交所有项目成果和项目文档。并提出验收申请，用户单位出具用户使用意见。 </w:t>
      </w:r>
      <w:r>
        <w:rPr>
          <w:rFonts w:hint="eastAsia" w:ascii="宋体" w:hAnsi="宋体" w:cs="宋体"/>
          <w:sz w:val="24"/>
          <w:szCs w:val="24"/>
        </w:rPr>
      </w:r>
      <w:r/>
    </w:p>
    <w:p>
      <w:pPr>
        <w:pStyle w:val="926"/>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3.采购人、用户使用方等接收项目成果和项目文档。用户单位确认是否达到验收要求，并按验收方案，组织项目验收。 </w:t>
      </w:r>
      <w:r>
        <w:rPr>
          <w:rFonts w:hint="eastAsia" w:ascii="宋体" w:hAnsi="宋体" w:cs="宋体"/>
          <w:sz w:val="24"/>
          <w:szCs w:val="24"/>
        </w:rPr>
      </w:r>
      <w:r/>
    </w:p>
    <w:p>
      <w:pPr>
        <w:pStyle w:val="926"/>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4.系统在完成功能开发上线联调测试并经用户单位验证通过后可进行项目验收。 </w:t>
      </w:r>
      <w:r>
        <w:rPr>
          <w:rFonts w:hint="eastAsia" w:ascii="宋体" w:hAnsi="宋体" w:cs="宋体"/>
          <w:sz w:val="24"/>
          <w:szCs w:val="24"/>
        </w:rPr>
      </w:r>
      <w:r/>
    </w:p>
    <w:p>
      <w:pPr>
        <w:pStyle w:val="926"/>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5.对整个项目的验收包括检查应用系统是否实现了双方签定的《需求说明书》所要求实现的相关功能，是否与投标人提出的解决方案中既定建设目标一致。 </w:t>
      </w:r>
      <w:r>
        <w:rPr>
          <w:rFonts w:hint="eastAsia" w:ascii="宋体" w:hAnsi="宋体" w:cs="宋体"/>
          <w:sz w:val="24"/>
          <w:szCs w:val="24"/>
        </w:rPr>
      </w:r>
      <w:r/>
    </w:p>
    <w:p>
      <w:pPr>
        <w:pStyle w:val="928"/>
        <w:numPr>
          <w:ilvl w:val="0"/>
          <w:numId w:val="13"/>
        </w:numPr>
        <w:ind w:firstLine="0"/>
        <w:jc w:val="left"/>
        <w:keepNext w:val="0"/>
        <w:spacing w:before="0" w:after="0"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付款方式</w:t>
      </w:r>
      <w:r>
        <w:rPr>
          <w:rFonts w:hint="eastAsia" w:ascii="宋体" w:hAnsi="宋体" w:eastAsia="宋体" w:cs="宋体"/>
          <w:sz w:val="28"/>
          <w:szCs w:val="28"/>
        </w:rPr>
      </w:r>
      <w:r/>
    </w:p>
    <w:p>
      <w:pPr>
        <w:pStyle w:val="926"/>
        <w:ind w:firstLine="480"/>
        <w:jc w:val="left"/>
        <w:spacing w:line="560" w:lineRule="exact"/>
        <w:rPr>
          <w:rFonts w:hint="eastAsia" w:ascii="方正仿宋_GBK" w:hAnsi="方正仿宋_GBK" w:eastAsia="方正仿宋_GBK" w:cs="方正仿宋_GBK"/>
          <w:bCs/>
          <w:sz w:val="28"/>
          <w:szCs w:val="28"/>
        </w:rPr>
      </w:pPr>
      <w:r>
        <w:rPr>
          <w:rFonts w:hint="eastAsia" w:ascii="宋体" w:hAnsi="宋体" w:cs="宋体"/>
          <w:sz w:val="24"/>
          <w:szCs w:val="24"/>
          <w:lang w:bidi="ar"/>
        </w:rPr>
        <w:t xml:space="preserve">合同签订后，采购人在收到发票后10个工作日内，支付合同金额的30%；项目试运行支付合同金额的50%；项目验收合格后，支付合同金额的20%。</w:t>
      </w:r>
      <w:r>
        <w:rPr>
          <w:rFonts w:hint="eastAsia" w:ascii="方正仿宋_GBK" w:hAnsi="方正仿宋_GBK" w:eastAsia="方正仿宋_GBK" w:cs="方正仿宋_GBK"/>
          <w:bCs/>
          <w:sz w:val="28"/>
          <w:szCs w:val="28"/>
        </w:rPr>
      </w:r>
      <w:r/>
    </w:p>
    <w:p>
      <w:pPr>
        <w:pStyle w:val="928"/>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八、其他要求</w:t>
      </w:r>
      <w:r>
        <w:rPr>
          <w:rFonts w:hint="eastAsia" w:ascii="方正黑体_GBK" w:hAnsi="方正黑体_GBK" w:eastAsia="方正黑体_GBK" w:cs="方正黑体_GBK"/>
          <w:b w:val="0"/>
          <w:bCs w:val="0"/>
          <w:sz w:val="28"/>
          <w:szCs w:val="28"/>
        </w:rPr>
      </w:r>
      <w:r/>
    </w:p>
    <w:p>
      <w:pPr>
        <w:pStyle w:val="926"/>
        <w:ind w:firstLine="480"/>
        <w:jc w:val="left"/>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1.项目属性:服务类项目。</w:t>
      </w:r>
      <w:r>
        <w:rPr>
          <w:rFonts w:hint="eastAsia" w:ascii="宋体" w:hAnsi="宋体" w:eastAsia="宋体" w:cs="宋体"/>
          <w:sz w:val="24"/>
          <w:szCs w:val="24"/>
          <w:lang w:bidi="ar"/>
        </w:rPr>
      </w:r>
      <w:r/>
    </w:p>
    <w:p>
      <w:pPr>
        <w:pStyle w:val="926"/>
        <w:ind w:firstLine="480"/>
        <w:jc w:val="left"/>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2.演示要求</w:t>
      </w:r>
      <w:r>
        <w:rPr>
          <w:rFonts w:hint="eastAsia" w:ascii="宋体" w:hAnsi="宋体" w:eastAsia="宋体" w:cs="宋体"/>
          <w:sz w:val="24"/>
          <w:szCs w:val="24"/>
          <w:lang w:bidi="ar"/>
        </w:rPr>
      </w:r>
      <w:r/>
    </w:p>
    <w:p>
      <w:pPr>
        <w:pStyle w:val="926"/>
        <w:ind w:firstLine="480"/>
        <w:jc w:val="left"/>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演示方式 上传视频演示</w:t>
      </w:r>
      <w:r>
        <w:rPr>
          <w:rFonts w:hint="eastAsia" w:ascii="宋体" w:hAnsi="宋体" w:eastAsia="宋体" w:cs="宋体"/>
          <w:sz w:val="24"/>
          <w:szCs w:val="24"/>
          <w:lang w:bidi="ar"/>
        </w:rPr>
      </w:r>
      <w:r/>
    </w:p>
    <w:p>
      <w:pPr>
        <w:pStyle w:val="926"/>
        <w:ind w:firstLine="480"/>
        <w:jc w:val="left"/>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1）供应商需按照磋商文件规定的演示内容制作演示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15分钟。</w:t>
      </w:r>
      <w:r>
        <w:rPr>
          <w:rFonts w:hint="eastAsia" w:ascii="宋体" w:hAnsi="宋体" w:eastAsia="宋体" w:cs="宋体"/>
          <w:sz w:val="24"/>
          <w:szCs w:val="24"/>
          <w:lang w:bidi="ar"/>
        </w:rPr>
      </w:r>
      <w:r/>
    </w:p>
    <w:p>
      <w:pPr>
        <w:pStyle w:val="926"/>
        <w:ind w:firstLine="480"/>
        <w:jc w:val="left"/>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（2）演示内容如下：</w:t>
      </w:r>
      <w:r>
        <w:rPr>
          <w:rFonts w:hint="eastAsia" w:ascii="宋体" w:hAnsi="宋体" w:eastAsia="宋体" w:cs="宋体"/>
          <w:sz w:val="24"/>
          <w:szCs w:val="24"/>
          <w:lang w:bidi="ar"/>
        </w:rPr>
      </w:r>
      <w:r/>
    </w:p>
    <w:p>
      <w:pPr>
        <w:pStyle w:val="926"/>
        <w:numPr>
          <w:ilvl w:val="0"/>
          <w:numId w:val="14"/>
        </w:numPr>
        <w:ind w:left="0" w:firstLine="420"/>
        <w:spacing w:line="400" w:lineRule="exact"/>
        <w:rPr>
          <w:rFonts w:hint="eastAsia"/>
        </w:rPr>
      </w:pPr>
      <w:r>
        <w:rPr>
          <w:rFonts w:hint="eastAsia"/>
        </w:rPr>
        <w:t xml:space="preserve">证书抽查任务下发和处理功能演示</w:t>
      </w:r>
      <w:r>
        <w:rPr>
          <w:rFonts w:hint="eastAsia"/>
        </w:rPr>
      </w:r>
      <w:r/>
    </w:p>
    <w:p>
      <w:pPr>
        <w:pStyle w:val="926"/>
        <w:numPr>
          <w:ilvl w:val="0"/>
          <w:numId w:val="15"/>
        </w:numPr>
        <w:ind w:left="845" w:hanging="425"/>
        <w:spacing w:line="400" w:lineRule="exact"/>
        <w:tabs>
          <w:tab w:val="left" w:pos="420" w:leader="none"/>
        </w:tabs>
        <w:rPr>
          <w:rFonts w:hint="eastAsia"/>
        </w:rPr>
      </w:pPr>
      <w:r>
        <w:rPr>
          <w:rFonts w:hint="eastAsia"/>
        </w:rPr>
        <w:t xml:space="preserve">证书抽查目录导入并自动生成抽查任务</w:t>
      </w:r>
      <w:r>
        <w:rPr>
          <w:rFonts w:hint="eastAsia"/>
        </w:rPr>
      </w:r>
      <w:r/>
    </w:p>
    <w:p>
      <w:pPr>
        <w:pStyle w:val="926"/>
        <w:numPr>
          <w:ilvl w:val="0"/>
          <w:numId w:val="15"/>
        </w:numPr>
        <w:ind w:left="845" w:hanging="425"/>
        <w:spacing w:line="400" w:lineRule="exact"/>
        <w:tabs>
          <w:tab w:val="left" w:pos="420" w:leader="none"/>
        </w:tabs>
        <w:rPr>
          <w:rFonts w:hint="eastAsia"/>
        </w:rPr>
      </w:pPr>
      <w:r>
        <w:rPr>
          <w:rFonts w:hint="eastAsia"/>
        </w:rPr>
        <w:t xml:space="preserve">原始记录文件上传和并支持在线预览</w:t>
      </w:r>
      <w:r>
        <w:rPr>
          <w:rFonts w:hint="eastAsia"/>
        </w:rPr>
      </w:r>
      <w:r/>
    </w:p>
    <w:p>
      <w:pPr>
        <w:pStyle w:val="926"/>
        <w:numPr>
          <w:ilvl w:val="0"/>
          <w:numId w:val="15"/>
        </w:numPr>
        <w:ind w:left="845" w:hanging="425"/>
        <w:spacing w:line="400" w:lineRule="exact"/>
        <w:tabs>
          <w:tab w:val="left" w:pos="420" w:leader="none"/>
        </w:tabs>
        <w:rPr>
          <w:rFonts w:hint="eastAsia"/>
        </w:rPr>
      </w:pPr>
      <w:r>
        <w:rPr>
          <w:rFonts w:hint="eastAsia"/>
        </w:rPr>
        <w:t xml:space="preserve">结果确认和技术质量科确认差错</w:t>
      </w:r>
      <w:r>
        <w:rPr>
          <w:rFonts w:hint="eastAsia"/>
        </w:rPr>
      </w:r>
      <w:r/>
    </w:p>
    <w:p>
      <w:pPr>
        <w:pStyle w:val="926"/>
        <w:numPr>
          <w:ilvl w:val="0"/>
          <w:numId w:val="14"/>
        </w:numPr>
        <w:ind w:left="0" w:firstLine="420"/>
        <w:spacing w:line="400" w:lineRule="exact"/>
        <w:rPr>
          <w:rFonts w:hint="eastAsia"/>
        </w:rPr>
      </w:pPr>
      <w:r>
        <w:rPr>
          <w:rFonts w:hint="eastAsia"/>
        </w:rPr>
        <w:t xml:space="preserve">不符合的证书/报告、原始记录登记流程演示</w:t>
      </w:r>
      <w:r>
        <w:rPr>
          <w:rFonts w:hint="eastAsia"/>
        </w:rPr>
      </w:r>
      <w:r/>
    </w:p>
    <w:p>
      <w:pPr>
        <w:pStyle w:val="926"/>
        <w:numPr>
          <w:ilvl w:val="0"/>
          <w:numId w:val="16"/>
        </w:numPr>
        <w:ind w:left="845" w:hanging="425"/>
        <w:spacing w:line="400" w:lineRule="exact"/>
        <w:tabs>
          <w:tab w:val="left" w:pos="420" w:leader="none"/>
        </w:tabs>
        <w:rPr>
          <w:rFonts w:hint="eastAsia"/>
        </w:rPr>
      </w:pPr>
      <w:r>
        <w:rPr>
          <w:rFonts w:hint="eastAsia"/>
        </w:rPr>
        <w:t xml:space="preserve">抽查任务完成检查后发起登记表流程）</w:t>
      </w:r>
      <w:r>
        <w:rPr>
          <w:rFonts w:hint="eastAsia"/>
        </w:rPr>
      </w:r>
      <w:r/>
    </w:p>
    <w:p>
      <w:pPr>
        <w:pStyle w:val="926"/>
        <w:numPr>
          <w:ilvl w:val="0"/>
          <w:numId w:val="16"/>
        </w:numPr>
        <w:ind w:left="845" w:hanging="425"/>
        <w:spacing w:line="400" w:lineRule="exact"/>
        <w:tabs>
          <w:tab w:val="left" w:pos="420" w:leader="none"/>
        </w:tabs>
        <w:rPr>
          <w:rFonts w:hint="eastAsia"/>
        </w:rPr>
      </w:pPr>
      <w:r>
        <w:rPr>
          <w:rFonts w:hint="eastAsia"/>
        </w:rPr>
        <w:t xml:space="preserve">检测所查看差错详情并确认结果</w:t>
      </w:r>
      <w:r>
        <w:rPr>
          <w:rFonts w:hint="eastAsia"/>
        </w:rPr>
      </w:r>
      <w:r/>
    </w:p>
    <w:p>
      <w:pPr>
        <w:pStyle w:val="926"/>
        <w:numPr>
          <w:ilvl w:val="0"/>
          <w:numId w:val="14"/>
        </w:numPr>
        <w:ind w:left="0" w:firstLine="420"/>
        <w:spacing w:line="400" w:lineRule="exact"/>
        <w:rPr>
          <w:rFonts w:hint="eastAsia"/>
        </w:rPr>
      </w:pPr>
      <w:r>
        <w:rPr>
          <w:rFonts w:hint="eastAsia"/>
        </w:rPr>
        <w:t xml:space="preserve">CMA能力扩项申报功能演示</w:t>
      </w:r>
      <w:r>
        <w:rPr>
          <w:rFonts w:hint="eastAsia"/>
        </w:rPr>
      </w:r>
      <w:r/>
    </w:p>
    <w:p>
      <w:pPr>
        <w:pStyle w:val="926"/>
        <w:numPr>
          <w:ilvl w:val="0"/>
          <w:numId w:val="17"/>
        </w:numPr>
        <w:ind w:left="845" w:hanging="425"/>
        <w:spacing w:line="400" w:lineRule="exact"/>
        <w:tabs>
          <w:tab w:val="left" w:pos="420" w:leader="none"/>
        </w:tabs>
        <w:rPr>
          <w:rFonts w:hint="eastAsia"/>
        </w:rPr>
      </w:pPr>
      <w:r>
        <w:rPr>
          <w:rFonts w:hint="eastAsia"/>
        </w:rPr>
        <w:t xml:space="preserve">CMA能力扩项信息填写并关联仪器设备</w:t>
      </w:r>
      <w:r>
        <w:rPr>
          <w:rFonts w:hint="eastAsia"/>
        </w:rPr>
      </w:r>
      <w:r/>
    </w:p>
    <w:p>
      <w:pPr>
        <w:pStyle w:val="926"/>
        <w:numPr>
          <w:ilvl w:val="0"/>
          <w:numId w:val="17"/>
        </w:numPr>
        <w:ind w:left="845" w:hanging="425"/>
        <w:spacing w:line="400" w:lineRule="exact"/>
        <w:tabs>
          <w:tab w:val="left" w:pos="420" w:leader="none"/>
        </w:tabs>
        <w:rPr>
          <w:rFonts w:hint="eastAsia"/>
        </w:rPr>
      </w:pPr>
      <w:r>
        <w:rPr>
          <w:rFonts w:hint="eastAsia"/>
        </w:rPr>
        <w:t xml:space="preserve">CMA申报关联项目流程流程功能</w:t>
      </w:r>
      <w:r>
        <w:rPr>
          <w:rFonts w:hint="eastAsia"/>
        </w:rPr>
      </w:r>
      <w:r/>
    </w:p>
    <w:p>
      <w:pPr>
        <w:pStyle w:val="926"/>
        <w:numPr>
          <w:ilvl w:val="0"/>
          <w:numId w:val="14"/>
        </w:numPr>
        <w:ind w:left="0" w:firstLine="420"/>
        <w:spacing w:line="400" w:lineRule="exact"/>
        <w:rPr>
          <w:rFonts w:hint="eastAsia"/>
        </w:rPr>
      </w:pPr>
      <w:r>
        <w:rPr>
          <w:rFonts w:hint="eastAsia"/>
        </w:rPr>
        <w:t xml:space="preserve">培训效果和主观评价功能演示</w:t>
      </w:r>
      <w:r>
        <w:rPr>
          <w:rFonts w:hint="eastAsia"/>
        </w:rPr>
      </w:r>
      <w:r/>
    </w:p>
    <w:p>
      <w:pPr>
        <w:pStyle w:val="926"/>
        <w:numPr>
          <w:ilvl w:val="0"/>
          <w:numId w:val="18"/>
        </w:numPr>
        <w:ind w:left="845" w:hanging="425"/>
        <w:spacing w:line="400" w:lineRule="exact"/>
        <w:tabs>
          <w:tab w:val="left" w:pos="420" w:leader="none"/>
        </w:tabs>
        <w:rPr>
          <w:rFonts w:hint="eastAsia"/>
        </w:rPr>
      </w:pPr>
      <w:r>
        <w:rPr>
          <w:rFonts w:hint="eastAsia"/>
        </w:rPr>
        <w:t xml:space="preserve">培训流程完成后自动生成培训主观评价表</w:t>
      </w:r>
      <w:r>
        <w:rPr>
          <w:rFonts w:hint="eastAsia"/>
        </w:rPr>
      </w:r>
      <w:r/>
    </w:p>
    <w:p>
      <w:pPr>
        <w:pStyle w:val="926"/>
        <w:numPr>
          <w:ilvl w:val="0"/>
          <w:numId w:val="18"/>
        </w:numPr>
        <w:ind w:left="845" w:hanging="425"/>
        <w:spacing w:line="400" w:lineRule="exact"/>
        <w:tabs>
          <w:tab w:val="left" w:pos="420" w:leader="none"/>
        </w:tabs>
        <w:rPr>
          <w:rFonts w:hint="eastAsia"/>
        </w:rPr>
      </w:pPr>
      <w:r>
        <w:rPr>
          <w:rFonts w:hint="eastAsia"/>
        </w:rPr>
        <w:t xml:space="preserve">培训主观评价表填写和提交</w:t>
      </w:r>
      <w:r>
        <w:rPr>
          <w:rFonts w:hint="eastAsia"/>
        </w:rPr>
      </w:r>
      <w:r/>
    </w:p>
    <w:p>
      <w:pPr>
        <w:pStyle w:val="926"/>
        <w:numPr>
          <w:ilvl w:val="0"/>
          <w:numId w:val="16"/>
        </w:numPr>
        <w:ind w:left="845" w:hanging="425"/>
        <w:spacing w:line="400" w:lineRule="exact"/>
        <w:tabs>
          <w:tab w:val="left" w:pos="420" w:leader="none"/>
        </w:tabs>
        <w:rPr>
          <w:rFonts w:hint="eastAsia" w:ascii="Times New Roman" w:hAnsi="Times New Roman" w:eastAsia="宋体" w:cs="Times New Roman"/>
        </w:rPr>
      </w:pPr>
      <w:r>
        <w:rPr>
          <w:rFonts w:hint="eastAsia" w:ascii="Times New Roman" w:hAnsi="Times New Roman" w:eastAsia="宋体" w:cs="Times New Roman"/>
        </w:rPr>
        <w:t xml:space="preserve">培训老师查看所有评价记录和详情</w:t>
      </w:r>
      <w:r>
        <w:rPr>
          <w:rFonts w:hint="eastAsia" w:ascii="Times New Roman" w:hAnsi="Times New Roman" w:eastAsia="宋体" w:cs="Times New Roman"/>
        </w:rPr>
      </w:r>
      <w:r/>
    </w:p>
    <w:p>
      <w:pPr>
        <w:pStyle w:val="926"/>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spacing w:before="120" w:after="120" w:line="0" w:lineRule="atLeast"/>
        <w:rPr>
          <w:rFonts w:ascii="宋体" w:hAnsi="Courier New" w:cs="Courier New"/>
          <w:sz w:val="24"/>
          <w:szCs w:val="24"/>
        </w:rPr>
      </w:pPr>
      <w:r>
        <w:rPr>
          <w:rFonts w:ascii="宋体" w:hAnsi="Courier New" w:cs="Courier New"/>
          <w:sz w:val="24"/>
          <w:szCs w:val="24"/>
        </w:rPr>
      </w:r>
      <w:r/>
    </w:p>
    <w:p>
      <w:pPr>
        <w:pStyle w:val="926"/>
        <w:jc w:val="center"/>
        <w:keepNext/>
        <w:spacing w:line="400" w:lineRule="exact"/>
        <w:rPr>
          <w:rFonts w:hint="eastAsia" w:ascii="黑体" w:eastAsia="黑体"/>
          <w:bCs/>
          <w:sz w:val="28"/>
          <w:szCs w:val="28"/>
        </w:rPr>
        <w:outlineLvl w:val="0"/>
      </w:pPr>
      <w:r/>
      <w:bookmarkStart w:id="179" w:name="_Toc120614281"/>
      <w:r>
        <w:rPr>
          <w:rFonts w:hint="eastAsia" w:ascii="黑体" w:eastAsia="黑体"/>
          <w:bCs/>
          <w:sz w:val="28"/>
          <w:szCs w:val="28"/>
        </w:rPr>
        <w:t xml:space="preserve">第五章  评审方法与评审标准</w:t>
      </w:r>
      <w:r>
        <w:rPr>
          <w:rFonts w:hint="eastAsia" w:ascii="黑体" w:eastAsia="黑体"/>
          <w:bCs/>
          <w:sz w:val="28"/>
          <w:szCs w:val="28"/>
        </w:rPr>
      </w:r>
      <w:r/>
    </w:p>
    <w:p>
      <w:pPr>
        <w:pStyle w:val="926"/>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926"/>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926"/>
        <w:ind w:firstLine="562"/>
        <w:jc w:val="left"/>
        <w:spacing w:before="120" w:after="120" w:line="520" w:lineRule="exact"/>
        <w:rPr>
          <w:rFonts w:hint="eastAsia" w:ascii="方正仿宋_GBK" w:hAnsi="方正仿宋_GBK" w:eastAsia="方正仿宋_GBK" w:cs="方正仿宋_GBK"/>
          <w:b/>
          <w:bCs/>
          <w:sz w:val="44"/>
          <w:szCs w:val="44"/>
        </w:rPr>
      </w:pPr>
      <w:r>
        <w:rPr>
          <w:rFonts w:hint="eastAsia" w:ascii="方正仿宋_GBK" w:hAnsi="方正仿宋_GBK" w:eastAsia="方正仿宋_GBK" w:cs="方正仿宋_GBK"/>
          <w:b/>
          <w:bCs/>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sz w:val="44"/>
          <w:szCs w:val="44"/>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926"/>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26"/>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926"/>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26"/>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2"/>
        <w:jc w:val="left"/>
        <w:spacing w:before="120" w:after="120" w:line="400" w:lineRule="exact"/>
        <w:rPr>
          <w:rFonts w:hint="eastAsia" w:ascii="方正仿宋_GBK" w:hAnsi="方正仿宋_GBK" w:eastAsia="方正仿宋_GBK" w:cs="方正仿宋_GBK"/>
          <w:b/>
          <w:color w:val="000000"/>
          <w:sz w:val="32"/>
          <w:szCs w:val="32"/>
          <w:highlight w:val="green"/>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32"/>
          <w:szCs w:val="32"/>
          <w:highlight w:val="green"/>
        </w:rPr>
      </w:r>
      <w:r/>
    </w:p>
    <w:p>
      <w:pPr>
        <w:pStyle w:val="926"/>
        <w:spacing w:line="400" w:lineRule="exact"/>
        <w:rPr>
          <w:rFonts w:hint="eastAsia"/>
          <w:szCs w:val="21"/>
        </w:rPr>
      </w:pPr>
      <w:r>
        <w:rPr>
          <w:rFonts w:hint="eastAsia"/>
          <w:szCs w:val="21"/>
        </w:rPr>
      </w:r>
      <w:r/>
    </w:p>
    <w:tbl>
      <w:tblPr>
        <w:tblW w:w="8833"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307"/>
        <w:gridCol w:w="6946"/>
      </w:tblGrid>
      <w:tr>
        <w:trPr>
          <w:trHeight w:val="375"/>
        </w:trPr>
        <w:tc>
          <w:tcPr>
            <w:tcW w:w="580" w:type="dxa"/>
            <w:vAlign w:val="center"/>
            <w:textDirection w:val="lrTb"/>
            <w:noWrap w:val="false"/>
          </w:tcPr>
          <w:p>
            <w:pPr>
              <w:pStyle w:val="926"/>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307" w:type="dxa"/>
            <w:vAlign w:val="center"/>
            <w:textDirection w:val="lrTb"/>
            <w:noWrap w:val="false"/>
          </w:tcPr>
          <w:p>
            <w:pPr>
              <w:pStyle w:val="92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项目</w:t>
            </w:r>
            <w:r>
              <w:rPr>
                <w:rFonts w:hint="eastAsia" w:ascii="宋体" w:hAnsi="宋体" w:cs="宋体"/>
                <w:b/>
                <w:bCs/>
                <w:color w:val="000000"/>
                <w:sz w:val="24"/>
                <w:szCs w:val="24"/>
              </w:rPr>
            </w:r>
            <w:r/>
          </w:p>
        </w:tc>
        <w:tc>
          <w:tcPr>
            <w:tcW w:w="6946" w:type="dxa"/>
            <w:vAlign w:val="center"/>
            <w:textDirection w:val="lrTb"/>
            <w:noWrap w:val="false"/>
          </w:tcPr>
          <w:p>
            <w:pPr>
              <w:pStyle w:val="92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评分标准</w:t>
            </w:r>
            <w:r>
              <w:rPr>
                <w:rFonts w:hint="eastAsia" w:ascii="宋体" w:hAnsi="宋体" w:cs="宋体"/>
                <w:b/>
                <w:bCs/>
                <w:color w:val="000000"/>
                <w:sz w:val="24"/>
                <w:szCs w:val="24"/>
              </w:rPr>
            </w:r>
            <w:r/>
          </w:p>
        </w:tc>
      </w:tr>
      <w:tr>
        <w:trPr>
          <w:trHeight w:val="351"/>
        </w:trPr>
        <w:tc>
          <w:tcPr>
            <w:tcW w:w="580" w:type="dxa"/>
            <w:vAlign w:val="center"/>
            <w:textDirection w:val="lrTb"/>
            <w:noWrap w:val="false"/>
          </w:tcPr>
          <w:p>
            <w:pPr>
              <w:pStyle w:val="9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307" w:type="dxa"/>
            <w:vAlign w:val="center"/>
            <w:textDirection w:val="lrTb"/>
            <w:noWrap w:val="false"/>
          </w:tcPr>
          <w:p>
            <w:pPr>
              <w:pStyle w:val="926"/>
              <w:widowControl/>
              <w:rPr>
                <w:rFonts w:hint="eastAsia" w:ascii="宋体" w:hAnsi="宋体" w:cs="宋体"/>
                <w:color w:val="000000"/>
                <w:sz w:val="24"/>
                <w:szCs w:val="24"/>
              </w:rPr>
            </w:pPr>
            <w:r>
              <w:rPr>
                <w:rFonts w:hint="eastAsia" w:ascii="宋体" w:hAnsi="宋体" w:cs="宋体"/>
                <w:color w:val="000000"/>
                <w:sz w:val="24"/>
                <w:szCs w:val="24"/>
                <w:lang w:bidi="ar"/>
              </w:rPr>
              <w:t xml:space="preserve">价格分(10分)</w:t>
            </w:r>
            <w:r>
              <w:rPr>
                <w:rFonts w:hint="eastAsia" w:ascii="宋体" w:hAnsi="宋体" w:cs="宋体"/>
                <w:color w:val="000000"/>
                <w:sz w:val="24"/>
                <w:szCs w:val="24"/>
              </w:rPr>
            </w:r>
            <w:r/>
          </w:p>
        </w:tc>
        <w:tc>
          <w:tcPr>
            <w:tcW w:w="6946" w:type="dxa"/>
            <w:vAlign w:val="center"/>
            <w:textDirection w:val="lrTb"/>
            <w:noWrap w:val="false"/>
          </w:tcPr>
          <w:p>
            <w:pPr>
              <w:pStyle w:val="926"/>
              <w:widowControl/>
              <w:rPr>
                <w:rFonts w:hint="eastAsia" w:ascii="宋体" w:hAnsi="宋体" w:cs="宋体"/>
              </w:rPr>
            </w:pPr>
            <w:r>
              <w:rPr>
                <w:rFonts w:hint="eastAsia" w:ascii="宋体" w:hAnsi="宋体" w:cs="宋体"/>
                <w:spacing w:val="1"/>
                <w:sz w:val="24"/>
                <w:szCs w:val="24"/>
                <w:lang w:bidi="ar"/>
              </w:rPr>
              <w:t xml:space="preserve">价格分</w:t>
            </w:r>
            <w:r>
              <w:rPr>
                <w:rFonts w:hint="eastAsia" w:ascii="宋体" w:hAnsi="宋体" w:cs="宋体"/>
                <w:color w:val="000000"/>
                <w:sz w:val="24"/>
                <w:szCs w:val="24"/>
                <w:lang w:bidi="ar"/>
              </w:rPr>
              <w:t xml:space="preserve">采用低价优先法计算，即满足招标文件要求且投标价格最低的投标报价为评标基准价，其价格分为满分。其他投标人的价格分统一按照下列公式计算：投标报价得分=（评标基准价/投标报价）×10</w:t>
            </w:r>
            <w:r>
              <w:rPr>
                <w:rFonts w:hint="eastAsia" w:ascii="宋体" w:hAnsi="宋体" w:cs="宋体"/>
                <w:spacing w:val="1"/>
                <w:sz w:val="24"/>
                <w:szCs w:val="24"/>
                <w:lang w:bidi="ar"/>
              </w:rPr>
              <w:t xml:space="preserve">（小数点保留两位）</w:t>
            </w:r>
            <w:r>
              <w:rPr>
                <w:rFonts w:hint="eastAsia" w:ascii="宋体" w:hAnsi="宋体" w:cs="宋体"/>
              </w:rPr>
            </w:r>
            <w:r/>
          </w:p>
        </w:tc>
      </w:tr>
      <w:tr>
        <w:trPr>
          <w:trHeight w:val="90"/>
        </w:trPr>
        <w:tc>
          <w:tcPr>
            <w:tcW w:w="580" w:type="dxa"/>
            <w:vAlign w:val="center"/>
            <w:vMerge w:val="restart"/>
            <w:textDirection w:val="lrTb"/>
            <w:noWrap w:val="false"/>
          </w:tcPr>
          <w:p>
            <w:pPr>
              <w:pStyle w:val="9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1307" w:type="dxa"/>
            <w:vAlign w:val="center"/>
            <w:vMerge w:val="restart"/>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功能要求响应情况（34分）</w:t>
            </w:r>
            <w:r>
              <w:rPr>
                <w:rFonts w:hint="eastAsia" w:ascii="宋体" w:hAnsi="宋体" w:cs="宋体"/>
                <w:color w:val="000000"/>
                <w:sz w:val="24"/>
                <w:szCs w:val="24"/>
                <w:lang w:bidi="ar"/>
              </w:rPr>
            </w:r>
            <w:r/>
          </w:p>
        </w:tc>
        <w:tc>
          <w:tcPr>
            <w:tcW w:w="6946" w:type="dxa"/>
            <w:vAlign w:val="center"/>
            <w:textDirection w:val="lrTb"/>
            <w:noWrap w:val="false"/>
          </w:tcPr>
          <w:p>
            <w:pPr>
              <w:pStyle w:val="926"/>
              <w:widowControl/>
              <w:rPr>
                <w:rFonts w:hint="eastAsia" w:ascii="宋体" w:hAnsi="宋体" w:cs="宋体"/>
                <w:color w:val="000000"/>
                <w:spacing w:val="1"/>
                <w:sz w:val="24"/>
                <w:szCs w:val="24"/>
                <w:highlight w:val="green"/>
                <w:lang w:bidi="ar"/>
              </w:rPr>
            </w:pPr>
            <w:r>
              <w:rPr>
                <w:rFonts w:hint="eastAsia" w:ascii="宋体" w:hAnsi="宋体" w:cs="宋体"/>
                <w:color w:val="000000"/>
                <w:sz w:val="24"/>
                <w:szCs w:val="24"/>
                <w:lang w:bidi="ar"/>
              </w:rPr>
              <w:t xml:space="preserve">根据第四章招标内容及需求中“四、技术要求”进行打分。针对各项技术功能参数要求逐条响应，完全响应磋商文件要求的得34分。</w:t>
            </w:r>
            <w:r>
              <w:rPr>
                <w:rFonts w:hint="eastAsia" w:ascii="宋体" w:hAnsi="宋体" w:cs="宋体"/>
                <w:color w:val="000000"/>
                <w:spacing w:val="1"/>
                <w:sz w:val="24"/>
                <w:szCs w:val="24"/>
                <w:highlight w:val="green"/>
                <w:lang w:bidi="ar"/>
              </w:rPr>
            </w:r>
            <w:r/>
          </w:p>
        </w:tc>
      </w:tr>
      <w:tr>
        <w:trPr>
          <w:trHeight w:val="351"/>
        </w:trPr>
        <w:tc>
          <w:tcPr>
            <w:tcW w:w="580" w:type="dxa"/>
            <w:vAlign w:val="center"/>
            <w:vMerge w:val="continue"/>
            <w:textDirection w:val="lrTb"/>
            <w:noWrap w:val="false"/>
          </w:tcPr>
          <w:p>
            <w:pPr>
              <w:pStyle w:val="926"/>
              <w:rPr>
                <w:sz w:val="20"/>
                <w:szCs w:val="20"/>
              </w:rPr>
            </w:pPr>
            <w:r>
              <w:rPr>
                <w:sz w:val="20"/>
                <w:szCs w:val="20"/>
              </w:rPr>
            </w:r>
            <w:r/>
          </w:p>
        </w:tc>
        <w:tc>
          <w:tcPr>
            <w:tcW w:w="1307" w:type="dxa"/>
            <w:vAlign w:val="center"/>
            <w:vMerge w:val="continue"/>
            <w:textDirection w:val="lrTb"/>
            <w:noWrap w:val="false"/>
          </w:tcPr>
          <w:p>
            <w:pPr>
              <w:pStyle w:val="926"/>
              <w:rPr>
                <w:sz w:val="20"/>
                <w:szCs w:val="20"/>
              </w:rPr>
            </w:pPr>
            <w:r>
              <w:rPr>
                <w:sz w:val="20"/>
                <w:szCs w:val="20"/>
              </w:rPr>
            </w:r>
            <w:r/>
          </w:p>
        </w:tc>
        <w:tc>
          <w:tcPr>
            <w:tcW w:w="6946" w:type="dxa"/>
            <w:vAlign w:val="center"/>
            <w:textDirection w:val="lrTb"/>
            <w:noWrap w:val="false"/>
          </w:tcPr>
          <w:p>
            <w:pPr>
              <w:pStyle w:val="926"/>
              <w:widowControl/>
              <w:rPr>
                <w:rFonts w:hint="eastAsia" w:ascii="宋体" w:hAnsi="宋体" w:cs="宋体"/>
                <w:color w:val="000000"/>
                <w:spacing w:val="1"/>
                <w:sz w:val="24"/>
                <w:szCs w:val="24"/>
                <w:lang w:bidi="ar"/>
              </w:rPr>
            </w:pPr>
            <w:r>
              <w:rPr>
                <w:rFonts w:hint="eastAsia" w:ascii="宋体" w:hAnsi="宋体" w:cs="宋体"/>
                <w:color w:val="000000"/>
                <w:sz w:val="24"/>
                <w:szCs w:val="24"/>
                <w:lang w:bidi="ar"/>
              </w:rPr>
              <w:t xml:space="preserve">（1）加▲的系统功能为重要指标项，共20项，</w:t>
            </w:r>
            <w:r>
              <w:rPr>
                <w:rFonts w:hint="eastAsia" w:ascii="宋体" w:hAnsi="宋体" w:cs="宋体"/>
                <w:color w:val="000000"/>
                <w:sz w:val="24"/>
                <w:szCs w:val="24"/>
                <w:lang w:val="en-US" w:eastAsia="zh-CN" w:bidi="ar"/>
              </w:rPr>
              <w:t xml:space="preserve">须</w:t>
            </w:r>
            <w:r>
              <w:rPr>
                <w:rFonts w:hint="eastAsia" w:ascii="宋体" w:hAnsi="宋体" w:cs="宋体"/>
                <w:color w:val="000000"/>
                <w:sz w:val="24"/>
                <w:szCs w:val="24"/>
                <w:lang w:bidi="ar"/>
              </w:rPr>
              <w:t xml:space="preserve">满足项目需求</w:t>
            </w:r>
            <w:r>
              <w:rPr>
                <w:rFonts w:hint="eastAsia" w:ascii="宋体" w:hAnsi="宋体" w:cs="宋体"/>
                <w:color w:val="000000"/>
                <w:sz w:val="24"/>
                <w:szCs w:val="24"/>
                <w:lang w:val="en-US" w:eastAsia="zh-CN" w:bidi="ar"/>
              </w:rPr>
              <w:t xml:space="preserve">功能点</w:t>
            </w:r>
            <w:r>
              <w:rPr>
                <w:rFonts w:hint="eastAsia" w:ascii="宋体" w:hAnsi="宋体" w:cs="宋体"/>
                <w:color w:val="000000"/>
                <w:sz w:val="24"/>
                <w:szCs w:val="24"/>
                <w:lang w:bidi="ar"/>
              </w:rPr>
              <w:t xml:space="preserve">，不符合要求每项扣1分。</w:t>
            </w:r>
            <w:r>
              <w:rPr>
                <w:rFonts w:hint="eastAsia" w:ascii="宋体" w:hAnsi="宋体" w:cs="宋体"/>
                <w:color w:val="000000"/>
                <w:spacing w:val="1"/>
                <w:sz w:val="24"/>
                <w:szCs w:val="24"/>
                <w:lang w:bidi="ar"/>
              </w:rPr>
            </w:r>
            <w:r/>
          </w:p>
        </w:tc>
      </w:tr>
      <w:tr>
        <w:trPr>
          <w:trHeight w:val="351"/>
        </w:trPr>
        <w:tc>
          <w:tcPr>
            <w:tcW w:w="580" w:type="dxa"/>
            <w:vAlign w:val="center"/>
            <w:vMerge w:val="continue"/>
            <w:textDirection w:val="lrTb"/>
            <w:noWrap w:val="false"/>
          </w:tcPr>
          <w:p>
            <w:pPr>
              <w:pStyle w:val="926"/>
              <w:rPr>
                <w:sz w:val="20"/>
                <w:szCs w:val="20"/>
              </w:rPr>
            </w:pPr>
            <w:r>
              <w:rPr>
                <w:sz w:val="20"/>
                <w:szCs w:val="20"/>
              </w:rPr>
            </w:r>
            <w:r/>
          </w:p>
        </w:tc>
        <w:tc>
          <w:tcPr>
            <w:tcW w:w="1307" w:type="dxa"/>
            <w:vAlign w:val="center"/>
            <w:vMerge w:val="continue"/>
            <w:textDirection w:val="lrTb"/>
            <w:noWrap w:val="false"/>
          </w:tcPr>
          <w:p>
            <w:pPr>
              <w:pStyle w:val="926"/>
              <w:rPr>
                <w:sz w:val="20"/>
                <w:szCs w:val="20"/>
              </w:rPr>
            </w:pPr>
            <w:r>
              <w:rPr>
                <w:sz w:val="20"/>
                <w:szCs w:val="20"/>
              </w:rPr>
            </w:r>
            <w:r/>
          </w:p>
        </w:tc>
        <w:tc>
          <w:tcPr>
            <w:tcW w:w="6946" w:type="dxa"/>
            <w:vAlign w:val="center"/>
            <w:textDirection w:val="lrTb"/>
            <w:noWrap w:val="false"/>
          </w:tcPr>
          <w:p>
            <w:pPr>
              <w:pStyle w:val="926"/>
              <w:widowControl/>
              <w:rPr>
                <w:rFonts w:hint="eastAsia" w:ascii="宋体" w:hAnsi="宋体" w:cs="宋体"/>
                <w:color w:val="000000"/>
                <w:spacing w:val="1"/>
                <w:sz w:val="24"/>
                <w:szCs w:val="24"/>
                <w:lang w:bidi="ar"/>
              </w:rPr>
            </w:pPr>
            <w:r>
              <w:rPr>
                <w:rFonts w:hint="eastAsia" w:ascii="宋体" w:hAnsi="宋体" w:cs="宋体"/>
                <w:color w:val="000000"/>
                <w:sz w:val="24"/>
                <w:szCs w:val="24"/>
                <w:lang w:bidi="ar"/>
              </w:rPr>
              <w:t xml:space="preserve">（2）非加▲的系统功能，共70项，不符合要求每项扣0.2分。</w:t>
            </w:r>
            <w:r>
              <w:rPr>
                <w:rFonts w:hint="eastAsia" w:ascii="宋体" w:hAnsi="宋体" w:cs="宋体"/>
                <w:color w:val="000000"/>
                <w:spacing w:val="1"/>
                <w:sz w:val="24"/>
                <w:szCs w:val="24"/>
                <w:lang w:bidi="ar"/>
              </w:rPr>
            </w:r>
            <w:r/>
          </w:p>
        </w:tc>
      </w:tr>
      <w:tr>
        <w:trPr>
          <w:trHeight w:val="351"/>
        </w:trPr>
        <w:tc>
          <w:tcPr>
            <w:tcW w:w="580" w:type="dxa"/>
            <w:vAlign w:val="center"/>
            <w:textDirection w:val="lrTb"/>
            <w:noWrap w:val="false"/>
          </w:tcPr>
          <w:p>
            <w:pPr>
              <w:pStyle w:val="9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3.1</w:t>
            </w:r>
            <w:r>
              <w:rPr>
                <w:rFonts w:hint="eastAsia" w:ascii="宋体" w:hAnsi="宋体" w:cs="宋体"/>
                <w:color w:val="000000"/>
                <w:sz w:val="24"/>
                <w:szCs w:val="24"/>
                <w:lang w:bidi="ar"/>
              </w:rPr>
            </w:r>
            <w:r/>
          </w:p>
        </w:tc>
        <w:tc>
          <w:tcPr>
            <w:tcW w:w="1307" w:type="dxa"/>
            <w:vAlign w:val="center"/>
            <w:textDirection w:val="lrTb"/>
            <w:noWrap w:val="false"/>
          </w:tcPr>
          <w:p>
            <w:pPr>
              <w:pStyle w:val="926"/>
              <w:widowControl/>
              <w:rPr>
                <w:rFonts w:hint="eastAsia" w:ascii="宋体" w:hAnsi="宋体" w:cs="宋体"/>
                <w:color w:val="000000"/>
                <w:sz w:val="24"/>
                <w:szCs w:val="24"/>
              </w:rPr>
            </w:pPr>
            <w:r>
              <w:rPr>
                <w:rFonts w:hint="eastAsia" w:ascii="宋体" w:hAnsi="宋体" w:cs="宋体"/>
                <w:color w:val="000000"/>
                <w:sz w:val="24"/>
                <w:szCs w:val="24"/>
                <w:lang w:bidi="ar"/>
              </w:rPr>
              <w:t xml:space="preserve">总体设计方案（5分）</w:t>
            </w:r>
            <w:r>
              <w:rPr>
                <w:rFonts w:hint="eastAsia" w:ascii="宋体" w:hAnsi="宋体" w:cs="宋体"/>
                <w:color w:val="000000"/>
                <w:sz w:val="24"/>
                <w:szCs w:val="24"/>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6946" w:type="dxa"/>
            <w:vAlign w:val="center"/>
            <w:textDirection w:val="lrTb"/>
            <w:noWrap w:val="false"/>
          </w:tcPr>
          <w:p>
            <w:pPr>
              <w:pStyle w:val="926"/>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评委根据响应文件对磋商文件第四章中“总体设计方案”要求的响应情况进行评审：</w:t>
            </w:r>
            <w:r>
              <w:rPr>
                <w:rFonts w:hint="eastAsia" w:ascii="宋体" w:hAnsi="宋体" w:cs="宋体"/>
                <w:color w:val="000000"/>
                <w:sz w:val="24"/>
                <w:szCs w:val="24"/>
              </w:rPr>
            </w:r>
            <w:r/>
          </w:p>
          <w:p>
            <w:pPr>
              <w:pStyle w:val="926"/>
              <w:widowControl/>
              <w:rPr>
                <w:rFonts w:hint="eastAsia" w:ascii="宋体" w:hAnsi="宋体" w:cs="宋体"/>
                <w:color w:val="000000"/>
                <w:sz w:val="24"/>
                <w:szCs w:val="24"/>
              </w:rPr>
            </w:pPr>
            <w:r>
              <w:rPr>
                <w:rFonts w:hint="eastAsia" w:ascii="宋体" w:hAnsi="宋体" w:cs="宋体"/>
                <w:color w:val="000000"/>
                <w:sz w:val="24"/>
                <w:szCs w:val="24"/>
                <w:lang w:bidi="ar"/>
              </w:rPr>
              <w:t xml:space="preserve">（1）响应文件未符合“总体设计方案”中全部条款要求的，视为不符合磋商文件，本项得0分。</w:t>
            </w:r>
            <w:r>
              <w:rPr>
                <w:rFonts w:hint="eastAsia" w:ascii="宋体" w:hAnsi="宋体" w:cs="宋体"/>
                <w:color w:val="000000"/>
                <w:sz w:val="24"/>
                <w:szCs w:val="24"/>
              </w:rPr>
            </w:r>
            <w:r/>
          </w:p>
          <w:p>
            <w:pPr>
              <w:pStyle w:val="926"/>
              <w:widowControl/>
              <w:rPr>
                <w:rFonts w:hint="eastAsia" w:ascii="宋体" w:hAnsi="宋体" w:cs="宋体"/>
                <w:color w:val="000000"/>
                <w:sz w:val="24"/>
                <w:szCs w:val="24"/>
              </w:rPr>
            </w:pPr>
            <w:r>
              <w:rPr>
                <w:rFonts w:hint="eastAsia" w:ascii="宋体" w:hAnsi="宋体" w:cs="宋体"/>
                <w:color w:val="000000"/>
                <w:sz w:val="24"/>
                <w:szCs w:val="24"/>
                <w:lang w:bidi="ar"/>
              </w:rPr>
              <w:t xml:space="preserve">（2）响应文件符合“总体设计方案”中全部条款要求的，视为符合磋商文件，本项得3分。</w:t>
            </w:r>
            <w:r>
              <w:rPr>
                <w:rFonts w:hint="eastAsia" w:ascii="宋体" w:hAnsi="宋体" w:cs="宋体"/>
                <w:color w:val="000000"/>
                <w:sz w:val="24"/>
                <w:szCs w:val="24"/>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总体设计方案”中“组件化”、“标准化”两项要求的响应内容全部优于磋商文件要求的（响应文件对“总体设计方案”中除“组件化”、“标准化”外其他要求响应内容符合磋商文件要求），本项得5分。</w:t>
            </w:r>
            <w:r>
              <w:rPr>
                <w:rFonts w:hint="eastAsia" w:ascii="宋体" w:hAnsi="宋体" w:cs="宋体"/>
                <w:color w:val="000000"/>
                <w:sz w:val="24"/>
                <w:szCs w:val="24"/>
                <w:lang w:bidi="ar"/>
              </w:rPr>
            </w:r>
            <w:r/>
          </w:p>
        </w:tc>
      </w:tr>
      <w:tr>
        <w:trPr>
          <w:trHeight w:val="351"/>
        </w:trPr>
        <w:tc>
          <w:tcPr>
            <w:tcW w:w="580" w:type="dxa"/>
            <w:vAlign w:val="center"/>
            <w:textDirection w:val="lrTb"/>
            <w:noWrap w:val="false"/>
          </w:tcPr>
          <w:p>
            <w:pPr>
              <w:pStyle w:val="926"/>
              <w:rPr>
                <w:rFonts w:hint="eastAsia" w:ascii="宋体" w:hAnsi="宋体" w:cs="宋体"/>
                <w:sz w:val="20"/>
                <w:szCs w:val="20"/>
              </w:rPr>
            </w:pPr>
            <w:r>
              <w:rPr>
                <w:rFonts w:hint="eastAsia" w:ascii="宋体" w:hAnsi="宋体" w:cs="宋体"/>
                <w:color w:val="000000"/>
                <w:sz w:val="24"/>
                <w:szCs w:val="24"/>
                <w:lang w:bidi="ar"/>
              </w:rPr>
              <w:t xml:space="preserve">3.2</w:t>
            </w:r>
            <w:r>
              <w:rPr>
                <w:rFonts w:hint="eastAsia" w:ascii="宋体" w:hAnsi="宋体" w:cs="宋体"/>
                <w:sz w:val="20"/>
                <w:szCs w:val="20"/>
              </w:rPr>
            </w:r>
            <w:r/>
          </w:p>
        </w:tc>
        <w:tc>
          <w:tcPr>
            <w:tcW w:w="1307" w:type="dxa"/>
            <w:vAlign w:val="center"/>
            <w:textDirection w:val="lrTb"/>
            <w:noWrap w:val="false"/>
          </w:tcPr>
          <w:p>
            <w:pPr>
              <w:pStyle w:val="926"/>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系统环境及服务改造适配方案（5分）</w:t>
            </w:r>
            <w:r>
              <w:rPr>
                <w:rFonts w:hint="eastAsia" w:ascii="宋体" w:hAnsi="宋体" w:cs="宋体"/>
                <w:color w:val="000000"/>
                <w:sz w:val="24"/>
                <w:szCs w:val="24"/>
              </w:rPr>
            </w:r>
            <w:r/>
          </w:p>
          <w:p>
            <w:pPr>
              <w:pStyle w:val="926"/>
              <w:rPr>
                <w:rFonts w:hint="eastAsia" w:ascii="宋体" w:hAnsi="宋体" w:cs="宋体"/>
                <w:color w:val="000000"/>
                <w:sz w:val="20"/>
                <w:szCs w:val="20"/>
              </w:rPr>
            </w:pPr>
            <w:r>
              <w:rPr>
                <w:rFonts w:hint="eastAsia" w:ascii="宋体" w:hAnsi="宋体" w:cs="宋体"/>
                <w:color w:val="000000"/>
                <w:sz w:val="20"/>
                <w:szCs w:val="20"/>
              </w:rPr>
            </w:r>
            <w:r/>
          </w:p>
        </w:tc>
        <w:tc>
          <w:tcPr>
            <w:tcW w:w="6946" w:type="dxa"/>
            <w:vAlign w:val="center"/>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评委根据响应文件对磋商文件第四章中“系统环境及服务改造适配方案”要求的响应情况进行评审：</w:t>
            </w:r>
            <w:r>
              <w:rPr>
                <w:rFonts w:hint="eastAsia" w:ascii="宋体" w:hAnsi="宋体" w:cs="宋体"/>
                <w:color w:val="000000"/>
                <w:sz w:val="24"/>
                <w:szCs w:val="24"/>
                <w:lang w:bidi="ar"/>
              </w:rPr>
            </w:r>
            <w:r/>
          </w:p>
          <w:p>
            <w:pPr>
              <w:pStyle w:val="926"/>
              <w:widowControl/>
              <w:rPr>
                <w:rFonts w:hint="eastAsia" w:ascii="宋体" w:hAnsi="宋体" w:cs="宋体"/>
                <w:b/>
                <w:bCs/>
                <w:color w:val="000000"/>
                <w:sz w:val="24"/>
                <w:szCs w:val="24"/>
              </w:rPr>
            </w:pPr>
            <w:r>
              <w:rPr>
                <w:rFonts w:hint="eastAsia" w:ascii="宋体" w:hAnsi="宋体" w:cs="宋体"/>
                <w:color w:val="000000"/>
                <w:sz w:val="24"/>
                <w:szCs w:val="24"/>
                <w:lang w:bidi="ar"/>
              </w:rPr>
              <w:t xml:space="preserve">（1）响应文件未符合“系统环境及服务改造适配方案”中全部条款要求的，视为不符合磋商文件，本项得0分。</w:t>
            </w:r>
            <w:r>
              <w:rPr>
                <w:rFonts w:hint="eastAsia" w:ascii="宋体" w:hAnsi="宋体" w:cs="宋体"/>
                <w:b/>
                <w:bCs/>
                <w:color w:val="000000"/>
                <w:sz w:val="24"/>
                <w:szCs w:val="24"/>
              </w:rPr>
            </w:r>
            <w:r/>
          </w:p>
          <w:p>
            <w:pPr>
              <w:pStyle w:val="926"/>
              <w:widowControl/>
              <w:rPr>
                <w:rFonts w:hint="eastAsia" w:ascii="宋体" w:hAnsi="宋体" w:cs="宋体"/>
                <w:b/>
                <w:bCs/>
                <w:color w:val="000000"/>
                <w:sz w:val="24"/>
                <w:szCs w:val="24"/>
              </w:rPr>
            </w:pPr>
            <w:r>
              <w:rPr>
                <w:rFonts w:hint="eastAsia" w:ascii="宋体" w:hAnsi="宋体" w:cs="宋体"/>
                <w:color w:val="000000"/>
                <w:sz w:val="24"/>
                <w:szCs w:val="24"/>
                <w:lang w:bidi="ar"/>
              </w:rPr>
              <w:t xml:space="preserve">（2）响应文件符合“系统环境及服务改造适配方案”中全部条款要求的，视为符合磋商文件，本项得3分。</w:t>
            </w:r>
            <w:r>
              <w:rPr>
                <w:rFonts w:hint="eastAsia" w:ascii="宋体" w:hAnsi="宋体" w:cs="宋体"/>
                <w:b/>
                <w:bCs/>
                <w:color w:val="000000"/>
                <w:sz w:val="24"/>
                <w:szCs w:val="24"/>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系统环境及服务改造适配方案”中“国产数据库改造适配”“国产应用中间件改造适配”、“国产操作系统调优适配”、“数据转换、割接迁移”四项要求的响应内容全部优于磋商文件要求的（响应文件对“国产数据库改造适配”“国产应用中间件改造适配”、“国产操作系统调优适配”、“数据转换、割接迁移”外其他要求响应内容符合磋商文件要求），本项得5分。</w:t>
            </w:r>
            <w:r>
              <w:rPr>
                <w:rFonts w:hint="eastAsia" w:ascii="宋体" w:hAnsi="宋体" w:cs="宋体"/>
                <w:color w:val="000000"/>
                <w:sz w:val="24"/>
                <w:szCs w:val="24"/>
                <w:lang w:bidi="ar"/>
              </w:rPr>
            </w:r>
            <w:r/>
          </w:p>
        </w:tc>
      </w:tr>
      <w:tr>
        <w:trPr>
          <w:trHeight w:val="351"/>
        </w:trPr>
        <w:tc>
          <w:tcPr>
            <w:tcW w:w="580" w:type="dxa"/>
            <w:vAlign w:val="center"/>
            <w:textDirection w:val="lrTb"/>
            <w:noWrap w:val="false"/>
          </w:tcPr>
          <w:p>
            <w:pPr>
              <w:pStyle w:val="9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r>
            <w:r/>
          </w:p>
        </w:tc>
        <w:tc>
          <w:tcPr>
            <w:tcW w:w="1307" w:type="dxa"/>
            <w:vAlign w:val="center"/>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项目实施方案</w:t>
            </w:r>
            <w:r>
              <w:rPr>
                <w:rFonts w:hint="eastAsia" w:ascii="宋体" w:hAnsi="宋体" w:cs="宋体"/>
                <w:color w:val="000000"/>
                <w:sz w:val="24"/>
                <w:szCs w:val="24"/>
                <w:lang w:bidi="ar"/>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（5分）</w:t>
            </w:r>
            <w:r>
              <w:rPr>
                <w:rFonts w:hint="eastAsia" w:ascii="宋体" w:hAnsi="宋体" w:cs="宋体"/>
                <w:color w:val="000000"/>
                <w:sz w:val="24"/>
                <w:szCs w:val="24"/>
                <w:lang w:bidi="ar"/>
              </w:rPr>
            </w:r>
            <w:r/>
          </w:p>
        </w:tc>
        <w:tc>
          <w:tcPr>
            <w:tcW w:w="6946" w:type="dxa"/>
            <w:vAlign w:val="center"/>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评委根据响应文件对磋商文件第四章“采购需求”中“项目实施要求”的响应情况进行评审。</w:t>
            </w:r>
            <w:r>
              <w:rPr>
                <w:rFonts w:hint="eastAsia" w:ascii="宋体" w:hAnsi="宋体" w:cs="宋体"/>
                <w:color w:val="000000"/>
                <w:sz w:val="24"/>
                <w:szCs w:val="24"/>
                <w:lang w:bidi="ar"/>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（1）响应文件未响应“项目实施要求”中全部条款要求的，视为不符合磋商文件，本项得0分。</w:t>
            </w:r>
            <w:r>
              <w:rPr>
                <w:rFonts w:hint="eastAsia" w:ascii="宋体" w:hAnsi="宋体" w:cs="宋体"/>
                <w:color w:val="000000"/>
                <w:sz w:val="24"/>
                <w:szCs w:val="24"/>
                <w:lang w:bidi="ar"/>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（2）响应文件符合“项目实施要求”中全部条款要求的，视为符合磋商文件，本项得3分。</w:t>
            </w:r>
            <w:r>
              <w:rPr>
                <w:rFonts w:hint="eastAsia" w:ascii="宋体" w:hAnsi="宋体" w:cs="宋体"/>
                <w:color w:val="000000"/>
                <w:sz w:val="24"/>
                <w:szCs w:val="24"/>
                <w:lang w:bidi="ar"/>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项目实施要求”中“进度计划”、“项目团队组织”的响应内容优于磋商文件要求的（响应文件对“项目实施要求”中除“进度计划”、“项目团队组织”外其他要求响应内容符合磋商文件要求），本项得5分。</w:t>
            </w:r>
            <w:r>
              <w:rPr>
                <w:rFonts w:hint="eastAsia" w:ascii="宋体" w:hAnsi="宋体" w:cs="宋体"/>
                <w:color w:val="000000"/>
                <w:sz w:val="24"/>
                <w:szCs w:val="24"/>
                <w:lang w:bidi="ar"/>
              </w:rPr>
            </w:r>
            <w:r/>
          </w:p>
        </w:tc>
      </w:tr>
      <w:tr>
        <w:trPr>
          <w:trHeight w:val="351"/>
        </w:trPr>
        <w:tc>
          <w:tcPr>
            <w:tcW w:w="580" w:type="dxa"/>
            <w:vAlign w:val="center"/>
            <w:textDirection w:val="lrTb"/>
            <w:noWrap w:val="false"/>
          </w:tcPr>
          <w:p>
            <w:pPr>
              <w:pStyle w:val="9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3.4</w:t>
            </w:r>
            <w:r>
              <w:rPr>
                <w:rFonts w:hint="eastAsia" w:ascii="宋体" w:hAnsi="宋体" w:cs="宋体"/>
                <w:color w:val="000000"/>
                <w:sz w:val="24"/>
                <w:szCs w:val="24"/>
                <w:lang w:bidi="ar"/>
              </w:rPr>
            </w:r>
            <w:r/>
          </w:p>
        </w:tc>
        <w:tc>
          <w:tcPr>
            <w:tcW w:w="1307" w:type="dxa"/>
            <w:vAlign w:val="center"/>
            <w:textDirection w:val="lrTb"/>
            <w:noWrap w:val="false"/>
          </w:tcPr>
          <w:p>
            <w:pPr>
              <w:pStyle w:val="926"/>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培训方案(4分)</w:t>
            </w:r>
            <w:r>
              <w:rPr>
                <w:rFonts w:hint="eastAsia" w:ascii="宋体" w:hAnsi="宋体" w:cs="宋体"/>
                <w:color w:val="000000"/>
                <w:sz w:val="24"/>
                <w:szCs w:val="24"/>
                <w:lang w:bidi="ar"/>
              </w:rPr>
            </w:r>
            <w:r/>
          </w:p>
        </w:tc>
        <w:tc>
          <w:tcPr>
            <w:tcW w:w="6946" w:type="dxa"/>
            <w:vAlign w:val="center"/>
            <w:textDirection w:val="lrTb"/>
            <w:noWrap w:val="false"/>
          </w:tcPr>
          <w:p>
            <w:pPr>
              <w:pStyle w:val="926"/>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评委根据响应文件对磋商文件第四章“采购需求”中“技术培训要求”的响应情况进行评审：</w:t>
            </w:r>
            <w:r>
              <w:rPr>
                <w:rFonts w:hint="eastAsia" w:ascii="宋体" w:hAnsi="宋体" w:cs="宋体"/>
                <w:color w:val="000000"/>
                <w:sz w:val="24"/>
                <w:szCs w:val="24"/>
                <w:lang w:bidi="ar"/>
              </w:rPr>
            </w:r>
            <w:r/>
          </w:p>
          <w:p>
            <w:pPr>
              <w:pStyle w:val="926"/>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（1）响应文件未符合“技术培训要求”中全部条款要求的，视为不符合磋商文件，本项得0分。</w:t>
            </w:r>
            <w:r>
              <w:rPr>
                <w:rFonts w:hint="eastAsia" w:ascii="宋体" w:hAnsi="宋体" w:cs="宋体"/>
                <w:color w:val="000000"/>
                <w:sz w:val="24"/>
                <w:szCs w:val="24"/>
                <w:lang w:bidi="ar"/>
              </w:rPr>
            </w:r>
            <w:r/>
          </w:p>
          <w:p>
            <w:pPr>
              <w:pStyle w:val="926"/>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（2）响应文件符合“技术培训要求”中全部条款要求的，视为符合磋商文件，本项得2分。</w:t>
            </w:r>
            <w:r>
              <w:rPr>
                <w:rFonts w:hint="eastAsia" w:ascii="宋体" w:hAnsi="宋体" w:cs="宋体"/>
                <w:color w:val="000000"/>
                <w:sz w:val="24"/>
                <w:szCs w:val="24"/>
                <w:lang w:bidi="ar"/>
              </w:rPr>
            </w:r>
            <w:r/>
          </w:p>
          <w:p>
            <w:pPr>
              <w:pStyle w:val="926"/>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技术培训要求”中“培训计划”、“培训考核评估”三项要求的响应内容全部优于磋商文件要求的（响应文件对“技术培训要求”中除“培训计划”、“培训考核评估”外其他要求响应内容符合磋商文件要求），本项得4分。</w:t>
            </w:r>
            <w:r>
              <w:rPr>
                <w:rFonts w:hint="eastAsia" w:ascii="宋体" w:hAnsi="宋体" w:cs="宋体"/>
                <w:color w:val="000000"/>
                <w:sz w:val="24"/>
                <w:szCs w:val="24"/>
                <w:lang w:bidi="ar"/>
              </w:rPr>
            </w:r>
            <w:r/>
          </w:p>
        </w:tc>
      </w:tr>
      <w:tr>
        <w:trPr>
          <w:trHeight w:val="351"/>
        </w:trPr>
        <w:tc>
          <w:tcPr>
            <w:tcW w:w="580" w:type="dxa"/>
            <w:vAlign w:val="center"/>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3.5</w:t>
            </w:r>
            <w:r>
              <w:rPr>
                <w:rFonts w:hint="eastAsia" w:ascii="宋体" w:hAnsi="宋体" w:cs="宋体"/>
                <w:color w:val="000000"/>
                <w:sz w:val="24"/>
                <w:szCs w:val="24"/>
                <w:lang w:bidi="ar"/>
              </w:rPr>
            </w:r>
            <w:r/>
          </w:p>
        </w:tc>
        <w:tc>
          <w:tcPr>
            <w:tcW w:w="1307" w:type="dxa"/>
            <w:vAlign w:val="center"/>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售后服务方案</w:t>
            </w:r>
            <w:r>
              <w:rPr>
                <w:rFonts w:hint="eastAsia" w:ascii="宋体" w:hAnsi="宋体" w:cs="宋体"/>
                <w:color w:val="000000"/>
                <w:sz w:val="24"/>
                <w:szCs w:val="24"/>
                <w:lang w:bidi="ar"/>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(5分)</w:t>
            </w:r>
            <w:r>
              <w:rPr>
                <w:rFonts w:hint="eastAsia" w:ascii="宋体" w:hAnsi="宋体" w:cs="宋体"/>
                <w:color w:val="000000"/>
                <w:sz w:val="24"/>
                <w:szCs w:val="24"/>
                <w:lang w:bidi="ar"/>
              </w:rPr>
            </w:r>
            <w:r/>
          </w:p>
        </w:tc>
        <w:tc>
          <w:tcPr>
            <w:tcW w:w="6946" w:type="dxa"/>
            <w:vAlign w:val="center"/>
            <w:textDirection w:val="lrTb"/>
            <w:noWrap w:val="false"/>
          </w:tcPr>
          <w:p>
            <w:pPr>
              <w:pStyle w:val="926"/>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评委根据响应文件对磋商文件第四章“采购需求”中“售后服务要求”的响应情况进行评审：</w:t>
            </w:r>
            <w:r>
              <w:rPr>
                <w:rFonts w:hint="eastAsia" w:ascii="宋体" w:hAnsi="宋体" w:cs="宋体"/>
                <w:color w:val="000000"/>
                <w:sz w:val="24"/>
                <w:szCs w:val="24"/>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（1）响应文件未符合“售后服务要求”中全部条款要求的，视为不符合磋商文件，本项得0分。</w:t>
            </w:r>
            <w:r>
              <w:rPr>
                <w:rFonts w:hint="eastAsia" w:ascii="宋体" w:hAnsi="宋体" w:cs="宋体"/>
                <w:color w:val="000000"/>
                <w:sz w:val="24"/>
                <w:szCs w:val="24"/>
                <w:lang w:bidi="ar"/>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（2）响应文件符合“售后服务要求”中全部条款要求的，视为符合磋商文件，本项得3分。</w:t>
            </w:r>
            <w:r>
              <w:rPr>
                <w:rFonts w:hint="eastAsia" w:ascii="宋体" w:hAnsi="宋体" w:cs="宋体"/>
                <w:color w:val="000000"/>
                <w:sz w:val="24"/>
                <w:szCs w:val="24"/>
                <w:lang w:bidi="ar"/>
              </w:rPr>
            </w:r>
            <w:r/>
          </w:p>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售后服务要求”中“质保期服务内容”、“响应计划”的响应内容全部优于磋商文件要求的（响应文件对“售后服务要求”中除“质保期服务内容”、“响应计划”外其他要求响应内容符合磋商文件要求），本项得5分。</w:t>
            </w:r>
            <w:r>
              <w:rPr>
                <w:rFonts w:hint="eastAsia" w:ascii="宋体" w:hAnsi="宋体" w:cs="宋体"/>
                <w:color w:val="000000"/>
                <w:sz w:val="24"/>
                <w:szCs w:val="24"/>
                <w:lang w:bidi="ar"/>
              </w:rPr>
            </w:r>
            <w:r/>
          </w:p>
        </w:tc>
      </w:tr>
      <w:tr>
        <w:trPr>
          <w:trHeight w:val="456"/>
        </w:trPr>
        <w:tc>
          <w:tcPr>
            <w:tcW w:w="580" w:type="dxa"/>
            <w:vAlign w:val="center"/>
            <w:vMerge w:val="restart"/>
            <w:textDirection w:val="lrTb"/>
            <w:noWrap w:val="false"/>
          </w:tcPr>
          <w:p>
            <w:pPr>
              <w:pStyle w:val="9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4.1</w:t>
            </w:r>
            <w:r>
              <w:rPr>
                <w:rFonts w:hint="eastAsia" w:ascii="宋体" w:hAnsi="宋体" w:cs="宋体"/>
                <w:color w:val="000000"/>
                <w:sz w:val="24"/>
                <w:szCs w:val="24"/>
                <w:lang w:bidi="ar"/>
              </w:rPr>
            </w:r>
            <w:r/>
          </w:p>
        </w:tc>
        <w:tc>
          <w:tcPr>
            <w:tcW w:w="1307" w:type="dxa"/>
            <w:vAlign w:val="center"/>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磋商供应商业绩（10分）</w:t>
            </w:r>
            <w:r>
              <w:rPr>
                <w:rFonts w:hint="eastAsia" w:ascii="宋体" w:hAnsi="宋体" w:cs="宋体"/>
                <w:color w:val="000000"/>
                <w:sz w:val="24"/>
                <w:szCs w:val="24"/>
                <w:lang w:bidi="ar"/>
              </w:rPr>
            </w:r>
            <w:r/>
          </w:p>
        </w:tc>
        <w:tc>
          <w:tcPr>
            <w:tcW w:w="6946" w:type="dxa"/>
            <w:vAlign w:val="center"/>
            <w:textDirection w:val="lrTb"/>
            <w:noWrap w:val="false"/>
          </w:tcPr>
          <w:p>
            <w:pPr>
              <w:pStyle w:val="926"/>
              <w:widowControl/>
              <w:rPr>
                <w:rFonts w:hint="eastAsia" w:ascii="宋体" w:hAnsi="宋体" w:cs="宋体"/>
                <w:color w:val="000000"/>
                <w:spacing w:val="1"/>
                <w:sz w:val="24"/>
                <w:szCs w:val="24"/>
                <w:lang w:bidi="ar"/>
              </w:rPr>
            </w:pPr>
            <w:r>
              <w:rPr>
                <w:rFonts w:hint="eastAsia" w:ascii="宋体" w:hAnsi="宋体" w:eastAsia="宋体" w:cs="宋体"/>
                <w:color w:val="000000"/>
                <w:sz w:val="24"/>
                <w:szCs w:val="24"/>
                <w:lang w:bidi="ar"/>
              </w:rPr>
              <w:t xml:space="preserve">供应商自2020年1月1日起（以合同日期为准）承担过包含数据</w:t>
            </w:r>
            <w:r>
              <w:rPr>
                <w:rFonts w:hint="eastAsia" w:ascii="宋体" w:hAnsi="宋体" w:eastAsia="宋体" w:cs="宋体"/>
                <w:color w:val="000000"/>
                <w:sz w:val="24"/>
                <w:szCs w:val="24"/>
                <w:lang w:val="en-US" w:eastAsia="zh-CN" w:bidi="ar"/>
              </w:rPr>
              <w:t xml:space="preserve">治理</w:t>
            </w:r>
            <w:r>
              <w:rPr>
                <w:rFonts w:hint="eastAsia" w:ascii="宋体" w:hAnsi="宋体" w:eastAsia="宋体" w:cs="宋体"/>
                <w:color w:val="000000"/>
                <w:sz w:val="24"/>
                <w:szCs w:val="24"/>
                <w:lang w:bidi="ar"/>
              </w:rPr>
              <w:t xml:space="preserve">、综合监管、检验检测</w:t>
            </w:r>
            <w:r>
              <w:rPr>
                <w:rFonts w:hint="eastAsia" w:ascii="宋体" w:hAnsi="宋体" w:eastAsia="宋体" w:cs="宋体"/>
                <w:color w:val="000000"/>
                <w:sz w:val="24"/>
                <w:szCs w:val="24"/>
                <w:lang w:val="en-US" w:eastAsia="zh-CN" w:bidi="ar"/>
              </w:rPr>
              <w:t xml:space="preserve">或</w:t>
            </w:r>
            <w:r>
              <w:rPr>
                <w:rFonts w:hint="eastAsia" w:ascii="宋体" w:hAnsi="宋体" w:eastAsia="宋体" w:cs="宋体"/>
                <w:color w:val="000000"/>
                <w:sz w:val="24"/>
                <w:szCs w:val="24"/>
                <w:lang w:bidi="ar"/>
              </w:rPr>
              <w:t xml:space="preserve">业务运营等核心功能的类似信息化系统建设业绩</w:t>
            </w:r>
            <w:r>
              <w:rPr>
                <w:rFonts w:hint="eastAsia" w:ascii="宋体" w:hAnsi="宋体" w:cs="宋体"/>
                <w:color w:val="000000"/>
                <w:sz w:val="24"/>
                <w:szCs w:val="24"/>
                <w:lang w:bidi="ar"/>
              </w:rPr>
              <w:t xml:space="preserve">，每提供一个业绩含以上任意一类功能的得2分，最高得10分。</w:t>
            </w:r>
            <w:r>
              <w:rPr>
                <w:rFonts w:hint="eastAsia" w:ascii="宋体" w:hAnsi="宋体" w:cs="宋体"/>
                <w:color w:val="000000"/>
                <w:spacing w:val="1"/>
                <w:sz w:val="24"/>
                <w:szCs w:val="24"/>
                <w:lang w:bidi="ar"/>
              </w:rPr>
            </w:r>
            <w:r/>
          </w:p>
        </w:tc>
      </w:tr>
      <w:tr>
        <w:trPr>
          <w:trHeight w:val="351"/>
        </w:trPr>
        <w:tc>
          <w:tcPr>
            <w:tcW w:w="580" w:type="dxa"/>
            <w:vAlign w:val="center"/>
            <w:vMerge w:val="continue"/>
            <w:textDirection w:val="lrTb"/>
            <w:noWrap w:val="false"/>
          </w:tcPr>
          <w:p>
            <w:pPr>
              <w:pStyle w:val="926"/>
              <w:rPr>
                <w:sz w:val="20"/>
                <w:szCs w:val="20"/>
              </w:rPr>
            </w:pPr>
            <w:r>
              <w:rPr>
                <w:sz w:val="20"/>
                <w:szCs w:val="20"/>
              </w:rPr>
            </w:r>
            <w:r/>
          </w:p>
        </w:tc>
        <w:tc>
          <w:tcPr>
            <w:gridSpan w:val="2"/>
            <w:tcW w:w="8253" w:type="dxa"/>
            <w:vAlign w:val="center"/>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注：（1）合同复印件至少包括合同的甲乙双方、采购内容、签订时间；同一采购人（或同一合同包）的多份业绩按一份计算。</w:t>
            </w:r>
            <w:r>
              <w:rPr>
                <w:rFonts w:hint="eastAsia" w:ascii="宋体" w:hAnsi="宋体" w:cs="宋体"/>
                <w:color w:val="000000"/>
                <w:sz w:val="24"/>
                <w:szCs w:val="24"/>
                <w:lang w:bidi="ar"/>
              </w:rPr>
            </w:r>
            <w:r/>
          </w:p>
          <w:p>
            <w:pPr>
              <w:pStyle w:val="926"/>
              <w:widowControl/>
              <w:rPr>
                <w:rFonts w:hint="eastAsia" w:ascii="宋体" w:hAnsi="宋体" w:cs="宋体"/>
                <w:color w:val="000000"/>
                <w:spacing w:val="1"/>
                <w:sz w:val="24"/>
                <w:szCs w:val="24"/>
                <w:highlight w:val="green"/>
                <w:lang w:bidi="ar"/>
              </w:rPr>
            </w:pPr>
            <w:r>
              <w:rPr>
                <w:rFonts w:hint="eastAsia" w:ascii="宋体" w:hAnsi="宋体" w:cs="宋体"/>
                <w:color w:val="000000"/>
                <w:sz w:val="24"/>
                <w:szCs w:val="24"/>
                <w:lang w:bidi="ar"/>
              </w:rPr>
              <w:t xml:space="preserve">（2）未按要求提供或提供信息不全的业绩，不得分。</w:t>
            </w:r>
            <w:r>
              <w:rPr>
                <w:rFonts w:hint="eastAsia" w:ascii="宋体" w:hAnsi="宋体" w:cs="宋体"/>
                <w:color w:val="000000"/>
                <w:spacing w:val="1"/>
                <w:sz w:val="24"/>
                <w:szCs w:val="24"/>
                <w:highlight w:val="green"/>
                <w:lang w:bidi="ar"/>
              </w:rPr>
            </w:r>
            <w:r/>
          </w:p>
        </w:tc>
      </w:tr>
      <w:tr>
        <w:trPr>
          <w:trHeight w:val="351"/>
        </w:trPr>
        <w:tc>
          <w:tcPr>
            <w:tcW w:w="580" w:type="dxa"/>
            <w:vAlign w:val="center"/>
            <w:textDirection w:val="lrTb"/>
            <w:noWrap w:val="false"/>
          </w:tcPr>
          <w:p>
            <w:pPr>
              <w:pStyle w:val="9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4.2</w:t>
            </w:r>
            <w:r>
              <w:rPr>
                <w:rFonts w:hint="eastAsia" w:ascii="宋体" w:hAnsi="宋体" w:cs="宋体"/>
                <w:color w:val="000000"/>
                <w:sz w:val="24"/>
                <w:szCs w:val="24"/>
                <w:lang w:bidi="ar"/>
              </w:rPr>
            </w:r>
            <w:r/>
          </w:p>
        </w:tc>
        <w:tc>
          <w:tcPr>
            <w:tcW w:w="1307" w:type="dxa"/>
            <w:vAlign w:val="center"/>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软件著作权（</w:t>
            </w: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r>
            <w:r/>
          </w:p>
        </w:tc>
        <w:tc>
          <w:tcPr>
            <w:tcW w:w="6946" w:type="dxa"/>
            <w:vAlign w:val="center"/>
            <w:textDirection w:val="lrTb"/>
            <w:noWrap w:val="false"/>
          </w:tcPr>
          <w:p>
            <w:pPr>
              <w:pStyle w:val="926"/>
              <w:widowControl/>
              <w:rPr>
                <w:rFonts w:hint="eastAsia" w:ascii="宋体" w:hAnsi="宋体" w:cs="宋体"/>
                <w:spacing w:val="1"/>
                <w:sz w:val="24"/>
                <w:szCs w:val="24"/>
                <w:highlight w:val="green"/>
                <w:lang w:bidi="ar"/>
              </w:rPr>
            </w:pPr>
            <w:r>
              <w:rPr>
                <w:rFonts w:hint="eastAsia" w:ascii="宋体" w:hAnsi="宋体" w:cs="宋体"/>
                <w:color w:val="000000"/>
                <w:sz w:val="24"/>
                <w:szCs w:val="24"/>
                <w:lang w:bidi="ar"/>
              </w:rPr>
              <w:t xml:space="preserve">磋商供应商</w:t>
            </w:r>
            <w:r>
              <w:rPr>
                <w:rFonts w:hint="eastAsia" w:ascii="宋体" w:hAnsi="宋体" w:cs="宋体"/>
                <w:sz w:val="24"/>
                <w:szCs w:val="24"/>
                <w:lang w:bidi="ar"/>
              </w:rPr>
              <w:t xml:space="preserve">有一体化应用、预算管理、电子证书报告相关方面的软件著作权或相关专利证书，每提供一份证书得1分，最高得3分。</w:t>
            </w:r>
            <w:r>
              <w:rPr>
                <w:rFonts w:hint="eastAsia" w:ascii="宋体" w:hAnsi="宋体" w:cs="宋体"/>
                <w:color w:val="000000"/>
                <w:sz w:val="24"/>
                <w:szCs w:val="24"/>
                <w:lang w:bidi="ar"/>
              </w:rPr>
              <w:t xml:space="preserve">（提供证书复印件并加盖公章</w:t>
            </w:r>
            <w:r>
              <w:rPr>
                <w:rFonts w:hint="eastAsia" w:ascii="宋体" w:hAnsi="宋体" w:cs="宋体"/>
                <w:color w:val="000000"/>
                <w:sz w:val="24"/>
                <w:szCs w:val="24"/>
                <w:highlight w:val="none"/>
                <w:lang w:bidi="ar"/>
              </w:rPr>
              <w:t xml:space="preserve">。如响应文件中提供的著作权名称表述与磋商文件描述的关键字样不一致，而该投标文件中能证明投标人拥有的著作权具有相同或相似</w:t>
            </w:r>
            <w:r>
              <w:rPr>
                <w:rFonts w:hint="eastAsia" w:ascii="宋体" w:hAnsi="宋体" w:cs="宋体"/>
                <w:color w:val="000000"/>
                <w:sz w:val="24"/>
                <w:szCs w:val="24"/>
                <w:lang w:bidi="ar"/>
              </w:rPr>
              <w:t xml:space="preserve">功能和效果，且评标委员会认可的，视同符合要求。）</w:t>
            </w:r>
            <w:r>
              <w:rPr>
                <w:rFonts w:hint="eastAsia" w:ascii="宋体" w:hAnsi="宋体" w:cs="宋体"/>
                <w:spacing w:val="1"/>
                <w:sz w:val="24"/>
                <w:szCs w:val="24"/>
                <w:highlight w:val="green"/>
                <w:lang w:bidi="ar"/>
              </w:rPr>
            </w:r>
            <w:r/>
          </w:p>
        </w:tc>
      </w:tr>
      <w:tr>
        <w:trPr>
          <w:trHeight w:val="351"/>
        </w:trPr>
        <w:tc>
          <w:tcPr>
            <w:tcW w:w="580" w:type="dxa"/>
            <w:vAlign w:val="center"/>
            <w:vMerge w:val="restart"/>
            <w:textDirection w:val="lrTb"/>
            <w:noWrap w:val="false"/>
          </w:tcPr>
          <w:p>
            <w:pPr>
              <w:pStyle w:val="9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4.3</w:t>
            </w:r>
            <w:r>
              <w:rPr>
                <w:rFonts w:hint="eastAsia" w:ascii="宋体" w:hAnsi="宋体" w:cs="宋体"/>
                <w:color w:val="000000"/>
                <w:sz w:val="24"/>
                <w:szCs w:val="24"/>
                <w:lang w:bidi="ar"/>
              </w:rPr>
            </w:r>
            <w:r/>
          </w:p>
        </w:tc>
        <w:tc>
          <w:tcPr>
            <w:tcW w:w="1307" w:type="dxa"/>
            <w:vAlign w:val="center"/>
            <w:vMerge w:val="restart"/>
            <w:textDirection w:val="lrTb"/>
            <w:noWrap w:val="false"/>
          </w:tcPr>
          <w:p>
            <w:pPr>
              <w:pStyle w:val="926"/>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项目组人员资质（</w:t>
            </w:r>
            <w:r>
              <w:rPr>
                <w:rFonts w:hint="eastAsia" w:ascii="宋体" w:hAnsi="宋体" w:cs="宋体"/>
                <w:sz w:val="24"/>
                <w:szCs w:val="24"/>
                <w:lang w:bidi="ar"/>
              </w:rPr>
              <w:t xml:space="preserve">9</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r>
            <w:r/>
          </w:p>
        </w:tc>
        <w:tc>
          <w:tcPr>
            <w:tcW w:w="6946" w:type="dxa"/>
            <w:vAlign w:val="center"/>
            <w:textDirection w:val="lrTb"/>
            <w:noWrap w:val="false"/>
          </w:tcPr>
          <w:p>
            <w:pPr>
              <w:pStyle w:val="926"/>
              <w:widowControl/>
              <w:rPr>
                <w:rFonts w:hint="eastAsia" w:ascii="宋体" w:hAnsi="宋体" w:cs="宋体"/>
                <w:lang w:bidi="ar"/>
              </w:rPr>
            </w:pPr>
            <w:r>
              <w:rPr>
                <w:rFonts w:hint="eastAsia" w:ascii="宋体" w:hAnsi="宋体" w:cs="宋体"/>
                <w:sz w:val="24"/>
                <w:szCs w:val="24"/>
                <w:lang w:bidi="ar"/>
              </w:rPr>
              <w:t xml:space="preserve">4.3.1项目经理证书：项目经理具备信息系统项目管理师证、软件设计师证书的，每具有一个得2分，最高得4分。</w:t>
            </w:r>
            <w:r>
              <w:rPr>
                <w:rFonts w:hint="eastAsia" w:ascii="宋体" w:hAnsi="宋体" w:cs="宋体"/>
                <w:lang w:bidi="ar"/>
              </w:rPr>
            </w:r>
            <w:r/>
          </w:p>
          <w:p>
            <w:pPr>
              <w:pStyle w:val="926"/>
              <w:widowControl/>
              <w:rPr>
                <w:rFonts w:hint="eastAsia" w:ascii="宋体" w:hAnsi="宋体" w:cs="宋体"/>
                <w:sz w:val="24"/>
                <w:szCs w:val="24"/>
                <w:lang w:bidi="ar"/>
              </w:rPr>
            </w:pPr>
            <w:r>
              <w:rPr>
                <w:rFonts w:hint="eastAsia" w:ascii="宋体" w:hAnsi="宋体" w:cs="宋体"/>
                <w:sz w:val="24"/>
                <w:szCs w:val="24"/>
                <w:lang w:bidi="ar"/>
              </w:rPr>
              <w:t xml:space="preserve">4.3.2项目开发团队证书：除项目经理以外的技术人员持有信息系统项目管理师、系统架构设计师、软件设计师、注册信息安全专业人员（（CISP或CISSP））、信息技术服务标准应用经理证书(ITSS)证书。有一项得1分，最高得5分。</w:t>
            </w:r>
            <w:r>
              <w:rPr>
                <w:rFonts w:hint="eastAsia" w:ascii="宋体" w:hAnsi="宋体" w:cs="宋体"/>
                <w:sz w:val="24"/>
                <w:szCs w:val="24"/>
                <w:lang w:bidi="ar"/>
              </w:rPr>
            </w:r>
            <w:r/>
          </w:p>
          <w:p>
            <w:pPr>
              <w:pStyle w:val="926"/>
              <w:widowControl/>
              <w:rPr>
                <w:rFonts w:hint="eastAsia" w:ascii="宋体" w:hAnsi="宋体" w:cs="宋体"/>
                <w:spacing w:val="1"/>
                <w:sz w:val="24"/>
                <w:szCs w:val="24"/>
                <w:highlight w:val="green"/>
                <w:lang w:bidi="ar"/>
              </w:rPr>
            </w:pPr>
            <w:r>
              <w:rPr>
                <w:rFonts w:hint="eastAsia" w:ascii="宋体" w:hAnsi="宋体" w:cs="宋体"/>
                <w:sz w:val="24"/>
                <w:szCs w:val="24"/>
                <w:lang w:bidi="ar"/>
              </w:rPr>
              <w:t xml:space="preserve">（单项不重复累计，单人多证仅算一项，不累加）。</w:t>
            </w:r>
            <w:r>
              <w:rPr>
                <w:rFonts w:hint="eastAsia" w:ascii="宋体" w:hAnsi="宋体" w:cs="宋体"/>
                <w:spacing w:val="1"/>
                <w:sz w:val="24"/>
                <w:szCs w:val="24"/>
                <w:highlight w:val="green"/>
                <w:lang w:bidi="ar"/>
              </w:rPr>
            </w:r>
            <w:r/>
          </w:p>
        </w:tc>
      </w:tr>
      <w:tr>
        <w:trPr>
          <w:trHeight w:val="907"/>
        </w:trPr>
        <w:tc>
          <w:tcPr>
            <w:tcW w:w="580" w:type="dxa"/>
            <w:vAlign w:val="center"/>
            <w:vMerge w:val="continue"/>
            <w:textDirection w:val="lrTb"/>
            <w:noWrap w:val="false"/>
          </w:tcPr>
          <w:p>
            <w:pPr>
              <w:pStyle w:val="926"/>
              <w:rPr>
                <w:sz w:val="20"/>
                <w:szCs w:val="20"/>
              </w:rPr>
            </w:pPr>
            <w:r>
              <w:rPr>
                <w:sz w:val="20"/>
                <w:szCs w:val="20"/>
              </w:rPr>
            </w:r>
            <w:r/>
          </w:p>
        </w:tc>
        <w:tc>
          <w:tcPr>
            <w:tcW w:w="1307" w:type="dxa"/>
            <w:vAlign w:val="center"/>
            <w:vMerge w:val="continue"/>
            <w:textDirection w:val="lrTb"/>
            <w:noWrap w:val="false"/>
          </w:tcPr>
          <w:p>
            <w:pPr>
              <w:pStyle w:val="926"/>
              <w:rPr>
                <w:sz w:val="20"/>
                <w:szCs w:val="20"/>
              </w:rPr>
            </w:pPr>
            <w:r>
              <w:rPr>
                <w:sz w:val="20"/>
                <w:szCs w:val="20"/>
              </w:rPr>
            </w:r>
            <w:r/>
          </w:p>
        </w:tc>
        <w:tc>
          <w:tcPr>
            <w:tcW w:w="6946" w:type="dxa"/>
            <w:vAlign w:val="center"/>
            <w:textDirection w:val="lrTb"/>
            <w:noWrap w:val="false"/>
          </w:tcPr>
          <w:p>
            <w:pPr>
              <w:pStyle w:val="926"/>
              <w:widowControl/>
              <w:rPr>
                <w:rFonts w:hint="eastAsia" w:ascii="宋体" w:hAnsi="宋体" w:cs="宋体"/>
                <w:spacing w:val="1"/>
                <w:sz w:val="24"/>
                <w:szCs w:val="24"/>
                <w:lang w:bidi="ar"/>
              </w:rPr>
            </w:pPr>
            <w:r>
              <w:rPr>
                <w:rFonts w:hint="eastAsia" w:ascii="宋体" w:hAnsi="宋体" w:cs="宋体"/>
                <w:color w:val="000000"/>
                <w:sz w:val="24"/>
                <w:szCs w:val="24"/>
                <w:lang w:bidi="ar"/>
              </w:rPr>
              <w:t xml:space="preserve">注：以上评分点均需提供人员资格证书扫描件和</w:t>
            </w:r>
            <w:r>
              <w:rPr>
                <w:rFonts w:hint="eastAsia" w:ascii="宋体" w:hAnsi="宋体" w:cs="宋体"/>
                <w:sz w:val="24"/>
                <w:szCs w:val="24"/>
                <w:lang w:bidi="ar"/>
              </w:rPr>
              <w:t xml:space="preserve">近三个月内磋商供应商为其缴纳社保的证明材料，加盖投标人公章，不按要求或没有提供的不得分。</w:t>
            </w:r>
            <w:r>
              <w:rPr>
                <w:rFonts w:hint="eastAsia" w:ascii="宋体" w:hAnsi="宋体" w:cs="宋体"/>
                <w:spacing w:val="1"/>
                <w:sz w:val="24"/>
                <w:szCs w:val="24"/>
                <w:lang w:bidi="ar"/>
              </w:rPr>
            </w:r>
            <w:r/>
          </w:p>
        </w:tc>
      </w:tr>
      <w:tr>
        <w:trPr>
          <w:trHeight w:val="900"/>
        </w:trPr>
        <w:tc>
          <w:tcPr>
            <w:tcW w:w="580" w:type="dxa"/>
            <w:vAlign w:val="center"/>
            <w:vMerge w:val="restart"/>
            <w:textDirection w:val="lrTb"/>
            <w:noWrap w:val="false"/>
          </w:tcPr>
          <w:p>
            <w:pPr>
              <w:pStyle w:val="9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c>
          <w:tcPr>
            <w:tcW w:w="1307" w:type="dxa"/>
            <w:vAlign w:val="center"/>
            <w:vMerge w:val="restart"/>
            <w:textDirection w:val="lrTb"/>
            <w:noWrap w:val="false"/>
          </w:tcPr>
          <w:p>
            <w:pPr>
              <w:pStyle w:val="9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功能演示(10分)</w:t>
            </w:r>
            <w:r>
              <w:rPr>
                <w:rFonts w:hint="eastAsia" w:ascii="宋体" w:hAnsi="宋体" w:cs="宋体"/>
                <w:color w:val="000000"/>
                <w:sz w:val="24"/>
                <w:szCs w:val="24"/>
                <w:lang w:bidi="ar"/>
              </w:rPr>
            </w:r>
            <w:r/>
          </w:p>
        </w:tc>
        <w:tc>
          <w:tcPr>
            <w:tcW w:w="6946" w:type="dxa"/>
            <w:vAlign w:val="center"/>
            <w:textDirection w:val="lrTb"/>
            <w:noWrap w:val="false"/>
          </w:tcPr>
          <w:p>
            <w:pPr>
              <w:pStyle w:val="926"/>
              <w:rPr>
                <w:rFonts w:hint="eastAsia" w:ascii="宋体" w:hAnsi="宋体" w:cs="宋体"/>
                <w:color w:val="000000"/>
                <w:sz w:val="24"/>
                <w:szCs w:val="24"/>
                <w:lang w:bidi="ar"/>
              </w:rPr>
            </w:pPr>
            <w:r>
              <w:rPr>
                <w:rFonts w:hint="eastAsia" w:ascii="宋体" w:hAnsi="宋体" w:cs="宋体"/>
                <w:sz w:val="24"/>
                <w:szCs w:val="24"/>
              </w:rPr>
              <w:t xml:space="preserve">演示要求：</w:t>
            </w:r>
            <w:r>
              <w:rPr>
                <w:rFonts w:hint="eastAsia" w:ascii="宋体" w:hAnsi="宋体" w:cs="宋体"/>
                <w:color w:val="000000"/>
                <w:sz w:val="24"/>
                <w:szCs w:val="24"/>
                <w:lang w:bidi="ar"/>
              </w:rPr>
              <w:t xml:space="preserve">磋商供应商</w:t>
            </w:r>
            <w:r>
              <w:rPr>
                <w:rFonts w:hint="eastAsia" w:ascii="宋体" w:hAnsi="宋体" w:cs="宋体"/>
                <w:sz w:val="24"/>
                <w:szCs w:val="24"/>
              </w:rPr>
              <w:t xml:space="preserve">根据磋商文件演示要求提供相应的演示视频，以真实系统或系统原型呈现且演示内容完整，按照各项内容分值得分；以非真实系统方式（如PPT、图片、静态HTML等）呈现的得50%，不满足演示要求或未演示不得分。</w:t>
            </w:r>
            <w:r>
              <w:rPr>
                <w:rFonts w:hint="eastAsia" w:ascii="宋体" w:hAnsi="宋体" w:cs="宋体"/>
                <w:color w:val="000000"/>
                <w:sz w:val="24"/>
                <w:szCs w:val="24"/>
                <w:lang w:bidi="ar"/>
              </w:rPr>
            </w:r>
            <w:r/>
          </w:p>
        </w:tc>
      </w:tr>
      <w:tr>
        <w:trPr>
          <w:trHeight w:val="624"/>
        </w:trPr>
        <w:tc>
          <w:tcPr>
            <w:tcW w:w="580" w:type="dxa"/>
            <w:vAlign w:val="center"/>
            <w:vMerge w:val="continue"/>
            <w:textDirection w:val="lrTb"/>
            <w:noWrap w:val="false"/>
          </w:tcPr>
          <w:p>
            <w:pPr>
              <w:pStyle w:val="926"/>
              <w:rPr>
                <w:sz w:val="20"/>
                <w:szCs w:val="20"/>
              </w:rPr>
            </w:pPr>
            <w:r>
              <w:rPr>
                <w:sz w:val="20"/>
                <w:szCs w:val="20"/>
              </w:rPr>
            </w:r>
            <w:r/>
          </w:p>
        </w:tc>
        <w:tc>
          <w:tcPr>
            <w:tcW w:w="1307" w:type="dxa"/>
            <w:vAlign w:val="center"/>
            <w:vMerge w:val="continue"/>
            <w:textDirection w:val="lrTb"/>
            <w:noWrap w:val="false"/>
          </w:tcPr>
          <w:p>
            <w:pPr>
              <w:pStyle w:val="926"/>
              <w:rPr>
                <w:sz w:val="20"/>
                <w:szCs w:val="20"/>
              </w:rPr>
            </w:pPr>
            <w:r>
              <w:rPr>
                <w:sz w:val="20"/>
                <w:szCs w:val="20"/>
              </w:rPr>
            </w:r>
            <w:r/>
          </w:p>
        </w:tc>
        <w:tc>
          <w:tcPr>
            <w:tcW w:w="6946" w:type="dxa"/>
            <w:vAlign w:val="center"/>
            <w:textDirection w:val="lrTb"/>
            <w:noWrap w:val="false"/>
          </w:tcPr>
          <w:p>
            <w:pPr>
              <w:pStyle w:val="926"/>
              <w:ind w:firstLine="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5.1证书抽查任务下发和处理功能演示（3分）：</w:t>
            </w:r>
            <w:r>
              <w:rPr>
                <w:rFonts w:hint="eastAsia" w:ascii="宋体" w:hAnsi="宋体" w:cs="宋体"/>
                <w:color w:val="000000"/>
                <w:sz w:val="24"/>
                <w:szCs w:val="24"/>
                <w:lang w:bidi="ar"/>
              </w:rPr>
            </w:r>
            <w:r/>
          </w:p>
          <w:p>
            <w:pPr>
              <w:pStyle w:val="926"/>
              <w:ind w:firstLine="0"/>
              <w:jc w:val="lef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val="en-US" w:eastAsia="zh-CN" w:bidi="ar"/>
              </w:rPr>
            </w:r>
            <w:r>
              <w:rPr>
                <w:rFonts w:ascii="SimSun" w:hAnsi="SimSun" w:eastAsia="SimSun" w:cs="SimSun"/>
                <w:color w:val="000000"/>
                <w:sz w:val="24"/>
              </w:rPr>
              <w:t xml:space="preserve">5.1.</w:t>
            </w:r>
            <w:r>
              <w:rPr>
                <w:rFonts w:hint="eastAsia" w:ascii="宋体" w:hAnsi="宋体" w:cs="宋体"/>
                <w:color w:val="000000"/>
                <w:sz w:val="24"/>
                <w:szCs w:val="24"/>
                <w:lang w:val="en-US" w:eastAsia="zh-CN" w:bidi="ar"/>
              </w:rPr>
              <w:t xml:space="preserve">1证书</w:t>
            </w:r>
            <w:r>
              <w:rPr>
                <w:rFonts w:hint="eastAsia" w:ascii="宋体" w:hAnsi="宋体" w:cs="宋体"/>
                <w:color w:val="000000"/>
                <w:sz w:val="24"/>
                <w:szCs w:val="24"/>
                <w:lang w:bidi="ar"/>
              </w:rPr>
              <w:t xml:space="preserve">抽查目录导入</w:t>
            </w:r>
            <w:r>
              <w:rPr>
                <w:rFonts w:hint="eastAsia" w:ascii="宋体" w:hAnsi="宋体" w:cs="宋体"/>
                <w:color w:val="000000"/>
                <w:sz w:val="24"/>
                <w:szCs w:val="24"/>
                <w:lang w:val="en-US" w:eastAsia="zh-CN" w:bidi="ar"/>
              </w:rPr>
              <w:t xml:space="preserve">并自动生成抽查任务</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1分</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926"/>
              <w:ind w:firstLine="0"/>
              <w:jc w:val="lef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rPr>
                <w:rFonts w:ascii="SimSun" w:hAnsi="SimSun" w:eastAsia="SimSun" w:cs="SimSun"/>
                <w:color w:val="000000"/>
                <w:sz w:val="24"/>
              </w:rPr>
              <w:t xml:space="preserve">5.1.</w:t>
            </w:r>
            <w:r>
              <w:rPr>
                <w:rFonts w:hint="eastAsia" w:ascii="宋体" w:hAnsi="宋体" w:eastAsia="宋体" w:cs="宋体"/>
                <w:color w:val="000000"/>
                <w:sz w:val="24"/>
                <w:szCs w:val="24"/>
                <w:lang w:val="en-US" w:eastAsia="zh-CN" w:bidi="ar"/>
              </w:rPr>
              <w:t xml:space="preserve">2原始记录文件上传和并支持在线预览</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1分</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r>
            <w:r/>
          </w:p>
          <w:p>
            <w:pPr>
              <w:pStyle w:val="926"/>
              <w:ind w:firstLine="0"/>
              <w:jc w:val="left"/>
              <w:widowControl/>
              <w:rPr>
                <w:rFonts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r>
            <w:r>
              <w:rPr>
                <w:rFonts w:ascii="SimSun" w:hAnsi="SimSun" w:eastAsia="SimSun" w:cs="SimSun"/>
                <w:color w:val="000000"/>
                <w:sz w:val="24"/>
              </w:rPr>
              <w:t xml:space="preserve">5.1.</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结果确认</w:t>
            </w:r>
            <w:r>
              <w:rPr>
                <w:rFonts w:hint="eastAsia" w:ascii="宋体" w:hAnsi="宋体" w:cs="宋体"/>
                <w:color w:val="000000"/>
                <w:sz w:val="24"/>
                <w:szCs w:val="24"/>
                <w:lang w:val="en-US" w:eastAsia="zh-CN" w:bidi="ar"/>
              </w:rPr>
              <w:t xml:space="preserve">和技术质量科确认差错</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1分</w:t>
            </w:r>
            <w:r>
              <w:rPr>
                <w:rFonts w:hint="eastAsia" w:ascii="宋体" w:hAnsi="宋体" w:cs="宋体"/>
                <w:color w:val="000000"/>
                <w:sz w:val="24"/>
                <w:szCs w:val="24"/>
                <w:lang w:eastAsia="zh-CN" w:bidi="ar"/>
              </w:rPr>
              <w:t xml:space="preserve">）</w:t>
            </w:r>
            <w:r>
              <w:rPr>
                <w:rFonts w:ascii="宋体" w:hAnsi="宋体" w:eastAsia="宋体" w:cs="宋体"/>
                <w:color w:val="000000"/>
                <w:sz w:val="24"/>
                <w:szCs w:val="24"/>
                <w:lang w:val="en-US" w:eastAsia="zh-CN" w:bidi="ar"/>
              </w:rPr>
            </w:r>
            <w:r/>
          </w:p>
        </w:tc>
      </w:tr>
      <w:tr>
        <w:trPr>
          <w:trHeight w:val="341"/>
        </w:trPr>
        <w:tc>
          <w:tcPr>
            <w:tcW w:w="580" w:type="dxa"/>
            <w:vAlign w:val="center"/>
            <w:vMerge w:val="continue"/>
            <w:textDirection w:val="lrTb"/>
            <w:noWrap w:val="false"/>
          </w:tcPr>
          <w:p>
            <w:pPr>
              <w:pStyle w:val="926"/>
              <w:rPr>
                <w:sz w:val="20"/>
                <w:szCs w:val="20"/>
              </w:rPr>
            </w:pPr>
            <w:r>
              <w:rPr>
                <w:sz w:val="20"/>
                <w:szCs w:val="20"/>
              </w:rPr>
            </w:r>
            <w:r/>
          </w:p>
        </w:tc>
        <w:tc>
          <w:tcPr>
            <w:tcW w:w="1307" w:type="dxa"/>
            <w:vAlign w:val="center"/>
            <w:vMerge w:val="continue"/>
            <w:textDirection w:val="lrTb"/>
            <w:noWrap w:val="false"/>
          </w:tcPr>
          <w:p>
            <w:pPr>
              <w:pStyle w:val="926"/>
              <w:rPr>
                <w:sz w:val="20"/>
                <w:szCs w:val="20"/>
              </w:rPr>
            </w:pPr>
            <w:r>
              <w:rPr>
                <w:sz w:val="20"/>
                <w:szCs w:val="20"/>
              </w:rPr>
            </w:r>
            <w:r/>
          </w:p>
        </w:tc>
        <w:tc>
          <w:tcPr>
            <w:tcW w:w="6946" w:type="dxa"/>
            <w:vAlign w:val="center"/>
            <w:textDirection w:val="lrTb"/>
            <w:noWrap w:val="false"/>
          </w:tcPr>
          <w:p>
            <w:pPr>
              <w:pStyle w:val="926"/>
              <w:ind w:firstLine="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5.2不符合的证书/报告、原始记录登记流程演示（2分）：</w:t>
            </w:r>
            <w:r>
              <w:rPr>
                <w:rFonts w:hint="eastAsia" w:ascii="宋体" w:hAnsi="宋体" w:cs="宋体"/>
                <w:color w:val="000000"/>
                <w:sz w:val="24"/>
                <w:szCs w:val="24"/>
                <w:lang w:bidi="ar"/>
              </w:rPr>
            </w:r>
            <w:r/>
          </w:p>
          <w:p>
            <w:pPr>
              <w:pStyle w:val="926"/>
              <w:ind w:left="0" w:firstLine="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rPr>
                <w:rFonts w:ascii="SimSun" w:hAnsi="SimSun" w:eastAsia="SimSun" w:cs="SimSun"/>
                <w:color w:val="000000"/>
                <w:sz w:val="24"/>
              </w:rPr>
              <w:t xml:space="preserve">5.2.1</w:t>
            </w:r>
            <w:r>
              <w:rPr>
                <w:rFonts w:hint="eastAsia" w:ascii="宋体" w:hAnsi="宋体" w:cs="宋体"/>
                <w:color w:val="000000"/>
                <w:sz w:val="24"/>
                <w:szCs w:val="24"/>
                <w:lang w:bidi="ar"/>
              </w:rPr>
              <w:t xml:space="preserve">抽查任务</w:t>
            </w:r>
            <w:r>
              <w:rPr>
                <w:rFonts w:hint="eastAsia" w:ascii="宋体" w:hAnsi="宋体" w:cs="宋体"/>
                <w:color w:val="000000"/>
                <w:sz w:val="24"/>
                <w:szCs w:val="24"/>
                <w:lang w:val="en-US" w:eastAsia="zh-CN" w:bidi="ar"/>
              </w:rPr>
              <w:t xml:space="preserve">完成检查</w:t>
            </w:r>
            <w:r>
              <w:rPr>
                <w:rFonts w:hint="eastAsia" w:ascii="宋体" w:hAnsi="宋体" w:cs="宋体"/>
                <w:color w:val="000000"/>
                <w:sz w:val="24"/>
                <w:szCs w:val="24"/>
                <w:lang w:bidi="ar"/>
              </w:rPr>
              <w:t xml:space="preserve">后发起</w:t>
            </w:r>
            <w:r>
              <w:rPr>
                <w:rFonts w:hint="eastAsia" w:ascii="宋体" w:hAnsi="宋体" w:cs="宋体"/>
                <w:color w:val="000000"/>
                <w:sz w:val="24"/>
                <w:szCs w:val="24"/>
                <w:lang w:val="en-US" w:eastAsia="zh-CN" w:bidi="ar"/>
              </w:rPr>
              <w:t xml:space="preserve">登记表流程</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r>
            <w:r/>
          </w:p>
          <w:p>
            <w:pPr>
              <w:pStyle w:val="926"/>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rPr>
                <w:rFonts w:ascii="SimSun" w:hAnsi="SimSun" w:eastAsia="SimSun" w:cs="SimSun"/>
                <w:color w:val="000000"/>
                <w:sz w:val="24"/>
              </w:rPr>
              <w:t xml:space="preserve">5.2.2</w:t>
            </w:r>
            <w:r>
              <w:rPr>
                <w:rFonts w:hint="eastAsia" w:ascii="宋体" w:hAnsi="宋体" w:cs="宋体"/>
                <w:color w:val="000000"/>
                <w:sz w:val="24"/>
                <w:szCs w:val="24"/>
                <w:lang w:bidi="ar"/>
              </w:rPr>
              <w:t xml:space="preserve">检测所</w:t>
            </w:r>
            <w:r>
              <w:rPr>
                <w:rFonts w:hint="eastAsia" w:ascii="宋体" w:hAnsi="宋体" w:cs="宋体"/>
                <w:color w:val="000000"/>
                <w:sz w:val="24"/>
                <w:szCs w:val="24"/>
                <w:lang w:val="en-US" w:eastAsia="zh-CN" w:bidi="ar"/>
              </w:rPr>
              <w:t xml:space="preserve">查看差错详情并确认结果</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r>
            <w:r/>
          </w:p>
        </w:tc>
      </w:tr>
      <w:tr>
        <w:trPr>
          <w:trHeight w:val="318"/>
        </w:trPr>
        <w:tc>
          <w:tcPr>
            <w:tcW w:w="580" w:type="dxa"/>
            <w:vAlign w:val="center"/>
            <w:vMerge w:val="continue"/>
            <w:textDirection w:val="lrTb"/>
            <w:noWrap w:val="false"/>
          </w:tcPr>
          <w:p>
            <w:pPr>
              <w:pStyle w:val="926"/>
              <w:rPr>
                <w:sz w:val="20"/>
                <w:szCs w:val="20"/>
              </w:rPr>
            </w:pPr>
            <w:r>
              <w:rPr>
                <w:sz w:val="20"/>
                <w:szCs w:val="20"/>
              </w:rPr>
            </w:r>
            <w:r/>
          </w:p>
        </w:tc>
        <w:tc>
          <w:tcPr>
            <w:tcW w:w="1307" w:type="dxa"/>
            <w:vAlign w:val="center"/>
            <w:vMerge w:val="continue"/>
            <w:textDirection w:val="lrTb"/>
            <w:noWrap w:val="false"/>
          </w:tcPr>
          <w:p>
            <w:pPr>
              <w:pStyle w:val="926"/>
              <w:rPr>
                <w:sz w:val="20"/>
                <w:szCs w:val="20"/>
              </w:rPr>
            </w:pPr>
            <w:r>
              <w:rPr>
                <w:sz w:val="20"/>
                <w:szCs w:val="20"/>
              </w:rPr>
            </w:r>
            <w:r/>
          </w:p>
        </w:tc>
        <w:tc>
          <w:tcPr>
            <w:tcW w:w="6946" w:type="dxa"/>
            <w:vAlign w:val="center"/>
            <w:textDirection w:val="lrTb"/>
            <w:noWrap w:val="false"/>
          </w:tcPr>
          <w:p>
            <w:pPr>
              <w:pStyle w:val="926"/>
              <w:ind w:firstLine="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 CMA能力扩项申报功能演示（2分）</w:t>
            </w:r>
            <w:r>
              <w:rPr>
                <w:rFonts w:hint="eastAsia" w:ascii="宋体" w:hAnsi="宋体" w:cs="宋体"/>
                <w:color w:val="000000"/>
                <w:sz w:val="24"/>
                <w:szCs w:val="24"/>
                <w:lang w:bidi="ar"/>
              </w:rPr>
            </w:r>
            <w:r/>
          </w:p>
          <w:p>
            <w:pPr>
              <w:pStyle w:val="926"/>
              <w:ind w:firstLine="0"/>
              <w:jc w:val="left"/>
              <w:widowControl/>
              <w:rPr>
                <w:rFonts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r>
            <w:r>
              <w:rPr>
                <w:rFonts w:ascii="SimSun" w:hAnsi="SimSun" w:eastAsia="SimSun" w:cs="SimSun"/>
                <w:color w:val="000000"/>
                <w:sz w:val="24"/>
              </w:rPr>
              <w:t xml:space="preserve">5.3.1</w:t>
            </w:r>
            <w:r>
              <w:rPr>
                <w:rFonts w:hint="eastAsia" w:ascii="宋体" w:hAnsi="宋体" w:cs="宋体"/>
                <w:color w:val="000000"/>
                <w:sz w:val="24"/>
                <w:szCs w:val="24"/>
                <w:lang w:bidi="ar"/>
              </w:rPr>
              <w:t xml:space="preserve">CMA能力扩项信息填写</w:t>
            </w:r>
            <w:r>
              <w:rPr>
                <w:rFonts w:hint="eastAsia" w:ascii="宋体" w:hAnsi="宋体" w:cs="宋体"/>
                <w:color w:val="000000"/>
                <w:sz w:val="24"/>
                <w:szCs w:val="24"/>
                <w:lang w:val="en-US" w:eastAsia="zh-CN" w:bidi="ar"/>
              </w:rPr>
              <w:t xml:space="preserve">并关联仪器设备</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1分</w:t>
            </w:r>
            <w:r>
              <w:rPr>
                <w:rFonts w:hint="eastAsia" w:ascii="宋体" w:hAnsi="宋体" w:cs="宋体"/>
                <w:color w:val="000000"/>
                <w:sz w:val="24"/>
                <w:szCs w:val="24"/>
                <w:lang w:eastAsia="zh-CN" w:bidi="ar"/>
              </w:rPr>
              <w:t xml:space="preserve">）</w:t>
            </w:r>
            <w:r>
              <w:rPr>
                <w:rFonts w:ascii="宋体" w:hAnsi="宋体" w:eastAsia="宋体" w:cs="宋体"/>
                <w:color w:val="000000"/>
                <w:sz w:val="24"/>
                <w:szCs w:val="24"/>
                <w:lang w:val="en-US" w:eastAsia="zh-CN" w:bidi="ar"/>
              </w:rPr>
            </w:r>
            <w:r/>
          </w:p>
          <w:p>
            <w:pPr>
              <w:pStyle w:val="926"/>
              <w:ind w:firstLine="0"/>
              <w:jc w:val="left"/>
              <w:widowControl/>
              <w:rPr>
                <w:rFonts w:hint="eastAsia" w:ascii="宋体" w:hAnsi="宋体" w:cs="宋体"/>
                <w:color w:val="000000"/>
                <w:sz w:val="24"/>
                <w:szCs w:val="24"/>
                <w:lang w:bidi="ar"/>
              </w:rPr>
            </w:pPr>
            <w:r>
              <w:rPr>
                <w:rFonts w:hint="eastAsia" w:ascii="宋体" w:hAnsi="宋体" w:cs="宋体"/>
                <w:color w:val="000000"/>
                <w:sz w:val="24"/>
                <w:szCs w:val="24"/>
                <w:lang w:val="en-US" w:eastAsia="zh-CN" w:bidi="ar"/>
              </w:rPr>
            </w:r>
            <w:r>
              <w:rPr>
                <w:rFonts w:ascii="SimSun" w:hAnsi="SimSun" w:eastAsia="SimSun" w:cs="SimSun"/>
                <w:color w:val="000000"/>
                <w:sz w:val="24"/>
              </w:rPr>
              <w:t xml:space="preserve">5.3.2</w:t>
            </w:r>
            <w:r>
              <w:rPr>
                <w:rFonts w:hint="eastAsia" w:ascii="宋体" w:hAnsi="宋体" w:cs="宋体"/>
                <w:color w:val="000000"/>
                <w:sz w:val="24"/>
                <w:szCs w:val="24"/>
                <w:lang w:val="en-US" w:eastAsia="zh-CN" w:bidi="ar"/>
              </w:rPr>
              <w:t xml:space="preserve">CMA</w:t>
            </w:r>
            <w:r>
              <w:rPr>
                <w:rFonts w:hint="eastAsia" w:ascii="宋体" w:hAnsi="宋体" w:cs="宋体"/>
                <w:color w:val="000000"/>
                <w:sz w:val="24"/>
                <w:szCs w:val="24"/>
                <w:lang w:bidi="ar"/>
              </w:rPr>
              <w:t xml:space="preserve">申报关联</w:t>
            </w:r>
            <w:r>
              <w:rPr>
                <w:rFonts w:hint="eastAsia" w:ascii="宋体" w:hAnsi="宋体" w:cs="宋体"/>
                <w:color w:val="000000"/>
                <w:sz w:val="24"/>
                <w:szCs w:val="24"/>
                <w:lang w:val="en-US" w:eastAsia="zh-CN" w:bidi="ar"/>
              </w:rPr>
              <w:t xml:space="preserve">项目流程</w:t>
            </w:r>
            <w:r>
              <w:rPr>
                <w:rFonts w:hint="eastAsia" w:ascii="宋体" w:hAnsi="宋体" w:cs="宋体"/>
                <w:color w:val="000000"/>
                <w:sz w:val="24"/>
                <w:szCs w:val="24"/>
                <w:lang w:bidi="ar"/>
              </w:rPr>
              <w:t xml:space="preserve">流程功能</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r>
            <w:r/>
          </w:p>
        </w:tc>
      </w:tr>
      <w:tr>
        <w:trPr>
          <w:trHeight w:val="318"/>
        </w:trPr>
        <w:tc>
          <w:tcPr>
            <w:tcW w:w="580" w:type="dxa"/>
            <w:vAlign w:val="center"/>
            <w:vMerge w:val="continue"/>
            <w:textDirection w:val="lrTb"/>
            <w:noWrap w:val="false"/>
          </w:tcPr>
          <w:p>
            <w:pPr>
              <w:pStyle w:val="926"/>
              <w:ind w:firstLine="105"/>
              <w:jc w:val="left"/>
              <w:widowControl/>
            </w:pPr>
            <w:r/>
            <w:r/>
          </w:p>
        </w:tc>
        <w:tc>
          <w:tcPr>
            <w:tcW w:w="1307" w:type="dxa"/>
            <w:vAlign w:val="center"/>
            <w:vMerge w:val="continue"/>
            <w:textDirection w:val="lrTb"/>
            <w:noWrap w:val="false"/>
          </w:tcPr>
          <w:p>
            <w:pPr>
              <w:pStyle w:val="926"/>
              <w:ind w:firstLine="105"/>
              <w:jc w:val="left"/>
              <w:widowControl/>
            </w:pPr>
            <w:r/>
            <w:r/>
          </w:p>
        </w:tc>
        <w:tc>
          <w:tcPr>
            <w:tcW w:w="6946" w:type="dxa"/>
            <w:vAlign w:val="center"/>
            <w:textDirection w:val="lrTb"/>
            <w:noWrap w:val="false"/>
          </w:tcPr>
          <w:p>
            <w:pPr>
              <w:pStyle w:val="926"/>
              <w:ind w:firstLine="0"/>
              <w:jc w:val="left"/>
              <w:widowControl/>
              <w:rPr>
                <w:rFonts w:hint="eastAsia" w:ascii="宋体" w:hAnsi="宋体" w:cs="宋体"/>
                <w:color w:val="000000"/>
                <w:sz w:val="24"/>
                <w:szCs w:val="24"/>
                <w:lang w:val="en-US" w:eastAsia="zh-CN" w:bidi="ar"/>
              </w:rPr>
            </w:pPr>
            <w:r>
              <w:rPr>
                <w:rFonts w:ascii="宋体" w:hAnsi="宋体" w:cs="宋体"/>
                <w:color w:val="000000"/>
                <w:sz w:val="24"/>
                <w:szCs w:val="24"/>
                <w:lang w:val="en-US" w:eastAsia="zh-CN" w:bidi="ar"/>
              </w:rPr>
              <w:t xml:space="preserve">5.</w:t>
            </w:r>
            <w:r>
              <w:rPr>
                <w:rFonts w:hint="eastAsia" w:ascii="宋体" w:hAnsi="宋体" w:cs="宋体"/>
                <w:color w:val="000000"/>
                <w:sz w:val="24"/>
                <w:szCs w:val="24"/>
                <w:lang w:val="en-US" w:eastAsia="zh-CN" w:bidi="ar"/>
              </w:rPr>
              <w:t xml:space="preserve">4</w:t>
            </w:r>
            <w:r>
              <w:rPr>
                <w:rFonts w:ascii="宋体" w:hAnsi="宋体" w:cs="宋体"/>
                <w:color w:val="000000"/>
                <w:sz w:val="24"/>
                <w:szCs w:val="24"/>
                <w:lang w:val="en-US" w:eastAsia="zh-CN" w:bidi="ar"/>
              </w:rPr>
              <w:t xml:space="preserve">培训效果</w:t>
            </w:r>
            <w:r>
              <w:rPr>
                <w:rFonts w:hint="eastAsia" w:ascii="宋体" w:hAnsi="宋体" w:cs="宋体"/>
                <w:color w:val="000000"/>
                <w:sz w:val="24"/>
                <w:szCs w:val="24"/>
                <w:lang w:val="en-US" w:eastAsia="zh-CN" w:bidi="ar"/>
              </w:rPr>
              <w:t xml:space="preserve">和</w:t>
            </w:r>
            <w:r>
              <w:rPr>
                <w:rFonts w:ascii="宋体" w:hAnsi="宋体" w:cs="宋体"/>
                <w:color w:val="000000"/>
                <w:sz w:val="24"/>
                <w:szCs w:val="24"/>
                <w:lang w:val="en-US" w:eastAsia="zh-CN" w:bidi="ar"/>
              </w:rPr>
              <w:t xml:space="preserve">主观评价</w:t>
            </w:r>
            <w:r>
              <w:rPr>
                <w:rFonts w:hint="eastAsia" w:ascii="宋体" w:hAnsi="宋体" w:cs="宋体"/>
                <w:color w:val="000000"/>
                <w:sz w:val="24"/>
                <w:szCs w:val="24"/>
                <w:lang w:val="en-US" w:eastAsia="zh-CN" w:bidi="ar"/>
              </w:rPr>
              <w:t xml:space="preserve">功能演示</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lang w:val="en-US" w:eastAsia="zh-CN" w:bidi="ar"/>
              </w:rPr>
            </w:r>
            <w:r/>
          </w:p>
          <w:p>
            <w:pPr>
              <w:pStyle w:val="926"/>
              <w:ind w:left="0" w:firstLine="0"/>
              <w:jc w:val="left"/>
              <w:widowControl/>
              <w:rPr>
                <w:rFonts w:ascii="宋体" w:hAnsi="宋体" w:cs="宋体"/>
                <w:color w:val="000000"/>
                <w:sz w:val="24"/>
                <w:szCs w:val="24"/>
                <w:lang w:val="en-US" w:eastAsia="zh-CN" w:bidi="ar"/>
              </w:rPr>
            </w:pPr>
            <w:r>
              <w:rPr>
                <w:rFonts w:ascii="宋体" w:hAnsi="宋体" w:cs="宋体"/>
                <w:color w:val="000000"/>
                <w:sz w:val="24"/>
                <w:szCs w:val="24"/>
                <w:lang w:val="en-US" w:eastAsia="zh-CN" w:bidi="ar"/>
              </w:rPr>
            </w:r>
            <w:r>
              <w:rPr>
                <w:rFonts w:ascii="SimSun" w:hAnsi="SimSun" w:eastAsia="SimSun" w:cs="SimSun"/>
                <w:color w:val="000000"/>
                <w:sz w:val="24"/>
              </w:rPr>
              <w:t xml:space="preserve">5.4.1</w:t>
            </w:r>
            <w:r>
              <w:rPr>
                <w:rFonts w:ascii="宋体" w:hAnsi="宋体" w:cs="宋体"/>
                <w:color w:val="000000"/>
                <w:sz w:val="24"/>
                <w:szCs w:val="24"/>
                <w:lang w:val="en-US" w:eastAsia="zh-CN" w:bidi="ar"/>
              </w:rPr>
              <w:t xml:space="preserve">培训流程完成后</w:t>
            </w:r>
            <w:r>
              <w:rPr>
                <w:rFonts w:hint="eastAsia" w:ascii="宋体" w:hAnsi="宋体" w:cs="宋体"/>
                <w:color w:val="000000"/>
                <w:sz w:val="24"/>
                <w:szCs w:val="24"/>
                <w:lang w:val="en-US" w:eastAsia="zh-CN" w:bidi="ar"/>
              </w:rPr>
              <w:t xml:space="preserve">自动</w:t>
            </w:r>
            <w:r>
              <w:rPr>
                <w:rFonts w:ascii="宋体" w:hAnsi="宋体" w:cs="宋体"/>
                <w:color w:val="000000"/>
                <w:sz w:val="24"/>
                <w:szCs w:val="24"/>
                <w:lang w:val="en-US" w:eastAsia="zh-CN" w:bidi="ar"/>
              </w:rPr>
              <w:t xml:space="preserve">生成</w:t>
            </w:r>
            <w:r>
              <w:rPr>
                <w:rFonts w:hint="eastAsia" w:ascii="宋体" w:hAnsi="宋体" w:cs="宋体"/>
                <w:color w:val="000000"/>
                <w:sz w:val="24"/>
                <w:szCs w:val="24"/>
                <w:lang w:val="en-US" w:eastAsia="zh-CN" w:bidi="ar"/>
              </w:rPr>
              <w:t xml:space="preserve">培训</w:t>
            </w:r>
            <w:r>
              <w:rPr>
                <w:rFonts w:ascii="宋体" w:hAnsi="宋体" w:cs="宋体"/>
                <w:color w:val="000000"/>
                <w:sz w:val="24"/>
                <w:szCs w:val="24"/>
                <w:lang w:val="en-US" w:eastAsia="zh-CN" w:bidi="ar"/>
              </w:rPr>
              <w:t xml:space="preserve">主观评价表</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分）</w:t>
            </w:r>
            <w:r>
              <w:rPr>
                <w:rFonts w:ascii="宋体" w:hAnsi="宋体" w:cs="宋体"/>
                <w:color w:val="000000"/>
                <w:sz w:val="24"/>
                <w:szCs w:val="24"/>
                <w:lang w:val="en-US" w:eastAsia="zh-CN" w:bidi="ar"/>
              </w:rPr>
            </w:r>
            <w:r/>
          </w:p>
          <w:p>
            <w:pPr>
              <w:pStyle w:val="926"/>
              <w:jc w:val="left"/>
              <w:widowControl/>
              <w:rPr>
                <w:rFonts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rPr>
                <w:rFonts w:ascii="SimSun" w:hAnsi="SimSun" w:eastAsia="SimSun" w:cs="SimSun"/>
                <w:color w:val="000000"/>
                <w:sz w:val="24"/>
              </w:rPr>
              <w:t xml:space="preserve">5.4.2</w:t>
            </w:r>
            <w:r>
              <w:rPr>
                <w:rFonts w:hint="eastAsia" w:ascii="宋体" w:hAnsi="宋体" w:cs="宋体"/>
                <w:color w:val="000000"/>
                <w:sz w:val="24"/>
                <w:szCs w:val="24"/>
                <w:lang w:val="en-US" w:eastAsia="zh-CN" w:bidi="ar"/>
              </w:rPr>
              <w:t xml:space="preserve">培训</w:t>
            </w:r>
            <w:r>
              <w:rPr>
                <w:rFonts w:ascii="宋体" w:hAnsi="宋体" w:cs="宋体"/>
                <w:color w:val="000000"/>
                <w:sz w:val="24"/>
                <w:szCs w:val="24"/>
                <w:lang w:val="en-US" w:eastAsia="zh-CN" w:bidi="ar"/>
              </w:rPr>
              <w:t xml:space="preserve">主观评价表填写和提交</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分）</w:t>
            </w:r>
            <w:r>
              <w:rPr>
                <w:rFonts w:ascii="宋体" w:hAnsi="宋体" w:cs="宋体"/>
                <w:color w:val="000000"/>
                <w:sz w:val="24"/>
                <w:szCs w:val="24"/>
                <w:lang w:val="en-US" w:eastAsia="zh-CN" w:bidi="ar"/>
              </w:rPr>
            </w:r>
            <w:r/>
          </w:p>
          <w:p>
            <w:pPr>
              <w:pStyle w:val="926"/>
              <w:jc w:val="left"/>
              <w:widowControl/>
              <w:rPr>
                <w:rFonts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rPr>
                <w:rFonts w:ascii="SimSun" w:hAnsi="SimSun" w:eastAsia="SimSun" w:cs="SimSun"/>
                <w:color w:val="000000"/>
                <w:sz w:val="24"/>
              </w:rPr>
              <w:t xml:space="preserve">5.4.3</w:t>
            </w:r>
            <w:r>
              <w:rPr>
                <w:rFonts w:hint="eastAsia" w:ascii="宋体" w:hAnsi="宋体" w:cs="宋体"/>
                <w:color w:val="000000"/>
                <w:sz w:val="24"/>
                <w:szCs w:val="24"/>
                <w:lang w:val="en-US" w:eastAsia="zh-CN" w:bidi="ar"/>
              </w:rPr>
              <w:t xml:space="preserve">培训老师查看所有</w:t>
            </w:r>
            <w:r>
              <w:rPr>
                <w:rFonts w:ascii="宋体" w:hAnsi="宋体" w:cs="宋体"/>
                <w:color w:val="000000"/>
                <w:sz w:val="24"/>
                <w:szCs w:val="24"/>
                <w:lang w:val="en-US" w:eastAsia="zh-CN" w:bidi="ar"/>
              </w:rPr>
              <w:t xml:space="preserve">评价</w:t>
            </w:r>
            <w:r>
              <w:rPr>
                <w:rFonts w:hint="eastAsia" w:ascii="宋体" w:hAnsi="宋体" w:cs="宋体"/>
                <w:color w:val="000000"/>
                <w:sz w:val="24"/>
                <w:szCs w:val="24"/>
                <w:lang w:val="en-US" w:eastAsia="zh-CN" w:bidi="ar"/>
              </w:rPr>
              <w:t xml:space="preserve">记录</w:t>
            </w:r>
            <w:r>
              <w:rPr>
                <w:rFonts w:ascii="宋体" w:hAnsi="宋体" w:cs="宋体"/>
                <w:color w:val="000000"/>
                <w:sz w:val="24"/>
                <w:szCs w:val="24"/>
                <w:lang w:val="en-US" w:eastAsia="zh-CN" w:bidi="ar"/>
              </w:rPr>
              <w:t xml:space="preserve">和详情</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分）</w:t>
            </w:r>
            <w:r>
              <w:rPr>
                <w:rFonts w:ascii="宋体" w:hAnsi="宋体" w:cs="宋体"/>
                <w:color w:val="000000"/>
                <w:sz w:val="24"/>
                <w:szCs w:val="24"/>
                <w:lang w:val="en-US" w:eastAsia="zh-CN" w:bidi="ar"/>
              </w:rPr>
            </w:r>
            <w:r/>
          </w:p>
        </w:tc>
      </w:tr>
      <w:tr>
        <w:trPr>
          <w:trHeight w:val="318"/>
        </w:trPr>
        <w:tc>
          <w:tcPr>
            <w:tcW w:w="580" w:type="dxa"/>
            <w:vAlign w:val="center"/>
            <w:vMerge w:val="continue"/>
            <w:textDirection w:val="lrTb"/>
            <w:noWrap w:val="false"/>
          </w:tcPr>
          <w:p>
            <w:pPr>
              <w:pStyle w:val="926"/>
              <w:ind w:firstLine="120"/>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tcW w:w="1307" w:type="dxa"/>
            <w:vAlign w:val="center"/>
            <w:vMerge w:val="continue"/>
            <w:textDirection w:val="lrTb"/>
            <w:noWrap w:val="false"/>
          </w:tcPr>
          <w:p>
            <w:pPr>
              <w:pStyle w:val="926"/>
              <w:ind w:firstLine="120"/>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tcW w:w="6946" w:type="dxa"/>
            <w:vAlign w:val="center"/>
            <w:textDirection w:val="lrTb"/>
            <w:noWrap w:val="false"/>
          </w:tcPr>
          <w:p>
            <w:pPr>
              <w:pStyle w:val="926"/>
              <w:ind w:firstLine="120"/>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r>
    </w:tbl>
    <w:p>
      <w:pPr>
        <w:pStyle w:val="926"/>
        <w:spacing w:line="400" w:lineRule="exact"/>
        <w:rPr>
          <w:rFonts w:hint="eastAsia"/>
          <w:szCs w:val="21"/>
        </w:rPr>
      </w:pPr>
      <w:r>
        <w:rPr>
          <w:rFonts w:hint="eastAsia"/>
          <w:szCs w:val="21"/>
        </w:rPr>
      </w:r>
      <w:r/>
    </w:p>
    <w:p>
      <w:pPr>
        <w:pStyle w:val="926"/>
        <w:spacing w:line="400" w:lineRule="exact"/>
        <w:rPr>
          <w:szCs w:val="21"/>
        </w:rPr>
      </w:pPr>
      <w:r>
        <w:rPr>
          <w:szCs w:val="21"/>
        </w:rPr>
      </w:r>
      <w:r/>
    </w:p>
    <w:p>
      <w:pPr>
        <w:pStyle w:val="926"/>
        <w:spacing w:line="400" w:lineRule="exact"/>
        <w:rPr>
          <w:szCs w:val="21"/>
        </w:rPr>
      </w:pPr>
      <w:r>
        <w:rPr>
          <w:szCs w:val="21"/>
        </w:rPr>
      </w:r>
      <w:r/>
    </w:p>
    <w:p>
      <w:pPr>
        <w:pStyle w:val="926"/>
        <w:spacing w:line="400" w:lineRule="exact"/>
        <w:rPr>
          <w:szCs w:val="21"/>
        </w:rPr>
      </w:pPr>
      <w:r>
        <w:rPr>
          <w:szCs w:val="21"/>
        </w:rPr>
      </w:r>
      <w:r/>
    </w:p>
    <w:p>
      <w:pPr>
        <w:pStyle w:val="926"/>
        <w:spacing w:line="400" w:lineRule="exact"/>
        <w:rPr>
          <w:szCs w:val="21"/>
        </w:rPr>
      </w:pPr>
      <w:r>
        <w:rPr>
          <w:szCs w:val="21"/>
        </w:rPr>
      </w:r>
      <w:r/>
    </w:p>
    <w:p>
      <w:pPr>
        <w:pStyle w:val="926"/>
        <w:spacing w:line="400" w:lineRule="exact"/>
        <w:rPr>
          <w:szCs w:val="21"/>
        </w:rPr>
      </w:pPr>
      <w:r>
        <w:rPr>
          <w:szCs w:val="21"/>
        </w:rPr>
      </w:r>
      <w:r/>
    </w:p>
    <w:p>
      <w:pPr>
        <w:pStyle w:val="926"/>
        <w:spacing w:line="400" w:lineRule="exact"/>
        <w:rPr>
          <w:szCs w:val="21"/>
        </w:rPr>
      </w:pPr>
      <w:r>
        <w:rPr>
          <w:szCs w:val="21"/>
        </w:rPr>
      </w:r>
      <w:r/>
    </w:p>
    <w:p>
      <w:pPr>
        <w:pStyle w:val="926"/>
        <w:spacing w:line="400" w:lineRule="exact"/>
        <w:rPr>
          <w:szCs w:val="21"/>
        </w:rPr>
      </w:pPr>
      <w:r>
        <w:rPr>
          <w:szCs w:val="21"/>
        </w:rPr>
      </w:r>
      <w:r/>
    </w:p>
    <w:p>
      <w:pPr>
        <w:pStyle w:val="926"/>
        <w:rPr>
          <w:szCs w:val="21"/>
        </w:rPr>
      </w:pPr>
      <w:r>
        <w:rPr>
          <w:szCs w:val="21"/>
        </w:rPr>
      </w:r>
      <w:r/>
    </w:p>
    <w:p>
      <w:pPr>
        <w:pStyle w:val="926"/>
        <w:rPr>
          <w:szCs w:val="21"/>
        </w:rPr>
      </w:pPr>
      <w:r>
        <w:rPr>
          <w:szCs w:val="21"/>
        </w:rPr>
      </w:r>
      <w:r/>
    </w:p>
    <w:p>
      <w:pPr>
        <w:pStyle w:val="926"/>
        <w:rPr>
          <w:szCs w:val="21"/>
        </w:rPr>
      </w:pPr>
      <w:r>
        <w:rPr>
          <w:szCs w:val="21"/>
        </w:rPr>
      </w:r>
      <w:r/>
    </w:p>
    <w:p>
      <w:pPr>
        <w:pStyle w:val="926"/>
        <w:rPr>
          <w:szCs w:val="21"/>
        </w:rPr>
      </w:pPr>
      <w:r>
        <w:rPr>
          <w:szCs w:val="21"/>
        </w:rPr>
      </w:r>
      <w:r/>
    </w:p>
    <w:p>
      <w:pPr>
        <w:pStyle w:val="926"/>
        <w:rPr>
          <w:szCs w:val="21"/>
        </w:rPr>
      </w:pPr>
      <w:r>
        <w:rPr>
          <w:szCs w:val="21"/>
        </w:rPr>
      </w:r>
      <w:r/>
    </w:p>
    <w:p>
      <w:pPr>
        <w:pStyle w:val="926"/>
        <w:rPr>
          <w:szCs w:val="21"/>
        </w:rPr>
      </w:pPr>
      <w:r>
        <w:rPr>
          <w:szCs w:val="21"/>
        </w:rPr>
      </w:r>
      <w:r/>
    </w:p>
    <w:p>
      <w:pPr>
        <w:pStyle w:val="926"/>
        <w:rPr>
          <w:szCs w:val="21"/>
        </w:rPr>
      </w:pPr>
      <w:r>
        <w:rPr>
          <w:szCs w:val="21"/>
        </w:rPr>
      </w:r>
      <w:r/>
    </w:p>
    <w:p>
      <w:pPr>
        <w:pStyle w:val="926"/>
        <w:rPr>
          <w:szCs w:val="21"/>
        </w:rPr>
      </w:pPr>
      <w:r>
        <w:rPr>
          <w:szCs w:val="21"/>
        </w:rPr>
      </w:r>
      <w:r/>
    </w:p>
    <w:p>
      <w:pPr>
        <w:pStyle w:val="928"/>
        <w:spacing w:line="400" w:lineRule="exact"/>
        <w:rPr>
          <w:rFonts w:hint="eastAsia" w:ascii="黑体" w:hAnsi="黑体" w:eastAsia="黑体"/>
          <w:b w:val="0"/>
          <w:bCs w:val="0"/>
          <w:sz w:val="28"/>
          <w:szCs w:val="28"/>
        </w:rPr>
      </w:pPr>
      <w:r/>
      <w:bookmarkEnd w:id="176"/>
      <w:r/>
      <w:bookmarkEnd w:id="177"/>
      <w:r/>
      <w:bookmarkEnd w:id="179"/>
      <w:r>
        <w:rPr>
          <w:rFonts w:hint="eastAsia" w:ascii="黑体" w:hAnsi="黑体" w:eastAsia="黑体"/>
          <w:b w:val="0"/>
          <w:bCs w:val="0"/>
          <w:sz w:val="28"/>
          <w:szCs w:val="28"/>
        </w:rPr>
      </w:r>
      <w:r/>
    </w:p>
    <w:p>
      <w:pPr>
        <w:pStyle w:val="928"/>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928"/>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926"/>
        <w:jc w:val="center"/>
        <w:rPr>
          <w:rFonts w:hint="eastAsia" w:ascii="宋体" w:hAnsi="宋体"/>
          <w:b/>
          <w:sz w:val="72"/>
          <w:szCs w:val="21"/>
        </w:rPr>
      </w:pPr>
      <w:r/>
      <w:bookmarkStart w:id="183" w:name="_Hlt26955039"/>
      <w:r/>
      <w:bookmarkEnd w:id="183"/>
      <w:r/>
      <w:bookmarkStart w:id="184" w:name="_Hlt26671244"/>
      <w:r/>
      <w:bookmarkEnd w:id="184"/>
      <w:r>
        <w:rPr>
          <w:rFonts w:hint="eastAsia" w:ascii="宋体" w:hAnsi="宋体"/>
          <w:b/>
          <w:sz w:val="72"/>
          <w:szCs w:val="21"/>
        </w:rPr>
      </w:r>
      <w:r/>
    </w:p>
    <w:p>
      <w:pPr>
        <w:pStyle w:val="926"/>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926"/>
        <w:jc w:val="center"/>
        <w:rPr>
          <w:rFonts w:hint="eastAsia" w:ascii="宋体" w:hAnsi="宋体"/>
          <w:b/>
          <w:sz w:val="72"/>
          <w:szCs w:val="21"/>
        </w:rPr>
      </w:pPr>
      <w:r>
        <w:rPr>
          <w:rFonts w:hint="eastAsia" w:ascii="宋体" w:hAnsi="宋体"/>
          <w:b/>
          <w:sz w:val="72"/>
          <w:szCs w:val="21"/>
        </w:rPr>
      </w:r>
      <w:r/>
    </w:p>
    <w:p>
      <w:pPr>
        <w:pStyle w:val="926"/>
        <w:jc w:val="center"/>
        <w:rPr>
          <w:rFonts w:hint="eastAsia" w:ascii="宋体" w:hAnsi="宋体"/>
          <w:b/>
          <w:sz w:val="72"/>
          <w:szCs w:val="21"/>
        </w:rPr>
      </w:pPr>
      <w:r>
        <w:rPr>
          <w:rFonts w:hint="eastAsia" w:ascii="宋体" w:hAnsi="宋体"/>
          <w:b/>
          <w:sz w:val="72"/>
          <w:szCs w:val="21"/>
        </w:rPr>
      </w:r>
      <w:r/>
    </w:p>
    <w:p>
      <w:pPr>
        <w:pStyle w:val="926"/>
        <w:jc w:val="center"/>
        <w:rPr>
          <w:rFonts w:hint="eastAsia" w:ascii="宋体" w:hAnsi="宋体"/>
          <w:b/>
          <w:sz w:val="36"/>
          <w:szCs w:val="21"/>
        </w:rPr>
      </w:pPr>
      <w:r>
        <w:rPr>
          <w:rFonts w:hint="eastAsia" w:ascii="宋体" w:hAnsi="宋体"/>
          <w:b/>
          <w:sz w:val="36"/>
          <w:szCs w:val="21"/>
        </w:rPr>
      </w:r>
      <w:r/>
    </w:p>
    <w:p>
      <w:pPr>
        <w:pStyle w:val="926"/>
        <w:jc w:val="center"/>
        <w:rPr>
          <w:rFonts w:hint="eastAsia" w:ascii="宋体" w:hAnsi="宋体"/>
          <w:b/>
          <w:sz w:val="36"/>
          <w:szCs w:val="21"/>
        </w:rPr>
      </w:pPr>
      <w:r>
        <w:rPr>
          <w:rFonts w:hint="eastAsia" w:ascii="宋体" w:hAnsi="宋体"/>
          <w:b/>
          <w:sz w:val="36"/>
          <w:szCs w:val="21"/>
        </w:rPr>
      </w:r>
      <w:r/>
    </w:p>
    <w:p>
      <w:pPr>
        <w:pStyle w:val="926"/>
        <w:jc w:val="center"/>
        <w:rPr>
          <w:rFonts w:hint="eastAsia" w:ascii="宋体" w:hAnsi="宋体"/>
          <w:b/>
          <w:sz w:val="36"/>
          <w:szCs w:val="21"/>
        </w:rPr>
      </w:pPr>
      <w:r>
        <w:rPr>
          <w:rFonts w:hint="eastAsia" w:ascii="宋体" w:hAnsi="宋体"/>
          <w:b/>
          <w:sz w:val="36"/>
          <w:szCs w:val="21"/>
        </w:rPr>
      </w:r>
      <w:r/>
    </w:p>
    <w:p>
      <w:pPr>
        <w:pStyle w:val="926"/>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26"/>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26"/>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26"/>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spacing w:line="440" w:lineRule="exact"/>
        <w:rPr>
          <w:rFonts w:ascii="宋体" w:hAnsi="宋体"/>
          <w:szCs w:val="21"/>
        </w:rPr>
      </w:pPr>
      <w:r>
        <w:rPr>
          <w:rFonts w:ascii="宋体" w:hAnsi="宋体"/>
          <w:szCs w:val="21"/>
        </w:rPr>
      </w:r>
      <w:r/>
    </w:p>
    <w:p>
      <w:pPr>
        <w:pStyle w:val="926"/>
        <w:spacing w:line="440" w:lineRule="exact"/>
        <w:rPr>
          <w:rFonts w:ascii="宋体" w:hAnsi="宋体"/>
          <w:szCs w:val="21"/>
        </w:rPr>
      </w:pPr>
      <w:r>
        <w:rPr>
          <w:rFonts w:ascii="宋体" w:hAnsi="宋体"/>
          <w:szCs w:val="21"/>
        </w:rPr>
      </w:r>
      <w:r/>
    </w:p>
    <w:p>
      <w:pPr>
        <w:pStyle w:val="926"/>
        <w:spacing w:line="440" w:lineRule="exact"/>
        <w:rPr>
          <w:rFonts w:ascii="宋体" w:hAnsi="宋体"/>
          <w:szCs w:val="21"/>
        </w:rPr>
      </w:pPr>
      <w:r>
        <w:rPr>
          <w:rFonts w:ascii="宋体" w:hAnsi="宋体"/>
          <w:szCs w:val="21"/>
        </w:rPr>
      </w:r>
      <w:r/>
    </w:p>
    <w:p>
      <w:pPr>
        <w:pStyle w:val="926"/>
        <w:spacing w:line="440" w:lineRule="exact"/>
        <w:rPr>
          <w:rFonts w:ascii="宋体" w:hAnsi="宋体"/>
          <w:szCs w:val="21"/>
        </w:rPr>
      </w:pPr>
      <w:r>
        <w:rPr>
          <w:rFonts w:ascii="宋体" w:hAnsi="宋体"/>
          <w:szCs w:val="21"/>
        </w:rPr>
      </w:r>
      <w:r/>
    </w:p>
    <w:p>
      <w:pPr>
        <w:pStyle w:val="926"/>
        <w:spacing w:line="440" w:lineRule="exact"/>
        <w:rPr>
          <w:rFonts w:ascii="宋体" w:hAnsi="宋体"/>
          <w:szCs w:val="21"/>
        </w:rPr>
      </w:pPr>
      <w:r>
        <w:rPr>
          <w:rFonts w:ascii="宋体" w:hAnsi="宋体"/>
          <w:szCs w:val="21"/>
        </w:rPr>
      </w:r>
      <w:r/>
    </w:p>
    <w:p>
      <w:pPr>
        <w:pStyle w:val="926"/>
        <w:spacing w:line="440" w:lineRule="exact"/>
        <w:rPr>
          <w:rFonts w:ascii="宋体" w:hAnsi="宋体"/>
          <w:szCs w:val="21"/>
        </w:rPr>
      </w:pPr>
      <w:r>
        <w:rPr>
          <w:rFonts w:ascii="宋体" w:hAnsi="宋体"/>
          <w:szCs w:val="21"/>
        </w:rPr>
      </w:r>
      <w:r/>
    </w:p>
    <w:p>
      <w:pPr>
        <w:pStyle w:val="926"/>
        <w:spacing w:line="440" w:lineRule="exact"/>
        <w:rPr>
          <w:rFonts w:ascii="宋体" w:hAnsi="宋体"/>
          <w:szCs w:val="21"/>
        </w:rPr>
      </w:pPr>
      <w:r>
        <w:rPr>
          <w:rFonts w:ascii="宋体" w:hAnsi="宋体"/>
          <w:szCs w:val="21"/>
        </w:rPr>
      </w:r>
      <w:r/>
    </w:p>
    <w:p>
      <w:pPr>
        <w:pStyle w:val="926"/>
        <w:spacing w:line="440" w:lineRule="exact"/>
        <w:rPr>
          <w:rFonts w:ascii="宋体" w:hAnsi="宋体"/>
          <w:szCs w:val="21"/>
        </w:rPr>
      </w:pPr>
      <w:r>
        <w:rPr>
          <w:rFonts w:ascii="宋体" w:hAnsi="宋体"/>
          <w:szCs w:val="21"/>
        </w:rPr>
      </w:r>
      <w:r/>
    </w:p>
    <w:p>
      <w:pPr>
        <w:pStyle w:val="926"/>
        <w:spacing w:line="440" w:lineRule="exact"/>
        <w:rPr>
          <w:rFonts w:ascii="宋体" w:hAnsi="宋体"/>
          <w:szCs w:val="21"/>
        </w:rPr>
      </w:pPr>
      <w:r>
        <w:rPr>
          <w:rFonts w:ascii="宋体" w:hAnsi="宋体"/>
          <w:szCs w:val="21"/>
        </w:rPr>
      </w:r>
      <w:r/>
    </w:p>
    <w:p>
      <w:pPr>
        <w:rPr>
          <w:rFonts w:ascii="宋体" w:hAnsi="宋体"/>
          <w:b/>
          <w:bCs/>
          <w:sz w:val="32"/>
          <w:szCs w:val="32"/>
        </w:rPr>
      </w:pPr>
      <w:r>
        <w:rPr>
          <w:rFonts w:ascii="宋体" w:hAnsi="宋体"/>
          <w:b/>
          <w:bCs/>
          <w:sz w:val="32"/>
          <w:szCs w:val="32"/>
        </w:rPr>
      </w:r>
      <w:r>
        <w:rPr>
          <w:rFonts w:ascii="宋体" w:hAnsi="宋体"/>
          <w:b/>
          <w:bCs/>
          <w:sz w:val="32"/>
          <w:szCs w:val="32"/>
        </w:rPr>
      </w:r>
      <w:r/>
    </w:p>
    <w:p>
      <w:pPr>
        <w:pStyle w:val="926"/>
        <w:rPr>
          <w:rFonts w:ascii="宋体" w:hAnsi="宋体"/>
          <w:b/>
          <w:bCs/>
          <w:sz w:val="32"/>
          <w:szCs w:val="32"/>
        </w:rPr>
      </w:pPr>
      <w:r>
        <w:rPr>
          <w:rFonts w:ascii="宋体" w:hAnsi="宋体"/>
          <w:b/>
          <w:bCs/>
          <w:sz w:val="32"/>
          <w:szCs w:val="32"/>
        </w:rPr>
      </w:r>
      <w:r/>
    </w:p>
    <w:p>
      <w:pPr>
        <w:pStyle w:val="926"/>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926"/>
        <w:jc w:val="center"/>
        <w:spacing w:line="400" w:lineRule="exact"/>
        <w:rPr>
          <w:rFonts w:hint="eastAsia" w:ascii="宋体" w:hAnsi="宋体"/>
          <w:b/>
          <w:bCs/>
          <w:sz w:val="28"/>
          <w:szCs w:val="28"/>
        </w:rPr>
      </w:pPr>
      <w:r>
        <w:rPr>
          <w:rFonts w:hint="eastAsia" w:ascii="宋体" w:hAnsi="宋体"/>
          <w:b/>
          <w:bCs/>
          <w:sz w:val="28"/>
          <w:szCs w:val="28"/>
        </w:rPr>
      </w:r>
      <w:r/>
    </w:p>
    <w:p>
      <w:pPr>
        <w:pStyle w:val="92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highlight w:val="yellow"/>
        </w:rPr>
      </w:r>
      <w:r/>
    </w:p>
    <w:p>
      <w:pPr>
        <w:pStyle w:val="92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highlight w:val="yellow"/>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926"/>
        <w:ind w:firstLine="560"/>
        <w:spacing w:line="400" w:lineRule="exact"/>
        <w:rPr>
          <w:rFonts w:ascii="宋体" w:hAnsi="宋体"/>
          <w:b/>
          <w:sz w:val="24"/>
          <w:szCs w:val="21"/>
        </w:rPr>
      </w:pPr>
      <w:r>
        <w:rPr>
          <w:rFonts w:hint="eastAsia" w:ascii="方正仿宋_GBK" w:hAnsi="方正仿宋_GBK" w:eastAsia="方正仿宋_GBK" w:cs="方正仿宋_GBK"/>
          <w:sz w:val="28"/>
          <w:szCs w:val="28"/>
        </w:rPr>
        <w:t xml:space="preserve">3.关于符合本国产品标准的声明函（格式见附件12）</w:t>
      </w:r>
      <w:r>
        <w:rPr>
          <w:rFonts w:ascii="宋体" w:hAnsi="宋体"/>
          <w:b/>
          <w:sz w:val="24"/>
          <w:szCs w:val="21"/>
        </w:rPr>
      </w:r>
      <w:r/>
    </w:p>
    <w:p>
      <w:pPr>
        <w:pStyle w:val="926"/>
        <w:ind w:left="480"/>
        <w:rPr>
          <w:rFonts w:ascii="宋体" w:hAnsi="宋体"/>
          <w:b/>
          <w:sz w:val="24"/>
          <w:szCs w:val="21"/>
        </w:rPr>
      </w:pPr>
      <w:r>
        <w:rPr>
          <w:rFonts w:ascii="宋体" w:hAnsi="宋体"/>
          <w:b/>
          <w:sz w:val="24"/>
          <w:szCs w:val="21"/>
        </w:rPr>
      </w:r>
      <w:r/>
    </w:p>
    <w:p>
      <w:pPr>
        <w:pStyle w:val="926"/>
        <w:ind w:left="480"/>
        <w:rPr>
          <w:rFonts w:ascii="宋体" w:hAnsi="宋体"/>
          <w:b/>
          <w:sz w:val="24"/>
          <w:szCs w:val="21"/>
        </w:rPr>
      </w:pPr>
      <w:r>
        <w:rPr>
          <w:rFonts w:ascii="宋体" w:hAnsi="宋体"/>
          <w:b/>
          <w:sz w:val="24"/>
          <w:szCs w:val="21"/>
        </w:rPr>
      </w:r>
      <w:r/>
    </w:p>
    <w:p>
      <w:pPr>
        <w:pStyle w:val="926"/>
        <w:ind w:left="480"/>
        <w:rPr>
          <w:rFonts w:ascii="宋体" w:hAnsi="宋体"/>
          <w:b/>
          <w:sz w:val="24"/>
          <w:szCs w:val="21"/>
        </w:rPr>
      </w:pPr>
      <w:r>
        <w:rPr>
          <w:rFonts w:ascii="宋体" w:hAnsi="宋体"/>
          <w:b/>
          <w:sz w:val="24"/>
          <w:szCs w:val="21"/>
        </w:rPr>
      </w:r>
      <w:r/>
    </w:p>
    <w:p>
      <w:pPr>
        <w:pStyle w:val="926"/>
        <w:ind w:left="480"/>
        <w:rPr>
          <w:rFonts w:ascii="宋体" w:hAnsi="宋体"/>
          <w:b/>
          <w:sz w:val="24"/>
          <w:szCs w:val="21"/>
        </w:rPr>
      </w:pPr>
      <w:r>
        <w:rPr>
          <w:rFonts w:ascii="宋体" w:hAnsi="宋体"/>
          <w:b/>
          <w:sz w:val="24"/>
          <w:szCs w:val="21"/>
        </w:rPr>
      </w:r>
      <w:r/>
    </w:p>
    <w:p>
      <w:pPr>
        <w:pStyle w:val="926"/>
        <w:rPr>
          <w:rFonts w:ascii="宋体" w:hAnsi="宋体"/>
          <w:b/>
          <w:sz w:val="24"/>
          <w:szCs w:val="21"/>
        </w:rPr>
      </w:pPr>
      <w:r>
        <w:rPr>
          <w:rFonts w:ascii="宋体" w:hAnsi="宋体"/>
          <w:b/>
          <w:sz w:val="24"/>
          <w:szCs w:val="21"/>
        </w:rPr>
      </w:r>
      <w:r/>
    </w:p>
    <w:p>
      <w:pPr>
        <w:pStyle w:val="92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989"/>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26"/>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926"/>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2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26"/>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26"/>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6"/>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926"/>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6"/>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6"/>
        <w:spacing w:line="400" w:lineRule="exact"/>
        <w:rPr>
          <w:rFonts w:hint="eastAsia" w:ascii="宋体" w:hAnsi="宋体"/>
          <w:b/>
          <w:color w:val="000000"/>
          <w:sz w:val="28"/>
          <w:szCs w:val="28"/>
        </w:rPr>
      </w:pPr>
      <w:r>
        <w:rPr>
          <w:rFonts w:hint="eastAsia" w:ascii="宋体" w:hAnsi="宋体"/>
          <w:b/>
          <w:color w:val="000000"/>
          <w:sz w:val="28"/>
          <w:szCs w:val="28"/>
        </w:rPr>
      </w:r>
      <w:r/>
    </w:p>
    <w:p>
      <w:pPr>
        <w:pStyle w:val="9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6"/>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26"/>
        <w:ind w:left="480"/>
        <w:spacing w:line="400" w:lineRule="exact"/>
        <w:rPr>
          <w:rFonts w:ascii="宋体" w:hAnsi="宋体"/>
          <w:b/>
          <w:color w:val="000000"/>
          <w:sz w:val="28"/>
          <w:szCs w:val="28"/>
        </w:rPr>
      </w:pPr>
      <w:r>
        <w:rPr>
          <w:rFonts w:ascii="宋体" w:hAnsi="宋体"/>
          <w:b/>
          <w:color w:val="000000"/>
          <w:sz w:val="28"/>
          <w:szCs w:val="28"/>
        </w:rPr>
      </w:r>
      <w:r/>
    </w:p>
    <w:p>
      <w:pPr>
        <w:pStyle w:val="926"/>
        <w:spacing w:line="400" w:lineRule="exact"/>
        <w:rPr>
          <w:rFonts w:ascii="宋体" w:hAnsi="宋体"/>
          <w:b/>
          <w:color w:val="000000"/>
          <w:sz w:val="28"/>
          <w:szCs w:val="28"/>
        </w:rPr>
      </w:pPr>
      <w:r>
        <w:rPr>
          <w:rFonts w:ascii="宋体" w:hAnsi="宋体"/>
          <w:b/>
          <w:color w:val="000000"/>
          <w:sz w:val="28"/>
          <w:szCs w:val="28"/>
        </w:rPr>
      </w:r>
      <w:r/>
    </w:p>
    <w:p>
      <w:pPr>
        <w:pStyle w:val="926"/>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92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r>
      <w:r>
        <w:rPr>
          <w:rFonts w:hint="eastAsia" w:ascii="方正仿宋_GBK" w:hAnsi="方正仿宋_GBK" w:eastAsia="方正仿宋_GBK" w:cs="方正仿宋_GBK"/>
          <w:sz w:val="28"/>
          <w:szCs w:val="28"/>
          <w:highlight w:val="none"/>
        </w:rPr>
      </w:r>
      <w:r/>
    </w:p>
    <w:p>
      <w:pPr>
        <w:pStyle w:val="926"/>
        <w:spacing w:line="400" w:lineRule="exact"/>
        <w:rPr>
          <w:rFonts w:hint="eastAsia" w:ascii="宋体" w:hAnsi="宋体"/>
          <w:b/>
          <w:color w:val="000000"/>
          <w:sz w:val="28"/>
          <w:szCs w:val="28"/>
        </w:rPr>
      </w:pPr>
      <w:r>
        <w:rPr>
          <w:rFonts w:hint="eastAsia" w:ascii="宋体" w:hAnsi="宋体"/>
          <w:b/>
          <w:color w:val="000000"/>
          <w:sz w:val="28"/>
          <w:szCs w:val="28"/>
        </w:rPr>
      </w:r>
      <w:r/>
    </w:p>
    <w:p>
      <w:pPr>
        <w:pStyle w:val="92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926"/>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26"/>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26"/>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26"/>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6"/>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926"/>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26"/>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6" w:name="_Hlt26671380"/>
      <w:r/>
      <w:bookmarkEnd w:id="186"/>
      <w:r/>
      <w:bookmarkStart w:id="187" w:name="_格式3__银行出具的资信证明"/>
      <w:r/>
      <w:bookmarkEnd w:id="187"/>
      <w:r/>
      <w:bookmarkStart w:id="188" w:name="_Hlt26955070"/>
      <w:r/>
      <w:bookmarkEnd w:id="188"/>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26"/>
        <w:ind w:firstLine="420"/>
        <w:spacing w:line="400" w:lineRule="exact"/>
        <w:rPr>
          <w:color w:val="000000"/>
          <w:sz w:val="28"/>
          <w:szCs w:val="28"/>
          <w:highlight w:val="yellow"/>
        </w:rPr>
      </w:pPr>
      <w:r>
        <w:rPr>
          <w:color w:val="000000"/>
          <w:sz w:val="28"/>
          <w:szCs w:val="28"/>
          <w:highlight w:val="yellow"/>
        </w:rPr>
      </w:r>
      <w:r/>
    </w:p>
    <w:p>
      <w:pPr>
        <w:pStyle w:val="9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26"/>
        <w:ind w:firstLine="560"/>
        <w:spacing w:line="400" w:lineRule="exact"/>
        <w:tabs>
          <w:tab w:val="left" w:pos="360" w:leader="none"/>
        </w:tabs>
        <w:rPr>
          <w:sz w:val="28"/>
          <w:szCs w:val="28"/>
          <w:u w:val="single"/>
        </w:rPr>
      </w:pPr>
      <w:r>
        <w:rPr>
          <w:sz w:val="28"/>
          <w:szCs w:val="28"/>
          <w:u w:val="single"/>
        </w:rPr>
      </w:r>
      <w:r/>
    </w:p>
    <w:p>
      <w:pPr>
        <w:pStyle w:val="926"/>
        <w:ind w:firstLine="560"/>
        <w:spacing w:line="400" w:lineRule="exact"/>
        <w:tabs>
          <w:tab w:val="left" w:pos="360" w:leader="none"/>
        </w:tabs>
        <w:rPr>
          <w:rFonts w:hint="eastAsia"/>
          <w:sz w:val="28"/>
          <w:szCs w:val="28"/>
        </w:rPr>
      </w:pPr>
      <w:r>
        <w:rPr>
          <w:rFonts w:hint="eastAsia"/>
          <w:sz w:val="28"/>
          <w:szCs w:val="28"/>
        </w:rPr>
      </w:r>
      <w:r/>
    </w:p>
    <w:p>
      <w:pPr>
        <w:pStyle w:val="926"/>
        <w:ind w:firstLine="560"/>
        <w:spacing w:line="400" w:lineRule="exact"/>
        <w:tabs>
          <w:tab w:val="left" w:pos="360" w:leader="none"/>
        </w:tabs>
        <w:rPr>
          <w:rFonts w:hint="eastAsia"/>
          <w:sz w:val="28"/>
          <w:szCs w:val="28"/>
        </w:rPr>
      </w:pPr>
      <w:r>
        <w:rPr>
          <w:rFonts w:hint="eastAsia"/>
          <w:sz w:val="28"/>
          <w:szCs w:val="28"/>
        </w:rPr>
      </w:r>
      <w:r/>
    </w:p>
    <w:p>
      <w:pPr>
        <w:pStyle w:val="926"/>
        <w:ind w:firstLine="560"/>
        <w:spacing w:line="400" w:lineRule="exact"/>
        <w:tabs>
          <w:tab w:val="left" w:pos="360" w:leader="none"/>
        </w:tabs>
        <w:rPr>
          <w:rFonts w:hint="eastAsia"/>
          <w:sz w:val="28"/>
          <w:szCs w:val="28"/>
        </w:rPr>
      </w:pPr>
      <w:r>
        <w:rPr>
          <w:rFonts w:hint="eastAsia"/>
          <w:sz w:val="28"/>
          <w:szCs w:val="28"/>
        </w:rPr>
      </w:r>
      <w:r/>
    </w:p>
    <w:p>
      <w:pPr>
        <w:pStyle w:val="926"/>
        <w:ind w:firstLine="420"/>
        <w:spacing w:line="400" w:lineRule="exact"/>
        <w:rPr>
          <w:rFonts w:hint="eastAsia"/>
          <w:i/>
          <w:sz w:val="28"/>
          <w:szCs w:val="28"/>
          <w:u w:val="single"/>
        </w:rPr>
      </w:pPr>
      <w:r>
        <w:rPr>
          <w:rFonts w:hint="eastAsia"/>
          <w:i/>
          <w:sz w:val="28"/>
          <w:szCs w:val="28"/>
          <w:u w:val="single"/>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spacing w:line="400" w:lineRule="exact"/>
        <w:rPr>
          <w:rFonts w:hint="eastAsia"/>
          <w:sz w:val="28"/>
          <w:szCs w:val="28"/>
        </w:rPr>
      </w:pPr>
      <w:r>
        <w:rPr>
          <w:rFonts w:hint="eastAsia"/>
          <w:sz w:val="28"/>
          <w:szCs w:val="28"/>
        </w:rPr>
      </w:r>
      <w:r/>
    </w:p>
    <w:p>
      <w:pPr>
        <w:pStyle w:val="9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9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926"/>
        <w:ind w:left="420" w:firstLine="560"/>
        <w:jc w:val="left"/>
        <w:spacing w:line="400" w:lineRule="exact"/>
        <w:rPr>
          <w:rFonts w:hint="eastAsia" w:ascii="宋体" w:hAnsi="宋体"/>
          <w:sz w:val="28"/>
          <w:szCs w:val="28"/>
        </w:rPr>
      </w:pPr>
      <w:r>
        <w:rPr>
          <w:rFonts w:hint="eastAsia" w:ascii="宋体" w:hAnsi="宋体"/>
          <w:sz w:val="28"/>
          <w:szCs w:val="28"/>
        </w:rPr>
      </w:r>
      <w:r/>
    </w:p>
    <w:p>
      <w:pPr>
        <w:pStyle w:val="926"/>
        <w:ind w:firstLine="584"/>
        <w:spacing w:line="40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926"/>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26"/>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26"/>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926"/>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926"/>
        <w:spacing w:line="400" w:lineRule="exact"/>
        <w:rPr>
          <w:rFonts w:hint="eastAsia" w:ascii="宋体" w:hAnsi="宋体"/>
          <w:sz w:val="28"/>
          <w:szCs w:val="28"/>
        </w:rPr>
      </w:pPr>
      <w:r>
        <w:rPr>
          <w:rFonts w:hint="eastAsia" w:ascii="宋体" w:hAnsi="宋体"/>
          <w:sz w:val="28"/>
          <w:szCs w:val="28"/>
        </w:rPr>
      </w:r>
      <w:r/>
    </w:p>
    <w:p>
      <w:pPr>
        <w:pStyle w:val="926"/>
        <w:spacing w:line="400" w:lineRule="exact"/>
        <w:rPr>
          <w:rFonts w:hint="eastAsia" w:ascii="宋体" w:hAnsi="宋体"/>
          <w:sz w:val="28"/>
          <w:szCs w:val="28"/>
        </w:rPr>
      </w:pPr>
      <w:r>
        <w:rPr>
          <w:rFonts w:hint="eastAsia" w:ascii="宋体" w:hAnsi="宋体"/>
          <w:sz w:val="28"/>
          <w:szCs w:val="28"/>
        </w:rPr>
      </w:r>
      <w:r/>
    </w:p>
    <w:p>
      <w:pPr>
        <w:pStyle w:val="926"/>
        <w:spacing w:line="400" w:lineRule="exact"/>
        <w:rPr>
          <w:rFonts w:hint="eastAsia" w:ascii="宋体" w:hAnsi="宋体"/>
          <w:sz w:val="28"/>
          <w:szCs w:val="28"/>
        </w:rPr>
      </w:pPr>
      <w:r>
        <w:rPr>
          <w:rFonts w:hint="eastAsia" w:ascii="宋体" w:hAnsi="宋体"/>
          <w:sz w:val="28"/>
          <w:szCs w:val="28"/>
        </w:rPr>
      </w:r>
      <w:r/>
    </w:p>
    <w:p>
      <w:pPr>
        <w:pStyle w:val="9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26"/>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26"/>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26"/>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26"/>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9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26"/>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6"/>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926"/>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926"/>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926"/>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left"/>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6"/>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26"/>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926"/>
        <w:ind w:firstLine="645"/>
        <w:spacing w:line="400" w:lineRule="exact"/>
        <w:rPr>
          <w:rFonts w:ascii="宋体" w:hAnsi="宋体"/>
          <w:sz w:val="28"/>
          <w:szCs w:val="28"/>
        </w:rPr>
      </w:pPr>
      <w:r>
        <w:rPr>
          <w:rFonts w:ascii="宋体" w:hAnsi="宋体"/>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宋体" w:hAnsi="宋体"/>
          <w:b/>
          <w:sz w:val="28"/>
          <w:szCs w:val="28"/>
        </w:rPr>
      </w:pPr>
      <w:r>
        <w:rPr>
          <w:rFonts w:hint="eastAsia" w:ascii="宋体" w:hAnsi="宋体"/>
          <w:b/>
          <w:sz w:val="28"/>
          <w:szCs w:val="28"/>
        </w:rPr>
      </w:r>
      <w:r/>
    </w:p>
    <w:p>
      <w:pPr>
        <w:pStyle w:val="926"/>
        <w:jc w:val="center"/>
        <w:spacing w:line="400" w:lineRule="exact"/>
        <w:rPr>
          <w:rFonts w:hint="eastAsia" w:ascii="方正黑体_GBK" w:hAnsi="方正黑体_GBK" w:eastAsia="方正黑体_GBK" w:cs="方正黑体_GBK"/>
          <w:bCs/>
          <w:sz w:val="28"/>
          <w:szCs w:val="28"/>
          <w:highlight w:val="green"/>
        </w:rPr>
      </w:pPr>
      <w:r>
        <w:rPr>
          <w:rFonts w:hint="eastAsia" w:ascii="方正黑体_GBK" w:hAnsi="方正黑体_GBK" w:eastAsia="方正黑体_GBK" w:cs="方正黑体_GBK"/>
          <w:bCs/>
          <w:sz w:val="28"/>
          <w:szCs w:val="28"/>
        </w:rPr>
        <w:t xml:space="preserve">附件11实质性要求响应及偏离表</w:t>
      </w:r>
      <w:r>
        <w:rPr>
          <w:rFonts w:hint="eastAsia" w:ascii="方正黑体_GBK" w:hAnsi="方正黑体_GBK" w:eastAsia="方正黑体_GBK" w:cs="方正黑体_GBK"/>
          <w:bCs/>
          <w:sz w:val="28"/>
          <w:szCs w:val="28"/>
          <w:highlight w:val="gree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26"/>
              <w:ind w:firstLine="482"/>
              <w:spacing w:line="360" w:lineRule="auto"/>
              <w:rPr>
                <w:rFonts w:hint="eastAsia" w:ascii="方正仿宋_GBK" w:hAnsi="方正仿宋_GBK" w:eastAsia="方正仿宋_GBK" w:cs="方正仿宋_GBK"/>
                <w:sz w:val="28"/>
                <w:szCs w:val="28"/>
              </w:rPr>
            </w:pPr>
            <w:r>
              <w:rPr>
                <w:rFonts w:hint="eastAsia" w:ascii="宋体" w:hAnsi="宋体" w:cs="宋体"/>
                <w:b/>
                <w:i/>
                <w:iCs/>
                <w:sz w:val="24"/>
                <w:szCs w:val="24"/>
                <w:u w:val="single"/>
                <w:lang w:bidi="ar"/>
              </w:rPr>
              <w:t xml:space="preserve">应用系统应满足用户的要求，系统并发数不小于100个，单一页面显示数据记录前台响应时间应≤5秒。</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26"/>
              <w:ind w:firstLine="482"/>
              <w:spacing w:line="400" w:lineRule="exact"/>
              <w:tabs>
                <w:tab w:val="left" w:pos="900" w:leader="none"/>
              </w:tabs>
              <w:rPr>
                <w:rFonts w:hint="eastAsia" w:ascii="方正仿宋_GBK" w:hAnsi="方正仿宋_GBK" w:eastAsia="方正仿宋_GBK" w:cs="方正仿宋_GBK"/>
                <w:sz w:val="28"/>
                <w:szCs w:val="28"/>
              </w:rPr>
            </w:pPr>
            <w:r>
              <w:rPr>
                <w:rFonts w:hint="eastAsia" w:ascii="宋体" w:hAnsi="宋体" w:cs="宋体"/>
                <w:b/>
                <w:i/>
                <w:iCs/>
                <w:sz w:val="24"/>
                <w:szCs w:val="24"/>
                <w:u w:val="single"/>
                <w:lang w:bidi="ar"/>
              </w:rPr>
              <w:t xml:space="preserve">磋商供应商承诺符合国家网络安全法律法规要求，严格落实省委网信办、省数据局等相关网络安全要求，按照采购人网络安全工作要求，完成国产化改造的系统符合二级等保要求，并通过采购人委托的第三方检测机构的测评。</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926"/>
        <w:spacing w:line="400" w:lineRule="exact"/>
        <w:rPr>
          <w:rFonts w:ascii="宋体" w:hAnsi="宋体"/>
          <w:sz w:val="28"/>
          <w:szCs w:val="28"/>
        </w:rPr>
      </w:pPr>
      <w:r>
        <w:rPr>
          <w:rFonts w:ascii="宋体" w:hAnsi="宋体"/>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9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926"/>
        <w:spacing w:line="400" w:lineRule="exact"/>
        <w:rPr>
          <w:rFonts w:hint="eastAsia" w:ascii="宋体" w:hAnsi="宋体"/>
          <w:bCs/>
          <w:sz w:val="28"/>
          <w:szCs w:val="28"/>
        </w:rPr>
      </w:pPr>
      <w:r>
        <w:rPr>
          <w:rFonts w:hint="eastAsia" w:ascii="宋体" w:hAnsi="宋体"/>
          <w:bCs/>
          <w:sz w:val="28"/>
          <w:szCs w:val="28"/>
        </w:rPr>
      </w:r>
      <w:r/>
    </w:p>
    <w:p>
      <w:pPr>
        <w:pStyle w:val="926"/>
        <w:spacing w:line="400" w:lineRule="exact"/>
        <w:rPr>
          <w:rFonts w:hint="eastAsia" w:ascii="宋体" w:hAnsi="宋体"/>
          <w:bCs/>
          <w:sz w:val="28"/>
          <w:szCs w:val="28"/>
        </w:rPr>
      </w:pPr>
      <w:r>
        <w:rPr>
          <w:rFonts w:hint="eastAsia" w:ascii="宋体" w:hAnsi="宋体"/>
          <w:bCs/>
          <w:sz w:val="28"/>
          <w:szCs w:val="28"/>
        </w:rPr>
      </w:r>
      <w:r/>
    </w:p>
    <w:p>
      <w:pPr>
        <w:pStyle w:val="926"/>
        <w:spacing w:line="400" w:lineRule="exact"/>
        <w:rPr>
          <w:rFonts w:hint="eastAsia" w:ascii="宋体" w:hAnsi="宋体"/>
          <w:bCs/>
          <w:sz w:val="28"/>
          <w:szCs w:val="28"/>
        </w:rPr>
      </w:pPr>
      <w:r>
        <w:rPr>
          <w:rFonts w:hint="eastAsia" w:ascii="宋体" w:hAnsi="宋体"/>
          <w:bCs/>
          <w:sz w:val="28"/>
          <w:szCs w:val="28"/>
        </w:rPr>
      </w:r>
      <w:r/>
    </w:p>
    <w:p>
      <w:pPr>
        <w:pStyle w:val="926"/>
        <w:spacing w:line="400" w:lineRule="exact"/>
        <w:rPr>
          <w:rFonts w:hint="eastAsia" w:ascii="宋体" w:hAnsi="宋体"/>
          <w:bCs/>
          <w:sz w:val="28"/>
          <w:szCs w:val="28"/>
        </w:rPr>
      </w:pPr>
      <w:r>
        <w:rPr>
          <w:rFonts w:hint="eastAsia" w:ascii="宋体" w:hAnsi="宋体"/>
          <w:bCs/>
          <w:sz w:val="28"/>
          <w:szCs w:val="28"/>
        </w:rPr>
      </w:r>
      <w:r/>
    </w:p>
    <w:p>
      <w:pPr>
        <w:pStyle w:val="926"/>
        <w:spacing w:line="400" w:lineRule="exact"/>
        <w:rPr>
          <w:rFonts w:hint="eastAsia" w:ascii="宋体" w:hAnsi="宋体"/>
          <w:bCs/>
          <w:sz w:val="28"/>
          <w:szCs w:val="28"/>
        </w:rPr>
      </w:pPr>
      <w:r>
        <w:rPr>
          <w:rFonts w:hint="eastAsia" w:ascii="宋体" w:hAnsi="宋体"/>
          <w:bCs/>
          <w:sz w:val="28"/>
          <w:szCs w:val="28"/>
        </w:rPr>
      </w:r>
      <w:r/>
    </w:p>
    <w:p>
      <w:pPr>
        <w:pStyle w:val="926"/>
        <w:jc w:val="center"/>
        <w:spacing w:line="400" w:lineRule="exact"/>
        <w:rPr>
          <w:rFonts w:hint="eastAsia" w:ascii="方正仿宋_GBK" w:hAnsi="方正仿宋_GBK" w:eastAsia="方正仿宋_GBK" w:cs="方正仿宋_GBK"/>
          <w:sz w:val="28"/>
          <w:szCs w:val="28"/>
        </w:rPr>
      </w:pPr>
      <w:r/>
      <w:bookmarkEnd w:id="174"/>
      <w:r/>
      <w:bookmarkEnd w:id="175"/>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989"/>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89"/>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01"/>
          <w:rFonts w:hint="eastAsia" w:ascii="方正仿宋_GBK" w:hAnsi="方正仿宋_GBK" w:eastAsia="方正仿宋_GBK" w:cs="方正仿宋_GBK"/>
          <w:i w:val="0"/>
          <w:sz w:val="28"/>
          <w:szCs w:val="28"/>
          <w:u w:val="single"/>
          <w:shd w:val="clear" w:color="auto" w:fill="ffffff"/>
        </w:rPr>
        <w:t xml:space="preserve">（产品名称1）</w:t>
      </w:r>
      <w:r>
        <w:rPr>
          <w:rStyle w:val="1001"/>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01"/>
          <w:rFonts w:hint="eastAsia" w:ascii="方正仿宋_GBK" w:hAnsi="方正仿宋_GBK" w:eastAsia="方正仿宋_GBK" w:cs="方正仿宋_GBK"/>
          <w:i w:val="0"/>
          <w:sz w:val="28"/>
          <w:szCs w:val="28"/>
          <w:u w:val="single"/>
          <w:shd w:val="clear" w:color="auto" w:fill="ffffff"/>
        </w:rPr>
        <w:t xml:space="preserve">（厂名）</w:t>
      </w:r>
      <w:r>
        <w:rPr>
          <w:rStyle w:val="1001"/>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0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89"/>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01"/>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01"/>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0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89"/>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89"/>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89"/>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89"/>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89"/>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89"/>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8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8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98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8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8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89"/>
        <w:ind w:firstLine="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26"/>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附件13  提供服务的人员均为订立劳动合同的从业人员的书面声明</w:t>
      </w:r>
      <w:r>
        <w:rPr>
          <w:rFonts w:hint="eastAsia" w:ascii="方正仿宋_GBK" w:hAnsi="方正仿宋_GBK" w:eastAsia="方正仿宋_GBK" w:cs="方正仿宋_GBK"/>
          <w:b/>
          <w:sz w:val="28"/>
          <w:szCs w:val="28"/>
        </w:rPr>
      </w:r>
      <w:r/>
    </w:p>
    <w:p>
      <w:pPr>
        <w:pStyle w:val="926"/>
        <w:jc w:val="center"/>
        <w:spacing w:line="400" w:lineRule="exact"/>
        <w:rPr>
          <w:rFonts w:ascii="宋体" w:hAnsi="宋体" w:cs="仿宋"/>
          <w:b/>
          <w:bCs/>
          <w:sz w:val="28"/>
          <w:szCs w:val="28"/>
        </w:rPr>
      </w:pPr>
      <w:r>
        <w:rPr>
          <w:rFonts w:hint="eastAsia" w:ascii="方正仿宋_GBK" w:hAnsi="方正仿宋_GBK" w:eastAsia="方正仿宋_GBK" w:cs="方正仿宋_GBK"/>
          <w:b/>
          <w:sz w:val="28"/>
          <w:szCs w:val="28"/>
        </w:rPr>
        <w:t xml:space="preserve">（采购包号：XX）</w:t>
      </w:r>
      <w:r>
        <w:rPr>
          <w:rFonts w:ascii="宋体" w:hAnsi="宋体" w:cs="仿宋"/>
          <w:b/>
          <w:bCs/>
          <w:sz w:val="28"/>
          <w:szCs w:val="28"/>
        </w:rPr>
      </w:r>
      <w:r/>
    </w:p>
    <w:p>
      <w:pPr>
        <w:pStyle w:val="926"/>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926"/>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989"/>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参加江苏省政府采购中心组织的项目编号为JSZC-320000-SCZX-</w:t>
      </w:r>
      <w:r>
        <w:rPr>
          <w:rFonts w:hint="eastAsia" w:ascii="方正仿宋_GBK" w:hAnsi="方正仿宋_GBK" w:eastAsia="方正仿宋_GBK" w:cs="方正仿宋_GBK"/>
          <w:sz w:val="28"/>
          <w:szCs w:val="28"/>
          <w:shd w:val="clear" w:color="auto" w:fill="ffffff"/>
        </w:rPr>
        <w:t xml:space="preserve">G（C、T、K）</w:t>
      </w:r>
      <w:r>
        <w:rPr>
          <w:rFonts w:ascii="方正仿宋_GBK" w:hAnsi="方正仿宋_GBK" w:eastAsia="方正仿宋_GBK" w:cs="方正仿宋_GBK"/>
          <w:sz w:val="28"/>
          <w:szCs w:val="28"/>
          <w:shd w:val="clear" w:color="auto" w:fill="ffffff"/>
        </w:rPr>
        <w:t xml:space="preserve">20XX-XXXX，XXXX（项目名称）（采购包号：XX）项目采购活动</w:t>
      </w:r>
      <w:r>
        <w:rPr>
          <w:rFonts w:hint="eastAsia" w:ascii="方正仿宋_GBK" w:hAnsi="方正仿宋_GBK" w:eastAsia="方正仿宋_GBK" w:cs="方正仿宋_GBK"/>
          <w:sz w:val="28"/>
          <w:szCs w:val="28"/>
          <w:shd w:val="clear" w:color="auto" w:fill="ffffff"/>
        </w:rPr>
        <w:t xml:space="preserve">，根据</w:t>
      </w:r>
      <w:r>
        <w:rPr>
          <w:rFonts w:ascii="方正仿宋_GBK" w:hAnsi="方正仿宋_GBK" w:eastAsia="方正仿宋_GBK" w:cs="方正仿宋_GBK"/>
          <w:sz w:val="28"/>
          <w:szCs w:val="28"/>
          <w:shd w:val="clear" w:color="auto" w:fill="ffffff"/>
        </w:rPr>
        <w:t xml:space="preserve">《政府采购促进中小企业发展管理办法》</w:t>
      </w:r>
      <w:r>
        <w:rPr>
          <w:rFonts w:hint="eastAsia" w:ascii="方正仿宋_GBK" w:hAnsi="方正仿宋_GBK" w:eastAsia="方正仿宋_GBK" w:cs="方正仿宋_GBK"/>
          <w:sz w:val="28"/>
          <w:szCs w:val="28"/>
          <w:shd w:val="clear" w:color="auto" w:fill="ffffff"/>
        </w:rPr>
        <w:t xml:space="preserve">第四条规定</w:t>
      </w:r>
      <w:r>
        <w:rPr>
          <w:rFonts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郑重声明</w:t>
      </w:r>
      <w:r>
        <w:rPr>
          <w:rFonts w:hint="eastAsia" w:ascii="方正仿宋_GBK" w:hAnsi="方正仿宋_GBK" w:eastAsia="方正仿宋_GBK" w:cs="方正仿宋_GBK"/>
          <w:sz w:val="28"/>
          <w:szCs w:val="28"/>
          <w:shd w:val="clear" w:color="auto" w:fill="ffffff"/>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sz w:val="28"/>
          <w:szCs w:val="28"/>
          <w:shd w:val="clear" w:color="auto" w:fill="ffffff"/>
        </w:rPr>
      </w:r>
      <w:r/>
    </w:p>
    <w:p>
      <w:pPr>
        <w:pStyle w:val="989"/>
        <w:ind w:firstLine="560"/>
        <w:spacing w:before="30" w:beforeAutospacing="0" w:after="30" w:afterAutospacing="0" w:line="400" w:lineRule="exact"/>
      </w:pPr>
      <w:r>
        <w:rPr>
          <w:rFonts w:ascii="方正仿宋_GBK" w:hAnsi="方正仿宋_GBK" w:eastAsia="方正仿宋_GBK" w:cs="方正仿宋_GBK"/>
          <w:sz w:val="28"/>
          <w:szCs w:val="28"/>
          <w:shd w:val="clear" w:color="auto" w:fill="ffffff"/>
        </w:rPr>
        <w:t xml:space="preserve">本</w:t>
      </w:r>
      <w:r>
        <w:rPr>
          <w:rFonts w:hint="eastAsia" w:ascii="方正仿宋_GBK" w:hAnsi="方正仿宋_GBK" w:eastAsia="方正仿宋_GBK" w:cs="方正仿宋_GBK"/>
          <w:sz w:val="28"/>
          <w:szCs w:val="28"/>
          <w:shd w:val="clear" w:color="auto" w:fill="ffffff"/>
        </w:rPr>
        <w:t xml:space="preserve">企业（联合体）</w:t>
      </w:r>
      <w:r>
        <w:rPr>
          <w:rFonts w:ascii="方正仿宋_GBK" w:hAnsi="方正仿宋_GBK" w:eastAsia="方正仿宋_GBK" w:cs="方正仿宋_GBK"/>
          <w:sz w:val="28"/>
          <w:szCs w:val="28"/>
          <w:shd w:val="clear" w:color="auto" w:fill="ffffff"/>
        </w:rPr>
        <w:t xml:space="preserve">对上述声明的真实性负责。如有虚假，将依法承担相应责任。</w:t>
      </w:r>
      <w:r/>
    </w:p>
    <w:p>
      <w:pPr>
        <w:pStyle w:val="926"/>
        <w:rPr>
          <w:rFonts w:hint="eastAsia" w:ascii="方正黑体_GBK" w:hAnsi="方正黑体_GBK" w:eastAsia="方正黑体_GBK" w:cs="方正黑体_GBK"/>
          <w:b/>
          <w:bCs/>
        </w:rPr>
      </w:pPr>
      <w:r>
        <w:rPr>
          <w:rFonts w:hint="eastAsia" w:ascii="方正黑体_GBK" w:hAnsi="方正黑体_GBK" w:eastAsia="方正黑体_GBK" w:cs="方正黑体_GBK"/>
          <w:b/>
          <w:bCs/>
          <w:color w:val="333333"/>
          <w:sz w:val="32"/>
          <w:szCs w:val="32"/>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rPr>
      </w:r>
      <w:r/>
    </w:p>
    <w:p>
      <w:pPr>
        <w:pStyle w:val="926"/>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926"/>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926"/>
        <w:spacing w:line="400" w:lineRule="exact"/>
        <w:rPr>
          <w:rFonts w:hint="eastAsia" w:ascii="宋体" w:hAnsi="宋体" w:cs="仿宋"/>
          <w:b/>
          <w:bCs/>
          <w:sz w:val="28"/>
          <w:szCs w:val="28"/>
        </w:rPr>
      </w:pPr>
      <w:r>
        <w:rPr>
          <w:rFonts w:hint="eastAsia" w:ascii="宋体" w:hAnsi="宋体" w:cs="仿宋"/>
          <w:b/>
          <w:bCs/>
          <w:sz w:val="28"/>
          <w:szCs w:val="28"/>
        </w:rPr>
      </w:r>
      <w:r/>
    </w:p>
    <w:p>
      <w:pPr>
        <w:pStyle w:val="978"/>
        <w:tabs>
          <w:tab w:val="right" w:pos="8720" w:leader="dot"/>
        </w:tabs>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spacing w:line="400" w:lineRule="exact"/>
        <w:rPr>
          <w:rFonts w:hint="eastAsia" w:ascii="宋体" w:hAnsi="宋体" w:cs="仿宋"/>
          <w:b/>
          <w:bCs/>
          <w:sz w:val="28"/>
          <w:szCs w:val="28"/>
        </w:rPr>
      </w:pPr>
      <w:r>
        <w:rPr>
          <w:rFonts w:hint="eastAsia" w:ascii="宋体" w:hAnsi="宋体" w:cs="仿宋"/>
          <w:b/>
          <w:bCs/>
          <w:sz w:val="28"/>
          <w:szCs w:val="28"/>
        </w:rPr>
      </w:r>
      <w:r>
        <w:rPr>
          <w:rFonts w:hint="eastAsia" w:ascii="宋体" w:hAnsi="宋体" w:cs="仿宋"/>
          <w:b/>
          <w:bCs/>
          <w:sz w:val="28"/>
          <w:szCs w:val="28"/>
        </w:rPr>
      </w:r>
      <w:r/>
    </w:p>
    <w:p>
      <w:pPr>
        <w:spacing w:line="400" w:lineRule="exact"/>
        <w:rPr>
          <w:rFonts w:hint="eastAsia" w:ascii="宋体" w:hAnsi="宋体" w:cs="仿宋"/>
          <w:b/>
          <w:bCs/>
          <w:sz w:val="28"/>
          <w:szCs w:val="28"/>
        </w:rPr>
      </w:pPr>
      <w:r>
        <w:rPr>
          <w:rFonts w:hint="eastAsia" w:ascii="宋体" w:hAnsi="宋体" w:cs="仿宋"/>
          <w:b/>
          <w:bCs/>
          <w:sz w:val="28"/>
          <w:szCs w:val="28"/>
        </w:rPr>
      </w:r>
      <w:r>
        <w:rPr>
          <w:rFonts w:hint="eastAsia" w:ascii="宋体" w:hAnsi="宋体" w:cs="仿宋"/>
          <w:b/>
          <w:bCs/>
          <w:sz w:val="28"/>
          <w:szCs w:val="28"/>
        </w:rPr>
      </w:r>
      <w:r/>
    </w:p>
    <w:p>
      <w:pPr>
        <w:spacing w:line="400" w:lineRule="exact"/>
        <w:rPr>
          <w:rFonts w:hint="eastAsia" w:ascii="宋体" w:hAnsi="宋体" w:cs="仿宋"/>
          <w:b/>
          <w:bCs/>
          <w:sz w:val="28"/>
          <w:szCs w:val="28"/>
        </w:rPr>
      </w:pPr>
      <w:r>
        <w:rPr>
          <w:rFonts w:hint="eastAsia" w:ascii="宋体" w:hAnsi="宋体" w:cs="仿宋"/>
          <w:b/>
          <w:bCs/>
          <w:sz w:val="28"/>
          <w:szCs w:val="28"/>
        </w:rPr>
      </w:r>
      <w:r>
        <w:rPr>
          <w:rFonts w:hint="eastAsia" w:ascii="宋体" w:hAnsi="宋体" w:cs="仿宋"/>
          <w:b/>
          <w:bCs/>
          <w:sz w:val="28"/>
          <w:szCs w:val="28"/>
        </w:rPr>
      </w:r>
      <w:r/>
    </w:p>
    <w:p>
      <w:pPr>
        <w:pStyle w:val="926"/>
        <w:spacing w:line="400" w:lineRule="exact"/>
        <w:rPr>
          <w:rFonts w:hint="eastAsia" w:ascii="宋体" w:hAnsi="宋体" w:cs="仿宋"/>
          <w:b/>
          <w:bCs/>
          <w:sz w:val="28"/>
          <w:szCs w:val="28"/>
        </w:rPr>
      </w:pPr>
      <w:r>
        <w:rPr>
          <w:rFonts w:hint="eastAsia" w:ascii="宋体" w:hAnsi="宋体" w:cs="仿宋"/>
          <w:b/>
          <w:bCs/>
          <w:sz w:val="28"/>
          <w:szCs w:val="28"/>
        </w:rPr>
      </w:r>
      <w:r/>
    </w:p>
    <w:p>
      <w:pPr>
        <w:pStyle w:val="9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26"/>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26"/>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egoe UI">
    <w:panose1 w:val="020B0502040204020203"/>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2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6"/>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6"/>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26"/>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pStyle w:val="926"/>
        <w:ind w:left="840" w:hanging="360"/>
      </w:pPr>
    </w:lvl>
    <w:lvl w:ilvl="1">
      <w:start w:val="1"/>
      <w:numFmt w:val="lowerLetter"/>
      <w:isLgl w:val="false"/>
      <w:suff w:val="tab"/>
      <w:lvlText w:val="%2)"/>
      <w:lvlJc w:val="left"/>
      <w:pPr>
        <w:pStyle w:val="926"/>
        <w:ind w:left="1360" w:hanging="440"/>
      </w:pPr>
    </w:lvl>
    <w:lvl w:ilvl="2">
      <w:start w:val="1"/>
      <w:numFmt w:val="lowerRoman"/>
      <w:isLgl w:val="false"/>
      <w:suff w:val="tab"/>
      <w:lvlText w:val="%3."/>
      <w:lvlJc w:val="right"/>
      <w:pPr>
        <w:pStyle w:val="926"/>
        <w:ind w:left="1800" w:hanging="440"/>
      </w:pPr>
    </w:lvl>
    <w:lvl w:ilvl="3">
      <w:start w:val="1"/>
      <w:numFmt w:val="decimal"/>
      <w:isLgl w:val="false"/>
      <w:suff w:val="tab"/>
      <w:lvlText w:val="%4."/>
      <w:lvlJc w:val="left"/>
      <w:pPr>
        <w:pStyle w:val="926"/>
        <w:ind w:left="2240" w:hanging="440"/>
      </w:pPr>
    </w:lvl>
    <w:lvl w:ilvl="4">
      <w:start w:val="1"/>
      <w:numFmt w:val="lowerLetter"/>
      <w:isLgl w:val="false"/>
      <w:suff w:val="tab"/>
      <w:lvlText w:val="%5)"/>
      <w:lvlJc w:val="left"/>
      <w:pPr>
        <w:pStyle w:val="926"/>
        <w:ind w:left="2680" w:hanging="440"/>
      </w:pPr>
    </w:lvl>
    <w:lvl w:ilvl="5">
      <w:start w:val="1"/>
      <w:numFmt w:val="lowerRoman"/>
      <w:isLgl w:val="false"/>
      <w:suff w:val="tab"/>
      <w:lvlText w:val="%6."/>
      <w:lvlJc w:val="right"/>
      <w:pPr>
        <w:pStyle w:val="926"/>
        <w:ind w:left="3120" w:hanging="440"/>
      </w:pPr>
    </w:lvl>
    <w:lvl w:ilvl="6">
      <w:start w:val="1"/>
      <w:numFmt w:val="decimal"/>
      <w:isLgl w:val="false"/>
      <w:suff w:val="tab"/>
      <w:lvlText w:val="%7."/>
      <w:lvlJc w:val="left"/>
      <w:pPr>
        <w:pStyle w:val="926"/>
        <w:ind w:left="3560" w:hanging="440"/>
      </w:pPr>
    </w:lvl>
    <w:lvl w:ilvl="7">
      <w:start w:val="1"/>
      <w:numFmt w:val="lowerLetter"/>
      <w:isLgl w:val="false"/>
      <w:suff w:val="tab"/>
      <w:lvlText w:val="%8)"/>
      <w:lvlJc w:val="left"/>
      <w:pPr>
        <w:pStyle w:val="926"/>
        <w:ind w:left="4000" w:hanging="440"/>
      </w:pPr>
    </w:lvl>
    <w:lvl w:ilvl="8">
      <w:start w:val="1"/>
      <w:numFmt w:val="lowerRoman"/>
      <w:isLgl w:val="false"/>
      <w:suff w:val="tab"/>
      <w:lvlText w:val="%9."/>
      <w:lvlJc w:val="right"/>
      <w:pPr>
        <w:pStyle w:val="926"/>
        <w:ind w:left="4440" w:hanging="440"/>
      </w:pPr>
    </w:lvl>
  </w:abstractNum>
  <w:abstractNum w:abstractNumId="4">
    <w:multiLevelType w:val="hybridMultilevel"/>
    <w:lvl w:ilvl="0">
      <w:start w:val="1"/>
      <w:numFmt w:val="chineseCounting"/>
      <w:isLgl w:val="false"/>
      <w:suff w:val="nothing"/>
      <w:lvlText w:val="（%1）"/>
      <w:lvlJc w:val="left"/>
      <w:pPr>
        <w:pStyle w:val="926"/>
        <w:ind w:left="0" w:firstLine="420"/>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5">
    <w:multiLevelType w:val="hybridMultilevel"/>
    <w:lvl w:ilvl="0">
      <w:start w:val="1"/>
      <w:numFmt w:val="decimalEnclosedCircleChinese"/>
      <w:isLgl w:val="false"/>
      <w:suff w:val="nothing"/>
      <w:lvlText w:val="%1　"/>
      <w:lvlJc w:val="left"/>
      <w:pPr>
        <w:pStyle w:val="926"/>
        <w:ind w:left="0" w:firstLine="400"/>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6">
    <w:multiLevelType w:val="hybridMultilevel"/>
    <w:lvl w:ilvl="0">
      <w:start w:val="1"/>
      <w:numFmt w:val="decimalEnclosedCircleChinese"/>
      <w:isLgl w:val="false"/>
      <w:suff w:val="nothing"/>
      <w:lvlText w:val="%1　"/>
      <w:lvlJc w:val="left"/>
      <w:pPr>
        <w:pStyle w:val="926"/>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26"/>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26"/>
        <w:ind w:left="0" w:firstLine="0"/>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10">
    <w:multiLevelType w:val="hybridMultilevel"/>
    <w:lvl w:ilvl="0">
      <w:start w:val="1"/>
      <w:numFmt w:val="decimal"/>
      <w:isLgl w:val="false"/>
      <w:suff w:val="nothing"/>
      <w:lvlText w:val="（%1）"/>
      <w:lvlJc w:val="left"/>
      <w:pPr>
        <w:pStyle w:val="926"/>
        <w:ind w:left="0" w:firstLine="0"/>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11">
    <w:multiLevelType w:val="hybridMultilevel"/>
    <w:lvl w:ilvl="0">
      <w:start w:val="1"/>
      <w:numFmt w:val="upperLetter"/>
      <w:pStyle w:val="1006"/>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chineseCounting"/>
      <w:isLgl w:val="false"/>
      <w:suff w:val="nothing"/>
      <w:lvlText w:val="%1、"/>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pStyle w:val="926"/>
        <w:ind w:left="0" w:firstLine="0"/>
        <w:tabs>
          <w:tab w:val="num" w:pos="312" w:leader="none"/>
        </w:tabs>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14">
    <w:multiLevelType w:val="hybridMultilevel"/>
    <w:lvl w:ilvl="0">
      <w:start w:val="1"/>
      <w:numFmt w:val="decimal"/>
      <w:isLgl w:val="false"/>
      <w:suff w:val="nothing"/>
      <w:lvlText w:val="（%1）"/>
      <w:lvlJc w:val="left"/>
      <w:pPr>
        <w:pStyle w:val="926"/>
        <w:ind w:left="0" w:firstLine="0"/>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15">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926"/>
        <w:ind w:left="0" w:firstLine="420"/>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17">
    <w:multiLevelType w:val="hybridMultilevel"/>
    <w:lvl w:ilvl="0">
      <w:start w:val="1"/>
      <w:numFmt w:val="chineseCounting"/>
      <w:isLgl w:val="false"/>
      <w:suff w:val="nothing"/>
      <w:lvlText w:val="（%1）"/>
      <w:lvlJc w:val="left"/>
      <w:pPr>
        <w:pStyle w:val="926"/>
        <w:ind w:left="0" w:firstLine="420"/>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18">
    <w:multiLevelType w:val="hybridMultilevel"/>
    <w:lvl w:ilvl="0">
      <w:start w:val="1"/>
      <w:numFmt w:val="decimal"/>
      <w:pStyle w:val="1023"/>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19">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19"/>
  </w:num>
  <w:num w:numId="2">
    <w:abstractNumId w:val="11"/>
  </w:num>
  <w:num w:numId="3">
    <w:abstractNumId w:val="18"/>
  </w:num>
  <w:num w:numId="4">
    <w:abstractNumId w:val="4"/>
  </w:num>
  <w:num w:numId="5">
    <w:abstractNumId w:val="17"/>
  </w:num>
  <w:num w:numId="6">
    <w:abstractNumId w:val="5"/>
  </w:num>
  <w:num w:numId="7">
    <w:abstractNumId w:val="13"/>
  </w:num>
  <w:num w:numId="8">
    <w:abstractNumId w:val="12"/>
  </w:num>
  <w:num w:numId="9">
    <w:abstractNumId w:val="3"/>
  </w:num>
  <w:num w:numId="10">
    <w:abstractNumId w:val="9"/>
  </w:num>
  <w:num w:numId="11">
    <w:abstractNumId w:val="10"/>
  </w:num>
  <w:num w:numId="12">
    <w:abstractNumId w:val="14"/>
  </w:num>
  <w:num w:numId="13">
    <w:abstractNumId w:val="16"/>
  </w:num>
  <w:num w:numId="14">
    <w:abstractNumId w:val="6"/>
  </w:num>
  <w:num w:numId="15">
    <w:abstractNumId w:val="0"/>
  </w:num>
  <w:num w:numId="16">
    <w:abstractNumId w:val="1"/>
  </w:num>
  <w:num w:numId="17">
    <w:abstractNumId w:val="7"/>
  </w:num>
  <w:num w:numId="18">
    <w:abstractNumId w:val="2"/>
  </w:num>
  <w:num w:numId="19">
    <w:abstractNumId w:val="1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2"/>
      <w:lang w:val="en-US" w:eastAsia="zh-CN" w:bidi="ar-SA"/>
    </w:rPr>
  </w:style>
  <w:style w:type="paragraph" w:styleId="927">
    <w:name w:val="标题 1"/>
    <w:basedOn w:val="926"/>
    <w:next w:val="926"/>
    <w:link w:val="938"/>
    <w:qFormat/>
    <w:pPr>
      <w:jc w:val="center"/>
      <w:keepNext/>
      <w:outlineLvl w:val="0"/>
    </w:pPr>
    <w:rPr>
      <w:rFonts w:ascii="楷体_GB2312" w:hAnsi="Times New Roman" w:eastAsia="楷体_GB2312" w:cs="Times New Roman"/>
      <w:sz w:val="28"/>
      <w:szCs w:val="28"/>
    </w:rPr>
  </w:style>
  <w:style w:type="paragraph" w:styleId="928">
    <w:name w:val="标题 2"/>
    <w:basedOn w:val="926"/>
    <w:next w:val="940"/>
    <w:link w:val="939"/>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40"/>
    <w:link w:val="94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0">
    <w:name w:val="标题 4"/>
    <w:basedOn w:val="926"/>
    <w:next w:val="940"/>
    <w:link w:val="943"/>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40"/>
    <w:link w:val="944"/>
    <w:qFormat/>
    <w:pPr>
      <w:keepNext/>
      <w:outlineLvl w:val="4"/>
    </w:pPr>
    <w:rPr>
      <w:rFonts w:ascii="宋体" w:hAnsi="Times New Roman" w:eastAsia="宋体" w:cs="Times New Roman"/>
      <w:color w:val="000000"/>
      <w:sz w:val="28"/>
      <w:szCs w:val="28"/>
    </w:rPr>
  </w:style>
  <w:style w:type="paragraph" w:styleId="932">
    <w:name w:val="标题 6"/>
    <w:basedOn w:val="926"/>
    <w:next w:val="926"/>
    <w:link w:val="94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3">
    <w:name w:val="标题 7"/>
    <w:basedOn w:val="926"/>
    <w:next w:val="926"/>
    <w:link w:val="94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4">
    <w:name w:val="标题 8"/>
    <w:basedOn w:val="926"/>
    <w:next w:val="926"/>
    <w:link w:val="94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5">
    <w:name w:val="标题 9"/>
    <w:basedOn w:val="926"/>
    <w:next w:val="926"/>
    <w:link w:val="948"/>
    <w:qFormat/>
    <w:pPr>
      <w:numPr>
        <w:ilvl w:val="8"/>
        <w:numId w:val="1"/>
      </w:numPr>
      <w:keepLines/>
      <w:keepNext/>
      <w:spacing w:before="240" w:after="64" w:line="320" w:lineRule="auto"/>
      <w:outlineLvl w:val="8"/>
    </w:pPr>
    <w:rPr>
      <w:rFonts w:ascii="Arial" w:hAnsi="Arial" w:eastAsia="黑体" w:cs="Times New Roman"/>
      <w:szCs w:val="21"/>
    </w:rPr>
  </w:style>
  <w:style w:type="character" w:styleId="936">
    <w:name w:val="默认段落字体"/>
    <w:next w:val="936"/>
    <w:link w:val="926"/>
    <w:uiPriority w:val="1"/>
    <w:unhideWhenUsed/>
  </w:style>
  <w:style w:type="table" w:styleId="937">
    <w:name w:val="普通表格"/>
    <w:next w:val="937"/>
    <w:link w:val="92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8">
    <w:name w:val="标题 1 字符"/>
    <w:next w:val="938"/>
    <w:link w:val="927"/>
    <w:rPr>
      <w:rFonts w:ascii="楷体_GB2312" w:hAnsi="Times New Roman" w:eastAsia="楷体_GB2312" w:cs="Times New Roman"/>
      <w:sz w:val="28"/>
      <w:szCs w:val="28"/>
    </w:rPr>
  </w:style>
  <w:style w:type="character" w:styleId="939">
    <w:name w:val="标题 2 字符"/>
    <w:next w:val="939"/>
    <w:link w:val="928"/>
    <w:rPr>
      <w:rFonts w:ascii="Arial" w:hAnsi="Arial" w:eastAsia="幼圆" w:cs="Arial"/>
      <w:b/>
      <w:bCs/>
      <w:sz w:val="44"/>
      <w:szCs w:val="44"/>
    </w:rPr>
  </w:style>
  <w:style w:type="paragraph" w:styleId="940">
    <w:name w:val="正文缩进"/>
    <w:basedOn w:val="926"/>
    <w:next w:val="940"/>
    <w:link w:val="941"/>
    <w:pPr>
      <w:ind w:firstLine="420"/>
    </w:pPr>
    <w:rPr>
      <w:szCs w:val="21"/>
    </w:rPr>
  </w:style>
  <w:style w:type="character" w:styleId="941">
    <w:name w:val="正文缩进 字符"/>
    <w:next w:val="941"/>
    <w:link w:val="940"/>
    <w:rPr>
      <w:szCs w:val="21"/>
    </w:rPr>
  </w:style>
  <w:style w:type="character" w:styleId="942">
    <w:name w:val="标题 3 字符"/>
    <w:next w:val="942"/>
    <w:link w:val="929"/>
    <w:rPr>
      <w:rFonts w:ascii="Times New Roman" w:hAnsi="Times New Roman" w:eastAsia="宋体" w:cs="Times New Roman"/>
      <w:b/>
      <w:bCs/>
      <w:sz w:val="32"/>
      <w:szCs w:val="32"/>
    </w:rPr>
  </w:style>
  <w:style w:type="character" w:styleId="943">
    <w:name w:val="标题 4 字符"/>
    <w:next w:val="943"/>
    <w:link w:val="930"/>
    <w:rPr>
      <w:rFonts w:ascii="Arial" w:hAnsi="Arial" w:eastAsia="黑体" w:cs="Arial"/>
      <w:b/>
      <w:bCs/>
      <w:sz w:val="28"/>
      <w:szCs w:val="28"/>
    </w:rPr>
  </w:style>
  <w:style w:type="character" w:styleId="944">
    <w:name w:val="标题 5 字符"/>
    <w:next w:val="944"/>
    <w:link w:val="931"/>
    <w:rPr>
      <w:rFonts w:ascii="宋体" w:hAnsi="Times New Roman" w:eastAsia="宋体" w:cs="Times New Roman"/>
      <w:color w:val="000000"/>
      <w:sz w:val="28"/>
      <w:szCs w:val="28"/>
    </w:rPr>
  </w:style>
  <w:style w:type="character" w:styleId="945">
    <w:name w:val="标题 6 字符"/>
    <w:next w:val="945"/>
    <w:link w:val="932"/>
    <w:rPr>
      <w:rFonts w:ascii="Arial" w:hAnsi="Arial" w:eastAsia="黑体" w:cs="Times New Roman"/>
      <w:b/>
      <w:bCs/>
      <w:sz w:val="24"/>
      <w:szCs w:val="24"/>
    </w:rPr>
  </w:style>
  <w:style w:type="character" w:styleId="946">
    <w:name w:val="标题 7 字符"/>
    <w:next w:val="946"/>
    <w:link w:val="933"/>
    <w:rPr>
      <w:rFonts w:ascii="Times New Roman" w:hAnsi="Times New Roman" w:eastAsia="宋体" w:cs="Times New Roman"/>
      <w:b/>
      <w:bCs/>
      <w:sz w:val="24"/>
      <w:szCs w:val="24"/>
    </w:rPr>
  </w:style>
  <w:style w:type="character" w:styleId="947">
    <w:name w:val="标题 8 字符"/>
    <w:next w:val="947"/>
    <w:link w:val="934"/>
    <w:rPr>
      <w:rFonts w:ascii="Arial" w:hAnsi="Arial" w:eastAsia="黑体" w:cs="Times New Roman"/>
      <w:sz w:val="24"/>
      <w:szCs w:val="24"/>
    </w:rPr>
  </w:style>
  <w:style w:type="character" w:styleId="948">
    <w:name w:val="标题 9 字符"/>
    <w:next w:val="948"/>
    <w:link w:val="935"/>
    <w:rPr>
      <w:rFonts w:ascii="Arial" w:hAnsi="Arial" w:eastAsia="黑体" w:cs="Times New Roman"/>
      <w:szCs w:val="21"/>
    </w:rPr>
  </w:style>
  <w:style w:type="paragraph" w:styleId="949">
    <w:name w:val="列表 3"/>
    <w:basedOn w:val="926"/>
    <w:next w:val="949"/>
    <w:link w:val="926"/>
    <w:pPr>
      <w:ind w:left="100" w:hanging="200"/>
    </w:pPr>
    <w:rPr>
      <w:rFonts w:ascii="Times New Roman" w:hAnsi="Times New Roman" w:eastAsia="宋体" w:cs="Times New Roman"/>
      <w:szCs w:val="21"/>
    </w:rPr>
  </w:style>
  <w:style w:type="paragraph" w:styleId="950">
    <w:name w:val="目录 7"/>
    <w:basedOn w:val="926"/>
    <w:next w:val="926"/>
    <w:link w:val="926"/>
    <w:semiHidden/>
    <w:pPr>
      <w:ind w:left="1260"/>
      <w:jc w:val="left"/>
    </w:pPr>
    <w:rPr>
      <w:rFonts w:ascii="Times New Roman" w:hAnsi="Times New Roman" w:eastAsia="宋体" w:cs="Times New Roman"/>
      <w:szCs w:val="21"/>
    </w:rPr>
  </w:style>
  <w:style w:type="paragraph" w:styleId="951">
    <w:name w:val="文档结构图"/>
    <w:basedOn w:val="926"/>
    <w:next w:val="951"/>
    <w:link w:val="952"/>
    <w:semiHidden/>
    <w:pPr>
      <w:shd w:val="clear" w:color="auto" w:fill="000080"/>
    </w:pPr>
    <w:rPr>
      <w:rFonts w:ascii="Times New Roman" w:hAnsi="Times New Roman" w:eastAsia="宋体" w:cs="Times New Roman"/>
      <w:szCs w:val="21"/>
    </w:rPr>
  </w:style>
  <w:style w:type="character" w:styleId="952">
    <w:name w:val="文档结构图 字符"/>
    <w:next w:val="952"/>
    <w:link w:val="951"/>
    <w:semiHidden/>
    <w:rPr>
      <w:rFonts w:ascii="Times New Roman" w:hAnsi="Times New Roman" w:eastAsia="宋体" w:cs="Times New Roman"/>
      <w:szCs w:val="21"/>
      <w:shd w:val="clear" w:color="auto" w:fill="000080"/>
    </w:rPr>
  </w:style>
  <w:style w:type="paragraph" w:styleId="953">
    <w:name w:val="批注文字"/>
    <w:basedOn w:val="926"/>
    <w:next w:val="953"/>
    <w:link w:val="954"/>
    <w:unhideWhenUsed/>
    <w:pPr>
      <w:ind w:left="0" w:right="0"/>
      <w:jc w:val="left"/>
      <w:keepLines w:val="0"/>
      <w:keepNext w:val="0"/>
      <w:spacing w:before="0" w:beforeAutospacing="0" w:after="0" w:afterAutospacing="0"/>
      <w:widowControl w:val="off"/>
      <w:suppressLineNumbers w:val="0"/>
    </w:pPr>
    <w:rPr>
      <w:rFonts w:ascii="Times New Roman" w:hAnsi="Times New Roman" w:eastAsia="宋体" w:cs="Times New Roman"/>
      <w:color w:val="000000"/>
      <w:sz w:val="20"/>
      <w:szCs w:val="24"/>
      <w:lang w:val="en-US" w:eastAsia="zh-CN" w:bidi="ar"/>
    </w:rPr>
  </w:style>
  <w:style w:type="character" w:styleId="954">
    <w:name w:val="批注文字 字符"/>
    <w:next w:val="954"/>
    <w:link w:val="953"/>
    <w:uiPriority w:val="99"/>
    <w:semiHidden/>
  </w:style>
  <w:style w:type="paragraph" w:styleId="955">
    <w:name w:val="正文文本 3"/>
    <w:basedOn w:val="926"/>
    <w:next w:val="955"/>
    <w:link w:val="956"/>
    <w:rPr>
      <w:rFonts w:ascii="仿宋_GB2312" w:hAnsi="Arial" w:eastAsia="仿宋_GB2312" w:cs="Times New Roman"/>
      <w:sz w:val="32"/>
      <w:szCs w:val="32"/>
    </w:rPr>
  </w:style>
  <w:style w:type="character" w:styleId="956">
    <w:name w:val="正文文本 3 字符"/>
    <w:next w:val="956"/>
    <w:link w:val="955"/>
    <w:rPr>
      <w:rFonts w:ascii="仿宋_GB2312" w:hAnsi="Arial" w:eastAsia="仿宋_GB2312" w:cs="Times New Roman"/>
      <w:sz w:val="32"/>
      <w:szCs w:val="32"/>
    </w:rPr>
  </w:style>
  <w:style w:type="paragraph" w:styleId="957">
    <w:name w:val="正文文本"/>
    <w:basedOn w:val="926"/>
    <w:next w:val="957"/>
    <w:link w:val="958"/>
    <w:rPr>
      <w:rFonts w:ascii="楷体_GB2312" w:hAnsi="Arial" w:eastAsia="楷体_GB2312" w:cs="Times New Roman"/>
      <w:sz w:val="28"/>
      <w:szCs w:val="28"/>
    </w:rPr>
  </w:style>
  <w:style w:type="character" w:styleId="958">
    <w:name w:val="正文文本 字符"/>
    <w:next w:val="958"/>
    <w:link w:val="957"/>
    <w:rPr>
      <w:rFonts w:ascii="楷体_GB2312" w:hAnsi="Arial" w:eastAsia="楷体_GB2312" w:cs="Times New Roman"/>
      <w:sz w:val="28"/>
      <w:szCs w:val="28"/>
    </w:rPr>
  </w:style>
  <w:style w:type="paragraph" w:styleId="959">
    <w:name w:val="正文文本缩进"/>
    <w:basedOn w:val="926"/>
    <w:next w:val="959"/>
    <w:link w:val="960"/>
    <w:unhideWhenUsed/>
    <w:pPr>
      <w:ind w:left="420"/>
      <w:spacing w:after="120"/>
    </w:pPr>
  </w:style>
  <w:style w:type="character" w:styleId="960">
    <w:name w:val="正文文本缩进 字符"/>
    <w:next w:val="960"/>
    <w:link w:val="959"/>
    <w:uiPriority w:val="99"/>
    <w:semiHidden/>
  </w:style>
  <w:style w:type="paragraph" w:styleId="961">
    <w:name w:val="列表 2"/>
    <w:basedOn w:val="926"/>
    <w:next w:val="961"/>
    <w:link w:val="926"/>
    <w:pPr>
      <w:ind w:left="100" w:hanging="200"/>
    </w:pPr>
    <w:rPr>
      <w:rFonts w:ascii="Times New Roman" w:hAnsi="Times New Roman" w:eastAsia="宋体" w:cs="Times New Roman"/>
      <w:szCs w:val="21"/>
    </w:rPr>
  </w:style>
  <w:style w:type="paragraph" w:styleId="962">
    <w:name w:val="目录 5"/>
    <w:basedOn w:val="926"/>
    <w:next w:val="926"/>
    <w:link w:val="926"/>
    <w:semiHidden/>
    <w:pPr>
      <w:ind w:left="840"/>
      <w:jc w:val="left"/>
    </w:pPr>
    <w:rPr>
      <w:rFonts w:ascii="Times New Roman" w:hAnsi="Times New Roman" w:eastAsia="宋体" w:cs="Times New Roman"/>
      <w:szCs w:val="21"/>
    </w:rPr>
  </w:style>
  <w:style w:type="paragraph" w:styleId="963">
    <w:name w:val="目录 3"/>
    <w:basedOn w:val="926"/>
    <w:next w:val="926"/>
    <w:link w:val="926"/>
    <w:semiHidden/>
    <w:pPr>
      <w:ind w:left="420"/>
      <w:jc w:val="left"/>
    </w:pPr>
    <w:rPr>
      <w:rFonts w:ascii="Times New Roman" w:hAnsi="Times New Roman" w:eastAsia="宋体" w:cs="Times New Roman"/>
      <w:i/>
      <w:iCs/>
      <w:szCs w:val="24"/>
    </w:rPr>
  </w:style>
  <w:style w:type="paragraph" w:styleId="964">
    <w:name w:val="纯文本"/>
    <w:basedOn w:val="926"/>
    <w:next w:val="964"/>
    <w:link w:val="965"/>
    <w:qFormat/>
    <w:rPr>
      <w:rFonts w:ascii="宋体" w:hAnsi="Courier New" w:eastAsia="宋体" w:cs="Courier New"/>
      <w:szCs w:val="21"/>
    </w:rPr>
  </w:style>
  <w:style w:type="character" w:styleId="965">
    <w:name w:val="纯文本 字符"/>
    <w:next w:val="965"/>
    <w:link w:val="964"/>
    <w:rPr>
      <w:rFonts w:ascii="宋体" w:hAnsi="Courier New" w:eastAsia="宋体" w:cs="Courier New"/>
      <w:szCs w:val="21"/>
    </w:rPr>
  </w:style>
  <w:style w:type="paragraph" w:styleId="966">
    <w:name w:val="目录 8"/>
    <w:basedOn w:val="926"/>
    <w:next w:val="926"/>
    <w:link w:val="926"/>
    <w:semiHidden/>
    <w:pPr>
      <w:ind w:left="1470"/>
      <w:jc w:val="left"/>
    </w:pPr>
    <w:rPr>
      <w:rFonts w:ascii="Times New Roman" w:hAnsi="Times New Roman" w:eastAsia="宋体" w:cs="Times New Roman"/>
      <w:szCs w:val="21"/>
    </w:rPr>
  </w:style>
  <w:style w:type="paragraph" w:styleId="967">
    <w:name w:val="日期"/>
    <w:basedOn w:val="926"/>
    <w:next w:val="926"/>
    <w:link w:val="968"/>
    <w:rPr>
      <w:rFonts w:ascii="Times New Roman" w:hAnsi="Times New Roman" w:eastAsia="宋体" w:cs="Times New Roman"/>
      <w:sz w:val="24"/>
      <w:szCs w:val="24"/>
    </w:rPr>
  </w:style>
  <w:style w:type="character" w:styleId="968">
    <w:name w:val="日期 字符"/>
    <w:next w:val="968"/>
    <w:link w:val="967"/>
    <w:rPr>
      <w:rFonts w:ascii="Times New Roman" w:hAnsi="Times New Roman" w:eastAsia="宋体" w:cs="Times New Roman"/>
      <w:sz w:val="24"/>
      <w:szCs w:val="24"/>
    </w:rPr>
  </w:style>
  <w:style w:type="paragraph" w:styleId="969">
    <w:name w:val="正文文本缩进 2"/>
    <w:basedOn w:val="926"/>
    <w:next w:val="969"/>
    <w:link w:val="970"/>
    <w:pPr>
      <w:ind w:left="630" w:firstLine="645"/>
    </w:pPr>
    <w:rPr>
      <w:rFonts w:ascii="Arial" w:hAnsi="Arial" w:eastAsia="仿宋_GB2312" w:cs="Arial"/>
      <w:sz w:val="32"/>
      <w:szCs w:val="32"/>
    </w:rPr>
  </w:style>
  <w:style w:type="character" w:styleId="970">
    <w:name w:val="正文文本缩进 2 字符"/>
    <w:next w:val="970"/>
    <w:link w:val="969"/>
    <w:rPr>
      <w:rFonts w:ascii="Arial" w:hAnsi="Arial" w:eastAsia="仿宋_GB2312" w:cs="Arial"/>
      <w:sz w:val="32"/>
      <w:szCs w:val="32"/>
    </w:rPr>
  </w:style>
  <w:style w:type="paragraph" w:styleId="971">
    <w:name w:val="批注框文本"/>
    <w:basedOn w:val="926"/>
    <w:next w:val="971"/>
    <w:link w:val="972"/>
    <w:semiHidden/>
    <w:rPr>
      <w:rFonts w:ascii="Times New Roman" w:hAnsi="Times New Roman" w:eastAsia="宋体" w:cs="Times New Roman"/>
      <w:sz w:val="18"/>
      <w:szCs w:val="18"/>
    </w:rPr>
  </w:style>
  <w:style w:type="character" w:styleId="972">
    <w:name w:val="批注框文本 字符"/>
    <w:next w:val="972"/>
    <w:link w:val="971"/>
    <w:semiHidden/>
    <w:rPr>
      <w:rFonts w:ascii="Times New Roman" w:hAnsi="Times New Roman" w:eastAsia="宋体" w:cs="Times New Roman"/>
      <w:sz w:val="18"/>
      <w:szCs w:val="18"/>
    </w:rPr>
  </w:style>
  <w:style w:type="paragraph" w:styleId="973">
    <w:name w:val="页脚"/>
    <w:basedOn w:val="926"/>
    <w:next w:val="973"/>
    <w:link w:val="97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74">
    <w:name w:val="页脚 字符"/>
    <w:next w:val="974"/>
    <w:link w:val="973"/>
    <w:uiPriority w:val="99"/>
    <w:rPr>
      <w:rFonts w:ascii="Times New Roman" w:hAnsi="Times New Roman" w:eastAsia="宋体" w:cs="Times New Roman"/>
      <w:sz w:val="18"/>
      <w:szCs w:val="18"/>
    </w:rPr>
  </w:style>
  <w:style w:type="paragraph" w:styleId="975">
    <w:name w:val="寄信人地址"/>
    <w:basedOn w:val="926"/>
    <w:next w:val="975"/>
    <w:link w:val="926"/>
    <w:uiPriority w:val="99"/>
    <w:unhideWhenUsed/>
    <w:pPr>
      <w:ind w:left="0" w:right="0"/>
      <w:jc w:val="left"/>
      <w:keepLines w:val="0"/>
      <w:keepNext w:val="0"/>
      <w:spacing w:before="0" w:beforeAutospacing="0" w:after="200" w:afterAutospacing="0" w:line="276" w:lineRule="auto"/>
      <w:widowControl/>
      <w:suppressLineNumbers w:val="0"/>
    </w:pPr>
    <w:rPr>
      <w:rFonts w:ascii="Arial" w:hAnsi="Arial" w:eastAsia="宋体" w:cs="Times New Roman"/>
      <w:color w:val="000000"/>
      <w:sz w:val="22"/>
      <w:szCs w:val="22"/>
      <w:lang w:val="en-US" w:eastAsia="zh-CN" w:bidi="ar"/>
    </w:rPr>
  </w:style>
  <w:style w:type="paragraph" w:styleId="976">
    <w:name w:val="页眉"/>
    <w:basedOn w:val="926"/>
    <w:next w:val="976"/>
    <w:link w:val="97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7">
    <w:name w:val="页眉 字符"/>
    <w:next w:val="977"/>
    <w:link w:val="976"/>
    <w:rPr>
      <w:rFonts w:ascii="Times New Roman" w:hAnsi="Times New Roman" w:eastAsia="宋体" w:cs="Times New Roman"/>
      <w:sz w:val="18"/>
      <w:szCs w:val="18"/>
    </w:rPr>
  </w:style>
  <w:style w:type="paragraph" w:styleId="978">
    <w:name w:val="目录 1"/>
    <w:basedOn w:val="926"/>
    <w:next w:val="926"/>
    <w:link w:val="92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9">
    <w:name w:val="目录 4"/>
    <w:basedOn w:val="926"/>
    <w:next w:val="926"/>
    <w:link w:val="926"/>
    <w:semiHidden/>
    <w:pPr>
      <w:ind w:left="630"/>
      <w:jc w:val="left"/>
    </w:pPr>
    <w:rPr>
      <w:rFonts w:ascii="Times New Roman" w:hAnsi="Times New Roman" w:eastAsia="宋体" w:cs="Times New Roman"/>
      <w:szCs w:val="21"/>
    </w:rPr>
  </w:style>
  <w:style w:type="paragraph" w:styleId="980">
    <w:name w:val="列表"/>
    <w:basedOn w:val="926"/>
    <w:next w:val="980"/>
    <w:link w:val="926"/>
    <w:pPr>
      <w:ind w:left="200" w:hanging="200"/>
    </w:pPr>
    <w:rPr>
      <w:rFonts w:ascii="Times New Roman" w:hAnsi="Times New Roman" w:eastAsia="宋体" w:cs="Times New Roman"/>
      <w:szCs w:val="21"/>
    </w:rPr>
  </w:style>
  <w:style w:type="paragraph" w:styleId="981">
    <w:name w:val="目录 6"/>
    <w:basedOn w:val="926"/>
    <w:next w:val="926"/>
    <w:link w:val="926"/>
    <w:semiHidden/>
    <w:pPr>
      <w:ind w:left="1050"/>
      <w:jc w:val="left"/>
    </w:pPr>
    <w:rPr>
      <w:rFonts w:ascii="Times New Roman" w:hAnsi="Times New Roman" w:eastAsia="宋体" w:cs="Times New Roman"/>
      <w:szCs w:val="21"/>
    </w:rPr>
  </w:style>
  <w:style w:type="paragraph" w:styleId="982">
    <w:name w:val="正文文本缩进 3"/>
    <w:basedOn w:val="926"/>
    <w:next w:val="982"/>
    <w:link w:val="983"/>
    <w:pPr>
      <w:ind w:left="645" w:firstLine="645"/>
    </w:pPr>
    <w:rPr>
      <w:rFonts w:ascii="Arial" w:hAnsi="Arial" w:eastAsia="仿宋_GB2312" w:cs="Arial"/>
      <w:color w:val="ffff00"/>
      <w:sz w:val="32"/>
      <w:szCs w:val="32"/>
    </w:rPr>
  </w:style>
  <w:style w:type="character" w:styleId="983">
    <w:name w:val="正文文本缩进 3 字符"/>
    <w:next w:val="983"/>
    <w:link w:val="982"/>
    <w:rPr>
      <w:rFonts w:ascii="Arial" w:hAnsi="Arial" w:eastAsia="仿宋_GB2312" w:cs="Arial"/>
      <w:color w:val="ffff00"/>
      <w:sz w:val="32"/>
      <w:szCs w:val="32"/>
    </w:rPr>
  </w:style>
  <w:style w:type="paragraph" w:styleId="984">
    <w:name w:val="图表目录"/>
    <w:basedOn w:val="926"/>
    <w:next w:val="926"/>
    <w:link w:val="926"/>
    <w:semiHidden/>
    <w:pPr>
      <w:ind w:left="840" w:hanging="420"/>
    </w:pPr>
    <w:rPr>
      <w:rFonts w:ascii="Times New Roman" w:hAnsi="Times New Roman" w:eastAsia="宋体" w:cs="Times New Roman"/>
      <w:szCs w:val="21"/>
    </w:rPr>
  </w:style>
  <w:style w:type="paragraph" w:styleId="985">
    <w:name w:val="目录 2"/>
    <w:basedOn w:val="926"/>
    <w:next w:val="926"/>
    <w:link w:val="926"/>
    <w:semiHidden/>
    <w:pPr>
      <w:ind w:left="210"/>
      <w:jc w:val="left"/>
    </w:pPr>
    <w:rPr>
      <w:rFonts w:ascii="Times New Roman" w:hAnsi="Times New Roman" w:eastAsia="宋体" w:cs="Times New Roman"/>
      <w:smallCaps/>
      <w:szCs w:val="24"/>
    </w:rPr>
  </w:style>
  <w:style w:type="paragraph" w:styleId="986">
    <w:name w:val="目录 9"/>
    <w:basedOn w:val="926"/>
    <w:next w:val="926"/>
    <w:link w:val="926"/>
    <w:semiHidden/>
    <w:pPr>
      <w:ind w:left="1680"/>
      <w:jc w:val="left"/>
    </w:pPr>
    <w:rPr>
      <w:rFonts w:ascii="Times New Roman" w:hAnsi="Times New Roman" w:eastAsia="宋体" w:cs="Times New Roman"/>
      <w:szCs w:val="21"/>
    </w:rPr>
  </w:style>
  <w:style w:type="paragraph" w:styleId="987">
    <w:name w:val="正文文本 2"/>
    <w:basedOn w:val="926"/>
    <w:next w:val="987"/>
    <w:link w:val="988"/>
    <w:pPr>
      <w:jc w:val="center"/>
      <w:widowControl/>
    </w:pPr>
    <w:rPr>
      <w:rFonts w:ascii="楷体_GB2312" w:hAnsi="Times New Roman" w:eastAsia="楷体_GB2312" w:cs="Times New Roman"/>
      <w:sz w:val="28"/>
      <w:szCs w:val="28"/>
    </w:rPr>
  </w:style>
  <w:style w:type="character" w:styleId="988">
    <w:name w:val="正文文本 2 字符"/>
    <w:next w:val="988"/>
    <w:link w:val="987"/>
    <w:rPr>
      <w:rFonts w:ascii="楷体_GB2312" w:hAnsi="Times New Roman" w:eastAsia="楷体_GB2312" w:cs="Times New Roman"/>
      <w:sz w:val="28"/>
      <w:szCs w:val="28"/>
    </w:rPr>
  </w:style>
  <w:style w:type="paragraph" w:styleId="989">
    <w:name w:val="普通(网站)"/>
    <w:basedOn w:val="926"/>
    <w:next w:val="989"/>
    <w:link w:val="926"/>
    <w:uiPriority w:val="99"/>
    <w:pPr>
      <w:jc w:val="left"/>
      <w:spacing w:before="100" w:beforeAutospacing="1" w:after="100" w:afterAutospacing="1"/>
      <w:widowControl/>
    </w:pPr>
    <w:rPr>
      <w:rFonts w:ascii="宋体" w:hAnsi="宋体" w:eastAsia="宋体" w:cs="宋体"/>
      <w:sz w:val="24"/>
      <w:szCs w:val="24"/>
    </w:rPr>
  </w:style>
  <w:style w:type="paragraph" w:styleId="990">
    <w:name w:val="索引 1"/>
    <w:basedOn w:val="926"/>
    <w:next w:val="926"/>
    <w:link w:val="926"/>
    <w:semiHidden/>
    <w:pPr>
      <w:spacing w:line="240" w:lineRule="atLeast"/>
    </w:pPr>
    <w:rPr>
      <w:rFonts w:ascii="Times New Roman" w:hAnsi="Times New Roman" w:eastAsia="宋体" w:cs="Times New Roman"/>
      <w:b/>
      <w:bCs/>
      <w:szCs w:val="21"/>
    </w:rPr>
  </w:style>
  <w:style w:type="paragraph" w:styleId="991">
    <w:name w:val="批注主题"/>
    <w:basedOn w:val="953"/>
    <w:next w:val="953"/>
    <w:link w:val="992"/>
    <w:semiHidden/>
    <w:rPr>
      <w:rFonts w:ascii="Times New Roman" w:hAnsi="Times New Roman" w:eastAsia="宋体" w:cs="Times New Roman"/>
      <w:b/>
      <w:bCs/>
      <w:szCs w:val="21"/>
    </w:rPr>
  </w:style>
  <w:style w:type="character" w:styleId="992">
    <w:name w:val="批注主题 字符"/>
    <w:next w:val="992"/>
    <w:link w:val="991"/>
    <w:semiHidden/>
    <w:rPr>
      <w:rFonts w:ascii="Times New Roman" w:hAnsi="Times New Roman" w:eastAsia="宋体" w:cs="Times New Roman"/>
      <w:b/>
      <w:bCs/>
      <w:szCs w:val="21"/>
    </w:rPr>
  </w:style>
  <w:style w:type="paragraph" w:styleId="993">
    <w:name w:val="正文首行缩进"/>
    <w:basedOn w:val="926"/>
    <w:next w:val="993"/>
    <w:link w:val="994"/>
    <w:pPr>
      <w:ind w:firstLine="200"/>
      <w:spacing w:line="360" w:lineRule="auto"/>
    </w:pPr>
    <w:rPr>
      <w:rFonts w:ascii="仿宋_GB2312" w:hAnsi="Times New Roman" w:eastAsia="仿宋_GB2312" w:cs="Times New Roman"/>
      <w:sz w:val="30"/>
      <w:szCs w:val="30"/>
    </w:rPr>
  </w:style>
  <w:style w:type="character" w:styleId="994">
    <w:name w:val="正文首行缩进 字符"/>
    <w:next w:val="994"/>
    <w:link w:val="993"/>
    <w:rPr>
      <w:rFonts w:ascii="仿宋_GB2312" w:hAnsi="Times New Roman" w:eastAsia="仿宋_GB2312" w:cs="Times New Roman"/>
      <w:sz w:val="30"/>
      <w:szCs w:val="30"/>
    </w:rPr>
  </w:style>
  <w:style w:type="paragraph" w:styleId="995">
    <w:name w:val="正文首行缩进 2"/>
    <w:basedOn w:val="959"/>
    <w:next w:val="995"/>
    <w:link w:val="996"/>
    <w:pPr>
      <w:ind w:left="0" w:firstLine="420"/>
      <w:spacing w:after="0" w:line="360" w:lineRule="auto"/>
    </w:pPr>
    <w:rPr>
      <w:rFonts w:ascii="宋体" w:hAnsi="宋体" w:eastAsia="宋体" w:cs="Times New Roman"/>
      <w:szCs w:val="20"/>
    </w:rPr>
  </w:style>
  <w:style w:type="character" w:styleId="996">
    <w:name w:val="正文首行缩进 2 字符"/>
    <w:next w:val="996"/>
    <w:link w:val="995"/>
    <w:rPr>
      <w:rFonts w:ascii="宋体" w:hAnsi="宋体" w:eastAsia="宋体" w:cs="Times New Roman"/>
      <w:szCs w:val="20"/>
    </w:rPr>
  </w:style>
  <w:style w:type="table" w:styleId="997">
    <w:name w:val="网格型"/>
    <w:basedOn w:val="937"/>
    <w:next w:val="997"/>
    <w:link w:val="926"/>
    <w:pPr>
      <w:jc w:val="both"/>
      <w:widowControl w:val="off"/>
    </w:pPr>
    <w:rPr>
      <w:rFonts w:ascii="Times New Roman" w:hAnsi="Times New Roman" w:eastAsia="宋体" w:cs="Times New Roman"/>
      <w:sz w:val="20"/>
      <w:szCs w:val="20"/>
    </w:rPr>
    <w:tblPr/>
  </w:style>
  <w:style w:type="character" w:styleId="998">
    <w:name w:val="要点"/>
    <w:next w:val="998"/>
    <w:link w:val="926"/>
    <w:qFormat/>
    <w:rPr>
      <w:b/>
      <w:bCs/>
    </w:rPr>
  </w:style>
  <w:style w:type="character" w:styleId="999">
    <w:name w:val="页码"/>
    <w:next w:val="999"/>
    <w:link w:val="926"/>
  </w:style>
  <w:style w:type="character" w:styleId="1000">
    <w:name w:val="已访问的超链接"/>
    <w:next w:val="1000"/>
    <w:link w:val="926"/>
    <w:rPr>
      <w:color w:val="800080"/>
      <w:u w:val="single"/>
    </w:rPr>
  </w:style>
  <w:style w:type="character" w:styleId="1001">
    <w:name w:val="强调"/>
    <w:next w:val="1001"/>
    <w:link w:val="926"/>
    <w:qFormat/>
    <w:rPr>
      <w:i/>
    </w:rPr>
  </w:style>
  <w:style w:type="character" w:styleId="1002">
    <w:name w:val="超链接"/>
    <w:next w:val="1002"/>
    <w:link w:val="926"/>
    <w:rPr>
      <w:color w:val="0000ff"/>
      <w:u w:val="single"/>
    </w:rPr>
  </w:style>
  <w:style w:type="character" w:styleId="1003">
    <w:name w:val="批注引用"/>
    <w:next w:val="1003"/>
    <w:link w:val="926"/>
    <w:semiHidden/>
    <w:rPr>
      <w:sz w:val="21"/>
      <w:szCs w:val="21"/>
    </w:rPr>
  </w:style>
  <w:style w:type="character" w:styleId="1004">
    <w:name w:val="font5 Char"/>
    <w:next w:val="1004"/>
    <w:link w:val="926"/>
    <w:rPr>
      <w:rFonts w:ascii="宋体" w:hAnsi="宋体" w:eastAsia="宋体"/>
      <w:sz w:val="28"/>
      <w:szCs w:val="28"/>
      <w:lang w:val="en-US" w:eastAsia="zh-CN" w:bidi="ar-SA"/>
    </w:rPr>
  </w:style>
  <w:style w:type="character" w:styleId="1005">
    <w:name w:val="二级目录 Char"/>
    <w:next w:val="1005"/>
    <w:link w:val="1006"/>
    <w:rPr>
      <w:b/>
      <w:sz w:val="30"/>
      <w:szCs w:val="28"/>
    </w:rPr>
  </w:style>
  <w:style w:type="paragraph" w:styleId="1006">
    <w:name w:val="二级目录"/>
    <w:next w:val="926"/>
    <w:link w:val="1005"/>
    <w:pPr>
      <w:numPr>
        <w:ilvl w:val="0"/>
        <w:numId w:val="2"/>
      </w:numPr>
      <w:tabs>
        <w:tab w:val="left" w:pos="907" w:leader="none"/>
        <w:tab w:val="left" w:pos="1145" w:leader="none"/>
      </w:tabs>
      <w:outlineLvl w:val="1"/>
    </w:pPr>
    <w:rPr>
      <w:b/>
      <w:sz w:val="30"/>
      <w:szCs w:val="28"/>
      <w:lang w:val="en-US" w:eastAsia="zh-CN" w:bidi="ar-SA"/>
    </w:rPr>
  </w:style>
  <w:style w:type="character" w:styleId="1007">
    <w:name w:val="列出段落 Char,Bullet List Char,numbered Char,FooterText Char,List Paragraph1 Char,Paragraphe de liste1 Char"/>
    <w:next w:val="1007"/>
    <w:link w:val="1008"/>
    <w:rPr>
      <w:rFonts w:ascii="Calibri" w:hAnsi="Calibri"/>
      <w:sz w:val="24"/>
      <w:szCs w:val="24"/>
      <w:lang w:eastAsia="en-US" w:bidi="en-US"/>
    </w:rPr>
  </w:style>
  <w:style w:type="paragraph" w:styleId="1008">
    <w:name w:val="列出段落1"/>
    <w:basedOn w:val="926"/>
    <w:next w:val="1008"/>
    <w:link w:val="1007"/>
    <w:qFormat/>
    <w:pPr>
      <w:contextualSpacing/>
      <w:ind w:left="720"/>
      <w:jc w:val="left"/>
      <w:widowControl/>
    </w:pPr>
    <w:rPr>
      <w:rFonts w:ascii="Calibri" w:hAnsi="Calibri"/>
      <w:sz w:val="24"/>
      <w:szCs w:val="24"/>
      <w:lang w:eastAsia="en-US" w:bidi="en-US"/>
    </w:rPr>
  </w:style>
  <w:style w:type="paragraph" w:styleId="1009">
    <w:name w:val="Body Text(ch)"/>
    <w:basedOn w:val="926"/>
    <w:next w:val="957"/>
    <w:link w:val="926"/>
    <w:pPr>
      <w:spacing w:after="120"/>
    </w:pPr>
    <w:rPr>
      <w:rFonts w:ascii="宋体" w:hAnsi="Arial" w:eastAsia="宋体" w:cs="Times New Roman"/>
      <w:bCs/>
      <w:iCs/>
      <w:szCs w:val="24"/>
    </w:rPr>
  </w:style>
  <w:style w:type="paragraph" w:styleId="1010">
    <w:name w:val="xl27"/>
    <w:basedOn w:val="926"/>
    <w:next w:val="101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xl26"/>
    <w:basedOn w:val="926"/>
    <w:next w:val="1011"/>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Char"/>
    <w:basedOn w:val="926"/>
    <w:next w:val="1012"/>
    <w:link w:val="926"/>
    <w:pPr>
      <w:ind w:firstLine="200"/>
      <w:tabs>
        <w:tab w:val="left" w:pos="360" w:leader="none"/>
      </w:tabs>
    </w:pPr>
    <w:rPr>
      <w:rFonts w:ascii="Times New Roman" w:hAnsi="Times New Roman" w:eastAsia="宋体" w:cs="Times New Roman"/>
      <w:sz w:val="28"/>
      <w:szCs w:val="30"/>
    </w:rPr>
  </w:style>
  <w:style w:type="paragraph" w:styleId="1013">
    <w:name w:val=" Char"/>
    <w:basedOn w:val="951"/>
    <w:next w:val="1013"/>
    <w:link w:val="926"/>
    <w:rPr>
      <w:rFonts w:ascii="Tahoma" w:hAnsi="Tahoma"/>
      <w:sz w:val="24"/>
      <w:szCs w:val="24"/>
    </w:rPr>
  </w:style>
  <w:style w:type="paragraph" w:styleId="1014">
    <w:name w:val="普通正文"/>
    <w:basedOn w:val="926"/>
    <w:next w:val="1014"/>
    <w:link w:val="926"/>
    <w:pPr>
      <w:ind w:firstLine="480"/>
      <w:jc w:val="left"/>
      <w:spacing w:before="120" w:after="120" w:line="360" w:lineRule="auto"/>
    </w:pPr>
    <w:rPr>
      <w:rFonts w:ascii="Arial" w:hAnsi="Arial" w:eastAsia="宋体" w:cs="Times New Roman"/>
      <w:sz w:val="24"/>
      <w:szCs w:val="24"/>
    </w:rPr>
  </w:style>
  <w:style w:type="paragraph" w:styleId="1015">
    <w:name w:val="table_lines"/>
    <w:basedOn w:val="926"/>
    <w:next w:val="1015"/>
    <w:link w:val="926"/>
    <w:pPr>
      <w:jc w:val="left"/>
      <w:widowControl/>
    </w:pPr>
    <w:rPr>
      <w:rFonts w:ascii="Times New Roman" w:hAnsi="Times New Roman" w:eastAsia="宋体" w:cs="Times New Roman"/>
      <w:sz w:val="20"/>
      <w:szCs w:val="20"/>
      <w:lang w:val="de-DE" w:eastAsia="de-DE"/>
    </w:rPr>
  </w:style>
  <w:style w:type="paragraph" w:styleId="1016">
    <w:name w:val="附录1"/>
    <w:next w:val="1016"/>
    <w:link w:val="926"/>
    <w:pPr>
      <w:numPr>
        <w:ilvl w:val="0"/>
        <w:numId w:val="2"/>
      </w:numPr>
      <w:spacing w:before="240" w:line="600" w:lineRule="atLeast"/>
      <w:tabs>
        <w:tab w:val="left" w:pos="907" w:leader="none"/>
      </w:tabs>
    </w:pPr>
    <w:rPr>
      <w:b/>
      <w:i/>
      <w:sz w:val="28"/>
      <w:lang w:val="en-US" w:eastAsia="zh-CN" w:bidi="ar-SA"/>
    </w:rPr>
  </w:style>
  <w:style w:type="paragraph" w:styleId="1017">
    <w:name w:val="font7"/>
    <w:basedOn w:val="926"/>
    <w:next w:val="1017"/>
    <w:link w:val="926"/>
    <w:pPr>
      <w:jc w:val="left"/>
      <w:spacing w:before="100" w:beforeAutospacing="1" w:after="100" w:afterAutospacing="1"/>
      <w:widowControl/>
    </w:pPr>
    <w:rPr>
      <w:rFonts w:hint="eastAsia" w:ascii="宋体" w:hAnsi="宋体" w:eastAsia="宋体" w:cs="Times New Roman"/>
      <w:sz w:val="18"/>
      <w:szCs w:val="18"/>
    </w:rPr>
  </w:style>
  <w:style w:type="paragraph" w:styleId="1018">
    <w:name w:val=" Char Char Char Char"/>
    <w:basedOn w:val="951"/>
    <w:next w:val="1018"/>
    <w:link w:val="926"/>
    <w:pPr>
      <w:spacing w:line="360" w:lineRule="auto"/>
    </w:pPr>
    <w:rPr>
      <w:rFonts w:ascii="Tahoma" w:hAnsi="Tahoma"/>
      <w:sz w:val="24"/>
      <w:szCs w:val="24"/>
    </w:rPr>
  </w:style>
  <w:style w:type="paragraph" w:styleId="1019">
    <w:name w:val="列出段落"/>
    <w:basedOn w:val="926"/>
    <w:next w:val="1019"/>
    <w:link w:val="926"/>
    <w:qFormat/>
    <w:pPr>
      <w:contextualSpacing/>
      <w:ind w:left="720"/>
      <w:jc w:val="left"/>
      <w:widowControl/>
    </w:pPr>
    <w:rPr>
      <w:rFonts w:ascii="Calibri" w:hAnsi="Calibri" w:eastAsia="宋体" w:cs="Times New Roman"/>
      <w:sz w:val="24"/>
      <w:szCs w:val="24"/>
      <w:lang w:eastAsia="en-US" w:bidi="en-US"/>
    </w:rPr>
  </w:style>
  <w:style w:type="paragraph" w:styleId="1020">
    <w:name w:val="4"/>
    <w:basedOn w:val="926"/>
    <w:next w:val="982"/>
    <w:link w:val="926"/>
    <w:pPr>
      <w:ind w:firstLine="420"/>
      <w:spacing w:line="360" w:lineRule="auto"/>
    </w:pPr>
    <w:rPr>
      <w:rFonts w:ascii="Times New Roman" w:hAnsi="Times New Roman" w:eastAsia="宋体" w:cs="Times New Roman"/>
      <w:color w:val="ff0000"/>
      <w:sz w:val="24"/>
      <w:szCs w:val="24"/>
    </w:rPr>
  </w:style>
  <w:style w:type="paragraph" w:styleId="1021">
    <w:name w:val="普通 (Web)"/>
    <w:basedOn w:val="926"/>
    <w:next w:val="1021"/>
    <w:link w:val="926"/>
    <w:pPr>
      <w:jc w:val="left"/>
      <w:spacing w:before="100" w:beforeAutospacing="1" w:after="100" w:afterAutospacing="1"/>
      <w:widowControl/>
    </w:pPr>
    <w:rPr>
      <w:rFonts w:ascii="宋体" w:hAnsi="宋体" w:eastAsia="宋体" w:cs="Times New Roman"/>
      <w:sz w:val="24"/>
      <w:szCs w:val="24"/>
    </w:rPr>
  </w:style>
  <w:style w:type="paragraph" w:styleId="1022">
    <w:name w:val=" Char Char Char Char Char Char Char Char Char Char"/>
    <w:basedOn w:val="926"/>
    <w:next w:val="1022"/>
    <w:link w:val="926"/>
    <w:pPr>
      <w:spacing w:line="360" w:lineRule="auto"/>
    </w:pPr>
    <w:rPr>
      <w:rFonts w:ascii="Times New Roman" w:hAnsi="Times New Roman" w:eastAsia="宋体" w:cs="Times New Roman"/>
      <w:sz w:val="24"/>
      <w:szCs w:val="20"/>
    </w:rPr>
  </w:style>
  <w:style w:type="paragraph" w:styleId="1023">
    <w:name w:val="样式1"/>
    <w:basedOn w:val="926"/>
    <w:next w:val="1023"/>
    <w:link w:val="926"/>
    <w:pPr>
      <w:numPr>
        <w:ilvl w:val="0"/>
        <w:numId w:val="3"/>
      </w:numPr>
      <w:tabs>
        <w:tab w:val="left" w:pos="709" w:leader="none"/>
      </w:tabs>
    </w:pPr>
    <w:rPr>
      <w:rFonts w:ascii="宋体" w:hAnsi="宋体" w:eastAsia="宋体" w:cs="Times New Roman"/>
      <w:szCs w:val="21"/>
    </w:rPr>
  </w:style>
  <w:style w:type="paragraph" w:styleId="1024">
    <w:name w:val="font6"/>
    <w:basedOn w:val="926"/>
    <w:next w:val="1024"/>
    <w:link w:val="926"/>
    <w:pPr>
      <w:jc w:val="left"/>
      <w:spacing w:before="100" w:beforeAutospacing="1" w:after="100" w:afterAutospacing="1"/>
      <w:widowControl/>
    </w:pPr>
    <w:rPr>
      <w:rFonts w:hint="eastAsia" w:ascii="宋体" w:hAnsi="宋体" w:eastAsia="宋体" w:cs="Times New Roman"/>
      <w:sz w:val="28"/>
      <w:szCs w:val="28"/>
      <w:u w:val="single"/>
    </w:rPr>
  </w:style>
  <w:style w:type="paragraph" w:styleId="1025">
    <w:name w:val="xl25"/>
    <w:basedOn w:val="926"/>
    <w:next w:val="1025"/>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7">
    <w:name w:val="标题3"/>
    <w:basedOn w:val="926"/>
    <w:next w:val="926"/>
    <w:link w:val="926"/>
    <w:pPr>
      <w:ind w:firstLine="624"/>
      <w:spacing w:line="590" w:lineRule="atLeast"/>
    </w:pPr>
    <w:rPr>
      <w:rFonts w:ascii="方正黑体_GBK" w:hAnsi="Times New Roman" w:eastAsia="方正黑体_GBK" w:cs="Times New Roman"/>
      <w:sz w:val="32"/>
      <w:szCs w:val="32"/>
    </w:rPr>
  </w:style>
  <w:style w:type="paragraph" w:styleId="1028">
    <w:name w:val="xl24"/>
    <w:basedOn w:val="926"/>
    <w:next w:val="1028"/>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9">
    <w:name w:val="xl29"/>
    <w:basedOn w:val="926"/>
    <w:next w:val="1029"/>
    <w:link w:val="92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0">
    <w:name w:val="Char Char Char Char Char Char Char Char"/>
    <w:basedOn w:val="926"/>
    <w:next w:val="1030"/>
    <w:link w:val="926"/>
    <w:pPr>
      <w:jc w:val="left"/>
      <w:spacing w:after="160" w:line="240" w:lineRule="exact"/>
      <w:widowControl/>
    </w:pPr>
    <w:rPr>
      <w:rFonts w:ascii="Verdana" w:hAnsi="Verdana" w:eastAsia="宋体" w:cs="Times New Roman"/>
      <w:sz w:val="20"/>
      <w:szCs w:val="20"/>
      <w:lang w:eastAsia="en-US"/>
    </w:rPr>
  </w:style>
  <w:style w:type="paragraph" w:styleId="1031">
    <w:name w:val="xl28"/>
    <w:basedOn w:val="926"/>
    <w:next w:val="1031"/>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2">
    <w:name w:val=" Char Char Char Char Char Char Char Char"/>
    <w:basedOn w:val="926"/>
    <w:next w:val="1032"/>
    <w:link w:val="926"/>
    <w:pPr>
      <w:jc w:val="left"/>
      <w:spacing w:after="160" w:line="240" w:lineRule="exact"/>
      <w:widowControl/>
    </w:pPr>
    <w:rPr>
      <w:rFonts w:ascii="Verdana" w:hAnsi="Verdana" w:eastAsia="宋体" w:cs="Times New Roman"/>
      <w:sz w:val="20"/>
      <w:szCs w:val="20"/>
      <w:lang w:eastAsia="en-US"/>
    </w:rPr>
  </w:style>
  <w:style w:type="paragraph" w:styleId="1033">
    <w:name w:val="xl30"/>
    <w:basedOn w:val="926"/>
    <w:next w:val="1033"/>
    <w:link w:val="926"/>
    <w:pPr>
      <w:jc w:val="center"/>
      <w:spacing w:before="100" w:beforeAutospacing="1" w:after="100" w:afterAutospacing="1"/>
      <w:widowControl/>
    </w:pPr>
    <w:rPr>
      <w:rFonts w:ascii="宋体" w:hAnsi="宋体" w:eastAsia="宋体" w:cs="Times New Roman"/>
      <w:b/>
      <w:bCs/>
      <w:sz w:val="36"/>
      <w:szCs w:val="36"/>
    </w:rPr>
  </w:style>
  <w:style w:type="paragraph" w:styleId="1034">
    <w:name w:val="Char Char Char Char"/>
    <w:basedOn w:val="951"/>
    <w:next w:val="1034"/>
    <w:link w:val="926"/>
    <w:pPr>
      <w:spacing w:line="360" w:lineRule="auto"/>
    </w:pPr>
    <w:rPr>
      <w:rFonts w:ascii="Tahoma" w:hAnsi="Tahoma"/>
      <w:sz w:val="24"/>
      <w:szCs w:val="24"/>
    </w:rPr>
  </w:style>
  <w:style w:type="paragraph" w:styleId="1035">
    <w:name w:val="table_1stline"/>
    <w:basedOn w:val="926"/>
    <w:next w:val="1035"/>
    <w:link w:val="926"/>
    <w:pPr>
      <w:jc w:val="left"/>
      <w:spacing w:before="120"/>
      <w:widowControl/>
    </w:pPr>
    <w:rPr>
      <w:rFonts w:ascii="Times New Roman" w:hAnsi="Times New Roman" w:eastAsia="宋体" w:cs="Times New Roman"/>
      <w:bCs/>
      <w:sz w:val="20"/>
      <w:szCs w:val="20"/>
      <w:lang w:val="de-DE" w:eastAsia="de-DE"/>
    </w:rPr>
  </w:style>
  <w:style w:type="paragraph" w:styleId="1036">
    <w:name w:val="font5"/>
    <w:basedOn w:val="926"/>
    <w:next w:val="1036"/>
    <w:link w:val="926"/>
    <w:pPr>
      <w:jc w:val="left"/>
      <w:spacing w:before="100" w:beforeAutospacing="1" w:after="100" w:afterAutospacing="1"/>
      <w:widowControl/>
    </w:pPr>
    <w:rPr>
      <w:rFonts w:hint="eastAsia" w:ascii="宋体" w:hAnsi="宋体" w:eastAsia="宋体" w:cs="Times New Roman"/>
      <w:sz w:val="28"/>
      <w:szCs w:val="28"/>
    </w:rPr>
  </w:style>
  <w:style w:type="paragraph" w:styleId="1037">
    <w:name w:val="标题1"/>
    <w:basedOn w:val="926"/>
    <w:next w:val="926"/>
    <w:link w:val="92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8">
    <w:name w:val="修订"/>
    <w:next w:val="1038"/>
    <w:link w:val="926"/>
    <w:uiPriority w:val="99"/>
    <w:semiHidden/>
    <w:rPr>
      <w:sz w:val="21"/>
      <w:szCs w:val="21"/>
      <w:lang w:val="en-US" w:eastAsia="zh-CN" w:bidi="ar-SA"/>
    </w:rPr>
  </w:style>
  <w:style w:type="paragraph" w:styleId="1039">
    <w:name w:val="无间隔"/>
    <w:next w:val="1039"/>
    <w:link w:val="926"/>
    <w:uiPriority w:val="99"/>
    <w:qFormat/>
    <w:pPr>
      <w:jc w:val="both"/>
      <w:widowControl w:val="off"/>
    </w:pPr>
    <w:rPr>
      <w:sz w:val="21"/>
      <w:szCs w:val="21"/>
      <w:lang w:val="en-US" w:eastAsia="zh-CN" w:bidi="ar-SA"/>
    </w:rPr>
  </w:style>
  <w:style w:type="paragraph" w:styleId="1040">
    <w:name w:val="AONormal"/>
    <w:next w:val="1040"/>
    <w:link w:val="926"/>
    <w:qFormat/>
    <w:pPr>
      <w:ind w:firstLine="440"/>
      <w:spacing w:line="400" w:lineRule="exact"/>
    </w:pPr>
    <w:rPr>
      <w:rFonts w:ascii="华文楷体" w:hAnsi="华文楷体" w:eastAsia="华文楷体" w:cs="华文楷体"/>
      <w:sz w:val="22"/>
      <w:szCs w:val="21"/>
      <w:lang w:val="en-US" w:eastAsia="zh-CN" w:bidi="ar-SA"/>
    </w:rPr>
  </w:style>
  <w:style w:type="paragraph" w:styleId="1041">
    <w:name w:val="正文文本11"/>
    <w:basedOn w:val="926"/>
    <w:next w:val="926"/>
    <w:link w:val="926"/>
    <w:pPr>
      <w:ind w:left="0" w:right="0"/>
      <w:jc w:val="both"/>
      <w:keepLines w:val="0"/>
      <w:keepNext w:val="0"/>
      <w:spacing w:before="0" w:beforeAutospacing="0" w:after="0" w:afterAutospacing="0"/>
      <w:widowControl w:val="off"/>
      <w:suppressLineNumbers w:val="0"/>
    </w:pPr>
    <w:rPr>
      <w:rFonts w:hint="eastAsia" w:ascii="楷体_GB2312" w:hAnsi="Arial" w:eastAsia="楷体_GB2312" w:cs="Times New Roman"/>
      <w:color w:val="000000"/>
      <w:sz w:val="28"/>
      <w:szCs w:val="28"/>
      <w:lang w:val="en-US" w:eastAsia="zh-CN" w:bidi="ar"/>
    </w:rPr>
  </w:style>
  <w:style w:type="paragraph" w:styleId="1042">
    <w:name w:val="*正文"/>
    <w:basedOn w:val="926"/>
    <w:next w:val="1042"/>
    <w:link w:val="926"/>
    <w:pPr>
      <w:ind w:left="0" w:right="0" w:firstLine="480"/>
      <w:jc w:val="both"/>
      <w:keepLines w:val="0"/>
      <w:keepNext w:val="0"/>
      <w:spacing w:before="0" w:beforeAutospacing="0" w:after="0" w:afterAutospacing="0"/>
      <w:widowControl w:val="off"/>
      <w:suppressLineNumbers w:val="0"/>
    </w:pPr>
    <w:rPr>
      <w:rFonts w:hint="eastAsia" w:ascii="宋体" w:hAnsi="宋体" w:eastAsia="宋体" w:cs="Times New Roman"/>
      <w:color w:val="000000"/>
      <w:sz w:val="21"/>
      <w:szCs w:val="24"/>
      <w:lang w:val="en-US" w:eastAsia="zh-CN" w:bidi="ar"/>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严晓薇</cp:lastModifiedBy>
  <cp:revision>5</cp:revision>
  <dcterms:created xsi:type="dcterms:W3CDTF">2023-03-27T07:28:00Z</dcterms:created>
  <dcterms:modified xsi:type="dcterms:W3CDTF">2026-09-23T02:53:18Z</dcterms:modified>
</cp:coreProperties>
</file>