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907"/>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spacing w:line="360" w:lineRule="auto"/>
        <w:rPr>
          <w:rFonts w:hint="eastAsia" w:ascii="宋体" w:hAnsi="宋体" w:eastAsia="宋体" w:cs="宋体"/>
          <w:bCs/>
          <w:color w:val="000000" w:themeColor="text1"/>
          <w:sz w:val="84"/>
          <w:szCs w:val="84"/>
          <w14:textFill>
            <w14:solidFill>
              <w14:schemeClr w14:val="tx1"/>
            </w14:solidFill>
          </w14:textFill>
        </w:rPr>
      </w:pPr>
      <w:r>
        <w:rPr>
          <w:rFonts w:hint="eastAsia" w:ascii="宋体" w:hAnsi="宋体" w:eastAsia="宋体" w:cs="宋体"/>
          <w:bCs/>
          <w:color w:val="000000" w:themeColor="text1"/>
          <w:sz w:val="84"/>
          <w:szCs w:val="84"/>
          <w14:textFill>
            <w14:solidFill>
              <w14:schemeClr w14:val="tx1"/>
            </w14:solidFill>
          </w14:textFill>
        </w:rPr>
        <w:t xml:space="preserve">招　标　文　件</w:t>
      </w:r>
      <w:r/>
    </w:p>
    <w:p>
      <w:pPr>
        <w:ind w:firstLine="2240"/>
        <w:jc w:val="left"/>
        <w:spacing w:line="360" w:lineRule="auto"/>
        <w:rPr>
          <w:rFonts w:hint="eastAsia" w:ascii="宋体" w:hAnsi="宋体" w:eastAsia="宋体" w:cs="宋体"/>
          <w:bCs/>
          <w:color w:val="000000" w:themeColor="text1"/>
          <w:sz w:val="32"/>
          <w:szCs w:val="24"/>
          <w14:textFill>
            <w14:solidFill>
              <w14:schemeClr w14:val="tx1"/>
            </w14:solidFill>
          </w14:textFill>
        </w:rPr>
      </w:pPr>
      <w:r>
        <w:rPr>
          <w:rFonts w:hint="eastAsia" w:ascii="宋体" w:hAnsi="宋体" w:eastAsia="宋体" w:cs="宋体"/>
          <w:bCs/>
          <w:color w:val="000000" w:themeColor="text1"/>
          <w:sz w:val="32"/>
          <w:szCs w:val="24"/>
          <w14:textFill>
            <w14:solidFill>
              <w14:schemeClr w14:val="tx1"/>
            </w14:solidFill>
          </w14:textFill>
        </w:rPr>
      </w:r>
      <w:r/>
    </w:p>
    <w:p>
      <w:pPr>
        <w:ind w:firstLine="2240"/>
        <w:jc w:val="left"/>
        <w:spacing w:line="360" w:lineRule="auto"/>
        <w:rPr>
          <w:rFonts w:hint="eastAsia" w:ascii="宋体" w:hAnsi="宋体" w:eastAsia="宋体" w:cs="宋体"/>
          <w:bCs/>
          <w:color w:val="000000" w:themeColor="text1"/>
          <w:sz w:val="32"/>
          <w:szCs w:val="24"/>
          <w14:textFill>
            <w14:solidFill>
              <w14:schemeClr w14:val="tx1"/>
            </w14:solidFill>
          </w14:textFill>
        </w:rPr>
      </w:pPr>
      <w:r>
        <w:rPr>
          <w:rFonts w:hint="eastAsia" w:ascii="宋体" w:hAnsi="宋体" w:eastAsia="宋体" w:cs="宋体"/>
          <w:bCs/>
          <w:color w:val="000000" w:themeColor="text1"/>
          <w:sz w:val="32"/>
          <w:szCs w:val="24"/>
          <w14:textFill>
            <w14:solidFill>
              <w14:schemeClr w14:val="tx1"/>
            </w14:solidFill>
          </w14:textFill>
        </w:rPr>
      </w:r>
      <w:r/>
    </w:p>
    <w:p>
      <w:pPr>
        <w:ind w:firstLine="2240"/>
        <w:jc w:val="left"/>
        <w:spacing w:line="360" w:lineRule="auto"/>
        <w:rPr>
          <w:rFonts w:hint="eastAsia" w:ascii="宋体" w:hAnsi="宋体" w:eastAsia="宋体" w:cs="宋体"/>
          <w:bCs/>
          <w:color w:val="000000" w:themeColor="text1"/>
          <w:sz w:val="32"/>
          <w:szCs w:val="24"/>
          <w14:textFill>
            <w14:solidFill>
              <w14:schemeClr w14:val="tx1"/>
            </w14:solidFill>
          </w14:textFill>
        </w:rPr>
      </w:pPr>
      <w:r>
        <w:rPr>
          <w:rFonts w:hint="eastAsia" w:ascii="宋体" w:hAnsi="宋体" w:eastAsia="宋体" w:cs="宋体"/>
          <w:bCs/>
          <w:color w:val="000000" w:themeColor="text1"/>
          <w:sz w:val="32"/>
          <w:szCs w:val="24"/>
          <w14:textFill>
            <w14:solidFill>
              <w14:schemeClr w14:val="tx1"/>
            </w14:solidFill>
          </w14:textFill>
        </w:rPr>
      </w:r>
      <w:r/>
    </w:p>
    <w:p>
      <w:pPr>
        <w:pStyle w:val="907"/>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r>
      <w:r/>
    </w:p>
    <w:p>
      <w:pPr>
        <w:ind w:firstLine="2240"/>
        <w:jc w:val="left"/>
        <w:spacing w:line="360" w:lineRule="auto"/>
        <w:rPr>
          <w:rFonts w:hint="eastAsia" w:ascii="宋体" w:hAnsi="宋体" w:eastAsia="宋体" w:cs="宋体"/>
          <w:bCs/>
          <w:color w:val="000000" w:themeColor="text1"/>
          <w:sz w:val="32"/>
          <w:szCs w:val="24"/>
          <w14:textFill>
            <w14:solidFill>
              <w14:schemeClr w14:val="tx1"/>
            </w14:solidFill>
          </w14:textFill>
        </w:rPr>
      </w:pPr>
      <w:r>
        <w:rPr>
          <w:rFonts w:hint="eastAsia" w:ascii="宋体" w:hAnsi="宋体" w:eastAsia="宋体" w:cs="宋体"/>
          <w:bCs/>
          <w:color w:val="000000" w:themeColor="text1"/>
          <w:sz w:val="32"/>
          <w:szCs w:val="24"/>
          <w14:textFill>
            <w14:solidFill>
              <w14:schemeClr w14:val="tx1"/>
            </w14:solidFill>
          </w14:textFill>
        </w:rPr>
      </w:r>
      <w:r/>
    </w:p>
    <w:p>
      <w:pPr>
        <w:ind w:firstLine="1063"/>
        <w:spacing w:line="480" w:lineRule="auto"/>
        <w:rPr>
          <w:rFonts w:hint="eastAsia" w:ascii="宋体" w:hAnsi="宋体" w:eastAsia="宋体" w:cs="宋体"/>
          <w:b/>
          <w:bCs/>
          <w:color w:val="000000" w:themeColor="text1"/>
          <w:sz w:val="32"/>
          <w:szCs w:val="24"/>
          <w14:textFill>
            <w14:solidFill>
              <w14:schemeClr w14:val="tx1"/>
            </w14:solidFill>
          </w14:textFill>
        </w:rPr>
      </w:pPr>
      <w:r>
        <w:rPr>
          <w:rFonts w:hint="eastAsia" w:ascii="宋体" w:hAnsi="宋体" w:eastAsia="宋体" w:cs="宋体"/>
          <w:b/>
          <w:bCs/>
          <w:color w:val="000000" w:themeColor="text1"/>
          <w:sz w:val="32"/>
          <w:szCs w:val="24"/>
          <w14:textFill>
            <w14:solidFill>
              <w14:schemeClr w14:val="tx1"/>
            </w14:solidFill>
          </w14:textFill>
        </w:rPr>
        <w:t xml:space="preserve">项目名称：</w:t>
      </w:r>
      <w:bookmarkStart w:id="0" w:name="OLE_LINK3"/>
      <w:r>
        <w:rPr>
          <w:rFonts w:hint="eastAsia" w:ascii="宋体" w:hAnsi="宋体" w:eastAsia="宋体" w:cs="宋体"/>
          <w:b/>
          <w:bCs/>
          <w:color w:val="000000" w:themeColor="text1"/>
          <w:sz w:val="32"/>
          <w:szCs w:val="24"/>
          <w14:textFill>
            <w14:solidFill>
              <w14:schemeClr w14:val="tx1"/>
            </w14:solidFill>
          </w14:textFill>
        </w:rPr>
        <w:t xml:space="preserve">多元化人工智能实验室项目</w:t>
      </w:r>
      <w:bookmarkEnd w:id="0"/>
      <w:r/>
      <w:r/>
    </w:p>
    <w:p>
      <w:pPr>
        <w:ind w:firstLine="1063"/>
        <w:spacing w:line="480" w:lineRule="auto"/>
        <w:rPr>
          <w:rFonts w:hint="eastAsia" w:ascii="宋体" w:hAnsi="宋体" w:eastAsia="宋体" w:cs="宋体"/>
          <w:bCs/>
          <w:color w:val="000000" w:themeColor="text1"/>
          <w:sz w:val="44"/>
          <w:szCs w:val="21"/>
          <w14:textFill>
            <w14:solidFill>
              <w14:schemeClr w14:val="tx1"/>
            </w14:solidFill>
          </w14:textFill>
        </w:rPr>
      </w:pPr>
      <w:r>
        <w:rPr>
          <w:rFonts w:hint="eastAsia" w:ascii="宋体" w:hAnsi="宋体" w:eastAsia="宋体" w:cs="宋体"/>
          <w:b/>
          <w:bCs/>
          <w:color w:val="000000" w:themeColor="text1"/>
          <w:sz w:val="32"/>
          <w:szCs w:val="24"/>
          <w14:textFill>
            <w14:solidFill>
              <w14:schemeClr w14:val="tx1"/>
            </w14:solidFill>
          </w14:textFill>
        </w:rPr>
        <w:t xml:space="preserve">项目编号：JSZC-320723-JZCG-G2026-0030 </w:t>
      </w:r>
      <w:r/>
    </w:p>
    <w:p>
      <w:pPr>
        <w:spacing w:line="360" w:lineRule="auto"/>
        <w:rPr>
          <w:rFonts w:hint="eastAsia" w:ascii="宋体" w:hAnsi="宋体" w:eastAsia="宋体" w:cs="宋体"/>
          <w:bCs/>
          <w:color w:val="000000" w:themeColor="text1"/>
          <w:sz w:val="44"/>
          <w:szCs w:val="21"/>
          <w14:textFill>
            <w14:solidFill>
              <w14:schemeClr w14:val="tx1"/>
            </w14:solidFill>
          </w14:textFill>
        </w:rPr>
      </w:pPr>
      <w:r>
        <w:rPr>
          <w:rFonts w:hint="eastAsia" w:ascii="宋体" w:hAnsi="宋体" w:eastAsia="宋体" w:cs="宋体"/>
          <w:bCs/>
          <w:color w:val="000000" w:themeColor="text1"/>
          <w:sz w:val="44"/>
          <w:szCs w:val="21"/>
          <w14:textFill>
            <w14:solidFill>
              <w14:schemeClr w14:val="tx1"/>
            </w14:solidFill>
          </w14:textFill>
        </w:rPr>
      </w:r>
      <w:r/>
    </w:p>
    <w:p>
      <w:pPr>
        <w:jc w:val="center"/>
        <w:spacing w:line="360" w:lineRule="auto"/>
        <w:rPr>
          <w:rFonts w:hint="eastAsia" w:ascii="宋体" w:hAnsi="宋体" w:eastAsia="宋体" w:cs="宋体"/>
          <w:bCs/>
          <w:color w:val="000000" w:themeColor="text1"/>
          <w:sz w:val="44"/>
          <w:szCs w:val="21"/>
          <w14:textFill>
            <w14:solidFill>
              <w14:schemeClr w14:val="tx1"/>
            </w14:solidFill>
          </w14:textFill>
        </w:rPr>
      </w:pPr>
      <w:r>
        <w:rPr>
          <w:rFonts w:hint="eastAsia" w:ascii="宋体" w:hAnsi="宋体" w:eastAsia="宋体" w:cs="宋体"/>
          <w:bCs/>
          <w:color w:val="000000" w:themeColor="text1"/>
          <w:sz w:val="44"/>
          <w:szCs w:val="21"/>
          <w14:textFill>
            <w14:solidFill>
              <w14:schemeClr w14:val="tx1"/>
            </w14:solidFill>
          </w14:textFill>
        </w:rPr>
      </w:r>
      <w:r/>
    </w:p>
    <w:p>
      <w:pPr>
        <w:pStyle w:val="862"/>
        <w:rPr>
          <w:rFonts w:hint="eastAsia" w:ascii="宋体" w:hAnsi="宋体" w:eastAsia="宋体" w:cs="宋体"/>
          <w:bCs/>
          <w:color w:val="000000" w:themeColor="text1"/>
          <w:sz w:val="44"/>
          <w:szCs w:val="21"/>
          <w14:textFill>
            <w14:solidFill>
              <w14:schemeClr w14:val="tx1"/>
            </w14:solidFill>
          </w14:textFill>
        </w:rPr>
      </w:pPr>
      <w:r>
        <w:rPr>
          <w:rFonts w:hint="eastAsia" w:ascii="宋体" w:hAnsi="宋体" w:eastAsia="宋体" w:cs="宋体"/>
          <w:bCs/>
          <w:color w:val="000000" w:themeColor="text1"/>
          <w:sz w:val="44"/>
          <w:szCs w:val="21"/>
          <w14:textFill>
            <w14:solidFill>
              <w14:schemeClr w14:val="tx1"/>
            </w14:solidFill>
          </w14:textFill>
        </w:rPr>
      </w:r>
      <w:r/>
    </w:p>
    <w:p>
      <w:pPr>
        <w:pStyle w:val="862"/>
        <w:rPr>
          <w:rFonts w:hint="eastAsia" w:ascii="宋体" w:hAnsi="宋体" w:eastAsia="宋体" w:cs="宋体"/>
          <w:bCs/>
          <w:color w:val="000000" w:themeColor="text1"/>
          <w:sz w:val="44"/>
          <w:szCs w:val="21"/>
          <w14:textFill>
            <w14:solidFill>
              <w14:schemeClr w14:val="tx1"/>
            </w14:solidFill>
          </w14:textFill>
        </w:rPr>
      </w:pPr>
      <w:r>
        <w:rPr>
          <w:rFonts w:hint="eastAsia" w:ascii="宋体" w:hAnsi="宋体" w:eastAsia="宋体" w:cs="宋体"/>
          <w:bCs/>
          <w:color w:val="000000" w:themeColor="text1"/>
          <w:sz w:val="44"/>
          <w:szCs w:val="21"/>
          <w14:textFill>
            <w14:solidFill>
              <w14:schemeClr w14:val="tx1"/>
            </w14:solidFill>
          </w14:textFill>
        </w:rPr>
      </w:r>
      <w:r/>
    </w:p>
    <w:p>
      <w:pPr>
        <w:pStyle w:val="862"/>
        <w:rPr>
          <w:rFonts w:hint="eastAsia" w:ascii="宋体" w:hAnsi="宋体" w:eastAsia="宋体" w:cs="宋体"/>
          <w:bCs/>
          <w:color w:val="000000" w:themeColor="text1"/>
          <w:sz w:val="44"/>
          <w:szCs w:val="21"/>
          <w14:textFill>
            <w14:solidFill>
              <w14:schemeClr w14:val="tx1"/>
            </w14:solidFill>
          </w14:textFill>
        </w:rPr>
      </w:pPr>
      <w:r>
        <w:rPr>
          <w:rFonts w:hint="eastAsia" w:ascii="宋体" w:hAnsi="宋体" w:eastAsia="宋体" w:cs="宋体"/>
          <w:bCs/>
          <w:color w:val="000000" w:themeColor="text1"/>
          <w:sz w:val="44"/>
          <w:szCs w:val="21"/>
          <w14:textFill>
            <w14:solidFill>
              <w14:schemeClr w14:val="tx1"/>
            </w14:solidFill>
          </w14:textFill>
        </w:rPr>
      </w:r>
      <w:r/>
    </w:p>
    <w:p>
      <w:pPr>
        <w:pStyle w:val="862"/>
        <w:rPr>
          <w:rFonts w:hint="eastAsia" w:ascii="宋体" w:hAnsi="宋体" w:eastAsia="宋体" w:cs="宋体"/>
          <w:bCs/>
          <w:color w:val="000000" w:themeColor="text1"/>
          <w:sz w:val="44"/>
          <w:szCs w:val="21"/>
          <w14:textFill>
            <w14:solidFill>
              <w14:schemeClr w14:val="tx1"/>
            </w14:solidFill>
          </w14:textFill>
        </w:rPr>
      </w:pPr>
      <w:r>
        <w:rPr>
          <w:rFonts w:hint="eastAsia" w:ascii="宋体" w:hAnsi="宋体" w:eastAsia="宋体" w:cs="宋体"/>
          <w:bCs/>
          <w:color w:val="000000" w:themeColor="text1"/>
          <w:sz w:val="44"/>
          <w:szCs w:val="21"/>
          <w14:textFill>
            <w14:solidFill>
              <w14:schemeClr w14:val="tx1"/>
            </w14:solidFill>
          </w14:textFill>
        </w:rPr>
      </w:r>
      <w:r/>
    </w:p>
    <w:p>
      <w:pPr>
        <w:jc w:val="center"/>
        <w:spacing w:before="120" w:after="120" w:line="360" w:lineRule="auto"/>
        <w:rPr>
          <w:rFonts w:hint="eastAsia" w:ascii="宋体" w:hAnsi="宋体" w:eastAsia="宋体" w:cs="宋体"/>
          <w:bCs/>
          <w:color w:val="000000" w:themeColor="text1"/>
          <w:sz w:val="32"/>
          <w:szCs w:val="24"/>
          <w14:textFill>
            <w14:solidFill>
              <w14:schemeClr w14:val="tx1"/>
            </w14:solidFill>
          </w14:textFill>
        </w:rPr>
      </w:pPr>
      <w:r>
        <w:rPr>
          <w:rFonts w:hint="eastAsia" w:ascii="宋体" w:hAnsi="宋体" w:eastAsia="宋体" w:cs="宋体"/>
          <w:bCs/>
          <w:color w:val="000000" w:themeColor="text1"/>
          <w:sz w:val="32"/>
          <w:szCs w:val="24"/>
          <w14:textFill>
            <w14:solidFill>
              <w14:schemeClr w14:val="tx1"/>
            </w14:solidFill>
          </w14:textFill>
        </w:rPr>
        <w:t xml:space="preserve">灌云县政府采购中心</w:t>
      </w:r>
      <w:r/>
    </w:p>
    <w:p>
      <w:pPr>
        <w:jc w:val="center"/>
        <w:spacing w:before="120" w:after="120" w:line="360" w:lineRule="auto"/>
        <w:rPr>
          <w:rFonts w:hint="eastAsia" w:ascii="宋体" w:hAnsi="宋体" w:eastAsia="宋体" w:cs="宋体"/>
          <w:bCs/>
          <w:color w:val="000000" w:themeColor="text1"/>
          <w:sz w:val="32"/>
          <w:szCs w:val="24"/>
          <w14:textFill>
            <w14:solidFill>
              <w14:schemeClr w14:val="tx1"/>
            </w14:solidFill>
          </w14:textFill>
        </w:rPr>
      </w:pPr>
      <w:r>
        <w:rPr>
          <w:rFonts w:hint="eastAsia" w:ascii="宋体" w:hAnsi="宋体" w:eastAsia="宋体" w:cs="宋体"/>
          <w:bCs/>
          <w:color w:val="000000" w:themeColor="text1"/>
          <w:sz w:val="32"/>
          <w:szCs w:val="24"/>
          <w14:textFill>
            <w14:solidFill>
              <w14:schemeClr w14:val="tx1"/>
            </w14:solidFill>
          </w14:textFill>
        </w:rPr>
        <w:t xml:space="preserve">2026年</w:t>
      </w:r>
      <w:r>
        <w:rPr>
          <w:rFonts w:hint="eastAsia" w:ascii="宋体" w:hAnsi="宋体" w:eastAsia="宋体" w:cs="宋体"/>
          <w:bCs/>
          <w:color w:val="000000" w:themeColor="text1"/>
          <w:sz w:val="32"/>
          <w:szCs w:val="24"/>
          <w:lang w:val="en-US" w:eastAsia="zh-CN"/>
          <w14:textFill>
            <w14:solidFill>
              <w14:schemeClr w14:val="tx1"/>
            </w14:solidFill>
          </w14:textFill>
        </w:rPr>
        <w:t xml:space="preserve">9</w:t>
      </w:r>
      <w:r>
        <w:rPr>
          <w:rFonts w:hint="eastAsia" w:ascii="宋体" w:hAnsi="宋体" w:eastAsia="宋体" w:cs="宋体"/>
          <w:bCs/>
          <w:color w:val="000000" w:themeColor="text1"/>
          <w:sz w:val="32"/>
          <w:szCs w:val="24"/>
          <w14:textFill>
            <w14:solidFill>
              <w14:schemeClr w14:val="tx1"/>
            </w14:solidFill>
          </w14:textFill>
        </w:rPr>
        <w:t xml:space="preserve">月</w:t>
      </w:r>
      <w:r/>
    </w:p>
    <w:p>
      <w:pPr>
        <w:jc w:val="center"/>
        <w:spacing w:before="120" w:after="120" w:line="360" w:lineRule="auto"/>
        <w:rPr>
          <w:rFonts w:hint="eastAsia" w:ascii="宋体" w:hAnsi="宋体" w:eastAsia="宋体" w:cs="宋体"/>
          <w:color w:val="000000" w:themeColor="text1"/>
          <w14:textFill>
            <w14:solidFill>
              <w14:schemeClr w14:val="tx1"/>
            </w14:solidFill>
          </w14:textFill>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jc w:val="center"/>
        <w:spacing w:before="120" w:after="12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TOC \o "1-1" \u </w:instrText>
      </w:r>
      <w:r>
        <w:rPr>
          <w:rFonts w:hint="eastAsia" w:ascii="宋体" w:hAnsi="宋体" w:eastAsia="宋体" w:cs="宋体"/>
          <w:color w:val="000000" w:themeColor="text1"/>
          <w14:textFill>
            <w14:solidFill>
              <w14:schemeClr w14:val="tx1"/>
            </w14:solidFill>
          </w14:textFill>
        </w:rPr>
        <w:fldChar w:fldCharType="separate"/>
      </w:r>
      <w:r/>
    </w:p>
    <w:p>
      <w:pPr>
        <w:pStyle w:val="864"/>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目  录</w:t>
      </w:r>
      <w:r/>
    </w:p>
    <w:p>
      <w:pPr>
        <w:pStyle w:val="864"/>
        <w:spacing w:line="360" w:lineRule="auto"/>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 xml:space="preserve">第一章投标邀请</w:t>
      </w:r>
      <w:r>
        <w:rPr>
          <w:rFonts w:hint="eastAsia" w:ascii="宋体" w:hAnsi="宋体" w:eastAsia="宋体" w:cs="宋体"/>
          <w:color w:val="000000" w:themeColor="text1"/>
          <w:sz w:val="36"/>
          <w:szCs w:val="36"/>
          <w14:textFill>
            <w14:solidFill>
              <w14:schemeClr w14:val="tx1"/>
            </w14:solidFill>
          </w14:textFill>
        </w:rPr>
        <w:tab/>
      </w:r>
      <w:r/>
    </w:p>
    <w:p>
      <w:pPr>
        <w:pStyle w:val="864"/>
        <w:spacing w:line="360" w:lineRule="auto"/>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 xml:space="preserve">第二章投标人须知</w:t>
      </w:r>
      <w:r>
        <w:rPr>
          <w:rFonts w:hint="eastAsia" w:ascii="宋体" w:hAnsi="宋体" w:eastAsia="宋体" w:cs="宋体"/>
          <w:color w:val="000000" w:themeColor="text1"/>
          <w:sz w:val="36"/>
          <w:szCs w:val="36"/>
          <w14:textFill>
            <w14:solidFill>
              <w14:schemeClr w14:val="tx1"/>
            </w14:solidFill>
          </w14:textFill>
        </w:rPr>
        <w:tab/>
      </w:r>
      <w:r/>
    </w:p>
    <w:p>
      <w:pPr>
        <w:pStyle w:val="864"/>
        <w:spacing w:line="360" w:lineRule="auto"/>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 xml:space="preserve">第三章合同文本</w:t>
      </w:r>
      <w:r>
        <w:rPr>
          <w:rFonts w:hint="eastAsia" w:ascii="宋体" w:hAnsi="宋体" w:eastAsia="宋体" w:cs="宋体"/>
          <w:color w:val="000000" w:themeColor="text1"/>
          <w:sz w:val="36"/>
          <w:szCs w:val="36"/>
          <w14:textFill>
            <w14:solidFill>
              <w14:schemeClr w14:val="tx1"/>
            </w14:solidFill>
          </w14:textFill>
        </w:rPr>
        <w:tab/>
      </w:r>
      <w:r/>
    </w:p>
    <w:p>
      <w:pPr>
        <w:pStyle w:val="864"/>
        <w:spacing w:line="360" w:lineRule="auto"/>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 xml:space="preserve">第四章采购需求</w:t>
      </w:r>
      <w:r>
        <w:rPr>
          <w:rFonts w:hint="eastAsia" w:ascii="宋体" w:hAnsi="宋体" w:eastAsia="宋体" w:cs="宋体"/>
          <w:color w:val="000000" w:themeColor="text1"/>
          <w:sz w:val="36"/>
          <w:szCs w:val="36"/>
          <w14:textFill>
            <w14:solidFill>
              <w14:schemeClr w14:val="tx1"/>
            </w14:solidFill>
          </w14:textFill>
        </w:rPr>
        <w:tab/>
      </w:r>
      <w:r/>
    </w:p>
    <w:p>
      <w:pPr>
        <w:pStyle w:val="864"/>
        <w:spacing w:line="360" w:lineRule="auto"/>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 xml:space="preserve">第五章评标方法与评标标准</w:t>
      </w:r>
      <w:r>
        <w:rPr>
          <w:rFonts w:hint="eastAsia" w:ascii="宋体" w:hAnsi="宋体" w:eastAsia="宋体" w:cs="宋体"/>
          <w:color w:val="000000" w:themeColor="text1"/>
          <w:sz w:val="36"/>
          <w:szCs w:val="36"/>
          <w14:textFill>
            <w14:solidFill>
              <w14:schemeClr w14:val="tx1"/>
            </w14:solidFill>
          </w14:textFill>
        </w:rPr>
        <w:tab/>
      </w:r>
      <w:r/>
    </w:p>
    <w:p>
      <w:pPr>
        <w:pStyle w:val="864"/>
        <w:spacing w:line="360" w:lineRule="auto"/>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 xml:space="preserve">第六章投标文件格式</w:t>
      </w:r>
      <w:r>
        <w:rPr>
          <w:rFonts w:hint="eastAsia" w:ascii="宋体" w:hAnsi="宋体" w:eastAsia="宋体" w:cs="宋体"/>
          <w:color w:val="000000" w:themeColor="text1"/>
          <w:sz w:val="36"/>
          <w:szCs w:val="36"/>
          <w14:textFill>
            <w14:solidFill>
              <w14:schemeClr w14:val="tx1"/>
            </w14:solidFill>
          </w14:textFill>
        </w:rPr>
        <w:tab/>
      </w:r>
      <w:r/>
    </w:p>
    <w:p>
      <w:pPr>
        <w:jc w:val="center"/>
        <w:spacing w:line="360" w:lineRule="auto"/>
        <w:widowControl/>
        <w:rPr>
          <w:rFonts w:hint="eastAsia" w:ascii="宋体" w:hAnsi="宋体" w:eastAsia="宋体" w:cs="宋体"/>
          <w:color w:val="000000" w:themeColor="text1"/>
          <w14:textFill>
            <w14:solidFill>
              <w14:schemeClr w14:val="tx1"/>
            </w14:solidFill>
          </w14:textFill>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outlineLvl w:val="0"/>
      </w:pPr>
      <w:r>
        <w:rPr>
          <w:rFonts w:hint="eastAsia" w:ascii="宋体" w:hAnsi="宋体" w:eastAsia="宋体" w:cs="宋体"/>
          <w:color w:val="000000" w:themeColor="text1"/>
          <w14:textFill>
            <w14:solidFill>
              <w14:schemeClr w14:val="tx1"/>
            </w14:solidFill>
          </w14:textFill>
        </w:rPr>
        <w:fldChar w:fldCharType="end"/>
      </w:r>
      <w:bookmarkStart w:id="1" w:name="_Toc165205794"/>
      <w:r/>
      <w:r/>
    </w:p>
    <w:p>
      <w:pPr>
        <w:jc w:val="center"/>
        <w:spacing w:line="360" w:lineRule="auto"/>
        <w:widowControl/>
        <w:rPr>
          <w:rFonts w:hint="eastAsia" w:ascii="宋体" w:hAnsi="宋体" w:eastAsia="宋体" w:cs="宋体"/>
          <w:b/>
          <w:color w:val="000000" w:themeColor="text1"/>
          <w:sz w:val="40"/>
          <w:szCs w:val="44"/>
          <w14:textFill>
            <w14:solidFill>
              <w14:schemeClr w14:val="tx1"/>
            </w14:solidFill>
          </w14:textFill>
        </w:rPr>
        <w:outlineLvl w:val="0"/>
      </w:pPr>
      <w:r>
        <w:rPr>
          <w:rFonts w:hint="eastAsia" w:ascii="宋体" w:hAnsi="宋体" w:eastAsia="宋体" w:cs="宋体"/>
          <w:b/>
          <w:color w:val="000000" w:themeColor="text1"/>
          <w:sz w:val="40"/>
          <w:szCs w:val="44"/>
          <w14:textFill>
            <w14:solidFill>
              <w14:schemeClr w14:val="tx1"/>
            </w14:solidFill>
          </w14:textFill>
        </w:rPr>
        <w:t xml:space="preserve">第一章  投标邀请</w:t>
      </w:r>
      <w:bookmarkEnd w:id="1"/>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w:t>
      </w:r>
      <w:r>
        <w:rPr>
          <w:rFonts w:hint="eastAsia" w:ascii="宋体" w:hAnsi="宋体" w:eastAsia="宋体" w:cs="宋体"/>
          <w:color w:val="000000" w:themeColor="text1"/>
          <w:sz w:val="24"/>
          <w14:textFill>
            <w14:solidFill>
              <w14:schemeClr w14:val="tx1"/>
            </w14:solidFill>
          </w14:textFill>
        </w:rPr>
        <w:t xml:space="preserve">灌云县教育局</w:t>
      </w:r>
      <w:r>
        <w:rPr>
          <w:rFonts w:hint="eastAsia" w:ascii="宋体" w:hAnsi="宋体" w:eastAsia="宋体" w:cs="宋体"/>
          <w:color w:val="000000" w:themeColor="text1"/>
          <w:sz w:val="24"/>
          <w:szCs w:val="24"/>
          <w14:textFill>
            <w14:solidFill>
              <w14:schemeClr w14:val="tx1"/>
            </w14:solidFill>
          </w14:textFill>
        </w:rPr>
        <w:t xml:space="preserve">的委托，灌云县政府采购中心就</w:t>
      </w:r>
      <w:bookmarkStart w:id="2" w:name="OLE_LINK2"/>
      <w:r>
        <w:rPr>
          <w:rFonts w:hint="eastAsia" w:ascii="宋体" w:hAnsi="宋体" w:eastAsia="宋体" w:cs="宋体"/>
          <w:color w:val="000000" w:themeColor="text1"/>
          <w:sz w:val="24"/>
          <w:szCs w:val="24"/>
          <w14:textFill>
            <w14:solidFill>
              <w14:schemeClr w14:val="tx1"/>
            </w14:solidFill>
          </w14:textFill>
        </w:rPr>
        <w:t xml:space="preserve">灌云县多元化人工智能实验室项目</w:t>
      </w:r>
      <w:bookmarkEnd w:id="2"/>
      <w:r>
        <w:rPr>
          <w:rFonts w:hint="eastAsia" w:ascii="宋体" w:hAnsi="宋体" w:eastAsia="宋体" w:cs="宋体"/>
          <w:color w:val="000000" w:themeColor="text1"/>
          <w:sz w:val="24"/>
          <w:szCs w:val="24"/>
          <w14:textFill>
            <w14:solidFill>
              <w14:schemeClr w14:val="tx1"/>
            </w14:solidFill>
          </w14:textFill>
        </w:rPr>
        <w:t xml:space="preserve">（项目编号：</w:t>
      </w:r>
      <w:r>
        <w:rPr>
          <w:rFonts w:ascii="Segoe UI" w:hAnsi="Segoe UI" w:eastAsia="Segoe UI" w:cs="Segoe UI"/>
          <w:i w:val="0"/>
          <w:iCs w:val="0"/>
          <w:caps w:val="0"/>
          <w:spacing w:val="0"/>
          <w:sz w:val="21"/>
          <w:szCs w:val="21"/>
          <w:shd w:val="clear" w:color="auto" w:fill="ffffff"/>
        </w:rPr>
        <w:t xml:space="preserve">JSZC-320723-JZCG-G2026-0030</w:t>
      </w:r>
      <w:r>
        <w:rPr>
          <w:rFonts w:hint="eastAsia" w:ascii="宋体" w:hAnsi="宋体" w:eastAsia="宋体" w:cs="宋体"/>
          <w:color w:val="000000" w:themeColor="text1"/>
          <w:sz w:val="24"/>
          <w:szCs w:val="24"/>
          <w14:textFill>
            <w14:solidFill>
              <w14:schemeClr w14:val="tx1"/>
            </w14:solidFill>
          </w14:textFill>
        </w:rPr>
        <w:t xml:space="preserve">）进行公开招标采购，欢迎符合条件的供应商投标。</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tc>
          <w:tcPr>
            <w:tcW w:w="8522" w:type="dxa"/>
            <w:textDirection w:val="lrTb"/>
            <w:noWrap w:val="false"/>
          </w:tcPr>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项目概况</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多元化人工智能实验室项目的潜在投标人应在江苏政府采购网自行免费下载招标文件，并于2026年</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000000" w:themeColor="text1"/>
                <w:sz w:val="24"/>
                <w:szCs w:val="24"/>
                <w14:textFill>
                  <w14:solidFill>
                    <w14:schemeClr w14:val="tx1"/>
                  </w14:solidFill>
                </w14:textFill>
              </w:rPr>
              <w:t xml:space="preserve">日10:00:00（北京时间）前递交（上传）投标文件。</w:t>
            </w:r>
            <w:r/>
          </w:p>
        </w:tc>
      </w:tr>
    </w:tbl>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一、项目基本情况</w:t>
      </w:r>
      <w:r/>
    </w:p>
    <w:p>
      <w:pPr>
        <w:ind w:firstLine="480"/>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项目编号：JSZC-320723-JZCG-G2026-0030</w:t>
      </w:r>
      <w:r/>
    </w:p>
    <w:p>
      <w:pPr>
        <w:ind w:firstLine="480"/>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项目名称：多元化人工智能实验室项目</w:t>
      </w:r>
      <w:r/>
    </w:p>
    <w:p>
      <w:pPr>
        <w:ind w:firstLine="480"/>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预算金额：100万元</w:t>
      </w:r>
      <w:r/>
    </w:p>
    <w:p>
      <w:pPr>
        <w:ind w:firstLine="480"/>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最高限价：100万元，超过最高限价做无效投标处理。</w:t>
      </w:r>
      <w:r/>
    </w:p>
    <w:p>
      <w:pPr>
        <w:ind w:firstLine="480"/>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采购方式：公开招标</w:t>
      </w:r>
      <w:r/>
    </w:p>
    <w:p>
      <w:pPr>
        <w:ind w:firstLine="480"/>
        <w:jc w:val="left"/>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采购需求：多元化人工智能实验室项目</w:t>
      </w:r>
      <w:r>
        <w:rPr>
          <w:rFonts w:hint="eastAsia" w:ascii="宋体" w:hAnsi="宋体" w:eastAsia="宋体" w:cs="宋体"/>
          <w:color w:val="000000" w:themeColor="text1"/>
          <w:sz w:val="24"/>
          <w:szCs w:val="24"/>
          <w14:textFill>
            <w14:solidFill>
              <w14:schemeClr w14:val="tx1"/>
            </w14:solidFill>
          </w14:textFill>
        </w:rPr>
        <w:t xml:space="preserve">，拟采购人工智能通识教育数字资源服务、人工智能实验器材、人工智能课堂分析系统、智慧平板、省学生人工智能比赛</w:t>
      </w:r>
      <w:r>
        <w:rPr>
          <w:rFonts w:hint="eastAsia" w:ascii="宋体" w:hAnsi="宋体" w:eastAsia="宋体" w:cs="宋体"/>
          <w:color w:val="000000" w:themeColor="text1"/>
          <w:sz w:val="24"/>
          <w14:textFill>
            <w14:solidFill>
              <w14:schemeClr w14:val="tx1"/>
            </w14:solidFill>
          </w14:textFill>
        </w:rPr>
        <w:t xml:space="preserve">套装等。具体详见第四章采购需求。</w:t>
      </w:r>
      <w:r/>
    </w:p>
    <w:p>
      <w:pPr>
        <w:ind w:firstLine="482"/>
        <w:jc w:val="left"/>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对本项目资格要求、采购需求、评标方法与评标标准等部分的询问、质疑请与采购人联系，由采购人负责答复。</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合同履行期限：合同签订后30天内完成安装、调试。</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本项目（是/否）接受联合体投标：不接受联合体。</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本项目不接受进口产品（进口产品是指通过中国海关报关验放进入中国境内且产自关境外的产品）投标，中标后允许分包。</w:t>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二、申请人的资格要求</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（一）满足《中华人民共和国政府采购法》第二十二条规定，并提供下列材料：</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(1)法人或者其他组织的营业执照等证明文件，自然人的身份证明（提供法人或者其他组织的营业执照等证明文件）；</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(2)具有良好的商业信誉和健全的财务会计制度；</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(3)具备履行合同所必需的设备和专业技术能力的声明；</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(4)依法缴纳税收和社会保障资金的良好记录；</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(5)参加政府采购活动前三年内在经营活动中没有重大违法记录的声明；</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(6)法律、行政法规规定的其他条件。</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注：根据连财购〔2023〕4号文件精神，第（2）、（4）项可以提供《财务状况报告及税收、社会保障资金缴纳情况承诺函》，详见招标文件投标文件格式。</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投标文件递交截止前被“信用中国”网站、中国政府采购网网站列入失信执行人、重大税收违法案件当事人名单、政府采购严重违法失信行为记录名单的投标人，拒绝其参与政府采购活动（采购人或灌云县政府采购中心将通过信用中国网站（www.creditchina.gov.cn）、中国政府采购网（www.ccgp.gov.cn），对投标人信用记录情况进行查询）。</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（二）落实政府采购政策需满足的资格要求：无。</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（三）本项目的特定资格要求：无。</w:t>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三、获取招标文件</w:t>
      </w:r>
      <w:r/>
    </w:p>
    <w:p>
      <w:pPr>
        <w:ind w:firstLine="54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1.时间：2026年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日至2026年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ind w:firstLine="54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2.方式：在“江苏政府采购网”自行免费下载招标文件。</w:t>
      </w:r>
      <w:r/>
    </w:p>
    <w:p>
      <w:pPr>
        <w:ind w:firstLine="480"/>
        <w:spacing w:line="500" w:lineRule="exact"/>
        <w:rPr>
          <w:rFonts w:hint="eastAsia" w:ascii="宋体" w:hAnsi="宋体" w:eastAsia="宋体" w:cs="宋体"/>
          <w:color w:val="000000" w:themeColor="text1"/>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（1）潜在投标人访问电子招标投标交易平台的网络地址和方法：</w:t>
      </w:r>
      <w:r/>
    </w:p>
    <w:p>
      <w:pPr>
        <w:ind w:firstLine="480"/>
        <w:spacing w:line="500" w:lineRule="exact"/>
        <w:rPr>
          <w:rFonts w:hint="eastAsia" w:ascii="宋体" w:hAnsi="宋体" w:eastAsia="宋体" w:cs="宋体"/>
          <w:color w:val="000000" w:themeColor="text1"/>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①登录http://jszfcg.jsczt.cn/，或进入江苏政府采购网，点击“苏采云”进入系统。</w:t>
      </w:r>
      <w:r/>
    </w:p>
    <w:p>
      <w:pPr>
        <w:ind w:firstLine="480"/>
        <w:spacing w:line="500" w:lineRule="exact"/>
        <w:rPr>
          <w:rFonts w:hint="eastAsia" w:ascii="宋体" w:hAnsi="宋体" w:eastAsia="宋体" w:cs="宋体"/>
          <w:color w:val="000000" w:themeColor="text1"/>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投标人操作手册》。</w:t>
      </w:r>
      <w:r/>
    </w:p>
    <w:p>
      <w:pPr>
        <w:ind w:firstLine="480"/>
        <w:spacing w:line="500" w:lineRule="exact"/>
        <w:rPr>
          <w:rFonts w:hint="eastAsia" w:ascii="宋体" w:hAnsi="宋体" w:eastAsia="宋体" w:cs="宋体"/>
          <w:color w:val="000000" w:themeColor="text1"/>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③潜在投标人访问“苏采云”系统的网络地址和方法:“苏采云”系统的网址:http://jszfcg.jsczt.cn/。</w:t>
      </w:r>
      <w:r/>
    </w:p>
    <w:p>
      <w:pPr>
        <w:ind w:firstLine="480"/>
        <w:spacing w:line="500" w:lineRule="exact"/>
        <w:rPr>
          <w:rFonts w:hint="eastAsia" w:ascii="宋体" w:hAnsi="宋体" w:eastAsia="宋体" w:cs="宋体"/>
          <w:color w:val="000000" w:themeColor="text1"/>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④“CA数字证书”的获取:投标人需办理CA锁，“苏采云”系统目前仅支持政务CA、方正签章，省内各地区办理的用于“苏采云”平台的政务CA、方正签章全省通用。“CA数字证书”的办理方法详见《江苏省政府采购数字证书(投标人)CA及电子签章办理指南》。</w:t>
      </w:r>
      <w:r/>
    </w:p>
    <w:p>
      <w:pPr>
        <w:ind w:firstLine="480"/>
        <w:spacing w:line="500" w:lineRule="exact"/>
        <w:rPr>
          <w:rFonts w:hint="eastAsia" w:ascii="宋体" w:hAnsi="宋体" w:eastAsia="宋体" w:cs="宋体"/>
          <w:color w:val="000000" w:themeColor="text1"/>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⑤招标文件(后缀名为“.kedt”)、投标人操作手册及政府采购客户端工具可通过“苏采云”系统--已报名项目--报名详情页面内相应链接进行下载。</w:t>
      </w:r>
      <w:r/>
    </w:p>
    <w:p>
      <w:pPr>
        <w:ind w:firstLine="480"/>
        <w:spacing w:line="500" w:lineRule="exact"/>
        <w:rPr>
          <w:rFonts w:hint="eastAsia" w:ascii="宋体" w:hAnsi="宋体" w:eastAsia="宋体" w:cs="宋体"/>
          <w:color w:val="000000" w:themeColor="text1"/>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⑥采购代理机构将数据电文形式的招标文件加载至“苏采云”系统，供潜在投标人下载或者查阅。</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⑦请潜在投标人提前安装相应的控件(详见《江苏省政府采购管理交易系统(苏采云)投标人操作手册&gt;)并使用谷歌浏览器登录“苏采云”系统参与不见面开评标。</w:t>
      </w:r>
      <w:r/>
    </w:p>
    <w:p>
      <w:pPr>
        <w:ind w:firstLine="482"/>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注:如潜在投标人未按上述要求操作，将自行承担所产生的风险。</w:t>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四、提交投标文件截止时间、开标时间和地点</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提交投标文件截止时间：2026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日10:00</w:t>
      </w:r>
      <w:r>
        <w:rPr>
          <w:rFonts w:hint="eastAsia" w:ascii="宋体" w:hAnsi="宋体" w:eastAsia="宋体" w:cs="宋体"/>
          <w:color w:val="000000" w:themeColor="text1"/>
          <w:sz w:val="24"/>
          <w:szCs w:val="24"/>
          <w14:textFill>
            <w14:solidFill>
              <w14:schemeClr w14:val="tx1"/>
            </w14:solidFill>
          </w14:textFill>
        </w:rPr>
        <w:t xml:space="preserve">:00（北京时间）</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开标时间：提交投标文件截止时间</w:t>
      </w:r>
      <w:r/>
    </w:p>
    <w:p>
      <w:pPr>
        <w:ind w:firstLine="480"/>
        <w:jc w:val="left"/>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开标地点：“苏采云”政府采购交易系统网上开标大厅</w:t>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五、公告期限</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自本公告发布之日起5个工作日。</w:t>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六、其他补充事宜</w:t>
      </w:r>
      <w:r/>
    </w:p>
    <w:p>
      <w:pPr>
        <w:ind w:firstLine="480"/>
        <w:spacing w:line="500" w:lineRule="exact"/>
        <w:rPr>
          <w:rFonts w:hint="eastAsia" w:ascii="宋体" w:hAnsi="宋体" w:eastAsia="宋体" w:cs="宋体"/>
          <w:color w:val="000000" w:themeColor="text1"/>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1、本招标文件中标注★的款项为实质性响应要求和条件，如不满足将按无效投标处理。</w:t>
      </w:r>
      <w:r/>
    </w:p>
    <w:p>
      <w:pPr>
        <w:ind w:firstLine="480"/>
        <w:spacing w:line="500" w:lineRule="exact"/>
        <w:rPr>
          <w:rFonts w:hint="eastAsia" w:ascii="宋体" w:hAnsi="宋体" w:eastAsia="宋体" w:cs="宋体"/>
          <w:color w:val="000000" w:themeColor="text1"/>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2、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3、投标人制作投标文件时如遇投标工具中投标格式与招标文件不一致，请投标人按照招标文件中投标格式要求编制一份投标文件资料添加在投标工具其他材料中。</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4、根据苏财购[2020]52号规定，本项目不收取投标保证金。</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5、投标文件相关要求：</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①本项目采用不见面远程模式，投标人在各自地点通过不见面交易系统参加开标会；</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②请各投标人充分考虑项目周期，谨慎参与交易，中标后不得以任何理由放弃中标资格或不按规定履约；</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③逾期上传投标文件的，采购人不予受理；</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④中标后中标人按以下要求提供书面投标文件：</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中标人提供的书</w:t>
      </w:r>
      <w:r>
        <w:rPr>
          <w:rFonts w:hint="eastAsia" w:ascii="宋体" w:hAnsi="宋体" w:eastAsia="宋体" w:cs="宋体"/>
          <w:color w:val="000000" w:themeColor="text1"/>
          <w:sz w:val="24"/>
          <w:szCs w:val="24"/>
          <w14:textFill>
            <w14:solidFill>
              <w14:schemeClr w14:val="tx1"/>
            </w14:solidFill>
          </w14:textFill>
        </w:rPr>
        <w:t xml:space="preserve">面投标文件必须与网络上传投标文件（加密文件）一致，纸质与电子标书内容不一致的，以电子标书为准；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公章或由投标人的法定代表人或其授权的代理人签字确认；投标文件正本一份，副本一份，电子标书一份（U盘形式、不加密无毒），中标后提供。正本和副本的封面上应清楚地标记“正本”或“副本”的字样（带页码）。</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为保证交互效果，建议投标人选择封闭安静的地点参与远程交互。因投标人自身软硬件配备不齐全或发生故障等问题而导致在交互过程中出现不稳定或中断等情况的，由投标人自身承担一切后果。</w:t>
      </w:r>
      <w:r/>
    </w:p>
    <w:p>
      <w:pPr>
        <w:ind w:firstLine="480"/>
        <w:spacing w:line="560" w:lineRule="atLeast"/>
        <w:rPr>
          <w:rFonts w:hint="eastAsia" w:ascii="宋体" w:hAnsi="宋体" w:eastAsia="宋体" w:cs="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14:textFill>
            <w14:solidFill>
              <w14:schemeClr w14:val="tx1"/>
            </w14:solidFill>
          </w14:textFill>
        </w:rPr>
        <w:t xml:space="preserve">注：投标人在签到时，需填写单位名称、项目负责人姓名，手机号码（手机号码务必能打通，否则答疑联系不上产生的所有后果由投标人自行承担）。</w:t>
      </w:r>
      <w:r/>
    </w:p>
    <w:p>
      <w:pPr>
        <w:pStyle w:val="845"/>
        <w:spacing w:before="0" w:after="0" w:line="560" w:lineRule="atLeast"/>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七、对本次招标提出询问，请按以下方式联系</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名    称：</w:t>
      </w:r>
      <w:r>
        <w:rPr>
          <w:rFonts w:hint="eastAsia" w:ascii="宋体" w:hAnsi="宋体" w:eastAsia="宋体" w:cs="宋体"/>
          <w:color w:val="000000" w:themeColor="text1"/>
          <w:sz w:val="24"/>
          <w14:textFill>
            <w14:solidFill>
              <w14:schemeClr w14:val="tx1"/>
            </w14:solidFill>
          </w14:textFill>
        </w:rPr>
        <w:t xml:space="preserve">灌云县教育局</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址：灌云县伊山镇胜利西路</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 系 人：陈老师</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联系电话：19851800666</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2.采购代理机构信息</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名    称：灌云县政府采购中心</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址：江苏省连云港市灌云县云台大道3号灌云商务大厦A座12F</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 系 人：</w:t>
      </w:r>
      <w:r>
        <w:rPr>
          <w:rFonts w:hint="eastAsia" w:ascii="宋体" w:hAnsi="宋体" w:eastAsia="宋体" w:cs="宋体"/>
          <w:color w:val="000000" w:themeColor="text1"/>
          <w:sz w:val="24"/>
          <w:szCs w:val="24"/>
          <w:lang w:val="en-US" w:eastAsia="zh-CN"/>
          <w14:textFill>
            <w14:solidFill>
              <w14:schemeClr w14:val="tx1"/>
            </w14:solidFill>
          </w14:textFill>
        </w:rPr>
        <w:t xml:space="preserve">焦工</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rPr>
          <w:rFonts w:hint="eastAsia" w:ascii="宋体" w:hAnsi="宋体" w:eastAsia="宋体" w:cs="宋体"/>
          <w:color w:val="000000" w:themeColor="text1"/>
          <w:sz w:val="24"/>
          <w:szCs w:val="24"/>
          <w:u w:val="single"/>
          <w14:textFill>
            <w14:solidFill>
              <w14:schemeClr w14:val="tx1"/>
            </w14:solidFill>
          </w14:textFill>
        </w:rPr>
        <w:t xml:space="preserve">0518-80275537</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3.项目联系方式</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项目联系人：陈老师</w:t>
      </w:r>
      <w:r/>
    </w:p>
    <w:p>
      <w:pPr>
        <w:ind w:firstLine="480"/>
        <w:jc w:val="left"/>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      话：19851800666</w:t>
      </w:r>
      <w:r/>
    </w:p>
    <w:p>
      <w:pPr>
        <w:ind w:firstLine="498"/>
        <w:keepLines/>
        <w:keepNext/>
        <w:spacing w:before="120" w:after="120" w:line="500" w:lineRule="exact"/>
        <w:rPr>
          <w:rFonts w:hint="eastAsia" w:ascii="宋体" w:hAnsi="宋体" w:eastAsia="宋体" w:cs="宋体"/>
          <w:b/>
          <w:bCs/>
          <w:color w:val="000000" w:themeColor="text1"/>
          <w:sz w:val="32"/>
          <w:szCs w:val="32"/>
          <w14:textFill>
            <w14:solidFill>
              <w14:schemeClr w14:val="tx1"/>
            </w14:solidFill>
          </w14:textFill>
        </w:rPr>
        <w:outlineLvl w:val="2"/>
      </w:pPr>
      <w:r>
        <w:rPr>
          <w:rFonts w:hint="eastAsia" w:ascii="宋体" w:hAnsi="宋体" w:eastAsia="宋体" w:cs="宋体"/>
          <w:b/>
          <w:bCs/>
          <w:color w:val="000000" w:themeColor="text1"/>
          <w:sz w:val="32"/>
          <w:szCs w:val="32"/>
          <w14:textFill>
            <w14:solidFill>
              <w14:schemeClr w14:val="tx1"/>
            </w14:solidFill>
          </w14:textFill>
        </w:rPr>
        <w:t xml:space="preserve">八、其他</w:t>
      </w:r>
      <w:r/>
    </w:p>
    <w:p>
      <w:pPr>
        <w:ind w:firstLine="480"/>
        <w:jc w:val="left"/>
        <w:spacing w:line="500" w:lineRule="exact"/>
        <w:tabs>
          <w:tab w:val="left" w:pos="90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根据省财政厅《关于更换全省政府采购交易系统CA数字证书和电子签章的通知》（苏财购〔2023〕101号），</w:t>
      </w:r>
      <w:r>
        <w:rPr>
          <w:rFonts w:hint="eastAsia" w:ascii="宋体" w:hAnsi="宋体" w:eastAsia="宋体" w:cs="宋体"/>
          <w:color w:val="000000" w:themeColor="text1"/>
          <w:sz w:val="24"/>
          <w:szCs w:val="24"/>
          <w14:textFill>
            <w14:solidFill>
              <w14:schemeClr w14:val="tx1"/>
            </w14:solidFill>
          </w14:textFill>
        </w:rPr>
        <w:t xml:space="preserve">“苏采云”政府采购交易系统（以下简称苏采云系统）</w:t>
      </w:r>
      <w:r>
        <w:rPr>
          <w:rFonts w:hint="eastAsia" w:ascii="宋体" w:hAnsi="宋体" w:eastAsia="宋体" w:cs="宋体"/>
          <w:bCs/>
          <w:color w:val="000000" w:themeColor="text1"/>
          <w:sz w:val="24"/>
          <w:szCs w:val="24"/>
          <w14:textFill>
            <w14:solidFill>
              <w14:schemeClr w14:val="tx1"/>
            </w14:solidFill>
          </w14:textFill>
        </w:rPr>
        <w:t xml:space="preserve">的CA数字证书、电子签章已更换为江苏省电子政务证书认证中心CA和方正国际软件（北京）有限公司电子签章。如果投标人通过</w:t>
      </w:r>
      <w:r>
        <w:rPr>
          <w:rFonts w:hint="eastAsia" w:ascii="宋体" w:hAnsi="宋体" w:eastAsia="宋体" w:cs="宋体"/>
          <w:color w:val="000000" w:themeColor="text1"/>
          <w:sz w:val="24"/>
          <w:szCs w:val="24"/>
          <w14:textFill>
            <w14:solidFill>
              <w14:schemeClr w14:val="tx1"/>
            </w14:solidFill>
          </w14:textFill>
        </w:rPr>
        <w:t xml:space="preserve">苏采云系统</w:t>
      </w:r>
      <w:r>
        <w:rPr>
          <w:rFonts w:hint="eastAsia" w:ascii="宋体" w:hAnsi="宋体" w:eastAsia="宋体" w:cs="宋体"/>
          <w:bCs/>
          <w:color w:val="000000" w:themeColor="text1"/>
          <w:sz w:val="24"/>
          <w:szCs w:val="24"/>
          <w14:textFill>
            <w14:solidFill>
              <w14:schemeClr w14:val="tx1"/>
            </w14:solidFill>
          </w14:textFill>
        </w:rPr>
        <w:t xml:space="preserve">参与政府采购项目，需要更换CA数字证书和电子签章。具体办理指南和操作手册见链接：</w:t>
      </w:r>
      <w:r>
        <w:rPr>
          <w:rFonts w:hint="eastAsia" w:ascii="宋体" w:hAnsi="宋体" w:eastAsia="宋体" w:cs="宋体"/>
        </w:rPr>
        <w:fldChar w:fldCharType="begin"/>
      </w:r>
      <w:r>
        <w:rPr>
          <w:rFonts w:hint="eastAsia" w:ascii="宋体" w:hAnsi="宋体" w:eastAsia="宋体" w:cs="宋体"/>
        </w:rPr>
        <w:instrText xml:space="preserve">HYPERLINK "http://www.ccgp-jiangsu.gov.cn/"</w:instrText>
      </w:r>
      <w:r>
        <w:rPr>
          <w:rFonts w:hint="eastAsia" w:ascii="宋体" w:hAnsi="宋体" w:eastAsia="宋体" w:cs="宋体"/>
        </w:rPr>
        <w:fldChar w:fldCharType="separate"/>
      </w:r>
      <w:r>
        <w:rPr>
          <w:rFonts w:hint="eastAsia" w:ascii="宋体" w:hAnsi="宋体" w:eastAsia="宋体" w:cs="宋体"/>
          <w:bCs/>
          <w:color w:val="000000" w:themeColor="text1"/>
          <w:sz w:val="24"/>
          <w:szCs w:val="24"/>
          <w14:textFill>
            <w14:solidFill>
              <w14:schemeClr w14:val="tx1"/>
            </w14:solidFill>
          </w14:textFill>
        </w:rPr>
        <w:t xml:space="preserve">http://www.ccgp-jiangsu.gov.cn/</w:t>
      </w:r>
      <w:r>
        <w:rPr>
          <w:rFonts w:hint="eastAsia" w:ascii="宋体" w:hAnsi="宋体" w:eastAsia="宋体" w:cs="宋体"/>
        </w:rPr>
        <w:fldChar w:fldCharType="end"/>
      </w:r>
      <w:r>
        <w:rPr>
          <w:rFonts w:hint="eastAsia" w:ascii="宋体" w:hAnsi="宋体" w:eastAsia="宋体" w:cs="宋体"/>
          <w:bCs/>
          <w:color w:val="000000" w:themeColor="text1"/>
          <w:sz w:val="24"/>
          <w:szCs w:val="24"/>
          <w14:textFill>
            <w14:solidFill>
              <w14:schemeClr w14:val="tx1"/>
            </w14:solidFill>
          </w14:textFill>
        </w:rPr>
        <w:t xml:space="preserve">jiangsu/zlxz/ee/ee3a4bc5a3454aa</w:t>
      </w:r>
      <w:r/>
    </w:p>
    <w:p>
      <w:pPr>
        <w:ind w:firstLine="480"/>
        <w:jc w:val="left"/>
        <w:spacing w:line="500" w:lineRule="exact"/>
        <w:tabs>
          <w:tab w:val="left" w:pos="90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2b0d9312230633ce9.html。领取CA和办理电子签章（具体联系方式见《苏采云系统投标人操作手册》（以下简称《操作手册》））、进行注册并按《操作手册》要求制作、上传电子投标文件。</w:t>
      </w:r>
      <w:r/>
    </w:p>
    <w:p>
      <w:pPr>
        <w:ind w:firstLine="480"/>
        <w:jc w:val="left"/>
        <w:spacing w:line="500" w:lineRule="exact"/>
        <w:tabs>
          <w:tab w:val="left" w:pos="900" w:leader="none"/>
        </w:tabs>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2.有关本次采购的事项若存在变动或修改，敬请及时关注灌云县政府采购中心在“江苏政府采购网”发布的更正公告。</w:t>
      </w:r>
      <w:r>
        <w:rPr>
          <w:rFonts w:hint="eastAsia" w:ascii="宋体" w:hAnsi="宋体" w:eastAsia="宋体" w:cs="宋体"/>
          <w:b/>
          <w:color w:val="000000" w:themeColor="text1"/>
          <w14:textFill>
            <w14:solidFill>
              <w14:schemeClr w14:val="tx1"/>
            </w14:solidFill>
          </w14:textFill>
        </w:rPr>
        <w:br w:type="page" w:clear="all"/>
      </w:r>
      <w:bookmarkStart w:id="3" w:name="_Toc165205795"/>
      <w:r>
        <w:rPr>
          <w:rFonts w:hint="eastAsia" w:ascii="宋体" w:hAnsi="宋体" w:eastAsia="宋体" w:cs="宋体"/>
          <w:b/>
          <w:color w:val="000000" w:themeColor="text1"/>
          <w:sz w:val="44"/>
          <w:szCs w:val="48"/>
          <w14:textFill>
            <w14:solidFill>
              <w14:schemeClr w14:val="tx1"/>
            </w14:solidFill>
          </w14:textFill>
        </w:rPr>
        <w:t xml:space="preserve">第二章  投标人须知</w:t>
      </w:r>
      <w:bookmarkEnd w:id="3"/>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一、总则</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1、采购方式</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 本次招标采取公开招标方式，本招标文件仅适用于招标公告中所述项目。</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2、合格的投标人</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 满足招标公告中申请人的资格要求的规定。</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 满足本招标文件全部实质性要求和条件的规定。</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 符合上述条件的投标人应承担投标及履约过程应承担的全部责任与义务。</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 单位负责人为同一人或者存在直接控股、管理关系的不同供应商，不得参加同一合同项下的政府采购活动。</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3、适用法律</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 本次招标及由此产生的合同受中华人民共和国有关的法律法规制约和保护。</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4、投标费用</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 投标人应自行承担所有与参与投标有关的费用，无论投标过程中的做法和结果如何，采购人和灌云县政府采购中心（以下简称采购中心）在任何情况下均无义务和责任承担这些费用。</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 因采购人无此预算，本次招标</w:t>
      </w:r>
      <w:r>
        <w:rPr>
          <w:rFonts w:hint="eastAsia" w:ascii="宋体" w:hAnsi="宋体" w:eastAsia="宋体" w:cs="宋体"/>
          <w:color w:val="000000" w:themeColor="text1"/>
          <w:sz w:val="24"/>
          <w:szCs w:val="24"/>
          <w:lang w:val="en-US" w:eastAsia="zh-CN"/>
          <w14:textFill>
            <w14:solidFill>
              <w14:schemeClr w14:val="tx1"/>
            </w14:solidFill>
          </w14:textFill>
        </w:rPr>
        <w:t xml:space="preserve">不</w:t>
      </w:r>
      <w:r>
        <w:rPr>
          <w:rFonts w:hint="eastAsia" w:ascii="宋体" w:hAnsi="宋体" w:eastAsia="宋体" w:cs="宋体"/>
          <w:color w:val="000000" w:themeColor="text1"/>
          <w:sz w:val="24"/>
          <w:szCs w:val="24"/>
          <w14:textFill>
            <w14:solidFill>
              <w14:schemeClr w14:val="tx1"/>
            </w14:solidFill>
          </w14:textFill>
        </w:rPr>
        <w:t xml:space="preserve">收取其他国有资源（资产）有偿使用费。</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5、招标文件的约束力</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 投标人一旦参与本项目采购活动，即被认为接受了本招标文件的规定和约束。</w:t>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二、招标文件</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6、招标文件的构成</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 招标文件由以下部分构成：</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（1）投标邀请</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（2）投标人须知</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（3）合同文本</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（4）采购需求</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（5）评标方法与评标标准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（6）投标文件格式</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请仔细检查招标文件是否齐全，如有缺漏请立即与采购中心联系解决。</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7、招标文件的澄清</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 任何要求对招标文件进行澄清的投标人，应在投标截止时间十日前按招标公告中的通讯地址，以书面形式通知采购人或者采购中心。</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8、招标文件的修改</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8.1 在投标截止时间前，采购人和采购中心可以对招标文件进行修改。</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8.2 采购人和采购中心有权按照法定的要求推迟投标截止时间和开标时间。</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8.3 招标文件的修改将在江苏政府采购网公布，补充文件将作为招标文件的组成部分，并对投标人具有约束力。</w:t>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三、投标文件编制</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9、投标文件编写注意事项</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9.1 投标人应当仔细阅读招标文件中所有的事项、格式、条款和规范等要求，在完全了解招标内容、技术性能要求和商务条件后，按照招标文件的要求编制投标文件。投标文件应当对招标文件提出的实质性要求和条件作出明确响应，并保证所提供的全部资料的真实性，否则作无效响应处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10、投标文件的语言及度量衡单位</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10.1 除专用术语外，投标人提交的投标文件以及投标人与采购人和采购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10.2 除技术性能另有规定外，投标文件所使用的度量衡单位，均须采用国家法定计量单位。</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11、投标文件的构成</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 如投标文件制作工具中格式和内容与江苏政府采购网发布的招标文件不一致，请以江苏政府采购网发布的招标文件为准。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11.3 特别提醒投标人，混乱的编排导致投标文件被误读或评标委员会（以下简称评委会）查找不到有效文件是投标人的风险。</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12、证明投标人及投标标的符合招标文件规定的文件</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12.1 投标人应按照招标文件要求提交证明文件，证明其及投标标的符合招标文件规定。</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12.2 招标文件对证明文件无明确形式要求的，证明文件可以以文字资料、图纸和数据等形式提交。</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12.3 投标人委托代理时应当提交授权委托书，请按招标文件第六章给定格式及要求填写并附法定代表人（单位负责人）与委托代理人身份证明。</w:t>
      </w:r>
      <w:r/>
    </w:p>
    <w:p>
      <w:pPr>
        <w:pStyle w:val="846"/>
        <w:ind w:firstLine="560"/>
        <w:jc w:val="left"/>
        <w:spacing w:before="0" w:after="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13、投标分项报价表</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（1）投标的货物总价；</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（2）货物的标准附件、备品备件、专用工具、运输、装卸等各种费用；</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（3）必要的保险费用和各项税金；</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（4）投标总价要求包含安装维保费用。</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13.2 投标人应根据投标报价要求在投标分项报价表中列明各项投标单价、总价等，未全部列示的作无效响应处理。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13.3 投标文件中的单价和总价无特殊规定的采用人民币报价，以元为单位标注。招标文件中另有规定的按规定执行。</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14、技术要求响应及偏离表、商务要求响应及偏离表</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14.2 投标人可在投标文件中提供认为需要的其他技术文件或说明。</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15、服务承诺、培训计划、人员安排及其他</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15.2 投标人应根据招标文件要求提供培训计划、人员安排等。</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15.3 投标人应根据招标文件要求提供所投标的的主要组成部分、功能设计、实现思路及关键技术等。</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16、投标函和开标一览表</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16.1 投标人应按照招标文件提供的格式完整、正确填写投标函、开标一览表。</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16.2 对于采用货币报价的项目，开标一览表中的投标总报价应与投标分项报价表中的投标总报价一致，如不一致，不作无效投标处理，但评标时以开标一览表中价格为准。</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17、投标有效期</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17.1 投标有效期为招标文件规定的开标之日后六十（60）天。投标有效期比规定短的将被视为未实质性响应招标文件而予以拒绝。</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17.2 在特殊情况下（法律法规另有规定的除外），经监管部门批准后，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四、投标文件递交</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18、电子投标文件的递交</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18.1 投标人应当按照《操作手册》规定，在投标截止时间前制作并递交（上传）电子投标文件。</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19、投标截止时间</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 投标人递交（上传）电子投标文件的时间不得迟于招标公告中规定的投标截止时间。</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19.2 采购人和采购中心可以按照规定，通过修改招标文件酌情延长投标截止时间，在此情况下，投标人的所有权利和义务以及投标人受制的截止时间均应以延长后新的截止时间为准。</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20、投标文件的拒收</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20.1 采购中心拒绝接收在招标文件规定的投标截止时间后递交（上传）的任何投标文件。</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21、投标文件的撤回和修改</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21.1 投标人可在投标截止时间前，撤回其电子投标文件，具体操作方法见《操作手册》。投标人撤回电子投标文件的，则认为其不再参与本项目采购活动。</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21.3 在投标截止时间至招标文件规定的投标有效期满之间的这段时间内，投标人不得撤回其投标。</w:t>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五、开标与评标</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22、开标</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22.1 采购中心将在招标公告中规定的时间和地点组织公开开标。投标人应当按时参加开标活动，并在“苏采云”系统规定的时间内对其投标文件进行解密。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22.2 开标仪式由采购中心组织。“苏采云”系统将自动对项目进行开标，并宣布各投标人名称和投标价格。</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22.3 投标人在开标过程中涉及到的投标文件解密、开标结果确认等工作，应当按照《操作手册》规定执行。</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22.5 投标人未参加开标的，视同认可开标结果。</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22.6 投标人在开标、评标全过程中应保持通讯畅通，及时登录“苏采云”系统查阅、答复相关信息，并安排专人与采购中心及评委会联系。</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23、评标委员会</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23.1 开标后，采购中心将组织评委会进行评标。</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23.2 评委会由采购人代表和有关技术、经济等方面的评审专家组成，且人员构成符合政府采购有关规定。</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23.3 评委会按照采购文件规定的评审程序、评审方法和评审标准进行独立评审并确定中标候选人。</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24、评标过程的保密与公正</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24.1 凡是与审查、澄清、评价和比较投标的有关资料以及授标建议等，采购人、评审专家、采购中心均不得向投标人或与评标无关的其他人员透露。</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24.2 在评标过程中，投标人不得以任何行为影响评标过程，否则其投标文件将被作为无效投标文件。</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24.3 采购中心和评委会不向未中标的投标人解释未中标原因，也不公布评标过程中的相关细节。</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25、投标文件的澄清</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评委会并非对每个投标人都提出澄清、说明或者补正要求。</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25.3 接到评委会澄清、说明或者补正要求的投标人如未按要求响应，其风险由投标人自行承担。</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26、对投标文件的审查</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26.1 投标文件审查分为资格审查和符合性审查。</w:t>
      </w:r>
      <w:r/>
    </w:p>
    <w:p>
      <w:pPr>
        <w:pStyle w:val="867"/>
        <w:ind w:firstLine="480"/>
        <w:spacing w:before="0" w:beforeAutospacing="0" w:after="0" w:afterAutospacing="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26.1.1 资格审查：采购人依据法律法规和招标文件的规定，对投标文件中的资格证明文件进行审查。资格审查的结论，采购人以书面形式向评委会进行反馈。</w:t>
      </w:r>
      <w:r/>
    </w:p>
    <w:p>
      <w:pPr>
        <w:pStyle w:val="867"/>
        <w:ind w:firstLine="480"/>
        <w:spacing w:before="0" w:beforeAutospacing="0" w:after="0" w:afterAutospacing="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采购人在进行资格审查的同时，将在信用中国网站（www.creditchina.gov.cn）、中国政府采购网（www.ccgp.gov.cn）查询投标人的信用记录，以确定投标人是否具备投标资格，查询结果留存并归档。</w:t>
      </w:r>
      <w:r/>
    </w:p>
    <w:p>
      <w:pPr>
        <w:pStyle w:val="867"/>
        <w:ind w:firstLine="480"/>
        <w:jc w:val="both"/>
        <w:spacing w:before="0" w:beforeAutospacing="0" w:after="0" w:afterAutospacing="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26.1.2 符合性审查：依据招标文件的规定，由评委会从投标文件的有效性、完整性和对招标文件的响应程度进行审查，以确定其是否对招标文件的实质性要求作出响应。</w:t>
      </w:r>
      <w:r/>
    </w:p>
    <w:p>
      <w:pPr>
        <w:pStyle w:val="867"/>
        <w:ind w:firstLine="480"/>
        <w:jc w:val="both"/>
        <w:spacing w:before="0" w:beforeAutospacing="0" w:after="0" w:afterAutospacing="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本招标文件标注★的部分为实质性要求和条件，投标人必须逐条做出满足实质性要求和条件的响应，否则将按无效响应处理。</w:t>
      </w:r>
      <w:r/>
    </w:p>
    <w:p>
      <w:pPr>
        <w:pStyle w:val="867"/>
        <w:ind w:firstLine="482"/>
        <w:jc w:val="both"/>
        <w:spacing w:before="0" w:beforeAutospacing="0" w:after="0" w:afterAutospacing="0"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26.1.3政府采购异常低价审查：</w:t>
      </w:r>
      <w:r/>
    </w:p>
    <w:p>
      <w:pPr>
        <w:ind w:firstLine="482"/>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特别提醒：</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根据《关于推动解决政府采购异常低价问题的通知》（财库〔2026〕2号）规定，政府采购评审过程中出现下列情形之一的，评审委员会应当启动异常低价投标审查程序:</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1.投标报价低于全部通过符合性审查供应商投标报价平均值50%的，即投标报价&lt;全部通过符合性审查供应商投标报价平均值×50%；</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2.投标报价低于通过符合性审查的次低报价供应商投标报价50%的，即投标报价&lt;通过符合性审查的次低报价供应商投标报价×50%；</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3.投标报价低于采购项目最高限价</w:t>
      </w:r>
      <w:r>
        <w:rPr>
          <w:rFonts w:hint="eastAsia" w:ascii="宋体" w:hAnsi="宋体" w:eastAsia="宋体" w:cs="宋体"/>
          <w:color w:val="000000" w:themeColor="text1"/>
          <w:sz w:val="24"/>
          <w:szCs w:val="24"/>
          <w:lang w:val="en-US" w:eastAsia="zh-CN"/>
          <w14:textFill>
            <w14:solidFill>
              <w14:schemeClr w14:val="tx1"/>
            </w14:solidFill>
          </w14:textFill>
        </w:rPr>
        <w:t xml:space="preserve">50</w:t>
      </w:r>
      <w:r>
        <w:rPr>
          <w:rFonts w:hint="eastAsia" w:ascii="宋体" w:hAnsi="宋体" w:eastAsia="宋体" w:cs="宋体"/>
          <w:color w:val="000000" w:themeColor="text1"/>
          <w:sz w:val="24"/>
          <w:szCs w:val="24"/>
          <w14:textFill>
            <w14:solidFill>
              <w14:schemeClr w14:val="tx1"/>
            </w14:solidFill>
          </w14:textFill>
        </w:rPr>
        <w:t xml:space="preserve">%的，即投标报价&lt;采购项目最高限价×</w:t>
      </w:r>
      <w:r>
        <w:rPr>
          <w:rFonts w:hint="eastAsia" w:ascii="宋体" w:hAnsi="宋体" w:eastAsia="宋体" w:cs="宋体"/>
          <w:color w:val="000000" w:themeColor="text1"/>
          <w:sz w:val="24"/>
          <w:szCs w:val="24"/>
          <w:lang w:val="en-US" w:eastAsia="zh-CN"/>
          <w14:textFill>
            <w14:solidFill>
              <w14:schemeClr w14:val="tx1"/>
            </w14:solidFill>
          </w14:textFill>
        </w:rPr>
        <w:t xml:space="preserve">50</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相关法律法规对供应商报价有规定的，从其规定。</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26.1.4未通过资格审查或符合性审查的投标人，将通过“苏采云”系统中告知其未通过的原因，评审结束后，将不再告知。</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26.2 所谓重大偏离</w:t>
      </w:r>
      <w:r>
        <w:rPr>
          <w:rFonts w:hint="eastAsia" w:ascii="宋体" w:hAnsi="宋体" w:eastAsia="宋体" w:cs="宋体"/>
          <w:color w:val="000000" w:themeColor="text1"/>
          <w:sz w:val="24"/>
          <w14:textFill>
            <w14:solidFill>
              <w14:schemeClr w14:val="tx1"/>
            </w14:solidFill>
          </w14:textFill>
        </w:rPr>
        <w:t xml:space="preserve">是指</w:t>
      </w:r>
      <w:r>
        <w:rPr>
          <w:rFonts w:hint="eastAsia" w:ascii="宋体" w:hAnsi="宋体" w:eastAsia="宋体" w:cs="宋体"/>
          <w:color w:val="000000" w:themeColor="text1"/>
          <w:sz w:val="24"/>
          <w:szCs w:val="24"/>
          <w14:textFill>
            <w14:solidFill>
              <w14:schemeClr w14:val="tx1"/>
            </w14:solidFill>
          </w14:textFill>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26.4 评委会将对确定为实质性响应的投标进行进一步审核，看其是否有计算上或累加上的算术错误，修正错误的原则如下：</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（2）大写金额和小写金额不一致的，以大写金额为准。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同时出现两种以上错误的，按照前款规定的顺序修正。</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非单一产品采购项目，招标文件中将载明核心产品。多家投标人提供的核心产品品牌相同的，按前两款规定处理。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26.7投标人在开、评标全过程中应保持通讯畅通，及时登录苏采云系统查阅、答复相关信息，并安排专人与采购中心及评标委员会联系。</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27、无效投标条款和废标条款</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27.1 无效投标条款：</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（1）投标人未按照招标文件要求递交（上传）电子投标文件的。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（2）投标人在“苏采云”系统规定的时间内未成功解密电子投标文件的。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（3）投标人不具备招标文件中规定的资格要求的。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被信用中国网站（www.creditchina.gov.cn）、中国政府采购网（www.ccgp.gov.cn）列入失信被执行人或重大税收违法案件当事人名单或政府采购严重失信行为记录名单。或查询信用中国、中国政府采购网网站后发现投标人存在其他不符合《中华人民共和国政府采购法》第二十二条规定条件的信用记录。</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（5）投标人提交两个（含两个）以上不同的投标报价的。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（6）投标人的报价超过了采购预算或者最高限价的。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评标委员会认为投标人的报价明显低于其他通过符合性审查投标人的报价，有可能影响产品质量或者不能诚信履约的，将通过苏采云系统要求其在30分钟内提供说明，且提交相关证明材料；投标人不能证明其报价合理性的，评标委员会应当将其作为无效投标处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（8）不符合招标文件规定的实质性要求和条件的。（</w:t>
      </w:r>
      <w:r>
        <w:rPr>
          <w:rFonts w:hint="eastAsia" w:ascii="宋体" w:hAnsi="宋体" w:eastAsia="宋体" w:cs="宋体"/>
          <w:b/>
          <w:bCs/>
          <w:color w:val="000000" w:themeColor="text1"/>
          <w:sz w:val="24"/>
          <w:szCs w:val="24"/>
          <w14:textFill>
            <w14:solidFill>
              <w14:schemeClr w14:val="tx1"/>
            </w14:solidFill>
          </w14:textFill>
        </w:rPr>
        <w:t xml:space="preserve">本招标文件中标★为实质性要求和条件</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（10）投标人未通过符合性审查的。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（11）投标文件含有采购人不能接受的附加条件的。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（12）投标文件未按照招标文件要求加盖公章（CA电子公章）的。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（13）其他法律、法规及本招标文件规定的属于无效投标的情形。</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27.2 有下列情形之一的，视为投标人串通投标，投标无效：</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（1）不同投标人的投标文件由同一单位或者个人编制。</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（2）不同投标人委托同一单位或者个人办理投标事宜。</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（3）不同投标人的投标文件载明的项目管理成员或者联系人员为同一人。</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（4）不同投标人的投标文件异常一致或者投标报价呈规律性差异。</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（5）不同投标人的投标文件相互混装。</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27.3 废标条款：</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（1）因“苏采云”系统故障原因造成开标不成功的。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（2）评委会认定招标文件存在歧义、重大缺陷导致评标工作无法进行，或者招标文件内容违反国家有关强制性规定的。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（3）符合专业条件的供应商或者对招标文件作实质响应的供应商不足三家的。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（4）出现影响采购公正的违法、违规行为的。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（5）因重大变故，采购任务取消的。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27.4 出现投标截止时间结束后参加投标的供应商或者在评标期间对招标文件做出实质响应的供应商不足三家情况的，按照政府采购有关规定执行。</w:t>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六、定标</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28、确定中标单位</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28.1 中标候选人的选取原则和数量详见招标文件第五章规定。 </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28.2 采购人应根据评委会推荐的中标候选人确定中标人。</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28.3 采购中心将在江苏政府采购网发布中标公告，公告期限为1个工作日。</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28.4 若有充分证据证明，中标人存在下列情形之一的，一经查实，将被取消中标资格：</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（1）提供虚假材料谋取中标、中标的。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（2）采取不正当手段诋毁、排挤其他供应商的。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（3）与采购人、其他供应商或者采购中心恶意串通的。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（4）向采购人、采购中心行贿或者提供其他不正当利益的。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（5）在招标采购过程中与采购人进行协商谈判的。</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（6）属于本招标文件规定的无效情形，但在评标过程中又未被评委会发现的。</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29、中标通知书</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29.1 中标结果确定后，采购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29.3中标人应在中标后七个工作日内，向采购中心提供两份与电子投标文件一致的纸质打印胶装投标文件（带页码），封面、骑缝需加盖公章。</w:t>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七、授予合同</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30、履约保证金</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30.2中标人违约的，采购人将按照合同约定扣除其全部或部分履约保证金。如中标人违约给采购人造成的损失超过履约保证金的，应当依法赔偿超过部分的损失。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30.3履约保证金自合同生效之日起至合同约定的中标人主要义务履行完毕止，采购人应当按合同约定及时退还履约保证金。</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30.4逾期退还履约保证金的采购人承担违约责任，按照中国人民银行同期贷款基准利率向中标人支付超期资金占用费。</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30.5本项目履约保证金要求详见招标文件第四章采购需求。</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31、签订合同</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31.1 中标人应当在中标通知书发出之日起三十日内，按照招标文件和中标人投标文件的规定，与采购人签订政府采购合同。</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31.2 招标文件、中标人的投标文件及招标过程中有关澄清、承诺等文件均应作为合同附件。</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32、合同标的的追加</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33、政府采购履约资金扶持政策</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33.1 中标人可凭政府采购合同办理融资贷款，详情请见江苏政府采购网“政采贷”专栏。</w:t>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八、询问与质疑</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34、询问</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34.1 供应商对政府采购活动事项有疑问的，可以提出询问，采购人或者采购中心应当在3个工作日内对投标人依法提出的询问作出答复，但答复的内容不得涉及商业秘密。供应商提出的询问超出采购人对采购中心委托授权范围的，采购中心应当告知其向采购人提出。</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35、质疑提出</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35.1 提出质疑的供应商应当是参与所质疑项目采购活动的供应商。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35.2 供应商认为采购文件、采购过程、采购结果使自己的权益受到损害的，可以在知道或者应知其权益受到损害之日（获取采购文件之日、中标公告发布之日）起七个工作日内以书面形式向采购人、采购中心提出质疑。</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供应商应当在法定质疑期内一次性提出针对同一采购程序环节的质疑，供应商如在法定期限内对同一采购程序环节提出多次质疑的，采购人、采购中心将只对供应商第一次质疑作出答复。</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未按照采购公告要求获取采购文件的供应商，视为未参与该项目采购活动，不具备对该采购文件提出质疑的法定权利。</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35.4 质疑函的接收方式为供应商书面原件提交。联系部门、联系电话和通讯地址详见招标文件第一章。质疑实行实名制，不得进行虚假、恶意质疑。</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35.5 质疑函应当使用范本，详见招标文件第六章。供应商提出质疑应当提交质疑函和必要的证明材料，应当包括下列内容：</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（1）供应商的姓名或者名称、地址、邮编、联系人及联系电话；</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（2）质疑项目的名称、编号；</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（3）具体、明确的质疑事项和与质疑事项相关的请求；</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（4）事实依据；</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（5）必要的法律依据；</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（6）提出质疑的日期；</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（7）必要的证明材料；</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（8）营业执照复印件及授权委托书原件、法定代表人（单位负责人）身份证复印件、委托代理人身份证复印件。</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供应商为自然人的，应当由本人签字；供应商为法人或者其他组织的，应当由法定代表人、主要负责人，或者其委托代理人签字或者盖章，并加盖单位公章。</w:t>
      </w:r>
      <w:r/>
    </w:p>
    <w:p>
      <w:pPr>
        <w:pStyle w:val="846"/>
        <w:ind w:firstLine="560"/>
        <w:jc w:val="left"/>
        <w:spacing w:before="0" w:after="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36、质疑函的受理和答复</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中心不负责搜集必要的证明材料等工作。</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36.2 对符合法定要求的质疑，采购人接收。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36.3 对不符合质疑要求的，采购人、采购中心有权要求其补充必要的证明材料，质疑供应商未在法定时间内补充必要的证明材料的，不利后果由质疑供应商自行承担。</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36.4 以下情形的质疑依法不予受理：</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（1）内容不符合《政府采购质疑和投诉办法》第十二条规定的质疑。</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（2）超出政府采购法定期限的质疑。</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（3）以传真、电子邮件等方式递交的非原件形式的质疑。</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（4）未参与采购活动或在采购活动中自身权益未受到损害的供应商提出的质疑。</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（5）供应商组成联合体，联合体中任何一方或多方未按要求签字（盖章）、加盖公章的质疑。</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36.5 采购人、采购中心依法受理的质疑，将按照政府采购有关规定，在法定期限内作出答复。</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36.6 因质疑供应商所留联系方式无效，或者无故不接收，导致质疑答复结果无法送达的，视为质疑供应商主动放弃知晓质疑答复结果的权利。</w:t>
      </w:r>
      <w:r/>
    </w:p>
    <w:p>
      <w:pPr>
        <w:ind w:firstLine="562"/>
        <w:jc w:val="left"/>
        <w:keepLines/>
        <w:keepNext/>
        <w:spacing w:line="360" w:lineRule="auto"/>
        <w:rPr>
          <w:rFonts w:hint="eastAsia" w:ascii="宋体" w:hAnsi="宋体" w:eastAsia="宋体" w:cs="宋体"/>
          <w:b/>
          <w:bCs/>
          <w:color w:val="000000" w:themeColor="text1"/>
          <w:sz w:val="28"/>
          <w:szCs w:val="28"/>
          <w14:textFill>
            <w14:solidFill>
              <w14:schemeClr w14:val="tx1"/>
            </w14:solidFill>
          </w14:textFill>
        </w:rPr>
        <w:outlineLvl w:val="2"/>
      </w:pPr>
      <w:r>
        <w:rPr>
          <w:rFonts w:hint="eastAsia" w:ascii="宋体" w:hAnsi="宋体" w:eastAsia="宋体" w:cs="宋体"/>
          <w:b/>
          <w:bCs/>
          <w:color w:val="000000" w:themeColor="text1"/>
          <w:sz w:val="28"/>
          <w:szCs w:val="28"/>
          <w14:textFill>
            <w14:solidFill>
              <w14:schemeClr w14:val="tx1"/>
            </w14:solidFill>
          </w14:textFill>
        </w:rPr>
        <w:t xml:space="preserve">37、质疑处理</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37.1质疑供应商未按照法定程序进行质疑投诉的，视为一般失信行为。</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37.2质疑供应商不配合或者采取不正当手段干扰政府采购质疑、投诉处理工作的，视为一般失信行为。</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37.3质疑供应商投诉受理期间，就同一事项多头举报，干扰财政部门投诉处理的，视为一般失信行为。</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37.4质疑供应商在全国范围12个月内三次以上质疑查无实据的，视为一般失信行为。</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37.6质疑供应商在全国范围12个月内三次以上投诉查无实据的，视为严重失信行为。</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37.7未尽事宜，依照有关法律、法规执行。</w:t>
      </w:r>
      <w:r/>
    </w:p>
    <w:p>
      <w:pPr>
        <w:pStyle w:val="845"/>
        <w:spacing w:before="0" w:after="0" w:line="360" w:lineRule="auto"/>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九、政府采购政策功能</w:t>
      </w:r>
      <w:r/>
    </w:p>
    <w:p>
      <w:pPr>
        <w:pStyle w:val="846"/>
        <w:ind w:firstLine="560"/>
        <w:jc w:val="left"/>
        <w:spacing w:before="0" w:after="0"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38、促进中小企业发展</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38.2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38.3 参加本项目政府采购活动的供应商享受价格评审优惠的应当提供的材料： </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（1）投标人提供的货物全部由小型企业、微型企业制造的，提供《中小企业声明函》（第六章 投标文件格式）。</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38.4 残疾人福利单位、监狱企业属于小型、微型企业的，不重复享受政策。</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38.5享受扶持政策获得政府采购合同的，小微型企业不得将合同分包给大中型企业，中型企业不得将合同分包给大型企业。</w:t>
      </w:r>
      <w:r/>
    </w:p>
    <w:p>
      <w:pPr>
        <w:ind w:firstLine="562"/>
        <w:jc w:val="left"/>
        <w:keepLines/>
        <w:keepNext/>
        <w:spacing w:line="360" w:lineRule="auto"/>
        <w:rPr>
          <w:rFonts w:hint="eastAsia" w:ascii="宋体" w:hAnsi="宋体" w:eastAsia="宋体" w:cs="宋体"/>
          <w:b/>
          <w:bCs/>
          <w:color w:val="000000" w:themeColor="text1"/>
          <w:sz w:val="28"/>
          <w:szCs w:val="28"/>
          <w14:textFill>
            <w14:solidFill>
              <w14:schemeClr w14:val="tx1"/>
            </w14:solidFill>
          </w14:textFill>
        </w:rPr>
        <w:outlineLvl w:val="2"/>
      </w:pPr>
      <w:r>
        <w:rPr>
          <w:rFonts w:hint="eastAsia" w:ascii="宋体" w:hAnsi="宋体" w:eastAsia="宋体" w:cs="宋体"/>
          <w:b/>
          <w:bCs/>
          <w:color w:val="000000" w:themeColor="text1"/>
          <w:sz w:val="28"/>
          <w:szCs w:val="28"/>
          <w14:textFill>
            <w14:solidFill>
              <w14:schemeClr w14:val="tx1"/>
            </w14:solidFill>
          </w14:textFill>
        </w:rPr>
        <w:t xml:space="preserve">39、支持绿色发展</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562"/>
        <w:jc w:val="left"/>
        <w:keepLines/>
        <w:keepNext/>
        <w:spacing w:line="360" w:lineRule="auto"/>
        <w:rPr>
          <w:rFonts w:hint="eastAsia" w:ascii="宋体" w:hAnsi="宋体" w:eastAsia="宋体" w:cs="宋体"/>
          <w:b/>
          <w:bCs/>
          <w:color w:val="000000" w:themeColor="text1"/>
          <w:sz w:val="28"/>
          <w:szCs w:val="28"/>
          <w14:textFill>
            <w14:solidFill>
              <w14:schemeClr w14:val="tx1"/>
            </w14:solidFill>
          </w14:textFill>
        </w:rPr>
        <w:outlineLvl w:val="2"/>
      </w:pPr>
      <w:r>
        <w:rPr>
          <w:rFonts w:hint="eastAsia" w:ascii="宋体" w:hAnsi="宋体" w:eastAsia="宋体" w:cs="宋体"/>
          <w:b/>
          <w:bCs/>
          <w:color w:val="000000" w:themeColor="text1"/>
          <w:sz w:val="28"/>
          <w:szCs w:val="28"/>
          <w14:textFill>
            <w14:solidFill>
              <w14:schemeClr w14:val="tx1"/>
            </w14:solidFill>
          </w14:textFill>
        </w:rPr>
        <w:t xml:space="preserve">40、政府采购需求标准</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40.1本项目执行《绿色数据中心政府采购需求</w:t>
      </w:r>
      <w:r>
        <w:rPr>
          <w:rFonts w:hint="eastAsia" w:ascii="宋体" w:hAnsi="宋体" w:eastAsia="宋体" w:cs="宋体"/>
          <w:color w:val="000000" w:themeColor="text1"/>
          <w:sz w:val="24"/>
          <w:szCs w:val="24"/>
          <w14:textFill>
            <w14:solidFill>
              <w14:schemeClr w14:val="tx1"/>
            </w14:solidFill>
          </w14:textFill>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562"/>
        <w:jc w:val="left"/>
        <w:keepLines/>
        <w:keepNext/>
        <w:spacing w:line="480" w:lineRule="exact"/>
        <w:rPr>
          <w:rFonts w:hint="eastAsia" w:ascii="宋体" w:hAnsi="宋体" w:eastAsia="宋体" w:cs="宋体"/>
          <w:b/>
          <w:bCs/>
          <w:color w:val="000000" w:themeColor="text1"/>
          <w:sz w:val="28"/>
          <w:szCs w:val="28"/>
          <w14:textFill>
            <w14:solidFill>
              <w14:schemeClr w14:val="tx1"/>
            </w14:solidFill>
          </w14:textFill>
        </w:rPr>
        <w:outlineLvl w:val="2"/>
      </w:pPr>
      <w:r>
        <w:rPr>
          <w:rFonts w:hint="eastAsia" w:ascii="宋体" w:hAnsi="宋体" w:eastAsia="宋体" w:cs="宋体"/>
          <w:b/>
          <w:bCs/>
          <w:color w:val="000000" w:themeColor="text1"/>
          <w:sz w:val="28"/>
          <w:szCs w:val="28"/>
          <w14:textFill>
            <w14:solidFill>
              <w14:schemeClr w14:val="tx1"/>
            </w14:solidFill>
          </w14:textFill>
        </w:rPr>
        <w:t xml:space="preserve">41、采购本国产品的支持政策</w:t>
      </w:r>
      <w:r/>
    </w:p>
    <w:p>
      <w:pPr>
        <w:ind w:firstLine="480"/>
        <w:jc w:val="left"/>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41.3 供应商需按照招标文件的要求提供《关于符合本国产品标准的声明函》（以下简称《声明函》），如不提供将不享受本国产品价格评审优惠。</w:t>
      </w:r>
      <w:r/>
    </w:p>
    <w:p>
      <w:pPr>
        <w:ind w:firstLine="480"/>
        <w:jc w:val="left"/>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keepLines/>
        <w:keepNext/>
        <w:spacing w:line="360" w:lineRule="auto"/>
        <w:rPr>
          <w:rFonts w:hint="eastAsia" w:ascii="宋体" w:hAnsi="宋体" w:eastAsia="宋体" w:cs="宋体"/>
          <w:color w:val="000000" w:themeColor="text1"/>
          <w:sz w:val="24"/>
          <w:szCs w:val="24"/>
          <w:shd w:val="clear" w:color="auto" w:fill="ffffff"/>
          <w14:textFill>
            <w14:solidFill>
              <w14:schemeClr w14:val="tx1"/>
            </w14:solidFill>
          </w14:textFill>
        </w:rPr>
        <w:outlineLvl w:val="2"/>
      </w:pPr>
      <w:r>
        <w:rPr>
          <w:rFonts w:hint="eastAsia" w:ascii="宋体" w:hAnsi="宋体" w:eastAsia="宋体" w:cs="宋体"/>
          <w:color w:val="000000" w:themeColor="text1"/>
          <w:sz w:val="24"/>
          <w:szCs w:val="24"/>
          <w14:textFill>
            <w14:solidFill>
              <w14:schemeClr w14:val="tx1"/>
            </w14:solidFill>
          </w14:textFill>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41.7</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提供生产厂营业执照原件扫描件，否则</w:t>
      </w:r>
      <w:r>
        <w:rPr>
          <w:rFonts w:hint="eastAsia" w:ascii="宋体" w:hAnsi="宋体" w:eastAsia="宋体" w:cs="宋体"/>
          <w:color w:val="000000" w:themeColor="text1"/>
          <w:sz w:val="24"/>
          <w:szCs w:val="24"/>
          <w14:textFill>
            <w14:solidFill>
              <w14:schemeClr w14:val="tx1"/>
            </w14:solidFill>
          </w14:textFill>
        </w:rPr>
        <w:t xml:space="preserve">不享受本国产品价格评审优惠</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p>
    <w:p>
      <w:pPr>
        <w:ind w:firstLine="562"/>
        <w:jc w:val="left"/>
        <w:keepLines/>
        <w:keepNext/>
        <w:spacing w:line="360" w:lineRule="auto"/>
        <w:rPr>
          <w:rFonts w:hint="eastAsia" w:ascii="宋体" w:hAnsi="宋体" w:eastAsia="宋体" w:cs="宋体"/>
          <w:b/>
          <w:bCs/>
          <w:color w:val="000000" w:themeColor="text1"/>
          <w:sz w:val="28"/>
          <w:szCs w:val="28"/>
          <w14:textFill>
            <w14:solidFill>
              <w14:schemeClr w14:val="tx1"/>
            </w14:solidFill>
          </w14:textFill>
        </w:rPr>
        <w:outlineLvl w:val="2"/>
      </w:pPr>
      <w:r>
        <w:rPr>
          <w:rFonts w:hint="eastAsia" w:ascii="宋体" w:hAnsi="宋体" w:eastAsia="宋体" w:cs="宋体"/>
          <w:b/>
          <w:bCs/>
          <w:color w:val="000000" w:themeColor="text1"/>
          <w:sz w:val="28"/>
          <w:szCs w:val="28"/>
          <w14:textFill>
            <w14:solidFill>
              <w14:schemeClr w14:val="tx1"/>
            </w14:solidFill>
          </w14:textFill>
        </w:rPr>
        <w:t xml:space="preserve">解释权</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本招标文件是参照《中华人民共和国政府采购法》、《中华人民共和国政府采购法实施条例》、《</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政府采购货物和服务招标投标管理办法</w:t>
      </w:r>
      <w:r>
        <w:rPr>
          <w:rFonts w:hint="eastAsia" w:ascii="宋体" w:hAnsi="宋体" w:eastAsia="宋体" w:cs="宋体"/>
          <w:color w:val="000000" w:themeColor="text1"/>
          <w:sz w:val="24"/>
          <w:szCs w:val="24"/>
          <w14:textFill>
            <w14:solidFill>
              <w14:schemeClr w14:val="tx1"/>
            </w14:solidFill>
          </w14:textFill>
        </w:rPr>
        <w:t xml:space="preserve">》及相关法律法规编制，解释权属采购人。</w:t>
      </w:r>
      <w:r/>
    </w:p>
    <w:p>
      <w:pPr>
        <w:ind w:firstLine="480"/>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政府采购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pStyle w:val="844"/>
        <w:numPr>
          <w:ilvl w:val="0"/>
          <w:numId w:val="1"/>
        </w:numPr>
        <w:ind w:left="720" w:hanging="360"/>
        <w:jc w:val="center"/>
        <w:spacing w:line="360" w:lineRule="auto"/>
        <w:tabs>
          <w:tab w:val="left" w:pos="720" w:leader="none"/>
        </w:tabs>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br w:type="page" w:clear="all"/>
      </w:r>
      <w:r>
        <w:rPr>
          <w:rFonts w:hint="eastAsia" w:ascii="宋体" w:hAnsi="宋体" w:eastAsia="宋体" w:cs="宋体"/>
          <w:bCs/>
          <w:color w:val="000000" w:themeColor="text1"/>
          <w14:textFill>
            <w14:solidFill>
              <w14:schemeClr w14:val="tx1"/>
            </w14:solidFill>
          </w14:textFill>
        </w:rPr>
        <w:t xml:space="preserve"> 合同文本</w:t>
      </w:r>
      <w:r/>
    </w:p>
    <w:p>
      <w:pPr>
        <w:ind w:firstLine="480"/>
        <w:spacing w:line="500" w:lineRule="exact"/>
        <w:rPr>
          <w:rFonts w:hint="eastAsia" w:ascii="宋体" w:hAnsi="宋体" w:eastAsia="宋体" w:cs="宋体"/>
          <w:bCs/>
          <w:color w:val="000000" w:themeColor="text1"/>
          <w:sz w:val="24"/>
          <w:szCs w:val="21"/>
          <w14:textFill>
            <w14:solidFill>
              <w14:schemeClr w14:val="tx1"/>
            </w14:solidFill>
          </w14:textFill>
        </w:rPr>
      </w:pPr>
      <w:r/>
      <w:bookmarkStart w:id="4" w:name="_Toc513029243"/>
      <w:r/>
      <w:bookmarkStart w:id="5" w:name="_Toc20823315"/>
      <w:r/>
      <w:bookmarkStart w:id="6" w:name="_Toc16938559"/>
      <w:r>
        <w:rPr>
          <w:rFonts w:hint="eastAsia" w:ascii="宋体" w:hAnsi="宋体" w:eastAsia="宋体" w:cs="宋体"/>
          <w:bCs/>
          <w:color w:val="000000" w:themeColor="text1"/>
          <w:sz w:val="24"/>
          <w:szCs w:val="21"/>
          <w14:textFill>
            <w14:solidFill>
              <w14:schemeClr w14:val="tx1"/>
            </w14:solidFill>
          </w14:textFill>
        </w:rPr>
        <w:t xml:space="preserve">以下为中标后签定本项目合同的通用条款，中标人不得提出实质性的修改。</w:t>
      </w:r>
      <w:bookmarkEnd w:id="4"/>
      <w:r/>
      <w:bookmarkEnd w:id="5"/>
      <w:r/>
      <w:bookmarkEnd w:id="6"/>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rPr>
          <w:rFonts w:hint="eastAsia" w:ascii="宋体" w:hAnsi="宋体" w:eastAsia="宋体" w:cs="宋体"/>
          <w:b/>
          <w:bCs/>
          <w:color w:val="000000" w:themeColor="text1"/>
          <w:spacing w:val="-20"/>
          <w:sz w:val="48"/>
          <w:szCs w:val="48"/>
          <w14:textFill>
            <w14:solidFill>
              <w14:schemeClr w14:val="tx1"/>
            </w14:solidFill>
          </w14:textFill>
        </w:rPr>
      </w:pPr>
      <w:r>
        <w:rPr>
          <w:rFonts w:hint="eastAsia" w:ascii="宋体" w:hAnsi="宋体" w:eastAsia="宋体" w:cs="宋体"/>
          <w:b/>
          <w:bCs/>
          <w:color w:val="000000" w:themeColor="text1"/>
          <w:spacing w:val="-20"/>
          <w:sz w:val="48"/>
          <w:szCs w:val="48"/>
          <w14:textFill>
            <w14:solidFill>
              <w14:schemeClr w14:val="tx1"/>
            </w14:solidFill>
          </w14:textFill>
        </w:rPr>
      </w:r>
      <w:r/>
    </w:p>
    <w:p>
      <w:pPr>
        <w:rPr>
          <w:rFonts w:hint="eastAsia" w:ascii="宋体" w:hAnsi="宋体" w:eastAsia="宋体" w:cs="宋体"/>
          <w:b/>
          <w:bCs/>
          <w:color w:val="000000" w:themeColor="text1"/>
          <w:spacing w:val="-20"/>
          <w:sz w:val="48"/>
          <w:szCs w:val="48"/>
          <w14:textFill>
            <w14:solidFill>
              <w14:schemeClr w14:val="tx1"/>
            </w14:solidFill>
          </w14:textFill>
        </w:rPr>
      </w:pPr>
      <w:r>
        <w:rPr>
          <w:rFonts w:hint="eastAsia" w:ascii="宋体" w:hAnsi="宋体" w:eastAsia="宋体" w:cs="宋体"/>
          <w:b/>
          <w:bCs/>
          <w:color w:val="000000" w:themeColor="text1"/>
          <w:spacing w:val="-20"/>
          <w:sz w:val="48"/>
          <w:szCs w:val="48"/>
          <w14:textFill>
            <w14:solidFill>
              <w14:schemeClr w14:val="tx1"/>
            </w14:solidFill>
          </w14:textFill>
        </w:rPr>
      </w:r>
      <w:r/>
    </w:p>
    <w:p>
      <w:pPr>
        <w:ind w:firstLine="440"/>
        <w:spacing w:line="400" w:lineRule="exact"/>
        <w:rPr>
          <w:rFonts w:hint="eastAsia" w:ascii="宋体" w:hAnsi="宋体" w:eastAsia="宋体" w:cs="宋体"/>
          <w:b/>
          <w:bCs/>
          <w:color w:val="000000" w:themeColor="text1"/>
          <w:spacing w:val="-20"/>
          <w:sz w:val="48"/>
          <w:szCs w:val="48"/>
          <w14:textFill>
            <w14:solidFill>
              <w14:schemeClr w14:val="tx1"/>
            </w14:solidFill>
          </w14:textFill>
        </w:rPr>
      </w:pPr>
      <w:r>
        <w:rPr>
          <w:rFonts w:hint="eastAsia" w:ascii="宋体" w:hAnsi="宋体" w:eastAsia="宋体" w:cs="宋体"/>
          <w:b/>
          <w:bCs/>
          <w:color w:val="000000" w:themeColor="text1"/>
          <w:spacing w:val="-20"/>
          <w:sz w:val="48"/>
          <w:szCs w:val="48"/>
          <w14:textFill>
            <w14:solidFill>
              <w14:schemeClr w14:val="tx1"/>
            </w14:solidFill>
          </w14:textFill>
        </w:rPr>
      </w:r>
      <w:r/>
    </w:p>
    <w:p>
      <w:pPr>
        <w:ind w:firstLine="440"/>
        <w:spacing w:line="400" w:lineRule="exact"/>
        <w:rPr>
          <w:rFonts w:hint="eastAsia" w:ascii="宋体" w:hAnsi="宋体" w:eastAsia="宋体" w:cs="宋体"/>
          <w:b/>
          <w:bCs/>
          <w:color w:val="000000" w:themeColor="text1"/>
          <w:spacing w:val="-20"/>
          <w:sz w:val="48"/>
          <w:szCs w:val="48"/>
          <w14:textFill>
            <w14:solidFill>
              <w14:schemeClr w14:val="tx1"/>
            </w14:solidFill>
          </w14:textFill>
        </w:rPr>
      </w:pPr>
      <w:r>
        <w:rPr>
          <w:rFonts w:hint="eastAsia" w:ascii="宋体" w:hAnsi="宋体" w:eastAsia="宋体" w:cs="宋体"/>
          <w:b/>
          <w:bCs/>
          <w:color w:val="000000" w:themeColor="text1"/>
          <w:spacing w:val="-20"/>
          <w:sz w:val="48"/>
          <w:szCs w:val="48"/>
          <w14:textFill>
            <w14:solidFill>
              <w14:schemeClr w14:val="tx1"/>
            </w14:solidFill>
          </w14:textFill>
        </w:rPr>
      </w:r>
      <w:r/>
    </w:p>
    <w:p>
      <w:pPr>
        <w:ind w:firstLine="440"/>
        <w:spacing w:line="400" w:lineRule="exact"/>
        <w:rPr>
          <w:rFonts w:hint="eastAsia" w:ascii="宋体" w:hAnsi="宋体" w:eastAsia="宋体" w:cs="宋体"/>
          <w:b/>
          <w:bCs/>
          <w:color w:val="000000" w:themeColor="text1"/>
          <w:spacing w:val="-20"/>
          <w:sz w:val="48"/>
          <w:szCs w:val="48"/>
          <w14:textFill>
            <w14:solidFill>
              <w14:schemeClr w14:val="tx1"/>
            </w14:solidFill>
          </w14:textFill>
        </w:rPr>
      </w:pPr>
      <w:r>
        <w:rPr>
          <w:rFonts w:hint="eastAsia" w:ascii="宋体" w:hAnsi="宋体" w:eastAsia="宋体" w:cs="宋体"/>
          <w:b/>
          <w:bCs/>
          <w:color w:val="000000" w:themeColor="text1"/>
          <w:spacing w:val="-20"/>
          <w:sz w:val="48"/>
          <w:szCs w:val="48"/>
          <w14:textFill>
            <w14:solidFill>
              <w14:schemeClr w14:val="tx1"/>
            </w14:solidFill>
          </w14:textFill>
        </w:rPr>
      </w:r>
      <w:r/>
    </w:p>
    <w:p>
      <w:pPr>
        <w:jc w:val="center"/>
        <w:rPr>
          <w:rFonts w:hint="eastAsia" w:ascii="宋体" w:hAnsi="宋体" w:eastAsia="宋体" w:cs="宋体"/>
          <w:b/>
          <w:bCs/>
          <w:color w:val="000000" w:themeColor="text1"/>
          <w:spacing w:val="-20"/>
          <w:sz w:val="48"/>
          <w:szCs w:val="48"/>
          <w14:textFill>
            <w14:solidFill>
              <w14:schemeClr w14:val="tx1"/>
            </w14:solidFill>
          </w14:textFill>
        </w:rPr>
      </w:pPr>
      <w:r>
        <w:rPr>
          <w:rFonts w:hint="eastAsia" w:ascii="宋体" w:hAnsi="宋体" w:eastAsia="宋体" w:cs="宋体"/>
          <w:b/>
          <w:bCs/>
          <w:color w:val="000000" w:themeColor="text1"/>
          <w:spacing w:val="-20"/>
          <w:sz w:val="48"/>
          <w:szCs w:val="48"/>
          <w14:textFill>
            <w14:solidFill>
              <w14:schemeClr w14:val="tx1"/>
            </w14:solidFill>
          </w14:textFill>
        </w:rPr>
        <w:t xml:space="preserve">政府采购货物买卖合同</w:t>
      </w:r>
      <w:r/>
    </w:p>
    <w:p>
      <w:pPr>
        <w:rPr>
          <w:rFonts w:hint="eastAsia" w:ascii="宋体" w:hAnsi="宋体" w:eastAsia="宋体" w:cs="宋体"/>
          <w:b/>
          <w:bCs/>
          <w:color w:val="000000" w:themeColor="text1"/>
          <w:spacing w:val="-20"/>
          <w:sz w:val="40"/>
          <w:szCs w:val="40"/>
          <w14:textFill>
            <w14:solidFill>
              <w14:schemeClr w14:val="tx1"/>
            </w14:solidFill>
          </w14:textFill>
        </w:rPr>
      </w:pPr>
      <w:r>
        <w:rPr>
          <w:rFonts w:hint="eastAsia" w:ascii="宋体" w:hAnsi="宋体" w:eastAsia="宋体" w:cs="宋体"/>
          <w:b/>
          <w:bCs/>
          <w:color w:val="000000" w:themeColor="text1"/>
          <w:spacing w:val="-20"/>
          <w:sz w:val="40"/>
          <w:szCs w:val="40"/>
          <w14:textFill>
            <w14:solidFill>
              <w14:schemeClr w14:val="tx1"/>
            </w14:solidFill>
          </w14:textFill>
        </w:rPr>
      </w:r>
      <w:r/>
    </w:p>
    <w:p>
      <w:pPr>
        <w:rPr>
          <w:rFonts w:hint="eastAsia" w:ascii="宋体" w:hAnsi="宋体" w:eastAsia="宋体" w:cs="宋体"/>
          <w:b/>
          <w:bCs/>
          <w:color w:val="000000" w:themeColor="text1"/>
          <w:spacing w:val="-20"/>
          <w:sz w:val="40"/>
          <w:szCs w:val="40"/>
          <w14:textFill>
            <w14:solidFill>
              <w14:schemeClr w14:val="tx1"/>
            </w14:solidFill>
          </w14:textFill>
        </w:rPr>
      </w:pPr>
      <w:r>
        <w:rPr>
          <w:rFonts w:hint="eastAsia" w:ascii="宋体" w:hAnsi="宋体" w:eastAsia="宋体" w:cs="宋体"/>
          <w:b/>
          <w:bCs/>
          <w:color w:val="000000" w:themeColor="text1"/>
          <w:spacing w:val="-20"/>
          <w:sz w:val="40"/>
          <w:szCs w:val="40"/>
          <w14:textFill>
            <w14:solidFill>
              <w14:schemeClr w14:val="tx1"/>
            </w14:solidFill>
          </w14:textFill>
        </w:rPr>
      </w:r>
      <w:r/>
    </w:p>
    <w:p>
      <w:pPr>
        <w:rPr>
          <w:rFonts w:hint="eastAsia" w:ascii="宋体" w:hAnsi="宋体" w:eastAsia="宋体" w:cs="宋体"/>
          <w:b/>
          <w:bCs/>
          <w:color w:val="000000" w:themeColor="text1"/>
          <w:spacing w:val="-20"/>
          <w:sz w:val="40"/>
          <w:szCs w:val="40"/>
          <w14:textFill>
            <w14:solidFill>
              <w14:schemeClr w14:val="tx1"/>
            </w14:solidFill>
          </w14:textFill>
        </w:rPr>
      </w:pPr>
      <w:r>
        <w:rPr>
          <w:rFonts w:hint="eastAsia" w:ascii="宋体" w:hAnsi="宋体" w:eastAsia="宋体" w:cs="宋体"/>
          <w:b/>
          <w:bCs/>
          <w:color w:val="000000" w:themeColor="text1"/>
          <w:spacing w:val="-20"/>
          <w:sz w:val="40"/>
          <w:szCs w:val="40"/>
          <w14:textFill>
            <w14:solidFill>
              <w14:schemeClr w14:val="tx1"/>
            </w14:solidFill>
          </w14:textFill>
        </w:rPr>
      </w:r>
      <w:r/>
    </w:p>
    <w:p>
      <w:pPr>
        <w:ind w:left="420"/>
        <w:spacing w:line="360" w:lineRule="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项目名称：</w:t>
      </w:r>
      <w:r>
        <w:rPr>
          <w:rFonts w:hint="eastAsia" w:ascii="宋体" w:hAnsi="宋体" w:eastAsia="宋体" w:cs="宋体"/>
          <w:color w:val="000000" w:themeColor="text1"/>
          <w:sz w:val="32"/>
          <w:szCs w:val="32"/>
          <w:u w:val="single"/>
          <w14:textFill>
            <w14:solidFill>
              <w14:schemeClr w14:val="tx1"/>
            </w14:solidFill>
          </w14:textFill>
        </w:rPr>
        <w:t xml:space="preserve">多元化人工智能实验室项目    </w:t>
      </w:r>
      <w:r>
        <w:rPr>
          <w:rFonts w:hint="eastAsia" w:ascii="宋体" w:hAnsi="宋体" w:eastAsia="宋体" w:cs="宋体"/>
          <w:color w:val="000000" w:themeColor="text1"/>
          <w:sz w:val="32"/>
          <w:szCs w:val="32"/>
          <w14:textFill>
            <w14:solidFill>
              <w14:schemeClr w14:val="tx1"/>
            </w14:solidFill>
          </w14:textFill>
        </w:rPr>
        <w:t xml:space="preserve"> </w:t>
      </w:r>
      <w:r/>
    </w:p>
    <w:p>
      <w:pPr>
        <w:ind w:left="420"/>
        <w:spacing w:line="360" w:lineRule="auto"/>
        <w:rPr>
          <w:rFonts w:hint="eastAsia" w:ascii="宋体" w:hAnsi="宋体" w:eastAsia="宋体" w:cs="宋体"/>
          <w:color w:val="000000" w:themeColor="text1"/>
          <w:sz w:val="32"/>
          <w:szCs w:val="32"/>
          <w:u w:val="single"/>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合同编号：</w:t>
      </w:r>
      <w:r>
        <w:rPr>
          <w:rFonts w:hint="eastAsia" w:ascii="宋体" w:hAnsi="宋体" w:eastAsia="宋体" w:cs="宋体"/>
          <w:color w:val="000000" w:themeColor="text1"/>
          <w:sz w:val="32"/>
          <w:szCs w:val="32"/>
          <w:u w:val="single"/>
          <w14:textFill>
            <w14:solidFill>
              <w14:schemeClr w14:val="tx1"/>
            </w14:solidFill>
          </w14:textFill>
        </w:rPr>
        <w:t xml:space="preserve">                             </w:t>
      </w:r>
      <w:r/>
    </w:p>
    <w:p>
      <w:pPr>
        <w:ind w:left="420"/>
        <w:spacing w:line="360" w:lineRule="auto"/>
        <w:rPr>
          <w:rFonts w:hint="eastAsia" w:ascii="宋体" w:hAnsi="宋体" w:eastAsia="宋体" w:cs="宋体"/>
          <w:color w:val="000000" w:themeColor="text1"/>
          <w:sz w:val="32"/>
          <w:szCs w:val="32"/>
          <w:u w:val="single"/>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甲    方：</w:t>
      </w:r>
      <w:r>
        <w:rPr>
          <w:rFonts w:hint="eastAsia" w:ascii="宋体" w:hAnsi="宋体" w:eastAsia="宋体" w:cs="宋体"/>
          <w:color w:val="000000" w:themeColor="text1"/>
          <w:sz w:val="32"/>
          <w:szCs w:val="32"/>
          <w:u w:val="single"/>
          <w14:textFill>
            <w14:solidFill>
              <w14:schemeClr w14:val="tx1"/>
            </w14:solidFill>
          </w14:textFill>
        </w:rPr>
        <w:t xml:space="preserve">  灌云县教育局               </w:t>
      </w:r>
      <w:r/>
    </w:p>
    <w:p>
      <w:pPr>
        <w:ind w:left="420"/>
        <w:spacing w:line="360" w:lineRule="auto"/>
        <w:rPr>
          <w:rFonts w:hint="eastAsia" w:ascii="宋体" w:hAnsi="宋体" w:eastAsia="宋体" w:cs="宋体"/>
          <w:color w:val="000000" w:themeColor="text1"/>
          <w:sz w:val="32"/>
          <w:szCs w:val="32"/>
          <w:u w:val="single"/>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乙    方：</w:t>
      </w:r>
      <w:r>
        <w:rPr>
          <w:rFonts w:hint="eastAsia" w:ascii="宋体" w:hAnsi="宋体" w:eastAsia="宋体" w:cs="宋体"/>
          <w:color w:val="000000" w:themeColor="text1"/>
          <w:sz w:val="32"/>
          <w:szCs w:val="32"/>
          <w:u w:val="single"/>
          <w14:textFill>
            <w14:solidFill>
              <w14:schemeClr w14:val="tx1"/>
            </w14:solidFill>
          </w14:textFill>
        </w:rPr>
        <w:t xml:space="preserve">                             </w:t>
      </w:r>
      <w:r/>
    </w:p>
    <w:p>
      <w:pPr>
        <w:ind w:left="420"/>
        <w:spacing w:line="360" w:lineRule="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签订时间：</w:t>
      </w:r>
      <w:r>
        <w:rPr>
          <w:rFonts w:hint="eastAsia" w:ascii="宋体" w:hAnsi="宋体" w:eastAsia="宋体" w:cs="宋体"/>
          <w:color w:val="000000" w:themeColor="text1"/>
          <w:sz w:val="32"/>
          <w:szCs w:val="32"/>
          <w:u w:val="single"/>
          <w14:textFill>
            <w14:solidFill>
              <w14:schemeClr w14:val="tx1"/>
            </w14:solidFill>
          </w14:textFill>
        </w:rPr>
        <w:t xml:space="preserve">                             </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br w:type="page" w:clear="all"/>
      </w:r>
      <w:r/>
    </w:p>
    <w:p>
      <w:pPr>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r>
      <w:r/>
    </w:p>
    <w:p>
      <w:pPr>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r>
      <w:r/>
    </w:p>
    <w:p>
      <w:pPr>
        <w:jc w:val="center"/>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t xml:space="preserve">使 用 说 明</w:t>
      </w:r>
      <w:r/>
    </w:p>
    <w:p>
      <w:pPr>
        <w:ind w:firstLine="640"/>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r>
      <w:r/>
    </w:p>
    <w:p>
      <w:pPr>
        <w:ind w:firstLine="640"/>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1.本合同标准文本适用于购买现成货物的采购项目，不包括需要供应商定制开发、创新研发的货物采购项目。</w:t>
      </w:r>
      <w:r/>
    </w:p>
    <w:p>
      <w:pPr>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t xml:space="preserve">   </w:t>
      </w:r>
      <w:r>
        <w:rPr>
          <w:rFonts w:hint="eastAsia" w:ascii="宋体" w:hAnsi="宋体" w:eastAsia="宋体" w:cs="宋体"/>
          <w:color w:val="000000" w:themeColor="text1"/>
          <w:sz w:val="32"/>
          <w:szCs w:val="32"/>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ind w:firstLine="880"/>
        <w:rPr>
          <w:rFonts w:hint="eastAsia" w:ascii="宋体" w:hAnsi="宋体" w:eastAsia="宋体" w:cs="宋体"/>
          <w:color w:val="000000" w:themeColor="text1"/>
          <w:sz w:val="44"/>
          <w:szCs w:val="44"/>
          <w14:textFill>
            <w14:solidFill>
              <w14:schemeClr w14:val="tx1"/>
            </w14:solidFill>
          </w14:textFill>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000000" w:themeColor="text1"/>
          <w:sz w:val="44"/>
          <w:szCs w:val="44"/>
          <w14:textFill>
            <w14:solidFill>
              <w14:schemeClr w14:val="tx1"/>
            </w14:solidFill>
          </w14:textFill>
        </w:rPr>
      </w:r>
      <w:r/>
    </w:p>
    <w:p>
      <w:pPr>
        <w:jc w:val="center"/>
        <w:widowControl/>
        <w:rPr>
          <w:rFonts w:hint="eastAsia" w:ascii="黑体" w:hAnsi="华文中宋" w:eastAsia="黑体" w:cs="Times New Roman"/>
          <w:sz w:val="28"/>
          <w:szCs w:val="28"/>
        </w:rPr>
      </w:pPr>
      <w:r>
        <w:rPr>
          <w:rFonts w:hint="eastAsia" w:ascii="黑体" w:hAnsi="黑体" w:eastAsia="黑体" w:cs="Times New Roman"/>
          <w:sz w:val="28"/>
          <w:szCs w:val="28"/>
        </w:rPr>
        <w:t xml:space="preserve">第一节</w:t>
      </w:r>
      <w:r>
        <w:rPr>
          <w:rFonts w:hint="eastAsia" w:ascii="黑体" w:hAnsi="华文中宋" w:eastAsia="黑体" w:cs="Times New Roman"/>
          <w:sz w:val="28"/>
          <w:szCs w:val="28"/>
        </w:rPr>
        <w:t xml:space="preserve">政府采购合同协议书</w:t>
      </w:r>
      <w:r/>
    </w:p>
    <w:p>
      <w:pPr>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甲方（全称）：</w:t>
      </w:r>
      <w:r>
        <w:rPr>
          <w:rFonts w:hint="eastAsia" w:ascii="宋体" w:hAnsi="宋体" w:eastAsia="Arial" w:cs="Times New Roman"/>
          <w:color w:val="000000" w:themeColor="text1"/>
          <w:szCs w:val="21"/>
          <w:u w:val="single"/>
          <w14:textFill>
            <w14:solidFill>
              <w14:schemeClr w14:val="tx1"/>
            </w14:solidFill>
          </w14:textFill>
        </w:rPr>
        <w:t xml:space="preserve">   灌云县</w:t>
      </w:r>
      <w:r>
        <w:rPr>
          <w:rFonts w:hint="eastAsia" w:ascii="宋体" w:hAnsi="宋体" w:eastAsia="宋体" w:cs="宋体"/>
          <w:color w:val="000000" w:themeColor="text1"/>
          <w:szCs w:val="21"/>
          <w:u w:val="single"/>
          <w14:textFill>
            <w14:solidFill>
              <w14:schemeClr w14:val="tx1"/>
            </w14:solidFill>
          </w14:textFill>
        </w:rPr>
        <w:t xml:space="preserve">教育局</w:t>
      </w:r>
      <w:r>
        <w:rPr>
          <w:rFonts w:hint="eastAsia" w:ascii="宋体" w:hAnsi="宋体" w:eastAsia="Arial" w:cs="Times New Roman"/>
          <w:color w:val="000000" w:themeColor="text1"/>
          <w:szCs w:val="21"/>
          <w:u w:val="single"/>
          <w14:textFill>
            <w14:solidFill>
              <w14:schemeClr w14:val="tx1"/>
            </w14:solidFill>
          </w14:textFill>
        </w:rPr>
        <w:t xml:space="preserve">    </w:t>
      </w:r>
      <w:r>
        <w:rPr>
          <w:rFonts w:hint="eastAsia" w:ascii="宋体" w:hAnsi="宋体" w:eastAsia="Arial" w:cs="Times New Roman"/>
          <w:color w:val="000000" w:themeColor="text1"/>
          <w:szCs w:val="21"/>
          <w14:textFill>
            <w14:solidFill>
              <w14:schemeClr w14:val="tx1"/>
            </w14:solidFill>
          </w14:textFill>
        </w:rPr>
        <w:t xml:space="preserve">（采购人、受采购人委托签订合同的单位或采购文件约定的合同甲方）</w:t>
      </w:r>
      <w:r/>
    </w:p>
    <w:p>
      <w:pPr>
        <w:spacing w:line="400" w:lineRule="exact"/>
        <w:rPr>
          <w:rFonts w:hint="eastAsia" w:eastAsia="宋体" w:cs="Times New Roman"/>
          <w:color w:val="000000" w:themeColor="text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乙方1（全称）：</w:t>
      </w:r>
      <w:r>
        <w:rPr>
          <w:rFonts w:hint="eastAsia" w:ascii="宋体" w:hAnsi="宋体" w:eastAsia="Arial" w:cs="Times New Roman"/>
          <w:color w:val="000000" w:themeColor="text1"/>
          <w:szCs w:val="21"/>
          <w:u w:val="single"/>
          <w14:textFill>
            <w14:solidFill>
              <w14:schemeClr w14:val="tx1"/>
            </w14:solidFill>
          </w14:textFill>
        </w:rPr>
        <w:t xml:space="preserve">                       </w:t>
      </w:r>
      <w:r>
        <w:rPr>
          <w:rFonts w:hint="eastAsia" w:ascii="宋体" w:hAnsi="宋体" w:eastAsia="Arial" w:cs="Times New Roman"/>
          <w:color w:val="000000" w:themeColor="text1"/>
          <w:szCs w:val="21"/>
          <w14:textFill>
            <w14:solidFill>
              <w14:schemeClr w14:val="tx1"/>
            </w14:solidFill>
          </w14:textFill>
        </w:rPr>
        <w:t xml:space="preserve">（供应商）</w:t>
      </w:r>
      <w:r/>
    </w:p>
    <w:p>
      <w:pPr>
        <w:ind w:firstLine="420"/>
        <w:spacing w:line="400" w:lineRule="exac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依据《中华人民共和国民法典》、《中华人民共和国政府采购法》等有关的法律法规，以及本采购项目的招标文件等采购文件、乙方的《投标（响应）文件》及《中标（中标）通知书》，甲乙双方同意签订本合同。具体情况及要求如下：     </w:t>
      </w:r>
      <w:r/>
    </w:p>
    <w:p>
      <w:pPr>
        <w:numPr>
          <w:ilvl w:val="0"/>
          <w:numId w:val="2"/>
        </w:numPr>
        <w:ind w:firstLine="422"/>
        <w:spacing w:line="400" w:lineRule="exact"/>
        <w:rPr>
          <w:rFonts w:ascii="宋体" w:hAnsi="宋体" w:eastAsia="Arial" w:cs="Times New Roman"/>
          <w:b/>
          <w:color w:val="000000" w:themeColor="text1"/>
          <w:szCs w:val="21"/>
          <w14:textFill>
            <w14:solidFill>
              <w14:schemeClr w14:val="tx1"/>
            </w14:solidFill>
          </w14:textFill>
        </w:rPr>
      </w:pPr>
      <w:r>
        <w:rPr>
          <w:rFonts w:hint="eastAsia" w:ascii="宋体" w:hAnsi="宋体" w:eastAsia="Arial" w:cs="Times New Roman"/>
          <w:b/>
          <w:color w:val="000000" w:themeColor="text1"/>
          <w:szCs w:val="21"/>
          <w14:textFill>
            <w14:solidFill>
              <w14:schemeClr w14:val="tx1"/>
            </w14:solidFill>
          </w14:textFill>
        </w:rPr>
        <w:t xml:space="preserve">项目信息</w:t>
      </w:r>
      <w:r/>
    </w:p>
    <w:p>
      <w:pPr>
        <w:numPr>
          <w:ilvl w:val="0"/>
          <w:numId w:val="3"/>
        </w:numPr>
        <w:ind w:firstLine="420"/>
        <w:spacing w:line="400" w:lineRule="exact"/>
        <w:rPr>
          <w:rFonts w:hint="eastAsia" w:ascii="宋体" w:hAnsi="宋体" w:eastAsia="宋体" w:cs="Times New Roman"/>
          <w:color w:val="000000" w:themeColor="text1"/>
          <w:szCs w:val="21"/>
          <w:u w:val="single"/>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采购项目名称：</w:t>
      </w:r>
      <w:r>
        <w:rPr>
          <w:rFonts w:ascii="宋体" w:hAnsi="宋体" w:eastAsia="宋体" w:cs="Times New Roman"/>
          <w:color w:val="000000" w:themeColor="text1"/>
          <w:szCs w:val="21"/>
          <w:u w:val="single"/>
          <w14:textFill>
            <w14:solidFill>
              <w14:schemeClr w14:val="tx1"/>
            </w14:solidFill>
          </w14:textFill>
        </w:rPr>
        <w:t xml:space="preserve">  </w:t>
      </w:r>
      <w:r>
        <w:rPr>
          <w:rFonts w:hint="eastAsia" w:ascii="宋体" w:hAnsi="宋体" w:eastAsia="宋体" w:cs="Times New Roman"/>
          <w:color w:val="000000" w:themeColor="text1"/>
          <w:szCs w:val="21"/>
          <w:u w:val="single"/>
          <w14:textFill>
            <w14:solidFill>
              <w14:schemeClr w14:val="tx1"/>
            </w14:solidFill>
          </w14:textFill>
        </w:rPr>
        <w:t xml:space="preserve">多元化人工智能实验室项目           </w:t>
      </w:r>
      <w:r>
        <w:rPr>
          <w:rFonts w:ascii="宋体" w:hAnsi="宋体" w:eastAsia="宋体" w:cs="Times New Roman"/>
          <w:color w:val="000000" w:themeColor="text1"/>
          <w:szCs w:val="21"/>
          <w:u w:val="single"/>
          <w14:textFill>
            <w14:solidFill>
              <w14:schemeClr w14:val="tx1"/>
            </w14:solidFill>
          </w14:textFill>
        </w:rPr>
        <w:t xml:space="preserve">   </w:t>
      </w:r>
      <w:r>
        <w:rPr>
          <w:rFonts w:ascii="宋体" w:hAnsi="宋体" w:eastAsia="宋体" w:cs="Times New Roman"/>
          <w:color w:val="000000" w:themeColor="text1"/>
          <w:szCs w:val="21"/>
          <w14:textFill>
            <w14:solidFill>
              <w14:schemeClr w14:val="tx1"/>
            </w14:solidFill>
          </w14:textFill>
        </w:rPr>
        <w:t xml:space="preserve">           </w:t>
      </w:r>
      <w:r/>
    </w:p>
    <w:p>
      <w:pPr>
        <w:spacing w:line="400" w:lineRule="exact"/>
        <w:tabs>
          <w:tab w:val="left" w:pos="999" w:leader="none"/>
        </w:tabs>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         采购项目编号：</w:t>
      </w:r>
      <w:r>
        <w:rPr>
          <w:rFonts w:ascii="宋体" w:hAnsi="宋体" w:eastAsia="宋体" w:cs="Times New Roman"/>
          <w:color w:val="000000" w:themeColor="text1"/>
          <w:szCs w:val="21"/>
          <w:u w:val="single"/>
          <w14:textFill>
            <w14:solidFill>
              <w14:schemeClr w14:val="tx1"/>
            </w14:solidFill>
          </w14:textFill>
        </w:rPr>
        <w:t xml:space="preserve">                                          </w:t>
      </w:r>
      <w:r/>
    </w:p>
    <w:p>
      <w:pPr>
        <w:ind w:firstLine="420"/>
        <w:spacing w:line="400" w:lineRule="exac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（2）采购计划编号：</w:t>
      </w:r>
      <w:r>
        <w:rPr>
          <w:rFonts w:ascii="宋体" w:hAnsi="宋体" w:eastAsia="宋体" w:cs="Times New Roman"/>
          <w:color w:val="000000" w:themeColor="text1"/>
          <w:szCs w:val="21"/>
          <w:u w:val="single"/>
          <w14:textFill>
            <w14:solidFill>
              <w14:schemeClr w14:val="tx1"/>
            </w14:solidFill>
          </w14:textFill>
        </w:rPr>
        <w:t xml:space="preserve">                     </w:t>
      </w:r>
      <w:r>
        <w:rPr>
          <w:rFonts w:hint="eastAsia" w:ascii="宋体" w:hAnsi="宋体" w:eastAsia="宋体" w:cs="Times New Roman"/>
          <w:color w:val="000000" w:themeColor="text1"/>
          <w:szCs w:val="21"/>
          <w:u w:val="single"/>
          <w14:textFill>
            <w14:solidFill>
              <w14:schemeClr w14:val="tx1"/>
            </w14:solidFill>
          </w14:textFill>
        </w:rPr>
        <w:t xml:space="preserve">                </w:t>
      </w:r>
      <w:r>
        <w:rPr>
          <w:rFonts w:ascii="宋体" w:hAnsi="宋体" w:eastAsia="宋体" w:cs="Times New Roman"/>
          <w:color w:val="000000" w:themeColor="text1"/>
          <w:szCs w:val="21"/>
          <w:u w:val="single"/>
          <w14:textFill>
            <w14:solidFill>
              <w14:schemeClr w14:val="tx1"/>
            </w14:solidFill>
          </w14:textFill>
        </w:rPr>
        <w:t xml:space="preserve">     </w:t>
      </w:r>
      <w:r>
        <w:rPr>
          <w:rFonts w:ascii="宋体" w:hAnsi="宋体" w:eastAsia="宋体" w:cs="Times New Roman"/>
          <w:color w:val="000000" w:themeColor="text1"/>
          <w:szCs w:val="21"/>
          <w14:textFill>
            <w14:solidFill>
              <w14:schemeClr w14:val="tx1"/>
            </w14:solidFill>
          </w14:textFill>
        </w:rPr>
        <w:t xml:space="preserve"> </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（3）项目内容：</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采购标的及数量（台/套</w:t>
      </w:r>
      <w:r>
        <w:rPr>
          <w:rFonts w:ascii="宋体" w:hAnsi="宋体" w:eastAsia="Arial" w:cs="Times New Roman"/>
          <w:color w:val="000000" w:themeColor="text1"/>
          <w:szCs w:val="21"/>
          <w:lang w:val="en"/>
          <w14:textFill>
            <w14:solidFill>
              <w14:schemeClr w14:val="tx1"/>
            </w14:solidFill>
          </w14:textFill>
        </w:rPr>
        <w:t xml:space="preserve">/</w:t>
      </w:r>
      <w:r>
        <w:rPr>
          <w:rFonts w:hint="eastAsia" w:ascii="宋体" w:hAnsi="宋体" w:eastAsia="Arial" w:cs="Times New Roman"/>
          <w:color w:val="000000" w:themeColor="text1"/>
          <w:szCs w:val="21"/>
          <w:lang w:val="en"/>
          <w14:textFill>
            <w14:solidFill>
              <w14:schemeClr w14:val="tx1"/>
            </w14:solidFill>
          </w14:textFill>
        </w:rPr>
        <w:t xml:space="preserve">个</w:t>
      </w:r>
      <w:r>
        <w:rPr>
          <w:rFonts w:ascii="宋体" w:hAnsi="宋体" w:eastAsia="Arial" w:cs="Times New Roman"/>
          <w:color w:val="000000" w:themeColor="text1"/>
          <w:szCs w:val="21"/>
          <w:lang w:val="en"/>
          <w14:textFill>
            <w14:solidFill>
              <w14:schemeClr w14:val="tx1"/>
            </w14:solidFill>
          </w14:textFill>
        </w:rPr>
        <w:t xml:space="preserve">/</w:t>
      </w:r>
      <w:r>
        <w:rPr>
          <w:rFonts w:hint="eastAsia" w:ascii="宋体" w:hAnsi="宋体" w:eastAsia="Arial" w:cs="Times New Roman"/>
          <w:color w:val="000000" w:themeColor="text1"/>
          <w:szCs w:val="21"/>
          <w:lang w:val="en"/>
          <w14:textFill>
            <w14:solidFill>
              <w14:schemeClr w14:val="tx1"/>
            </w14:solidFill>
          </w14:textFill>
        </w:rPr>
        <w:t xml:space="preserve">架</w:t>
      </w:r>
      <w:r>
        <w:rPr>
          <w:rFonts w:ascii="宋体" w:hAnsi="宋体" w:eastAsia="Arial" w:cs="Times New Roman"/>
          <w:color w:val="000000" w:themeColor="text1"/>
          <w:szCs w:val="21"/>
          <w:lang w:val="en"/>
          <w14:textFill>
            <w14:solidFill>
              <w14:schemeClr w14:val="tx1"/>
            </w14:solidFill>
          </w14:textFill>
        </w:rPr>
        <w:t xml:space="preserve">/</w:t>
      </w:r>
      <w:r>
        <w:rPr>
          <w:rFonts w:hint="eastAsia" w:ascii="宋体" w:hAnsi="宋体" w:eastAsia="Arial" w:cs="Times New Roman"/>
          <w:color w:val="000000" w:themeColor="text1"/>
          <w:szCs w:val="21"/>
          <w:lang w:val="en"/>
          <w14:textFill>
            <w14:solidFill>
              <w14:schemeClr w14:val="tx1"/>
            </w14:solidFill>
          </w14:textFill>
        </w:rPr>
        <w:t xml:space="preserve">组等</w:t>
      </w:r>
      <w:r>
        <w:rPr>
          <w:rFonts w:hint="eastAsia" w:ascii="宋体" w:hAnsi="宋体" w:eastAsia="Arial" w:cs="Times New Roman"/>
          <w:color w:val="000000" w:themeColor="text1"/>
          <w:szCs w:val="21"/>
          <w14:textFill>
            <w14:solidFill>
              <w14:schemeClr w14:val="tx1"/>
            </w14:solidFill>
          </w14:textFill>
        </w:rPr>
        <w:t xml:space="preserve">）：</w:t>
      </w:r>
      <w:r>
        <w:rPr>
          <w:rFonts w:hint="eastAsia" w:ascii="宋体" w:hAnsi="宋体" w:eastAsia="Arial" w:cs="Times New Roman"/>
          <w:color w:val="000000" w:themeColor="text1"/>
          <w:szCs w:val="21"/>
          <w:u w:val="single"/>
          <w14:textFill>
            <w14:solidFill>
              <w14:schemeClr w14:val="tx1"/>
            </w14:solidFill>
          </w14:textFill>
        </w:rPr>
        <w:t xml:space="preserve">                       </w:t>
      </w:r>
      <w:r>
        <w:rPr>
          <w:rFonts w:hint="eastAsia" w:ascii="宋体" w:hAnsi="宋体" w:eastAsia="Arial" w:cs="Times New Roman"/>
          <w:color w:val="000000" w:themeColor="text1"/>
          <w:szCs w:val="21"/>
          <w14:textFill>
            <w14:solidFill>
              <w14:schemeClr w14:val="tx1"/>
            </w14:solidFill>
          </w14:textFill>
        </w:rPr>
        <w:t xml:space="preserve">            </w:t>
      </w:r>
      <w:r>
        <w:rPr>
          <w:rFonts w:hint="eastAsia" w:ascii="宋体" w:hAnsi="宋体" w:eastAsia="Arial" w:cs="Times New Roman"/>
          <w:color w:val="000000" w:themeColor="text1"/>
          <w:szCs w:val="21"/>
          <w:u w:val="single"/>
          <w14:textFill>
            <w14:solidFill>
              <w14:schemeClr w14:val="tx1"/>
            </w14:solidFill>
          </w14:textFill>
        </w:rPr>
        <w:t xml:space="preserve">                  </w:t>
      </w:r>
      <w:r>
        <w:rPr>
          <w:rFonts w:hint="eastAsia" w:ascii="宋体" w:hAnsi="宋体" w:eastAsia="Arial" w:cs="Times New Roman"/>
          <w:color w:val="000000" w:themeColor="text1"/>
          <w:szCs w:val="21"/>
          <w14:textFill>
            <w14:solidFill>
              <w14:schemeClr w14:val="tx1"/>
            </w14:solidFill>
          </w14:textFill>
        </w:rPr>
        <w:t xml:space="preserve"> </w:t>
      </w:r>
      <w:r/>
    </w:p>
    <w:p>
      <w:pPr>
        <w:ind w:firstLine="420"/>
        <w:spacing w:line="400" w:lineRule="exact"/>
        <w:rPr>
          <w:rFonts w:ascii="宋体" w:hAnsi="宋体" w:eastAsia="Arial" w:cs="宋体"/>
          <w:color w:val="000000" w:themeColor="text1"/>
          <w:szCs w:val="21"/>
          <w:lang w:val="en"/>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品牌：</w:t>
      </w:r>
      <w:r>
        <w:rPr>
          <w:rFonts w:hint="eastAsia" w:ascii="宋体" w:hAnsi="宋体" w:eastAsia="Arial" w:cs="宋体"/>
          <w:color w:val="000000" w:themeColor="text1"/>
          <w:szCs w:val="21"/>
          <w:u w:val="single"/>
          <w14:textFill>
            <w14:solidFill>
              <w14:schemeClr w14:val="tx1"/>
            </w14:solidFill>
          </w14:textFill>
        </w:rPr>
        <w:t xml:space="preserve">      </w:t>
      </w:r>
      <w:r>
        <w:rPr>
          <w:rFonts w:ascii="宋体" w:hAnsi="宋体" w:eastAsia="Arial" w:cs="宋体"/>
          <w:color w:val="000000" w:themeColor="text1"/>
          <w:szCs w:val="21"/>
          <w:u w:val="single"/>
          <w:lang w:val="en"/>
          <w14:textFill>
            <w14:solidFill>
              <w14:schemeClr w14:val="tx1"/>
            </w14:solidFill>
          </w14:textFill>
        </w:rPr>
        <w:t xml:space="preserve">   </w:t>
      </w:r>
      <w:r>
        <w:rPr>
          <w:rFonts w:hint="eastAsia" w:ascii="宋体" w:hAnsi="宋体" w:eastAsia="Arial" w:cs="宋体"/>
          <w:color w:val="000000" w:themeColor="text1"/>
          <w:szCs w:val="21"/>
          <w:u w:val="single"/>
          <w14:textFill>
            <w14:solidFill>
              <w14:schemeClr w14:val="tx1"/>
            </w14:solidFill>
          </w14:textFill>
        </w:rPr>
        <w:t xml:space="preserve">    </w:t>
      </w:r>
      <w:r>
        <w:rPr>
          <w:rFonts w:ascii="宋体" w:hAnsi="宋体" w:eastAsia="Arial" w:cs="宋体"/>
          <w:color w:val="000000" w:themeColor="text1"/>
          <w:szCs w:val="21"/>
          <w:u w:val="single"/>
          <w:lang w:val="en"/>
          <w14:textFill>
            <w14:solidFill>
              <w14:schemeClr w14:val="tx1"/>
            </w14:solidFill>
          </w14:textFill>
        </w:rPr>
        <w:t xml:space="preserve"> </w:t>
      </w:r>
      <w:r>
        <w:rPr>
          <w:rFonts w:hint="eastAsia" w:ascii="宋体" w:hAnsi="宋体" w:eastAsia="Arial" w:cs="宋体"/>
          <w:color w:val="000000" w:themeColor="text1"/>
          <w:szCs w:val="21"/>
          <w:u w:val="single"/>
          <w14:textFill>
            <w14:solidFill>
              <w14:schemeClr w14:val="tx1"/>
            </w14:solidFill>
          </w14:textFill>
        </w:rPr>
        <w:t xml:space="preserve"> </w:t>
      </w:r>
      <w:r>
        <w:rPr>
          <w:rFonts w:ascii="宋体" w:hAnsi="宋体" w:eastAsia="Arial" w:cs="宋体"/>
          <w:color w:val="000000" w:themeColor="text1"/>
          <w:szCs w:val="21"/>
          <w:lang w:val="en"/>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规格型号：</w:t>
      </w:r>
      <w:r>
        <w:rPr>
          <w:rFonts w:hint="eastAsia" w:ascii="宋体" w:hAnsi="宋体" w:eastAsia="Arial" w:cs="宋体"/>
          <w:color w:val="000000" w:themeColor="text1"/>
          <w:szCs w:val="21"/>
          <w:u w:val="single"/>
          <w14:textFill>
            <w14:solidFill>
              <w14:schemeClr w14:val="tx1"/>
            </w14:solidFill>
          </w14:textFill>
        </w:rPr>
        <w:t xml:space="preserve">   </w:t>
      </w:r>
      <w:r>
        <w:rPr>
          <w:rFonts w:ascii="宋体" w:hAnsi="宋体" w:eastAsia="Arial" w:cs="宋体"/>
          <w:color w:val="000000" w:themeColor="text1"/>
          <w:szCs w:val="21"/>
          <w:u w:val="single"/>
          <w:lang w:val="en"/>
          <w14:textFill>
            <w14:solidFill>
              <w14:schemeClr w14:val="tx1"/>
            </w14:solidFill>
          </w14:textFill>
        </w:rPr>
        <w:t xml:space="preserve">  </w:t>
      </w:r>
      <w:r>
        <w:rPr>
          <w:rFonts w:hint="eastAsia" w:ascii="宋体" w:hAnsi="宋体" w:eastAsia="Arial" w:cs="宋体"/>
          <w:color w:val="000000" w:themeColor="text1"/>
          <w:szCs w:val="21"/>
          <w:u w:val="single"/>
          <w14:textFill>
            <w14:solidFill>
              <w14:schemeClr w14:val="tx1"/>
            </w14:solidFill>
          </w14:textFill>
        </w:rPr>
        <w:t xml:space="preserve">       </w:t>
      </w:r>
      <w:r>
        <w:rPr>
          <w:rFonts w:ascii="宋体" w:hAnsi="宋体" w:eastAsia="Arial" w:cs="宋体"/>
          <w:color w:val="000000" w:themeColor="text1"/>
          <w:szCs w:val="21"/>
          <w:u w:val="single"/>
          <w:lang w:val="en"/>
          <w14:textFill>
            <w14:solidFill>
              <w14:schemeClr w14:val="tx1"/>
            </w14:solidFill>
          </w14:textFill>
        </w:rPr>
        <w:t xml:space="preserve">   </w:t>
      </w:r>
      <w:r/>
    </w:p>
    <w:p>
      <w:pPr>
        <w:ind w:firstLine="945"/>
        <w:spacing w:line="400" w:lineRule="exact"/>
        <w:rPr>
          <w:rFonts w:ascii="宋体" w:hAnsi="宋体" w:eastAsia="Arial" w:cs="Times New Roman"/>
          <w:color w:val="000000" w:themeColor="text1"/>
          <w:szCs w:val="21"/>
          <w:u w:val="single"/>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采购标的的技术要求、商务要求具体见附件。</w:t>
      </w:r>
      <w:r/>
    </w:p>
    <w:p>
      <w:pPr>
        <w:ind w:firstLine="945"/>
        <w:spacing w:line="400" w:lineRule="exact"/>
        <w:rPr>
          <w:rFonts w:ascii="宋体" w:hAnsi="宋体" w:eastAsia="Arial" w:cs="宋体"/>
          <w:color w:val="000000" w:themeColor="text1"/>
          <w:szCs w:val="21"/>
          <w14:textFill>
            <w14:solidFill>
              <w14:schemeClr w14:val="tx1"/>
            </w14:solidFill>
          </w14:textFill>
        </w:rPr>
      </w:pPr>
      <w:r>
        <w:rPr>
          <w:rFonts w:hint="eastAsia" w:ascii="汉仪书宋二S" w:hAnsi="汉仪书宋二S" w:eastAsia="汉仪书宋二S" w:cs="汉仪书宋二S"/>
          <w:color w:val="000000" w:themeColor="text1"/>
          <w:szCs w:val="21"/>
          <w14:textFill>
            <w14:solidFill>
              <w14:schemeClr w14:val="tx1"/>
            </w14:solidFill>
          </w14:textFill>
        </w:rPr>
        <w:t xml:space="preserve">①</w:t>
      </w:r>
      <w:r>
        <w:rPr>
          <w:rFonts w:hint="eastAsia" w:ascii="宋体" w:hAnsi="宋体" w:eastAsia="Arial" w:cs="宋体"/>
          <w:color w:val="000000" w:themeColor="text1"/>
          <w:szCs w:val="21"/>
          <w14:textFill>
            <w14:solidFill>
              <w14:schemeClr w14:val="tx1"/>
            </w14:solidFill>
          </w14:textFill>
        </w:rPr>
        <w:t xml:space="preserve">涉及信息类产品，请填写该产品关键部件的品牌、型号：</w:t>
      </w:r>
      <w:r/>
    </w:p>
    <w:p>
      <w:pPr>
        <w:ind w:firstLine="420"/>
        <w:spacing w:line="400" w:lineRule="exact"/>
        <w:rPr>
          <w:rFonts w:ascii="宋体" w:hAnsi="宋体" w:eastAsia="Arial" w:cs="宋体"/>
          <w:color w:val="000000" w:themeColor="text1"/>
          <w:szCs w:val="21"/>
          <w:u w:val="single"/>
          <w14:textFill>
            <w14:solidFill>
              <w14:schemeClr w14:val="tx1"/>
            </w14:solidFill>
          </w14:textFill>
        </w:rPr>
      </w:pPr>
      <w:r>
        <w:rPr>
          <w:rFonts w:hint="eastAsia" w:ascii="宋体" w:hAnsi="宋体" w:eastAsia="Arial" w:cs="宋体"/>
          <w:color w:val="000000" w:themeColor="text1"/>
          <w:szCs w:val="21"/>
          <w14:textFill>
            <w14:solidFill>
              <w14:schemeClr w14:val="tx1"/>
            </w14:solidFill>
          </w14:textFill>
        </w:rPr>
        <w:t xml:space="preserve">     标的名称：</w:t>
      </w:r>
      <w:r>
        <w:rPr>
          <w:rFonts w:hint="eastAsia" w:ascii="宋体" w:hAnsi="宋体" w:eastAsia="Arial" w:cs="宋体"/>
          <w:color w:val="000000" w:themeColor="text1"/>
          <w:szCs w:val="21"/>
          <w:u w:val="single"/>
          <w14:textFill>
            <w14:solidFill>
              <w14:schemeClr w14:val="tx1"/>
            </w14:solidFill>
          </w14:textFill>
        </w:rPr>
        <w:t xml:space="preserve">      </w:t>
      </w:r>
      <w:r>
        <w:rPr>
          <w:rFonts w:ascii="宋体" w:hAnsi="宋体" w:eastAsia="Arial" w:cs="宋体"/>
          <w:color w:val="000000" w:themeColor="text1"/>
          <w:szCs w:val="21"/>
          <w:u w:val="single"/>
          <w:lang w:val="en"/>
          <w14:textFill>
            <w14:solidFill>
              <w14:schemeClr w14:val="tx1"/>
            </w14:solidFill>
          </w14:textFill>
        </w:rPr>
        <w:t xml:space="preserve">               </w:t>
      </w:r>
      <w:r>
        <w:rPr>
          <w:rFonts w:hint="eastAsia" w:ascii="宋体" w:hAnsi="宋体" w:eastAsia="Arial" w:cs="宋体"/>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Arial" w:cs="宋体"/>
          <w:color w:val="000000" w:themeColor="text1"/>
          <w:szCs w:val="21"/>
          <w14:textFill>
            <w14:solidFill>
              <w14:schemeClr w14:val="tx1"/>
            </w14:solidFill>
          </w14:textFill>
        </w:rPr>
      </w:pPr>
      <w:r>
        <w:rPr>
          <w:rFonts w:hint="eastAsia" w:ascii="宋体" w:hAnsi="宋体" w:eastAsia="Arial" w:cs="宋体"/>
          <w:color w:val="000000" w:themeColor="text1"/>
          <w:szCs w:val="21"/>
          <w14:textFill>
            <w14:solidFill>
              <w14:schemeClr w14:val="tx1"/>
            </w14:solidFill>
          </w14:textFill>
        </w:rPr>
        <w:t xml:space="preserve">     关键部件：</w:t>
      </w:r>
      <w:r>
        <w:rPr>
          <w:rFonts w:hint="eastAsia" w:ascii="宋体" w:hAnsi="宋体" w:eastAsia="Arial" w:cs="宋体"/>
          <w:color w:val="000000" w:themeColor="text1"/>
          <w:szCs w:val="21"/>
          <w:u w:val="single"/>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 品牌：</w:t>
      </w:r>
      <w:r>
        <w:rPr>
          <w:rFonts w:hint="eastAsia" w:ascii="宋体" w:hAnsi="宋体" w:eastAsia="Arial" w:cs="宋体"/>
          <w:color w:val="000000" w:themeColor="text1"/>
          <w:szCs w:val="21"/>
          <w:u w:val="single"/>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 型号：</w:t>
      </w:r>
      <w:r>
        <w:rPr>
          <w:rFonts w:hint="eastAsia" w:ascii="宋体" w:hAnsi="宋体" w:eastAsia="Arial" w:cs="宋体"/>
          <w:color w:val="000000" w:themeColor="text1"/>
          <w:szCs w:val="21"/>
          <w:u w:val="single"/>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 </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关键部件：</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品牌：</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型号：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关键部件：</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品牌：</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型号：</w:t>
      </w:r>
      <w:r>
        <w:rPr>
          <w:rFonts w:hint="eastAsia" w:ascii="宋体" w:hAnsi="宋体" w:eastAsia="宋体" w:cs="宋体"/>
          <w:color w:val="000000" w:themeColor="text1"/>
          <w:szCs w:val="21"/>
          <w:u w:val="single"/>
          <w14:textFill>
            <w14:solidFill>
              <w14:schemeClr w14:val="tx1"/>
            </w14:solidFill>
          </w14:textFill>
        </w:rPr>
        <w:t xml:space="preserve">       </w:t>
      </w:r>
      <w:r/>
    </w:p>
    <w:p>
      <w:pPr>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rPr>
          <w:rFonts w:hint="eastAsia" w:ascii="汉仪书宋二S" w:hAnsi="汉仪书宋二S" w:eastAsia="汉仪书宋二S" w:cs="汉仪书宋二S"/>
          <w:color w:val="000000" w:themeColor="text1"/>
          <w:szCs w:val="21"/>
          <w14:textFill>
            <w14:solidFill>
              <w14:schemeClr w14:val="tx1"/>
            </w14:solidFill>
          </w14:textFill>
        </w:rPr>
        <w:t xml:space="preserve">②</w:t>
      </w:r>
      <w:r>
        <w:rPr>
          <w:rFonts w:hint="eastAsia" w:ascii="宋体" w:hAnsi="宋体" w:eastAsia="宋体" w:cs="宋体"/>
          <w:color w:val="000000" w:themeColor="text1"/>
          <w:szCs w:val="21"/>
          <w14:textFill>
            <w14:solidFill>
              <w14:schemeClr w14:val="tx1"/>
            </w14:solidFill>
          </w14:textFill>
        </w:rPr>
        <w:t xml:space="preserve">涉及车辆采购，请填写是否属于新能源汽车：</w:t>
      </w:r>
      <w:r/>
    </w:p>
    <w:p>
      <w:pPr>
        <w:spacing w:line="400" w:lineRule="exact"/>
        <w:rPr>
          <w:rFonts w:ascii="Arial" w:hAnsi="Arial" w:eastAsia="Arial" w:cs="Arial"/>
          <w:color w:val="000000" w:themeColor="text1"/>
          <w:szCs w:val="21"/>
          <w14:textFill>
            <w14:solidFill>
              <w14:schemeClr w14:val="tx1"/>
            </w14:solidFill>
          </w14:textFill>
        </w:rPr>
      </w:pPr>
      <w:r>
        <w:rPr>
          <w:rFonts w:hint="eastAsia" w:ascii="Arial" w:hAnsi="Arial" w:eastAsia="Arial" w:cs="Arial"/>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Arial" w:hAnsi="Arial" w:eastAsia="Arial" w:cs="Arial"/>
          <w:color w:val="000000" w:themeColor="text1"/>
          <w:szCs w:val="21"/>
          <w14:textFill>
            <w14:solidFill>
              <w14:schemeClr w14:val="tx1"/>
            </w14:solidFill>
          </w14:textFill>
        </w:rPr>
        <w:t xml:space="preserve">是，《政府采购品目分类目录》底级品目名称：</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Arial" w:hAnsi="Arial" w:eastAsia="Arial" w:cs="Arial"/>
          <w:color w:val="000000" w:themeColor="text1"/>
          <w:szCs w:val="21"/>
          <w14:textFill>
            <w14:solidFill>
              <w14:schemeClr w14:val="tx1"/>
            </w14:solidFill>
          </w14:textFill>
        </w:rPr>
        <w:t xml:space="preserve"> 数量：</w:t>
      </w:r>
      <w:r>
        <w:rPr>
          <w:rFonts w:hint="eastAsia" w:ascii="Arial" w:hAnsi="Arial" w:eastAsia="Arial" w:cs="Arial"/>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Arial" w:hAnsi="Arial" w:eastAsia="Arial" w:cs="Arial"/>
          <w:color w:val="000000" w:themeColor="text1"/>
          <w:szCs w:val="21"/>
          <w14:textFill>
            <w14:solidFill>
              <w14:schemeClr w14:val="tx1"/>
            </w14:solidFill>
          </w14:textFill>
        </w:rPr>
        <w:t xml:space="preserve"> 金额：</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Arial" w:hAnsi="Arial" w:eastAsia="Arial" w:cs="Arial"/>
          <w:color w:val="000000" w:themeColor="text1"/>
          <w:szCs w:val="21"/>
          <w14:textFill>
            <w14:solidFill>
              <w14:schemeClr w14:val="tx1"/>
            </w14:solidFill>
          </w14:textFill>
        </w:rPr>
        <w:t xml:space="preserve"> </w:t>
      </w:r>
      <w:r/>
    </w:p>
    <w:p>
      <w:pPr>
        <w:spacing w:line="400" w:lineRule="exact"/>
        <w:rPr>
          <w:rFonts w:ascii="Arial" w:hAnsi="Arial" w:eastAsia="Arial" w:cs="Arial"/>
          <w:color w:val="000000" w:themeColor="text1"/>
          <w:szCs w:val="21"/>
          <w14:textFill>
            <w14:solidFill>
              <w14:schemeClr w14:val="tx1"/>
            </w14:solidFill>
          </w14:textFill>
        </w:rPr>
      </w:pPr>
      <w:r>
        <w:rPr>
          <w:rFonts w:hint="eastAsia" w:ascii="Arial" w:hAnsi="Arial" w:eastAsia="Arial" w:cs="Arial"/>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Arial" w:hAnsi="Arial" w:eastAsia="Arial" w:cs="Arial"/>
          <w:color w:val="000000" w:themeColor="text1"/>
          <w:szCs w:val="21"/>
          <w14:textFill>
            <w14:solidFill>
              <w14:schemeClr w14:val="tx1"/>
            </w14:solidFill>
          </w14:textFill>
        </w:rPr>
        <w:t xml:space="preserve">否</w:t>
      </w:r>
      <w:r/>
    </w:p>
    <w:p>
      <w:pPr>
        <w:spacing w:line="400" w:lineRule="exact"/>
        <w:rPr>
          <w:rFonts w:ascii="Arial" w:hAnsi="Arial" w:eastAsia="Arial" w:cs="Arial"/>
          <w:color w:val="000000" w:themeColor="text1"/>
          <w:szCs w:val="21"/>
          <w14:textFill>
            <w14:solidFill>
              <w14:schemeClr w14:val="tx1"/>
            </w14:solidFill>
          </w14:textFill>
        </w:rPr>
      </w:pPr>
      <w:r>
        <w:rPr>
          <w:rFonts w:hint="eastAsia" w:ascii="Arial" w:hAnsi="Arial" w:eastAsia="Arial" w:cs="Arial"/>
          <w:color w:val="000000" w:themeColor="text1"/>
          <w:szCs w:val="21"/>
          <w14:textFill>
            <w14:solidFill>
              <w14:schemeClr w14:val="tx1"/>
            </w14:solidFill>
          </w14:textFill>
        </w:rPr>
        <w:t xml:space="preserve">    （</w:t>
      </w:r>
      <w:r>
        <w:rPr>
          <w:rFonts w:ascii="Arial" w:hAnsi="Arial" w:eastAsia="Arial" w:cs="Arial"/>
          <w:color w:val="000000" w:themeColor="text1"/>
          <w:szCs w:val="21"/>
          <w:lang w:val="en"/>
          <w14:textFill>
            <w14:solidFill>
              <w14:schemeClr w14:val="tx1"/>
            </w14:solidFill>
          </w14:textFill>
        </w:rPr>
        <w:t xml:space="preserve">4</w:t>
      </w:r>
      <w:r>
        <w:rPr>
          <w:rFonts w:hint="eastAsia" w:ascii="Arial" w:hAnsi="Arial" w:eastAsia="Arial" w:cs="Arial"/>
          <w:color w:val="000000" w:themeColor="text1"/>
          <w:szCs w:val="21"/>
          <w14:textFill>
            <w14:solidFill>
              <w14:schemeClr w14:val="tx1"/>
            </w14:solidFill>
          </w14:textFill>
        </w:rPr>
        <w:t xml:space="preserve">）政府采购组织形式：</w:t>
      </w:r>
      <w:r>
        <w:rPr>
          <w:rFonts w:ascii="Wingdings" w:hAnsi="Wingdings" w:eastAsia="Wingdings" w:cs="Wingdings"/>
          <w:color w:val="000000" w:themeColor="text1"/>
          <w:szCs w:val="21"/>
          <w14:textFill>
            <w14:solidFill>
              <w14:schemeClr w14:val="tx1"/>
            </w14:solidFill>
          </w14:textFill>
        </w:rPr>
        <w:t xml:space="preserve">þ</w:t>
      </w:r>
      <w:r>
        <w:rPr>
          <w:rFonts w:hint="eastAsia" w:ascii="Arial" w:hAnsi="Arial" w:eastAsia="Arial" w:cs="Arial"/>
          <w:color w:val="000000" w:themeColor="text1"/>
          <w:szCs w:val="21"/>
          <w14:textFill>
            <w14:solidFill>
              <w14:schemeClr w14:val="tx1"/>
            </w14:solidFill>
          </w14:textFill>
        </w:rPr>
        <w:t xml:space="preserve">政府集中采购  </w:t>
      </w:r>
      <w:r>
        <w:rPr>
          <w:rFonts w:ascii="Wingdings" w:hAnsi="Wingdings" w:eastAsia="Wingdings" w:cs="Wingdings"/>
          <w:color w:val="000000" w:themeColor="text1"/>
          <w:szCs w:val="21"/>
          <w14:textFill>
            <w14:solidFill>
              <w14:schemeClr w14:val="tx1"/>
            </w14:solidFill>
          </w14:textFill>
        </w:rPr>
        <w:t xml:space="preserve">¨</w:t>
      </w:r>
      <w:r>
        <w:rPr>
          <w:rFonts w:hint="eastAsia" w:ascii="Arial" w:hAnsi="Arial" w:eastAsia="Arial" w:cs="Arial"/>
          <w:color w:val="000000" w:themeColor="text1"/>
          <w:szCs w:val="21"/>
          <w14:textFill>
            <w14:solidFill>
              <w14:schemeClr w14:val="tx1"/>
            </w14:solidFill>
          </w14:textFill>
        </w:rPr>
        <w:t xml:space="preserve">部门集中采购  </w:t>
      </w:r>
      <w:r>
        <w:rPr>
          <w:rFonts w:ascii="Wingdings" w:hAnsi="Wingdings" w:eastAsia="Wingdings" w:cs="Wingdings"/>
          <w:color w:val="000000" w:themeColor="text1"/>
          <w:szCs w:val="21"/>
          <w14:textFill>
            <w14:solidFill>
              <w14:schemeClr w14:val="tx1"/>
            </w14:solidFill>
          </w14:textFill>
        </w:rPr>
        <w:t xml:space="preserve">¨</w:t>
      </w:r>
      <w:r>
        <w:rPr>
          <w:rFonts w:hint="eastAsia" w:ascii="Arial" w:hAnsi="Arial" w:eastAsia="Arial" w:cs="Arial"/>
          <w:color w:val="000000" w:themeColor="text1"/>
          <w:szCs w:val="21"/>
          <w14:textFill>
            <w14:solidFill>
              <w14:schemeClr w14:val="tx1"/>
            </w14:solidFill>
          </w14:textFill>
        </w:rPr>
        <w:t xml:space="preserve">分散采购</w:t>
      </w:r>
      <w:r/>
    </w:p>
    <w:p>
      <w:pPr>
        <w:ind w:firstLine="420"/>
        <w:spacing w:line="400" w:lineRule="exact"/>
        <w:rPr>
          <w:rFonts w:ascii="Arial" w:hAnsi="Arial" w:eastAsia="Arial" w:cs="Arial"/>
          <w:color w:val="000000" w:themeColor="text1"/>
          <w:szCs w:val="21"/>
          <w14:textFill>
            <w14:solidFill>
              <w14:schemeClr w14:val="tx1"/>
            </w14:solidFill>
          </w14:textFill>
        </w:rPr>
      </w:pPr>
      <w:r>
        <w:rPr>
          <w:rFonts w:hint="eastAsia" w:ascii="Arial" w:hAnsi="Arial" w:eastAsia="Arial" w:cs="Arial"/>
          <w:color w:val="000000" w:themeColor="text1"/>
          <w:szCs w:val="21"/>
          <w14:textFill>
            <w14:solidFill>
              <w14:schemeClr w14:val="tx1"/>
            </w14:solidFill>
          </w14:textFill>
        </w:rPr>
        <w:t xml:space="preserve">（</w:t>
      </w:r>
      <w:r>
        <w:rPr>
          <w:rFonts w:ascii="Arial" w:hAnsi="Arial" w:eastAsia="Arial" w:cs="Arial"/>
          <w:color w:val="000000" w:themeColor="text1"/>
          <w:szCs w:val="21"/>
          <w:lang w:val="en"/>
          <w14:textFill>
            <w14:solidFill>
              <w14:schemeClr w14:val="tx1"/>
            </w14:solidFill>
          </w14:textFill>
        </w:rPr>
        <w:t xml:space="preserve">5</w:t>
      </w:r>
      <w:r>
        <w:rPr>
          <w:rFonts w:hint="eastAsia" w:ascii="Arial" w:hAnsi="Arial" w:eastAsia="Arial" w:cs="Arial"/>
          <w:color w:val="000000" w:themeColor="text1"/>
          <w:szCs w:val="21"/>
          <w14:textFill>
            <w14:solidFill>
              <w14:schemeClr w14:val="tx1"/>
            </w14:solidFill>
          </w14:textFill>
        </w:rPr>
        <w:t xml:space="preserve">）政府采购方式：</w:t>
      </w:r>
      <w:r>
        <w:rPr>
          <w:rFonts w:ascii="Wingdings" w:hAnsi="Wingdings" w:eastAsia="Wingdings" w:cs="Wingdings"/>
          <w:color w:val="000000" w:themeColor="text1"/>
          <w:szCs w:val="21"/>
          <w14:textFill>
            <w14:solidFill>
              <w14:schemeClr w14:val="tx1"/>
            </w14:solidFill>
          </w14:textFill>
        </w:rPr>
        <w:t xml:space="preserve">þ</w:t>
      </w:r>
      <w:r>
        <w:rPr>
          <w:rFonts w:hint="eastAsia" w:ascii="Arial" w:hAnsi="Arial" w:eastAsia="Arial" w:cs="Arial"/>
          <w:color w:val="000000" w:themeColor="text1"/>
          <w:szCs w:val="21"/>
          <w14:textFill>
            <w14:solidFill>
              <w14:schemeClr w14:val="tx1"/>
            </w14:solidFill>
          </w14:textFill>
        </w:rPr>
        <w:t xml:space="preserve">公开招标 </w:t>
      </w:r>
      <w:r>
        <w:rPr>
          <w:rFonts w:ascii="Wingdings" w:hAnsi="Wingdings" w:eastAsia="Wingdings" w:cs="Wingdings"/>
          <w:color w:val="000000" w:themeColor="text1"/>
          <w:szCs w:val="21"/>
          <w14:textFill>
            <w14:solidFill>
              <w14:schemeClr w14:val="tx1"/>
            </w14:solidFill>
          </w14:textFill>
        </w:rPr>
        <w:t xml:space="preserve">¨</w:t>
      </w:r>
      <w:r>
        <w:rPr>
          <w:rFonts w:hint="eastAsia" w:ascii="Arial" w:hAnsi="Arial" w:eastAsia="Arial" w:cs="Arial"/>
          <w:color w:val="000000" w:themeColor="text1"/>
          <w:szCs w:val="21"/>
          <w14:textFill>
            <w14:solidFill>
              <w14:schemeClr w14:val="tx1"/>
            </w14:solidFill>
          </w14:textFill>
        </w:rPr>
        <w:t xml:space="preserve">邀请招标 </w:t>
      </w:r>
      <w:r>
        <w:rPr>
          <w:rFonts w:ascii="Wingdings" w:hAnsi="Wingdings" w:eastAsia="Wingdings" w:cs="Wingdings"/>
          <w:color w:val="000000" w:themeColor="text1"/>
          <w:szCs w:val="21"/>
          <w14:textFill>
            <w14:solidFill>
              <w14:schemeClr w14:val="tx1"/>
            </w14:solidFill>
          </w14:textFill>
        </w:rPr>
        <w:t xml:space="preserve">¨</w:t>
      </w:r>
      <w:r>
        <w:rPr>
          <w:rFonts w:hint="eastAsia" w:ascii="Arial" w:hAnsi="Arial" w:eastAsia="Arial" w:cs="Arial"/>
          <w:color w:val="000000" w:themeColor="text1"/>
          <w:szCs w:val="21"/>
          <w14:textFill>
            <w14:solidFill>
              <w14:schemeClr w14:val="tx1"/>
            </w14:solidFill>
          </w14:textFill>
        </w:rPr>
        <w:t xml:space="preserve">竞争性谈判 </w:t>
      </w:r>
      <w:r>
        <w:rPr>
          <w:rFonts w:ascii="Wingdings" w:hAnsi="Wingdings" w:eastAsia="Wingdings" w:cs="Wingdings"/>
          <w:color w:val="000000" w:themeColor="text1"/>
          <w:szCs w:val="21"/>
          <w14:textFill>
            <w14:solidFill>
              <w14:schemeClr w14:val="tx1"/>
            </w14:solidFill>
          </w14:textFill>
        </w:rPr>
        <w:t xml:space="preserve">¨</w:t>
      </w:r>
      <w:r>
        <w:rPr>
          <w:rFonts w:hint="eastAsia" w:ascii="Arial" w:hAnsi="Arial" w:eastAsia="Arial" w:cs="Arial"/>
          <w:color w:val="000000" w:themeColor="text1"/>
          <w:szCs w:val="21"/>
          <w14:textFill>
            <w14:solidFill>
              <w14:schemeClr w14:val="tx1"/>
            </w14:solidFill>
          </w14:textFill>
        </w:rPr>
        <w:t xml:space="preserve">竞争性采购</w:t>
      </w:r>
      <w:r/>
    </w:p>
    <w:p>
      <w:pPr>
        <w:ind w:firstLine="420"/>
        <w:spacing w:line="400" w:lineRule="exact"/>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华文楷体" w:cs="宋体"/>
          <w:color w:val="000000" w:themeColor="text1"/>
          <w:sz w:val="22"/>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Arial" w:hAnsi="Arial" w:eastAsia="Arial" w:cs="Arial"/>
          <w:color w:val="000000" w:themeColor="text1"/>
          <w:szCs w:val="21"/>
          <w14:textFill>
            <w14:solidFill>
              <w14:schemeClr w14:val="tx1"/>
            </w14:solidFill>
          </w14:textFill>
        </w:rPr>
        <w:t xml:space="preserve">询价 </w:t>
      </w:r>
      <w:r>
        <w:rPr>
          <w:rFonts w:ascii="Wingdings" w:hAnsi="Wingdings" w:eastAsia="Wingdings" w:cs="Wingdings"/>
          <w:color w:val="000000" w:themeColor="text1"/>
          <w:szCs w:val="21"/>
          <w14:textFill>
            <w14:solidFill>
              <w14:schemeClr w14:val="tx1"/>
            </w14:solidFill>
          </w14:textFill>
        </w:rPr>
        <w:t xml:space="preserve">¨</w:t>
      </w:r>
      <w:r>
        <w:rPr>
          <w:rFonts w:hint="eastAsia" w:ascii="Arial" w:hAnsi="Arial" w:eastAsia="Arial" w:cs="Arial"/>
          <w:color w:val="000000" w:themeColor="text1"/>
          <w:szCs w:val="21"/>
          <w14:textFill>
            <w14:solidFill>
              <w14:schemeClr w14:val="tx1"/>
            </w14:solidFill>
          </w14:textFill>
        </w:rPr>
        <w:t xml:space="preserve">单一来源 </w:t>
      </w:r>
      <w:r>
        <w:rPr>
          <w:rFonts w:ascii="Wingdings" w:hAnsi="Wingdings" w:eastAsia="Wingdings" w:cs="Wingdings"/>
          <w:color w:val="000000" w:themeColor="text1"/>
          <w:szCs w:val="21"/>
          <w14:textFill>
            <w14:solidFill>
              <w14:schemeClr w14:val="tx1"/>
            </w14:solidFill>
          </w14:textFill>
        </w:rPr>
        <w:t xml:space="preserve">¨</w:t>
      </w:r>
      <w:r>
        <w:rPr>
          <w:rFonts w:hint="eastAsia" w:ascii="Arial" w:hAnsi="Arial" w:eastAsia="Arial" w:cs="Arial"/>
          <w:color w:val="000000" w:themeColor="text1"/>
          <w:szCs w:val="21"/>
          <w14:textFill>
            <w14:solidFill>
              <w14:schemeClr w14:val="tx1"/>
            </w14:solidFill>
          </w14:textFill>
        </w:rPr>
        <w:t xml:space="preserve">框架协议 </w:t>
      </w:r>
      <w:r>
        <w:rPr>
          <w:rFonts w:ascii="Wingdings" w:hAnsi="Wingdings" w:eastAsia="Wingdings" w:cs="Wingdings"/>
          <w:color w:val="000000" w:themeColor="text1"/>
          <w:szCs w:val="21"/>
          <w14:textFill>
            <w14:solidFill>
              <w14:schemeClr w14:val="tx1"/>
            </w14:solidFill>
          </w14:textFill>
        </w:rPr>
        <w:t xml:space="preserve">¨</w:t>
      </w:r>
      <w:r>
        <w:rPr>
          <w:rFonts w:hint="eastAsia" w:ascii="Arial" w:hAnsi="Arial" w:eastAsia="Arial" w:cs="Arial"/>
          <w:color w:val="000000" w:themeColor="text1"/>
          <w:szCs w:val="21"/>
          <w14:textFill>
            <w14:solidFill>
              <w14:schemeClr w14:val="tx1"/>
            </w14:solidFill>
          </w14:textFill>
        </w:rPr>
        <w:t xml:space="preserve">其他：</w:t>
      </w:r>
      <w:r>
        <w:rPr>
          <w:rFonts w:hint="eastAsia" w:ascii="宋体" w:hAnsi="宋体" w:eastAsia="宋体" w:cs="宋体"/>
          <w:color w:val="000000" w:themeColor="text1"/>
          <w:szCs w:val="21"/>
          <w:u w:val="single"/>
          <w14:textFill>
            <w14:solidFill>
              <w14:schemeClr w14:val="tx1"/>
            </w14:solidFill>
          </w14:textFill>
        </w:rPr>
        <w:t xml:space="preserve">          </w:t>
      </w:r>
      <w:r/>
    </w:p>
    <w:p>
      <w:pPr>
        <w:ind w:firstLine="42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（注：在框架协议采购的第二阶段，可选择使用该合同文本）</w:t>
      </w:r>
      <w:r/>
    </w:p>
    <w:p>
      <w:pPr>
        <w:ind w:firstLine="220"/>
        <w:spacing w:line="400" w:lineRule="exac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华文楷体" w:cs="华文楷体"/>
          <w:color w:val="000000" w:themeColor="text1"/>
          <w:sz w:val="22"/>
          <w:szCs w:val="21"/>
          <w14:textFill>
            <w14:solidFill>
              <w14:schemeClr w14:val="tx1"/>
            </w14:solidFill>
          </w14:textFill>
        </w:rPr>
        <w:t xml:space="preserve"> （</w:t>
      </w:r>
      <w:r>
        <w:rPr>
          <w:rFonts w:ascii="宋体" w:hAnsi="宋体" w:eastAsia="华文楷体" w:cs="华文楷体"/>
          <w:color w:val="000000" w:themeColor="text1"/>
          <w:sz w:val="22"/>
          <w:szCs w:val="21"/>
          <w:lang w:val="en"/>
          <w14:textFill>
            <w14:solidFill>
              <w14:schemeClr w14:val="tx1"/>
            </w14:solidFill>
          </w14:textFill>
        </w:rPr>
        <w:t xml:space="preserve">6</w:t>
      </w:r>
      <w:r>
        <w:rPr>
          <w:rFonts w:hint="eastAsia" w:ascii="宋体" w:hAnsi="宋体" w:eastAsia="华文楷体" w:cs="华文楷体"/>
          <w:color w:val="000000" w:themeColor="text1"/>
          <w:sz w:val="22"/>
          <w:szCs w:val="21"/>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中标（中标）采购标的制造商是否为中小企业：</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否</w:t>
      </w:r>
      <w:r/>
    </w:p>
    <w:p>
      <w:pPr>
        <w:spacing w:line="400" w:lineRule="exact"/>
        <w:rPr>
          <w:rFonts w:ascii="宋体" w:hAnsi="宋体" w:eastAsia="Arial" w:cs="Times New Roman"/>
          <w:iCs/>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þ</w:t>
      </w:r>
      <w:r>
        <w:rPr>
          <w:rFonts w:hint="eastAsia" w:ascii="宋体" w:hAnsi="宋体" w:eastAsia="Arial" w:cs="Times New Roman"/>
          <w:iCs/>
          <w:color w:val="000000" w:themeColor="text1"/>
          <w:szCs w:val="21"/>
          <w14:textFill>
            <w14:solidFill>
              <w14:schemeClr w14:val="tx1"/>
            </w14:solidFill>
          </w14:textFill>
        </w:rPr>
        <w:t xml:space="preserve">否</w:t>
      </w:r>
      <w:r/>
    </w:p>
    <w:p>
      <w:pPr>
        <w:spacing w:line="400" w:lineRule="exact"/>
        <w:rPr>
          <w:rFonts w:ascii="宋体" w:hAnsi="宋体" w:eastAsia="Arial" w:cs="Times New Roman"/>
          <w:iCs/>
          <w:color w:val="000000" w:themeColor="text1"/>
          <w:szCs w:val="21"/>
          <w14:textFill>
            <w14:solidFill>
              <w14:schemeClr w14:val="tx1"/>
            </w14:solidFill>
          </w14:textFill>
        </w:rPr>
      </w:pPr>
      <w:r>
        <w:rPr>
          <w:rFonts w:hint="eastAsia" w:eastAsia="Arial" w:cs="Times New Roman"/>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þ</w:t>
      </w:r>
      <w:r>
        <w:rPr>
          <w:rFonts w:hint="eastAsia" w:ascii="宋体" w:hAnsi="宋体" w:eastAsia="Arial" w:cs="Times New Roman"/>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否</w:t>
      </w:r>
      <w:r/>
    </w:p>
    <w:p>
      <w:pPr>
        <w:spacing w:line="400" w:lineRule="exact"/>
        <w:rPr>
          <w:rFonts w:ascii="宋体" w:hAnsi="宋体" w:eastAsia="Arial" w:cs="Times New Roman"/>
          <w:iCs/>
          <w:color w:val="000000" w:themeColor="text1"/>
          <w:szCs w:val="21"/>
          <w14:textFill>
            <w14:solidFill>
              <w14:schemeClr w14:val="tx1"/>
            </w14:solidFill>
          </w14:textFill>
        </w:rPr>
      </w:pPr>
      <w:r>
        <w:rPr>
          <w:rFonts w:hint="eastAsia" w:eastAsia="Arial" w:cs="Times New Roman"/>
          <w:color w:val="000000" w:themeColor="text1"/>
          <w14:textFill>
            <w14:solidFill>
              <w14:schemeClr w14:val="tx1"/>
            </w14:solidFill>
          </w14:textFill>
        </w:rPr>
        <w:t xml:space="preserve">         中标（中标）采购标的制造商是否为残疾人福利性单位：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否</w:t>
      </w:r>
      <w:r/>
    </w:p>
    <w:p>
      <w:pPr>
        <w:spacing w:line="400" w:lineRule="exact"/>
        <w:rPr>
          <w:rFonts w:eastAsia="Arial" w:cs="Times New Roman"/>
          <w:color w:val="000000" w:themeColor="text1"/>
          <w14:textFill>
            <w14:solidFill>
              <w14:schemeClr w14:val="tx1"/>
            </w14:solidFill>
          </w14:textFill>
        </w:rPr>
      </w:pPr>
      <w:r>
        <w:rPr>
          <w:rFonts w:hint="eastAsia" w:eastAsia="Arial" w:cs="Times New Roman"/>
          <w:color w:val="000000" w:themeColor="text1"/>
          <w14:textFill>
            <w14:solidFill>
              <w14:schemeClr w14:val="tx1"/>
            </w14:solidFill>
          </w14:textFill>
        </w:rPr>
        <w:t xml:space="preserve">         中标（中标）采购标的制造商是否为监狱企业：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否</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w:t>
      </w:r>
      <w:r>
        <w:rPr>
          <w:rFonts w:ascii="宋体" w:hAnsi="宋体" w:eastAsia="Arial" w:cs="Times New Roman"/>
          <w:color w:val="000000" w:themeColor="text1"/>
          <w:szCs w:val="21"/>
          <w:lang w:val="en"/>
          <w14:textFill>
            <w14:solidFill>
              <w14:schemeClr w14:val="tx1"/>
            </w14:solidFill>
          </w14:textFill>
        </w:rPr>
        <w:t xml:space="preserve">7</w:t>
      </w:r>
      <w:r>
        <w:rPr>
          <w:rFonts w:hint="eastAsia" w:ascii="宋体" w:hAnsi="宋体" w:eastAsia="Arial" w:cs="Times New Roman"/>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否</w:t>
      </w:r>
      <w:r/>
    </w:p>
    <w:p>
      <w:pPr>
        <w:ind w:firstLine="840"/>
        <w:spacing w:line="400" w:lineRule="exact"/>
        <w:rPr>
          <w:rFonts w:ascii="宋体" w:hAnsi="宋体" w:eastAsia="Arial" w:cs="Times New Roman"/>
          <w:color w:val="000000" w:themeColor="text1"/>
          <w:szCs w:val="21"/>
          <w:u w:val="single"/>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分包主要内容：</w:t>
      </w:r>
      <w:r>
        <w:rPr>
          <w:rFonts w:hint="eastAsia" w:ascii="宋体" w:hAnsi="宋体" w:eastAsia="Arial" w:cs="Times New Roman"/>
          <w:color w:val="000000" w:themeColor="text1"/>
          <w:szCs w:val="21"/>
          <w:u w:val="single"/>
          <w14:textFill>
            <w14:solidFill>
              <w14:schemeClr w14:val="tx1"/>
            </w14:solidFill>
          </w14:textFill>
        </w:rPr>
        <w:t xml:space="preserve">                                            </w:t>
      </w:r>
      <w:r/>
    </w:p>
    <w:p>
      <w:pPr>
        <w:ind w:firstLine="84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ascii="宋体" w:hAnsi="宋体" w:eastAsia="Arial" w:cs="Times New Roman"/>
          <w:color w:val="000000" w:themeColor="text1"/>
          <w:szCs w:val="21"/>
          <w:u w:val="single"/>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w:t>
      </w:r>
      <w:r>
        <w:rPr>
          <w:rFonts w:hint="eastAsia" w:ascii="宋体" w:hAnsi="宋体" w:eastAsia="Arial" w:cs="Times New Roman"/>
          <w:color w:val="000000" w:themeColor="text1"/>
          <w:szCs w:val="21"/>
          <w:u w:val="single"/>
          <w14:textFill>
            <w14:solidFill>
              <w14:schemeClr w14:val="tx1"/>
            </w14:solidFill>
          </w14:textFill>
        </w:rPr>
        <w:t xml:space="preserve">                                                          </w:t>
      </w:r>
      <w:r/>
    </w:p>
    <w:p>
      <w:pPr>
        <w:ind w:firstLine="84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ascii="宋体" w:hAnsi="宋体" w:eastAsia="Arial" w:cs="Times New Roman"/>
          <w:iCs/>
          <w:color w:val="000000" w:themeColor="text1"/>
          <w:szCs w:val="21"/>
          <w14:textFill>
            <w14:solidFill>
              <w14:schemeClr w14:val="tx1"/>
            </w14:solidFill>
          </w14:textFill>
        </w:rPr>
      </w:pPr>
      <w:r>
        <w:rPr>
          <w:rFonts w:hint="eastAsia" w:ascii="宋体" w:hAnsi="宋体" w:eastAsia="Arial" w:cs="Times New Roman"/>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小微型企业  </w:t>
      </w:r>
      <w:r/>
    </w:p>
    <w:p>
      <w:pPr>
        <w:ind w:firstLine="840"/>
        <w:spacing w:line="400" w:lineRule="exact"/>
        <w:rPr>
          <w:rFonts w:hint="eastAsia" w:eastAsia="华文楷体" w:cs="Times New Roman"/>
          <w:color w:val="000000" w:themeColor="text1"/>
          <w14:textFill>
            <w14:solidFill>
              <w14:schemeClr w14:val="tx1"/>
            </w14:solidFill>
          </w14:textFill>
        </w:rPr>
      </w:pPr>
      <w:r>
        <w:rPr>
          <w:rFonts w:hint="eastAsia" w:ascii="宋体" w:hAnsi="宋体" w:eastAsia="Arial" w:cs="Times New Roman"/>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其他</w:t>
      </w:r>
      <w:r/>
    </w:p>
    <w:p>
      <w:pPr>
        <w:spacing w:line="400" w:lineRule="exact"/>
        <w:rPr>
          <w:rFonts w:ascii="宋体" w:hAnsi="宋体" w:eastAsia="Arial" w:cs="宋体"/>
          <w:iCs/>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w:t>
      </w:r>
      <w:r>
        <w:rPr>
          <w:rFonts w:ascii="宋体" w:hAnsi="宋体" w:eastAsia="Arial" w:cs="宋体"/>
          <w:color w:val="000000" w:themeColor="text1"/>
          <w:szCs w:val="21"/>
          <w:lang w:val="en"/>
          <w14:textFill>
            <w14:solidFill>
              <w14:schemeClr w14:val="tx1"/>
            </w14:solidFill>
          </w14:textFill>
        </w:rPr>
        <w:t xml:space="preserve">8</w:t>
      </w:r>
      <w:r>
        <w:rPr>
          <w:rFonts w:hint="eastAsia" w:ascii="宋体" w:hAnsi="宋体" w:eastAsia="Arial" w:cs="宋体"/>
          <w:color w:val="000000" w:themeColor="text1"/>
          <w:szCs w:val="21"/>
          <w14:textFill>
            <w14:solidFill>
              <w14:schemeClr w14:val="tx1"/>
            </w14:solidFill>
          </w14:textFill>
        </w:rPr>
        <w:t xml:space="preserve">）中标（中标）供应商是否为外商投资企业：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宋体"/>
          <w:iCs/>
          <w:color w:val="000000" w:themeColor="text1"/>
          <w:szCs w:val="21"/>
          <w14:textFill>
            <w14:solidFill>
              <w14:schemeClr w14:val="tx1"/>
            </w14:solidFill>
          </w14:textFill>
        </w:rPr>
        <w:t xml:space="preserve">否</w:t>
      </w:r>
      <w:r/>
    </w:p>
    <w:p>
      <w:pPr>
        <w:ind w:firstLine="440"/>
        <w:spacing w:line="400" w:lineRule="exact"/>
        <w:tabs>
          <w:tab w:val="left" w:pos="1340" w:leader="none"/>
        </w:tabs>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外商投资企业类型：</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全部由外国投资者投资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宋体" w:cs="宋体"/>
          <w:iCs/>
          <w:color w:val="000000" w:themeColor="text1"/>
          <w:szCs w:val="21"/>
          <w14:textFill>
            <w14:solidFill>
              <w14:schemeClr w14:val="tx1"/>
            </w14:solidFill>
          </w14:textFill>
        </w:rPr>
        <w:t xml:space="preserve">部分由外国投资者投资</w:t>
      </w:r>
      <w:r/>
    </w:p>
    <w:p>
      <w:pPr>
        <w:ind w:firstLine="42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rPr>
          <w:rFonts w:ascii="宋体" w:hAnsi="宋体" w:eastAsia="Arial" w:cs="宋体"/>
          <w:color w:val="000000" w:themeColor="text1"/>
          <w:szCs w:val="21"/>
          <w:lang w:val="en"/>
          <w14:textFill>
            <w14:solidFill>
              <w14:schemeClr w14:val="tx1"/>
            </w14:solidFill>
          </w14:textFill>
        </w:rPr>
        <w:t xml:space="preserve">9</w:t>
      </w:r>
      <w:r>
        <w:rPr>
          <w:rFonts w:hint="eastAsia" w:ascii="宋体" w:hAnsi="宋体" w:eastAsia="宋体" w:cs="宋体"/>
          <w:color w:val="000000" w:themeColor="text1"/>
          <w:szCs w:val="21"/>
          <w14:textFill>
            <w14:solidFill>
              <w14:schemeClr w14:val="tx1"/>
            </w14:solidFill>
          </w14:textFill>
        </w:rPr>
        <w:t xml:space="preserve">）是否涉及进口产品：</w:t>
      </w:r>
      <w:r/>
    </w:p>
    <w:p>
      <w:pPr>
        <w:ind w:firstLine="840"/>
        <w:spacing w:line="400" w:lineRule="exact"/>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Arial"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是，</w:t>
      </w:r>
      <w:r>
        <w:rPr>
          <w:rFonts w:hint="eastAsia" w:ascii="宋体" w:hAnsi="宋体" w:eastAsia="Arial" w:cs="宋体"/>
          <w:color w:val="000000" w:themeColor="text1"/>
          <w:szCs w:val="21"/>
          <w14:textFill>
            <w14:solidFill>
              <w14:schemeClr w14:val="tx1"/>
            </w14:solidFill>
          </w14:textFill>
        </w:rPr>
        <w:t xml:space="preserve">《政府采购品目分类目录》底级品目名称</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金额：</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Arial"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p>
    <w:p>
      <w:pPr>
        <w:ind w:firstLine="840"/>
        <w:spacing w:line="400" w:lineRule="exac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Arial" w:cs="宋体"/>
          <w:color w:val="000000" w:themeColor="text1"/>
          <w:szCs w:val="21"/>
          <w14:textFill>
            <w14:solidFill>
              <w14:schemeClr w14:val="tx1"/>
            </w14:solidFill>
          </w14:textFill>
        </w:rPr>
        <w:t xml:space="preserve">        国别：</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Arial"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品牌：</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规格型号：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Times New Roman"/>
          <w:color w:val="000000" w:themeColor="text1"/>
          <w:szCs w:val="21"/>
          <w14:textFill>
            <w14:solidFill>
              <w14:schemeClr w14:val="tx1"/>
            </w14:solidFill>
          </w14:textFill>
        </w:rPr>
        <w:t xml:space="preserve">      </w:t>
      </w:r>
      <w:r/>
    </w:p>
    <w:p>
      <w:pPr>
        <w:ind w:firstLine="84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宋体" w:cs="Times New Roman"/>
          <w:color w:val="000000" w:themeColor="text1"/>
          <w:szCs w:val="21"/>
          <w14:textFill>
            <w14:solidFill>
              <w14:schemeClr w14:val="tx1"/>
            </w14:solidFill>
          </w14:textFill>
        </w:rPr>
        <w:t xml:space="preserve">否</w:t>
      </w:r>
      <w:r/>
    </w:p>
    <w:p>
      <w:pPr>
        <w:spacing w:line="400" w:lineRule="exact"/>
        <w:tabs>
          <w:tab w:val="left" w:pos="740" w:leader="none"/>
        </w:tabs>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（1</w:t>
      </w:r>
      <w:r>
        <w:rPr>
          <w:rFonts w:ascii="宋体" w:hAnsi="宋体" w:eastAsia="Arial" w:cs="Times New Roman"/>
          <w:color w:val="000000" w:themeColor="text1"/>
          <w:szCs w:val="21"/>
          <w:lang w:val="en"/>
          <w14:textFill>
            <w14:solidFill>
              <w14:schemeClr w14:val="tx1"/>
            </w14:solidFill>
          </w14:textFill>
        </w:rPr>
        <w:t xml:space="preserve">0</w:t>
      </w:r>
      <w:r>
        <w:rPr>
          <w:rFonts w:hint="eastAsia" w:ascii="宋体" w:hAnsi="宋体" w:eastAsia="Arial" w:cs="Times New Roman"/>
          <w:color w:val="000000" w:themeColor="text1"/>
          <w:szCs w:val="21"/>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是否涉及节能产品：</w:t>
      </w:r>
      <w:r/>
    </w:p>
    <w:p>
      <w:pPr>
        <w:spacing w:line="400" w:lineRule="exact"/>
        <w:tabs>
          <w:tab w:val="left" w:pos="740" w:leader="none"/>
        </w:tabs>
        <w:rPr>
          <w:rFonts w:ascii="宋体" w:hAnsi="宋体" w:eastAsia="Arial" w:cs="Times New Roman"/>
          <w:iCs/>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是，</w:t>
      </w:r>
      <w:r>
        <w:rPr>
          <w:rFonts w:hint="eastAsia" w:ascii="宋体" w:hAnsi="宋体" w:eastAsia="Arial" w:cs="Times New Roman"/>
          <w:color w:val="000000" w:themeColor="text1"/>
          <w:szCs w:val="21"/>
          <w14:textFill>
            <w14:solidFill>
              <w14:schemeClr w14:val="tx1"/>
            </w14:solidFill>
          </w14:textFill>
        </w:rPr>
        <w:t xml:space="preserve">《节能产品政府采购品目清单》的底级品目名称：</w:t>
      </w:r>
      <w:r>
        <w:rPr>
          <w:rFonts w:hint="eastAsia" w:ascii="宋体" w:hAnsi="宋体" w:eastAsia="宋体" w:cs="Times New Roman"/>
          <w:color w:val="000000" w:themeColor="text1"/>
          <w:szCs w:val="21"/>
          <w:u w:val="single"/>
          <w14:textFill>
            <w14:solidFill>
              <w14:schemeClr w14:val="tx1"/>
            </w14:solidFill>
          </w14:textFill>
        </w:rPr>
        <w:t xml:space="preserve">                </w:t>
      </w:r>
      <w:r>
        <w:rPr>
          <w:rFonts w:hint="eastAsia" w:ascii="宋体" w:hAnsi="宋体" w:eastAsia="Arial" w:cs="Times New Roman"/>
          <w:color w:val="000000" w:themeColor="text1"/>
          <w:szCs w:val="21"/>
          <w:u w:val="single"/>
          <w14:textFill>
            <w14:solidFill>
              <w14:schemeClr w14:val="tx1"/>
            </w14:solidFill>
          </w14:textFill>
        </w:rPr>
        <w:t xml:space="preserve"> </w:t>
      </w:r>
      <w:r>
        <w:rPr>
          <w:rFonts w:hint="eastAsia" w:ascii="宋体" w:hAnsi="宋体" w:eastAsia="Arial" w:cs="Times New Roman"/>
          <w:iCs/>
          <w:color w:val="000000" w:themeColor="text1"/>
          <w:szCs w:val="21"/>
          <w14:textFill>
            <w14:solidFill>
              <w14:schemeClr w14:val="tx1"/>
            </w14:solidFill>
          </w14:textFill>
        </w:rPr>
        <w:t xml:space="preserve">     </w:t>
      </w:r>
      <w:r/>
    </w:p>
    <w:p>
      <w:pPr>
        <w:spacing w:line="400" w:lineRule="exact"/>
        <w:tabs>
          <w:tab w:val="left" w:pos="740" w:leader="none"/>
        </w:tabs>
        <w:rPr>
          <w:rFonts w:ascii="宋体" w:hAnsi="宋体" w:eastAsia="Arial" w:cs="Times New Roman"/>
          <w:iCs/>
          <w:color w:val="000000" w:themeColor="text1"/>
          <w:szCs w:val="21"/>
          <w14:textFill>
            <w14:solidFill>
              <w14:schemeClr w14:val="tx1"/>
            </w14:solidFill>
          </w14:textFill>
        </w:rPr>
      </w:pPr>
      <w:r>
        <w:rPr>
          <w:rFonts w:hint="eastAsia" w:ascii="宋体" w:hAnsi="宋体" w:eastAsia="Arial" w:cs="Times New Roman"/>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优先采购    </w:t>
      </w:r>
      <w:r/>
    </w:p>
    <w:p>
      <w:pPr>
        <w:spacing w:line="400" w:lineRule="exact"/>
        <w:tabs>
          <w:tab w:val="left" w:pos="740" w:leader="none"/>
        </w:tabs>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Arial" w:cs="Times New Roman"/>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否</w:t>
      </w:r>
      <w:r/>
    </w:p>
    <w:p>
      <w:pPr>
        <w:spacing w:line="400" w:lineRule="exact"/>
        <w:tabs>
          <w:tab w:val="left" w:pos="740" w:leader="none"/>
        </w:tabs>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w:t>
      </w:r>
      <w:r>
        <w:rPr>
          <w:rFonts w:hint="eastAsia" w:ascii="宋体" w:hAnsi="宋体" w:eastAsia="宋体" w:cs="Times New Roman"/>
          <w:color w:val="000000" w:themeColor="text1"/>
          <w:szCs w:val="21"/>
          <w14:textFill>
            <w14:solidFill>
              <w14:schemeClr w14:val="tx1"/>
            </w14:solidFill>
          </w14:textFill>
        </w:rPr>
        <w:t xml:space="preserve">是否涉及</w:t>
      </w:r>
      <w:r>
        <w:rPr>
          <w:rFonts w:hint="eastAsia" w:ascii="宋体" w:hAnsi="宋体" w:eastAsia="Arial" w:cs="Times New Roman"/>
          <w:color w:val="000000" w:themeColor="text1"/>
          <w:szCs w:val="21"/>
          <w14:textFill>
            <w14:solidFill>
              <w14:schemeClr w14:val="tx1"/>
            </w14:solidFill>
          </w14:textFill>
        </w:rPr>
        <w:t xml:space="preserve">环境标志</w:t>
      </w:r>
      <w:r>
        <w:rPr>
          <w:rFonts w:hint="eastAsia" w:ascii="宋体" w:hAnsi="宋体" w:eastAsia="宋体" w:cs="Times New Roman"/>
          <w:color w:val="000000" w:themeColor="text1"/>
          <w:szCs w:val="21"/>
          <w14:textFill>
            <w14:solidFill>
              <w14:schemeClr w14:val="tx1"/>
            </w14:solidFill>
          </w14:textFill>
        </w:rPr>
        <w:t xml:space="preserve">产品：</w:t>
      </w:r>
      <w:r/>
    </w:p>
    <w:p>
      <w:pPr>
        <w:spacing w:line="400" w:lineRule="exact"/>
        <w:tabs>
          <w:tab w:val="left" w:pos="740" w:leader="none"/>
        </w:tabs>
        <w:rPr>
          <w:rFonts w:ascii="宋体" w:hAnsi="宋体" w:eastAsia="Arial" w:cs="Times New Roman"/>
          <w:color w:val="000000" w:themeColor="text1"/>
          <w:szCs w:val="21"/>
          <w:u w:val="single"/>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是，</w:t>
      </w:r>
      <w:r>
        <w:rPr>
          <w:rFonts w:hint="eastAsia" w:ascii="宋体" w:hAnsi="宋体" w:eastAsia="Arial" w:cs="Times New Roman"/>
          <w:color w:val="000000" w:themeColor="text1"/>
          <w:szCs w:val="21"/>
          <w14:textFill>
            <w14:solidFill>
              <w14:schemeClr w14:val="tx1"/>
            </w14:solidFill>
          </w14:textFill>
        </w:rPr>
        <w:t xml:space="preserve">《环境标志产品政府采购品目清单》的底级品目名称：</w:t>
      </w:r>
      <w:r>
        <w:rPr>
          <w:rFonts w:hint="eastAsia" w:ascii="宋体" w:hAnsi="宋体" w:eastAsia="Arial" w:cs="Times New Roman"/>
          <w:color w:val="000000" w:themeColor="text1"/>
          <w:szCs w:val="21"/>
          <w:u w:val="single"/>
          <w14:textFill>
            <w14:solidFill>
              <w14:schemeClr w14:val="tx1"/>
            </w14:solidFill>
          </w14:textFill>
        </w:rPr>
        <w:t xml:space="preserve">             </w:t>
      </w:r>
      <w:r/>
    </w:p>
    <w:p>
      <w:pPr>
        <w:spacing w:line="400" w:lineRule="exact"/>
        <w:tabs>
          <w:tab w:val="left" w:pos="740" w:leader="none"/>
        </w:tabs>
        <w:rPr>
          <w:rFonts w:ascii="宋体" w:hAnsi="宋体" w:eastAsia="Arial" w:cs="Times New Roman"/>
          <w:iCs/>
          <w:color w:val="000000" w:themeColor="text1"/>
          <w:szCs w:val="21"/>
          <w14:textFill>
            <w14:solidFill>
              <w14:schemeClr w14:val="tx1"/>
            </w14:solidFill>
          </w14:textFill>
        </w:rPr>
      </w:pPr>
      <w:r>
        <w:rPr>
          <w:rFonts w:hint="eastAsia" w:ascii="宋体" w:hAnsi="宋体" w:eastAsia="Arial" w:cs="Times New Roman"/>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优先采购    </w:t>
      </w:r>
      <w:r/>
    </w:p>
    <w:p>
      <w:pPr>
        <w:spacing w:line="400" w:lineRule="exact"/>
        <w:tabs>
          <w:tab w:val="left" w:pos="740" w:leader="none"/>
        </w:tabs>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否</w:t>
      </w:r>
      <w:r/>
    </w:p>
    <w:p>
      <w:pPr>
        <w:spacing w:line="400" w:lineRule="exac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华文楷体" w:cs="华文楷体"/>
          <w:color w:val="000000" w:themeColor="text1"/>
          <w:szCs w:val="21"/>
          <w14:textFill>
            <w14:solidFill>
              <w14:schemeClr w14:val="tx1"/>
            </w14:solidFill>
          </w14:textFill>
        </w:rPr>
        <w:t xml:space="preserve">          </w:t>
      </w:r>
      <w:r>
        <w:rPr>
          <w:rFonts w:hint="eastAsia" w:ascii="宋体" w:hAnsi="宋体" w:eastAsia="宋体" w:cs="Times New Roman"/>
          <w:color w:val="000000" w:themeColor="text1"/>
          <w:szCs w:val="21"/>
          <w14:textFill>
            <w14:solidFill>
              <w14:schemeClr w14:val="tx1"/>
            </w14:solidFill>
          </w14:textFill>
        </w:rPr>
        <w:t xml:space="preserve">是否涉及绿色产品： </w:t>
      </w:r>
      <w:r/>
    </w:p>
    <w:p>
      <w:pPr>
        <w:ind w:firstLine="420"/>
        <w:spacing w:line="400" w:lineRule="exact"/>
        <w:rPr>
          <w:rFonts w:hint="eastAsia" w:ascii="宋体" w:hAnsi="宋体" w:eastAsia="宋体" w:cs="华文楷体"/>
          <w:color w:val="000000" w:themeColor="text1"/>
          <w:sz w:val="22"/>
          <w:szCs w:val="21"/>
          <w:u w:val="single"/>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是，绿色产品政府采购相关政策确定的底级品目名称：</w:t>
      </w:r>
      <w:r>
        <w:rPr>
          <w:rFonts w:hint="eastAsia" w:ascii="宋体" w:hAnsi="宋体" w:eastAsia="宋体" w:cs="华文楷体"/>
          <w:color w:val="000000" w:themeColor="text1"/>
          <w:sz w:val="22"/>
          <w:szCs w:val="21"/>
          <w:u w:val="single"/>
          <w14:textFill>
            <w14:solidFill>
              <w14:schemeClr w14:val="tx1"/>
            </w14:solidFill>
          </w14:textFill>
        </w:rPr>
        <w:t xml:space="preserve">         </w:t>
      </w:r>
      <w:r/>
    </w:p>
    <w:p>
      <w:pPr>
        <w:spacing w:line="400" w:lineRule="exact"/>
        <w:tabs>
          <w:tab w:val="left" w:pos="740" w:leader="none"/>
        </w:tabs>
        <w:rPr>
          <w:rFonts w:ascii="宋体" w:hAnsi="宋体" w:eastAsia="Arial" w:cs="Times New Roman"/>
          <w:iCs/>
          <w:color w:val="000000" w:themeColor="text1"/>
          <w:szCs w:val="21"/>
          <w14:textFill>
            <w14:solidFill>
              <w14:schemeClr w14:val="tx1"/>
            </w14:solidFill>
          </w14:textFill>
        </w:rPr>
      </w:pPr>
      <w:r>
        <w:rPr>
          <w:rFonts w:hint="eastAsia" w:ascii="宋体" w:hAnsi="宋体" w:eastAsia="Arial" w:cs="Times New Roman"/>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优先采购    </w:t>
      </w:r>
      <w:r/>
    </w:p>
    <w:p>
      <w:pPr>
        <w:ind w:firstLine="420"/>
        <w:spacing w:line="400" w:lineRule="exact"/>
        <w:rPr>
          <w:rFonts w:hint="eastAsia" w:ascii="宋体" w:hAnsi="宋体" w:eastAsia="华文楷体" w:cs="华文楷体"/>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否</w:t>
      </w:r>
      <w:r/>
    </w:p>
    <w:p>
      <w:pPr>
        <w:spacing w:line="400" w:lineRule="exac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（1</w:t>
      </w:r>
      <w:r>
        <w:rPr>
          <w:rFonts w:ascii="宋体" w:hAnsi="宋体" w:eastAsia="Arial" w:cs="Times New Roman"/>
          <w:color w:val="000000" w:themeColor="text1"/>
          <w:szCs w:val="21"/>
          <w:lang w:val="en"/>
          <w14:textFill>
            <w14:solidFill>
              <w14:schemeClr w14:val="tx1"/>
            </w14:solidFill>
          </w14:textFill>
        </w:rPr>
        <w:t xml:space="preserve">1</w:t>
      </w:r>
      <w:r>
        <w:rPr>
          <w:rFonts w:hint="eastAsia" w:ascii="宋体" w:hAnsi="宋体" w:eastAsia="Arial" w:cs="Times New Roman"/>
          <w:color w:val="000000" w:themeColor="text1"/>
          <w:szCs w:val="21"/>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涉及商品包装和快递包装的，是否参考</w:t>
      </w:r>
      <w:r>
        <w:rPr>
          <w:rFonts w:hint="eastAsia" w:ascii="宋体" w:hAnsi="宋体" w:eastAsia="Arial" w:cs="Times New Roman"/>
          <w:color w:val="000000" w:themeColor="text1"/>
          <w:szCs w:val="21"/>
          <w14:textFill>
            <w14:solidFill>
              <w14:schemeClr w14:val="tx1"/>
            </w14:solidFill>
          </w14:textFill>
        </w:rPr>
        <w:t xml:space="preserve">《商品包装政府采购需求标准（试行）》、《快递包装政府采购需求标准（试行）》</w:t>
      </w:r>
      <w:r>
        <w:rPr>
          <w:rFonts w:hint="eastAsia" w:ascii="宋体" w:hAnsi="宋体" w:eastAsia="宋体" w:cs="Times New Roman"/>
          <w:color w:val="000000" w:themeColor="text1"/>
          <w:szCs w:val="21"/>
          <w14:textFill>
            <w14:solidFill>
              <w14:schemeClr w14:val="tx1"/>
            </w14:solidFill>
          </w14:textFill>
        </w:rPr>
        <w:t xml:space="preserve">明确产品及相关快递服务的具体包装要求：</w:t>
      </w:r>
      <w:r/>
    </w:p>
    <w:p>
      <w:pPr>
        <w:ind w:firstLine="840"/>
        <w:spacing w:line="400" w:lineRule="exact"/>
        <w:rPr>
          <w:rFonts w:hint="eastAsia" w:ascii="宋体" w:hAnsi="宋体" w:eastAsia="宋体" w:cs="Times New Roman"/>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宋体" w:cs="Times New Roman"/>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Times New Roman"/>
          <w:color w:val="000000" w:themeColor="text1"/>
          <w:szCs w:val="21"/>
          <w14:textFill>
            <w14:solidFill>
              <w14:schemeClr w14:val="tx1"/>
            </w14:solidFill>
          </w14:textFill>
        </w:rPr>
        <w:t xml:space="preserve">不涉及</w:t>
      </w:r>
      <w:r/>
    </w:p>
    <w:p>
      <w:pPr>
        <w:numPr>
          <w:ilvl w:val="0"/>
          <w:numId w:val="2"/>
        </w:numPr>
        <w:ind w:firstLine="422"/>
        <w:spacing w:line="400" w:lineRule="exact"/>
        <w:rPr>
          <w:rFonts w:ascii="宋体" w:hAnsi="宋体" w:eastAsia="Arial" w:cs="Times New Roman"/>
          <w:b/>
          <w:color w:val="000000" w:themeColor="text1"/>
          <w:szCs w:val="21"/>
          <w14:textFill>
            <w14:solidFill>
              <w14:schemeClr w14:val="tx1"/>
            </w14:solidFill>
          </w14:textFill>
        </w:rPr>
      </w:pPr>
      <w:r>
        <w:rPr>
          <w:rFonts w:hint="eastAsia" w:ascii="宋体" w:hAnsi="宋体" w:eastAsia="Arial" w:cs="Times New Roman"/>
          <w:b/>
          <w:color w:val="000000" w:themeColor="text1"/>
          <w:szCs w:val="21"/>
          <w14:textFill>
            <w14:solidFill>
              <w14:schemeClr w14:val="tx1"/>
            </w14:solidFill>
          </w14:textFill>
        </w:rPr>
        <w:t xml:space="preserve">合同金额</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（1）合同金额小写：</w:t>
      </w:r>
      <w:r>
        <w:rPr>
          <w:rFonts w:hint="eastAsia" w:ascii="宋体" w:hAnsi="宋体" w:eastAsia="Arial" w:cs="Times New Roman"/>
          <w:color w:val="000000" w:themeColor="text1"/>
          <w:szCs w:val="21"/>
          <w:u w:val="single"/>
          <w14:textFill>
            <w14:solidFill>
              <w14:schemeClr w14:val="tx1"/>
            </w14:solidFill>
          </w14:textFill>
        </w:rPr>
        <w:t xml:space="preserve">                           </w:t>
      </w:r>
      <w:r/>
    </w:p>
    <w:p>
      <w:pPr>
        <w:spacing w:line="400" w:lineRule="exact"/>
        <w:rPr>
          <w:rFonts w:ascii="宋体" w:hAnsi="宋体" w:eastAsia="Arial" w:cs="Times New Roman"/>
          <w:color w:val="000000" w:themeColor="text1"/>
          <w:szCs w:val="21"/>
          <w:u w:val="single"/>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大写：</w:t>
      </w:r>
      <w:r>
        <w:rPr>
          <w:rFonts w:hint="eastAsia" w:ascii="宋体" w:hAnsi="宋体" w:eastAsia="Arial" w:cs="Times New Roman"/>
          <w:color w:val="000000" w:themeColor="text1"/>
          <w:szCs w:val="21"/>
          <w:u w:val="single"/>
          <w14:textFill>
            <w14:solidFill>
              <w14:schemeClr w14:val="tx1"/>
            </w14:solidFill>
          </w14:textFill>
        </w:rPr>
        <w:t xml:space="preserve">                           </w:t>
      </w:r>
      <w:r/>
    </w:p>
    <w:p>
      <w:pPr>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分包金额（如有）小写：</w:t>
      </w:r>
      <w:r>
        <w:rPr>
          <w:rFonts w:hint="eastAsia" w:ascii="宋体" w:hAnsi="宋体" w:eastAsia="Arial" w:cs="Times New Roman"/>
          <w:color w:val="000000" w:themeColor="text1"/>
          <w:szCs w:val="21"/>
          <w:u w:val="single"/>
          <w14:textFill>
            <w14:solidFill>
              <w14:schemeClr w14:val="tx1"/>
            </w14:solidFill>
          </w14:textFill>
        </w:rPr>
        <w:t xml:space="preserve">                   </w:t>
      </w:r>
      <w:r/>
    </w:p>
    <w:p>
      <w:pPr>
        <w:spacing w:line="400" w:lineRule="exact"/>
        <w:rPr>
          <w:rFonts w:ascii="宋体" w:hAnsi="宋体" w:eastAsia="Arial" w:cs="Times New Roman"/>
          <w:color w:val="000000" w:themeColor="text1"/>
          <w:szCs w:val="21"/>
          <w:u w:val="single"/>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大写：</w:t>
      </w:r>
      <w:r>
        <w:rPr>
          <w:rFonts w:hint="eastAsia" w:ascii="宋体" w:hAnsi="宋体" w:eastAsia="Arial" w:cs="Times New Roman"/>
          <w:color w:val="000000" w:themeColor="text1"/>
          <w:szCs w:val="21"/>
          <w:u w:val="single"/>
          <w14:textFill>
            <w14:solidFill>
              <w14:schemeClr w14:val="tx1"/>
            </w14:solidFill>
          </w14:textFill>
        </w:rPr>
        <w:t xml:space="preserve">                       </w:t>
      </w:r>
      <w:r/>
    </w:p>
    <w:p>
      <w:pPr>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（注：固定单价合同应填写单价和最高限价）</w:t>
      </w:r>
      <w:r/>
    </w:p>
    <w:p>
      <w:pPr>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    （2）合同定价方式（采用组合定价方式的，可以勾选多项）：</w:t>
      </w:r>
      <w:r/>
    </w:p>
    <w:p>
      <w:pPr>
        <w:ind w:firstLine="420"/>
        <w:spacing w:line="400" w:lineRule="exac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Arial" w:cs="Times New Roman"/>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þ</w:t>
      </w:r>
      <w:r>
        <w:rPr>
          <w:rFonts w:hint="eastAsia" w:ascii="宋体" w:hAnsi="宋体" w:eastAsia="Arial" w:cs="Times New Roman"/>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eastAsia="Arial" w:cs="Times New Roman"/>
          <w:iCs/>
          <w:color w:val="000000" w:themeColor="text1"/>
          <w:szCs w:val="21"/>
          <w14:textFill>
            <w14:solidFill>
              <w14:schemeClr w14:val="tx1"/>
            </w14:solidFill>
          </w14:textFill>
        </w:rPr>
        <w:t xml:space="preserve">其他</w:t>
      </w:r>
      <w:r>
        <w:rPr>
          <w:rFonts w:hint="eastAsia" w:ascii="宋体" w:hAnsi="宋体" w:eastAsia="Arial" w:cs="Times New Roman"/>
          <w:color w:val="000000" w:themeColor="text1"/>
          <w:szCs w:val="21"/>
          <w:u w:val="single"/>
          <w14:textFill>
            <w14:solidFill>
              <w14:schemeClr w14:val="tx1"/>
            </w14:solidFill>
          </w14:textFill>
        </w:rPr>
        <w:t xml:space="preserve">       </w:t>
      </w:r>
      <w:r/>
    </w:p>
    <w:p>
      <w:pPr>
        <w:ind w:firstLine="420"/>
        <w:spacing w:line="400" w:lineRule="exact"/>
        <w:rPr>
          <w:rFonts w:ascii="Times New Roman" w:hAnsi="Times New Roman"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（3）付款方式（按项目实际勾选填写）：</w:t>
      </w:r>
      <w:r/>
    </w:p>
    <w:p>
      <w:pPr>
        <w:ind w:firstLine="630"/>
        <w:spacing w:line="400" w:lineRule="exact"/>
        <w:rPr>
          <w:rFonts w:ascii="宋体" w:hAnsi="宋体" w:eastAsia="Arial" w:cs="Times New Roman"/>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Arial" w:cs="Times New Roman"/>
          <w:color w:val="000000" w:themeColor="text1"/>
          <w:szCs w:val="21"/>
          <w14:textFill>
            <w14:solidFill>
              <w14:schemeClr w14:val="tx1"/>
            </w14:solidFill>
          </w14:textFill>
        </w:rPr>
        <w:t xml:space="preserve">全额付款：</w:t>
      </w:r>
      <w:r>
        <w:rPr>
          <w:rFonts w:hint="eastAsia" w:ascii="宋体" w:hAnsi="宋体" w:eastAsia="Arial" w:cs="Times New Roman"/>
          <w:color w:val="000000" w:themeColor="text1"/>
          <w:szCs w:val="21"/>
          <w:u w:val="single"/>
          <w14:textFill>
            <w14:solidFill>
              <w14:schemeClr w14:val="tx1"/>
            </w14:solidFill>
          </w14:textFill>
        </w:rPr>
        <w:t xml:space="preserve">     </w:t>
      </w:r>
      <w:r>
        <w:rPr>
          <w:rFonts w:hint="eastAsia" w:ascii="宋体" w:hAnsi="宋体" w:eastAsia="宋体" w:cs="Times New Roman"/>
          <w:color w:val="000000" w:themeColor="text1"/>
          <w:szCs w:val="21"/>
          <w:u w:val="single"/>
          <w14:textFill>
            <w14:solidFill>
              <w14:schemeClr w14:val="tx1"/>
            </w14:solidFill>
          </w14:textFill>
        </w:rPr>
        <w:t xml:space="preserve">采购货物送至指定地点，安装调试完成、验收合格后30日内付至合同价款的100%。</w:t>
      </w:r>
      <w:r>
        <w:rPr>
          <w:rFonts w:hint="eastAsia" w:ascii="宋体" w:hAnsi="宋体" w:eastAsia="Arial" w:cs="Times New Roman"/>
          <w:color w:val="000000" w:themeColor="text1"/>
          <w:szCs w:val="21"/>
          <w:u w:val="single"/>
          <w14:textFill>
            <w14:solidFill>
              <w14:schemeClr w14:val="tx1"/>
            </w14:solidFill>
          </w14:textFill>
        </w:rPr>
        <w:t xml:space="preserve">                   </w:t>
      </w:r>
      <w:r/>
    </w:p>
    <w:p>
      <w:pPr>
        <w:ind w:firstLine="630"/>
        <w:jc w:val="left"/>
        <w:spacing w:line="600" w:lineRule="exact"/>
        <w:rPr>
          <w:rFonts w:hint="eastAsia" w:ascii="宋体" w:hAnsi="宋体" w:eastAsia="宋体" w:cs="Times New Roman"/>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Arial" w:cs="Times New Roman"/>
          <w:color w:val="000000" w:themeColor="text1"/>
          <w:szCs w:val="21"/>
          <w14:textFill>
            <w14:solidFill>
              <w14:schemeClr w14:val="tx1"/>
            </w14:solidFill>
          </w14:textFill>
        </w:rPr>
        <w:t xml:space="preserve">分期付款：</w:t>
      </w:r>
      <w:r>
        <w:rPr>
          <w:rFonts w:hint="eastAsia" w:ascii="宋体" w:hAnsi="宋体" w:eastAsia="宋体" w:cs="Times New Roman"/>
          <w:color w:val="000000" w:themeColor="text1"/>
          <w:szCs w:val="21"/>
          <w:u w:val="single"/>
          <w14:textFill>
            <w14:solidFill>
              <w14:schemeClr w14:val="tx1"/>
            </w14:solidFill>
          </w14:textFill>
        </w:rPr>
        <w:t xml:space="preserve">                                                       </w:t>
      </w:r>
      <w:r/>
    </w:p>
    <w:p>
      <w:pPr>
        <w:ind w:firstLine="630"/>
        <w:spacing w:line="400" w:lineRule="exact"/>
        <w:rPr>
          <w:rFonts w:ascii="宋体" w:hAnsi="宋体" w:eastAsia="Arial" w:cs="Times New Roman"/>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Arial" w:cs="Times New Roman"/>
          <w:color w:val="000000" w:themeColor="text1"/>
          <w:szCs w:val="21"/>
          <w14:textFill>
            <w14:solidFill>
              <w14:schemeClr w14:val="tx1"/>
            </w14:solidFill>
          </w14:textFill>
        </w:rPr>
        <w:t xml:space="preserve">成本补偿：</w:t>
      </w:r>
      <w:r>
        <w:rPr>
          <w:rFonts w:hint="eastAsia" w:ascii="宋体" w:hAnsi="宋体" w:eastAsia="Arial" w:cs="Times New Roman"/>
          <w:color w:val="000000" w:themeColor="text1"/>
          <w:szCs w:val="21"/>
          <w:u w:val="single"/>
          <w14:textFill>
            <w14:solidFill>
              <w14:schemeClr w14:val="tx1"/>
            </w14:solidFill>
          </w14:textFill>
        </w:rPr>
        <w:t xml:space="preserve">      （应明确按照成本补偿方式的支付方式和支付条件）   </w:t>
      </w:r>
      <w:r/>
    </w:p>
    <w:p>
      <w:pPr>
        <w:ind w:firstLine="630"/>
        <w:spacing w:line="400" w:lineRule="exact"/>
        <w:rPr>
          <w:rFonts w:ascii="宋体" w:hAnsi="宋体" w:eastAsia="Arial" w:cs="Times New Roman"/>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Arial" w:cs="Times New Roman"/>
          <w:color w:val="000000" w:themeColor="text1"/>
          <w:szCs w:val="21"/>
          <w14:textFill>
            <w14:solidFill>
              <w14:schemeClr w14:val="tx1"/>
            </w14:solidFill>
          </w14:textFill>
        </w:rPr>
        <w:t xml:space="preserve">绩效激励：</w:t>
      </w:r>
      <w:r>
        <w:rPr>
          <w:rFonts w:hint="eastAsia" w:ascii="宋体" w:hAnsi="宋体" w:eastAsia="Arial" w:cs="Times New Roman"/>
          <w:color w:val="000000" w:themeColor="text1"/>
          <w:szCs w:val="21"/>
          <w:u w:val="single"/>
          <w14:textFill>
            <w14:solidFill>
              <w14:schemeClr w14:val="tx1"/>
            </w14:solidFill>
          </w14:textFill>
        </w:rPr>
        <w:t xml:space="preserve">      （应明确按照绩效激励方式的支付方式和支付条件）   </w:t>
      </w:r>
      <w:r/>
    </w:p>
    <w:p>
      <w:pPr>
        <w:numPr>
          <w:ilvl w:val="0"/>
          <w:numId w:val="2"/>
        </w:numPr>
        <w:ind w:firstLine="422"/>
        <w:spacing w:line="400" w:lineRule="exact"/>
        <w:rPr>
          <w:rFonts w:ascii="宋体" w:hAnsi="宋体" w:eastAsia="Arial" w:cs="Times New Roman"/>
          <w:b/>
          <w:color w:val="000000" w:themeColor="text1"/>
          <w:szCs w:val="21"/>
          <w:u w:val="single"/>
          <w14:textFill>
            <w14:solidFill>
              <w14:schemeClr w14:val="tx1"/>
            </w14:solidFill>
          </w14:textFill>
        </w:rPr>
      </w:pPr>
      <w:r>
        <w:rPr>
          <w:rFonts w:hint="eastAsia" w:ascii="宋体" w:hAnsi="宋体" w:eastAsia="Arial" w:cs="Times New Roman"/>
          <w:b/>
          <w:color w:val="000000" w:themeColor="text1"/>
          <w:szCs w:val="21"/>
          <w14:textFill>
            <w14:solidFill>
              <w14:schemeClr w14:val="tx1"/>
            </w14:solidFill>
          </w14:textFill>
        </w:rPr>
        <w:t xml:space="preserve">合同履行</w:t>
      </w:r>
      <w:r/>
    </w:p>
    <w:p>
      <w:pPr>
        <w:ind w:firstLine="420"/>
        <w:spacing w:line="400" w:lineRule="exact"/>
        <w:rPr>
          <w:rFonts w:ascii="宋体" w:hAnsi="宋体" w:eastAsia="Arial" w:cs="宋体"/>
          <w:color w:val="000000" w:themeColor="text1"/>
          <w:szCs w:val="21"/>
          <w14:textFill>
            <w14:solidFill>
              <w14:schemeClr w14:val="tx1"/>
            </w14:solidFill>
          </w14:textFill>
        </w:rPr>
      </w:pPr>
      <w:r>
        <w:rPr>
          <w:rFonts w:hint="eastAsia" w:ascii="宋体" w:hAnsi="宋体" w:eastAsia="Arial" w:cs="宋体"/>
          <w:color w:val="000000" w:themeColor="text1"/>
          <w:szCs w:val="21"/>
          <w14:textFill>
            <w14:solidFill>
              <w14:schemeClr w14:val="tx1"/>
            </w14:solidFill>
          </w14:textFill>
        </w:rPr>
        <w:t xml:space="preserve">（1）起始日期：</w:t>
      </w:r>
      <w:r>
        <w:rPr>
          <w:rFonts w:hint="eastAsia" w:ascii="宋体" w:hAnsi="宋体" w:eastAsia="Arial" w:cs="宋体"/>
          <w:color w:val="000000" w:themeColor="text1"/>
          <w:szCs w:val="21"/>
          <w:u w:val="single"/>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年</w:t>
      </w:r>
      <w:r>
        <w:rPr>
          <w:rFonts w:hint="eastAsia" w:ascii="宋体" w:hAnsi="宋体" w:eastAsia="Arial" w:cs="宋体"/>
          <w:color w:val="000000" w:themeColor="text1"/>
          <w:szCs w:val="21"/>
          <w:u w:val="single"/>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月</w:t>
      </w:r>
      <w:r>
        <w:rPr>
          <w:rFonts w:hint="eastAsia" w:ascii="宋体" w:hAnsi="宋体" w:eastAsia="Arial" w:cs="宋体"/>
          <w:color w:val="000000" w:themeColor="text1"/>
          <w:szCs w:val="21"/>
          <w:u w:val="single"/>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日，完成日期：</w:t>
      </w:r>
      <w:r>
        <w:rPr>
          <w:rFonts w:hint="eastAsia" w:ascii="宋体" w:hAnsi="宋体" w:eastAsia="Arial" w:cs="宋体"/>
          <w:color w:val="000000" w:themeColor="text1"/>
          <w:szCs w:val="21"/>
          <w:u w:val="single"/>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年</w:t>
      </w:r>
      <w:r>
        <w:rPr>
          <w:rFonts w:hint="eastAsia" w:ascii="宋体" w:hAnsi="宋体" w:eastAsia="Arial" w:cs="宋体"/>
          <w:color w:val="000000" w:themeColor="text1"/>
          <w:szCs w:val="21"/>
          <w:u w:val="single"/>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月</w:t>
      </w:r>
      <w:r>
        <w:rPr>
          <w:rFonts w:hint="eastAsia" w:ascii="宋体" w:hAnsi="宋体" w:eastAsia="Arial" w:cs="宋体"/>
          <w:color w:val="000000" w:themeColor="text1"/>
          <w:szCs w:val="21"/>
          <w:u w:val="single"/>
          <w14:textFill>
            <w14:solidFill>
              <w14:schemeClr w14:val="tx1"/>
            </w14:solidFill>
          </w14:textFill>
        </w:rPr>
        <w:t xml:space="preserve">   </w:t>
      </w:r>
      <w:r>
        <w:rPr>
          <w:rFonts w:hint="eastAsia" w:ascii="宋体" w:hAnsi="宋体" w:eastAsia="Arial" w:cs="宋体"/>
          <w:color w:val="000000" w:themeColor="text1"/>
          <w:szCs w:val="21"/>
          <w14:textFill>
            <w14:solidFill>
              <w14:schemeClr w14:val="tx1"/>
            </w14:solidFill>
          </w14:textFill>
        </w:rPr>
        <w:t xml:space="preserve">日。</w:t>
      </w:r>
      <w:r/>
    </w:p>
    <w:p>
      <w:pPr>
        <w:ind w:firstLine="420"/>
        <w:spacing w:line="400" w:lineRule="exact"/>
        <w:rPr>
          <w:rFonts w:ascii="宋体" w:hAnsi="宋体" w:eastAsia="Arial" w:cs="宋体"/>
          <w:color w:val="000000" w:themeColor="text1"/>
          <w:szCs w:val="21"/>
          <w:u w:val="single"/>
          <w14:textFill>
            <w14:solidFill>
              <w14:schemeClr w14:val="tx1"/>
            </w14:solidFill>
          </w14:textFill>
        </w:rPr>
      </w:pPr>
      <w:r>
        <w:rPr>
          <w:rFonts w:hint="eastAsia" w:ascii="宋体" w:hAnsi="宋体" w:eastAsia="Arial" w:cs="宋体"/>
          <w:color w:val="000000" w:themeColor="text1"/>
          <w:szCs w:val="21"/>
          <w14:textFill>
            <w14:solidFill>
              <w14:schemeClr w14:val="tx1"/>
            </w14:solidFill>
          </w14:textFill>
        </w:rPr>
        <w:t xml:space="preserve">（2）履约地点</w:t>
      </w:r>
      <w:r>
        <w:rPr>
          <w:rFonts w:hint="eastAsia" w:ascii="宋体" w:hAnsi="宋体" w:eastAsia="Arial" w:cs="宋体"/>
          <w:bCs/>
          <w:color w:val="000000" w:themeColor="text1"/>
          <w:szCs w:val="21"/>
          <w14:textFill>
            <w14:solidFill>
              <w14:schemeClr w14:val="tx1"/>
            </w14:solidFill>
          </w14:textFill>
        </w:rPr>
        <w:t xml:space="preserve">：</w:t>
      </w:r>
      <w:r>
        <w:rPr>
          <w:rFonts w:hint="eastAsia" w:ascii="宋体" w:hAnsi="宋体" w:eastAsia="Arial" w:cs="宋体"/>
          <w:color w:val="000000" w:themeColor="text1"/>
          <w:szCs w:val="21"/>
          <w:u w:val="single"/>
          <w14:textFill>
            <w14:solidFill>
              <w14:schemeClr w14:val="tx1"/>
            </w14:solidFill>
          </w14:textFill>
        </w:rPr>
        <w:t xml:space="preserve">                             </w:t>
      </w:r>
      <w:r/>
    </w:p>
    <w:p>
      <w:pPr>
        <w:ind w:firstLine="42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Arial"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14:textFill>
            <w14:solidFill>
              <w14:schemeClr w14:val="tx1"/>
            </w14:solidFill>
          </w14:textFill>
        </w:rPr>
        <w:t xml:space="preserve">是否收取履约保证金：</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宋体" w:cs="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否</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华文楷体" w:cs="宋体"/>
          <w:bCs/>
          <w:color w:val="000000" w:themeColor="text1"/>
          <w:sz w:val="22"/>
          <w:szCs w:val="21"/>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收取履约保证金形式：</w:t>
      </w:r>
      <w:r>
        <w:rPr>
          <w:rFonts w:hint="eastAsia" w:ascii="宋体" w:hAnsi="宋体" w:eastAsia="宋体" w:cs="宋体"/>
          <w:bCs/>
          <w:color w:val="000000" w:themeColor="text1"/>
          <w:szCs w:val="21"/>
          <w:u w:val="single"/>
          <w14:textFill>
            <w14:solidFill>
              <w14:schemeClr w14:val="tx1"/>
            </w14:solidFill>
          </w14:textFill>
        </w:rPr>
        <w:t xml:space="preserve"> 中标供应商应当以支票、汇票、本票或者金融机构、担保机构出具的保函等非现金形式提交。                           </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收取履约保证金金额：</w:t>
      </w:r>
      <w:r>
        <w:rPr>
          <w:rFonts w:hint="eastAsia" w:ascii="宋体" w:hAnsi="宋体" w:eastAsia="宋体" w:cs="宋体"/>
          <w:bCs/>
          <w:color w:val="000000" w:themeColor="text1"/>
          <w:szCs w:val="21"/>
          <w:u w:val="single"/>
          <w14:textFill>
            <w14:solidFill>
              <w14:schemeClr w14:val="tx1"/>
            </w14:solidFill>
          </w14:textFill>
        </w:rPr>
        <w:t xml:space="preserve">   政府采购合同金额的5% 。                         </w:t>
      </w:r>
      <w:r/>
    </w:p>
    <w:p>
      <w:pPr>
        <w:ind w:firstLine="42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Arial" w:cs="宋体"/>
          <w:bCs/>
          <w:color w:val="000000" w:themeColor="text1"/>
          <w:szCs w:val="21"/>
          <w14:textFill>
            <w14:solidFill>
              <w14:schemeClr w14:val="tx1"/>
            </w14:solidFill>
          </w14:textFill>
        </w:rPr>
        <w:t xml:space="preserve">    履约担保期限：</w:t>
      </w:r>
      <w:r>
        <w:rPr>
          <w:rFonts w:hint="eastAsia" w:ascii="宋体" w:hAnsi="宋体" w:eastAsia="宋体" w:cs="宋体"/>
          <w:bCs/>
          <w:color w:val="000000" w:themeColor="text1"/>
          <w:szCs w:val="21"/>
          <w:u w:val="single"/>
          <w14:textFill>
            <w14:solidFill>
              <w14:schemeClr w14:val="tx1"/>
            </w14:solidFill>
          </w14:textFill>
        </w:rPr>
        <w:t xml:space="preserve">        </w:t>
      </w:r>
      <w:r>
        <w:rPr>
          <w:rFonts w:hint="eastAsia" w:ascii="宋体" w:hAnsi="宋体" w:eastAsia="Arial" w:cs="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Arial" w:cs="宋体"/>
          <w:bCs/>
          <w:color w:val="000000" w:themeColor="text1"/>
          <w:szCs w:val="21"/>
          <w14:textFill>
            <w14:solidFill>
              <w14:schemeClr w14:val="tx1"/>
            </w14:solidFill>
          </w14:textFill>
        </w:rPr>
      </w:pPr>
      <w:r>
        <w:rPr>
          <w:rFonts w:hint="eastAsia" w:ascii="宋体" w:hAnsi="宋体" w:eastAsia="Arial" w:cs="宋体"/>
          <w:bCs/>
          <w:color w:val="000000" w:themeColor="text1"/>
          <w:szCs w:val="21"/>
          <w14:textFill>
            <w14:solidFill>
              <w14:schemeClr w14:val="tx1"/>
            </w14:solidFill>
          </w14:textFill>
        </w:rPr>
        <w:t xml:space="preserve">（4）分期履行要求：</w:t>
      </w:r>
      <w:r>
        <w:rPr>
          <w:rFonts w:hint="eastAsia" w:ascii="宋体" w:hAnsi="宋体" w:eastAsia="Arial" w:cs="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Arial" w:cs="宋体"/>
          <w:color w:val="000000" w:themeColor="text1"/>
          <w:szCs w:val="21"/>
          <w:u w:val="single"/>
          <w14:textFill>
            <w14:solidFill>
              <w14:schemeClr w14:val="tx1"/>
            </w14:solidFill>
          </w14:textFill>
        </w:rPr>
      </w:pPr>
      <w:r>
        <w:rPr>
          <w:rFonts w:hint="eastAsia" w:ascii="宋体" w:hAnsi="宋体" w:eastAsia="Arial" w:cs="宋体"/>
          <w:bCs/>
          <w:color w:val="000000" w:themeColor="text1"/>
          <w:szCs w:val="21"/>
          <w14:textFill>
            <w14:solidFill>
              <w14:schemeClr w14:val="tx1"/>
            </w14:solidFill>
          </w14:textFill>
        </w:rPr>
        <w:t xml:space="preserve">（5）风险处置措施和替代方案：</w:t>
      </w:r>
      <w:r>
        <w:rPr>
          <w:rFonts w:hint="eastAsia" w:ascii="宋体" w:hAnsi="宋体" w:eastAsia="Arial" w:cs="宋体"/>
          <w:color w:val="000000" w:themeColor="text1"/>
          <w:szCs w:val="21"/>
          <w:u w:val="single"/>
          <w14:textFill>
            <w14:solidFill>
              <w14:schemeClr w14:val="tx1"/>
            </w14:solidFill>
          </w14:textFill>
        </w:rPr>
        <w:t xml:space="preserve">                                               </w:t>
      </w:r>
      <w:r/>
    </w:p>
    <w:p>
      <w:pPr>
        <w:numPr>
          <w:ilvl w:val="0"/>
          <w:numId w:val="2"/>
        </w:numPr>
        <w:ind w:firstLine="422"/>
        <w:spacing w:line="400" w:lineRule="exact"/>
        <w:rPr>
          <w:rFonts w:ascii="宋体" w:hAnsi="宋体" w:eastAsia="Arial" w:cs="Times New Roman"/>
          <w:b/>
          <w:color w:val="000000" w:themeColor="text1"/>
          <w:szCs w:val="21"/>
          <w14:textFill>
            <w14:solidFill>
              <w14:schemeClr w14:val="tx1"/>
            </w14:solidFill>
          </w14:textFill>
        </w:rPr>
      </w:pPr>
      <w:r>
        <w:rPr>
          <w:rFonts w:hint="eastAsia" w:ascii="宋体" w:hAnsi="宋体" w:eastAsia="Arial" w:cs="Times New Roman"/>
          <w:b/>
          <w:color w:val="000000" w:themeColor="text1"/>
          <w:szCs w:val="21"/>
          <w14:textFill>
            <w14:solidFill>
              <w14:schemeClr w14:val="tx1"/>
            </w14:solidFill>
          </w14:textFill>
        </w:rPr>
        <w:t xml:space="preserve">合同验收</w:t>
      </w:r>
      <w:r/>
    </w:p>
    <w:p>
      <w:pPr>
        <w:numPr>
          <w:ilvl w:val="0"/>
          <w:numId w:val="4"/>
        </w:numPr>
        <w:ind w:firstLine="420"/>
        <w:spacing w:line="400" w:lineRule="exact"/>
        <w:rPr>
          <w:rFonts w:ascii="宋体" w:hAnsi="宋体" w:eastAsia="Arial" w:cs="Times New Roman"/>
          <w:bCs/>
          <w:color w:val="000000" w:themeColor="text1"/>
          <w:szCs w:val="21"/>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Arial" w:cs="Times New Roman"/>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Arial" w:cs="Times New Roman"/>
          <w:bCs/>
          <w:color w:val="000000" w:themeColor="text1"/>
          <w:szCs w:val="21"/>
          <w14:textFill>
            <w14:solidFill>
              <w14:schemeClr w14:val="tx1"/>
            </w14:solidFill>
          </w14:textFill>
        </w:rPr>
        <w:t xml:space="preserve">委托第三方组织</w:t>
      </w:r>
      <w:r/>
    </w:p>
    <w:p>
      <w:pPr>
        <w:spacing w:line="400" w:lineRule="exact"/>
        <w:rPr>
          <w:rFonts w:ascii="宋体" w:hAnsi="宋体" w:eastAsia="Arial" w:cs="Times New Roman"/>
          <w:bCs/>
          <w:color w:val="000000" w:themeColor="text1"/>
          <w:szCs w:val="21"/>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        验收主体：</w:t>
      </w:r>
      <w:r>
        <w:rPr>
          <w:rFonts w:hint="eastAsia" w:ascii="宋体" w:hAnsi="宋体" w:eastAsia="Arial" w:cs="Times New Roman"/>
          <w:bCs/>
          <w:color w:val="000000" w:themeColor="text1"/>
          <w:szCs w:val="21"/>
          <w:u w:val="single"/>
          <w14:textFill>
            <w14:solidFill>
              <w14:schemeClr w14:val="tx1"/>
            </w14:solidFill>
          </w14:textFill>
        </w:rPr>
        <w:t xml:space="preserve"> 灌云县</w:t>
      </w:r>
      <w:r>
        <w:rPr>
          <w:rFonts w:hint="eastAsia" w:ascii="宋体" w:hAnsi="宋体" w:eastAsia="宋体" w:cs="宋体"/>
          <w:bCs/>
          <w:color w:val="000000" w:themeColor="text1"/>
          <w:szCs w:val="21"/>
          <w:u w:val="single"/>
          <w14:textFill>
            <w14:solidFill>
              <w14:schemeClr w14:val="tx1"/>
            </w14:solidFill>
          </w14:textFill>
        </w:rPr>
        <w:t xml:space="preserve">教育局</w:t>
      </w:r>
      <w:r>
        <w:rPr>
          <w:rFonts w:hint="eastAsia" w:ascii="宋体" w:hAnsi="宋体" w:eastAsia="Arial" w:cs="Times New Roman"/>
          <w:bCs/>
          <w:color w:val="000000" w:themeColor="text1"/>
          <w:szCs w:val="21"/>
          <w:u w:val="single"/>
          <w14:textFill>
            <w14:solidFill>
              <w14:schemeClr w14:val="tx1"/>
            </w14:solidFill>
          </w14:textFill>
        </w:rPr>
        <w:t xml:space="preserve">           </w:t>
      </w:r>
      <w:r/>
    </w:p>
    <w:p>
      <w:pPr>
        <w:spacing w:line="400" w:lineRule="exact"/>
        <w:rPr>
          <w:rFonts w:ascii="宋体" w:hAnsi="宋体" w:eastAsia="Arial" w:cs="Times New Roman"/>
          <w:bCs/>
          <w:color w:val="000000" w:themeColor="text1"/>
          <w:szCs w:val="21"/>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Arial" w:cs="Times New Roman"/>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Arial" w:cs="Times New Roman"/>
          <w:bCs/>
          <w:color w:val="000000" w:themeColor="text1"/>
          <w:szCs w:val="21"/>
          <w14:textFill>
            <w14:solidFill>
              <w14:schemeClr w14:val="tx1"/>
            </w14:solidFill>
          </w14:textFill>
        </w:rPr>
        <w:t xml:space="preserve">否</w:t>
      </w:r>
      <w:r/>
    </w:p>
    <w:p>
      <w:pPr>
        <w:ind w:firstLine="840"/>
        <w:spacing w:line="400" w:lineRule="exact"/>
        <w:rPr>
          <w:rFonts w:ascii="宋体" w:hAnsi="宋体" w:eastAsia="Arial" w:cs="Times New Roman"/>
          <w:bCs/>
          <w:color w:val="000000" w:themeColor="text1"/>
          <w:szCs w:val="21"/>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Arial" w:cs="Times New Roman"/>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Arial" w:cs="Times New Roman"/>
          <w:bCs/>
          <w:color w:val="000000" w:themeColor="text1"/>
          <w:szCs w:val="21"/>
          <w14:textFill>
            <w14:solidFill>
              <w14:schemeClr w14:val="tx1"/>
            </w14:solidFill>
          </w14:textFill>
        </w:rPr>
        <w:t xml:space="preserve">否</w:t>
      </w:r>
      <w:r/>
    </w:p>
    <w:p>
      <w:pPr>
        <w:ind w:firstLine="840"/>
        <w:spacing w:line="400" w:lineRule="exact"/>
        <w:rPr>
          <w:rFonts w:ascii="宋体" w:hAnsi="宋体" w:eastAsia="Arial" w:cs="Times New Roman"/>
          <w:bCs/>
          <w:color w:val="000000" w:themeColor="text1"/>
          <w:szCs w:val="21"/>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Arial" w:cs="Times New Roman"/>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Arial" w:cs="Times New Roman"/>
          <w:bCs/>
          <w:color w:val="000000" w:themeColor="text1"/>
          <w:szCs w:val="21"/>
          <w14:textFill>
            <w14:solidFill>
              <w14:schemeClr w14:val="tx1"/>
            </w14:solidFill>
          </w14:textFill>
        </w:rPr>
        <w:t xml:space="preserve">否</w:t>
      </w:r>
      <w:r/>
    </w:p>
    <w:p>
      <w:pPr>
        <w:ind w:firstLine="840"/>
        <w:spacing w:line="400" w:lineRule="exact"/>
        <w:rPr>
          <w:rFonts w:ascii="宋体" w:hAnsi="宋体" w:eastAsia="Arial" w:cs="Times New Roman"/>
          <w:bCs/>
          <w:color w:val="000000" w:themeColor="text1"/>
          <w:szCs w:val="21"/>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Arial" w:cs="Times New Roman"/>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Arial" w:cs="Times New Roman"/>
          <w:bCs/>
          <w:color w:val="000000" w:themeColor="text1"/>
          <w:szCs w:val="21"/>
          <w14:textFill>
            <w14:solidFill>
              <w14:schemeClr w14:val="tx1"/>
            </w14:solidFill>
          </w14:textFill>
        </w:rPr>
        <w:t xml:space="preserve">否</w:t>
      </w:r>
      <w:r/>
    </w:p>
    <w:p>
      <w:pPr>
        <w:ind w:firstLine="840"/>
        <w:spacing w:line="400" w:lineRule="exact"/>
        <w:rPr>
          <w:rFonts w:ascii="宋体" w:hAnsi="宋体" w:eastAsia="Arial" w:cs="Times New Roman"/>
          <w:bCs/>
          <w:color w:val="000000" w:themeColor="text1"/>
          <w:szCs w:val="21"/>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Arial" w:cs="Times New Roman"/>
          <w:bCs/>
          <w:color w:val="000000" w:themeColor="text1"/>
          <w:szCs w:val="21"/>
          <w14:textFill>
            <w14:solidFill>
              <w14:schemeClr w14:val="tx1"/>
            </w14:solidFill>
          </w14:textFill>
        </w:rPr>
        <w:t xml:space="preserve">是，抽查比例：</w:t>
      </w:r>
      <w:r>
        <w:rPr>
          <w:rFonts w:hint="eastAsia" w:ascii="宋体" w:hAnsi="宋体" w:eastAsia="Arial" w:cs="Times New Roman"/>
          <w:bCs/>
          <w:color w:val="000000" w:themeColor="text1"/>
          <w:szCs w:val="21"/>
          <w:u w:val="single"/>
          <w14:textFill>
            <w14:solidFill>
              <w14:schemeClr w14:val="tx1"/>
            </w14:solidFill>
          </w14:textFill>
        </w:rPr>
        <w:t xml:space="preserve">        </w:t>
      </w:r>
      <w:r>
        <w:rPr>
          <w:rFonts w:hint="eastAsia" w:ascii="宋体" w:hAnsi="宋体" w:eastAsia="Arial" w:cs="Times New Roman"/>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Arial" w:cs="Times New Roman"/>
          <w:bCs/>
          <w:color w:val="000000" w:themeColor="text1"/>
          <w:szCs w:val="21"/>
          <w14:textFill>
            <w14:solidFill>
              <w14:schemeClr w14:val="tx1"/>
            </w14:solidFill>
          </w14:textFill>
        </w:rPr>
        <w:t xml:space="preserve">否</w:t>
      </w:r>
      <w:r/>
    </w:p>
    <w:p>
      <w:pPr>
        <w:ind w:firstLine="840"/>
        <w:spacing w:line="400" w:lineRule="exact"/>
        <w:rPr>
          <w:rFonts w:hint="eastAsia" w:ascii="宋体" w:hAnsi="宋体" w:eastAsia="宋体" w:cs="Times New Roman"/>
          <w:bCs/>
          <w:color w:val="000000" w:themeColor="text1"/>
          <w:szCs w:val="21"/>
          <w:u w:val="single"/>
          <w14:textFill>
            <w14:solidFill>
              <w14:schemeClr w14:val="tx1"/>
            </w14:solidFill>
          </w14:textFill>
        </w:rPr>
      </w:pPr>
      <w:r>
        <w:rPr>
          <w:rFonts w:hint="eastAsia" w:ascii="宋体" w:hAnsi="宋体" w:eastAsia="宋体" w:cs="Times New Roman"/>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Times New Roman"/>
          <w:bCs/>
          <w:color w:val="000000" w:themeColor="text1"/>
          <w:szCs w:val="21"/>
          <w14:textFill>
            <w14:solidFill>
              <w14:schemeClr w14:val="tx1"/>
            </w14:solidFill>
          </w14:textFill>
        </w:rPr>
        <w:t xml:space="preserve">是，</w:t>
      </w:r>
      <w:r>
        <w:rPr>
          <w:rFonts w:hint="eastAsia" w:ascii="宋体" w:hAnsi="宋体" w:eastAsia="宋体" w:cs="Times New Roman"/>
          <w:bCs/>
          <w:color w:val="000000" w:themeColor="text1"/>
          <w:szCs w:val="21"/>
          <w:u w:val="single"/>
          <w14:textFill>
            <w14:solidFill>
              <w14:schemeClr w14:val="tx1"/>
            </w14:solidFill>
          </w14:textFill>
        </w:rPr>
        <w:t xml:space="preserve">（应明确对被破坏的检测产品的处理方式）</w:t>
      </w:r>
      <w:r/>
    </w:p>
    <w:p>
      <w:pPr>
        <w:ind w:firstLine="840"/>
        <w:spacing w:line="400" w:lineRule="exact"/>
        <w:rPr>
          <w:rFonts w:hint="eastAsia" w:ascii="宋体" w:hAnsi="宋体" w:eastAsia="宋体" w:cs="Times New Roman"/>
          <w:bCs/>
          <w:color w:val="000000" w:themeColor="text1"/>
          <w:szCs w:val="21"/>
          <w14:textFill>
            <w14:solidFill>
              <w14:schemeClr w14:val="tx1"/>
            </w14:solidFill>
          </w14:textFill>
        </w:rPr>
      </w:pPr>
      <w:r>
        <w:rPr>
          <w:rFonts w:hint="eastAsia" w:ascii="宋体" w:hAnsi="宋体" w:eastAsia="宋体" w:cs="Times New Roman"/>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宋体" w:cs="Times New Roman"/>
          <w:bCs/>
          <w:color w:val="000000" w:themeColor="text1"/>
          <w:szCs w:val="21"/>
          <w14:textFill>
            <w14:solidFill>
              <w14:schemeClr w14:val="tx1"/>
            </w14:solidFill>
          </w14:textFill>
        </w:rPr>
        <w:t xml:space="preserve">否</w:t>
      </w:r>
      <w:r/>
    </w:p>
    <w:p>
      <w:pPr>
        <w:ind w:firstLine="840"/>
        <w:spacing w:line="400" w:lineRule="exact"/>
        <w:rPr>
          <w:rFonts w:ascii="宋体" w:hAnsi="宋体" w:eastAsia="Arial" w:cs="Times New Roman"/>
          <w:bCs/>
          <w:color w:val="000000" w:themeColor="text1"/>
          <w:szCs w:val="21"/>
          <w:u w:val="single"/>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验收组织的其他事项：</w:t>
      </w:r>
      <w:r>
        <w:rPr>
          <w:rFonts w:hint="eastAsia" w:ascii="宋体" w:hAnsi="宋体" w:eastAsia="Arial" w:cs="Times New Roman"/>
          <w:bCs/>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Arial" w:cs="Times New Roman"/>
          <w:bCs/>
          <w:color w:val="000000" w:themeColor="text1"/>
          <w:szCs w:val="21"/>
          <w:u w:val="single"/>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（2）履约验收时间：</w:t>
      </w:r>
      <w:r>
        <w:rPr>
          <w:rFonts w:hint="eastAsia" w:ascii="宋体" w:hAnsi="宋体" w:eastAsia="Arial" w:cs="Times New Roman"/>
          <w:bCs/>
          <w:color w:val="000000" w:themeColor="text1"/>
          <w:szCs w:val="21"/>
          <w:u w:val="single"/>
          <w14:textFill>
            <w14:solidFill>
              <w14:schemeClr w14:val="tx1"/>
            </w14:solidFill>
          </w14:textFill>
        </w:rPr>
        <w:t xml:space="preserve">供应商提出验收申请之日起20日内组织验收 </w:t>
      </w:r>
      <w:r/>
    </w:p>
    <w:p>
      <w:pPr>
        <w:ind w:firstLine="420"/>
        <w:spacing w:line="400" w:lineRule="exact"/>
        <w:rPr>
          <w:rFonts w:ascii="宋体" w:hAnsi="宋体" w:eastAsia="Arial" w:cs="Times New Roman"/>
          <w:bCs/>
          <w:color w:val="000000" w:themeColor="text1"/>
          <w:szCs w:val="21"/>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Arial" w:cs="Times New Roman"/>
          <w:bCs/>
          <w:color w:val="000000" w:themeColor="text1"/>
          <w:szCs w:val="21"/>
          <w14:textFill>
            <w14:solidFill>
              <w14:schemeClr w14:val="tx1"/>
            </w14:solidFill>
          </w14:textFill>
        </w:rPr>
        <w:t xml:space="preserve">一次性验收         </w:t>
      </w:r>
      <w:r/>
    </w:p>
    <w:p>
      <w:pPr>
        <w:spacing w:line="400" w:lineRule="exact"/>
        <w:rPr>
          <w:rFonts w:hint="eastAsia" w:ascii="宋体" w:hAnsi="宋体" w:eastAsia="宋体" w:cs="Times New Roman"/>
          <w:bCs/>
          <w:color w:val="000000" w:themeColor="text1"/>
          <w:szCs w:val="21"/>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Arial" w:cs="Times New Roman"/>
          <w:bCs/>
          <w:color w:val="000000" w:themeColor="text1"/>
          <w:szCs w:val="21"/>
          <w14:textFill>
            <w14:solidFill>
              <w14:schemeClr w14:val="tx1"/>
            </w14:solidFill>
          </w14:textFill>
        </w:rPr>
        <w:t xml:space="preserve">分期/分项验收：</w:t>
      </w:r>
      <w:r/>
    </w:p>
    <w:p>
      <w:pPr>
        <w:ind w:firstLine="420"/>
        <w:spacing w:line="400" w:lineRule="exact"/>
        <w:rPr>
          <w:rFonts w:ascii="宋体" w:hAnsi="宋体" w:eastAsia="Arial" w:cs="Times New Roman"/>
          <w:bCs/>
          <w:color w:val="000000" w:themeColor="text1"/>
          <w:szCs w:val="21"/>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（4）履约验收程序：</w:t>
      </w:r>
      <w:r>
        <w:rPr>
          <w:rFonts w:hint="eastAsia" w:ascii="宋体" w:hAnsi="宋体" w:eastAsia="Arial" w:cs="Times New Roman"/>
          <w:bCs/>
          <w:color w:val="000000" w:themeColor="text1"/>
          <w:szCs w:val="21"/>
          <w:u w:val="single"/>
          <w14:textFill>
            <w14:solidFill>
              <w14:schemeClr w14:val="tx1"/>
            </w14:solidFill>
          </w14:textFill>
        </w:rPr>
        <w:t xml:space="preserve">     </w:t>
      </w:r>
      <w:r>
        <w:rPr>
          <w:rFonts w:hint="eastAsia" w:ascii="宋体" w:hAnsi="宋体" w:eastAsia="宋体" w:cs="Times New Roman"/>
          <w:bCs/>
          <w:color w:val="000000" w:themeColor="text1"/>
          <w:szCs w:val="21"/>
          <w:u w:val="single"/>
          <w14:textFill>
            <w14:solidFill>
              <w14:schemeClr w14:val="tx1"/>
            </w14:solidFill>
          </w14:textFill>
        </w:rPr>
        <w:t xml:space="preserve">详见采购文件</w:t>
      </w:r>
      <w:r>
        <w:rPr>
          <w:rFonts w:hint="eastAsia" w:ascii="宋体" w:hAnsi="宋体" w:eastAsia="Arial" w:cs="Times New Roman"/>
          <w:bCs/>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Arial" w:cs="Times New Roman"/>
          <w:bCs/>
          <w:color w:val="000000" w:themeColor="text1"/>
          <w:szCs w:val="21"/>
          <w:u w:val="single"/>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（5）履约验收的内容：</w:t>
      </w:r>
      <w:r>
        <w:rPr>
          <w:rFonts w:hint="eastAsia" w:ascii="宋体" w:hAnsi="宋体" w:eastAsia="Arial" w:cs="Times New Roman"/>
          <w:bCs/>
          <w:color w:val="000000" w:themeColor="text1"/>
          <w:szCs w:val="21"/>
          <w:u w:val="single"/>
          <w14:textFill>
            <w14:solidFill>
              <w14:schemeClr w14:val="tx1"/>
            </w14:solidFill>
          </w14:textFill>
        </w:rPr>
        <w:t xml:space="preserve"> </w:t>
      </w:r>
      <w:r>
        <w:rPr>
          <w:rFonts w:hint="eastAsia" w:ascii="宋体" w:hAnsi="宋体" w:eastAsia="宋体" w:cs="Times New Roman"/>
          <w:bCs/>
          <w:color w:val="000000" w:themeColor="text1"/>
          <w:szCs w:val="21"/>
          <w:u w:val="single"/>
          <w14:textFill>
            <w14:solidFill>
              <w14:schemeClr w14:val="tx1"/>
            </w14:solidFill>
          </w14:textFill>
        </w:rPr>
        <w:t xml:space="preserve">详见采购文件</w:t>
      </w:r>
      <w:r>
        <w:rPr>
          <w:rFonts w:hint="eastAsia" w:ascii="宋体" w:hAnsi="宋体" w:eastAsia="Arial" w:cs="Times New Roman"/>
          <w:bCs/>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Arial" w:cs="Times New Roman"/>
          <w:bCs/>
          <w:color w:val="000000" w:themeColor="text1"/>
          <w:szCs w:val="21"/>
          <w:u w:val="single"/>
          <w14:textFill>
            <w14:solidFill>
              <w14:schemeClr w14:val="tx1"/>
            </w14:solidFill>
          </w14:textFill>
        </w:rPr>
      </w:pPr>
      <w:r>
        <w:rPr>
          <w:rFonts w:hint="eastAsia" w:ascii="宋体" w:hAnsi="宋体" w:eastAsia="Arial" w:cs="Times New Roman"/>
          <w:bCs/>
          <w:color w:val="000000" w:themeColor="text1"/>
          <w:szCs w:val="21"/>
          <w14:textFill>
            <w14:solidFill>
              <w14:schemeClr w14:val="tx1"/>
            </w14:solidFill>
          </w14:textFill>
        </w:rPr>
        <w:t xml:space="preserve">（6）履约验收标准：</w:t>
      </w:r>
      <w:r>
        <w:rPr>
          <w:rFonts w:hint="eastAsia" w:ascii="宋体" w:hAnsi="宋体" w:eastAsia="Arial" w:cs="Times New Roman"/>
          <w:bCs/>
          <w:color w:val="000000" w:themeColor="text1"/>
          <w:szCs w:val="21"/>
          <w:u w:val="single"/>
          <w14:textFill>
            <w14:solidFill>
              <w14:schemeClr w14:val="tx1"/>
            </w14:solidFill>
          </w14:textFill>
        </w:rPr>
        <w:t xml:space="preserve">       </w:t>
      </w:r>
      <w:r>
        <w:rPr>
          <w:rFonts w:hint="eastAsia" w:ascii="宋体" w:hAnsi="宋体" w:eastAsia="宋体" w:cs="Times New Roman"/>
          <w:bCs/>
          <w:color w:val="000000" w:themeColor="text1"/>
          <w:szCs w:val="21"/>
          <w:u w:val="single"/>
          <w14:textFill>
            <w14:solidFill>
              <w14:schemeClr w14:val="tx1"/>
            </w14:solidFill>
          </w14:textFill>
        </w:rPr>
        <w:t xml:space="preserve">详见采购文件</w:t>
      </w:r>
      <w:r>
        <w:rPr>
          <w:rFonts w:hint="eastAsia" w:ascii="宋体" w:hAnsi="宋体" w:eastAsia="Arial" w:cs="Times New Roman"/>
          <w:bCs/>
          <w:color w:val="000000" w:themeColor="text1"/>
          <w:szCs w:val="21"/>
          <w:u w:val="single"/>
          <w14:textFill>
            <w14:solidFill>
              <w14:schemeClr w14:val="tx1"/>
            </w14:solidFill>
          </w14:textFill>
        </w:rPr>
        <w:t xml:space="preserve">                                  </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宋体" w:cs="宋体"/>
          <w:bCs/>
          <w:color w:val="000000" w:themeColor="text1"/>
          <w:szCs w:val="21"/>
          <w14:textFill>
            <w14:solidFill>
              <w14:schemeClr w14:val="tx1"/>
            </w14:solidFill>
          </w14:textFill>
        </w:rPr>
        <w:t xml:space="preserve">否</w:t>
      </w:r>
      <w:r/>
    </w:p>
    <w:p>
      <w:pPr>
        <w:ind w:firstLine="420"/>
        <w:spacing w:line="400" w:lineRule="exact"/>
        <w:rPr>
          <w:rFonts w:ascii="宋体" w:hAnsi="宋体" w:eastAsia="Arial" w:cs="宋体"/>
          <w:bCs/>
          <w:color w:val="000000" w:themeColor="text1"/>
          <w:szCs w:val="21"/>
          <w:u w:val="single"/>
          <w14:textFill>
            <w14:solidFill>
              <w14:schemeClr w14:val="tx1"/>
            </w14:solidFill>
          </w14:textFill>
        </w:rPr>
      </w:pPr>
      <w:r>
        <w:rPr>
          <w:rFonts w:hint="eastAsia" w:ascii="宋体" w:hAnsi="宋体" w:eastAsia="Arial" w:cs="宋体"/>
          <w:bCs/>
          <w:color w:val="000000" w:themeColor="text1"/>
          <w:szCs w:val="21"/>
          <w14:textFill>
            <w14:solidFill>
              <w14:schemeClr w14:val="tx1"/>
            </w14:solidFill>
          </w14:textFill>
        </w:rPr>
        <w:t xml:space="preserve">（8）履约验收其他事项：</w:t>
      </w:r>
      <w:r>
        <w:rPr>
          <w:rFonts w:hint="eastAsia" w:ascii="宋体" w:hAnsi="宋体" w:eastAsia="Arial" w:cs="宋体"/>
          <w:bCs/>
          <w:color w:val="000000" w:themeColor="text1"/>
          <w:szCs w:val="21"/>
          <w:u w:val="single"/>
          <w14:textFill>
            <w14:solidFill>
              <w14:schemeClr w14:val="tx1"/>
            </w14:solidFill>
          </w14:textFill>
        </w:rPr>
        <w:t xml:space="preserve">      验收费用由中标人支付          </w:t>
      </w:r>
      <w:r/>
    </w:p>
    <w:p>
      <w:pPr>
        <w:numPr>
          <w:ilvl w:val="0"/>
          <w:numId w:val="2"/>
        </w:numPr>
        <w:ind w:firstLine="422"/>
        <w:spacing w:line="400" w:lineRule="exact"/>
        <w:rPr>
          <w:rFonts w:ascii="宋体" w:hAnsi="宋体" w:eastAsia="Arial" w:cs="Times New Roman"/>
          <w:b/>
          <w:color w:val="000000" w:themeColor="text1"/>
          <w:szCs w:val="21"/>
          <w14:textFill>
            <w14:solidFill>
              <w14:schemeClr w14:val="tx1"/>
            </w14:solidFill>
          </w14:textFill>
        </w:rPr>
      </w:pPr>
      <w:r>
        <w:rPr>
          <w:rFonts w:hint="eastAsia" w:ascii="宋体" w:hAnsi="宋体" w:eastAsia="Arial" w:cs="Times New Roman"/>
          <w:b/>
          <w:color w:val="000000" w:themeColor="text1"/>
          <w:szCs w:val="21"/>
          <w14:textFill>
            <w14:solidFill>
              <w14:schemeClr w14:val="tx1"/>
            </w14:solidFill>
          </w14:textFill>
        </w:rPr>
        <w:t xml:space="preserve">组成合同的文件</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（1）政府采购合同协议书及其变更、补充协议</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（2）政府采购合同专用条款</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（3）政府采购合同通用条款</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（4）中标（中标）通知书</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（5）投标（响应）文件</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（6）采购文件</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（7）有关技术文件，图纸</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（8）国家法律、行政法规和规章制度规定或合同约定的作为合同组成部分的其他文件</w:t>
      </w:r>
      <w:r/>
    </w:p>
    <w:p>
      <w:pPr>
        <w:ind w:firstLine="422"/>
        <w:spacing w:line="400" w:lineRule="exact"/>
        <w:rPr>
          <w:rFonts w:ascii="宋体" w:hAnsi="宋体" w:eastAsia="Arial"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 xml:space="preserve">6.</w:t>
      </w:r>
      <w:r>
        <w:rPr>
          <w:rFonts w:hint="eastAsia" w:ascii="宋体" w:hAnsi="宋体" w:eastAsia="Arial" w:cs="Times New Roman"/>
          <w:b/>
          <w:color w:val="000000" w:themeColor="text1"/>
          <w:szCs w:val="21"/>
          <w14:textFill>
            <w14:solidFill>
              <w14:schemeClr w14:val="tx1"/>
            </w14:solidFill>
          </w14:textFill>
        </w:rPr>
        <w:t xml:space="preserve">合同生效</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本合同自</w:t>
      </w:r>
      <w:r>
        <w:rPr>
          <w:rFonts w:hint="eastAsia" w:ascii="宋体" w:hAnsi="宋体" w:eastAsia="Arial" w:cs="Times New Roman"/>
          <w:color w:val="000000" w:themeColor="text1"/>
          <w:szCs w:val="21"/>
          <w:u w:val="single"/>
          <w14:textFill>
            <w14:solidFill>
              <w14:schemeClr w14:val="tx1"/>
            </w14:solidFill>
          </w14:textFill>
        </w:rPr>
        <w:t xml:space="preserve">                             </w:t>
      </w:r>
      <w:r>
        <w:rPr>
          <w:rFonts w:hint="eastAsia" w:ascii="宋体" w:hAnsi="宋体" w:eastAsia="Arial" w:cs="Times New Roman"/>
          <w:color w:val="000000" w:themeColor="text1"/>
          <w:szCs w:val="21"/>
          <w14:textFill>
            <w14:solidFill>
              <w14:schemeClr w14:val="tx1"/>
            </w14:solidFill>
          </w14:textFill>
        </w:rPr>
        <w:t xml:space="preserve">生效。</w:t>
      </w:r>
      <w:r/>
    </w:p>
    <w:p>
      <w:pPr>
        <w:ind w:firstLine="422"/>
        <w:spacing w:line="400" w:lineRule="exact"/>
        <w:rPr>
          <w:rFonts w:ascii="宋体" w:hAnsi="宋体" w:eastAsia="Arial"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 xml:space="preserve">7.</w:t>
      </w:r>
      <w:r>
        <w:rPr>
          <w:rFonts w:hint="eastAsia" w:ascii="宋体" w:hAnsi="宋体" w:eastAsia="Arial" w:cs="Times New Roman"/>
          <w:b/>
          <w:color w:val="000000" w:themeColor="text1"/>
          <w:szCs w:val="21"/>
          <w14:textFill>
            <w14:solidFill>
              <w14:schemeClr w14:val="tx1"/>
            </w14:solidFill>
          </w14:textFill>
        </w:rPr>
        <w:t xml:space="preserve">合同份数</w:t>
      </w:r>
      <w:r/>
    </w:p>
    <w:p>
      <w:pPr>
        <w:ind w:firstLine="420"/>
        <w:spacing w:line="400" w:lineRule="exact"/>
        <w:rPr>
          <w:rFonts w:hint="eastAsia" w:ascii="宋体" w:hAnsi="宋体" w:eastAsia="宋体" w:cs="Times New Roman"/>
          <w:color w:val="000000" w:themeColor="text1"/>
          <w:szCs w:val="21"/>
          <w14:textFill>
            <w14:solidFill>
              <w14:schemeClr w14:val="tx1"/>
            </w14:solidFill>
          </w14:textFill>
        </w:rPr>
      </w:pPr>
      <w:r>
        <w:rPr>
          <w:rFonts w:hint="eastAsia" w:ascii="宋体" w:hAnsi="宋体" w:eastAsia="宋体" w:cs="Times New Roman"/>
          <w:color w:val="000000" w:themeColor="text1"/>
          <w:szCs w:val="21"/>
          <w14:textFill>
            <w14:solidFill>
              <w14:schemeClr w14:val="tx1"/>
            </w14:solidFill>
          </w14:textFill>
        </w:rPr>
        <w:t xml:space="preserve">本合同一式</w:t>
      </w:r>
      <w:r>
        <w:rPr>
          <w:rFonts w:hint="eastAsia" w:ascii="宋体" w:hAnsi="宋体" w:eastAsia="宋体" w:cs="Times New Roman"/>
          <w:color w:val="000000" w:themeColor="text1"/>
          <w:szCs w:val="21"/>
          <w:u w:val="single"/>
          <w14:textFill>
            <w14:solidFill>
              <w14:schemeClr w14:val="tx1"/>
            </w14:solidFill>
          </w14:textFill>
        </w:rPr>
        <w:t xml:space="preserve">  伍 </w:t>
      </w:r>
      <w:r>
        <w:rPr>
          <w:rFonts w:hint="eastAsia" w:ascii="宋体" w:hAnsi="宋体" w:eastAsia="宋体" w:cs="Times New Roman"/>
          <w:color w:val="000000" w:themeColor="text1"/>
          <w:szCs w:val="21"/>
          <w14:textFill>
            <w14:solidFill>
              <w14:schemeClr w14:val="tx1"/>
            </w14:solidFill>
          </w14:textFill>
        </w:rPr>
        <w:t xml:space="preserve">份，甲方执</w:t>
      </w:r>
      <w:r>
        <w:rPr>
          <w:rFonts w:hint="eastAsia" w:ascii="宋体" w:hAnsi="宋体" w:eastAsia="宋体" w:cs="Times New Roman"/>
          <w:color w:val="000000" w:themeColor="text1"/>
          <w:szCs w:val="21"/>
          <w:u w:val="single"/>
          <w14:textFill>
            <w14:solidFill>
              <w14:schemeClr w14:val="tx1"/>
            </w14:solidFill>
          </w14:textFill>
        </w:rPr>
        <w:t xml:space="preserve"> 贰 </w:t>
      </w:r>
      <w:r>
        <w:rPr>
          <w:rFonts w:hint="eastAsia" w:ascii="宋体" w:hAnsi="宋体" w:eastAsia="宋体" w:cs="Times New Roman"/>
          <w:color w:val="000000" w:themeColor="text1"/>
          <w:szCs w:val="21"/>
          <w14:textFill>
            <w14:solidFill>
              <w14:schemeClr w14:val="tx1"/>
            </w14:solidFill>
          </w14:textFill>
        </w:rPr>
        <w:t xml:space="preserve">份，乙方执</w:t>
      </w:r>
      <w:r>
        <w:rPr>
          <w:rFonts w:hint="eastAsia" w:ascii="宋体" w:hAnsi="宋体" w:eastAsia="宋体" w:cs="Times New Roman"/>
          <w:color w:val="000000" w:themeColor="text1"/>
          <w:szCs w:val="21"/>
          <w:u w:val="single"/>
          <w14:textFill>
            <w14:solidFill>
              <w14:schemeClr w14:val="tx1"/>
            </w14:solidFill>
          </w14:textFill>
        </w:rPr>
        <w:t xml:space="preserve"> 壹 </w:t>
      </w:r>
      <w:r>
        <w:rPr>
          <w:rFonts w:hint="eastAsia" w:ascii="宋体" w:hAnsi="宋体" w:eastAsia="宋体" w:cs="Times New Roman"/>
          <w:color w:val="000000" w:themeColor="text1"/>
          <w:szCs w:val="21"/>
          <w14:textFill>
            <w14:solidFill>
              <w14:schemeClr w14:val="tx1"/>
            </w14:solidFill>
          </w14:textFill>
        </w:rPr>
        <w:t xml:space="preserve">份，监督部门执</w:t>
      </w:r>
      <w:r>
        <w:rPr>
          <w:rFonts w:hint="eastAsia" w:ascii="宋体" w:hAnsi="宋体" w:eastAsia="宋体" w:cs="Times New Roman"/>
          <w:color w:val="000000" w:themeColor="text1"/>
          <w:szCs w:val="21"/>
          <w:u w:val="single"/>
          <w14:textFill>
            <w14:solidFill>
              <w14:schemeClr w14:val="tx1"/>
            </w14:solidFill>
          </w14:textFill>
        </w:rPr>
        <w:t xml:space="preserve"> 壹 </w:t>
      </w:r>
      <w:r>
        <w:rPr>
          <w:rFonts w:hint="eastAsia" w:ascii="宋体" w:hAnsi="宋体" w:eastAsia="宋体" w:cs="Times New Roman"/>
          <w:color w:val="000000" w:themeColor="text1"/>
          <w:szCs w:val="21"/>
          <w14:textFill>
            <w14:solidFill>
              <w14:schemeClr w14:val="tx1"/>
            </w14:solidFill>
          </w14:textFill>
        </w:rPr>
        <w:t xml:space="preserve">份，灌云县政府采购中心执</w:t>
      </w:r>
      <w:r>
        <w:rPr>
          <w:rFonts w:hint="eastAsia" w:ascii="宋体" w:hAnsi="宋体" w:eastAsia="宋体" w:cs="Times New Roman"/>
          <w:color w:val="000000" w:themeColor="text1"/>
          <w:szCs w:val="21"/>
          <w:u w:val="single"/>
          <w14:textFill>
            <w14:solidFill>
              <w14:schemeClr w14:val="tx1"/>
            </w14:solidFill>
          </w14:textFill>
        </w:rPr>
        <w:t xml:space="preserve"> 壹  </w:t>
      </w:r>
      <w:r>
        <w:rPr>
          <w:rFonts w:hint="eastAsia" w:ascii="宋体" w:hAnsi="宋体" w:eastAsia="宋体" w:cs="Times New Roman"/>
          <w:color w:val="000000" w:themeColor="text1"/>
          <w:szCs w:val="21"/>
          <w14:textFill>
            <w14:solidFill>
              <w14:schemeClr w14:val="tx1"/>
            </w14:solidFill>
          </w14:textFill>
        </w:rPr>
        <w:t xml:space="preserve">份，均具有同等法律效力。</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合同订立时间：</w:t>
      </w:r>
      <w:r>
        <w:rPr>
          <w:rFonts w:hint="eastAsia" w:ascii="宋体" w:hAnsi="宋体" w:eastAsia="Arial" w:cs="Times New Roman"/>
          <w:color w:val="000000" w:themeColor="text1"/>
          <w:szCs w:val="21"/>
          <w:u w:val="single"/>
          <w14:textFill>
            <w14:solidFill>
              <w14:schemeClr w14:val="tx1"/>
            </w14:solidFill>
          </w14:textFill>
        </w:rPr>
        <w:t xml:space="preserve">         </w:t>
      </w:r>
      <w:r>
        <w:rPr>
          <w:rFonts w:hint="eastAsia" w:ascii="宋体" w:hAnsi="宋体" w:eastAsia="Arial" w:cs="Times New Roman"/>
          <w:color w:val="000000" w:themeColor="text1"/>
          <w:szCs w:val="21"/>
          <w14:textFill>
            <w14:solidFill>
              <w14:schemeClr w14:val="tx1"/>
            </w14:solidFill>
          </w14:textFill>
        </w:rPr>
        <w:t xml:space="preserve">年</w:t>
      </w:r>
      <w:r>
        <w:rPr>
          <w:rFonts w:hint="eastAsia" w:ascii="宋体" w:hAnsi="宋体" w:eastAsia="Arial" w:cs="Times New Roman"/>
          <w:color w:val="000000" w:themeColor="text1"/>
          <w:szCs w:val="21"/>
          <w:u w:val="single"/>
          <w14:textFill>
            <w14:solidFill>
              <w14:schemeClr w14:val="tx1"/>
            </w14:solidFill>
          </w14:textFill>
        </w:rPr>
        <w:t xml:space="preserve">      </w:t>
      </w:r>
      <w:r>
        <w:rPr>
          <w:rFonts w:hint="eastAsia" w:ascii="宋体" w:hAnsi="宋体" w:eastAsia="Arial" w:cs="Times New Roman"/>
          <w:color w:val="000000" w:themeColor="text1"/>
          <w:szCs w:val="21"/>
          <w14:textFill>
            <w14:solidFill>
              <w14:schemeClr w14:val="tx1"/>
            </w14:solidFill>
          </w14:textFill>
        </w:rPr>
        <w:t xml:space="preserve">月</w:t>
      </w:r>
      <w:r>
        <w:rPr>
          <w:rFonts w:hint="eastAsia" w:ascii="宋体" w:hAnsi="宋体" w:eastAsia="Arial" w:cs="Times New Roman"/>
          <w:color w:val="000000" w:themeColor="text1"/>
          <w:szCs w:val="21"/>
          <w:u w:val="single"/>
          <w14:textFill>
            <w14:solidFill>
              <w14:schemeClr w14:val="tx1"/>
            </w14:solidFill>
          </w14:textFill>
        </w:rPr>
        <w:t xml:space="preserve">      </w:t>
      </w:r>
      <w:r>
        <w:rPr>
          <w:rFonts w:hint="eastAsia" w:ascii="宋体" w:hAnsi="宋体" w:eastAsia="Arial" w:cs="Times New Roman"/>
          <w:color w:val="000000" w:themeColor="text1"/>
          <w:szCs w:val="21"/>
          <w14:textFill>
            <w14:solidFill>
              <w14:schemeClr w14:val="tx1"/>
            </w14:solidFill>
          </w14:textFill>
        </w:rPr>
        <w:t xml:space="preserve">日</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合同订立地点：</w:t>
      </w:r>
      <w:r>
        <w:rPr>
          <w:rFonts w:hint="eastAsia" w:ascii="宋体" w:hAnsi="宋体" w:eastAsia="Arial" w:cs="Times New Roman"/>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Arial" w:cs="Times New Roman"/>
          <w:color w:val="000000" w:themeColor="text1"/>
          <w:szCs w:val="21"/>
          <w14:textFill>
            <w14:solidFill>
              <w14:schemeClr w14:val="tx1"/>
            </w14:solidFill>
          </w14:textFill>
        </w:rPr>
      </w:pPr>
      <w:r>
        <w:rPr>
          <w:rFonts w:hint="eastAsia" w:ascii="宋体" w:hAnsi="宋体" w:eastAsia="Arial" w:cs="Times New Roman"/>
          <w:color w:val="000000" w:themeColor="text1"/>
          <w:szCs w:val="21"/>
          <w14:textFill>
            <w14:solidFill>
              <w14:schemeClr w14:val="tx1"/>
            </w14:solidFill>
          </w14:textFill>
        </w:rPr>
        <w:t xml:space="preserve">附件：具体标的及其技术要求和商务要求、联合协议、分包意向协议等。</w:t>
      </w:r>
      <w:r/>
    </w:p>
    <w:tbl>
      <w:tblPr>
        <w:tblStyle w:val="854"/>
        <w:tblW w:w="5154"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3127"/>
        <w:gridCol w:w="1109"/>
        <w:gridCol w:w="3256"/>
      </w:tblGrid>
      <w:tr>
        <w:trPr>
          <w:jc w:val="center"/>
          <w:trHeight w:val="490"/>
        </w:trPr>
        <w:tc>
          <w:tcPr>
            <w:gridSpan w:val="2"/>
            <w:tcW w:w="4304" w:type="dxa"/>
            <w:vAlign w:val="center"/>
            <w:textDirection w:val="lrTb"/>
            <w:noWrap w:val="false"/>
          </w:tcPr>
          <w:p>
            <w:pPr>
              <w:jc w:val="center"/>
              <w:spacing w:line="300" w:lineRule="exact"/>
              <w:rPr>
                <w:rFonts w:ascii="Calibri" w:hAnsi="Calibri" w:eastAsia="Arial" w:cs="Times New Roman"/>
              </w:rPr>
            </w:pPr>
            <w:r>
              <w:rPr>
                <w:rFonts w:hint="eastAsia" w:ascii="宋体" w:hAnsi="宋体" w:eastAsia="宋体" w:cs="宋体"/>
                <w:szCs w:val="21"/>
              </w:rPr>
              <w:t xml:space="preserve">甲</w:t>
            </w:r>
            <w:r>
              <w:rPr>
                <w:rFonts w:ascii="Calibri" w:hAnsi="Calibri" w:eastAsia="Arial" w:cs="Times New Roman"/>
                <w:szCs w:val="21"/>
              </w:rPr>
              <w:t xml:space="preserve">方</w:t>
            </w:r>
            <w:r/>
          </w:p>
        </w:tc>
        <w:tc>
          <w:tcPr>
            <w:gridSpan w:val="2"/>
            <w:tcW w:w="4487" w:type="dxa"/>
            <w:vAlign w:val="center"/>
            <w:textDirection w:val="lrTb"/>
            <w:noWrap w:val="false"/>
          </w:tcPr>
          <w:p>
            <w:pPr>
              <w:jc w:val="center"/>
              <w:spacing w:line="300" w:lineRule="exact"/>
              <w:rPr>
                <w:rFonts w:ascii="Calibri" w:hAnsi="Calibri" w:eastAsia="Arial" w:cs="Times New Roman"/>
              </w:rPr>
            </w:pPr>
            <w:r>
              <w:rPr>
                <w:rFonts w:hint="eastAsia" w:ascii="宋体" w:hAnsi="宋体" w:eastAsia="宋体" w:cs="宋体"/>
                <w:szCs w:val="21"/>
              </w:rPr>
              <w:t xml:space="preserve">乙</w:t>
            </w:r>
            <w:r>
              <w:rPr>
                <w:rFonts w:ascii="Calibri" w:hAnsi="Calibri" w:eastAsia="Arial" w:cs="Times New Roman"/>
                <w:szCs w:val="21"/>
              </w:rPr>
              <w:t xml:space="preserve">方</w:t>
            </w:r>
            <w:r>
              <w:rPr>
                <w:rFonts w:hint="eastAsia" w:ascii="Calibri" w:hAnsi="Calibri" w:eastAsia="Arial" w:cs="Times New Roman"/>
                <w:szCs w:val="21"/>
              </w:rPr>
              <w:t xml:space="preserve">（</w:t>
            </w:r>
            <w:r>
              <w:rPr>
                <w:rFonts w:hint="eastAsia" w:ascii="Calibri" w:hAnsi="Calibri" w:eastAsia="宋体" w:cs="Times New Roman"/>
                <w:szCs w:val="21"/>
              </w:rPr>
              <w:t xml:space="preserve">投标人</w:t>
            </w:r>
            <w:r>
              <w:rPr>
                <w:rFonts w:hint="eastAsia" w:ascii="Calibri" w:hAnsi="Calibri" w:eastAsia="Arial" w:cs="Times New Roman"/>
                <w:szCs w:val="21"/>
              </w:rPr>
              <w:t xml:space="preserve">）</w:t>
            </w:r>
            <w:r/>
          </w:p>
        </w:tc>
      </w:tr>
      <w:tr>
        <w:trPr>
          <w:jc w:val="center"/>
          <w:trHeight w:val="657"/>
        </w:trPr>
        <w:tc>
          <w:tcPr>
            <w:tcW w:w="1075"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单</w:t>
            </w:r>
            <w:r>
              <w:rPr>
                <w:rFonts w:ascii="Calibri" w:hAnsi="Calibri" w:eastAsia="Arial" w:cs="Times New Roman"/>
                <w:szCs w:val="21"/>
              </w:rPr>
              <w:t xml:space="preserve">位名称</w:t>
            </w:r>
            <w:r>
              <w:rPr>
                <w:rFonts w:hint="eastAsia" w:ascii="Calibri" w:hAnsi="Calibri" w:eastAsia="Arial" w:cs="Times New Roman"/>
                <w:szCs w:val="21"/>
              </w:rPr>
              <w:t xml:space="preserve">（公章或合同章）</w:t>
            </w:r>
            <w:r/>
          </w:p>
        </w:tc>
        <w:tc>
          <w:tcPr>
            <w:tcW w:w="1372" w:type="dxa"/>
            <w:vAlign w:val="center"/>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126"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单</w:t>
            </w:r>
            <w:r>
              <w:rPr>
                <w:rFonts w:ascii="Calibri" w:hAnsi="Calibri" w:eastAsia="Arial" w:cs="Times New Roman"/>
                <w:szCs w:val="21"/>
              </w:rPr>
              <w:t xml:space="preserve">位名称</w:t>
            </w:r>
            <w:r>
              <w:rPr>
                <w:rFonts w:hint="eastAsia" w:ascii="Calibri" w:hAnsi="Calibri" w:eastAsia="Arial" w:cs="Times New Roman"/>
                <w:szCs w:val="21"/>
              </w:rPr>
              <w:t xml:space="preserve">（公章或合同章）</w:t>
            </w:r>
            <w:r/>
          </w:p>
        </w:tc>
        <w:tc>
          <w:tcPr>
            <w:tcW w:w="1425" w:type="dxa"/>
            <w:vAlign w:val="center"/>
            <w:textDirection w:val="lrTb"/>
            <w:noWrap w:val="false"/>
          </w:tcPr>
          <w:p>
            <w:pPr>
              <w:jc w:val="center"/>
              <w:spacing w:line="300" w:lineRule="exact"/>
              <w:rPr>
                <w:rFonts w:ascii="Calibri" w:hAnsi="Calibri" w:eastAsia="Arial" w:cs="Times New Roman"/>
                <w:spacing w:val="20"/>
                <w:szCs w:val="21"/>
              </w:rPr>
            </w:pPr>
            <w:r>
              <w:rPr>
                <w:rFonts w:ascii="Calibri" w:hAnsi="Calibri" w:eastAsia="Arial" w:cs="Times New Roman"/>
                <w:spacing w:val="20"/>
                <w:szCs w:val="21"/>
              </w:rPr>
            </w:r>
            <w:r/>
          </w:p>
        </w:tc>
      </w:tr>
      <w:tr>
        <w:trPr>
          <w:jc w:val="center"/>
          <w:trHeight w:val="806"/>
        </w:trPr>
        <w:tc>
          <w:tcPr>
            <w:tcW w:w="1075" w:type="dxa"/>
            <w:vAlign w:val="center"/>
            <w:vMerge w:val="restart"/>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法</w:t>
            </w:r>
            <w:r>
              <w:rPr>
                <w:rFonts w:ascii="Calibri" w:hAnsi="Calibri" w:eastAsia="Arial" w:cs="Times New Roman"/>
                <w:szCs w:val="21"/>
              </w:rPr>
              <w:t xml:space="preserve">定代表人</w:t>
            </w:r>
            <w:r/>
          </w:p>
          <w:p>
            <w:pPr>
              <w:ind w:firstLine="101"/>
              <w:jc w:val="center"/>
              <w:spacing w:line="300" w:lineRule="exact"/>
              <w:rPr>
                <w:rFonts w:ascii="Calibri" w:hAnsi="Calibri" w:eastAsia="Arial" w:cs="Times New Roman"/>
                <w:szCs w:val="21"/>
              </w:rPr>
            </w:pPr>
            <w:r>
              <w:rPr>
                <w:rFonts w:hint="eastAsia" w:ascii="宋体" w:hAnsi="宋体" w:eastAsia="宋体" w:cs="宋体"/>
                <w:szCs w:val="21"/>
              </w:rPr>
              <w:t xml:space="preserve">或</w:t>
            </w:r>
            <w:r>
              <w:rPr>
                <w:rFonts w:hint="eastAsia" w:ascii="Calibri" w:hAnsi="Calibri" w:eastAsia="Arial" w:cs="Times New Roman"/>
                <w:szCs w:val="21"/>
              </w:rPr>
              <w:t xml:space="preserve">其</w:t>
            </w:r>
            <w:r>
              <w:rPr>
                <w:rFonts w:ascii="Calibri" w:hAnsi="Calibri" w:eastAsia="Arial" w:cs="Times New Roman"/>
                <w:szCs w:val="21"/>
              </w:rPr>
              <w:t xml:space="preserve">委托代理人</w:t>
            </w:r>
            <w:r>
              <w:rPr>
                <w:rFonts w:hint="eastAsia" w:ascii="Calibri" w:hAnsi="Calibri" w:eastAsia="Arial" w:cs="Times New Roman"/>
                <w:szCs w:val="21"/>
              </w:rPr>
              <w:t xml:space="preserve">（签章）</w:t>
            </w:r>
            <w:r/>
          </w:p>
        </w:tc>
        <w:tc>
          <w:tcPr>
            <w:tcW w:w="1372" w:type="dxa"/>
            <w:vAlign w:val="center"/>
            <w:vMerge w:val="restart"/>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126"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法</w:t>
            </w:r>
            <w:r>
              <w:rPr>
                <w:rFonts w:ascii="Calibri" w:hAnsi="Calibri" w:eastAsia="Arial" w:cs="Times New Roman"/>
                <w:szCs w:val="21"/>
              </w:rPr>
              <w:t xml:space="preserve">定代表人</w:t>
            </w:r>
            <w:r>
              <w:rPr>
                <w:rFonts w:hint="eastAsia" w:ascii="宋体" w:hAnsi="宋体" w:eastAsia="宋体" w:cs="宋体"/>
                <w:szCs w:val="21"/>
              </w:rPr>
              <w:t xml:space="preserve">或</w:t>
            </w:r>
            <w:r>
              <w:rPr>
                <w:rFonts w:hint="eastAsia" w:ascii="Calibri" w:hAnsi="Calibri" w:eastAsia="Arial" w:cs="Times New Roman"/>
                <w:szCs w:val="21"/>
              </w:rPr>
              <w:t xml:space="preserve">其</w:t>
            </w:r>
            <w:r>
              <w:rPr>
                <w:rFonts w:ascii="Calibri" w:hAnsi="Calibri" w:eastAsia="Arial" w:cs="Times New Roman"/>
                <w:szCs w:val="21"/>
              </w:rPr>
              <w:t xml:space="preserve">委托代理人</w:t>
            </w:r>
            <w:r>
              <w:rPr>
                <w:rFonts w:hint="eastAsia" w:ascii="Calibri" w:hAnsi="Calibri" w:eastAsia="Arial" w:cs="Times New Roman"/>
                <w:szCs w:val="21"/>
              </w:rPr>
              <w:t xml:space="preserve">（签章）</w:t>
            </w:r>
            <w:r/>
          </w:p>
        </w:tc>
        <w:tc>
          <w:tcPr>
            <w:tcW w:w="1425" w:type="dxa"/>
            <w:vAlign w:val="center"/>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r>
      <w:tr>
        <w:trPr>
          <w:jc w:val="center"/>
          <w:trHeight w:val="483"/>
        </w:trPr>
        <w:tc>
          <w:tcPr>
            <w:tcW w:w="1075" w:type="dxa"/>
            <w:vAlign w:val="center"/>
            <w:vMerge w:val="continue"/>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372" w:type="dxa"/>
            <w:vAlign w:val="center"/>
            <w:vMerge w:val="continue"/>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126"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拥</w:t>
            </w:r>
            <w:r>
              <w:rPr>
                <w:rFonts w:hint="eastAsia" w:ascii="Calibri" w:hAnsi="Calibri" w:eastAsia="Arial" w:cs="Times New Roman"/>
                <w:szCs w:val="21"/>
              </w:rPr>
              <w:t xml:space="preserve">有者性别</w:t>
            </w:r>
            <w:r/>
          </w:p>
        </w:tc>
        <w:tc>
          <w:tcPr>
            <w:tcW w:w="1425" w:type="dxa"/>
            <w:vAlign w:val="center"/>
            <w:textDirection w:val="lrTb"/>
            <w:noWrap w:val="false"/>
          </w:tcPr>
          <w:p>
            <w:pPr>
              <w:jc w:val="center"/>
              <w:spacing w:line="300" w:lineRule="exact"/>
              <w:rPr>
                <w:rFonts w:ascii="Calibri" w:hAnsi="Calibri" w:eastAsia="Arial" w:cs="Times New Roman"/>
                <w:spacing w:val="20"/>
                <w:szCs w:val="21"/>
              </w:rPr>
            </w:pPr>
            <w:r>
              <w:rPr>
                <w:rFonts w:ascii="Calibri" w:hAnsi="Calibri" w:eastAsia="Arial" w:cs="Times New Roman"/>
                <w:spacing w:val="20"/>
                <w:szCs w:val="21"/>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住</w:t>
            </w:r>
            <w:r>
              <w:rPr>
                <w:rFonts w:hint="eastAsia" w:ascii="Calibri" w:hAnsi="Calibri" w:eastAsia="Arial" w:cs="Times New Roman"/>
                <w:szCs w:val="21"/>
              </w:rPr>
              <w:t xml:space="preserve">所</w:t>
            </w:r>
            <w:r/>
          </w:p>
        </w:tc>
        <w:tc>
          <w:tcPr>
            <w:tcW w:w="1372" w:type="dxa"/>
            <w:vAlign w:val="center"/>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126"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住</w:t>
            </w:r>
            <w:r>
              <w:rPr>
                <w:rFonts w:hint="eastAsia" w:ascii="Calibri" w:hAnsi="Calibri" w:eastAsia="Arial" w:cs="Times New Roman"/>
                <w:szCs w:val="21"/>
              </w:rPr>
              <w:t xml:space="preserve">所</w:t>
            </w:r>
            <w:r/>
          </w:p>
        </w:tc>
        <w:tc>
          <w:tcPr>
            <w:tcW w:w="1425" w:type="dxa"/>
            <w:vAlign w:val="center"/>
            <w:textDirection w:val="lrTb"/>
            <w:noWrap w:val="false"/>
          </w:tcPr>
          <w:p>
            <w:pPr>
              <w:jc w:val="center"/>
              <w:spacing w:line="300" w:lineRule="exact"/>
              <w:rPr>
                <w:rFonts w:ascii="Calibri" w:hAnsi="Calibri" w:eastAsia="Arial" w:cs="Times New Roman"/>
                <w:spacing w:val="20"/>
                <w:szCs w:val="21"/>
              </w:rPr>
            </w:pPr>
            <w:r>
              <w:rPr>
                <w:rFonts w:ascii="Calibri" w:hAnsi="Calibri" w:eastAsia="Arial" w:cs="Times New Roman"/>
                <w:spacing w:val="20"/>
                <w:szCs w:val="21"/>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联</w:t>
            </w:r>
            <w:r>
              <w:rPr>
                <w:rFonts w:ascii="Calibri" w:hAnsi="Calibri" w:eastAsia="Arial" w:cs="Times New Roman"/>
                <w:szCs w:val="21"/>
              </w:rPr>
              <w:t xml:space="preserve">系人</w:t>
            </w:r>
            <w:r/>
          </w:p>
        </w:tc>
        <w:tc>
          <w:tcPr>
            <w:tcW w:w="1372" w:type="dxa"/>
            <w:vAlign w:val="center"/>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126"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联</w:t>
            </w:r>
            <w:r>
              <w:rPr>
                <w:rFonts w:ascii="Calibri" w:hAnsi="Calibri" w:eastAsia="Arial" w:cs="Times New Roman"/>
                <w:szCs w:val="21"/>
              </w:rPr>
              <w:t xml:space="preserve">系人</w:t>
            </w:r>
            <w:r/>
          </w:p>
        </w:tc>
        <w:tc>
          <w:tcPr>
            <w:tcW w:w="1425" w:type="dxa"/>
            <w:vAlign w:val="center"/>
            <w:textDirection w:val="lrTb"/>
            <w:noWrap w:val="false"/>
          </w:tcPr>
          <w:p>
            <w:pPr>
              <w:jc w:val="center"/>
              <w:spacing w:line="300" w:lineRule="exact"/>
              <w:rPr>
                <w:rFonts w:ascii="Calibri" w:hAnsi="Calibri" w:eastAsia="Arial" w:cs="Times New Roman"/>
                <w:spacing w:val="20"/>
                <w:szCs w:val="21"/>
              </w:rPr>
            </w:pPr>
            <w:r>
              <w:rPr>
                <w:rFonts w:ascii="Calibri" w:hAnsi="Calibri" w:eastAsia="Arial" w:cs="Times New Roman"/>
                <w:spacing w:val="20"/>
                <w:szCs w:val="21"/>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联</w:t>
            </w:r>
            <w:r>
              <w:rPr>
                <w:rFonts w:ascii="Calibri" w:hAnsi="Calibri" w:eastAsia="Arial" w:cs="Times New Roman"/>
                <w:szCs w:val="21"/>
              </w:rPr>
              <w:t xml:space="preserve">系电话</w:t>
            </w:r>
            <w:r/>
          </w:p>
        </w:tc>
        <w:tc>
          <w:tcPr>
            <w:tcW w:w="1372" w:type="dxa"/>
            <w:vAlign w:val="center"/>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126"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联</w:t>
            </w:r>
            <w:r>
              <w:rPr>
                <w:rFonts w:ascii="Calibri" w:hAnsi="Calibri" w:eastAsia="Arial" w:cs="Times New Roman"/>
                <w:szCs w:val="21"/>
              </w:rPr>
              <w:t xml:space="preserve">系电话</w:t>
            </w:r>
            <w:r/>
          </w:p>
        </w:tc>
        <w:tc>
          <w:tcPr>
            <w:tcW w:w="1425" w:type="dxa"/>
            <w:vAlign w:val="center"/>
            <w:textDirection w:val="lrTb"/>
            <w:noWrap w:val="false"/>
          </w:tcPr>
          <w:p>
            <w:pPr>
              <w:jc w:val="center"/>
              <w:spacing w:line="300" w:lineRule="exact"/>
              <w:rPr>
                <w:rFonts w:ascii="Calibri" w:hAnsi="Calibri" w:eastAsia="Arial" w:cs="Times New Roman"/>
                <w:spacing w:val="20"/>
                <w:szCs w:val="21"/>
              </w:rPr>
            </w:pPr>
            <w:r>
              <w:rPr>
                <w:rFonts w:ascii="Calibri" w:hAnsi="Calibri" w:eastAsia="Arial" w:cs="Times New Roman"/>
                <w:spacing w:val="20"/>
                <w:szCs w:val="21"/>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通</w:t>
            </w:r>
            <w:r>
              <w:rPr>
                <w:rFonts w:hint="eastAsia" w:ascii="Calibri" w:hAnsi="Calibri" w:eastAsia="Arial" w:cs="Times New Roman"/>
                <w:szCs w:val="21"/>
              </w:rPr>
              <w:t xml:space="preserve">信地址</w:t>
            </w:r>
            <w:r/>
          </w:p>
        </w:tc>
        <w:tc>
          <w:tcPr>
            <w:tcW w:w="1372" w:type="dxa"/>
            <w:vAlign w:val="center"/>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126"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通</w:t>
            </w:r>
            <w:r>
              <w:rPr>
                <w:rFonts w:hint="eastAsia" w:ascii="Calibri" w:hAnsi="Calibri" w:eastAsia="Arial" w:cs="Times New Roman"/>
                <w:szCs w:val="21"/>
              </w:rPr>
              <w:t xml:space="preserve">信地址</w:t>
            </w:r>
            <w:r/>
          </w:p>
        </w:tc>
        <w:tc>
          <w:tcPr>
            <w:tcW w:w="1425" w:type="dxa"/>
            <w:vAlign w:val="center"/>
            <w:textDirection w:val="lrTb"/>
            <w:noWrap w:val="false"/>
          </w:tcPr>
          <w:p>
            <w:pPr>
              <w:jc w:val="center"/>
              <w:spacing w:line="300" w:lineRule="exact"/>
              <w:rPr>
                <w:rFonts w:ascii="Calibri" w:hAnsi="Calibri" w:eastAsia="Arial" w:cs="Times New Roman"/>
                <w:spacing w:val="20"/>
                <w:szCs w:val="21"/>
              </w:rPr>
            </w:pPr>
            <w:r>
              <w:rPr>
                <w:rFonts w:ascii="Calibri" w:hAnsi="Calibri" w:eastAsia="Arial" w:cs="Times New Roman"/>
                <w:spacing w:val="20"/>
                <w:szCs w:val="21"/>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邮</w:t>
            </w:r>
            <w:r>
              <w:rPr>
                <w:rFonts w:ascii="Calibri" w:hAnsi="Calibri" w:eastAsia="Arial" w:cs="Times New Roman"/>
                <w:szCs w:val="21"/>
              </w:rPr>
              <w:t xml:space="preserve">政编码</w:t>
            </w:r>
            <w:r/>
          </w:p>
        </w:tc>
        <w:tc>
          <w:tcPr>
            <w:tcW w:w="1372" w:type="dxa"/>
            <w:vAlign w:val="center"/>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126"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邮</w:t>
            </w:r>
            <w:r>
              <w:rPr>
                <w:rFonts w:ascii="Calibri" w:hAnsi="Calibri" w:eastAsia="Arial" w:cs="Times New Roman"/>
                <w:szCs w:val="21"/>
              </w:rPr>
              <w:t xml:space="preserve">政编码</w:t>
            </w:r>
            <w:r/>
          </w:p>
        </w:tc>
        <w:tc>
          <w:tcPr>
            <w:tcW w:w="1425" w:type="dxa"/>
            <w:vAlign w:val="center"/>
            <w:textDirection w:val="lrTb"/>
            <w:noWrap w:val="false"/>
          </w:tcPr>
          <w:p>
            <w:pPr>
              <w:jc w:val="center"/>
              <w:spacing w:line="300" w:lineRule="exact"/>
              <w:rPr>
                <w:rFonts w:ascii="Calibri" w:hAnsi="Calibri" w:eastAsia="Arial" w:cs="Times New Roman"/>
                <w:spacing w:val="20"/>
                <w:szCs w:val="21"/>
              </w:rPr>
            </w:pPr>
            <w:r>
              <w:rPr>
                <w:rFonts w:ascii="Calibri" w:hAnsi="Calibri" w:eastAsia="Arial" w:cs="Times New Roman"/>
                <w:spacing w:val="20"/>
                <w:szCs w:val="21"/>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电</w:t>
            </w:r>
            <w:r>
              <w:rPr>
                <w:rFonts w:hint="eastAsia" w:ascii="Calibri" w:hAnsi="Calibri" w:eastAsia="Arial" w:cs="Times New Roman"/>
                <w:szCs w:val="21"/>
              </w:rPr>
              <w:t xml:space="preserve">子邮箱</w:t>
            </w:r>
            <w:r/>
          </w:p>
        </w:tc>
        <w:tc>
          <w:tcPr>
            <w:tcW w:w="1372" w:type="dxa"/>
            <w:vAlign w:val="center"/>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126"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电</w:t>
            </w:r>
            <w:r>
              <w:rPr>
                <w:rFonts w:hint="eastAsia" w:ascii="Calibri" w:hAnsi="Calibri" w:eastAsia="Arial" w:cs="Times New Roman"/>
                <w:szCs w:val="21"/>
              </w:rPr>
              <w:t xml:space="preserve">子邮箱</w:t>
            </w:r>
            <w:r/>
          </w:p>
        </w:tc>
        <w:tc>
          <w:tcPr>
            <w:tcW w:w="1425" w:type="dxa"/>
            <w:vAlign w:val="center"/>
            <w:textDirection w:val="lrTb"/>
            <w:noWrap w:val="false"/>
          </w:tcPr>
          <w:p>
            <w:pPr>
              <w:jc w:val="center"/>
              <w:spacing w:line="300" w:lineRule="exact"/>
              <w:rPr>
                <w:rFonts w:ascii="Calibri" w:hAnsi="Calibri" w:eastAsia="Arial" w:cs="Times New Roman"/>
                <w:spacing w:val="20"/>
                <w:szCs w:val="21"/>
              </w:rPr>
            </w:pPr>
            <w:r>
              <w:rPr>
                <w:rFonts w:ascii="Calibri" w:hAnsi="Calibri" w:eastAsia="Arial" w:cs="Times New Roman"/>
                <w:spacing w:val="20"/>
                <w:szCs w:val="21"/>
              </w:rPr>
            </w:r>
            <w:r/>
          </w:p>
        </w:tc>
      </w:tr>
      <w:tr>
        <w:trPr>
          <w:jc w:val="center"/>
          <w:trHeight w:val="483"/>
        </w:trPr>
        <w:tc>
          <w:tcPr>
            <w:tcW w:w="1075"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统</w:t>
            </w:r>
            <w:r>
              <w:rPr>
                <w:rFonts w:hint="eastAsia" w:ascii="Calibri" w:hAnsi="Calibri" w:eastAsia="Arial" w:cs="Times New Roman"/>
                <w:szCs w:val="21"/>
              </w:rPr>
              <w:t xml:space="preserve">一社会信用代码</w:t>
            </w:r>
            <w:r/>
          </w:p>
        </w:tc>
        <w:tc>
          <w:tcPr>
            <w:tcW w:w="1372" w:type="dxa"/>
            <w:vAlign w:val="center"/>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126"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统</w:t>
            </w:r>
            <w:r>
              <w:rPr>
                <w:rFonts w:hint="eastAsia" w:ascii="Calibri" w:hAnsi="Calibri" w:eastAsia="Arial" w:cs="Times New Roman"/>
                <w:szCs w:val="21"/>
              </w:rPr>
              <w:t xml:space="preserve">一社会信用代码</w:t>
            </w:r>
            <w:r/>
          </w:p>
        </w:tc>
        <w:tc>
          <w:tcPr>
            <w:tcW w:w="1425" w:type="dxa"/>
            <w:vAlign w:val="center"/>
            <w:textDirection w:val="lrTb"/>
            <w:noWrap w:val="false"/>
          </w:tcPr>
          <w:p>
            <w:pPr>
              <w:jc w:val="center"/>
              <w:spacing w:line="300" w:lineRule="exact"/>
              <w:rPr>
                <w:rFonts w:ascii="Calibri" w:hAnsi="Calibri" w:eastAsia="Arial" w:cs="Times New Roman"/>
                <w:spacing w:val="20"/>
                <w:szCs w:val="21"/>
              </w:rPr>
            </w:pPr>
            <w:r>
              <w:rPr>
                <w:rFonts w:ascii="Calibri" w:hAnsi="Calibri" w:eastAsia="Arial" w:cs="Times New Roman"/>
                <w:spacing w:val="20"/>
                <w:szCs w:val="21"/>
              </w:rPr>
            </w:r>
            <w:r/>
          </w:p>
        </w:tc>
      </w:tr>
      <w:tr>
        <w:trPr>
          <w:jc w:val="center"/>
          <w:trHeight w:val="483"/>
        </w:trPr>
        <w:tc>
          <w:tcPr>
            <w:gridSpan w:val="2"/>
            <w:tcW w:w="4304" w:type="dxa"/>
            <w:vAlign w:val="center"/>
            <w:vMerge w:val="restart"/>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126"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开</w:t>
            </w:r>
            <w:r>
              <w:rPr>
                <w:rFonts w:ascii="Calibri" w:hAnsi="Calibri" w:eastAsia="Arial" w:cs="Times New Roman"/>
                <w:szCs w:val="21"/>
              </w:rPr>
              <w:t xml:space="preserve">户名称</w:t>
            </w:r>
            <w:r/>
          </w:p>
        </w:tc>
        <w:tc>
          <w:tcPr>
            <w:tcW w:w="1425" w:type="dxa"/>
            <w:vAlign w:val="center"/>
            <w:textDirection w:val="lrTb"/>
            <w:noWrap w:val="false"/>
          </w:tcPr>
          <w:p>
            <w:pPr>
              <w:jc w:val="center"/>
              <w:spacing w:line="300" w:lineRule="exact"/>
              <w:rPr>
                <w:rFonts w:ascii="Calibri" w:hAnsi="Calibri" w:eastAsia="Arial" w:cs="Times New Roman"/>
                <w:spacing w:val="20"/>
                <w:szCs w:val="21"/>
              </w:rPr>
            </w:pPr>
            <w:r>
              <w:rPr>
                <w:rFonts w:ascii="Calibri" w:hAnsi="Calibri" w:eastAsia="Arial" w:cs="Times New Roman"/>
                <w:spacing w:val="20"/>
                <w:szCs w:val="21"/>
              </w:rPr>
            </w:r>
            <w:r/>
          </w:p>
        </w:tc>
      </w:tr>
      <w:tr>
        <w:trPr>
          <w:jc w:val="center"/>
          <w:trHeight w:val="483"/>
        </w:trPr>
        <w:tc>
          <w:tcPr>
            <w:gridSpan w:val="2"/>
            <w:tcW w:w="4304" w:type="dxa"/>
            <w:vAlign w:val="center"/>
            <w:vMerge w:val="continue"/>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126"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开</w:t>
            </w:r>
            <w:r>
              <w:rPr>
                <w:rFonts w:ascii="Calibri" w:hAnsi="Calibri" w:eastAsia="Arial" w:cs="Times New Roman"/>
                <w:szCs w:val="21"/>
              </w:rPr>
              <w:t xml:space="preserve">户银行</w:t>
            </w:r>
            <w:r/>
          </w:p>
        </w:tc>
        <w:tc>
          <w:tcPr>
            <w:tcW w:w="1425" w:type="dxa"/>
            <w:vAlign w:val="center"/>
            <w:textDirection w:val="lrTb"/>
            <w:noWrap w:val="false"/>
          </w:tcPr>
          <w:p>
            <w:pPr>
              <w:jc w:val="center"/>
              <w:spacing w:line="300" w:lineRule="exact"/>
              <w:rPr>
                <w:rFonts w:ascii="Calibri" w:hAnsi="Calibri" w:eastAsia="Arial" w:cs="Times New Roman"/>
                <w:spacing w:val="20"/>
                <w:szCs w:val="21"/>
              </w:rPr>
            </w:pPr>
            <w:r>
              <w:rPr>
                <w:rFonts w:ascii="Calibri" w:hAnsi="Calibri" w:eastAsia="Arial" w:cs="Times New Roman"/>
                <w:spacing w:val="20"/>
                <w:szCs w:val="21"/>
              </w:rPr>
            </w:r>
            <w:r/>
          </w:p>
        </w:tc>
      </w:tr>
      <w:tr>
        <w:trPr>
          <w:jc w:val="center"/>
          <w:trHeight w:val="483"/>
        </w:trPr>
        <w:tc>
          <w:tcPr>
            <w:gridSpan w:val="2"/>
            <w:tcW w:w="4304" w:type="dxa"/>
            <w:vAlign w:val="center"/>
            <w:vMerge w:val="continue"/>
            <w:textDirection w:val="lrTb"/>
            <w:noWrap w:val="false"/>
          </w:tcPr>
          <w:p>
            <w:pPr>
              <w:jc w:val="center"/>
              <w:spacing w:line="300" w:lineRule="exact"/>
              <w:rPr>
                <w:rFonts w:ascii="Calibri" w:hAnsi="Calibri" w:eastAsia="Arial" w:cs="Times New Roman"/>
                <w:szCs w:val="21"/>
              </w:rPr>
            </w:pPr>
            <w:r>
              <w:rPr>
                <w:rFonts w:ascii="Calibri" w:hAnsi="Calibri" w:eastAsia="Arial" w:cs="Times New Roman"/>
                <w:szCs w:val="21"/>
              </w:rPr>
            </w:r>
            <w:r/>
          </w:p>
        </w:tc>
        <w:tc>
          <w:tcPr>
            <w:tcW w:w="1126" w:type="dxa"/>
            <w:vAlign w:val="center"/>
            <w:textDirection w:val="lrTb"/>
            <w:noWrap w:val="false"/>
          </w:tcPr>
          <w:p>
            <w:pPr>
              <w:jc w:val="center"/>
              <w:spacing w:line="300" w:lineRule="exact"/>
              <w:rPr>
                <w:rFonts w:ascii="Calibri" w:hAnsi="Calibri" w:eastAsia="Arial" w:cs="Times New Roman"/>
                <w:szCs w:val="21"/>
              </w:rPr>
            </w:pPr>
            <w:r>
              <w:rPr>
                <w:rFonts w:hint="eastAsia" w:ascii="宋体" w:hAnsi="宋体" w:eastAsia="宋体" w:cs="宋体"/>
                <w:szCs w:val="21"/>
              </w:rPr>
              <w:t xml:space="preserve">银</w:t>
            </w:r>
            <w:r>
              <w:rPr>
                <w:rFonts w:ascii="Calibri" w:hAnsi="Calibri" w:eastAsia="Arial" w:cs="Times New Roman"/>
                <w:szCs w:val="21"/>
              </w:rPr>
              <w:t xml:space="preserve">行账号</w:t>
            </w:r>
            <w:r/>
          </w:p>
        </w:tc>
        <w:tc>
          <w:tcPr>
            <w:tcW w:w="1425" w:type="dxa"/>
            <w:vAlign w:val="center"/>
            <w:textDirection w:val="lrTb"/>
            <w:noWrap w:val="false"/>
          </w:tcPr>
          <w:p>
            <w:pPr>
              <w:jc w:val="center"/>
              <w:spacing w:line="300" w:lineRule="exact"/>
              <w:rPr>
                <w:rFonts w:ascii="Calibri" w:hAnsi="Calibri" w:eastAsia="Arial" w:cs="Times New Roman"/>
                <w:spacing w:val="20"/>
                <w:szCs w:val="21"/>
              </w:rPr>
            </w:pPr>
            <w:r>
              <w:rPr>
                <w:rFonts w:ascii="Calibri" w:hAnsi="Calibri" w:eastAsia="Arial" w:cs="Times New Roman"/>
                <w:spacing w:val="20"/>
                <w:szCs w:val="21"/>
              </w:rPr>
            </w:r>
            <w:r/>
          </w:p>
        </w:tc>
      </w:tr>
      <w:tr>
        <w:trPr>
          <w:jc w:val="center"/>
          <w:trHeight w:val="586"/>
        </w:trPr>
        <w:tc>
          <w:tcPr>
            <w:gridSpan w:val="4"/>
            <w:tcW w:w="8791" w:type="dxa"/>
            <w:vAlign w:val="center"/>
            <w:textDirection w:val="lrTb"/>
            <w:noWrap w:val="false"/>
          </w:tcPr>
          <w:p>
            <w:pPr>
              <w:jc w:val="left"/>
              <w:spacing w:line="360" w:lineRule="auto"/>
              <w:rPr>
                <w:rFonts w:ascii="Times New Roman" w:hAnsi="Times New Roman" w:eastAsia="宋体" w:cs="Times New Roman"/>
                <w:spacing w:val="20"/>
                <w:szCs w:val="21"/>
              </w:rPr>
            </w:pPr>
            <w:r>
              <w:rPr>
                <w:rFonts w:hint="eastAsia" w:ascii="宋体" w:hAnsi="宋体" w:eastAsia="宋体" w:cs="Times New Roman"/>
                <w:szCs w:val="21"/>
              </w:rPr>
              <w:t xml:space="preserve">注：涉及联合体或其他合同主体的信息应按上表格式加列。</w:t>
            </w:r>
            <w:r/>
          </w:p>
        </w:tc>
      </w:tr>
    </w:tbl>
    <w:p>
      <w:pPr>
        <w:keepLines/>
        <w:keepNext/>
        <w:spacing w:before="260" w:after="260" w:line="400" w:lineRule="exact"/>
        <w:rPr>
          <w:rFonts w:hint="eastAsia" w:ascii="宋体" w:hAnsi="宋体" w:eastAsia="宋体" w:cs="宋体"/>
          <w:szCs w:val="21"/>
        </w:rPr>
        <w:outlineLvl w:val="1"/>
      </w:pPr>
      <w:r>
        <w:rPr>
          <w:rFonts w:hint="eastAsia" w:ascii="宋体" w:hAnsi="宋体" w:eastAsia="宋体" w:cs="宋体"/>
          <w:szCs w:val="21"/>
        </w:rPr>
      </w:r>
      <w:r/>
    </w:p>
    <w:p>
      <w:pPr>
        <w:jc w:val="center"/>
        <w:keepLines/>
        <w:keepNext/>
        <w:spacing w:before="156" w:after="260" w:line="416" w:lineRule="auto"/>
        <w:rPr>
          <w:rFonts w:hint="eastAsia" w:ascii="宋体" w:hAnsi="宋体" w:eastAsia="宋体" w:cs="宋体"/>
          <w:b/>
          <w:bCs/>
          <w:color w:val="000000" w:themeColor="text1"/>
          <w:sz w:val="28"/>
          <w:szCs w:val="28"/>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（2）供应商（以下称乙方）是指参加政府采购活动并且中标（中标），向采购人提供合同约定的货物及其相关服务的法人、非法人组织或者自然人。</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中标）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000000" w:themeColor="text1"/>
          <w:szCs w:val="21"/>
          <w:lang w:val="en"/>
          <w14:textFill>
            <w14:solidFill>
              <w14:schemeClr w14:val="tx1"/>
            </w14:solidFill>
          </w14:textFill>
        </w:rPr>
        <w:t xml:space="preserve">其他</w:t>
      </w:r>
      <w:r>
        <w:rPr>
          <w:rFonts w:hint="eastAsia" w:ascii="宋体" w:hAnsi="宋体" w:eastAsia="宋体" w:cs="宋体"/>
          <w:color w:val="000000" w:themeColor="text1"/>
          <w:szCs w:val="21"/>
          <w14:textFill>
            <w14:solidFill>
              <w14:schemeClr w14:val="tx1"/>
            </w14:solidFill>
          </w14:textFill>
        </w:rPr>
        <w:t xml:space="preserve">技术资料和材料等。</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w:t>
      </w:r>
      <w:r>
        <w:rPr>
          <w:rFonts w:hint="eastAsia" w:ascii="宋体" w:hAnsi="宋体" w:eastAsia="宋体" w:cs="宋体"/>
          <w:color w:val="000000" w:themeColor="text1"/>
          <w:szCs w:val="21"/>
          <w:lang w:val="en"/>
          <w14:textFill>
            <w14:solidFill>
              <w14:schemeClr w14:val="tx1"/>
            </w14:solidFill>
          </w14:textFill>
        </w:rPr>
        <w:t xml:space="preserve">其他</w:t>
      </w:r>
      <w:r>
        <w:rPr>
          <w:rFonts w:hint="eastAsia" w:ascii="宋体" w:hAnsi="宋体" w:eastAsia="宋体" w:cs="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themeColor="text1"/>
          <w:szCs w:val="21"/>
          <w:lang w:val="en"/>
          <w14:textFill>
            <w14:solidFill>
              <w14:schemeClr w14:val="tx1"/>
            </w14:solidFill>
          </w14:textFill>
        </w:rPr>
        <w:t xml:space="preserve">其他</w:t>
      </w:r>
      <w:r>
        <w:rPr>
          <w:rFonts w:hint="eastAsia" w:ascii="宋体" w:hAnsi="宋体" w:eastAsia="宋体" w:cs="宋体"/>
          <w:color w:val="000000" w:themeColor="text1"/>
          <w:szCs w:val="21"/>
          <w14:textFill>
            <w14:solidFill>
              <w14:schemeClr w14:val="tx1"/>
            </w14:solidFill>
          </w14:textFill>
        </w:rPr>
        <w:t xml:space="preserve">义务。</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（5）“分包”系指中标（中标）供应商按采购文件、投标（响应）文件的规定，根据分包意向协议，将中标（中标）项目中的部分履约内容，分给具有相应资质条件的供应商履行合同的行为。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5"/>
        </w:num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hint="eastAsia"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合同标的及金额应与中标（中标）结果一致。乙方为履行本合同而发生的所有费用均应包含在合同价款中，甲方不再另行支付</w:t>
      </w:r>
      <w:r>
        <w:rPr>
          <w:rFonts w:hint="eastAsia" w:ascii="宋体" w:hAnsi="宋体" w:eastAsia="宋体" w:cs="宋体"/>
          <w:color w:val="000000" w:themeColor="text1"/>
          <w:szCs w:val="21"/>
          <w:lang w:val="en"/>
          <w14:textFill>
            <w14:solidFill>
              <w14:schemeClr w14:val="tx1"/>
            </w14:solidFill>
          </w14:textFill>
        </w:rPr>
        <w:t xml:space="preserve">其他</w:t>
      </w:r>
      <w:r>
        <w:rPr>
          <w:rFonts w:hint="eastAsia" w:ascii="宋体" w:hAnsi="宋体" w:eastAsia="宋体" w:cs="宋体"/>
          <w:color w:val="000000" w:themeColor="text1"/>
          <w:szCs w:val="21"/>
          <w14:textFill>
            <w14:solidFill>
              <w14:schemeClr w14:val="tx1"/>
            </w14:solidFill>
          </w14:textFill>
        </w:rPr>
        <w:t xml:space="preserve">任何费用。</w:t>
      </w:r>
      <w:r/>
    </w:p>
    <w:p>
      <w:pPr>
        <w:jc w:val="left"/>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5.3乙方有权根据合同约定向甲方收取合同价款。</w:t>
      </w:r>
      <w:r/>
    </w:p>
    <w:p>
      <w:pPr>
        <w:ind w:firstLine="369"/>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5.4国家法律法规规定及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约定应由乙方承担的其他义务和责任。</w:t>
      </w:r>
      <w:r/>
    </w:p>
    <w:p>
      <w:pPr>
        <w:numPr>
          <w:ilvl w:val="0"/>
          <w:numId w:val="6"/>
        </w:num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ind w:firstLine="420"/>
        <w:jc w:val="left"/>
        <w:spacing w:line="400" w:lineRule="exact"/>
        <w:rPr>
          <w:rFonts w:hint="eastAsia" w:ascii="宋体" w:hAnsi="宋体" w:eastAsia="宋体" w:cs="宋体"/>
          <w:b/>
          <w:color w:val="000000" w:themeColor="text1"/>
          <w:szCs w:val="20"/>
          <w14:textFill>
            <w14:solidFill>
              <w14:schemeClr w14:val="tx1"/>
            </w14:solidFill>
          </w14:textFill>
        </w:rPr>
      </w:pPr>
      <w:r>
        <w:rPr>
          <w:rFonts w:hint="eastAsia" w:ascii="宋体" w:hAnsi="宋体" w:eastAsia="宋体" w:cs="宋体"/>
          <w:color w:val="000000" w:themeColor="text1"/>
          <w:szCs w:val="20"/>
          <w14:textFill>
            <w14:solidFill>
              <w14:schemeClr w14:val="tx1"/>
            </w14:solidFill>
          </w14:textFill>
        </w:rPr>
        <w:t xml:space="preserve">8.1 质量标准</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eastAsia="宋体" w:cs="宋体"/>
          <w:color w:val="000000" w:themeColor="text1"/>
          <w:szCs w:val="20"/>
          <w14:textFill>
            <w14:solidFill>
              <w14:schemeClr w14:val="tx1"/>
            </w14:solidFill>
          </w14:textFill>
        </w:rPr>
      </w:pPr>
      <w:r>
        <w:rPr>
          <w:rFonts w:hint="eastAsia" w:ascii="宋体" w:hAnsi="宋体" w:eastAsia="宋体" w:cs="宋体"/>
          <w:color w:val="000000" w:themeColor="text1"/>
          <w:szCs w:val="20"/>
          <w14:textFill>
            <w14:solidFill>
              <w14:schemeClr w14:val="tx1"/>
            </w14:solidFill>
          </w14:textFill>
        </w:rPr>
        <w:t xml:space="preserve">（2）采用中华人民共和国法定计量单位。</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hint="eastAsia"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ind w:firstLine="420"/>
        <w:keepLines/>
        <w:keepNext/>
        <w:spacing w:before="260" w:after="260" w:line="400" w:lineRule="exact"/>
        <w:rPr>
          <w:rFonts w:hint="eastAsia" w:ascii="宋体" w:hAnsi="宋体" w:eastAsia="宋体" w:cs="宋体"/>
          <w:b/>
          <w:bCs/>
          <w:color w:val="000000" w:themeColor="text1"/>
          <w:sz w:val="32"/>
          <w:szCs w:val="32"/>
          <w14:textFill>
            <w14:solidFill>
              <w14:schemeClr w14:val="tx1"/>
            </w14:solidFill>
          </w14:textFill>
        </w:rPr>
        <w:outlineLvl w:val="1"/>
      </w:pPr>
      <w:r>
        <w:rPr>
          <w:rFonts w:hint="eastAsia" w:ascii="宋体" w:hAnsi="宋体" w:eastAsia="宋体" w:cs="宋体"/>
          <w:color w:val="000000" w:themeColor="text1"/>
          <w:szCs w:val="21"/>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】中约定。</w:t>
      </w:r>
      <w:r/>
    </w:p>
    <w:p>
      <w:pPr>
        <w:spacing w:line="4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13. 履约保证金</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numPr>
          <w:ilvl w:val="0"/>
          <w:numId w:val="7"/>
        </w:numPr>
        <w:jc w:val="left"/>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16.2合同的中止</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ind w:firstLine="440"/>
        <w:spacing w:line="400" w:lineRule="exac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16.4 </w:t>
      </w:r>
      <w:r>
        <w:rPr>
          <w:rFonts w:hint="eastAsia" w:ascii="宋体" w:hAnsi="宋体" w:eastAsia="宋体" w:cs="宋体"/>
          <w:color w:val="000000" w:themeColor="text1"/>
          <w:szCs w:val="21"/>
          <w14:textFill>
            <w14:solidFill>
              <w14:schemeClr w14:val="tx1"/>
            </w14:solidFill>
          </w14:textFill>
        </w:rPr>
        <w:t xml:space="preserve">涉及国家利益、社会公共利益的情形</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19.2 选择仲裁的，应在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中进一步约定选择与争议有实际联系的地点的人民法院管辖，但管辖法院的约定不得违反级别管辖和专属管辖的规定。</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ind w:firstLine="42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21.1 本合同的订立、生效、解释、履行及与本合同有关的争议解决，均适用法律、行政法规。</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ind w:firstLine="440"/>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clear="all"/>
      </w:r>
      <w:r/>
    </w:p>
    <w:p>
      <w:pPr>
        <w:jc w:val="center"/>
        <w:keepLines/>
        <w:keepNext/>
        <w:spacing w:before="260" w:after="260" w:line="416" w:lineRule="auto"/>
        <w:rPr>
          <w:rFonts w:hint="eastAsia" w:ascii="宋体" w:hAnsi="宋体" w:eastAsia="宋体" w:cs="宋体"/>
          <w:color w:val="000000" w:themeColor="text1"/>
          <w:sz w:val="28"/>
          <w:szCs w:val="28"/>
          <w14:textFill>
            <w14:solidFill>
              <w14:schemeClr w14:val="tx1"/>
            </w14:solidFill>
          </w14:textFill>
        </w:rPr>
        <w:outlineLvl w:val="1"/>
      </w:pPr>
      <w:r>
        <w:rPr>
          <w:rFonts w:hint="eastAsia" w:ascii="宋体" w:hAnsi="宋体" w:eastAsia="宋体" w:cs="宋体"/>
          <w:color w:val="000000" w:themeColor="text1"/>
          <w:sz w:val="28"/>
          <w:szCs w:val="28"/>
          <w14:textFill>
            <w14:solidFill>
              <w14:schemeClr w14:val="tx1"/>
            </w14:solidFill>
          </w14:textFill>
        </w:rPr>
        <w:t xml:space="preserve">第三节 政府采购合同专用条款</w:t>
      </w:r>
      <w:r/>
    </w:p>
    <w:tbl>
      <w:tblPr>
        <w:tblStyle w:val="85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不接受联合体</w:t>
            </w:r>
            <w:r/>
          </w:p>
        </w:tc>
      </w:tr>
      <w:tr>
        <w:trPr>
          <w:trHeight w:val="604"/>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5个工作日</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乙方送达指定地点，经安装调试后申请验收，验收合格后甲方支付合同款项。</w:t>
            </w:r>
            <w:r/>
          </w:p>
        </w:tc>
      </w:tr>
      <w:tr>
        <w:trPr>
          <w:trHeight w:val="667"/>
        </w:trPr>
        <w:tc>
          <w:tcPr>
            <w:tcW w:w="1607" w:type="dxa"/>
            <w:vAlign w:val="center"/>
            <w:vMerge w:val="restart"/>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绿色环保</w:t>
            </w:r>
            <w:r/>
          </w:p>
        </w:tc>
      </w:tr>
      <w:tr>
        <w:trPr>
          <w:trHeight w:val="667"/>
        </w:trPr>
        <w:tc>
          <w:tcPr>
            <w:tcW w:w="1607" w:type="dxa"/>
            <w:vAlign w:val="center"/>
            <w:vMerge w:val="continue"/>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指定的4所学校</w:t>
            </w:r>
            <w:r/>
          </w:p>
        </w:tc>
      </w:tr>
      <w:tr>
        <w:trPr>
          <w:trHeight w:val="772"/>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trHeight w:val="667"/>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供应商自行承担</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免费维保期</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不少于3年</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货物质量缺陷</w:t>
            </w:r>
            <w:r/>
          </w:p>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2小时</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spacing w:line="400" w:lineRule="exact"/>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第11.1款</w:t>
            </w:r>
            <w:r/>
          </w:p>
        </w:tc>
        <w:tc>
          <w:tcPr>
            <w:tcW w:w="1742" w:type="dxa"/>
            <w:vAlign w:val="center"/>
            <w:textDirection w:val="lrTb"/>
            <w:noWrap w:val="false"/>
          </w:tcPr>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trHeight w:val="697"/>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采购货物送至指定地点，安装调试完成、验收合格后30日内付至合同价款的100%。     </w:t>
            </w:r>
            <w:r/>
          </w:p>
        </w:tc>
      </w:tr>
      <w:tr>
        <w:trPr>
          <w:trHeight w:val="697"/>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乙方拒不签订合同或拒不履行合同义务，履约保证金不予退还。</w:t>
            </w:r>
            <w:r/>
          </w:p>
        </w:tc>
      </w:tr>
      <w:tr>
        <w:trPr>
          <w:trHeight w:val="1132"/>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spacing w:line="400" w:lineRule="exact"/>
              <w:rPr>
                <w:rFonts w:hint="eastAsia" w:ascii="宋体" w:hAnsi="宋体" w:eastAsia="宋体" w:cs="宋体"/>
                <w:color w:val="000000"/>
                <w:highlight w:val="none"/>
              </w:rPr>
            </w:pPr>
            <w:r>
              <w:rPr>
                <w:rFonts w:hint="eastAsia" w:ascii="宋体" w:hAnsi="宋体" w:eastAsia="宋体" w:cs="宋体"/>
                <w:bCs/>
                <w:color w:val="000000"/>
                <w:szCs w:val="21"/>
                <w:highlight w:val="none"/>
              </w:rPr>
              <w:t xml:space="preserve">采购货物送至指定地点，安装调试完成且经验收合格、维保期满后退还。</w:t>
            </w:r>
            <w:r/>
          </w:p>
          <w:p>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4"/>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维保期内</w:t>
            </w:r>
            <w:r/>
          </w:p>
        </w:tc>
      </w:tr>
      <w:tr>
        <w:trPr>
          <w:trHeight w:val="784"/>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出现因货物产品质量原因，致使修理、重作、更换，需要在2小时内响应并作出承诺完成时间。</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修理、重作、更换相关具体规定</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乙方逾期交付合同标的的，乙方应按逾期交付总额每日1%向甲方支付违约金，由甲方从待付合同款中扣除，最高限额为本合同总额的100%。</w:t>
            </w:r>
            <w:r/>
          </w:p>
        </w:tc>
      </w:tr>
      <w:tr>
        <w:trPr>
          <w:trHeight w:val="736"/>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jc w:val="left"/>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（2）</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hint="eastAsia"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lang w:val="en-US" w:eastAsia="zh-CN"/>
                <w14:textFill>
                  <w14:solidFill>
                    <w14:schemeClr w14:val="tx1"/>
                  </w14:solidFill>
                </w14:textFill>
              </w:rPr>
              <w:t xml:space="preserve">灌云县</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lang w:val="en-US" w:eastAsia="zh-CN"/>
                <w14:textFill>
                  <w14:solidFill>
                    <w14:schemeClr w14:val="tx1"/>
                  </w14:solidFill>
                </w14:textFill>
              </w:rPr>
              <w:t xml:space="preserve">灌云县</w:t>
            </w:r>
            <w:bookmarkStart w:id="31" w:name="_GoBack"/>
            <w:r/>
            <w:bookmarkEnd w:id="31"/>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灌云县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第二节</w:t>
            </w:r>
            <w:r/>
          </w:p>
          <w:p>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p>
        </w:tc>
      </w:tr>
    </w:tbl>
    <w:p>
      <w:pPr>
        <w:jc w:val="center"/>
        <w:spacing w:before="120" w:after="120" w:line="500" w:lineRule="exact"/>
        <w:rPr>
          <w:rFonts w:hint="eastAsia" w:ascii="宋体" w:hAnsi="宋体" w:eastAsia="宋体" w:cs="宋体"/>
          <w:bCs/>
          <w:color w:val="000000"/>
          <w:sz w:val="44"/>
          <w:szCs w:val="21"/>
        </w:rPr>
      </w:pPr>
      <w:r/>
      <w:bookmarkStart w:id="7" w:name="_Hlk236748622"/>
      <w:r/>
      <w:r/>
    </w:p>
    <w:p>
      <w:pPr>
        <w:jc w:val="center"/>
        <w:spacing w:before="120" w:after="120" w:line="500" w:lineRule="exact"/>
        <w:rPr>
          <w:rFonts w:hint="eastAsia" w:ascii="宋体" w:hAnsi="宋体" w:eastAsia="宋体" w:cs="宋体"/>
          <w:bCs/>
          <w:color w:val="000000"/>
          <w:sz w:val="44"/>
          <w:szCs w:val="21"/>
        </w:rPr>
      </w:pPr>
      <w:r>
        <w:rPr>
          <w:rFonts w:hint="eastAsia" w:ascii="宋体" w:hAnsi="宋体" w:eastAsia="宋体" w:cs="宋体"/>
          <w:bCs/>
          <w:color w:val="000000"/>
          <w:sz w:val="44"/>
          <w:szCs w:val="21"/>
        </w:rPr>
      </w:r>
      <w:r/>
    </w:p>
    <w:p>
      <w:pPr>
        <w:jc w:val="center"/>
        <w:spacing w:before="120" w:after="120" w:line="500" w:lineRule="exact"/>
        <w:rPr>
          <w:rFonts w:hint="eastAsia" w:ascii="宋体" w:hAnsi="宋体" w:eastAsia="宋体" w:cs="宋体"/>
          <w:bCs/>
          <w:color w:val="000000"/>
          <w:sz w:val="44"/>
          <w:szCs w:val="21"/>
        </w:rPr>
      </w:pPr>
      <w:r>
        <w:rPr>
          <w:rFonts w:hint="eastAsia" w:ascii="宋体" w:hAnsi="宋体" w:eastAsia="宋体" w:cs="宋体"/>
          <w:bCs/>
          <w:color w:val="000000"/>
          <w:sz w:val="44"/>
          <w:szCs w:val="21"/>
        </w:rPr>
      </w:r>
      <w:r/>
    </w:p>
    <w:p>
      <w:pPr>
        <w:jc w:val="center"/>
        <w:spacing w:before="120" w:after="120" w:line="500" w:lineRule="exact"/>
        <w:rPr>
          <w:rFonts w:hint="eastAsia" w:ascii="宋体" w:hAnsi="宋体" w:eastAsia="宋体" w:cs="宋体"/>
          <w:bCs/>
          <w:color w:val="000000"/>
          <w:sz w:val="44"/>
          <w:szCs w:val="21"/>
        </w:rPr>
      </w:pPr>
      <w:r>
        <w:rPr>
          <w:rFonts w:hint="eastAsia" w:ascii="宋体" w:hAnsi="宋体" w:eastAsia="宋体" w:cs="宋体"/>
          <w:bCs/>
          <w:color w:val="000000"/>
          <w:sz w:val="44"/>
          <w:szCs w:val="21"/>
        </w:rPr>
      </w:r>
      <w:r/>
    </w:p>
    <w:p>
      <w:pPr>
        <w:jc w:val="center"/>
        <w:spacing w:before="120" w:after="120" w:line="500" w:lineRule="exact"/>
        <w:rPr>
          <w:rFonts w:hint="eastAsia" w:ascii="宋体" w:hAnsi="宋体" w:eastAsia="宋体" w:cs="宋体"/>
          <w:bCs/>
          <w:color w:val="000000"/>
          <w:sz w:val="44"/>
          <w:szCs w:val="21"/>
        </w:rPr>
      </w:pPr>
      <w:r>
        <w:rPr>
          <w:rFonts w:hint="eastAsia" w:ascii="宋体" w:hAnsi="宋体" w:eastAsia="宋体" w:cs="宋体"/>
          <w:bCs/>
          <w:color w:val="000000"/>
          <w:sz w:val="44"/>
          <w:szCs w:val="21"/>
        </w:rPr>
      </w:r>
      <w:r/>
    </w:p>
    <w:p>
      <w:pPr>
        <w:jc w:val="center"/>
        <w:spacing w:before="120" w:after="120" w:line="500" w:lineRule="exact"/>
        <w:rPr>
          <w:rFonts w:hint="eastAsia" w:ascii="宋体" w:hAnsi="宋体" w:eastAsia="宋体" w:cs="宋体"/>
          <w:bCs/>
          <w:color w:val="000000"/>
          <w:sz w:val="44"/>
          <w:szCs w:val="21"/>
        </w:rPr>
      </w:pPr>
      <w:r>
        <w:rPr>
          <w:rFonts w:hint="eastAsia" w:ascii="宋体" w:hAnsi="宋体" w:eastAsia="宋体" w:cs="宋体"/>
          <w:bCs/>
          <w:color w:val="000000"/>
          <w:sz w:val="44"/>
          <w:szCs w:val="21"/>
        </w:rPr>
      </w:r>
      <w:r/>
    </w:p>
    <w:p>
      <w:pPr>
        <w:jc w:val="center"/>
        <w:spacing w:before="120" w:after="120" w:line="500" w:lineRule="exact"/>
        <w:rPr>
          <w:rFonts w:hint="eastAsia" w:ascii="宋体" w:hAnsi="宋体" w:eastAsia="宋体" w:cs="宋体"/>
          <w:bCs/>
          <w:color w:val="000000"/>
          <w:sz w:val="44"/>
          <w:szCs w:val="21"/>
        </w:rPr>
      </w:pPr>
      <w:r>
        <w:rPr>
          <w:rFonts w:hint="eastAsia" w:ascii="宋体" w:hAnsi="宋体" w:eastAsia="宋体" w:cs="宋体"/>
          <w:bCs/>
          <w:color w:val="000000"/>
          <w:sz w:val="44"/>
          <w:szCs w:val="21"/>
        </w:rPr>
      </w:r>
      <w:r/>
    </w:p>
    <w:p>
      <w:pPr>
        <w:jc w:val="center"/>
        <w:spacing w:before="120" w:after="120" w:line="500" w:lineRule="exact"/>
        <w:rPr>
          <w:rFonts w:hint="eastAsia" w:ascii="宋体" w:hAnsi="宋体" w:eastAsia="宋体" w:cs="宋体"/>
          <w:bCs/>
          <w:color w:val="000000"/>
          <w:sz w:val="44"/>
          <w:szCs w:val="21"/>
        </w:rPr>
      </w:pPr>
      <w:r>
        <w:rPr>
          <w:rFonts w:hint="eastAsia" w:ascii="宋体" w:hAnsi="宋体" w:eastAsia="宋体" w:cs="宋体"/>
          <w:bCs/>
          <w:color w:val="000000"/>
          <w:sz w:val="44"/>
          <w:szCs w:val="21"/>
        </w:rPr>
      </w:r>
      <w:r/>
    </w:p>
    <w:p>
      <w:pPr>
        <w:jc w:val="center"/>
        <w:spacing w:before="120" w:after="120" w:line="500" w:lineRule="exact"/>
        <w:rPr>
          <w:rFonts w:hint="eastAsia" w:ascii="宋体" w:hAnsi="宋体" w:eastAsia="宋体" w:cs="宋体"/>
          <w:bCs/>
          <w:color w:val="000000"/>
          <w:sz w:val="44"/>
          <w:szCs w:val="21"/>
        </w:rPr>
      </w:pPr>
      <w:r>
        <w:rPr>
          <w:rFonts w:hint="eastAsia" w:ascii="宋体" w:hAnsi="宋体" w:eastAsia="宋体" w:cs="宋体"/>
          <w:bCs/>
          <w:color w:val="000000"/>
          <w:sz w:val="44"/>
          <w:szCs w:val="21"/>
        </w:rPr>
      </w:r>
      <w:r/>
    </w:p>
    <w:p>
      <w:pPr>
        <w:jc w:val="center"/>
        <w:spacing w:before="120" w:after="120" w:line="500" w:lineRule="exact"/>
        <w:rPr>
          <w:rFonts w:hint="eastAsia" w:ascii="宋体" w:hAnsi="宋体" w:eastAsia="宋体" w:cs="宋体"/>
          <w:color w:val="000000"/>
          <w:sz w:val="24"/>
          <w:szCs w:val="24"/>
        </w:rPr>
      </w:pPr>
      <w:r>
        <w:rPr>
          <w:rFonts w:hint="eastAsia" w:ascii="宋体" w:hAnsi="宋体" w:eastAsia="宋体" w:cs="宋体"/>
          <w:bCs/>
          <w:color w:val="000000"/>
          <w:sz w:val="44"/>
          <w:szCs w:val="21"/>
        </w:rPr>
        <w:t xml:space="preserve">第四章采购需求</w:t>
      </w:r>
      <w:r/>
    </w:p>
    <w:p>
      <w:pPr>
        <w:spacing w:before="120" w:after="120" w:line="5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项目属性:货物。 采购标的对应的中小企业划分标准所属行业为</w:t>
      </w:r>
      <w:r>
        <w:rPr>
          <w:rFonts w:hint="eastAsia" w:ascii="宋体" w:hAnsi="宋体" w:eastAsia="宋体" w:cs="宋体"/>
          <w:b/>
          <w:bCs/>
          <w:color w:val="000000"/>
          <w:sz w:val="24"/>
          <w:szCs w:val="24"/>
          <w:highlight w:val="none"/>
        </w:rPr>
        <w:t xml:space="preserve">工业</w:t>
      </w:r>
      <w:r>
        <w:rPr>
          <w:rFonts w:hint="eastAsia" w:ascii="宋体" w:hAnsi="宋体" w:eastAsia="宋体" w:cs="宋体"/>
          <w:b/>
          <w:bCs/>
          <w:color w:val="000000"/>
          <w:sz w:val="24"/>
          <w:szCs w:val="24"/>
        </w:rPr>
        <w:t xml:space="preserve">。</w:t>
      </w:r>
      <w:r/>
    </w:p>
    <w:p>
      <w:pPr>
        <w:spacing w:before="120" w:after="120" w:line="500" w:lineRule="exact"/>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rPr>
        <w:t xml:space="preserve">核心产品： </w:t>
      </w:r>
      <w:r>
        <w:rPr>
          <w:rFonts w:hint="eastAsia" w:ascii="宋体" w:hAnsi="宋体" w:eastAsia="宋体" w:cs="宋体"/>
          <w:b/>
          <w:bCs/>
          <w:color w:val="000000"/>
          <w:sz w:val="28"/>
          <w:szCs w:val="28"/>
        </w:rPr>
        <w:t xml:space="preserve">智慧课堂</w:t>
      </w:r>
      <w:r/>
    </w:p>
    <w:p>
      <w:pPr>
        <w:ind w:firstLine="480"/>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本招标文件中标注★的技术参数要求为实质性响应要求和条件，投标人须逐条明确作出满足实质性要求和条件的响应并按要求提供相关证明，否则将按无效投标处理。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为落实政府采购中实施本国产品标准及相关政策。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1.本项目对采购本国产品给予政策支持。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5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sz w:val="32"/>
          <w:szCs w:val="32"/>
        </w:rPr>
        <w:t xml:space="preserve">（1）采购清单及技术参数要求</w:t>
      </w:r>
      <w:r/>
    </w:p>
    <w:tbl>
      <w:tblPr>
        <w:tblStyle w:val="854"/>
        <w:tblpPr w:horzAnchor="text" w:tblpXSpec="left" w:vertAnchor="text" w:tblpY="1" w:leftFromText="180" w:topFromText="0" w:rightFromText="180" w:bottomFromText="0"/>
        <w:tblW w:w="53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97"/>
        <w:gridCol w:w="1104"/>
        <w:gridCol w:w="5625"/>
        <w:gridCol w:w="697"/>
        <w:gridCol w:w="727"/>
      </w:tblGrid>
      <w:tr>
        <w:trPr>
          <w:tblHeade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bookmarkStart w:id="8" w:name="_Hlk235696880"/>
            <w:r>
              <w:rPr>
                <w:rFonts w:hint="eastAsia" w:ascii="宋体" w:hAnsi="宋体" w:eastAsia="宋体" w:cs="宋体"/>
                <w:color w:val="000000" w:themeColor="text1"/>
                <w:szCs w:val="21"/>
                <w14:textFill>
                  <w14:solidFill>
                    <w14:schemeClr w14:val="tx1"/>
                  </w14:solidFill>
                </w14:textFill>
              </w:rPr>
              <w:t xml:space="preserve">序号</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货物</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名称</w:t>
            </w:r>
            <w:r/>
          </w:p>
        </w:tc>
        <w:tc>
          <w:tcPr>
            <w:tcMar>
              <w:left w:w="120" w:type="dxa"/>
              <w:top w:w="120" w:type="dxa"/>
              <w:right w:w="120" w:type="dxa"/>
              <w:bottom w:w="120" w:type="dxa"/>
            </w:tcMar>
            <w:tcW w:w="3178"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技术参数要求</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数量</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单位</w:t>
            </w:r>
            <w:r/>
          </w:p>
        </w:tc>
      </w:tr>
      <w:tr>
        <w:trPr/>
        <w:tc>
          <w:tcPr>
            <w:gridSpan w:val="5"/>
            <w:tcMar>
              <w:left w:w="120" w:type="dxa"/>
              <w:top w:w="120" w:type="dxa"/>
              <w:right w:w="120" w:type="dxa"/>
              <w:bottom w:w="120" w:type="dxa"/>
            </w:tcMar>
            <w:tcW w:w="5000"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一、人工智能资源平台</w:t>
            </w:r>
            <w:r/>
          </w:p>
        </w:tc>
      </w:tr>
      <w:t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人工智能资源平台软件</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1.整体为一体化原生全学段平台，包含数字读本、AI课程、训练中心、AI实验室、学科工具、编程环境、教学管理等功能模块，不接受多套第三方软件拼接集成。</w:t>
            </w:r>
            <w:bookmarkStart w:id="9" w:name="OLE_LINK5"/>
            <w:r>
              <w:rPr>
                <w:rFonts w:hint="eastAsia" w:ascii="宋体" w:hAnsi="宋体" w:eastAsia="宋体" w:cs="宋体"/>
                <w:color w:val="000000" w:themeColor="text1"/>
                <w:szCs w:val="21"/>
                <w14:textFill>
                  <w14:solidFill>
                    <w14:schemeClr w14:val="tx1"/>
                  </w14:solidFill>
                </w14:textFill>
              </w:rPr>
              <w:t xml:space="preserve">(提供产品功能截图和承诺证明，并加盖投标人公章</w:t>
            </w:r>
            <w:bookmarkEnd w:id="9"/>
            <w:r>
              <w:rPr>
                <w:rFonts w:hint="eastAsia" w:ascii="宋体" w:hAnsi="宋体" w:eastAsia="宋体" w:cs="宋体"/>
                <w:color w:val="000000" w:themeColor="text1"/>
                <w:szCs w:val="21"/>
                <w14:textFill>
                  <w14:solidFill>
                    <w14:schemeClr w14:val="tx1"/>
                  </w14:solidFill>
                </w14:textFill>
              </w:rPr>
              <w:t xml:space="preserve">)</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与《中小学人工智能通识教育指南(2025)》契合，覆盖小学一年级至高中一年级全学段系统化数字资源，提供梯度衔接的人工智能数字课程体系，知识框架包括以下模块：基础认知、应用场景、数据与感知、知识与推理、机器学习、人机交互、伦理安全、社会影响。累计标准化课时≥300节(提供产品功能截图或承诺证明，并加盖投标人公章)</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3.全模块B/S云端架构，浏览器直接访问，无需本地安装软件、虚拟机、开发环境；支持国产信创系统，支持IPv6/IPv4双栈访问，终端浏览器零安装即可使用。</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4.内置全套配套教学资源：分学段教学设计、教学课件、实验数据集、程序源代码、实验指导文档，可一键下载直接使用，无二次付费内容。</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5.云端承载模型训练、仿真实验、生成式AI运算无卡顿。</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数字读本模块：覆盖小学低年级、小学高年级、初中、高中全学段，构建多层次跨学科梯度课程体系；知识框架涵盖AI基础概念、核心技术、数据算法、人机交互、伦理道德、社会影响；融入高清图片、教学动画、微课短视频，支持倍速、全屏播放；内置虚拟实验、互动问答、随堂分层测试，答题即时判分并生成错题记录；支持学生自主控制学习进度，记录学习轨迹。</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AI课程模块：覆盖小学一年级至高中一年级，课程梯度衔接、纵向贯通；严格对标纲要八大模块，每节课明确学段、课时、教学目标与重难点；融合图文、动画、视频、H5交互、虚拟仿真多模态形态，实现立体化学习体验；同步配套教学设计、课件、数据集、源代码等助教资源。</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8.训练中心模块：提供可视化的、操作简便的AI模型训练环境，让学生有机会亲手搭建和训练模型，深入理解Al的工作原理。通过简化复杂的技术细节，</w:t>
            </w:r>
            <w:r>
              <w:rPr>
                <w:rFonts w:hint="eastAsia" w:ascii="宋体" w:hAnsi="宋体" w:eastAsia="宋体" w:cs="宋体"/>
                <w:color w:val="000000" w:themeColor="text1"/>
                <w:szCs w:val="21"/>
                <w14:textFill>
                  <w14:solidFill>
                    <w14:schemeClr w14:val="tx1"/>
                  </w14:solidFill>
                </w14:textFill>
              </w:rPr>
              <w:t xml:space="preserve">使中小学阶段学生体验AI模型的创建与调优过程。</w:t>
            </w:r>
            <w:r/>
          </w:p>
          <w:p>
            <w:pP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需要支持完整训练流程，包括任务与模型选择(如猫狗识别等预设模型)、数据集加载、训练参数配置、一键启动训练、结果分析与评估；</w:t>
            </w:r>
            <w:r/>
          </w:p>
          <w:p>
            <w:pPr>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需要提供涵盖图像分类、文本分类等常见监督学习模型的经典体验功能；需允许学生调整部分超参数，观察对模型性能的影响，支持模型调优初探。</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AI实验室模块：内置≥40款在线实验工具，全面覆盖计算机视觉、自然语言处理、机器学习、人工神经网络、生成式AI、伦理安全六大方向；支持图片、音频数据上传，实时展示准确率、损失值等性能指标，支持摄像头实时识别验证；内嵌智能大模型，支撑校园故事创作、数学研究等场景，可通过结构化提示词生成动态可视化网页；内置强化学习专用模块，支持自主设计迷宫地图、调节奖励数值，通过2D/3D演示直观观察智能体试错-反馈-优化过程。(提供产品功能截图或说明书并加盖投标人公章)</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学科工具模块：提供生成式AI工具(AI写诗、AI生图、AI生成网页、图像修复)、视觉识别工具(图像内容识别、视频目标追踪、人脸对比、表情识别、AI猜拳)、语音类工具(语音导航、文声互转、语音推箱子)、综合工具(AI五子棋、知识图谱生成、数据可视化)等工具≥20款。</w:t>
            </w:r>
            <w:r/>
          </w:p>
          <w:p>
            <w:pPr>
              <w:spacing w:line="2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11.编程环境模块：需提供双编程体系，①图形化编程工具；②提供自主知识产权的轻量化Python编程环境，支持代码分段执行、实时反馈，适配多种设备流畅运行。</w:t>
            </w:r>
            <w:r/>
          </w:p>
          <w:p>
            <w:pPr>
              <w:spacing w:line="2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12.教学管理与评价模块：支持班级管理、批量导入学生账号、设置分组标签；支持教师创建作业/活动任务并下发，在线批阅反馈，支持优秀作品展示分享；提供多维度数据分析报表，生成可视化报告。</w:t>
            </w:r>
            <w:r/>
          </w:p>
          <w:p>
            <w:pPr>
              <w:spacing w:line="2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▲12.并发性能：单校支持最大4000名用户注册，单班级60人同时开展模型训练、仿真实验无卡顿，系统年可用率≥99.9%。(提供产品功能截图或承诺证明，加盖投标人公章)</w:t>
            </w:r>
            <w:r/>
          </w:p>
          <w:p>
            <w:pPr>
              <w:spacing w:line="2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★13.服务保障：资源平台提供3年免费版本迭代与资源更新，配备专属技术对接人。(提供承诺证明，格式自拟，加盖投标人公章)</w:t>
            </w:r>
            <w:r/>
          </w:p>
        </w:tc>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r>
        <w:trPr/>
        <w:tc>
          <w:tcPr>
            <w:gridSpan w:val="5"/>
            <w:tcMar>
              <w:left w:w="120" w:type="dxa"/>
              <w:top w:w="120" w:type="dxa"/>
              <w:right w:w="120" w:type="dxa"/>
              <w:bottom w:w="120" w:type="dxa"/>
            </w:tcMar>
            <w:tcW w:w="5000"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二、信息科技与人工智能实验套装</w:t>
            </w:r>
            <w:r/>
          </w:p>
        </w:tc>
      </w:tr>
      <w:tr>
        <w:trPr>
          <w:trHeight w:val="547"/>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小学信息科技实验套装</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▲实验套装匹配小学信息科技教学分组实践教学场景(提供不少于10个分组实验案例（视频或图片），格式自拟，加盖投标人公章)</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一、主控板</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1.尺寸≥80mmx120mm，板载刷卡识别、语音合成、温湿度传感器、光照传感器、电位器、按钮、马达、全彩灯珠、舵机、蜂鸣器，配套可充电电池。</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▲2.操作系统：支持国产开源操作系统(提供产品功能截图或承诺函（格式自拟），并加盖投标人公章)</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3.主处理器：主频≥240MHz；FLASH存储≥4M。</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4.供电：Type-C接口+可充电电池双模式；电池容量≥9000mWh。</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5.支持Wi-Fi6(IEEE802.11b/g/n/ax)；板载低功耗蓝牙BLE，兼容4.0～5.2标准。</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▲6.支持图形化及Python编程；图形化软件支持浏览器打开、串口输出、功能扩展。(提供产品功能截图或承诺函（格式自拟），并加盖投标人公章)</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7.板载屏幕≥2.4英寸，分辨率240x320。</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8.支持外接</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9.舵机:0～180°旋转，角度误差±10°，扭矩1.5kg.cm。</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10.温湿度传感器：电容+温敏电阻采集；温度0～60℃；湿度10～90%RH。</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11.电机：空载转速2000rpm±10%，支持正反转，额定功率0.05W，配软质扇叶。</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12.RFID模块：读取距离0～1cm，速率≥424kbps；配1张13.56MHzRFID卡，识别距离0～5cm。</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二、标配扩展模块</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1.电子秤模块:采集器或采集原理：电阻应变片；工作电压：3.3-5V；量程：0-5KG；测量精度：≤5g；工作温度：-10-50℃；</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2.太阳能追踪模块：工作电压：3.3-5V；自由度：2；舵机：旋转角度：0-180度;光照：支持4个光照传感器。</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3.微型水泵套件：工作电压：5V；扬程≥60cm；</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4.手电筒模块：工作电压：1.5V、1节5号电池、航空铝合金、LED灯</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5.土壤湿度传感器：工作电压：3.3-5.5V；采集器：电阻式或电容式；量程：0%-99%RH；测量精度：1%RH；模拟信号；</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56</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中学信息科技实验套装</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▲实验套装匹配中学信息科技教学分组实践教学场景(提供不少于10个分组实验案例（视频或图片），格式自拟，加盖投标人公章)</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一、主控板</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▲1.操作系统：支持国产开源操作系统(提供产品功能截图或承诺函（格式自拟），并加盖投标人公章)</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2.主处理器：主频≥240MHz；FLASH≥4M。</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3.供电：Type-C接口+外接电池模块双模式。</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4.支持Wi-Fi6+BLE蓝牙，兼容4.0～5.2标准。</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▲5.板载光照、加速度、声音传感器，支持图形化及Python编程。(提供产品功能截图或承诺函（格式自拟），并加盖投标人公章)</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二、配套传感器与执行器，参数符合中学信息科技课程标准。</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1.支持图形化及Python编程；串口：图形化编程软件支持串口输出；Web运行：图形化编程软件支持浏览器打开；功能扩展：图形化编程软件支持以扩展的形式增加功能；</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2.RFID读卡器：读写距离：1(±0.5)CM；数据传输速率：424kbps；通讯类型：IIC；工作电压：不高于5V；工作频率13.56MHz；</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3.超声波传感器：最大检测距离：200厘米；工作电压：不高于5V；测量周期：50ms；工作温度：-10℃-80℃；</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4.温湿度传感器：采集器：电容、温敏电阻；量程：温度0-60℃；湿度20-80%RH；测量精度：温度±2℃；湿度±5%RH；控制信号：数字信号；工作电压：不高于5V；</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5.风扇模块：空载转速：2000转/分；转速误差：±10%；控制信号：支持通过数字信号开关/模拟信号调速；工作电压：不高于5V；额定功率：0.05W～0.4W；配件：叶软质材料小扇；</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6.PH值检测模块：测量范围：PH0-14；测量精度：≤0.1PH(25℃时)；工作温度：0-60℃；接口：排针接口；工作电压：不高于5V；配件：含校准5次的校准液；</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7.水温检测模块：测量范围：-10至85℃；测量精度：温度±0.5℃；控制信号：数字信号；工作电压：不高于5V；</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8.二氧化碳检测模块：测量范围：-10至85℃；测量精度：温度±0.5℃；控制信号：数字信号；工作电压：不高于5V；</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9.土壤湿度传感器：采集器：电阻式或电容式；量程：0%-99%RH；测量精度：1%RH；控制信号：模拟信号；工作电压：不高于5V；</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10.TDS水浊度传感器：测量范围：0-1000PPM；测量精度：±10%；工作电压：不高于5V；</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11.舵机：旋转角度：0-180度；角度误差：±10度；工作扭矩：1.5kg.cm；控制信号：PWM；工作电压：不高于5V；配件：舵盘和支架；"</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56</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中小学人工智能实验套装</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实验套装要具备以下功能：具备智能自适应扩音、AI人脸识别+超声波联动报警、语音播报测距、双智能体无线协同、视觉自主避障、多模态语音交互+扫码、环境数据采集+AI模型训练、</w:t>
            </w:r>
            <w:r>
              <w:rPr>
                <w:rFonts w:hint="eastAsia" w:ascii="宋体" w:hAnsi="宋体" w:eastAsia="宋体" w:cs="宋体"/>
                <w:color w:val="000000" w:themeColor="text1"/>
                <w:szCs w:val="21"/>
                <w:lang w:bidi="ar"/>
                <w14:textFill>
                  <w14:solidFill>
                    <w14:schemeClr w14:val="tx1"/>
                  </w14:solidFill>
                </w14:textFill>
              </w:rPr>
              <w:t xml:space="preserve">智慧教室节能控制、多维数据特征工程等实验能力；支持图形化编程一键转Python代码，支持物联网远程控制。</w:t>
            </w:r>
            <w:r>
              <w:rPr>
                <w:rFonts w:hint="eastAsia" w:ascii="宋体" w:hAnsi="宋体" w:eastAsia="宋体" w:cs="宋体"/>
                <w:color w:val="000000" w:themeColor="text1"/>
                <w:szCs w:val="21"/>
                <w14:textFill>
                  <w14:solidFill>
                    <w14:schemeClr w14:val="tx1"/>
                  </w14:solidFill>
                </w14:textFill>
              </w:rPr>
              <w:t xml:space="preserve">(提供不少于10个分组实验案例（视频或图片），格式自拟，加盖投标人公章)</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▲1.主控板：处理器≥四核，主频≥1.4GHz，内存≥1GB，支持Linux系统与Python编程；(提供CMA认证的检测机构出具的检测报告彩色原件扫描件)</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2.扩展板：双核32位LX6处理器，主频240MHz；支持Wi-Fi+蓝牙；34路可编程GPIO、多路ADC/DAC、串口总线接口齐全，最多支持34个可编程GPIO引脚、2个12位逐次逼近型ADC、2个8位DAC通道、3xUART、3xSPI、2xI2C、2xI2S。工作电压:3.0V～3.6V，工作温度:-40°C～+85°C</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3.超声波传感器：工作电压3.3V～5V、探测距离2cm～400cm、测量精度±3mm</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4.5路巡线传感器：工作电压3.3V～5V、探测距离1mm～15mm、输出5路独立数字量或模拟量</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5.人体感应器：工作电压4.5V～20V、探测距离3米～7米(灵敏度可调)、输出数字信号声音、环境亮度、土壤湿度传感器：(工作电压3.3V～5V、双路输出模拟量+数字量)</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6.舵机：工作电压：4.8V～6.0V、旋转角度：180°、堵转扭矩：15kg</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7.减速电机：空载转速：2000转/分；转速误差：±10%；转动方向：支持正反转；额定功率：0.05W；配件：软质材料扇叶</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8.风扇/水泵：工作电压：5V；类型：直流无刷电机驱动扇叶</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▲9.语音识别模块：板载高灵敏度MEMS麦克风，利用云端语音识别大模型，配合本地语音处理芯片，完成语音信号的拾取、降噪与特征提取。板载复位按键，可外接按键、电位器、RFID等。</w:t>
            </w:r>
            <w:r>
              <w:rPr>
                <w:rFonts w:hint="eastAsia" w:ascii="宋体" w:hAnsi="宋体" w:eastAsia="宋体" w:cs="宋体"/>
                <w:color w:val="000000" w:themeColor="text1"/>
                <w:szCs w:val="21"/>
                <w14:textFill>
                  <w14:solidFill>
                    <w14:schemeClr w14:val="tx1"/>
                  </w14:solidFill>
                </w14:textFill>
              </w:rPr>
              <w:t xml:space="preserve">(提供产品功能截图或承诺函（格式自拟），并加盖投标人公章)</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10.灯光模块：</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类型：高亮度单色/白色LED灯珠；工作电压：3.3V～5V；控制方式：支持GPIO数字开关控制及PWM亮度线性调节</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11.外接HDMI显示屏(本地可视化交互终端)：</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通过板载HDMI接口连接外部显示器，用于实时输出操作系统桌面、摄像头实时画面、文本控制台以及交互控件(按钮、滑块等)。学生可直观观察数据变化趋势，并通过键盘/鼠标与程序进行远程交互，便于课堂演示、调试及综合实验开展。</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12.支持图形化和代码程序设计、存取、同屏显示；兼容多个物联网模块，并支持语音识别、图像识别等AI功能编程；</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13.支持硬件和语法扩展，自定义图形化指令，兼容多种硬件设备和操作系统；</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14.支持在线保存和分享程序，并支持第三方插件扩展功能，提供云端资源。</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15支持AI功能编程(图像识别)，可扩展硬件和自定义指令。</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16电池套件</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供电：7.4v，提供21700锂电池≥5000mAh，连接线：含外置模组连接</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17.模块数量不少于：主控板x1、拓展板x1、摄像头x1、HDMI显示屏x1、减速电机x2、舵机x3、5路巡迹x1、超声波x1、声音传感器x1、语音识别模块x1、风扇模块x1、灯光模块x1、TTS语音合成模块、土壤湿度传感器、无源蜂鸣器、水泵、环境亮度传感器、RGB-LED环形灯、人体感应器、OLED显示屏模块、地图。</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需提供可以组装成小车的结构件：小车底盘、轮胎x2、万向轮x1、电池盒、螺丝刀、五金包等，PC/PP/ABS材质收纳盒1个。</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112</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bookmarkEnd w:id="7"/>
            <w:r/>
            <w:r/>
          </w:p>
        </w:tc>
      </w:tr>
      <w:tr>
        <w:trPr/>
        <w:tc>
          <w:tcPr>
            <w:gridSpan w:val="5"/>
            <w:tcMar>
              <w:left w:w="120" w:type="dxa"/>
              <w:top w:w="120" w:type="dxa"/>
              <w:right w:w="120" w:type="dxa"/>
              <w:bottom w:w="120" w:type="dxa"/>
            </w:tcMar>
            <w:tcW w:w="5000"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三、智慧黑板</w:t>
            </w:r>
            <w:r/>
          </w:p>
        </w:tc>
      </w:tr>
      <w:t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86英寸电容智慧黑板</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一、整机设计：</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1.整机采用全金属外壳，三拼接平面一体化设计，外观尺寸：宽≥4200mm，高</w:t>
            </w:r>
            <w:bookmarkStart w:id="10" w:name="OLE_LINK4"/>
            <w:r>
              <w:rPr>
                <w:rFonts w:hint="eastAsia" w:ascii="宋体" w:hAnsi="宋体" w:eastAsia="宋体" w:cs="宋体"/>
                <w:color w:val="000000" w:themeColor="text1"/>
                <w:szCs w:val="21"/>
                <w14:textFill>
                  <w14:solidFill>
                    <w14:schemeClr w14:val="tx1"/>
                  </w14:solidFill>
                </w14:textFill>
              </w:rPr>
              <w:t xml:space="preserve">≥</w:t>
            </w:r>
            <w:bookmarkEnd w:id="10"/>
            <w:r>
              <w:rPr>
                <w:rFonts w:hint="eastAsia" w:ascii="宋体" w:hAnsi="宋体" w:eastAsia="宋体" w:cs="宋体"/>
                <w:color w:val="000000" w:themeColor="text1"/>
                <w:szCs w:val="21"/>
                <w14:textFill>
                  <w14:solidFill>
                    <w14:schemeClr w14:val="tx1"/>
                  </w14:solidFill>
                </w14:textFill>
              </w:rPr>
              <w:t xml:space="preserve">1200mm，厚≤110mm；屏幕边缘采用金属圆角包边防护，整机背板采用金属材质，有效屏蔽内部电路器件辐射；防潮耐盐雾蚀锈，适应多种教学环境。</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整机屏幕尺寸不低于86英寸，屏幕采用超高清LED液晶显示屏，显示比例16:9，分辨率3840×2160；屏幕表面采用全物理钢化玻璃，支持防眩光功能，玻璃表面硬度≥9H。（提供相关证明材料或承诺，并加投标人公章）</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3.嵌入式系统内存≥4GB，存储空间≥32GB。</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▲4.屏幕采用全贴合技术，电容触控方式，支持50点或以上触控。（提供CMA认证的检测机构出具的检测报告彩色原件扫描件）</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5、整机内置2.2声道扬声器，10W高音扬声器2个，20W中低音扬声器2个，额定总功率60W；</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▲6.整机内置非独立外扩展的8阵列麦克风，拾音角度≥180°，可用于对教室环境音频进行采集，拾音距离≥12m。（提供CMA认证的检测机构出具的检测报告彩色原件扫描件）</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▲整机支持双路可插拔模块，一个槽位支持OPS模块插拔，另一个槽位支持AI模块插拔。（提供CMA认证的检测机构出具的检测报告彩色原件扫描件）</w:t>
            </w:r>
            <w:r/>
          </w:p>
          <w:p>
            <w:pP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▲8.整机内置独立音频CPU处理器，支持麦克风3A算法（自动增益控制（AGC）、自动抑制噪声（ANC）、自动回声消除（AEC）），提升麦克风拾音效果。（提供CMA认证的检测机构出具的检测报告彩色原件扫描件）</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整机支持发出超声波信号，智能手机通过麦克风接收后，智能手机与整机无需在同一局域网内，可实现配对，一键投屏功能，用户无需再手动输入投屏码或扫码获取投屏码。（提供CMA认证的检测机构出具的检测报告彩色原件扫描件）</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10.整机支持蓝牙Bluetooth 5.4标准，固件版本号HCI13.0/LMP13.0；Wi-Fi制式支持IEEE 802.11 a/b/g/n/ac/ax；内置双WiFi6无线网卡，Wi-Fi及AP热点支持频段2.4GHz/5GHz。</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整机上边框内置非独立式3个智能拼接摄像头，视场角≥141度且水平视场角≥139度，可拍摄≥1600万像素的照片，支持输出8192×2048分辨率的照片和视频，支持画面畸变矫正功能。（提供CMA认证的检测机构出具的检测报告彩色原件扫描件）</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12.整机摄像头支持人脸识别、清点人数、随机抽人；识别所有学生，显示标记，随机抽选，同时显示标记不少于60人，支持距离摄像头位置≥10米距离的AI识别人脸。</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13.整机支持提笔书写，在Windows系统下可实现无需点击任意功能入口，当检测到触控笔笔尖接触屏幕时，自动进入书写模式。</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整机触摸支持动态压力感应，支持无任何电子功能的普通书写笔在整机上书写或点压时，整机能感应压力变化，书写或点压过程笔迹呈现不同粗细；支持手笔分离，通过提笔即写唤醒批注功能后，可进行手笔分离功能，使用笔正常书写，使用手指可以操作应用，进行点击操作。</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15.整机支持上边框内置非独立摄像头模组，同时输出至少 3 路视频流，同时支持课堂远程巡课、课堂教学数据采集、本地画面预览（拍照或视频录制）。</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16.整机支持文件传输应用，支持通过扫码、wifi直联、超声三种方式与手机进行连接，实现文件传输功能；接收的文件支持单份删除；支持手动全部清空，为防止误清空，全部清空需要经过二次确认。</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17.整机设备教学桌面的教师登录账号后，可自动获取并在桌面显示最近使用的教学课件，点击课件可直接进入授课模式；并支持查看所有个人教学课件资源。</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18.为了便于统一管理，提供集控对接至教育局原有县级平台。</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二.插拔式电脑模块：</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1.PC模块可抽拉式插入整机，可实现无单独接线的插拔，采用按压式卡扣，无需工具就可快速拆卸电脑模块。</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2.PC模块和整机的连接采用万兆级接口，传输速率≥10Gbps。</w:t>
            </w:r>
            <w:r/>
          </w:p>
          <w:p>
            <w:pPr>
              <w:spacing w:line="240" w:lineRule="exact"/>
              <w:rPr>
                <w:rFonts w:hint="eastAsia" w:ascii="宋体" w:hAnsi="宋体" w:eastAsia="宋体" w:cs="宋体"/>
                <w:color w:val="000000" w:themeColor="text1"/>
                <w:szCs w:val="21"/>
                <w:lang w:bidi="ar"/>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3.电脑模块CPU要求：主频≥2.0GHz，8核心十二线程；配置要求：不低于 DDR4 8GB内存，256GB SSD硬盘；接口要求：≥1路HDMI，≥3路USB。</w:t>
            </w:r>
            <w:r/>
          </w:p>
        </w:tc>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r>
        <w:trPr/>
        <w:tc>
          <w:tcPr>
            <w:tcBorders>
              <w:top w:val="none" w:color="000000" w:sz="4" w:space="0"/>
            </w:tcBorders>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Borders>
              <w:top w:val="none" w:color="000000" w:sz="4" w:space="0"/>
            </w:tcBorders>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备授课软件</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1.支持分组管理云课件，用户可自定义分组名称，并根据需要将课件分类管理。</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2.支持点对点分享云课件，用户可在软件中直接将课件发送给其它用户，同时也可以在软件中直接接收并打开其它用户分享的课件。</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3.支持多人在选择书写工具的状态下同时书写和擦除，互不影响，方便不同学生在屏幕上同时书写。</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4.支持创建互动分类游戏，系统需提供不少于10种游戏模板，直接选择并输入相应内容即可轻松生成互动分类游戏，提升课堂趣味性。</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提供思维导图、鱼骨图及组织结构图编辑功能，可轻松增删或拖拽编辑内容节点，并支持在节点上插入图片、音频、视频、网页链接、课件页面链接。支持思维导图逐级、逐个节点展开，并可任意缩放，满足不同演示需求。</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6.支持任意对象自定义路径动画设置，可绘制任意的移动轨迹并让对象沿着轨迹路径进行移动，可单独设置该动画通过翻页或单击对象本身进行触发。</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p>
        </w:tc>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视频展台</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1.摄像头像素≥800万。</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2.摄像头支持自动对焦，A4大小拍摄幅面，1080P动态视频预览达到30帧/秒。</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3.整机采用圆弧式设计，无锐角；托板可承重≥3kg，同时托板采用磁吸吸附式机构。</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4.展示托板正上方具备LED补光灯补光灯开关采用触摸按键设计，同时可通过视频展台软件直接控制开关；</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5.摄像头部分进行外壳防护等级试验，防护等级达到IP4X级别。</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6.支持对展台画面进行实时批注、放大、缩小、旋转、自适应、冻结画面等操作。</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7.具备图像增强功能，可自动裁剪背景并增强文字显示，使文档画面更清晰。</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8.具备图像、文本或动态等多种情景模式，适应不同展示内容。</w:t>
            </w:r>
            <w:r/>
          </w:p>
        </w:tc>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台</w:t>
            </w:r>
            <w:r/>
          </w:p>
        </w:tc>
      </w:tr>
      <w:tr>
        <w:trPr/>
        <w:tc>
          <w:tcPr>
            <w:gridSpan w:val="5"/>
            <w:tcMar>
              <w:left w:w="120" w:type="dxa"/>
              <w:top w:w="120" w:type="dxa"/>
              <w:right w:w="120" w:type="dxa"/>
              <w:bottom w:w="120" w:type="dxa"/>
            </w:tcMar>
            <w:tcW w:w="5000"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四、AI课堂智能反馈系统</w:t>
            </w:r>
            <w:r/>
          </w:p>
        </w:tc>
      </w:tr>
      <w:tr>
        <w:trPr>
          <w:trHeight w:val="2871"/>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AI算力模块</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1.AI算力模块最大外形尺寸≤230*220*30(mm)，采用双矩形把手设计，两个把手位置分别支持按压式卡锁装置，按压解锁，释放自动卡锁，支持双翼锁紧装置。</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2.AI算力模块前置面板支持2路PoEout接口；支持插入MicroSD卡接口，用于系统升级；支持独立复位按键；具有3.5mm圆孔接口，支持调试功能；具有2路LED状态指示灯。</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▲3.AI算力模块采用8核A53内核芯片，主频≥2.3GHz （提供CMA认证的检测机构出具的检测报告彩色原件扫描件）</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▲4.系统支持linux系统，内存≥16GB，256GB存储。（提供CMA认证的检测机构出具的检测报告彩色原件扫描件）</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5.AI算力模块后置面板支持40针接口。</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6.AI算力模块支持额外扩展512GB/1TBSSD存储。</w:t>
            </w:r>
            <w:r/>
          </w:p>
        </w:tc>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台</w:t>
            </w:r>
            <w:r/>
          </w:p>
        </w:tc>
      </w:tr>
      <w:t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4K教师观察摄像机</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1.一体化设计，内置4K摄像头+麦克风。</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2.水平视场角≥40°，对角线≥45°，有效像素≥800万。</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rPr>
                <w:rFonts w:hint="eastAsia" w:ascii="宋体" w:hAnsi="宋体" w:eastAsia="宋体" w:cs="宋体"/>
                <w:color w:val="000000" w:themeColor="text1"/>
                <w14:textFill>
                  <w14:solidFill>
                    <w14:schemeClr w14:val="tx1"/>
                  </w14:solidFill>
                </w14:textFill>
              </w:rPr>
              <w:t xml:space="preserve">支持</w:t>
            </w:r>
            <w:r>
              <w:rPr>
                <w:rFonts w:hint="eastAsia" w:ascii="宋体" w:hAnsi="宋体" w:eastAsia="宋体" w:cs="宋体"/>
                <w:color w:val="000000" w:themeColor="text1"/>
                <w:szCs w:val="21"/>
                <w:lang w:bidi="ar"/>
                <w14:textFill>
                  <w14:solidFill>
                    <w14:schemeClr w14:val="tx1"/>
                  </w14:solidFill>
                </w14:textFill>
              </w:rPr>
              <w:t xml:space="preserve">3840×2160图像编码输出，同时向下兼容 1920×1080、1280×720 分辨率。</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 w:val="22"/>
                <w:lang w:bidi="ar"/>
                <w14:textFill>
                  <w14:solidFill>
                    <w14:schemeClr w14:val="tx1"/>
                  </w14:solidFill>
                </w14:textFill>
              </w:rPr>
              <w:t xml:space="preserve">提供CMA认证的检测机构出具的检测报告彩色原件扫描件</w:t>
            </w:r>
            <w:r>
              <w:rPr>
                <w:rFonts w:hint="eastAsia" w:ascii="宋体" w:hAnsi="宋体" w:eastAsia="宋体" w:cs="宋体"/>
                <w:color w:val="000000" w:themeColor="text1"/>
                <w14:textFill>
                  <w14:solidFill>
                    <w14:schemeClr w14:val="tx1"/>
                  </w14:solidFill>
                </w14:textFill>
              </w:rPr>
              <w:t xml:space="preserve">）</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4.同时输出3路编码：课堂实录、全景4K、板书专用画面，帧率可调。</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5.四核视频处理器，Linux5.1+系统，内存≥512MB，存储≥128MB。</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6.离线板书透视功能：教师遮挡板书区域透视可见，支持人物隐藏与透明度调节。</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7.H.264编码，码率819Kbps～12288Kbps可调。</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w:t>
            </w:r>
            <w:r>
              <w:rPr>
                <w:rFonts w:hint="eastAsia" w:ascii="宋体" w:hAnsi="宋体" w:eastAsia="宋体" w:cs="宋体"/>
                <w:color w:val="000000" w:themeColor="text1"/>
                <w:szCs w:val="21"/>
                <w:lang w:bidi="ar"/>
                <w14:textFill>
                  <w14:solidFill>
                    <w14:schemeClr w14:val="tx1"/>
                  </w14:solidFill>
                </w14:textFill>
              </w:rPr>
              <w:t xml:space="preserve">内置8阵列麦克风，拾音角度≥180°，麦克风拾音距离≥12m，音频处理采用4核音频处理芯片，配置64MB系统内存，256MB存储空间</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 w:val="22"/>
                <w:lang w:bidi="ar"/>
                <w14:textFill>
                  <w14:solidFill>
                    <w14:schemeClr w14:val="tx1"/>
                  </w14:solidFill>
                </w14:textFill>
              </w:rPr>
              <w:t xml:space="preserve">提供CMA认证的检测机构出具的检测报告彩色原件扫描件</w:t>
            </w:r>
            <w:r>
              <w:rPr>
                <w:rFonts w:hint="eastAsia" w:ascii="宋体" w:hAnsi="宋体" w:eastAsia="宋体" w:cs="宋体"/>
                <w:color w:val="000000" w:themeColor="text1"/>
                <w14:textFill>
                  <w14:solidFill>
                    <w14:schemeClr w14:val="tx1"/>
                  </w14:solidFill>
                </w14:textFill>
              </w:rPr>
              <w:t xml:space="preserve">）</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9.2路RJ45级联接口，支持PoE级联供电；双供电方式（PoE+DC12V）。</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w:t>
            </w:r>
            <w:r>
              <w:rPr>
                <w:rFonts w:hint="eastAsia" w:ascii="宋体" w:hAnsi="宋体" w:eastAsia="宋体" w:cs="宋体"/>
                <w:color w:val="000000" w:themeColor="text1"/>
                <w:szCs w:val="21"/>
                <w:lang w:bidi="ar"/>
                <w14:textFill>
                  <w14:solidFill>
                    <w14:schemeClr w14:val="tx1"/>
                  </w14:solidFill>
                </w14:textFill>
              </w:rPr>
              <w:t xml:space="preserve">支持2种供电方式，PoE和DC12V供电；其中一路为POE IN，另一路为POE OUT，支持给外部POE设备供电；只需要1路网线，即可实现供电及网络信号传输</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 w:val="22"/>
                <w:lang w:bidi="ar"/>
                <w14:textFill>
                  <w14:solidFill>
                    <w14:schemeClr w14:val="tx1"/>
                  </w14:solidFill>
                </w14:textFill>
              </w:rPr>
              <w:t xml:space="preserve">提供CMA认证的检测机构出具的检测报告彩色原件扫描件</w:t>
            </w:r>
            <w:r>
              <w:rPr>
                <w:rFonts w:hint="eastAsia" w:ascii="宋体" w:hAnsi="宋体" w:eastAsia="宋体" w:cs="宋体"/>
                <w:color w:val="000000" w:themeColor="text1"/>
                <w14:textFill>
                  <w14:solidFill>
                    <w14:schemeClr w14:val="tx1"/>
                  </w14:solidFill>
                </w14:textFill>
              </w:rPr>
              <w:t xml:space="preserve">）</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11.支持Web端远程OTA升级。</w:t>
            </w:r>
            <w:r/>
          </w:p>
        </w:tc>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台</w:t>
            </w:r>
            <w:r/>
          </w:p>
        </w:tc>
      </w:tr>
      <w:t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阵列麦克风</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bidi="ar"/>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、产品采用一体化设计，内置6个传感器单元，组成环形阵列。</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2、产品内置阵列麦克风，360°全向拾音，麦克风拾音距离≥4m。</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3、产品音频处理采用4核国产音频处理芯片。</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4、产品接口含2路RJ45级联接口，Down支持RJ45音频输入，Up支持网络级联和信息输出，同时支持PoEin电源；1路USB音频接口；2路3.5mmAUX接口，支持音频输入输出接口；1个红绿双色指示灯，支持显示产品工作状态。</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5、产品整机支持POE供电，其中一路为POEIN，另一路为POEOUT，支持给外部POE设备供电；</w:t>
            </w:r>
            <w:r/>
          </w:p>
        </w:tc>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Mar>
              <w:left w:w="120" w:type="dxa"/>
              <w:top w:w="120" w:type="dxa"/>
              <w:right w:w="120" w:type="dxa"/>
              <w:bottom w:w="120" w:type="dxa"/>
            </w:tcMar>
            <w:tcW w:w="407"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台</w:t>
            </w:r>
            <w:r/>
          </w:p>
        </w:tc>
      </w:tr>
      <w:t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AI课堂智能反馈系统软件</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提供校级管理平台，支持管理者查看校园所有教师课堂分析报告，可按照教师姓名和报告列表分类筛选；支持查看使用人数及报告次数，支持查看学科使用分布及教师报告次数排名。(提供产品功能截图或承诺书（格式自拟），并加盖投标人公章)</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2.校级平台提供课堂教学质量分析数据看板，可按照课堂维度分析提供AI解析及建议；支持同课异构分析功能。</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3．系统支持计算本节课教师和学生的行为变化，以折线图的形式呈现。</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▲4．系统会根据本节课教师提问-学生回答-教师评价的整体逻辑，抽取本节课的高光时刻，形成视频片段，并且伴有AI分析，明确这个片段中教学亮点。(提供CMA认证的检测机构出具的检测报告彩色原件扫描件)</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系统将从课堂艺术、学习体验、合作探究、整体发展、目标达成、评价反馈、思维激发、课堂调控等八个维度，计算出整体的教研指数，并根据课堂中实际获得指数值，与全国均值对比，明确本节课的优劣点，支持AI分析建议。</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自动读取学校的评课表，并且依据评课表的维度进行分析。系统根据评课表的要求，给出评价结论和依据，并且会针对性给出改进的建议。支持老师根据实际情况，切换不同评课表，切换后会自动生成新的分析建议。</w:t>
            </w:r>
            <w:r/>
          </w:p>
          <w:p>
            <w:pPr>
              <w:jc w:val="left"/>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系统支持上传word/pdf格式的教学设计，或读取云教案。上传教学设计后，系统自动识别教学目标、教学重难点和教学环节，并比对授课数据，判断教学目标、教学重难点和教学环节达成情况，并且给出对应的理由和AI改进建议。整体按照思维导图的形式呈现，并且支持自由缩放与拖拽。</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8．系统支持中英文页面切换，当切换成英文界面的时候，系统页面、AI助手，AI分析均以英文模式对话或者显示。</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9．支持通过颜色深浅表示学生参与互动的活跃程度，基于学生上台次数、举手次数、问答次数计算学生活跃程度，颜色越深则代表越活跃。</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▲10．支持点击课堂活跃热力图中的学生头像，查看该学生的师生互动视频片段，统计该学生在本节课的上台互动、举手次数、问答次数。</w:t>
            </w:r>
            <w:r>
              <w:rPr>
                <w:rFonts w:hint="eastAsia" w:ascii="宋体" w:hAnsi="宋体" w:eastAsia="宋体" w:cs="宋体"/>
                <w:color w:val="000000" w:themeColor="text1"/>
                <w14:textFill>
                  <w14:solidFill>
                    <w14:schemeClr w14:val="tx1"/>
                  </w14:solidFill>
                </w14:textFill>
              </w:rPr>
              <w:t xml:space="preserve">（提供CNAS认证的检测机构出具的检测报告彩色原件扫描件，或提供无剪辑完整功能演示视频，演示视频须原始录屏完整展示本条参数功能）</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▲11．支持在地面上显示教师的巡堂轨迹，颜色越深代表停留时间越长；支持教师巡堂轨迹回放。</w:t>
            </w:r>
            <w:r>
              <w:rPr>
                <w:rFonts w:hint="eastAsia" w:ascii="宋体" w:hAnsi="宋体" w:eastAsia="宋体" w:cs="宋体"/>
                <w:color w:val="000000" w:themeColor="text1"/>
                <w14:textFill>
                  <w14:solidFill>
                    <w14:schemeClr w14:val="tx1"/>
                  </w14:solidFill>
                </w14:textFill>
              </w:rPr>
              <w:t xml:space="preserve">（提供CNAS认证的检测机构出具的检测报告彩色原件扫描件，或提供无剪辑完整功能演示视频，演示视频须原始录屏完整展示本条参数功能）</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12．系统自动统计教师讲授、师生问答、学生练习、学生诵读、学生观察、学生记录、学生讨论、学生展示、学生实验、自主学习等不同维度的时间占比</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系统支持对教室环境的3D还原重建，形成桌椅、讲台、一体机的真实环境建模，采集到的师生互动行为自动对应到具体课桌位置；支持5种视角转换。支持行列式教室布局、方形桌小组讨论布局、圆形桌小组讨论布局。</w:t>
            </w:r>
            <w:r>
              <w:rPr>
                <w:rFonts w:hint="eastAsia" w:ascii="宋体" w:hAnsi="宋体" w:eastAsia="宋体" w:cs="宋体"/>
                <w:color w:val="000000" w:themeColor="text1"/>
                <w14:textFill>
                  <w14:solidFill>
                    <w14:schemeClr w14:val="tx1"/>
                  </w14:solidFill>
                </w14:textFill>
              </w:rPr>
              <w:t xml:space="preserve">（提供CNAS认证的检测机构出具的检测报告彩色原件扫描件，或提供无剪辑完整功能演示视频，演示视频须原始录屏完整展示本条参数功能）</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系统根据教学内容，形成用户教学流程分布执行情况，支持以进度样式展示，展示不同课堂行为环节的开展时长和占比，课堂行为包括：交互教学、探究学习、讲解教学、知识总结、作业发布、迁移应用、巩固检测、识记学习、演示教学、体验学习。</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15．系统将课堂中老师和学生的声音转写为文字，按照前后文自动切割为不同的片段；片段支持展开查看详细文字，支持跳转到文字段落对应的视频片段。支持中英混杂识别显示；支持数学、物理公式识别显示。</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支持识别课堂学习内容及学生学习，对课前与课中链接、课中与课后链接进行分级评价。支持对学生完成自主学习、提供学习资源、分析学生学习数据、布置课后学习任务四个维度，形成四级评价标准，并给出对应的改进建议。</w:t>
            </w:r>
            <w:r>
              <w:rPr>
                <w:rFonts w:hint="eastAsia" w:ascii="宋体" w:hAnsi="宋体" w:eastAsia="宋体" w:cs="宋体"/>
                <w:color w:val="000000" w:themeColor="text1"/>
                <w14:textFill>
                  <w14:solidFill>
                    <w14:schemeClr w14:val="tx1"/>
                  </w14:solidFill>
                </w14:textFill>
              </w:rPr>
              <w:t xml:space="preserve">（提供CNAS认证的检测机构出具的检测报告彩色原件扫描件，或提供无剪辑完整功能演示视频，演示视频须原始录屏完整展示本条参数功能）</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系统支持对老师的核心提问进行抽取，结合提问-学生回答-教师评价，按照加权计算方式，给出每组提问的有效性评分，从而构建成平均有效性。按支持标记每组提问的发生时间与对应有效性评分，并给出对应的分析建议。</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▲18.系统支持自动识别学生回答内容，并且按照前结构、单点结构、多点结构、关联结构、抽象拓展结构的形式进行分析。点击分析结果可以跳转到对应的视频片段。</w:t>
            </w:r>
            <w:r>
              <w:rPr>
                <w:rFonts w:hint="eastAsia" w:ascii="宋体" w:hAnsi="宋体" w:eastAsia="宋体" w:cs="宋体"/>
                <w:color w:val="000000" w:themeColor="text1"/>
                <w14:textFill>
                  <w14:solidFill>
                    <w14:schemeClr w14:val="tx1"/>
                  </w14:solidFill>
                </w14:textFill>
              </w:rPr>
              <w:t xml:space="preserve">（提供CNAS认证的检测机构出具的检测报告彩色原件扫描件，或提供无剪辑完整功能演示视频，演示视频须原始录屏完整展示本条参数功能）</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19.系统支持自动识别老师的核心提问，并且会将提问片段进行抽取，可以看到片段总体的抬头率、回答问题的举手率。点击片段明细，可以按照座位图的方式，查阅具体学生举手和回答的情况。</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20.系统支持自动识别学生回答时长，可分类为5秒以内，5-15秒，15秒以上。点击各个类型会自动打开到相应的课堂实录视频片段窗口，显示对应文字明细，文字明细会按师生角色区分，并自动进行分段分句。</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21.系统支持教师画面、学生画面双窗口显示，小窗口可自由拖动位置和自由切换；视频画面与互动课件一一对应，点击互动课件缩略图，可跳转至对应视频片段。</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22．系统支持将听评课记录关联，通过听课记录快速跳转课堂实录片段，并能抽象出评课摘要，呈现本节课人工评价各维度的评分。</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系统支持以学校为单位，查阅本校设备报告录制情况，直接查阅每份报告，并能查阅部署设备数、累计使用人数、报告生成数、昨日新增数、本校学科使用分布、教室有效报告数排名；支持以教师的形式进行查阅。</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24．支持下载对应的课堂质量分析报告，以docx格式进行保存，内容包含模型构建说明、应用实践数据分析、后续发展规划、测评框架说明等内容。</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▲25．系统支持学校、老师下载报告所录制的视频，支持完整视频或者视频片段两种形式，以mp4格式进行保存。</w:t>
            </w:r>
            <w:r>
              <w:rPr>
                <w:rFonts w:hint="eastAsia" w:ascii="宋体" w:hAnsi="宋体" w:eastAsia="宋体" w:cs="宋体"/>
                <w:color w:val="000000" w:themeColor="text1"/>
                <w14:textFill>
                  <w14:solidFill>
                    <w14:schemeClr w14:val="tx1"/>
                  </w14:solidFill>
                </w14:textFill>
              </w:rPr>
              <w:t xml:space="preserve">（提供CNAS认证的检测机构出具的检测报告彩色原件扫描件，或提供无剪辑完整功能演示视频，演示视频须原始录屏完整展示本条参数功能）</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r>
        <w:trPr/>
        <w:tc>
          <w:tcPr>
            <w:gridSpan w:val="5"/>
            <w:tcMar>
              <w:left w:w="120" w:type="dxa"/>
              <w:top w:w="120" w:type="dxa"/>
              <w:right w:w="120" w:type="dxa"/>
              <w:bottom w:w="120" w:type="dxa"/>
            </w:tcMar>
            <w:tcW w:w="5000"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五、智慧课堂</w:t>
            </w:r>
            <w:r/>
          </w:p>
        </w:tc>
      </w:tr>
      <w:t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学生智慧平板</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1.屏幕≥10.95英寸，分辨率≥1920x1200；八核CPU，主频≥2.0GHz；内存≥6GB，存储≥128GB；电池≥8000mAh。；前后双摄≥800万像素，后置支持文档矫正增强。</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sz w:val="22"/>
                <w:lang w:bidi="ar"/>
                <w14:textFill>
                  <w14:solidFill>
                    <w14:schemeClr w14:val="tx1"/>
                  </w14:solidFill>
                </w14:textFill>
              </w:rPr>
              <w:t xml:space="preserve">提供相关证明材料或承诺（格式自拟），</w:t>
            </w:r>
            <w:r>
              <w:rPr>
                <w:rFonts w:hint="eastAsia" w:ascii="宋体" w:hAnsi="宋体" w:eastAsia="宋体" w:cs="宋体"/>
                <w:color w:val="000000" w:themeColor="text1"/>
                <w:sz w:val="22"/>
                <w:lang w:bidi="ar"/>
                <w14:textFill>
                  <w14:solidFill>
                    <w14:schemeClr w14:val="tx1"/>
                  </w14:solidFill>
                </w14:textFill>
              </w:rPr>
              <w:t xml:space="preserve">并加投标人公章</w:t>
            </w:r>
            <w:r>
              <w:rPr>
                <w:rFonts w:hint="eastAsia" w:ascii="宋体" w:hAnsi="宋体" w:eastAsia="宋体" w:cs="宋体"/>
                <w:color w:val="000000" w:themeColor="text1"/>
                <w14:textFill>
                  <w14:solidFill>
                    <w14:schemeClr w14:val="tx1"/>
                  </w14:solidFill>
                </w14:textFill>
              </w:rPr>
              <w:t xml:space="preserve">）</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2.双扬声器、双麦克风、Type-C接口、耳机支持、MicroSD扩展(最大512GB)。</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3.双频Wi-Fi、蓝牙；定制学习系统，专属桌面防干扰。</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4.防眩光类纸屏，RG0级蓝光；距离感应、感光保护护眼功能。</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5.带皮套100cm防摔，IP43防尘防水；V0级阻燃材料，充电保护。</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80</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台</w:t>
            </w:r>
            <w:r/>
          </w:p>
        </w:tc>
      </w:tr>
      <w:tr>
        <w:trPr>
          <w:trHeight w:val="1946"/>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教师智慧平板</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1.屏幕≥10.95英寸，分辨率≥1920x1200；八核CPU，主频≥2.0GHz；内存≥6GB，存储≥128GB；电池≥8000mAh。；前后双摄≥800万像素，后置支持文档矫正增强。</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2.双扬声器、双麦克风、Type-C接口、耳机支持、MicroSD扩展(最大512GB)。</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3.双频Wi-Fi、蓝牙；定制学习系统，专属桌面防干扰。</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4.防眩光类纸屏，RG0级蓝光；距离感应、感光保护护眼功能。</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5.带皮套100cm防摔，IP43防尘防水；V0级阻燃材料，充电保护。</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台</w:t>
            </w:r>
            <w:r/>
          </w:p>
        </w:tc>
      </w:tr>
      <w:t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安全管控系统</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1、平板终端预置安全桌面替换系统默认桌面，限制用户随意修改系统设置。彻底防住用户通过下载市场通路版本的ROM刷机，将设备刷回非管控版本，或者通过系统的快捷入口进入应用管理随意卸载应用；</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2、通过策略管理对组织架构层级到人的精确授权，管理员可通过网页端操作实现学校、班级直至每个用户的精确授权管理，包含个性化应用、网络、设备功能授权管理；</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3、通过HTTP长连接技术保持学生设备和管控系统服务器连接，实现学校管控策略主动下发，学生设备管控即时生效，无需学生被动触发；</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4、用户/设备管理：设备需要用户认证登录后方可使用，可按学校、班级提供设备及对应使用人信息；</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5、支持学生密码防盗，系统自动检测设备或账号盗用风险，检测到风险登录后进入身份验证模式，学生通过验证后才允许进入系统；</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6、支持密码防刷机制，系统检测到风险时自动锁定设备，防止用户暴力破解密码；支持用户自主查看学生账号登录记录、设备登录记录；</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7、应用授权控制：提供专属应用商店，授权分发用户安装使用的学习应用，可后台静默安装升级；防止非法、恶意应用随意安装和使用，通过USB导入安装包等均无法安装未授权的应用；</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8、提供应用使用时段限制功能，支持按小时段进行应用使用限制，非允许时段内学生禁止使用指定的应用；</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9、支持安卓系统原生应用管控，包含相机、图库、播放器等，通过管理后台远程禁用后，学生无法使用该应用；</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10、第三方应用安全接入，可控使用：学校允许使用的第三方应用无需修改，可直接授权安装使用；并可对应用内的非学习功能进行限制，防止第三方应用后台恶意采集用户数据的行为；</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11、网络访问控制：全面的网络访问控制，用户在平板上仅可访问授权的网页地址和资源。同时可限制学习应用内的广告和链接跳转。对特殊应用可以单独设置开放网络权限；</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12、结合平板终端操作系统底层，对系统硬件功能进行控制，支持远程管理开关设备的摄像头、蓝牙、USB功能；</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13、提供设备远程管理，管理后台支持查看实时在线情况以及实时登录的账号，支持远程查看设备历史登录记录、应用安装记录，支持远程控制设备恢复出厂设置；</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84</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智慧教学系统</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 教师可加入多个班级进行授课，并可在授课过程中无缝切换班级。支持教师查看当前授课班级的小组、学生在线名单及详情，支持在界面中直观显示在线、离线学生名单。</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 教师可将交互式课件资料下发给学生，并支持学生完成点击、拖拽、批注等操作。教师可通过屏幕截图或实时画面了解学生作答情况及课堂笔记。支持分组下发交互式课件，能够针对不同学生组别一键推送课件不同页码的内容。（提供CNAS认证的检测机构出具的检测报告彩色原件扫描件，或提供无剪辑完整功能演示视频，演示视频须原始录屏完整展示本条参数功能）</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 教师可下发游戏化互动题目，包括分类、填空、配对、双人竞赛等类型，学生通过终端作答后，教师端可收集全班学生每一个选项的答题正确率及错误学生名单。</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 听课模式下学生可将作业、试卷等用现场拍照或调用图库方式即时上传教师授课端。教师授课端可选择随机或指定学生照片进行展示，并支持对每张图片进行标注等操作。</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 支持自习模式、听课模式便捷切换；自习模式下，学生可自主查阅资料；听课模式下，教师可管控学生设备，并支持在管控状态下进行互动。</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 支持无走动巡堂，可采集不少于4个学生的屏幕，采集过程学生屏幕自动管控，支持更换、增删学生屏幕的操作，帮助教师快速总览学生学习情况。</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 支持教师发起课堂即时问答，支持预设题目数量、答题时间，并推送相应题干内容至学生端供学生作答，支持单选题、多选题、判断题等多种题型。答题过程中实时统计答题进度、预设正确答案、作答及未作答学生名单。答题结束后以学生或小组形式汇总各题各选项的选择名单及题目正确率。</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 支持课堂选人回答功能，支持学生抢答、教师随机抽选等方式。</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9.支持学生通过终端发表个人观点，可输入不少于6条观点。教师端可自动生成观点文字排布图，并支持筛选词频展示主流观点。支持按照观点相同人数进行排序展示。支持随机抽选单个学生展示其观点。（提供CNAS认证的检测机构出具的检测报告彩色原件扫描件，或提供无剪辑完整功能演示视频，演示视频须原始录屏完整展示本条参数功能）</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10.支持教师调用精品题库进行随堂小测，可预设答题时间，并在小测结束后自动批改客观题；全程提供作答进度、正确率等数据，供教师掌控测验进度及测验重难点。</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11.支持教师调用题库资源自定义生成答题竞赛小游戏。答题结果支持自动批改，即时展现学生答题正确率和答题时间，生成学生积分榜。</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12. 所有答题互动自动生成报告单，教师可通过移动二维码或本地下载等方式获取本节课程内所有答题互动记录。记录包括：互动次数、未参与学生、答题类型、各题各选项的选择名单、各题目正确率、生生互动评分详情等。</w:t>
            </w:r>
            <w:r/>
          </w:p>
          <w:p>
            <w:pPr>
              <w:spacing w:line="240" w:lineRule="exact"/>
              <w:rPr>
                <w:rFonts w:hint="eastAsia" w:ascii="宋体" w:hAnsi="宋体" w:eastAsia="宋体" w:cs="宋体"/>
                <w:color w:val="000000" w:themeColor="text1"/>
                <w14:textFill>
                  <w14:solidFill>
                    <w14:schemeClr w14:val="tx1"/>
                  </w14:solidFill>
                </w14:textFill>
              </w:rPr>
            </w:pPr>
            <w:r/>
            <w:bookmarkStart w:id="11" w:name="OLE_LINK1"/>
            <w:r>
              <w:rPr>
                <w:rFonts w:hint="eastAsia" w:ascii="宋体" w:hAnsi="宋体" w:eastAsia="宋体" w:cs="宋体"/>
                <w:color w:val="000000" w:themeColor="text1"/>
                <w14:textFill>
                  <w14:solidFill>
                    <w14:schemeClr w14:val="tx1"/>
                  </w14:solidFill>
                </w14:textFill>
              </w:rPr>
              <w:t xml:space="preserve">▲</w:t>
            </w:r>
            <w:bookmarkEnd w:id="11"/>
            <w:r>
              <w:rPr>
                <w:rFonts w:hint="eastAsia" w:ascii="宋体" w:hAnsi="宋体" w:eastAsia="宋体" w:cs="宋体"/>
                <w:color w:val="000000" w:themeColor="text1"/>
                <w14:textFill>
                  <w14:solidFill>
                    <w14:schemeClr w14:val="tx1"/>
                  </w14:solidFill>
                </w14:textFill>
              </w:rPr>
              <w:t xml:space="preserve">13. 提</w:t>
            </w:r>
            <w:r>
              <w:rPr>
                <w:rFonts w:hint="eastAsia" w:ascii="宋体" w:hAnsi="宋体" w:eastAsia="宋体" w:cs="宋体"/>
                <w:color w:val="000000" w:themeColor="text1"/>
                <w14:textFill>
                  <w14:solidFill>
                    <w14:schemeClr w14:val="tx1"/>
                  </w14:solidFill>
                </w14:textFill>
              </w:rPr>
              <w:t xml:space="preserve">供小组合作学习功能，教师可通过手动或学生自选的方式进行分组，分组后教师可分别下发一个或多个任务，学生可查看任务相关学习文件资源，小组成员可进行协同编辑。支持小组内不同学生通过不同终端在同一白板操作界面上实时输入笔迹、文本、图片等内容，并可支持学生之间相互协作编辑。支持对文档内容进行复制粘贴，支持学生对教师下发资料进行截图并插入；协作任务结束后教师可查看所有小组的任务结果并给予评价。（提供CNAS认证的检测机构出具的检测报告彩色原件扫描件，或提供无剪辑完整功能演示视频，演示视频须原始录屏完整展示本条参数功能）</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14. 支持根据学生作答结果生成班级知识图谱；可获取知识点上下级及前序知识点关联关系，各知识点的练习量、正确率、掌握度情况；可分辨高频知识点；可查看某一知识点的下级知识点练习量、正确率、掌握度情况。</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15. 支持学生查看个人学习任务，学习任务按照时间轴顺序排列，并且可以按照科目、老师、学习进度及任务类型等维度进行筛选。 </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 支持学生通过学习任务进入学习，包括音视频、互动课件、图片、文档等学习资源的浏览，支持单选、多选、判断、填空题、主观题等习题的作答，作答方式不限于拍照、音频、文本输入。</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17. 学生在拍照作答时，支持照片编辑进行图像处理，提升可阅读性，并且图像处理区域可以自动识别纸张区域，还可以进行处理区域的手动调整。</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18. 支持学生分学科查看学习情况，包括该学科学期概要：学习任务数、答题情况、资源学习情况、学习用时；支持分时段查看该科目学习情况，不少于学习、互动、答题、复习4个维度，可查看个人和班级均值对比，可查看薄弱章节点情况，支持自定义时间查看。</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r>
        <w:trPr>
          <w:trHeight w:val="1149"/>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智慧课堂管理平台</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1.管理平台提供教育局—学校两级查看教师与学生的相关数据情况。</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2.支持数据看板查看学校、教师、学生的详细教学与学习数据，支持查看教师备课。</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3.提供班级管理：支持创建班级并批量添加学生，自动生成学生账号，支持下载带有学生账号的名单或直接生成文件。</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4.提供年级管理：支持管理员在学年切换时，进行全校升年级操作</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5.教师管理：支持批量添加教师，支持将教师手机号设定为教师登录账号，支持为教师设置班级和学科。</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6.科目管理：支持增加或删减学科，管理员在相应的学段勾选所需的科目即可完成增减。</w:t>
            </w:r>
            <w:r/>
          </w:p>
          <w:p>
            <w:pPr>
              <w:spacing w:line="2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7.账号管理：支持管理员查看全校账号开通及使用情况。</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r>
        <w:trPr>
          <w:trHeight w:val="703"/>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高性能AP</w:t>
            </w:r>
            <w:r/>
          </w:p>
        </w:tc>
        <w:tc>
          <w:tcPr>
            <w:tcMar>
              <w:left w:w="120" w:type="dxa"/>
              <w:top w:w="120" w:type="dxa"/>
              <w:right w:w="120" w:type="dxa"/>
              <w:bottom w:w="120" w:type="dxa"/>
            </w:tcMar>
            <w:tcW w:w="3178" w:type="pct"/>
            <w:vAlign w:val="center"/>
            <w:textDirection w:val="lrTb"/>
            <w:noWrap w:val="false"/>
          </w:tcPr>
          <w:p>
            <w:pPr>
              <w:numPr>
                <w:ilvl w:val="0"/>
                <w:numId w:val="9"/>
              </w:numPr>
              <w:ind w:left="0"/>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1.无线标准：IEEE802.11be（Wi-Fi7），向下全兼容射频架构：三射频（2.4GHz+5GHz+6GHz），6空间流，整机最大速率≥4200Mbps</w:t>
            </w:r>
            <w:r/>
          </w:p>
          <w:p>
            <w:pPr>
              <w:numPr>
                <w:ilvl w:val="0"/>
                <w:numId w:val="9"/>
              </w:numPr>
              <w:ind w:left="0"/>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2.接口：2个千兆以太网口（支持PoE供电），1个USB3.0接口</w:t>
            </w:r>
            <w:r/>
          </w:p>
          <w:p>
            <w:pPr>
              <w:numPr>
                <w:ilvl w:val="0"/>
                <w:numId w:val="9"/>
              </w:numPr>
              <w:ind w:left="0"/>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3.接入能力：单AP最大并发接入终端≥384台；智能天线阵列，动态波束成形，显著提升边缘终端信号强度</w:t>
            </w:r>
            <w:r/>
          </w:p>
          <w:p>
            <w:pPr>
              <w:numPr>
                <w:ilvl w:val="0"/>
                <w:numId w:val="9"/>
              </w:numPr>
              <w:ind w:left="0"/>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功能特性：支持24个SSID，胖瘦一体化模式，支持网关路由、PPPoE拨号、AC统一管理；内置WPA3加密、MAC黑白名单、防DDoS攻击、非法AP检测环境适应性：IP41防护，工作温度-10℃~55℃，宽温宽湿设计，适配教室多场景部署。</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台</w:t>
            </w:r>
            <w:r/>
          </w:p>
        </w:tc>
      </w:tr>
      <w:t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平板充电柜</w:t>
            </w:r>
            <w:r/>
          </w:p>
        </w:tc>
        <w:tc>
          <w:tcPr>
            <w:tcMar>
              <w:left w:w="120" w:type="dxa"/>
              <w:top w:w="120" w:type="dxa"/>
              <w:right w:w="120" w:type="dxa"/>
              <w:bottom w:w="120" w:type="dxa"/>
            </w:tcMar>
            <w:tcW w:w="3178" w:type="pct"/>
            <w:vAlign w:val="center"/>
            <w:textDirection w:val="lrTb"/>
            <w:noWrap w:val="false"/>
          </w:tcPr>
          <w:p>
            <w:pPr>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1.容纳规格：40位横放式收纳，适配10-11英寸平板，带皮套可直接放入</w:t>
            </w:r>
            <w:r/>
          </w:p>
          <w:p>
            <w:pPr>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2.电源系统：AC220V输入，总功率≥800W；智能恒流恒压充电，支持定时开关、充满自动断电</w:t>
            </w:r>
            <w:r/>
          </w:p>
          <w:p>
            <w:pPr>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3.温控保护：智能主动温控风扇，45℃自动启动散热，过温自动断电</w:t>
            </w:r>
            <w:r/>
          </w:p>
          <w:p>
            <w:pPr>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4.柜体结构：全金属冷轧钢板，全封闭防盗双开门，大转角设计支持多人同时取放；每层独立防滑隔板，前置独立充电指示灯</w:t>
            </w:r>
            <w:r/>
          </w:p>
          <w:p>
            <w:pPr>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5.移动设计：4寸静音万向脚轮，带刹车装置</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3.安全认证：3C认证，过流、过压、短路、过热四重保护，符合教育装备安全标准。</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台</w:t>
            </w:r>
            <w:r/>
          </w:p>
        </w:tc>
      </w:tr>
      <w:tr>
        <w:trPr/>
        <w:tc>
          <w:tcPr>
            <w:gridSpan w:val="5"/>
            <w:tcMar>
              <w:left w:w="120" w:type="dxa"/>
              <w:top w:w="120" w:type="dxa"/>
              <w:right w:w="120" w:type="dxa"/>
              <w:bottom w:w="120" w:type="dxa"/>
            </w:tcMar>
            <w:tcW w:w="5000"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六、人工智能通识课程培训</w:t>
            </w:r>
            <w:r/>
          </w:p>
        </w:tc>
      </w:tr>
      <w:tr>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培训</w:t>
            </w:r>
            <w:r/>
          </w:p>
        </w:tc>
        <w:tc>
          <w:tcPr>
            <w:tcMar>
              <w:left w:w="120" w:type="dxa"/>
              <w:top w:w="120" w:type="dxa"/>
              <w:right w:w="120" w:type="dxa"/>
              <w:bottom w:w="120" w:type="dxa"/>
            </w:tcMar>
            <w:tcW w:w="3178" w:type="pct"/>
            <w:vAlign w:val="center"/>
            <w:textDirection w:val="lrTb"/>
            <w:noWrap w:val="false"/>
          </w:tcPr>
          <w:p>
            <w:pPr>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1.培训形式：线下集中授课+现场实操指导+1年线上答疑</w:t>
            </w:r>
            <w:r/>
          </w:p>
          <w:p>
            <w:pPr>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2.总课时：不少于12课时</w:t>
            </w:r>
            <w:r/>
          </w:p>
          <w:p>
            <w:pPr>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3.培训内容：课标与政策解读、平台全模块操作、分学段教学设计、AI实验实操、跨学科融合案例、竞赛活动组织、常见故障排查</w:t>
            </w:r>
            <w:r/>
          </w:p>
          <w:p>
            <w:pPr>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4.配套资料：全套培训课件、教学案例包、实验操作手册电子版</w:t>
            </w:r>
            <w:r/>
          </w:p>
          <w:p>
            <w:pPr>
              <w:jc w:val="left"/>
              <w:spacing w:line="240" w:lineRule="exact"/>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5.培训目标：参训教师可独立完成平台运维、课程授课、实验指导，通过考核颁发官方培训结业证书</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6.后续服务：1年线上教学答疑，定期推送优质教学资源与教研活动信息。</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w:t>
            </w:r>
            <w:r/>
          </w:p>
        </w:tc>
      </w:tr>
      <w:tr>
        <w:trPr/>
        <w:tc>
          <w:tcPr>
            <w:gridSpan w:val="5"/>
            <w:tcMar>
              <w:left w:w="120" w:type="dxa"/>
              <w:top w:w="120" w:type="dxa"/>
              <w:right w:w="120" w:type="dxa"/>
              <w:bottom w:w="120" w:type="dxa"/>
            </w:tcMar>
            <w:tcW w:w="5000"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七、省人工智能素养竞赛套装</w:t>
            </w:r>
            <w:r/>
          </w:p>
        </w:tc>
      </w:tr>
      <w:tr>
        <w:trPr>
          <w:trHeight w:val="689"/>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智能机器人B</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1.控制器内嵌编程功能，机器人产品具备在没有计算机辅助的情况下完成所有比赛任务。</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核心板采用Cortex-M4内核高性能微控制器，主频168MHZ，DMIPS210DMIPS，SRAM不低于192KB，集成2.4寸TFT触摸屏，内置可编程的独立按键、LED灯、蜂鸣器都各1个。内置8M外部FLASH，用于存储执行程序。EEPROM数量不少于600个，拥有配套的图形化编程软件。</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3.支持USB供电并独立运行。</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4.功能板：拥有1个拨盘开关，18路模拟输入端口，支持总线舵机、编码电机端口4个。独立的IIC端口和串口都各1个，BLE5.2主从一体蓝牙、具备低压保护功能，电池电量较低时自动关闭</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5.采用麦克纳姆轮，并配备悬挂。配备编码器，可实现精准里程反馈与闭环控制。结构主体采用FR4树脂板。配备“运动学分解+PID闭环控制”控制系统。</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6.机械臂：可通过XYZ的坐标直接控制机械臂的运动坐标。采用工业级滑轨滑块，控制精度小于1mm。</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7.对应的场地地图、EVA方块、标签码不干胶、货架、托盘</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8.提供教师和学生能熟练使用，达到市级比赛级别的专项培训。</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r>
        <w:trPr>
          <w:trHeight w:val="22"/>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具身智能机器人套装</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提供结构件模块：mini亚克力连接板、机器人车身底板、一节模块、二节模块、三节模块、五节模块、单排三孔、单排五孔、单排七孔、单排十三孔、两排七孔、两排九孔、两排十三孔、五排九孔、五排十七孔、圆形框架、直角框架、一列四孔、九孔单排弯头等；</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3.传感器模块：AI智能体模块、4路红外传感器模块、按键传感器模块、数码管模块、LED灯模块、RFID电子读写传感器模块等；</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主控装置：1.主控板主控芯片采用国产龙芯1C300处理器；该处理器是基于GS232处理器核的单芯片系统，采用先进的五级流水线微架构，主频最高300MHz；其包含浮点处理单元，支持多种类型的内存，支持高容量的MLCNANDFlash。龙芯1C300处理器提供了丰富的外设接口及片上模块，包括Camera控制器、USBOTG及USBHOST接口、AC97/I2S控制器、LCD控制器、SPI接口、UART接口等，提供足够的计算能力和多应用的连接能力。</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两个电机接口，使用高能效电压升压芯片，将电池能量高效率传递个直流电机，保证车轮驱动能力。两个舵机接口，可接入两路舵机。预留IO接口，可接入LED模块、彩灯模块、风扇电机模块、触摸传感器模块等多种数字IO模块。</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预留双线通信接口，可接入表情面板模块、超声波模块等多种双线通信模块。预留四线通信接口，可接入红外传感器模块、RFID模块等。预留AD接口，可接入旋钮传感器、光线传感器等模拟模块。预留串口模块，可接入蓝牙、摄像头等串口通信模块。USB在线编程，可通过USB直连电脑进行程序烧写，方面快捷。</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7.板上预留电池电量指示灯、蜂鸣器、液晶显示屏接口。</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驱动装置配件：直流电机套件(金属)、车轮、大舵机、小舵机、万向球、金属舵机连接片、多功能舵机支架、斜U舵机支架、长U舵机支架、一字型舵机支架、L型舵机支架、机械手套件、舵机法兰轴盘、舵机杯式轴承等；</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其他配件：铜柱、螺丝包、螺丝刀、扳手、锂电池、锂电池充电器、下载线、RJ25连接线等；</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8.主控板上主控芯片为国产主控芯片。双软件编程平台，可随意切换。支持基于scratch3.0开源ZGrobotPC端图形化编程界面(支持ArduinoC)和自主研发的ZGstudio图形化开发平台，软件支持跨平台安装、运行和卸载。</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9.场地图尺寸：长方形结构，长2800mmx宽1800mm，四周无围栏，刀刮布材质。</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10水果场景区任务道具包：苹果、橙子、柿子、桃子、山竹、菠萝，共6种，每种各1个。泡沫材质1:1实物仿真模型，无尖锐边角，重量(8g—25.5g)。</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11.饮品场景区任务道具包：可口可乐(330ml罐装)、雪碧(330ml罐装)、芬达(330ml罐装)、王老吉(310ml罐装)，共4种，每种各1个。</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12.工具场景区任务道具包：螺丝刀、扳手、锤子、镊子、剪刀、尺子，共6种图案卡片，每种各1张。铜版纸材质，正方形结构，边长80mm，图案清晰、色彩鲜明，无遮挡。</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类别标志区道具包含基础承载道具和上层任务道具组成。基础承载道具包：圆柱形塑料道具，上下底面直径40mm，高度约20mm。材质为硬质塑料。上层任务道具包：边长50mm的泡沫正方体，颜色不限，1个直径30mm的圆形电子标签卡片。其他：螺丝刀、扳手、螺丝、螺丝包、下载线等；</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14.提供教师和学生能熟练使用，达到市级比赛级别的专项培训。</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r/>
          </w:p>
        </w:tc>
      </w:tr>
      <w:tr>
        <w:trPr>
          <w:trHeight w:val="1581"/>
        </w:trPr>
        <w:tc>
          <w:tcPr>
            <w:tcMar>
              <w:left w:w="120" w:type="dxa"/>
              <w:top w:w="120" w:type="dxa"/>
              <w:right w:w="120" w:type="dxa"/>
              <w:bottom w:w="120" w:type="dxa"/>
            </w:tcMar>
            <w:tcW w:w="394" w:type="pct"/>
            <w:vAlign w:val="center"/>
            <w:textDirection w:val="lrTb"/>
            <w:noWrap w:val="false"/>
          </w:tcPr>
          <w:p>
            <w:pPr>
              <w:jc w:val="cente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w:t>
            </w:r>
            <w:r/>
          </w:p>
        </w:tc>
        <w:tc>
          <w:tcPr>
            <w:tcMar>
              <w:left w:w="120" w:type="dxa"/>
              <w:top w:w="120" w:type="dxa"/>
              <w:right w:w="120" w:type="dxa"/>
              <w:bottom w:w="120" w:type="dxa"/>
            </w:tcMar>
            <w:tcW w:w="62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智能体机器人套件2</w:t>
            </w:r>
            <w:r/>
          </w:p>
        </w:tc>
        <w:tc>
          <w:tcPr>
            <w:tcMar>
              <w:left w:w="120" w:type="dxa"/>
              <w:top w:w="120" w:type="dxa"/>
              <w:right w:w="120" w:type="dxa"/>
              <w:bottom w:w="120" w:type="dxa"/>
            </w:tcMar>
            <w:tcW w:w="3178"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主控板主控芯片采用国产处理器，主频最高300MHz；其包含浮点处理单元，支持多种类型的内存，支持高容量的MLCNANDFlash。外设接口及片上模块，USBOTG及USBHOST接口、LCD控制器、SPI接口、UART接口等，提供足够的计算能力和多应用的连接能力。</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2.两个电机接口，使用高能效电压升压芯片，将电池能量高效率传递个直流电机，保证车轮驱动能力。</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3.两个舵机接口，可接入两路舵机。</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4.预留IO接口，可接入LED模块、彩灯模块、风扇电机模块、触摸传感器模块等多种数字IO模块。</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5.预留双线通信接口，可接入表情面板模块、超声波模块等多种双线通信模块。</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6.预留四线通信接口，可接入红外传感器模块、RFID模块等。</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7.预留AD接口，可接入旋钮传感器、光线传感器等模拟模块。</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8.预留串口模块，可接入蓝牙、摄像头等串口通信模块。</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9.USB在线编程，可通过USB直连电脑进行程序烧写，方面快捷。</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10.板上预留电池电量指示灯、蜂鸣器、液晶显示屏接口。</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11.结构件：履带车金属上层板、履带车金属侧板、履带车金属L型框架、金属单排三孔、金属双排七孔、金属直角双排三孔、龙芯主控板下层板、mini下层板(黑色亚克力)等；</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12.传感器模块：智能摄像头模块、播放传感器模块、4路红外传感器模块、按键/触碰开关传感器模块、4路数码管模块、LED灯模块、RFID读写传感器模块等；</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驱动装置：</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履带车驱动轮、履带车驱动轮轴套、履带车承重轮、履带车承重轮长螺丝、履带车从动轮金属垫片、履带、TT直流单轴蓝电机、电机长螺丝M3*30、履带车螺丝包、大舵机、多功能舵机支架、斜U舵机支架、L型舵机支架、大舵机金属垫片、金属机械手框架、舵机法兰轴盘、舵机杯式轴承等；</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14.其他配件：RJ25连接线、下载线、锂电池、锂电池充电器、螺丝刀(十字)、多功能扳筒、M4*30铜柱M4*15+6铜柱、M3垫圈、M4垫圈、6种类型螺丝包、扎带、自粘魔术贴(子母)等；</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15.场地图纸尺寸及材质：2800mm*1600mm喷绘刀刮布材质</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16.沙子识别区装置任务道具*1:长宽高尺寸为80mm*80mm*160mm。材质为金属；</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17.提供教师和学生能熟练使用，达到市级比赛级别的专项培训。</w:t>
            </w:r>
            <w:r/>
          </w:p>
        </w:tc>
        <w:tc>
          <w:tcPr>
            <w:tcMar>
              <w:left w:w="120" w:type="dxa"/>
              <w:top w:w="120" w:type="dxa"/>
              <w:right w:w="120" w:type="dxa"/>
              <w:bottom w:w="120" w:type="dxa"/>
            </w:tcMar>
            <w:tcW w:w="394"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w:t>
            </w:r>
            <w:r/>
          </w:p>
        </w:tc>
        <w:tc>
          <w:tcPr>
            <w:tcMar>
              <w:left w:w="120" w:type="dxa"/>
              <w:top w:w="120" w:type="dxa"/>
              <w:right w:w="120" w:type="dxa"/>
              <w:bottom w:w="120" w:type="dxa"/>
            </w:tcMar>
            <w:tcW w:w="407" w:type="pct"/>
            <w:vAlign w:val="center"/>
            <w:textDirection w:val="lrTb"/>
            <w:noWrap w:val="false"/>
          </w:tcPr>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套</w:t>
            </w:r>
            <w:bookmarkEnd w:id="8"/>
            <w:r/>
            <w:r/>
          </w:p>
        </w:tc>
      </w:tr>
    </w:tbl>
    <w:p>
      <w:pPr>
        <w:ind w:firstLine="480"/>
        <w:jc w:val="left"/>
        <w:spacing w:line="560" w:lineRule="exact"/>
        <w:rPr>
          <w:rFonts w:hint="eastAsia" w:cs="Times New Roman"/>
          <w:b/>
          <w:sz w:val="28"/>
          <w:szCs w:val="28"/>
        </w:rPr>
      </w:pPr>
      <w:r>
        <w:rPr>
          <w:rFonts w:hint="eastAsia" w:cs="Times New Roman"/>
          <w:b/>
          <w:sz w:val="28"/>
          <w:szCs w:val="28"/>
        </w:rPr>
        <w:t xml:space="preserve">商务条款</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Times New Roman"/>
          <w:b/>
        </w:rPr>
        <w:t xml:space="preserve">★</w:t>
      </w:r>
      <w:r>
        <w:rPr>
          <w:rFonts w:hint="eastAsia" w:ascii="宋体" w:hAnsi="宋体" w:eastAsia="宋体" w:cs="宋体"/>
          <w:sz w:val="24"/>
          <w:szCs w:val="24"/>
        </w:rPr>
        <w:t xml:space="preserve">1.</w:t>
      </w:r>
      <w:r>
        <w:rPr>
          <w:rFonts w:hint="eastAsia" w:ascii="宋体" w:hAnsi="宋体" w:eastAsia="宋体" w:cs="宋体"/>
          <w:color w:val="000000"/>
          <w:sz w:val="24"/>
          <w:szCs w:val="24"/>
        </w:rPr>
        <w:t xml:space="preserve">合同款项的支付方式及进度安排</w:t>
      </w:r>
      <w:r/>
    </w:p>
    <w:p>
      <w:pPr>
        <w:ind w:firstLine="420"/>
        <w:jc w:val="left"/>
        <w:spacing w:line="400" w:lineRule="exact"/>
        <w:rPr>
          <w:rFonts w:hint="eastAsia" w:ascii="宋体" w:hAnsi="宋体" w:cs="Times New Roman"/>
          <w:b/>
          <w:bCs/>
          <w:color w:val="000000"/>
          <w:szCs w:val="21"/>
        </w:rPr>
      </w:pPr>
      <w:r>
        <w:rPr>
          <w:rFonts w:hint="eastAsia" w:ascii="宋体" w:hAnsi="宋体" w:cs="Times New Roman"/>
          <w:b/>
          <w:bCs/>
          <w:color w:val="000000"/>
          <w:szCs w:val="21"/>
        </w:rPr>
        <w:t xml:space="preserve">付款方式：采购货物送至指定地点，安装调试完成、验收合格后30日内付至合同价款的100%。     </w:t>
      </w:r>
      <w:r/>
    </w:p>
    <w:p>
      <w:pPr>
        <w:ind w:firstLine="420"/>
        <w:spacing w:line="520" w:lineRule="exact"/>
        <w:rPr>
          <w:rFonts w:hint="eastAsia" w:ascii="宋体" w:hAnsi="宋体" w:eastAsia="宋体" w:cs="Times New Roman"/>
          <w:color w:val="000000"/>
        </w:rPr>
      </w:pPr>
      <w:r>
        <w:rPr>
          <w:rFonts w:ascii="宋体" w:hAnsi="宋体" w:eastAsia="宋体" w:cs="Times New Roman"/>
          <w:color w:val="000000"/>
        </w:rPr>
        <w:t xml:space="preserve">付款前，</w:t>
      </w:r>
      <w:r>
        <w:rPr>
          <w:rFonts w:hint="eastAsia" w:ascii="宋体" w:hAnsi="宋体" w:cs="Times New Roman"/>
          <w:color w:val="000000"/>
        </w:rPr>
        <w:t xml:space="preserve">中标人</w:t>
      </w:r>
      <w:r>
        <w:rPr>
          <w:rFonts w:ascii="宋体" w:hAnsi="宋体" w:eastAsia="宋体" w:cs="Times New Roman"/>
          <w:color w:val="000000"/>
        </w:rPr>
        <w:t xml:space="preserve">需向</w:t>
      </w:r>
      <w:r>
        <w:rPr>
          <w:rFonts w:hint="eastAsia" w:ascii="宋体" w:hAnsi="宋体" w:cs="Times New Roman"/>
          <w:color w:val="000000"/>
        </w:rPr>
        <w:t xml:space="preserve">采购人</w:t>
      </w:r>
      <w:r>
        <w:rPr>
          <w:rFonts w:ascii="宋体" w:hAnsi="宋体" w:eastAsia="宋体" w:cs="Times New Roman"/>
          <w:color w:val="000000"/>
        </w:rPr>
        <w:t xml:space="preserve">开具正规发票，否则自行承担延迟付款的责任。 </w:t>
      </w:r>
      <w:r/>
    </w:p>
    <w:p>
      <w:pPr>
        <w:ind w:firstLine="210"/>
        <w:spacing w:line="520" w:lineRule="exact"/>
        <w:rPr>
          <w:rFonts w:hint="eastAsia" w:ascii="宋体" w:hAnsi="宋体" w:eastAsia="宋体" w:cs="Times New Roman"/>
          <w:color w:val="000000"/>
        </w:rPr>
      </w:pPr>
      <w:r>
        <w:rPr>
          <w:rFonts w:ascii="宋体" w:hAnsi="宋体" w:eastAsia="宋体" w:cs="Times New Roman"/>
          <w:color w:val="000000"/>
        </w:rPr>
        <w:t xml:space="preserve">当采购数量与实际使用数量不一致时，</w:t>
      </w:r>
      <w:r>
        <w:rPr>
          <w:rFonts w:hint="eastAsia" w:ascii="宋体" w:hAnsi="宋体" w:cs="Times New Roman"/>
          <w:color w:val="000000"/>
        </w:rPr>
        <w:t xml:space="preserve">中标人</w:t>
      </w:r>
      <w:r>
        <w:rPr>
          <w:rFonts w:ascii="宋体" w:hAnsi="宋体" w:eastAsia="宋体" w:cs="Times New Roman"/>
          <w:color w:val="000000"/>
        </w:rPr>
        <w:t xml:space="preserve">根据实际使用量提供产品和服务，合同的最终结算金额按实际使用量乘以中标单价进行计算。</w:t>
      </w:r>
      <w:r/>
    </w:p>
    <w:p>
      <w:pPr>
        <w:ind w:firstLine="210"/>
        <w:spacing w:line="520" w:lineRule="exact"/>
        <w:rPr>
          <w:rFonts w:hint="eastAsia" w:ascii="宋体" w:hAnsi="宋体" w:eastAsia="宋体" w:cs="Times New Roman"/>
          <w:highlight w:val="none"/>
        </w:rPr>
      </w:pPr>
      <w:r>
        <w:rPr>
          <w:rFonts w:hint="eastAsia" w:ascii="宋体" w:hAnsi="宋体" w:eastAsia="宋体" w:cs="Times New Roman"/>
          <w:szCs w:val="24"/>
          <w:highlight w:val="none"/>
        </w:rPr>
        <w:t xml:space="preserve">★</w:t>
      </w:r>
      <w:r>
        <w:rPr>
          <w:rFonts w:hint="eastAsia" w:ascii="宋体" w:hAnsi="宋体" w:eastAsia="宋体" w:cs="Times New Roman"/>
          <w:highlight w:val="none"/>
        </w:rPr>
        <w:t xml:space="preserve">1.1合同履行期限（工期）：签订合同后按甲方要求进场，履行期限为30日历天；</w:t>
      </w:r>
      <w:r/>
    </w:p>
    <w:p>
      <w:pPr>
        <w:ind w:firstLine="210"/>
        <w:spacing w:line="520" w:lineRule="exact"/>
        <w:rPr>
          <w:rFonts w:hint="eastAsia" w:ascii="宋体" w:hAnsi="宋体" w:eastAsia="宋体" w:cs="Times New Roman"/>
          <w:highlight w:val="none"/>
        </w:rPr>
      </w:pPr>
      <w:r>
        <w:rPr>
          <w:rFonts w:hint="eastAsia" w:ascii="宋体" w:hAnsi="宋体" w:eastAsia="宋体" w:cs="Times New Roman"/>
          <w:szCs w:val="24"/>
          <w:highlight w:val="none"/>
        </w:rPr>
        <w:t xml:space="preserve">★1.</w:t>
      </w:r>
      <w:r>
        <w:rPr>
          <w:rFonts w:hint="eastAsia" w:ascii="宋体" w:hAnsi="宋体" w:eastAsia="宋体" w:cs="Times New Roman"/>
          <w:highlight w:val="none"/>
        </w:rPr>
        <w:t xml:space="preserve">2、质保期：自验收合格之日起至少3年；</w:t>
      </w:r>
      <w:r/>
    </w:p>
    <w:p>
      <w:pPr>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rPr>
        <w:t xml:space="preserve">★</w:t>
      </w:r>
      <w:r>
        <w:rPr>
          <w:rFonts w:hint="eastAsia" w:ascii="宋体" w:hAnsi="宋体" w:eastAsia="宋体" w:cs="Times New Roman"/>
          <w:highlight w:val="none"/>
        </w:rPr>
        <w:t xml:space="preserve">1.3、运行软件质保期内免费升级。</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2.履约保证金</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本项目收取履约保证金：</w:t>
      </w:r>
      <w:r/>
    </w:p>
    <w:p>
      <w:pPr>
        <w:ind w:firstLine="480"/>
        <w:jc w:val="left"/>
        <w:spacing w:line="560" w:lineRule="exact"/>
        <w:rPr>
          <w:rFonts w:hint="eastAsia" w:ascii="宋体" w:hAnsi="宋体" w:eastAsia="宋体" w:cs="宋体"/>
        </w:rPr>
      </w:pPr>
      <w:r>
        <w:rPr>
          <w:rFonts w:hint="eastAsia" w:ascii="宋体" w:hAnsi="宋体" w:eastAsia="宋体" w:cs="宋体"/>
          <w:color w:val="000000"/>
          <w:sz w:val="24"/>
          <w:szCs w:val="24"/>
        </w:rPr>
        <w:t xml:space="preserve">2.1履约保证金的数额为合同金额5%。中标通知书签发后7日内向甲方提供履约保证金，否则视为自动放弃中标；中标人应当采用支票、汇票、本票或者金融机构、担保机构出具的保函、电子履约保函（保险）等非现金形式在合同签订前提交。供应商可登录江苏政府采购网“资料下载”栏目下载“政府采购电子履约保函（保险）操作手册”。</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中标人违约的，采购人将按照合同约定扣除其全部或部分履约保证金。如中标人违约给采购人造成的损失超过履约保证金的，应当依法赔偿超过部分的损失。</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 履约保证金自合同生效之日起至合同约定的中标人主要义务履行完毕止，采购人应当按合同约定及时退还履约保证金。</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3、验收：</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3.1验收主体：采购人；</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3.2验收时间：供货完成后接采购人通知；</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3.3验收方式：现场验收；</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验收程序：验收由采购人验收小组、采购中心工作人员、中标人及相关人员依国家有关标准、合同及有关附件要求进行。验收完毕由采购人及中标人在验收报告上签名。必要时邀请相关的专业人员、其他参与投标的投标人、第三方机构参与验收。因工程质量问题发生争议时，由本地建设行政主管部门鉴定。项目符合质量技术标准的，鉴定费由采购人承担；否则鉴定费由中标人承担。</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3.5验收内容：招标文件中技术要求表内的全部内容；</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3.6验收标准:符合招标文件及中标投标文件的全部技术要求，达到合格标准。</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3.6.1设备规格:设备应符合所规定的技术规格和功能要求。确保设备的型号、尺寸、容量等与所需的规格相匹配。</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3.6.2设备质量:设备的制造质量应符合相关的国家标准或行业标准。检查设备的外观是否完好，是否存在任何损坏或缺陷。</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3.6.3性能测试:对设备进行性能测试，以确保其满足预期的功能和性能要求。测试应根据设的用途和特性进行，包括但不限于功率、速度、准确性等。</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3.6.4安全性:设备应符合相关的安全要求和标准，检查设备是否具备必要的安全措施等。</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3.6.5校准和校验:对设备进行校准和校验，确保其测量和控制的准确性。校准和校验应按照设备制造商的建议或相关的标准进行。</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3.6.6项目建设完成后连网调试完成、试运行情况良好，方可进行履约验收。</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具体流程和验收方法参照《江苏省政府采购履约验收管理办法》。产生的验收费用由中标人支付</w:t>
      </w:r>
      <w:r/>
    </w:p>
    <w:p>
      <w:pPr>
        <w:ind w:firstLine="562"/>
        <w:jc w:val="left"/>
        <w:spacing w:line="560" w:lineRule="exact"/>
        <w:rPr>
          <w:rFonts w:ascii="Times New Roman" w:hAnsi="Times New Roman" w:eastAsia="宋体" w:cs="Times New Roman"/>
          <w:b/>
          <w:sz w:val="28"/>
          <w:szCs w:val="28"/>
        </w:rPr>
      </w:pPr>
      <w:r>
        <w:rPr>
          <w:rFonts w:hint="eastAsia" w:cs="Times New Roman"/>
          <w:b/>
          <w:sz w:val="28"/>
          <w:szCs w:val="28"/>
        </w:rPr>
        <w:t xml:space="preserve">4</w:t>
      </w:r>
      <w:r>
        <w:rPr>
          <w:rFonts w:hint="eastAsia" w:ascii="Times New Roman" w:hAnsi="Times New Roman" w:eastAsia="宋体" w:cs="Times New Roman"/>
          <w:b/>
          <w:sz w:val="28"/>
          <w:szCs w:val="28"/>
        </w:rPr>
        <w:t xml:space="preserve">、其他</w:t>
      </w:r>
      <w:r/>
    </w:p>
    <w:p>
      <w:pPr>
        <w:ind w:firstLine="480"/>
        <w:jc w:val="lef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本项目报价不得超过预算价（最高限价）。</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特别提醒供应商：应根据国家收费标准并结合市场实际进行报价，总价包干。</w:t>
      </w:r>
      <w:r/>
    </w:p>
    <w:p>
      <w:pPr>
        <w:ind w:firstLine="480"/>
        <w:jc w:val="left"/>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工作中涉及的敏感资料、电子数据等相关信息，成交供应商应严格执行保密的相关规定，不得以任何方式向任何第三人披露、泄露或许可第三人使用，否则追究其相应法律责任。</w:t>
      </w:r>
      <w:r/>
    </w:p>
    <w:p>
      <w:pPr>
        <w:ind w:firstLine="420"/>
        <w:spacing w:line="520" w:lineRule="exact"/>
        <w:rPr>
          <w:rFonts w:hint="eastAsia" w:ascii="宋体" w:hAnsi="宋体" w:eastAsia="宋体" w:cs="Times New Roman"/>
          <w:color w:val="000000"/>
        </w:rPr>
      </w:pPr>
      <w:r>
        <w:rPr>
          <w:rFonts w:hint="eastAsia" w:ascii="宋体" w:hAnsi="宋体" w:eastAsia="宋体" w:cs="Times New Roman"/>
          <w:color w:val="000000"/>
        </w:rPr>
        <w:t xml:space="preserve">报价要求：投标报价为完成本项目的所有含税费用，包含但不限于人员费用、专用设备、安装辅材、运输、现场安装调试、培训、管理、维护、利润、税金、保险、检测、验收、前期一般性咨询、售后服务、政策性文件规定及合同包含的所有风险、责任等各项应有费用。(参与本次项目报价的投标人视为已充分了解安装现场的安装条件，并已将可能发生的全部费用包含在总体报价中。）</w:t>
      </w:r>
      <w:r>
        <w:rPr>
          <w:rFonts w:hint="eastAsia" w:ascii="宋体" w:hAnsi="宋体" w:cs="Times New Roman"/>
          <w:color w:val="000000"/>
        </w:rPr>
        <w:t xml:space="preserve">采购人</w:t>
      </w:r>
      <w:r>
        <w:rPr>
          <w:rFonts w:hint="eastAsia" w:ascii="宋体" w:hAnsi="宋体" w:eastAsia="宋体" w:cs="Times New Roman"/>
          <w:color w:val="000000"/>
        </w:rPr>
        <w:t xml:space="preserve">在合同价款之外不再向</w:t>
      </w:r>
      <w:r>
        <w:rPr>
          <w:rFonts w:hint="eastAsia" w:ascii="宋体" w:hAnsi="宋体" w:cs="Times New Roman"/>
          <w:color w:val="000000"/>
        </w:rPr>
        <w:t xml:space="preserve">中标人</w:t>
      </w:r>
      <w:r>
        <w:rPr>
          <w:rFonts w:hint="eastAsia" w:ascii="宋体" w:hAnsi="宋体" w:eastAsia="宋体" w:cs="Times New Roman"/>
          <w:color w:val="000000"/>
        </w:rPr>
        <w:t xml:space="preserve">支付其他任何费用。</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b/>
          <w:bCs/>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r>
      <w:r/>
    </w:p>
    <w:p>
      <w:pPr>
        <w:jc w:val="center"/>
        <w:rPr>
          <w:rFonts w:hint="eastAsia" w:ascii="宋体" w:hAnsi="宋体" w:eastAsia="宋体" w:cs="宋体"/>
          <w:color w:val="000000" w:themeColor="text1"/>
          <w:sz w:val="44"/>
          <w:szCs w:val="44"/>
          <w14:textFill>
            <w14:solidFill>
              <w14:schemeClr w14:val="tx1"/>
            </w14:solidFill>
          </w14:textFill>
        </w:rPr>
        <w:outlineLvl w:val="0"/>
      </w:pPr>
      <w:r>
        <w:rPr>
          <w:rFonts w:hint="eastAsia" w:ascii="宋体" w:hAnsi="宋体" w:eastAsia="宋体" w:cs="宋体"/>
          <w:b/>
          <w:bCs/>
          <w:color w:val="000000" w:themeColor="text1"/>
          <w:sz w:val="44"/>
          <w:szCs w:val="44"/>
          <w14:textFill>
            <w14:solidFill>
              <w14:schemeClr w14:val="tx1"/>
            </w14:solidFill>
          </w14:textFill>
        </w:rPr>
        <w:t xml:space="preserve">第五章  评标方法与评标标准</w:t>
      </w:r>
      <w:r/>
    </w:p>
    <w:p>
      <w:pPr>
        <w:ind w:left="358" w:hanging="408"/>
        <w:spacing w:line="500" w:lineRule="exact"/>
        <w:tabs>
          <w:tab w:val="left" w:pos="247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一、评标委员会构成：本采购项目评标委员会的评委由评审专家（采购人代表，如有）组成。</w:t>
      </w:r>
      <w:r/>
    </w:p>
    <w:p>
      <w:pPr>
        <w:ind w:left="358" w:hanging="408"/>
        <w:spacing w:line="500" w:lineRule="exact"/>
        <w:tabs>
          <w:tab w:val="left" w:pos="247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p>
    <w:p>
      <w:pPr>
        <w:jc w:val="left"/>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三、评标办法：</w:t>
      </w:r>
      <w:r/>
    </w:p>
    <w:p>
      <w:pPr>
        <w:ind w:left="1" w:firstLine="628"/>
        <w:jc w:val="left"/>
        <w:spacing w:line="480" w:lineRule="exact"/>
        <w:widowControl/>
        <w:tabs>
          <w:tab w:val="left" w:pos="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p>
    <w:p>
      <w:pPr>
        <w:ind w:firstLine="441"/>
        <w:jc w:val="left"/>
        <w:spacing w:before="120" w:after="120" w:line="360" w:lineRule="auto"/>
        <w:rPr>
          <w:rFonts w:ascii="宋体" w:hAnsi="宋体" w:eastAsia="Arial" w:cs="Times New Roman"/>
          <w:b/>
          <w:color w:val="000000"/>
          <w:sz w:val="24"/>
          <w:szCs w:val="24"/>
          <w:highlight w:val="yellow"/>
        </w:rPr>
      </w:pPr>
      <w:r>
        <w:rPr>
          <w:rFonts w:hint="eastAsia" w:ascii="宋体" w:hAnsi="宋体" w:eastAsia="Arial" w:cs="Times New Roman"/>
          <w:b/>
          <w:color w:val="000000"/>
          <w:sz w:val="24"/>
          <w:szCs w:val="24"/>
        </w:rPr>
        <w:t xml:space="preserve">政府采购政策功能落实</w:t>
      </w:r>
      <w:r/>
    </w:p>
    <w:p>
      <w:pPr>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1、小微型企业价格扣除</w:t>
      </w:r>
      <w:r/>
    </w:p>
    <w:p>
      <w:pPr>
        <w:ind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（1）本项目对小型和微型企业产品给予</w:t>
      </w:r>
      <w:r>
        <w:rPr>
          <w:rFonts w:hint="eastAsia" w:ascii="宋体" w:hAnsi="宋体" w:eastAsia="Arial" w:cs="Times New Roman"/>
          <w:color w:val="000000"/>
          <w:sz w:val="24"/>
          <w:szCs w:val="24"/>
          <w:u w:val="single"/>
        </w:rPr>
        <w:t xml:space="preserve">10%</w:t>
      </w:r>
      <w:r>
        <w:rPr>
          <w:rFonts w:hint="eastAsia" w:ascii="宋体" w:hAnsi="宋体" w:eastAsia="Arial" w:cs="Times New Roman"/>
          <w:color w:val="000000"/>
          <w:sz w:val="24"/>
          <w:szCs w:val="24"/>
        </w:rPr>
        <w:t xml:space="preserve">的扣除价格，用扣除后的价格参与评审。</w:t>
      </w:r>
      <w:r/>
    </w:p>
    <w:p>
      <w:pPr>
        <w:ind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（2）供应商需按照采购文件的要求提供相应的《小微企业声明函》。</w:t>
      </w:r>
      <w:r/>
    </w:p>
    <w:p>
      <w:pPr>
        <w:ind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2、残疾人福利单位价格扣除</w:t>
      </w:r>
      <w:r/>
    </w:p>
    <w:p>
      <w:pPr>
        <w:ind w:left="120"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（1）本项目对残疾人福利性单位视同小型、微型企业，给予</w:t>
      </w:r>
      <w:r>
        <w:rPr>
          <w:rFonts w:hint="eastAsia" w:ascii="宋体" w:hAnsi="宋体" w:eastAsia="Arial" w:cs="Times New Roman"/>
          <w:color w:val="000000"/>
          <w:sz w:val="24"/>
          <w:szCs w:val="24"/>
          <w:u w:val="single"/>
        </w:rPr>
        <w:t xml:space="preserve">10%</w:t>
      </w:r>
      <w:r>
        <w:rPr>
          <w:rFonts w:hint="eastAsia" w:ascii="宋体" w:hAnsi="宋体" w:eastAsia="Arial" w:cs="Times New Roman"/>
          <w:color w:val="000000"/>
          <w:sz w:val="24"/>
          <w:szCs w:val="24"/>
        </w:rPr>
        <w:t xml:space="preserve">的价格扣除，用扣除后的价格参与评审。</w:t>
      </w:r>
      <w:r/>
    </w:p>
    <w:p>
      <w:pPr>
        <w:ind w:left="120"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3、监狱和戒毒企业价格扣除</w:t>
      </w:r>
      <w:r/>
    </w:p>
    <w:p>
      <w:pPr>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（1）本项目对监狱和戒毒企业（简称监狱企业）视同小型、微型企业，给予</w:t>
      </w:r>
      <w:r>
        <w:rPr>
          <w:rFonts w:hint="eastAsia" w:ascii="宋体" w:hAnsi="宋体" w:eastAsia="Arial" w:cs="Times New Roman"/>
          <w:color w:val="000000"/>
          <w:sz w:val="24"/>
          <w:szCs w:val="24"/>
          <w:u w:val="single"/>
        </w:rPr>
        <w:t xml:space="preserve">10%</w:t>
      </w:r>
      <w:r>
        <w:rPr>
          <w:rFonts w:hint="eastAsia" w:ascii="宋体" w:hAnsi="宋体" w:eastAsia="Arial" w:cs="Times New Roman"/>
          <w:color w:val="000000"/>
          <w:sz w:val="24"/>
          <w:szCs w:val="24"/>
        </w:rPr>
        <w:t xml:space="preserve">的价格扣除，用扣除后的价格参与评审。</w:t>
      </w:r>
      <w:r/>
    </w:p>
    <w:p>
      <w:pPr>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（3）监狱企业标准请参照《关于政府采购支持监狱企业发展有关问题的通知》（</w:t>
      </w:r>
      <w:r>
        <w:rPr>
          <w:rFonts w:ascii="宋体" w:hAnsi="宋体" w:eastAsia="Arial" w:cs="Times New Roman"/>
          <w:color w:val="000000"/>
          <w:sz w:val="24"/>
          <w:szCs w:val="24"/>
        </w:rPr>
        <w:t xml:space="preserve">财库[2014]68号</w:t>
      </w:r>
      <w:r>
        <w:rPr>
          <w:rFonts w:hint="eastAsia" w:ascii="宋体" w:hAnsi="宋体" w:eastAsia="Arial" w:cs="Times New Roman"/>
          <w:color w:val="000000"/>
          <w:sz w:val="24"/>
          <w:szCs w:val="24"/>
        </w:rPr>
        <w:t xml:space="preserve">）。</w:t>
      </w:r>
      <w:r/>
    </w:p>
    <w:p>
      <w:pPr>
        <w:ind w:firstLine="480"/>
        <w:jc w:val="left"/>
        <w:spacing w:line="324" w:lineRule="auto"/>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4、残疾人福利单位、监狱企业属于小型、微型企业的，不重复享受政策。</w:t>
      </w:r>
      <w:r/>
    </w:p>
    <w:p>
      <w:pPr>
        <w:ind w:firstLine="480"/>
        <w:jc w:val="left"/>
        <w:spacing w:line="32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具体详见采购文件。（</w:t>
      </w:r>
      <w:r>
        <w:rPr>
          <w:rFonts w:hint="eastAsia" w:ascii="宋体" w:hAnsi="宋体" w:eastAsia="宋体" w:cs="宋体"/>
          <w:sz w:val="24"/>
          <w:szCs w:val="24"/>
          <w:shd w:val="clear" w:color="auto" w:fill="ffffff"/>
        </w:rPr>
        <w:t xml:space="preserve">提供生产厂营业执照原件扫描件，否则不享受价格优惠。</w:t>
      </w:r>
      <w:r>
        <w:rPr>
          <w:rFonts w:hint="eastAsia" w:ascii="宋体" w:hAnsi="宋体" w:eastAsia="宋体" w:cs="Times New Roman"/>
          <w:color w:val="000000"/>
          <w:sz w:val="24"/>
          <w:szCs w:val="24"/>
        </w:rPr>
        <w:t xml:space="preserve">）</w:t>
      </w:r>
      <w:r/>
    </w:p>
    <w:p>
      <w:pPr>
        <w:ind w:firstLine="640"/>
        <w:jc w:val="center"/>
        <w:spacing w:line="324" w:lineRule="auto"/>
        <w:rPr>
          <w:rFonts w:hint="eastAsia" w:ascii="宋体" w:hAnsi="宋体" w:eastAsia="宋体" w:cs="宋体"/>
          <w:color w:val="000000" w:themeColor="text1"/>
          <w:sz w:val="32"/>
          <w:szCs w:val="24"/>
          <w14:textFill>
            <w14:solidFill>
              <w14:schemeClr w14:val="tx1"/>
            </w14:solidFill>
          </w14:textFill>
        </w:rPr>
      </w:pPr>
      <w:r>
        <w:rPr>
          <w:rFonts w:hint="eastAsia" w:ascii="宋体" w:hAnsi="宋体" w:eastAsia="宋体" w:cs="宋体"/>
          <w:color w:val="000000" w:themeColor="text1"/>
          <w:sz w:val="32"/>
          <w:szCs w:val="24"/>
          <w14:textFill>
            <w14:solidFill>
              <w14:schemeClr w14:val="tx1"/>
            </w14:solidFill>
          </w14:textFill>
        </w:rPr>
        <w:t xml:space="preserve">综合评分法</w:t>
      </w:r>
      <w:r/>
    </w:p>
    <w:tbl>
      <w:tblPr>
        <w:tblStyle w:val="854"/>
        <w:tblW w:w="9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59"/>
        <w:gridCol w:w="1276"/>
        <w:gridCol w:w="5888"/>
      </w:tblGrid>
      <w:tr>
        <w:trPr>
          <w:trHeight w:val="562"/>
          <w:tblHeader/>
        </w:trPr>
        <w:tc>
          <w:tcPr>
            <w:tcW w:w="704"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rPr>
              <w:t xml:space="preserve">序号</w:t>
            </w:r>
            <w:r/>
          </w:p>
        </w:tc>
        <w:tc>
          <w:tcPr>
            <w:gridSpan w:val="2"/>
            <w:tcW w:w="2835"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rPr>
              <w:t xml:space="preserve">评审项目</w:t>
            </w:r>
            <w:r/>
          </w:p>
        </w:tc>
        <w:tc>
          <w:tcPr>
            <w:tcW w:w="5888" w:type="dxa"/>
            <w:vAlign w:val="center"/>
            <w:textDirection w:val="lrTb"/>
            <w:noWrap w:val="false"/>
          </w:tcPr>
          <w:p>
            <w:pPr>
              <w:jc w:val="center"/>
              <w:rPr>
                <w:rFonts w:hint="eastAsia" w:ascii="宋体" w:hAnsi="宋体" w:eastAsia="宋体" w:cs="宋体"/>
                <w:b/>
                <w:color w:val="000000"/>
                <w:szCs w:val="21"/>
              </w:rPr>
            </w:pPr>
            <w:r>
              <w:rPr>
                <w:rFonts w:hint="eastAsia" w:ascii="宋体" w:hAnsi="宋体" w:eastAsia="宋体" w:cs="宋体"/>
                <w:b/>
                <w:color w:val="000000"/>
                <w:szCs w:val="21"/>
              </w:rPr>
              <w:t xml:space="preserve">评分标准</w:t>
            </w:r>
            <w:r/>
          </w:p>
        </w:tc>
      </w:tr>
      <w:tr>
        <w:trPr/>
        <w:tc>
          <w:tcPr>
            <w:tcW w:w="704" w:type="dxa"/>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1</w:t>
            </w:r>
            <w:r/>
          </w:p>
        </w:tc>
        <w:tc>
          <w:tcPr>
            <w:gridSpan w:val="2"/>
            <w:tcW w:w="2835" w:type="dxa"/>
            <w:vAlign w:val="center"/>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价格分（30分）</w:t>
            </w:r>
            <w:r/>
          </w:p>
        </w:tc>
        <w:tc>
          <w:tcPr>
            <w:tcW w:w="5888" w:type="dxa"/>
            <w:vAlign w:val="center"/>
            <w:textDirection w:val="lrTb"/>
            <w:noWrap w:val="false"/>
          </w:tcPr>
          <w:p>
            <w:pPr>
              <w:jc w:val="left"/>
              <w:rPr>
                <w:rFonts w:ascii="Times New Roman" w:hAnsi="Times New Roman" w:eastAsia="宋体" w:cs="Times New Roman"/>
              </w:rPr>
            </w:pPr>
            <w:r>
              <w:rPr>
                <w:rFonts w:hint="eastAsia" w:ascii="Times New Roman" w:hAnsi="Times New Roman" w:eastAsia="宋体" w:cs="Times New Roman"/>
              </w:rPr>
              <w:t xml:space="preserve">采用低价优先法计算，即满足招标文件要求且投标价格最低的投标报价为评标基准价，其价格分为满分30分。其他投标人的价格分统一按照下列公式计算：投标报价得分=(评标基准价／投标报价)×30（按四舍五入取至小数点后两位）。</w:t>
            </w:r>
            <w:r/>
          </w:p>
        </w:tc>
      </w:tr>
      <w:tr>
        <w:trPr/>
        <w:tc>
          <w:tcPr>
            <w:tcW w:w="704" w:type="dxa"/>
            <w:vAlign w:val="center"/>
            <w:vMerge w:val="restart"/>
            <w:textDirection w:val="lrTb"/>
            <w:noWrap w:val="false"/>
          </w:tcPr>
          <w:p>
            <w:pPr>
              <w:jc w:val="center"/>
              <w:rPr>
                <w:rFonts w:ascii="Times New Roman" w:hAnsi="Times New Roman" w:eastAsia="宋体" w:cs="Times New Roman"/>
              </w:rPr>
            </w:pPr>
            <w:r>
              <w:rPr>
                <w:rFonts w:hint="eastAsia" w:ascii="Times New Roman" w:hAnsi="Times New Roman" w:eastAsia="宋体" w:cs="Times New Roman"/>
              </w:rPr>
              <w:t xml:space="preserve">2</w:t>
            </w:r>
            <w:r/>
          </w:p>
        </w:tc>
        <w:tc>
          <w:tcPr>
            <w:tcW w:w="1559" w:type="dxa"/>
            <w:vAlign w:val="center"/>
            <w:vMerge w:val="restart"/>
            <w:textDirection w:val="lrTb"/>
            <w:noWrap w:val="false"/>
          </w:tcPr>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技术分(45分)</w:t>
            </w:r>
            <w:r/>
          </w:p>
        </w:tc>
        <w:tc>
          <w:tcPr>
            <w:tcW w:w="1276" w:type="dxa"/>
            <w:vAlign w:val="center"/>
            <w:textDirection w:val="lrTb"/>
            <w:noWrap w:val="false"/>
          </w:tcPr>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技术参数（36分）</w:t>
            </w:r>
            <w:r/>
          </w:p>
        </w:tc>
        <w:tc>
          <w:tcPr>
            <w:tcW w:w="5888" w:type="dxa"/>
            <w:vAlign w:val="center"/>
            <w:textDirection w:val="lrTb"/>
            <w:noWrap w:val="false"/>
          </w:tcPr>
          <w:p>
            <w:pPr>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按招标文件的技术参数要求进行评审；</w:t>
            </w:r>
            <w:r/>
          </w:p>
          <w:p>
            <w:pPr>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打★号指标为必须满足项，如有负偏离将作为无效投标；</w:t>
            </w:r>
            <w:r/>
          </w:p>
          <w:p>
            <w:pPr>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打▲号为重要指标，有一项负偏离扣1.5分；其余指标有一项负偏离扣1分，扣完为止。</w:t>
            </w:r>
            <w:r/>
          </w:p>
          <w:p>
            <w:pPr>
              <w:jc w:val="left"/>
              <w:rPr>
                <w:rFonts w:ascii="Times New Roman" w:hAnsi="Times New Roman" w:eastAsia="宋体" w:cs="Times New Roman"/>
                <w:color w:val="000000"/>
              </w:rPr>
            </w:pPr>
            <w:r>
              <w:rPr>
                <w:rFonts w:hint="eastAsia" w:ascii="Times New Roman" w:hAnsi="Times New Roman" w:eastAsia="宋体" w:cs="Times New Roman"/>
                <w:color w:val="000000"/>
              </w:rPr>
              <w:t xml:space="preserve">以采购需求中要求提供的相关证明材料为准(</w:t>
            </w:r>
            <w:r>
              <w:rPr>
                <w:rFonts w:hint="eastAsia" w:ascii="Times New Roman" w:hAnsi="Times New Roman" w:eastAsia="宋体" w:cs="Times New Roman"/>
                <w:color w:val="000000"/>
                <w:lang w:val="en-GB"/>
              </w:rPr>
              <w:t xml:space="preserve">证明材料未提供的或提供与要求不符的视为负偏离</w:t>
            </w:r>
            <w:r>
              <w:rPr>
                <w:rFonts w:hint="eastAsia" w:ascii="Times New Roman" w:hAnsi="Times New Roman" w:eastAsia="宋体" w:cs="Times New Roman"/>
                <w:color w:val="000000"/>
              </w:rPr>
              <w:t xml:space="preserve">)；未要求提供证明材料的指标，投标人需在“技术要求响应及偏离表”中如实逐项填列所投产品的参数并加盖投标人公章，未列出的，按负偏离处理。</w:t>
            </w:r>
            <w:r/>
          </w:p>
        </w:tc>
      </w:tr>
      <w:tr>
        <w:trPr/>
        <w:tc>
          <w:tcPr>
            <w:tcW w:w="704" w:type="dxa"/>
            <w:vAlign w:val="center"/>
            <w:vMerge w:val="continue"/>
            <w:textDirection w:val="lrTb"/>
            <w:noWrap w:val="false"/>
          </w:tcPr>
          <w:p>
            <w:pPr>
              <w:jc w:val="center"/>
              <w:rPr>
                <w:rFonts w:ascii="Times New Roman" w:hAnsi="Times New Roman" w:eastAsia="宋体" w:cs="Times New Roman"/>
              </w:rPr>
            </w:pPr>
            <w:r>
              <w:rPr>
                <w:rFonts w:ascii="Times New Roman" w:hAnsi="Times New Roman" w:eastAsia="宋体" w:cs="Times New Roman"/>
              </w:rPr>
            </w:r>
            <w:r/>
          </w:p>
        </w:tc>
        <w:tc>
          <w:tcPr>
            <w:tcW w:w="1559" w:type="dxa"/>
            <w:vAlign w:val="center"/>
            <w:vMerge w:val="continue"/>
            <w:textDirection w:val="lrTb"/>
            <w:noWrap w:val="false"/>
          </w:tcPr>
          <w:p>
            <w:pPr>
              <w:jc w:val="center"/>
              <w:rPr>
                <w:rFonts w:ascii="Times New Roman" w:hAnsi="Times New Roman" w:eastAsia="宋体" w:cs="Times New Roman"/>
                <w:color w:val="000000"/>
              </w:rPr>
            </w:pPr>
            <w:r>
              <w:rPr>
                <w:rFonts w:ascii="Times New Roman" w:hAnsi="Times New Roman" w:eastAsia="宋体" w:cs="Times New Roman"/>
                <w:color w:val="000000"/>
              </w:rPr>
            </w:r>
            <w:r/>
          </w:p>
        </w:tc>
        <w:tc>
          <w:tcPr>
            <w:tcW w:w="1276" w:type="dxa"/>
            <w:vAlign w:val="center"/>
            <w:textDirection w:val="lrTb"/>
            <w:noWrap w:val="false"/>
          </w:tcPr>
          <w:p>
            <w:pPr>
              <w:jc w:val="center"/>
              <w:rPr>
                <w:rFonts w:ascii="Times New Roman" w:hAnsi="Times New Roman" w:eastAsia="宋体" w:cs="Times New Roman"/>
                <w:color w:val="000000"/>
              </w:rPr>
            </w:pPr>
            <w:r>
              <w:rPr>
                <w:rFonts w:hint="eastAsia" w:ascii="Times New Roman" w:hAnsi="Times New Roman" w:eastAsia="宋体" w:cs="Times New Roman"/>
                <w:color w:val="000000"/>
              </w:rPr>
              <w:t xml:space="preserve">技术方案（9分）</w:t>
            </w:r>
            <w:r/>
          </w:p>
        </w:tc>
        <w:tc>
          <w:tcPr>
            <w:tcW w:w="5888" w:type="dxa"/>
            <w:vAlign w:val="center"/>
            <w:textDirection w:val="lrTb"/>
            <w:noWrap w:val="false"/>
          </w:tcPr>
          <w:p>
            <w:pPr>
              <w:jc w:val="left"/>
              <w:rPr>
                <w:rFonts w:hint="eastAsia" w:ascii="宋体" w:hAnsi="宋体" w:eastAsia="宋体" w:cs="宋体"/>
                <w:color w:val="000000"/>
              </w:rPr>
            </w:pPr>
            <w:r>
              <w:rPr>
                <w:rFonts w:hint="eastAsia" w:ascii="宋体" w:hAnsi="宋体" w:eastAsia="宋体" w:cs="宋体"/>
                <w:color w:val="000000"/>
              </w:rPr>
              <w:t xml:space="preserve">根据投标人针对本项目提供的技术方案进行评审，内容包括但不限于:(1)进度保障措施(需提供进度保障计划表)(2)质量保障措施(3)运输方案(4)时间安排(5)人员配备及分工(6)工作流程(7)风险防范措施(8)应急保障措施等;</w:t>
            </w:r>
            <w:r/>
          </w:p>
          <w:p>
            <w:pPr>
              <w:numPr>
                <w:ilvl w:val="0"/>
                <w:numId w:val="10"/>
              </w:numPr>
              <w:jc w:val="left"/>
              <w:rPr>
                <w:rFonts w:hint="eastAsia" w:ascii="宋体" w:hAnsi="宋体" w:eastAsia="宋体" w:cs="宋体"/>
                <w:color w:val="000000"/>
              </w:rPr>
            </w:pPr>
            <w:r>
              <w:rPr>
                <w:rFonts w:hint="eastAsia" w:ascii="宋体" w:hAnsi="宋体" w:eastAsia="宋体" w:cs="宋体"/>
                <w:color w:val="000000"/>
              </w:rPr>
              <w:t xml:space="preserve">针对每项内容进行的阐述合理且符合项目需求、全面详细的得9分;</w:t>
            </w:r>
            <w:r/>
          </w:p>
          <w:p>
            <w:pPr>
              <w:numPr>
                <w:ilvl w:val="0"/>
                <w:numId w:val="10"/>
              </w:numPr>
              <w:jc w:val="left"/>
              <w:rPr>
                <w:rFonts w:hint="eastAsia" w:ascii="宋体" w:hAnsi="宋体" w:eastAsia="宋体" w:cs="宋体"/>
                <w:color w:val="000000"/>
                <w:sz w:val="22"/>
                <w:szCs w:val="24"/>
              </w:rPr>
            </w:pPr>
            <w:r>
              <w:rPr>
                <w:rFonts w:hint="eastAsia" w:ascii="宋体" w:hAnsi="宋体" w:eastAsia="宋体" w:cs="宋体"/>
                <w:color w:val="000000"/>
              </w:rPr>
              <w:t xml:space="preserve">针对每项内容进行的阐述较合理且基本符合项目需求、较全面的得6分</w:t>
            </w:r>
            <w:r>
              <w:rPr>
                <w:rFonts w:hint="eastAsia" w:ascii="宋体" w:hAnsi="宋体" w:eastAsia="宋体" w:cs="宋体"/>
                <w:color w:val="000000"/>
                <w:sz w:val="22"/>
                <w:szCs w:val="24"/>
              </w:rPr>
              <w:t xml:space="preserve">;</w:t>
            </w:r>
            <w:r/>
          </w:p>
          <w:p>
            <w:pPr>
              <w:numPr>
                <w:ilvl w:val="0"/>
                <w:numId w:val="10"/>
              </w:numPr>
              <w:jc w:val="left"/>
              <w:rPr>
                <w:rFonts w:hint="eastAsia" w:ascii="宋体" w:hAnsi="宋体" w:eastAsia="宋体" w:cs="宋体"/>
                <w:color w:val="000000"/>
              </w:rPr>
            </w:pPr>
            <w:r>
              <w:rPr>
                <w:rFonts w:hint="eastAsia" w:ascii="宋体" w:hAnsi="宋体" w:eastAsia="宋体" w:cs="宋体"/>
                <w:color w:val="000000"/>
              </w:rPr>
              <w:t xml:space="preserve">针对每项内容虽阐述但存在缺陷，未完全贴合实际情况，或内容不完整的得3分;</w:t>
            </w:r>
            <w:r/>
          </w:p>
          <w:p>
            <w:pPr>
              <w:jc w:val="left"/>
              <w:rPr>
                <w:rFonts w:hint="eastAsia" w:ascii="宋体" w:hAnsi="宋体" w:eastAsia="宋体" w:cs="宋体"/>
                <w:color w:val="000000"/>
              </w:rPr>
            </w:pPr>
            <w:r>
              <w:rPr>
                <w:rFonts w:hint="eastAsia" w:ascii="宋体" w:hAnsi="宋体" w:eastAsia="宋体" w:cs="宋体"/>
                <w:color w:val="000000"/>
              </w:rPr>
              <w:t xml:space="preserve">4.未提供或提供内容与本项目无关的每项得0分。</w:t>
            </w:r>
            <w:r/>
          </w:p>
          <w:p>
            <w:pPr>
              <w:jc w:val="left"/>
              <w:rPr>
                <w:rFonts w:ascii="Times New Roman" w:hAnsi="Times New Roman" w:eastAsia="宋体" w:cs="Times New Roman"/>
                <w:color w:val="000000"/>
              </w:rPr>
            </w:pPr>
            <w:r>
              <w:rPr>
                <w:rFonts w:hint="eastAsia" w:ascii="宋体" w:hAnsi="宋体" w:eastAsia="宋体" w:cs="宋体"/>
                <w:color w:val="000000"/>
              </w:rPr>
              <w:t xml:space="preserve">注:缺陷或不足是指内容逻辑混乱，不符合相关的国家、行业标准。不完整指内容具有明显缺陷，前后内容无法连贯:不符合项目实际情况指内容脱离了实际情况，不利于采购人实施。</w:t>
            </w:r>
            <w:r/>
          </w:p>
        </w:tc>
      </w:tr>
      <w:tr>
        <w:trPr>
          <w:trHeight w:val="602"/>
        </w:trPr>
        <w:tc>
          <w:tcPr>
            <w:tcW w:w="704" w:type="dxa"/>
            <w:vAlign w:val="center"/>
            <w:vMerge w:val="restart"/>
            <w:textDirection w:val="lrTb"/>
            <w:noWrap w:val="false"/>
          </w:tcPr>
          <w:p>
            <w:pPr>
              <w:jc w:val="center"/>
              <w:keepNext/>
              <w:rPr>
                <w:rFonts w:ascii="Times New Roman" w:hAnsi="Times New Roman" w:eastAsia="宋体" w:cs="Times New Roman"/>
              </w:rPr>
            </w:pPr>
            <w:r>
              <w:rPr>
                <w:rFonts w:hint="eastAsia" w:ascii="Times New Roman" w:hAnsi="Times New Roman" w:eastAsia="宋体" w:cs="Times New Roman"/>
              </w:rPr>
              <w:t xml:space="preserve">3</w:t>
            </w:r>
            <w:r/>
          </w:p>
        </w:tc>
        <w:tc>
          <w:tcPr>
            <w:tcW w:w="1559" w:type="dxa"/>
            <w:vAlign w:val="center"/>
            <w:vMerge w:val="restart"/>
            <w:textDirection w:val="lrTb"/>
            <w:noWrap w:val="false"/>
          </w:tcPr>
          <w:p>
            <w:pPr>
              <w:jc w:val="center"/>
              <w:keepNext/>
              <w:rPr>
                <w:rFonts w:ascii="Times New Roman" w:hAnsi="Times New Roman" w:eastAsia="宋体" w:cs="Times New Roman"/>
                <w:color w:val="000000"/>
              </w:rPr>
            </w:pPr>
            <w:r>
              <w:rPr>
                <w:rFonts w:hint="eastAsia" w:ascii="Times New Roman" w:hAnsi="Times New Roman" w:eastAsia="宋体" w:cs="Times New Roman"/>
                <w:color w:val="000000"/>
              </w:rPr>
              <w:t xml:space="preserve">商务分(25分)</w:t>
            </w:r>
            <w:r/>
          </w:p>
        </w:tc>
        <w:tc>
          <w:tcPr>
            <w:tcW w:w="1276" w:type="dxa"/>
            <w:vAlign w:val="center"/>
            <w:textDirection w:val="lrTb"/>
            <w:noWrap w:val="false"/>
          </w:tcPr>
          <w:p>
            <w:pPr>
              <w:jc w:val="center"/>
              <w:keepNext/>
              <w:rPr>
                <w:rFonts w:ascii="Times New Roman" w:hAnsi="Times New Roman" w:eastAsia="宋体" w:cs="Times New Roman"/>
                <w:color w:val="000000"/>
              </w:rPr>
            </w:pPr>
            <w:r>
              <w:rPr>
                <w:rFonts w:hint="eastAsia" w:ascii="Times New Roman" w:hAnsi="Times New Roman" w:eastAsia="宋体" w:cs="Times New Roman"/>
                <w:color w:val="000000"/>
              </w:rPr>
              <w:t xml:space="preserve">项目团队</w:t>
            </w:r>
            <w:r/>
          </w:p>
          <w:p>
            <w:pPr>
              <w:jc w:val="center"/>
              <w:keepNext/>
              <w:rPr>
                <w:rFonts w:ascii="Times New Roman" w:hAnsi="Times New Roman" w:eastAsia="宋体" w:cs="Times New Roman"/>
                <w:color w:val="000000"/>
              </w:rPr>
            </w:pPr>
            <w:r>
              <w:rPr>
                <w:rFonts w:hint="eastAsia" w:ascii="Times New Roman" w:hAnsi="Times New Roman" w:eastAsia="宋体" w:cs="Times New Roman"/>
                <w:color w:val="000000"/>
              </w:rPr>
              <w:t xml:space="preserve">（8分）</w:t>
            </w:r>
            <w:r/>
          </w:p>
        </w:tc>
        <w:tc>
          <w:tcPr>
            <w:tcW w:w="5888" w:type="dxa"/>
            <w:vAlign w:val="center"/>
            <w:textDirection w:val="lrTb"/>
            <w:noWrap w:val="false"/>
          </w:tcPr>
          <w:p>
            <w:pPr>
              <w:spacing w:line="240" w:lineRule="exac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1.投标人拟派项目负责人具有信息系统项目管理师，提供证书的得2分。 </w:t>
            </w:r>
            <w:r/>
          </w:p>
          <w:p>
            <w:pPr>
              <w:spacing w:line="240" w:lineRule="exact"/>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2.投标人拟派项目团队成员（不包含项目负责人）中具有信息系统项目管理师、数据库系统工程师、系统集成项目管理工程师的，每提供一个证书的得2分，最高得6分。</w:t>
            </w:r>
            <w:r/>
          </w:p>
          <w:p>
            <w:pPr>
              <w:jc w:val="left"/>
              <w:keepNext/>
              <w:rPr>
                <w:rFonts w:hint="eastAsia" w:ascii="宋体" w:hAnsi="宋体" w:eastAsia="宋体"/>
                <w:color w:val="ff0000"/>
              </w:rPr>
            </w:pPr>
            <w:r>
              <w:rPr>
                <w:rFonts w:hint="eastAsia" w:ascii="宋体" w:hAnsi="宋体" w:eastAsia="宋体" w:cs="宋体"/>
                <w:bCs/>
                <w:color w:val="000000" w:themeColor="text1"/>
                <w:szCs w:val="21"/>
                <w14:textFill>
                  <w14:solidFill>
                    <w14:schemeClr w14:val="tx1"/>
                  </w14:solidFill>
                </w14:textFill>
              </w:rPr>
              <w:t xml:space="preserve">（上述投标文件中提供有效证书及2026年3月（含）以来任意一个月由投标人为其缴纳的社保证明材料扫描件并加盖投标人公章，否则不得分。一人多证不重复得分）</w:t>
            </w:r>
            <w:r/>
          </w:p>
        </w:tc>
      </w:tr>
      <w:tr>
        <w:trPr>
          <w:trHeight w:val="962"/>
        </w:trPr>
        <w:tc>
          <w:tcPr>
            <w:tcW w:w="704" w:type="dxa"/>
            <w:vAlign w:val="center"/>
            <w:vMerge w:val="continue"/>
            <w:textDirection w:val="lrTb"/>
            <w:noWrap w:val="false"/>
          </w:tcPr>
          <w:p>
            <w:pPr>
              <w:jc w:val="center"/>
              <w:keepNext/>
              <w:rPr>
                <w:rFonts w:ascii="Times New Roman" w:hAnsi="Times New Roman" w:eastAsia="宋体" w:cs="Times New Roman"/>
              </w:rPr>
            </w:pPr>
            <w:r>
              <w:rPr>
                <w:rFonts w:ascii="Times New Roman" w:hAnsi="Times New Roman" w:eastAsia="宋体" w:cs="Times New Roman"/>
              </w:rPr>
            </w:r>
            <w:r/>
          </w:p>
        </w:tc>
        <w:tc>
          <w:tcPr>
            <w:tcW w:w="1559" w:type="dxa"/>
            <w:vAlign w:val="center"/>
            <w:vMerge w:val="continue"/>
            <w:textDirection w:val="lrTb"/>
            <w:noWrap w:val="false"/>
          </w:tcPr>
          <w:p>
            <w:pPr>
              <w:jc w:val="center"/>
              <w:keepNext/>
              <w:rPr>
                <w:rFonts w:ascii="Times New Roman" w:hAnsi="Times New Roman" w:eastAsia="宋体" w:cs="Times New Roman"/>
                <w:color w:val="000000"/>
              </w:rPr>
            </w:pPr>
            <w:r>
              <w:rPr>
                <w:rFonts w:ascii="Times New Roman" w:hAnsi="Times New Roman" w:eastAsia="宋体" w:cs="Times New Roman"/>
                <w:color w:val="000000"/>
              </w:rPr>
            </w:r>
            <w:r/>
          </w:p>
        </w:tc>
        <w:tc>
          <w:tcPr>
            <w:tcW w:w="1276" w:type="dxa"/>
            <w:vAlign w:val="center"/>
            <w:textDirection w:val="lrTb"/>
            <w:noWrap w:val="false"/>
          </w:tcPr>
          <w:p>
            <w:pPr>
              <w:jc w:val="center"/>
              <w:keepNext/>
              <w:rPr>
                <w:rFonts w:ascii="Times New Roman" w:hAnsi="Times New Roman" w:eastAsia="宋体" w:cs="Times New Roman"/>
                <w:color w:val="000000"/>
              </w:rPr>
            </w:pPr>
            <w:r>
              <w:rPr>
                <w:rFonts w:hint="eastAsia" w:ascii="Times New Roman" w:hAnsi="Times New Roman" w:eastAsia="宋体" w:cs="Times New Roman"/>
                <w:color w:val="000000"/>
              </w:rPr>
              <w:t xml:space="preserve">售后服务方案（6分）</w:t>
            </w:r>
            <w:r/>
          </w:p>
        </w:tc>
        <w:tc>
          <w:tcPr>
            <w:tcW w:w="5888" w:type="dxa"/>
            <w:vAlign w:val="center"/>
            <w:textDirection w:val="lrTb"/>
            <w:noWrap w:val="false"/>
          </w:tcPr>
          <w:p>
            <w:pPr>
              <w:jc w:val="left"/>
              <w:keepNext/>
              <w:rPr>
                <w:rFonts w:hint="eastAsia" w:ascii="宋体" w:hAnsi="宋体" w:eastAsia="宋体" w:cs="宋体"/>
                <w:color w:val="000000"/>
              </w:rPr>
            </w:pPr>
            <w:r>
              <w:rPr>
                <w:rFonts w:hint="eastAsia" w:ascii="宋体" w:hAnsi="宋体" w:eastAsia="宋体" w:cs="宋体"/>
                <w:color w:val="000000"/>
              </w:rPr>
              <w:t xml:space="preserve">根据投标人提供的售后服务方案进行评审，内容包括但不限于:(1)售后服务人员配置方案(2)售后响应时间(售后服务时限、缺陷处理时限)(3)后续质量保证能力方案(质保及保修期内保证质量方案)(4)现场服务措施(5)管理制度等;</w:t>
            </w:r>
            <w:r/>
          </w:p>
          <w:p>
            <w:pPr>
              <w:jc w:val="left"/>
              <w:keepNext/>
              <w:rPr>
                <w:rFonts w:hint="eastAsia" w:ascii="宋体" w:hAnsi="宋体" w:eastAsia="宋体" w:cs="宋体"/>
                <w:color w:val="000000"/>
              </w:rPr>
            </w:pPr>
            <w:r>
              <w:rPr>
                <w:rFonts w:hint="eastAsia" w:ascii="宋体" w:hAnsi="宋体" w:eastAsia="宋体" w:cs="宋体"/>
                <w:color w:val="000000"/>
              </w:rPr>
              <w:t xml:space="preserve">1.针对每项内容进行的阐述合理且符合项目需求、全面详细的得6分;</w:t>
            </w:r>
            <w:r/>
          </w:p>
          <w:p>
            <w:pPr>
              <w:jc w:val="left"/>
              <w:keepNext/>
              <w:rPr>
                <w:rFonts w:hint="eastAsia" w:ascii="宋体" w:hAnsi="宋体" w:eastAsia="宋体" w:cs="宋体"/>
                <w:color w:val="000000"/>
              </w:rPr>
            </w:pPr>
            <w:r>
              <w:rPr>
                <w:rFonts w:hint="eastAsia" w:ascii="宋体" w:hAnsi="宋体" w:eastAsia="宋体" w:cs="宋体"/>
                <w:color w:val="000000"/>
              </w:rPr>
              <w:t xml:space="preserve">2.针对每项内容进行的阐述较合理且基本符合项目需求、较全面的得4分;</w:t>
            </w:r>
            <w:r/>
          </w:p>
          <w:p>
            <w:pPr>
              <w:jc w:val="left"/>
              <w:keepNext/>
              <w:rPr>
                <w:rFonts w:hint="eastAsia" w:ascii="宋体" w:hAnsi="宋体" w:eastAsia="宋体" w:cs="宋体"/>
                <w:color w:val="000000"/>
              </w:rPr>
            </w:pPr>
            <w:r>
              <w:rPr>
                <w:rFonts w:hint="eastAsia" w:ascii="宋体" w:hAnsi="宋体" w:eastAsia="宋体" w:cs="宋体"/>
                <w:color w:val="000000"/>
              </w:rPr>
              <w:t xml:space="preserve">3.供应商针对每项内容虽阐述但存在缺陷，未完全贴合实际情况，或内容不完整的得2分;</w:t>
            </w:r>
            <w:r/>
          </w:p>
          <w:p>
            <w:pPr>
              <w:jc w:val="left"/>
              <w:keepNext/>
              <w:rPr>
                <w:rFonts w:hint="eastAsia" w:ascii="宋体" w:hAnsi="宋体" w:eastAsia="宋体" w:cs="宋体"/>
                <w:color w:val="000000"/>
              </w:rPr>
            </w:pPr>
            <w:r>
              <w:rPr>
                <w:rFonts w:hint="eastAsia" w:ascii="宋体" w:hAnsi="宋体" w:eastAsia="宋体" w:cs="宋体"/>
                <w:color w:val="000000"/>
              </w:rPr>
              <w:t xml:space="preserve">4.未提供或提供内容与本项目无关的每项得0分。</w:t>
            </w:r>
            <w:r/>
          </w:p>
          <w:p>
            <w:pPr>
              <w:jc w:val="left"/>
              <w:keepNext/>
              <w:rPr>
                <w:rFonts w:hint="eastAsia" w:ascii="宋体" w:hAnsi="宋体" w:eastAsia="宋体"/>
                <w:color w:val="ff0000"/>
              </w:rPr>
            </w:pPr>
            <w:r>
              <w:rPr>
                <w:rFonts w:hint="eastAsia" w:ascii="宋体" w:hAnsi="宋体" w:eastAsia="宋体" w:cs="宋体"/>
                <w:color w:val="000000"/>
              </w:rPr>
              <w:t xml:space="preserve">注:缺陷或不足是指内容逻辑混乱，不符合相关的国家、行业标准。不完整指内容具有明显缺陷，前后内容无法连贯;不符合项目实际情况指内容脱离了实际情况，不利于采购人实施。</w:t>
            </w:r>
            <w:r/>
          </w:p>
        </w:tc>
      </w:tr>
      <w:tr>
        <w:trPr>
          <w:trHeight w:val="3036"/>
        </w:trPr>
        <w:tc>
          <w:tcPr>
            <w:tcW w:w="704" w:type="dxa"/>
            <w:vAlign w:val="center"/>
            <w:vMerge w:val="continue"/>
            <w:textDirection w:val="lrTb"/>
            <w:noWrap w:val="false"/>
          </w:tcPr>
          <w:p>
            <w:pPr>
              <w:jc w:val="center"/>
              <w:keepNext/>
              <w:rPr>
                <w:rFonts w:ascii="Times New Roman" w:hAnsi="Times New Roman" w:eastAsia="宋体" w:cs="Times New Roman"/>
              </w:rPr>
            </w:pPr>
            <w:r>
              <w:rPr>
                <w:rFonts w:ascii="Times New Roman" w:hAnsi="Times New Roman" w:eastAsia="宋体" w:cs="Times New Roman"/>
              </w:rPr>
            </w:r>
            <w:r/>
          </w:p>
        </w:tc>
        <w:tc>
          <w:tcPr>
            <w:tcW w:w="1559" w:type="dxa"/>
            <w:vAlign w:val="center"/>
            <w:vMerge w:val="continue"/>
            <w:textDirection w:val="lrTb"/>
            <w:noWrap w:val="false"/>
          </w:tcPr>
          <w:p>
            <w:pPr>
              <w:jc w:val="center"/>
              <w:keepNext/>
              <w:rPr>
                <w:rFonts w:ascii="Times New Roman" w:hAnsi="Times New Roman" w:eastAsia="宋体" w:cs="Times New Roman"/>
                <w:color w:val="000000"/>
              </w:rPr>
            </w:pPr>
            <w:r>
              <w:rPr>
                <w:rFonts w:ascii="Times New Roman" w:hAnsi="Times New Roman" w:eastAsia="宋体" w:cs="Times New Roman"/>
                <w:color w:val="000000"/>
              </w:rPr>
            </w:r>
            <w:r/>
          </w:p>
        </w:tc>
        <w:tc>
          <w:tcPr>
            <w:tcW w:w="1276" w:type="dxa"/>
            <w:vAlign w:val="center"/>
            <w:textDirection w:val="lrTb"/>
            <w:noWrap w:val="false"/>
          </w:tcPr>
          <w:p>
            <w:pPr>
              <w:jc w:val="center"/>
              <w:keepNext/>
              <w:rPr>
                <w:rFonts w:ascii="Times New Roman" w:hAnsi="Times New Roman" w:eastAsia="宋体" w:cs="Times New Roman"/>
                <w:color w:val="000000"/>
              </w:rPr>
            </w:pPr>
            <w:r>
              <w:rPr>
                <w:rFonts w:hint="eastAsia" w:ascii="Times New Roman" w:hAnsi="Times New Roman" w:eastAsia="宋体" w:cs="Times New Roman"/>
                <w:color w:val="000000"/>
              </w:rPr>
              <w:t xml:space="preserve">培训方案（6分）</w:t>
            </w:r>
            <w:r/>
          </w:p>
        </w:tc>
        <w:tc>
          <w:tcPr>
            <w:tcW w:w="5888" w:type="dxa"/>
            <w:vAlign w:val="center"/>
            <w:textDirection w:val="lrTb"/>
            <w:noWrap w:val="false"/>
          </w:tcPr>
          <w:p>
            <w:pPr>
              <w:jc w:val="left"/>
              <w:keepNext/>
              <w:rPr>
                <w:rFonts w:hint="eastAsia" w:ascii="宋体" w:hAnsi="宋体" w:eastAsia="宋体" w:cs="宋体"/>
                <w:color w:val="000000"/>
                <w:lang w:val="zh-CN"/>
              </w:rPr>
            </w:pPr>
            <w:r>
              <w:rPr>
                <w:rFonts w:hint="eastAsia" w:ascii="宋体" w:hAnsi="宋体" w:eastAsia="宋体" w:cs="宋体"/>
                <w:color w:val="000000"/>
                <w:lang w:val="zh-CN"/>
              </w:rPr>
              <w:t xml:space="preserve">根据投标人提供的培训方案进行评审，内容包括但不限于:(1)培训时间(2)培训项目(3)培训人员配备(4)培训方案等;</w:t>
            </w:r>
            <w:r/>
          </w:p>
          <w:p>
            <w:pPr>
              <w:jc w:val="left"/>
              <w:keepNext/>
              <w:rPr>
                <w:rFonts w:hint="eastAsia" w:ascii="宋体" w:hAnsi="宋体" w:eastAsia="宋体" w:cs="宋体"/>
                <w:color w:val="000000"/>
                <w:lang w:val="zh-CN"/>
              </w:rPr>
            </w:pPr>
            <w:r>
              <w:rPr>
                <w:rFonts w:hint="eastAsia" w:ascii="宋体" w:hAnsi="宋体" w:eastAsia="宋体" w:cs="宋体"/>
                <w:color w:val="000000"/>
                <w:lang w:val="zh-CN"/>
              </w:rPr>
              <w:t xml:space="preserve">1.针对每项内容进行的阐述合理且符合项目需求、全面详细的得</w:t>
            </w:r>
            <w:r>
              <w:rPr>
                <w:rFonts w:hint="eastAsia" w:ascii="宋体" w:hAnsi="宋体" w:eastAsia="宋体" w:cs="宋体"/>
                <w:color w:val="000000"/>
              </w:rPr>
              <w:t xml:space="preserve">6</w:t>
            </w:r>
            <w:r>
              <w:rPr>
                <w:rFonts w:hint="eastAsia" w:ascii="宋体" w:hAnsi="宋体" w:eastAsia="宋体" w:cs="宋体"/>
                <w:color w:val="000000"/>
                <w:lang w:val="zh-CN"/>
              </w:rPr>
              <w:t xml:space="preserve">分;</w:t>
            </w:r>
            <w:r/>
          </w:p>
          <w:p>
            <w:pPr>
              <w:jc w:val="left"/>
              <w:keepNext/>
              <w:rPr>
                <w:rFonts w:hint="eastAsia" w:ascii="宋体" w:hAnsi="宋体" w:eastAsia="宋体" w:cs="宋体"/>
                <w:color w:val="000000"/>
                <w:lang w:val="zh-CN"/>
              </w:rPr>
            </w:pPr>
            <w:r>
              <w:rPr>
                <w:rFonts w:hint="eastAsia" w:ascii="宋体" w:hAnsi="宋体" w:eastAsia="宋体" w:cs="宋体"/>
                <w:color w:val="000000"/>
                <w:lang w:val="zh-CN"/>
              </w:rPr>
              <w:t xml:space="preserve">2.针对每项内容进行的阐述较合理且基本符合项目需求、较全面的得</w:t>
            </w:r>
            <w:r>
              <w:rPr>
                <w:rFonts w:hint="eastAsia" w:ascii="宋体" w:hAnsi="宋体" w:eastAsia="宋体" w:cs="宋体"/>
                <w:color w:val="000000"/>
              </w:rPr>
              <w:t xml:space="preserve">4</w:t>
            </w:r>
            <w:r>
              <w:rPr>
                <w:rFonts w:hint="eastAsia" w:ascii="宋体" w:hAnsi="宋体" w:eastAsia="宋体" w:cs="宋体"/>
                <w:color w:val="000000"/>
                <w:lang w:val="zh-CN"/>
              </w:rPr>
              <w:t xml:space="preserve">分;</w:t>
            </w:r>
            <w:r/>
          </w:p>
          <w:p>
            <w:pPr>
              <w:jc w:val="left"/>
              <w:keepNext/>
              <w:rPr>
                <w:rFonts w:hint="eastAsia" w:ascii="宋体" w:hAnsi="宋体" w:eastAsia="宋体" w:cs="宋体"/>
                <w:color w:val="000000"/>
                <w:lang w:val="zh-CN"/>
              </w:rPr>
            </w:pPr>
            <w:r>
              <w:rPr>
                <w:rFonts w:hint="eastAsia" w:ascii="宋体" w:hAnsi="宋体" w:eastAsia="宋体" w:cs="宋体"/>
                <w:color w:val="000000"/>
                <w:lang w:val="zh-CN"/>
              </w:rPr>
              <w:t xml:space="preserve">3.针对每项内容虽阐述但存在缺陷，未完全贴合实际情况，或内容不完整的得2分;</w:t>
            </w:r>
            <w:r/>
          </w:p>
          <w:p>
            <w:pPr>
              <w:jc w:val="left"/>
              <w:keepNext/>
              <w:rPr>
                <w:rFonts w:hint="eastAsia" w:ascii="宋体" w:hAnsi="宋体" w:eastAsia="宋体" w:cs="宋体"/>
                <w:color w:val="000000"/>
                <w:lang w:val="zh-CN"/>
              </w:rPr>
            </w:pPr>
            <w:r>
              <w:rPr>
                <w:rFonts w:hint="eastAsia" w:ascii="宋体" w:hAnsi="宋体" w:eastAsia="宋体" w:cs="宋体"/>
                <w:color w:val="000000"/>
                <w:lang w:val="zh-CN"/>
              </w:rPr>
              <w:t xml:space="preserve">4.未提供或提供内容与本项目无关的每项得0分。</w:t>
            </w:r>
            <w:r/>
          </w:p>
          <w:p>
            <w:pPr>
              <w:jc w:val="left"/>
              <w:keepNext/>
              <w:rPr>
                <w:rFonts w:ascii="Times New Roman" w:hAnsi="Times New Roman" w:eastAsia="宋体" w:cs="Times New Roman"/>
                <w:color w:val="000000"/>
                <w:lang w:val="zh-CN"/>
              </w:rPr>
            </w:pPr>
            <w:r>
              <w:rPr>
                <w:rFonts w:hint="eastAsia" w:ascii="宋体" w:hAnsi="宋体" w:eastAsia="宋体" w:cs="宋体"/>
                <w:color w:val="000000"/>
                <w:lang w:val="zh-CN"/>
              </w:rPr>
              <w:t xml:space="preserve">注:缺陷或不足是指内容逻辑混乱不符合相关的国家、行业标准。不完整指内容具有明显缺陷，前后内容无法连贯;不符合项目实际情况指内容脱离了实际情况，不利于采购人实施。</w:t>
            </w:r>
            <w:r/>
          </w:p>
        </w:tc>
      </w:tr>
      <w:tr>
        <w:trPr/>
        <w:tc>
          <w:tcPr>
            <w:tcW w:w="704" w:type="dxa"/>
            <w:vAlign w:val="center"/>
            <w:vMerge w:val="continue"/>
            <w:textDirection w:val="lrTb"/>
            <w:noWrap w:val="false"/>
          </w:tcPr>
          <w:p>
            <w:pPr>
              <w:jc w:val="center"/>
              <w:keepNext/>
              <w:rPr>
                <w:rFonts w:ascii="Times New Roman" w:hAnsi="Times New Roman" w:eastAsia="宋体" w:cs="Times New Roman"/>
              </w:rPr>
            </w:pPr>
            <w:r/>
            <w:bookmarkStart w:id="12" w:name="_Hlk238710600"/>
            <w:r/>
            <w:r/>
          </w:p>
        </w:tc>
        <w:tc>
          <w:tcPr>
            <w:tcW w:w="1559" w:type="dxa"/>
            <w:vAlign w:val="center"/>
            <w:vMerge w:val="continue"/>
            <w:textDirection w:val="lrTb"/>
            <w:noWrap w:val="false"/>
          </w:tcPr>
          <w:p>
            <w:pPr>
              <w:jc w:val="center"/>
              <w:keepNext/>
              <w:rPr>
                <w:rFonts w:ascii="Times New Roman" w:hAnsi="Times New Roman" w:eastAsia="宋体" w:cs="Times New Roman"/>
              </w:rPr>
            </w:pPr>
            <w:r>
              <w:rPr>
                <w:rFonts w:ascii="Times New Roman" w:hAnsi="Times New Roman" w:eastAsia="宋体" w:cs="Times New Roman"/>
              </w:rPr>
            </w:r>
            <w:r/>
          </w:p>
        </w:tc>
        <w:tc>
          <w:tcPr>
            <w:tcW w:w="1276" w:type="dxa"/>
            <w:vAlign w:val="center"/>
            <w:textDirection w:val="lrTb"/>
            <w:noWrap w:val="false"/>
          </w:tcPr>
          <w:p>
            <w:pPr>
              <w:jc w:val="center"/>
              <w:keepNext/>
              <w:rPr>
                <w:rFonts w:ascii="Times New Roman" w:hAnsi="Times New Roman" w:eastAsia="宋体" w:cs="Times New Roman"/>
              </w:rPr>
            </w:pPr>
            <w:r>
              <w:rPr>
                <w:rFonts w:hint="eastAsia" w:ascii="Times New Roman" w:hAnsi="Times New Roman" w:eastAsia="宋体" w:cs="Times New Roman"/>
              </w:rPr>
              <w:t xml:space="preserve">类似业绩</w:t>
            </w:r>
            <w:r/>
          </w:p>
          <w:p>
            <w:pPr>
              <w:jc w:val="center"/>
              <w:keepNext/>
              <w:rPr>
                <w:rFonts w:ascii="Times New Roman" w:hAnsi="Times New Roman" w:eastAsia="宋体" w:cs="Times New Roman"/>
              </w:rPr>
            </w:pPr>
            <w:r>
              <w:rPr>
                <w:rFonts w:hint="eastAsia" w:ascii="Times New Roman" w:hAnsi="Times New Roman" w:eastAsia="宋体" w:cs="Times New Roman"/>
              </w:rPr>
              <w:t xml:space="preserve">（5分）</w:t>
            </w:r>
            <w:r/>
          </w:p>
        </w:tc>
        <w:tc>
          <w:tcPr>
            <w:tcW w:w="5888" w:type="dxa"/>
            <w:vAlign w:val="center"/>
            <w:textDirection w:val="lrTb"/>
            <w:noWrap w:val="false"/>
          </w:tcPr>
          <w:p>
            <w:pPr>
              <w:jc w:val="left"/>
              <w:keepNext/>
              <w:rPr>
                <w:rFonts w:ascii="Times New Roman" w:hAnsi="Times New Roman" w:eastAsia="宋体" w:cs="Times New Roman"/>
              </w:rPr>
            </w:pPr>
            <w:r>
              <w:rPr>
                <w:rFonts w:hint="eastAsia" w:ascii="Times New Roman" w:hAnsi="Times New Roman" w:eastAsia="宋体" w:cs="Times New Roman"/>
              </w:rPr>
              <w:t xml:space="preserve">自2023年1月1日以来，投标人承接过类似的业绩，每有一个得2.5分，本项最高得5分。</w:t>
            </w:r>
            <w:r/>
          </w:p>
          <w:p>
            <w:pPr>
              <w:jc w:val="left"/>
              <w:keepNext/>
              <w:rPr>
                <w:rFonts w:ascii="Times New Roman" w:hAnsi="Times New Roman" w:eastAsia="宋体" w:cs="Times New Roman"/>
                <w:lang w:val="zh-CN"/>
              </w:rPr>
            </w:pPr>
            <w:r>
              <w:rPr>
                <w:rFonts w:hint="eastAsia" w:ascii="Times New Roman" w:hAnsi="Times New Roman" w:eastAsia="宋体" w:cs="Times New Roman"/>
              </w:rPr>
              <w:t xml:space="preserve">说明：提供类似合同原件扫描件，时间以合同签订时间为准，提供的业绩材料必须能清晰反映合同价款、时间、项目内容等需要明确的内容，未明确、缺项、含糊不清的不予计分。</w:t>
            </w:r>
            <w:bookmarkEnd w:id="12"/>
            <w:r/>
            <w:r/>
          </w:p>
        </w:tc>
      </w:tr>
    </w:tbl>
    <w:p>
      <w:pPr>
        <w:spacing w:line="240" w:lineRule="exact"/>
        <w:rPr>
          <w:rFonts w:hint="eastAsia" w:ascii="宋体" w:hAnsi="宋体" w:eastAsia="宋体" w:cs="宋体"/>
          <w:b/>
          <w:sz w:val="24"/>
          <w:szCs w:val="24"/>
          <w:lang w:bidi="ar"/>
        </w:rPr>
      </w:pPr>
      <w:r>
        <w:rPr>
          <w:rFonts w:hint="eastAsia" w:ascii="宋体" w:hAnsi="宋体" w:eastAsia="宋体" w:cs="宋体"/>
          <w:b/>
          <w:sz w:val="24"/>
          <w:szCs w:val="24"/>
          <w:lang w:bidi="ar"/>
        </w:rPr>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sz w:val="24"/>
          <w:szCs w:val="24"/>
          <w:lang w:bidi="ar"/>
        </w:rPr>
        <w:t xml:space="preserve">备注：上述评标办法中涉及提供的证明材料以原件扫描件上传至电子投标文件中，上传的资料原件扫描件不完善、不齐全、不完整或无法清晰辨认等，均不予以认可。</w:t>
      </w:r>
      <w:r>
        <w:rPr>
          <w:rFonts w:hint="eastAsia" w:ascii="宋体" w:hAnsi="宋体" w:eastAsia="宋体" w:cs="宋体"/>
          <w:b/>
          <w:color w:val="ff0000"/>
          <w:sz w:val="24"/>
          <w:szCs w:val="24"/>
          <w:lang w:bidi="ar"/>
        </w:rPr>
        <w:t xml:space="preserve">原件备查。</w:t>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center"/>
        <w:keepNext/>
        <w:rPr>
          <w:rFonts w:hint="eastAsia" w:ascii="宋体" w:hAnsi="宋体" w:eastAsia="宋体" w:cs="宋体"/>
          <w:bCs/>
          <w:color w:val="000000" w:themeColor="text1"/>
          <w:sz w:val="44"/>
          <w:szCs w:val="28"/>
          <w14:textFill>
            <w14:solidFill>
              <w14:schemeClr w14:val="tx1"/>
            </w14:solidFill>
          </w14:textFill>
        </w:rPr>
        <w:outlineLvl w:val="0"/>
      </w:pPr>
      <w:r>
        <w:rPr>
          <w:rFonts w:hint="eastAsia" w:ascii="宋体" w:hAnsi="宋体" w:eastAsia="宋体" w:cs="宋体"/>
          <w:bCs/>
          <w:color w:val="000000" w:themeColor="text1"/>
          <w:sz w:val="44"/>
          <w:szCs w:val="28"/>
          <w14:textFill>
            <w14:solidFill>
              <w14:schemeClr w14:val="tx1"/>
            </w14:solidFill>
          </w14:textFill>
        </w:rPr>
      </w:r>
      <w:r/>
    </w:p>
    <w:p>
      <w:pPr>
        <w:jc w:val="center"/>
        <w:keepNext/>
        <w:rPr>
          <w:rFonts w:hint="eastAsia" w:ascii="宋体" w:hAnsi="宋体" w:eastAsia="宋体" w:cs="宋体"/>
          <w:bCs/>
          <w:color w:val="000000" w:themeColor="text1"/>
          <w:sz w:val="44"/>
          <w:szCs w:val="28"/>
          <w14:textFill>
            <w14:solidFill>
              <w14:schemeClr w14:val="tx1"/>
            </w14:solidFill>
          </w14:textFill>
        </w:rPr>
        <w:outlineLvl w:val="0"/>
      </w:pPr>
      <w:r>
        <w:rPr>
          <w:rFonts w:hint="eastAsia" w:ascii="宋体" w:hAnsi="宋体" w:eastAsia="宋体" w:cs="宋体"/>
          <w:bCs/>
          <w:color w:val="000000" w:themeColor="text1"/>
          <w:sz w:val="44"/>
          <w:szCs w:val="28"/>
          <w14:textFill>
            <w14:solidFill>
              <w14:schemeClr w14:val="tx1"/>
            </w14:solidFill>
          </w14:textFill>
        </w:rPr>
        <w:t xml:space="preserve">第六章投标文件格式</w:t>
      </w:r>
      <w:r/>
    </w:p>
    <w:p>
      <w:pPr>
        <w:jc w:val="center"/>
        <w:rPr>
          <w:rFonts w:hint="eastAsia" w:ascii="宋体" w:hAnsi="宋体" w:eastAsia="宋体" w:cs="宋体"/>
          <w:b/>
          <w:color w:val="000000" w:themeColor="text1"/>
          <w:sz w:val="72"/>
          <w:szCs w:val="21"/>
          <w14:textFill>
            <w14:solidFill>
              <w14:schemeClr w14:val="tx1"/>
            </w14:solidFill>
          </w14:textFill>
        </w:rPr>
      </w:pPr>
      <w:r/>
      <w:bookmarkStart w:id="13" w:name="_Hlt26955039"/>
      <w:r/>
      <w:bookmarkEnd w:id="13"/>
      <w:r/>
      <w:bookmarkStart w:id="14" w:name="_Hlt26671244"/>
      <w:r/>
      <w:bookmarkEnd w:id="14"/>
      <w:r/>
      <w:bookmarkStart w:id="15" w:name="_Toc120614282"/>
      <w:r/>
      <w:bookmarkStart w:id="16" w:name="_Toc49090576"/>
      <w:r/>
      <w:bookmarkStart w:id="17" w:name="_Toc26554094"/>
      <w:r/>
      <w:r/>
    </w:p>
    <w:p>
      <w:pPr>
        <w:jc w:val="center"/>
        <w:rPr>
          <w:rFonts w:hint="eastAsia"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t xml:space="preserve">投标文件</w:t>
      </w:r>
      <w:r/>
    </w:p>
    <w:p>
      <w:pPr>
        <w:jc w:val="center"/>
        <w:rPr>
          <w:rFonts w:hint="eastAsia"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r>
      <w:r/>
    </w:p>
    <w:p>
      <w:pPr>
        <w:jc w:val="center"/>
        <w:rPr>
          <w:rFonts w:hint="eastAsia"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r>
      <w:r/>
    </w:p>
    <w:p>
      <w:pPr>
        <w:jc w:val="center"/>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r>
      <w:r/>
    </w:p>
    <w:p>
      <w:pPr>
        <w:jc w:val="center"/>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r>
      <w:r/>
    </w:p>
    <w:p>
      <w:pPr>
        <w:jc w:val="center"/>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r>
      <w:r/>
    </w:p>
    <w:p>
      <w:pPr>
        <w:ind w:firstLine="1084"/>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 xml:space="preserve">项目名称：</w:t>
      </w:r>
      <w:r/>
    </w:p>
    <w:p>
      <w:pPr>
        <w:ind w:firstLine="1084"/>
        <w:rPr>
          <w:rFonts w:hint="eastAsia" w:ascii="宋体" w:hAnsi="宋体" w:eastAsia="宋体" w:cs="宋体"/>
          <w:b/>
          <w:color w:val="000000" w:themeColor="text1"/>
          <w:sz w:val="36"/>
          <w:szCs w:val="21"/>
          <w:u w:val="single"/>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 xml:space="preserve">项目编号：</w:t>
      </w:r>
      <w:r/>
    </w:p>
    <w:p>
      <w:pPr>
        <w:ind w:firstLine="1084"/>
        <w:rPr>
          <w:rFonts w:hint="eastAsia" w:ascii="宋体" w:hAnsi="宋体" w:eastAsia="宋体" w:cs="宋体"/>
          <w:b/>
          <w:color w:val="000000" w:themeColor="text1"/>
          <w:sz w:val="36"/>
          <w:szCs w:val="21"/>
          <w:u w:val="single"/>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 xml:space="preserve">投标人名称：</w:t>
      </w:r>
      <w:r>
        <w:rPr>
          <w:rFonts w:hint="eastAsia" w:ascii="宋体" w:hAnsi="宋体" w:eastAsia="宋体" w:cs="宋体"/>
          <w:b/>
          <w:color w:val="000000" w:themeColor="text1"/>
          <w:sz w:val="36"/>
          <w:szCs w:val="21"/>
          <w:u w:val="single"/>
          <w14:textFill>
            <w14:solidFill>
              <w14:schemeClr w14:val="tx1"/>
            </w14:solidFill>
          </w14:textFill>
        </w:rPr>
        <w:t xml:space="preserve">（加盖CA电子公章）</w:t>
      </w:r>
      <w:r/>
    </w:p>
    <w:p>
      <w:pPr>
        <w:ind w:firstLine="1084"/>
        <w:rPr>
          <w:rFonts w:hint="eastAsia" w:ascii="宋体" w:hAnsi="宋体" w:eastAsia="宋体" w:cs="宋体"/>
          <w:b/>
          <w:color w:val="000000" w:themeColor="text1"/>
          <w:sz w:val="36"/>
          <w:szCs w:val="21"/>
          <w:u w:val="single"/>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 xml:space="preserve">日    期：</w:t>
      </w:r>
      <w:r/>
    </w:p>
    <w:p>
      <w:pPr>
        <w:jc w:val="center"/>
        <w:spacing w:line="44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spacing w:line="4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p>
      <w:pPr>
        <w:jc w:val="left"/>
        <w:keepLines/>
        <w:keepNext/>
        <w:spacing w:line="360" w:lineRule="auto"/>
        <w:rPr>
          <w:rFonts w:hint="eastAsia" w:ascii="宋体" w:hAnsi="宋体" w:eastAsia="宋体" w:cs="宋体"/>
          <w:i/>
          <w:color w:val="000000" w:themeColor="text1"/>
          <w:sz w:val="28"/>
          <w:szCs w:val="28"/>
          <w:u w:val="single"/>
          <w14:textFill>
            <w14:solidFill>
              <w14:schemeClr w14:val="tx1"/>
            </w14:solidFill>
          </w14:textFill>
        </w:rPr>
        <w:outlineLvl w:val="1"/>
      </w:pPr>
      <w:r>
        <w:rPr>
          <w:rFonts w:hint="eastAsia" w:ascii="宋体" w:hAnsi="宋体" w:eastAsia="宋体" w:cs="宋体"/>
          <w:b/>
          <w:color w:val="000000" w:themeColor="text1"/>
          <w:sz w:val="36"/>
          <w:szCs w:val="21"/>
          <w:u w:val="single"/>
          <w14:textFill>
            <w14:solidFill>
              <w14:schemeClr w14:val="tx1"/>
            </w14:solidFill>
          </w14:textFill>
        </w:rPr>
        <w:br w:type="page" w:clear="all"/>
      </w:r>
      <w:bookmarkEnd w:id="15"/>
      <w:r/>
      <w:bookmarkEnd w:id="16"/>
      <w:r/>
      <w:bookmarkEnd w:id="17"/>
      <w:r>
        <w:rPr>
          <w:rFonts w:hint="eastAsia" w:ascii="宋体" w:hAnsi="宋体" w:eastAsia="宋体" w:cs="宋体"/>
          <w:i/>
          <w:color w:val="000000" w:themeColor="text1"/>
          <w:sz w:val="28"/>
          <w:szCs w:val="28"/>
          <w:u w:val="single"/>
          <w14:textFill>
            <w14:solidFill>
              <w14:schemeClr w14:val="tx1"/>
            </w14:solidFill>
          </w14:textFill>
        </w:rPr>
        <w:t xml:space="preserve">一、法人或者其他组织的营业执照等证明文件，自然人的身份证明</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i/>
          <w:color w:val="000000" w:themeColor="text1"/>
          <w:sz w:val="28"/>
          <w:szCs w:val="28"/>
          <w:u w:val="single"/>
          <w14:textFill>
            <w14:solidFill>
              <w14:schemeClr w14:val="tx1"/>
            </w14:solidFill>
          </w14:textFill>
        </w:rPr>
      </w:pPr>
      <w:r>
        <w:rPr>
          <w:rFonts w:hint="eastAsia" w:ascii="宋体" w:hAnsi="宋体" w:eastAsia="宋体" w:cs="宋体"/>
          <w:i/>
          <w:color w:val="000000" w:themeColor="text1"/>
          <w:sz w:val="36"/>
          <w:u w:val="single"/>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二、具有良好的商业信誉和健全的财务会计制度</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i/>
          <w:color w:val="000000" w:themeColor="text1"/>
          <w:sz w:val="28"/>
          <w:szCs w:val="28"/>
          <w:u w:val="single"/>
          <w14:textFill>
            <w14:solidFill>
              <w14:schemeClr w14:val="tx1"/>
            </w14:solidFill>
          </w14:textFill>
        </w:rPr>
      </w:pPr>
      <w:r>
        <w:rPr>
          <w:rFonts w:hint="eastAsia" w:ascii="宋体" w:hAnsi="宋体" w:eastAsia="宋体" w:cs="宋体"/>
          <w:i/>
          <w:iCs/>
          <w:color w:val="000000" w:themeColor="text1"/>
          <w:sz w:val="36"/>
          <w:u w:val="single"/>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三、依法缴纳税收和社会保障资金的相关材料</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财务状况报告及税收、社会保障资金缴纳情况承诺函</w:t>
      </w:r>
      <w:r/>
    </w:p>
    <w:p>
      <w:pPr>
        <w:jc w:val="left"/>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i/>
          <w:color w:val="000000" w:themeColor="text1"/>
          <w:sz w:val="24"/>
          <w:szCs w:val="24"/>
          <w:u w:val="single"/>
          <w14:textFill>
            <w14:solidFill>
              <w14:schemeClr w14:val="tx1"/>
            </w14:solidFill>
          </w14:textFill>
        </w:rPr>
        <w:t xml:space="preserve">招标人名称</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我方</w:t>
      </w:r>
      <w:r>
        <w:rPr>
          <w:rFonts w:hint="eastAsia" w:ascii="宋体" w:hAnsi="宋体" w:eastAsia="宋体" w:cs="宋体"/>
          <w:i/>
          <w:color w:val="000000" w:themeColor="text1"/>
          <w:sz w:val="24"/>
          <w:szCs w:val="24"/>
          <w:u w:val="single"/>
          <w14:textFill>
            <w14:solidFill>
              <w14:schemeClr w14:val="tx1"/>
            </w14:solidFill>
          </w14:textFill>
        </w:rPr>
        <w:t xml:space="preserve">投标人名称</w:t>
      </w:r>
      <w:r>
        <w:rPr>
          <w:rFonts w:hint="eastAsia" w:ascii="宋体" w:hAnsi="宋体" w:eastAsia="宋体" w:cs="宋体"/>
          <w:color w:val="000000" w:themeColor="text1"/>
          <w:sz w:val="24"/>
          <w:szCs w:val="24"/>
          <w14:textFill>
            <w14:solidFill>
              <w14:schemeClr w14:val="tx1"/>
            </w14:solidFill>
          </w14:textFill>
        </w:rPr>
        <w:t xml:space="preserve">参加</w:t>
      </w:r>
      <w:r>
        <w:rPr>
          <w:rFonts w:hint="eastAsia" w:ascii="宋体" w:hAnsi="宋体" w:eastAsia="宋体" w:cs="宋体"/>
          <w:i/>
          <w:color w:val="000000" w:themeColor="text1"/>
          <w:sz w:val="24"/>
          <w:szCs w:val="24"/>
          <w:u w:val="single"/>
          <w14:textFill>
            <w14:solidFill>
              <w14:schemeClr w14:val="tx1"/>
            </w14:solidFill>
          </w14:textFill>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i/>
          <w:color w:val="000000" w:themeColor="text1"/>
          <w:sz w:val="24"/>
          <w:szCs w:val="24"/>
          <w:u w:val="single"/>
          <w14:textFill>
            <w14:solidFill>
              <w14:schemeClr w14:val="tx1"/>
            </w14:solidFill>
          </w14:textFill>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（1）具有良好的商业信誉和健全的财务会计制度（财务状况报告）；</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（2）有依法缴纳税收和社会保障资金的良好记录。</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特此承诺</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投标人（公章）：</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法定代表人（单位负责人）或委托代理人（签名或签章）：</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日期：年月日</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i/>
          <w:color w:val="000000" w:themeColor="text1"/>
          <w:sz w:val="28"/>
          <w:szCs w:val="28"/>
          <w:u w:val="single"/>
          <w14:textFill>
            <w14:solidFill>
              <w14:schemeClr w14:val="tx1"/>
            </w14:solidFill>
          </w14:textFill>
        </w:rPr>
      </w:pPr>
      <w:r>
        <w:rPr>
          <w:rFonts w:hint="eastAsia" w:ascii="宋体" w:hAnsi="宋体" w:eastAsia="宋体" w:cs="宋体"/>
          <w:i/>
          <w:iCs/>
          <w:color w:val="000000" w:themeColor="text1"/>
          <w:sz w:val="36"/>
          <w:u w:val="single"/>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四、具备履行合同所必需的设备和专业技术能力的声明及证明材料</w:t>
      </w:r>
      <w:r/>
    </w:p>
    <w:p>
      <w:pPr>
        <w:jc w:val="center"/>
        <w:spacing w:line="360" w:lineRule="auto"/>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具备履行合同所必需的设备和专业技术能力的声明</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主要设备有：。（须附证明材料）</w:t>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主要专业技术能力有：。（须附证明材料）</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投标人（盖章）：</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法定代表人（单位负责人）或委托代理人（签字或盖章）：</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日期：年月日</w:t>
      </w:r>
      <w:r/>
    </w:p>
    <w:p>
      <w:pPr>
        <w:jc w:val="left"/>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附主要设备和主要专业技术能力的证明材料如下：</w:t>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i/>
          <w:color w:val="000000" w:themeColor="text1"/>
          <w:sz w:val="28"/>
          <w:szCs w:val="28"/>
          <w:u w:val="single"/>
          <w14:textFill>
            <w14:solidFill>
              <w14:schemeClr w14:val="tx1"/>
            </w14:solidFill>
          </w14:textFill>
        </w:rPr>
      </w:pPr>
      <w:r>
        <w:rPr>
          <w:rFonts w:hint="eastAsia" w:ascii="宋体" w:hAnsi="宋体" w:eastAsia="宋体" w:cs="宋体"/>
          <w:i/>
          <w:iCs/>
          <w:color w:val="000000" w:themeColor="text1"/>
          <w:sz w:val="36"/>
          <w:u w:val="single"/>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五、参加政府采购活动前3年内在经营活动中没有重大违法记录的书面声明</w:t>
      </w:r>
      <w:r/>
    </w:p>
    <w:p>
      <w:pPr>
        <w:jc w:val="center"/>
        <w:spacing w:line="360" w:lineRule="auto"/>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 xml:space="preserve">声  明</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投标人（盖章）：</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法定代表人（单位负责人）或委托代理人（签字或盖章）：</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日期：年月日</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i/>
          <w:color w:val="000000" w:themeColor="text1"/>
          <w:sz w:val="28"/>
          <w:szCs w:val="28"/>
          <w:u w:val="single"/>
          <w14:textFill>
            <w14:solidFill>
              <w14:schemeClr w14:val="tx1"/>
            </w14:solidFill>
          </w14:textFill>
        </w:rPr>
      </w:pPr>
      <w:r>
        <w:rPr>
          <w:rFonts w:hint="eastAsia" w:ascii="宋体" w:hAnsi="宋体" w:eastAsia="宋体" w:cs="宋体"/>
          <w:i/>
          <w:iCs/>
          <w:color w:val="000000" w:themeColor="text1"/>
          <w:sz w:val="36"/>
          <w:u w:val="single"/>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六、法律、行政法规规定的其他条件的证明文件</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（如有，请按要求提供）</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i/>
          <w:color w:val="000000" w:themeColor="text1"/>
          <w:sz w:val="28"/>
          <w:szCs w:val="28"/>
          <w:u w:val="single"/>
          <w14:textFill>
            <w14:solidFill>
              <w14:schemeClr w14:val="tx1"/>
            </w14:solidFill>
          </w14:textFill>
        </w:rPr>
      </w:pPr>
      <w:r>
        <w:rPr>
          <w:rFonts w:hint="eastAsia" w:ascii="宋体" w:hAnsi="宋体" w:eastAsia="宋体" w:cs="宋体"/>
          <w:i/>
          <w:iCs/>
          <w:color w:val="000000" w:themeColor="text1"/>
          <w:sz w:val="36"/>
          <w:u w:val="single"/>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七、落实政府采购政策需满足的资格要求的证明文件</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（如有，请按要求提供）</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i/>
          <w:color w:val="000000" w:themeColor="text1"/>
          <w:sz w:val="28"/>
          <w:szCs w:val="28"/>
          <w:u w:val="single"/>
          <w14:textFill>
            <w14:solidFill>
              <w14:schemeClr w14:val="tx1"/>
            </w14:solidFill>
          </w14:textFill>
        </w:rPr>
      </w:pPr>
      <w:r>
        <w:rPr>
          <w:rFonts w:hint="eastAsia" w:ascii="宋体" w:hAnsi="宋体" w:eastAsia="宋体" w:cs="宋体"/>
          <w:i/>
          <w:iCs/>
          <w:color w:val="000000" w:themeColor="text1"/>
          <w:sz w:val="36"/>
          <w:u w:val="single"/>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八、特定资格要求的证明文件</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（如有，请按要求提供）</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i/>
          <w:iCs/>
          <w:color w:val="000000" w:themeColor="text1"/>
          <w:sz w:val="36"/>
          <w:u w:val="single"/>
          <w14:textFill>
            <w14:solidFill>
              <w14:schemeClr w14:val="tx1"/>
            </w14:solidFill>
          </w14:textFill>
        </w:rPr>
      </w:pPr>
      <w:r>
        <w:rPr>
          <w:rFonts w:hint="eastAsia" w:ascii="宋体" w:hAnsi="宋体" w:eastAsia="宋体" w:cs="宋体"/>
          <w:i/>
          <w:iCs/>
          <w:color w:val="000000" w:themeColor="text1"/>
          <w:sz w:val="36"/>
          <w:u w:val="single"/>
          <w14:textFill>
            <w14:solidFill>
              <w14:schemeClr w14:val="tx1"/>
            </w14:solidFill>
          </w14:textFill>
        </w:rPr>
      </w:r>
      <w:r/>
    </w:p>
    <w:p>
      <w:pPr>
        <w:rPr>
          <w:rFonts w:hint="eastAsia" w:ascii="宋体" w:hAnsi="宋体" w:eastAsia="宋体" w:cs="宋体"/>
          <w:i/>
          <w:iCs/>
          <w:color w:val="000000" w:themeColor="text1"/>
          <w:sz w:val="36"/>
          <w:u w:val="single"/>
          <w14:textFill>
            <w14:solidFill>
              <w14:schemeClr w14:val="tx1"/>
            </w14:solidFill>
          </w14:textFill>
        </w:rPr>
      </w:pPr>
      <w:r>
        <w:rPr>
          <w:rFonts w:hint="eastAsia" w:ascii="宋体" w:hAnsi="宋体" w:eastAsia="宋体" w:cs="宋体"/>
          <w:i/>
          <w:iCs/>
          <w:color w:val="000000" w:themeColor="text1"/>
          <w:sz w:val="36"/>
          <w:u w:val="single"/>
          <w14:textFill>
            <w14:solidFill>
              <w14:schemeClr w14:val="tx1"/>
            </w14:solidFill>
          </w14:textFill>
        </w:rPr>
      </w:r>
      <w:r/>
    </w:p>
    <w:p>
      <w:pPr>
        <w:jc w:val="left"/>
        <w:keepLines/>
        <w:keepNext/>
        <w:spacing w:line="360" w:lineRule="auto"/>
        <w:rPr>
          <w:rFonts w:hint="eastAsia" w:ascii="宋体" w:hAnsi="宋体" w:eastAsia="宋体" w:cs="宋体"/>
          <w:i/>
          <w:iCs/>
          <w:color w:val="000000" w:themeColor="text1"/>
          <w:sz w:val="36"/>
          <w:u w:val="single"/>
          <w14:textFill>
            <w14:solidFill>
              <w14:schemeClr w14:val="tx1"/>
            </w14:solidFill>
          </w14:textFill>
        </w:rPr>
        <w:outlineLvl w:val="1"/>
      </w:pPr>
      <w:r>
        <w:rPr>
          <w:rFonts w:hint="eastAsia" w:ascii="宋体" w:hAnsi="宋体" w:eastAsia="宋体" w:cs="宋体"/>
          <w:i/>
          <w:color w:val="000000" w:themeColor="text1"/>
          <w:sz w:val="28"/>
          <w:szCs w:val="28"/>
          <w:u w:val="single"/>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九、授权委托书与法定代表人（单位负责人）身份证明</w:t>
      </w:r>
      <w:r/>
    </w:p>
    <w:p>
      <w:pPr>
        <w:jc w:val="center"/>
        <w:spacing w:line="360" w:lineRule="auto"/>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授权委托书</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致：采购单位</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人（姓名）系（投标人名称）的法定代表人（单位负责人），现委托（姓名）为我方代理人。代理人根据授权，以我方名义签署、澄清确认、递交、撤回、修改（项目名称）项目（项目编号：）投标文件和处理有关事宜，其法律后果由我方承担。</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代理人无转委托权。</w:t>
      </w:r>
      <w:r>
        <w:rPr>
          <w:rFonts w:hint="eastAsia" w:ascii="宋体" w:hAnsi="宋体" w:eastAsia="宋体" w:cs="宋体"/>
          <w:color w:val="000000" w:themeColor="text1"/>
          <w:sz w:val="24"/>
          <w:szCs w:val="24"/>
          <w14:textFill>
            <w14:solidFill>
              <w14:schemeClr w14:val="tx1"/>
            </w14:solidFill>
          </w14:textFill>
        </w:rPr>
        <w:br/>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投标人名称（加盖公章）：</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法定代表人（单位负责人）（签字、签章或印鉴）：</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委托代理人（签字/签章）：</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日期：年月日</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法定代表人（单位负责人）有效期内的身份证正反面电子件：</w:t>
      </w:r>
      <w:r/>
    </w:p>
    <w:tbl>
      <w:tblPr>
        <w:tblStyle w:val="8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36" w:type="dxa"/>
            <w:textDirection w:val="lrTb"/>
            <w:noWrap w:val="false"/>
          </w:tcPr>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委托代理人有效期内的身份证正反面电子件：</w:t>
      </w:r>
      <w:r/>
    </w:p>
    <w:tbl>
      <w:tblPr>
        <w:tblStyle w:val="8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36" w:type="dxa"/>
            <w:textDirection w:val="lrTb"/>
            <w:noWrap w:val="false"/>
          </w:tcPr>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填报说明：</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1、若投标人为事业单位或其他组织或分支机构（仅当招标文件注明允许分支机构投标的），则法定代表人（单位负责人）处的签署人可为单位负责人。</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2、若投标文件中全部签字之处均为法定代表人（单位负责人）本人签署，则可不提供本《授权委托书》，但须提供《法定代表人（单位负责人）身份证明》。</w:t>
      </w:r>
      <w:r/>
    </w:p>
    <w:p>
      <w:pPr>
        <w:ind w:firstLine="42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3、投标人为自然人的情形，可不提供本《授权委托书》。</w:t>
      </w:r>
      <w:r/>
    </w:p>
    <w:p>
      <w:pPr>
        <w:jc w:val="center"/>
        <w:spacing w:line="360" w:lineRule="auto"/>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法定代表人（单位负责人）身份证明</w:t>
      </w:r>
      <w:r/>
    </w:p>
    <w:p>
      <w:pPr>
        <w:spacing w:line="360" w:lineRule="auto"/>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spacing w:line="360" w:lineRule="auto"/>
        <w:tabs>
          <w:tab w:val="left" w:pos="558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姓名：性别：年龄：职务：</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系</w:t>
      </w:r>
      <w:r>
        <w:rPr>
          <w:rFonts w:hint="eastAsia" w:ascii="宋体" w:hAnsi="宋体" w:eastAsia="宋体" w:cs="宋体"/>
          <w:color w:val="000000" w:themeColor="text1"/>
          <w:sz w:val="24"/>
          <w:szCs w:val="24"/>
          <w:u w:val="single"/>
          <w14:textFill>
            <w14:solidFill>
              <w14:schemeClr w14:val="tx1"/>
            </w14:solidFill>
          </w14:textFill>
        </w:rPr>
        <w:t xml:space="preserve">（投标人名称）</w:t>
      </w:r>
      <w:r>
        <w:rPr>
          <w:rFonts w:hint="eastAsia" w:ascii="宋体" w:hAnsi="宋体" w:eastAsia="宋体" w:cs="宋体"/>
          <w:color w:val="000000" w:themeColor="text1"/>
          <w:sz w:val="24"/>
          <w:szCs w:val="24"/>
          <w14:textFill>
            <w14:solidFill>
              <w14:schemeClr w14:val="tx1"/>
            </w14:solidFill>
          </w14:textFill>
        </w:rPr>
        <w:t xml:space="preserve">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tabs>
          <w:tab w:val="left" w:pos="567" w:leader="none"/>
        </w:tabs>
        <w:rPr>
          <w:rFonts w:hint="eastAsia" w:ascii="宋体" w:hAnsi="宋体" w:eastAsia="宋体" w:cs="宋体"/>
          <w:color w:val="000000" w:themeColor="text1"/>
          <w:spacing w:val="-3"/>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法</w:t>
      </w:r>
      <w:r>
        <w:rPr>
          <w:rFonts w:hint="eastAsia" w:ascii="宋体" w:hAnsi="宋体" w:eastAsia="宋体" w:cs="宋体"/>
          <w:color w:val="000000" w:themeColor="text1"/>
          <w:sz w:val="24"/>
          <w:szCs w:val="24"/>
          <w14:textFill>
            <w14:solidFill>
              <w14:schemeClr w14:val="tx1"/>
            </w14:solidFill>
          </w14:textFill>
        </w:rPr>
        <w:t xml:space="preserve">定</w:t>
      </w:r>
      <w:r>
        <w:rPr>
          <w:rFonts w:hint="eastAsia" w:ascii="宋体" w:hAnsi="宋体" w:eastAsia="宋体" w:cs="宋体"/>
          <w:color w:val="000000" w:themeColor="text1"/>
          <w:spacing w:val="-3"/>
          <w:sz w:val="24"/>
          <w:szCs w:val="24"/>
          <w14:textFill>
            <w14:solidFill>
              <w14:schemeClr w14:val="tx1"/>
            </w14:solidFill>
          </w14:textFill>
        </w:rPr>
        <w:t xml:space="preserve">代</w:t>
      </w:r>
      <w:r>
        <w:rPr>
          <w:rFonts w:hint="eastAsia" w:ascii="宋体" w:hAnsi="宋体" w:eastAsia="宋体" w:cs="宋体"/>
          <w:color w:val="000000" w:themeColor="text1"/>
          <w:sz w:val="24"/>
          <w:szCs w:val="24"/>
          <w14:textFill>
            <w14:solidFill>
              <w14:schemeClr w14:val="tx1"/>
            </w14:solidFill>
          </w14:textFill>
        </w:rPr>
        <w:t xml:space="preserve">表</w:t>
      </w:r>
      <w:r>
        <w:rPr>
          <w:rFonts w:hint="eastAsia" w:ascii="宋体" w:hAnsi="宋体" w:eastAsia="宋体" w:cs="宋体"/>
          <w:color w:val="000000" w:themeColor="text1"/>
          <w:spacing w:val="-3"/>
          <w:sz w:val="24"/>
          <w:szCs w:val="24"/>
          <w14:textFill>
            <w14:solidFill>
              <w14:schemeClr w14:val="tx1"/>
            </w14:solidFill>
          </w14:textFill>
        </w:rPr>
        <w:t xml:space="preserve">人</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pacing w:val="-3"/>
          <w:sz w:val="24"/>
          <w:szCs w:val="24"/>
          <w14:textFill>
            <w14:solidFill>
              <w14:schemeClr w14:val="tx1"/>
            </w14:solidFill>
          </w14:textFill>
        </w:rPr>
        <w:t xml:space="preserve">单</w:t>
      </w:r>
      <w:r>
        <w:rPr>
          <w:rFonts w:hint="eastAsia" w:ascii="宋体" w:hAnsi="宋体" w:eastAsia="宋体" w:cs="宋体"/>
          <w:color w:val="000000" w:themeColor="text1"/>
          <w:sz w:val="24"/>
          <w:szCs w:val="24"/>
          <w14:textFill>
            <w14:solidFill>
              <w14:schemeClr w14:val="tx1"/>
            </w14:solidFill>
          </w14:textFill>
        </w:rPr>
        <w:t xml:space="preserve">位</w:t>
      </w:r>
      <w:r>
        <w:rPr>
          <w:rFonts w:hint="eastAsia" w:ascii="宋体" w:hAnsi="宋体" w:eastAsia="宋体" w:cs="宋体"/>
          <w:color w:val="000000" w:themeColor="text1"/>
          <w:spacing w:val="-3"/>
          <w:sz w:val="24"/>
          <w:szCs w:val="24"/>
          <w14:textFill>
            <w14:solidFill>
              <w14:schemeClr w14:val="tx1"/>
            </w14:solidFill>
          </w14:textFill>
        </w:rPr>
        <w:t xml:space="preserve">负</w:t>
      </w:r>
      <w:r>
        <w:rPr>
          <w:rFonts w:hint="eastAsia" w:ascii="宋体" w:hAnsi="宋体" w:eastAsia="宋体" w:cs="宋体"/>
          <w:color w:val="000000" w:themeColor="text1"/>
          <w:sz w:val="24"/>
          <w:szCs w:val="24"/>
          <w14:textFill>
            <w14:solidFill>
              <w14:schemeClr w14:val="tx1"/>
            </w14:solidFill>
          </w14:textFill>
        </w:rPr>
        <w:t xml:space="preserve">责人</w:t>
      </w:r>
      <w:r>
        <w:rPr>
          <w:rFonts w:hint="eastAsia" w:ascii="宋体" w:hAnsi="宋体" w:eastAsia="宋体" w:cs="宋体"/>
          <w:color w:val="000000" w:themeColor="text1"/>
          <w:spacing w:val="-3"/>
          <w:sz w:val="24"/>
          <w:szCs w:val="24"/>
          <w14:textFill>
            <w14:solidFill>
              <w14:schemeClr w14:val="tx1"/>
            </w14:solidFill>
          </w14:textFill>
        </w:rPr>
        <w:t xml:space="preserve">）有效期内的身份证正反面电子件：</w:t>
      </w:r>
      <w:r/>
    </w:p>
    <w:tbl>
      <w:tblPr>
        <w:tblStyle w:val="85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color w:val="000000" w:themeColor="text1"/>
                <w:sz w:val="24"/>
                <w:szCs w:val="20"/>
                <w14:textFill>
                  <w14:solidFill>
                    <w14:schemeClr w14:val="tx1"/>
                  </w14:solidFill>
                </w14:textFill>
              </w:rPr>
            </w:r>
            <w:r/>
          </w:p>
        </w:tc>
      </w:tr>
    </w:tbl>
    <w:p>
      <w:pPr>
        <w:spacing w:line="360" w:lineRule="auto"/>
        <w:tabs>
          <w:tab w:val="left" w:pos="567" w:leader="none"/>
        </w:tabs>
        <w:rPr>
          <w:rFonts w:hint="eastAsia" w:ascii="宋体" w:hAnsi="宋体" w:eastAsia="宋体" w:cs="宋体"/>
          <w:color w:val="000000" w:themeColor="text1"/>
          <w:spacing w:val="-3"/>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投标人名称（加盖公章）</w:t>
      </w:r>
      <w:r>
        <w:rPr>
          <w:rFonts w:hint="eastAsia" w:ascii="宋体" w:hAnsi="宋体" w:eastAsia="宋体" w:cs="宋体"/>
          <w:color w:val="000000" w:themeColor="text1"/>
          <w:sz w:val="24"/>
          <w:szCs w:val="24"/>
          <w:lang w:val="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法定代表人（</w:t>
      </w:r>
      <w:r>
        <w:rPr>
          <w:rFonts w:hint="eastAsia" w:ascii="宋体" w:hAnsi="宋体" w:eastAsia="宋体" w:cs="宋体"/>
          <w:color w:val="000000" w:themeColor="text1"/>
          <w:sz w:val="24"/>
          <w:szCs w:val="24"/>
          <w14:textFill>
            <w14:solidFill>
              <w14:schemeClr w14:val="tx1"/>
            </w14:solidFill>
          </w14:textFill>
        </w:rPr>
        <w:t xml:space="preserve">单位负责人</w:t>
      </w:r>
      <w:r>
        <w:rPr>
          <w:rFonts w:hint="eastAsia" w:ascii="宋体" w:hAnsi="宋体" w:eastAsia="宋体" w:cs="宋体"/>
          <w:color w:val="000000" w:themeColor="text1"/>
          <w:spacing w:val="-3"/>
          <w:sz w:val="24"/>
          <w:szCs w:val="24"/>
          <w14:textFill>
            <w14:solidFill>
              <w14:schemeClr w14:val="tx1"/>
            </w14:solidFill>
          </w14:textFill>
        </w:rPr>
        <w:t xml:space="preserve">）（签字、签章或印鉴）：</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日期：年月日</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i/>
          <w:color w:val="000000" w:themeColor="text1"/>
          <w:sz w:val="28"/>
          <w:szCs w:val="28"/>
          <w:u w:val="single"/>
          <w14:textFill>
            <w14:solidFill>
              <w14:schemeClr w14:val="tx1"/>
            </w14:solidFill>
          </w14:textFill>
        </w:rPr>
      </w:pPr>
      <w:r>
        <w:rPr>
          <w:rFonts w:hint="eastAsia" w:ascii="宋体" w:hAnsi="宋体" w:eastAsia="宋体" w:cs="宋体"/>
          <w:i/>
          <w:iCs/>
          <w:color w:val="000000" w:themeColor="text1"/>
          <w:sz w:val="36"/>
          <w:u w:val="single"/>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十、投标函</w:t>
      </w:r>
      <w:r/>
    </w:p>
    <w:p>
      <w:pPr>
        <w:jc w:val="center"/>
        <w:spacing w:line="360" w:lineRule="auto"/>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 xml:space="preserve">投标函</w:t>
      </w:r>
      <w:r/>
    </w:p>
    <w:p>
      <w:pPr>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致： </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据此函，__________签字人兹宣布同意如下：</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1.按招标文件规定的各项要求，向买方提供所需货物（包含与货物相关的工程、服务）。</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2.我们完全理解贵方不一定将合同授予最低报价的投标人。</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7.与本投标有关的正式通讯地址为：</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地        址：</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邮        编：</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电        话：</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传        真：</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投标人开户行：</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账        号： </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投标人（盖章）：</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法定代表人（单位负责人）或委托代理人（签字或盖章）：</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日期：年月日</w:t>
      </w:r>
      <w:r/>
    </w:p>
    <w:p>
      <w:pPr>
        <w:jc w:val="left"/>
        <w:keepLines/>
        <w:keepNext/>
        <w:spacing w:line="360" w:lineRule="auto"/>
        <w:rPr>
          <w:rFonts w:hint="eastAsia" w:ascii="宋体" w:hAnsi="宋体" w:eastAsia="宋体" w:cs="宋体"/>
          <w:i/>
          <w:color w:val="000000" w:themeColor="text1"/>
          <w:sz w:val="28"/>
          <w:szCs w:val="28"/>
          <w:u w:val="single"/>
          <w14:textFill>
            <w14:solidFill>
              <w14:schemeClr w14:val="tx1"/>
            </w14:solidFill>
          </w14:textFill>
        </w:rPr>
        <w:outlineLvl w:val="1"/>
      </w:pPr>
      <w:r>
        <w:rPr>
          <w:rFonts w:hint="eastAsia" w:ascii="宋体" w:hAnsi="宋体" w:eastAsia="宋体" w:cs="宋体"/>
          <w:i/>
          <w:color w:val="000000" w:themeColor="text1"/>
          <w:sz w:val="28"/>
          <w:szCs w:val="28"/>
          <w:u w:val="single"/>
          <w14:textFill>
            <w14:solidFill>
              <w14:schemeClr w14:val="tx1"/>
            </w14:solidFill>
          </w14:textFill>
        </w:rPr>
        <w:t xml:space="preserve">十一、中小企业声明函</w:t>
      </w:r>
      <w:r/>
    </w:p>
    <w:p>
      <w:pPr>
        <w:jc w:val="center"/>
        <w:spacing w:line="360" w:lineRule="auto"/>
        <w:tabs>
          <w:tab w:val="left" w:pos="360" w:leader="none"/>
        </w:tabs>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r>
      <w:r/>
    </w:p>
    <w:p>
      <w:pPr>
        <w:jc w:val="center"/>
        <w:spacing w:line="360" w:lineRule="auto"/>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 xml:space="preserve">中小企业声明函</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4"/>
          <w:szCs w:val="24"/>
          <w:u w:val="single"/>
          <w14:textFill>
            <w14:solidFill>
              <w14:schemeClr w14:val="tx1"/>
            </w14:solidFill>
          </w14:textFill>
        </w:rPr>
        <w:t xml:space="preserve">（单位名称）</w:t>
      </w:r>
      <w:r>
        <w:rPr>
          <w:rFonts w:hint="eastAsia" w:ascii="宋体" w:hAnsi="宋体" w:eastAsia="宋体" w:cs="宋体"/>
          <w:color w:val="000000" w:themeColor="text1"/>
          <w:sz w:val="24"/>
          <w:szCs w:val="24"/>
          <w14:textFill>
            <w14:solidFill>
              <w14:schemeClr w14:val="tx1"/>
            </w14:solidFill>
          </w14:textFill>
        </w:rPr>
        <w:t xml:space="preserve">的</w:t>
      </w:r>
      <w:r>
        <w:rPr>
          <w:rFonts w:hint="eastAsia" w:ascii="宋体" w:hAnsi="宋体" w:eastAsia="宋体" w:cs="宋体"/>
          <w:color w:val="000000" w:themeColor="text1"/>
          <w:sz w:val="24"/>
          <w:szCs w:val="24"/>
          <w:u w:val="single"/>
          <w14:textFill>
            <w14:solidFill>
              <w14:schemeClr w14:val="tx1"/>
            </w14:solidFill>
          </w14:textFill>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项目编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360" w:lineRule="auto"/>
        <w:rPr>
          <w:rFonts w:hint="eastAsia" w:ascii="宋体" w:hAnsi="宋体" w:eastAsia="宋体" w:cs="宋体"/>
          <w:i/>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（标的名称）</w:t>
      </w:r>
      <w:r>
        <w:rPr>
          <w:rFonts w:hint="eastAsia" w:ascii="宋体" w:hAnsi="宋体" w:eastAsia="宋体" w:cs="宋体"/>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（招标文件中明确的所属行业）</w:t>
      </w:r>
      <w:r>
        <w:rPr>
          <w:rFonts w:hint="eastAsia" w:ascii="宋体" w:hAnsi="宋体" w:eastAsia="宋体" w:cs="宋体"/>
          <w:color w:val="000000" w:themeColor="text1"/>
          <w:sz w:val="24"/>
          <w:szCs w:val="24"/>
          <w14:textFill>
            <w14:solidFill>
              <w14:schemeClr w14:val="tx1"/>
            </w14:solidFill>
          </w14:textFill>
        </w:rPr>
        <w:t xml:space="preserve">行业；制造商为</w:t>
      </w:r>
      <w:r>
        <w:rPr>
          <w:rFonts w:hint="eastAsia" w:ascii="宋体" w:hAnsi="宋体" w:eastAsia="宋体" w:cs="宋体"/>
          <w:color w:val="000000" w:themeColor="text1"/>
          <w:sz w:val="24"/>
          <w:szCs w:val="24"/>
          <w:u w:val="single"/>
          <w14:textFill>
            <w14:solidFill>
              <w14:schemeClr w14:val="tx1"/>
            </w14:solidFill>
          </w14:textFill>
        </w:rPr>
        <w:t xml:space="preserve">（企业名称）</w:t>
      </w:r>
      <w:r>
        <w:rPr>
          <w:rFonts w:hint="eastAsia" w:ascii="宋体" w:hAnsi="宋体" w:eastAsia="宋体" w:cs="宋体"/>
          <w:color w:val="000000" w:themeColor="text1"/>
          <w:sz w:val="24"/>
          <w:szCs w:val="24"/>
          <w14:textFill>
            <w14:solidFill>
              <w14:schemeClr w14:val="tx1"/>
            </w14:solidFill>
          </w14:textFill>
        </w:rPr>
        <w:t xml:space="preserve">，从业人员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万元，属于</w:t>
      </w:r>
      <w:r>
        <w:rPr>
          <w:rFonts w:hint="eastAsia" w:ascii="宋体" w:hAnsi="宋体" w:eastAsia="宋体" w:cs="宋体"/>
          <w:color w:val="000000" w:themeColor="text1"/>
          <w:sz w:val="24"/>
          <w:szCs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i/>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（标的名称）</w:t>
      </w:r>
      <w:r>
        <w:rPr>
          <w:rFonts w:hint="eastAsia" w:ascii="宋体" w:hAnsi="宋体" w:eastAsia="宋体" w:cs="宋体"/>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（招标文件中明确的所属行业）</w:t>
      </w:r>
      <w:r>
        <w:rPr>
          <w:rFonts w:hint="eastAsia" w:ascii="宋体" w:hAnsi="宋体" w:eastAsia="宋体" w:cs="宋体"/>
          <w:color w:val="000000" w:themeColor="text1"/>
          <w:sz w:val="24"/>
          <w:szCs w:val="24"/>
          <w14:textFill>
            <w14:solidFill>
              <w14:schemeClr w14:val="tx1"/>
            </w14:solidFill>
          </w14:textFill>
        </w:rPr>
        <w:t xml:space="preserve">行业；制造商为</w:t>
      </w:r>
      <w:r>
        <w:rPr>
          <w:rFonts w:hint="eastAsia" w:ascii="宋体" w:hAnsi="宋体" w:eastAsia="宋体" w:cs="宋体"/>
          <w:color w:val="000000" w:themeColor="text1"/>
          <w:sz w:val="24"/>
          <w:szCs w:val="24"/>
          <w:u w:val="single"/>
          <w14:textFill>
            <w14:solidFill>
              <w14:schemeClr w14:val="tx1"/>
            </w14:solidFill>
          </w14:textFill>
        </w:rPr>
        <w:t xml:space="preserve">（企业名称）</w:t>
      </w:r>
      <w:r>
        <w:rPr>
          <w:rFonts w:hint="eastAsia" w:ascii="宋体" w:hAnsi="宋体" w:eastAsia="宋体" w:cs="宋体"/>
          <w:color w:val="000000" w:themeColor="text1"/>
          <w:sz w:val="24"/>
          <w:szCs w:val="24"/>
          <w14:textFill>
            <w14:solidFill>
              <w14:schemeClr w14:val="tx1"/>
            </w14:solidFill>
          </w14:textFill>
        </w:rPr>
        <w:t xml:space="preserve">，从业人员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万元，属于</w:t>
      </w:r>
      <w:r>
        <w:rPr>
          <w:rFonts w:hint="eastAsia" w:ascii="宋体" w:hAnsi="宋体" w:eastAsia="宋体" w:cs="宋体"/>
          <w:color w:val="000000" w:themeColor="text1"/>
          <w:sz w:val="24"/>
          <w:szCs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（标的名称）</w:t>
      </w:r>
      <w:r>
        <w:rPr>
          <w:rFonts w:hint="eastAsia" w:ascii="宋体" w:hAnsi="宋体" w:eastAsia="宋体" w:cs="宋体"/>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（招标文件中明确的所属行业）</w:t>
      </w:r>
      <w:r>
        <w:rPr>
          <w:rFonts w:hint="eastAsia" w:ascii="宋体" w:hAnsi="宋体" w:eastAsia="宋体" w:cs="宋体"/>
          <w:color w:val="000000" w:themeColor="text1"/>
          <w:sz w:val="24"/>
          <w:szCs w:val="24"/>
          <w14:textFill>
            <w14:solidFill>
              <w14:schemeClr w14:val="tx1"/>
            </w14:solidFill>
          </w14:textFill>
        </w:rPr>
        <w:t xml:space="preserve">行业；制造商为</w:t>
      </w:r>
      <w:r>
        <w:rPr>
          <w:rFonts w:hint="eastAsia" w:ascii="宋体" w:hAnsi="宋体" w:eastAsia="宋体" w:cs="宋体"/>
          <w:color w:val="000000" w:themeColor="text1"/>
          <w:sz w:val="24"/>
          <w:szCs w:val="24"/>
          <w:u w:val="single"/>
          <w14:textFill>
            <w14:solidFill>
              <w14:schemeClr w14:val="tx1"/>
            </w14:solidFill>
          </w14:textFill>
        </w:rPr>
        <w:t xml:space="preserve">（企业名称）</w:t>
      </w:r>
      <w:r>
        <w:rPr>
          <w:rFonts w:hint="eastAsia" w:ascii="宋体" w:hAnsi="宋体" w:eastAsia="宋体" w:cs="宋体"/>
          <w:color w:val="000000" w:themeColor="text1"/>
          <w:sz w:val="24"/>
          <w:szCs w:val="24"/>
          <w14:textFill>
            <w14:solidFill>
              <w14:schemeClr w14:val="tx1"/>
            </w14:solidFill>
          </w14:textFill>
        </w:rPr>
        <w:t xml:space="preserve">，从业人员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万元，属于</w:t>
      </w:r>
      <w:r>
        <w:rPr>
          <w:rFonts w:hint="eastAsia" w:ascii="宋体" w:hAnsi="宋体" w:eastAsia="宋体" w:cs="宋体"/>
          <w:color w:val="000000" w:themeColor="text1"/>
          <w:sz w:val="24"/>
          <w:szCs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ind w:firstLine="28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企业名称（盖章）：</w:t>
      </w:r>
      <w:r/>
    </w:p>
    <w:p>
      <w:pPr>
        <w:ind w:firstLine="28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   期：</w:t>
      </w:r>
      <w:r/>
    </w:p>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填报说明：</w:t>
      </w:r>
      <w:r/>
    </w:p>
    <w:p>
      <w:pPr>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1、从业人员、营业收入、资产总额填报上一年度数据，无上一年度数据的新成立企业可不填报。</w:t>
      </w:r>
      <w:r/>
    </w:p>
    <w:p>
      <w:pPr>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2、请投标人如实填写，所填内容须与投标分项报价表一致，如填写不完整或不一致或填写有误，将不享受扶持政策。</w:t>
      </w:r>
      <w:r/>
    </w:p>
    <w:p>
      <w:pPr>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3、中标人的《中小企业声明函》随中标结果公开，接受社会监督。</w:t>
      </w:r>
      <w:r/>
    </w:p>
    <w:p>
      <w:pPr>
        <w:jc w:val="left"/>
        <w:keepLines/>
        <w:keepNext/>
        <w:spacing w:line="360" w:lineRule="auto"/>
        <w:rPr>
          <w:rFonts w:hint="eastAsia" w:ascii="宋体" w:hAnsi="宋体" w:eastAsia="宋体" w:cs="宋体"/>
          <w:i/>
          <w:color w:val="000000" w:themeColor="text1"/>
          <w:sz w:val="28"/>
          <w:szCs w:val="28"/>
          <w:u w:val="single"/>
          <w14:textFill>
            <w14:solidFill>
              <w14:schemeClr w14:val="tx1"/>
            </w14:solidFill>
          </w14:textFill>
        </w:rPr>
        <w:outlineLvl w:val="1"/>
      </w:pPr>
      <w:r>
        <w:rPr>
          <w:rFonts w:hint="eastAsia" w:ascii="宋体" w:hAnsi="宋体" w:eastAsia="宋体" w:cs="宋体"/>
          <w:i/>
          <w:color w:val="000000" w:themeColor="text1"/>
          <w:sz w:val="28"/>
          <w:szCs w:val="28"/>
          <w:u w:val="single"/>
          <w14:textFill>
            <w14:solidFill>
              <w14:schemeClr w14:val="tx1"/>
            </w14:solidFill>
          </w14:textFill>
        </w:rPr>
        <w:t xml:space="preserve">十二、残疾人福利性单位声明函</w:t>
      </w:r>
      <w:r/>
    </w:p>
    <w:p>
      <w:pPr>
        <w:jc w:val="center"/>
        <w:spacing w:line="360" w:lineRule="auto"/>
        <w:tabs>
          <w:tab w:val="left" w:pos="360" w:leader="none"/>
        </w:tabs>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r>
      <w:r/>
    </w:p>
    <w:p>
      <w:pPr>
        <w:jc w:val="center"/>
        <w:spacing w:line="360" w:lineRule="auto"/>
        <w:tabs>
          <w:tab w:val="left" w:pos="360" w:leader="none"/>
        </w:tabs>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 xml:space="preserve">残疾人福利性单位声明函</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w:t>
      </w:r>
      <w:r>
        <w:rPr>
          <w:rFonts w:hint="eastAsia" w:ascii="宋体" w:hAnsi="宋体" w:eastAsia="宋体" w:cs="宋体"/>
          <w:color w:val="000000" w:themeColor="text1"/>
          <w:sz w:val="24"/>
          <w:szCs w:val="21"/>
          <w14:textFill>
            <w14:solidFill>
              <w14:schemeClr w14:val="tx1"/>
            </w14:solidFill>
          </w14:textFill>
        </w:rPr>
        <w:t xml:space="preserve">141号）的规定，本单位为符合条件的残疾人福利性单位，且本单位参加单位的项目（</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1"/>
          <w14:textFill>
            <w14:solidFill>
              <w14:schemeClr w14:val="tx1"/>
            </w14:solidFill>
          </w14:textFill>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1.</w:t>
      </w:r>
      <w:r>
        <w:rPr>
          <w:rFonts w:hint="eastAsia" w:ascii="宋体" w:hAnsi="宋体" w:eastAsia="宋体" w:cs="宋体"/>
          <w:color w:val="000000" w:themeColor="text1"/>
          <w:sz w:val="24"/>
          <w:szCs w:val="21"/>
          <w:u w:val="single"/>
          <w14:textFill>
            <w14:solidFill>
              <w14:schemeClr w14:val="tx1"/>
            </w14:solidFill>
          </w14:textFill>
        </w:rPr>
        <w:t xml:space="preserve">（标的名称）</w:t>
      </w:r>
      <w:r>
        <w:rPr>
          <w:rFonts w:hint="eastAsia" w:ascii="宋体" w:hAnsi="宋体" w:eastAsia="宋体" w:cs="宋体"/>
          <w:color w:val="000000" w:themeColor="text1"/>
          <w:sz w:val="24"/>
          <w:szCs w:val="21"/>
          <w14:textFill>
            <w14:solidFill>
              <w14:schemeClr w14:val="tx1"/>
            </w14:solidFill>
          </w14:textFill>
        </w:rPr>
        <w:t xml:space="preserve">，制造商为</w:t>
      </w:r>
      <w:r>
        <w:rPr>
          <w:rFonts w:hint="eastAsia" w:ascii="宋体" w:hAnsi="宋体" w:eastAsia="宋体" w:cs="宋体"/>
          <w:color w:val="000000" w:themeColor="text1"/>
          <w:sz w:val="24"/>
          <w:szCs w:val="21"/>
          <w:u w:val="single"/>
          <w14:textFill>
            <w14:solidFill>
              <w14:schemeClr w14:val="tx1"/>
            </w14:solidFill>
          </w14:textFill>
        </w:rPr>
        <w:t xml:space="preserve">（企业名称）</w:t>
      </w:r>
      <w:r>
        <w:rPr>
          <w:rFonts w:hint="eastAsia" w:ascii="宋体" w:hAnsi="宋体" w:eastAsia="宋体" w:cs="宋体"/>
          <w:color w:val="000000" w:themeColor="text1"/>
          <w:sz w:val="24"/>
          <w:szCs w:val="21"/>
          <w14:textFill>
            <w14:solidFill>
              <w14:schemeClr w14:val="tx1"/>
            </w14:solidFill>
          </w14:textFill>
        </w:rPr>
        <w:t xml:space="preserve">，属于残疾人福利性单位； </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w:t>
      </w:r>
      <w:r>
        <w:rPr>
          <w:rFonts w:hint="eastAsia" w:ascii="宋体" w:hAnsi="宋体" w:eastAsia="宋体" w:cs="宋体"/>
          <w:color w:val="000000" w:themeColor="text1"/>
          <w:sz w:val="24"/>
          <w:szCs w:val="21"/>
          <w:u w:val="single"/>
          <w14:textFill>
            <w14:solidFill>
              <w14:schemeClr w14:val="tx1"/>
            </w14:solidFill>
          </w14:textFill>
        </w:rPr>
        <w:t xml:space="preserve">（标的名称）</w:t>
      </w:r>
      <w:r>
        <w:rPr>
          <w:rFonts w:hint="eastAsia" w:ascii="宋体" w:hAnsi="宋体" w:eastAsia="宋体" w:cs="宋体"/>
          <w:color w:val="000000" w:themeColor="text1"/>
          <w:sz w:val="24"/>
          <w:szCs w:val="21"/>
          <w14:textFill>
            <w14:solidFill>
              <w14:schemeClr w14:val="tx1"/>
            </w14:solidFill>
          </w14:textFill>
        </w:rPr>
        <w:t xml:space="preserve">，制造商为</w:t>
      </w:r>
      <w:r>
        <w:rPr>
          <w:rFonts w:hint="eastAsia" w:ascii="宋体" w:hAnsi="宋体" w:eastAsia="宋体" w:cs="宋体"/>
          <w:color w:val="000000" w:themeColor="text1"/>
          <w:sz w:val="24"/>
          <w:szCs w:val="21"/>
          <w:u w:val="single"/>
          <w14:textFill>
            <w14:solidFill>
              <w14:schemeClr w14:val="tx1"/>
            </w14:solidFill>
          </w14:textFill>
        </w:rPr>
        <w:t xml:space="preserve">（企业名称）</w:t>
      </w:r>
      <w:r>
        <w:rPr>
          <w:rFonts w:hint="eastAsia" w:ascii="宋体" w:hAnsi="宋体" w:eastAsia="宋体" w:cs="宋体"/>
          <w:color w:val="000000" w:themeColor="text1"/>
          <w:sz w:val="24"/>
          <w:szCs w:val="21"/>
          <w14:textFill>
            <w14:solidFill>
              <w14:schemeClr w14:val="tx1"/>
            </w14:solidFill>
          </w14:textFill>
        </w:rPr>
        <w:t xml:space="preserve">，属于残疾人福利性单位；</w:t>
      </w:r>
      <w:r/>
    </w:p>
    <w:p>
      <w:pPr>
        <w:ind w:firstLine="480"/>
        <w:jc w:val="left"/>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本单位对上述声明的真实性负责。如有虚假，将依法承担相应责任。</w:t>
      </w:r>
      <w:r/>
    </w:p>
    <w:p>
      <w:pPr>
        <w:ind w:firstLine="480"/>
        <w:spacing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r>
      <w:r/>
    </w:p>
    <w:p>
      <w:pPr>
        <w:ind w:firstLine="28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单位名称（盖章）：</w:t>
      </w:r>
      <w:r/>
    </w:p>
    <w:p>
      <w:pPr>
        <w:ind w:firstLine="28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   期：</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填报说明：</w:t>
      </w:r>
      <w:r/>
    </w:p>
    <w:p>
      <w:pPr>
        <w:ind w:firstLine="480"/>
        <w:jc w:val="left"/>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请投标人如实填写，所填内容须与投标分项报价表一致，如填写不完整或不一致或填写有误，将不享受扶持政策。</w:t>
      </w:r>
      <w:r/>
    </w:p>
    <w:p>
      <w:pPr>
        <w:ind w:firstLine="480"/>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2、中标人的《残疾人福利性单位声明函》随中标结果公开</w:t>
      </w:r>
      <w:r>
        <w:rPr>
          <w:rFonts w:hint="eastAsia" w:ascii="宋体" w:hAnsi="宋体" w:eastAsia="宋体" w:cs="宋体"/>
          <w:color w:val="000000" w:themeColor="text1"/>
          <w:sz w:val="24"/>
          <w:szCs w:val="24"/>
          <w14:textFill>
            <w14:solidFill>
              <w14:schemeClr w14:val="tx1"/>
            </w14:solidFill>
          </w14:textFill>
        </w:rPr>
        <w:t xml:space="preserve">，接受社会监督</w:t>
      </w:r>
      <w:r>
        <w:rPr>
          <w:rFonts w:hint="eastAsia" w:ascii="宋体" w:hAnsi="宋体" w:eastAsia="宋体" w:cs="宋体"/>
          <w:bCs/>
          <w:color w:val="000000" w:themeColor="text1"/>
          <w:sz w:val="24"/>
          <w:szCs w:val="24"/>
          <w14:textFill>
            <w14:solidFill>
              <w14:schemeClr w14:val="tx1"/>
            </w14:solidFill>
          </w14:textFill>
        </w:rPr>
        <w:t xml:space="preserve">。</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i/>
          <w:color w:val="000000" w:themeColor="text1"/>
          <w:sz w:val="28"/>
          <w:szCs w:val="28"/>
          <w:u w:val="single"/>
          <w14:textFill>
            <w14:solidFill>
              <w14:schemeClr w14:val="tx1"/>
            </w14:solidFill>
          </w14:textFill>
        </w:rPr>
      </w:pPr>
      <w:r>
        <w:rPr>
          <w:rFonts w:hint="eastAsia" w:ascii="宋体" w:hAnsi="宋体" w:eastAsia="宋体" w:cs="宋体"/>
          <w:i/>
          <w:color w:val="000000" w:themeColor="text1"/>
          <w:sz w:val="28"/>
          <w:szCs w:val="28"/>
          <w:u w:val="single"/>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十三、投标分项报价表</w:t>
      </w:r>
      <w:r/>
    </w:p>
    <w:p>
      <w:pPr>
        <w:jc w:val="center"/>
        <w:spacing w:line="360" w:lineRule="auto"/>
        <w:tabs>
          <w:tab w:val="left" w:pos="360" w:leader="none"/>
        </w:tabs>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 xml:space="preserve">投标分项报价表</w:t>
      </w:r>
      <w:r/>
    </w:p>
    <w:p>
      <w:pPr>
        <w:ind w:firstLine="210"/>
        <w:jc w:val="left"/>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项目名称：         项目编号：                                  单位：元</w:t>
      </w:r>
      <w:r/>
    </w:p>
    <w:tbl>
      <w:tblPr>
        <w:tblStyle w:val="854"/>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jc w:val="center"/>
          <w:trHeight w:val="1349"/>
        </w:trPr>
        <w:tc>
          <w:tcPr>
            <w:tcW w:w="521" w:type="dxa"/>
            <w:vAlign w:val="center"/>
            <w:textDirection w:val="lrTb"/>
            <w:noWrap/>
          </w:tcPr>
          <w:p>
            <w:pPr>
              <w:jc w:val="center"/>
              <w:spacing w:line="360" w:lineRule="auto"/>
              <w:widowControl/>
              <w:rPr>
                <w:rFonts w:hint="eastAsia"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序号</w:t>
            </w:r>
            <w:r/>
          </w:p>
        </w:tc>
        <w:tc>
          <w:tcPr>
            <w:tcW w:w="1250" w:type="dxa"/>
            <w:vAlign w:val="center"/>
            <w:textDirection w:val="lrTb"/>
            <w:noWrap w:val="false"/>
          </w:tcPr>
          <w:p>
            <w:pPr>
              <w:jc w:val="center"/>
              <w:spacing w:line="360" w:lineRule="auto"/>
              <w:widowControl/>
              <w:rPr>
                <w:rFonts w:hint="eastAsia"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货物  （标的）名称</w:t>
            </w:r>
            <w:r/>
          </w:p>
        </w:tc>
        <w:tc>
          <w:tcPr>
            <w:tcW w:w="705" w:type="dxa"/>
            <w:vAlign w:val="center"/>
            <w:textDirection w:val="lrTb"/>
            <w:noWrap w:val="false"/>
          </w:tcPr>
          <w:p>
            <w:pPr>
              <w:jc w:val="center"/>
              <w:spacing w:line="360" w:lineRule="auto"/>
              <w:widowControl/>
              <w:rPr>
                <w:rFonts w:hint="eastAsia"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品牌</w:t>
            </w:r>
            <w:r/>
          </w:p>
        </w:tc>
        <w:tc>
          <w:tcPr>
            <w:tcW w:w="1215" w:type="dxa"/>
            <w:vAlign w:val="center"/>
            <w:textDirection w:val="lrTb"/>
            <w:noWrap w:val="false"/>
          </w:tcPr>
          <w:p>
            <w:pPr>
              <w:jc w:val="center"/>
              <w:spacing w:line="360" w:lineRule="auto"/>
              <w:widowControl/>
              <w:rPr>
                <w:rFonts w:hint="eastAsia" w:ascii="宋体" w:hAnsi="宋体" w:eastAsia="宋体" w:cs="宋体"/>
                <w:bCs/>
                <w:color w:val="000000" w:themeColor="text1"/>
                <w:szCs w:val="24"/>
                <w14:textFill>
                  <w14:solidFill>
                    <w14:schemeClr w14:val="tx1"/>
                  </w14:solidFill>
                </w14:textFill>
              </w:rPr>
            </w:pPr>
            <w:r>
              <w:rPr>
                <w:rFonts w:hint="eastAsia" w:ascii="宋体" w:hAnsi="宋体" w:eastAsia="宋体" w:cs="宋体"/>
                <w:b/>
                <w:color w:val="000000" w:themeColor="text1"/>
                <w:szCs w:val="24"/>
                <w14:textFill>
                  <w14:solidFill>
                    <w14:schemeClr w14:val="tx1"/>
                  </w14:solidFill>
                </w14:textFill>
              </w:rPr>
              <w:t xml:space="preserve">是否符合本国产品标准</w:t>
            </w:r>
            <w:r/>
          </w:p>
        </w:tc>
        <w:tc>
          <w:tcPr>
            <w:tcW w:w="825" w:type="dxa"/>
            <w:vAlign w:val="center"/>
            <w:textDirection w:val="lrTb"/>
            <w:noWrap w:val="false"/>
          </w:tcPr>
          <w:p>
            <w:pPr>
              <w:jc w:val="center"/>
              <w:spacing w:line="360" w:lineRule="auto"/>
              <w:widowControl/>
              <w:rPr>
                <w:rFonts w:hint="eastAsia"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规格型号</w:t>
            </w:r>
            <w:r/>
          </w:p>
        </w:tc>
        <w:tc>
          <w:tcPr>
            <w:tcW w:w="768" w:type="dxa"/>
            <w:vAlign w:val="center"/>
            <w:textDirection w:val="lrTb"/>
            <w:noWrap w:val="false"/>
          </w:tcPr>
          <w:p>
            <w:pPr>
              <w:jc w:val="center"/>
              <w:spacing w:line="360" w:lineRule="auto"/>
              <w:widowControl/>
              <w:rPr>
                <w:rFonts w:hint="eastAsia"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制造商</w:t>
            </w:r>
            <w:r/>
          </w:p>
        </w:tc>
        <w:tc>
          <w:tcPr>
            <w:tcW w:w="927" w:type="dxa"/>
            <w:vAlign w:val="center"/>
            <w:textDirection w:val="lrTb"/>
            <w:noWrap w:val="false"/>
          </w:tcPr>
          <w:p>
            <w:pPr>
              <w:jc w:val="center"/>
              <w:spacing w:line="360" w:lineRule="auto"/>
              <w:widowControl/>
              <w:rPr>
                <w:rFonts w:hint="eastAsia"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制造商企业类型</w:t>
            </w:r>
            <w:r/>
          </w:p>
        </w:tc>
        <w:tc>
          <w:tcPr>
            <w:tcW w:w="780" w:type="dxa"/>
            <w:vAlign w:val="center"/>
            <w:textDirection w:val="lrTb"/>
            <w:noWrap w:val="false"/>
          </w:tcPr>
          <w:p>
            <w:pPr>
              <w:jc w:val="center"/>
              <w:spacing w:line="360" w:lineRule="auto"/>
              <w:widowControl/>
              <w:rPr>
                <w:rFonts w:hint="eastAsia"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单价</w:t>
            </w:r>
            <w:r/>
          </w:p>
        </w:tc>
        <w:tc>
          <w:tcPr>
            <w:tcW w:w="765" w:type="dxa"/>
            <w:vAlign w:val="center"/>
            <w:textDirection w:val="lrTb"/>
            <w:noWrap w:val="false"/>
          </w:tcPr>
          <w:p>
            <w:pPr>
              <w:jc w:val="center"/>
              <w:spacing w:line="360" w:lineRule="auto"/>
              <w:widowControl/>
              <w:rPr>
                <w:rFonts w:hint="eastAsia"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数量</w:t>
            </w:r>
            <w:r/>
          </w:p>
        </w:tc>
        <w:tc>
          <w:tcPr>
            <w:tcW w:w="750" w:type="dxa"/>
            <w:vAlign w:val="center"/>
            <w:textDirection w:val="lrTb"/>
            <w:noWrap w:val="false"/>
          </w:tcPr>
          <w:p>
            <w:pPr>
              <w:jc w:val="center"/>
              <w:spacing w:line="360" w:lineRule="auto"/>
              <w:widowControl/>
              <w:rPr>
                <w:rFonts w:hint="eastAsia"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计量单位</w:t>
            </w:r>
            <w:r/>
          </w:p>
        </w:tc>
        <w:tc>
          <w:tcPr>
            <w:tcW w:w="793" w:type="dxa"/>
            <w:vAlign w:val="center"/>
            <w:textDirection w:val="lrTb"/>
            <w:noWrap w:val="false"/>
          </w:tcPr>
          <w:p>
            <w:pPr>
              <w:jc w:val="center"/>
              <w:spacing w:line="360" w:lineRule="auto"/>
              <w:widowControl/>
              <w:rPr>
                <w:rFonts w:hint="eastAsia" w:ascii="宋体" w:hAnsi="宋体" w:eastAsia="宋体" w:cs="宋体"/>
                <w:bCs/>
                <w:color w:val="000000" w:themeColor="text1"/>
                <w:szCs w:val="24"/>
                <w14:textFill>
                  <w14:solidFill>
                    <w14:schemeClr w14:val="tx1"/>
                  </w14:solidFill>
                </w14:textFill>
              </w:rPr>
            </w:pPr>
            <w:r>
              <w:rPr>
                <w:rFonts w:hint="eastAsia" w:ascii="宋体" w:hAnsi="宋体" w:eastAsia="宋体" w:cs="宋体"/>
                <w:bCs/>
                <w:color w:val="000000" w:themeColor="text1"/>
                <w:szCs w:val="24"/>
                <w14:textFill>
                  <w14:solidFill>
                    <w14:schemeClr w14:val="tx1"/>
                  </w14:solidFill>
                </w14:textFill>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w:t>
            </w:r>
            <w:r/>
          </w:p>
        </w:tc>
        <w:tc>
          <w:tcPr>
            <w:tcW w:w="1250"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0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121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82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68"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927"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80" w:type="dxa"/>
            <w:vAlign w:val="center"/>
            <w:textDirection w:val="lrTb"/>
            <w:noWrap w:val="false"/>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6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50"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93"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w:t>
            </w:r>
            <w:r/>
          </w:p>
        </w:tc>
        <w:tc>
          <w:tcPr>
            <w:tcW w:w="1250"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0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121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82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68"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927"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80" w:type="dxa"/>
            <w:vAlign w:val="center"/>
            <w:textDirection w:val="lrTb"/>
            <w:noWrap w:val="false"/>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6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50"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93"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w:t>
            </w:r>
            <w:r/>
          </w:p>
        </w:tc>
        <w:tc>
          <w:tcPr>
            <w:tcW w:w="1250"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0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121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82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68"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927"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80" w:type="dxa"/>
            <w:vAlign w:val="center"/>
            <w:textDirection w:val="lrTb"/>
            <w:noWrap w:val="false"/>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6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50"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93"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w:t>
            </w:r>
            <w:r/>
          </w:p>
        </w:tc>
        <w:tc>
          <w:tcPr>
            <w:tcW w:w="1250"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0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121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82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68"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927"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80"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65"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50"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c>
          <w:tcPr>
            <w:tcW w:w="793"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r>
      <w:tr>
        <w:trPr>
          <w:jc w:val="center"/>
          <w:trHeight w:val="567"/>
        </w:trPr>
        <w:tc>
          <w:tcPr>
            <w:gridSpan w:val="6"/>
            <w:tcW w:w="5284" w:type="dxa"/>
            <w:vAlign w:val="center"/>
            <w:textDirection w:val="lrTb"/>
            <w:noWrap/>
          </w:tcPr>
          <w:p>
            <w:pPr>
              <w:jc w:val="cente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总计（元）</w:t>
            </w:r>
            <w:r/>
          </w:p>
        </w:tc>
        <w:tc>
          <w:tcPr>
            <w:gridSpan w:val="5"/>
            <w:tcW w:w="4015" w:type="dxa"/>
            <w:vAlign w:val="center"/>
            <w:textDirection w:val="lrTb"/>
            <w:noWrap w:val="false"/>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tc>
      </w:tr>
      <w:tr>
        <w:trPr>
          <w:jc w:val="center"/>
          <w:trHeight w:val="567"/>
        </w:trPr>
        <w:tc>
          <w:tcPr>
            <w:gridSpan w:val="11"/>
            <w:tcW w:w="9299" w:type="dxa"/>
            <w:vAlign w:val="center"/>
            <w:textDirection w:val="lrTb"/>
            <w:noWrap/>
          </w:tcPr>
          <w:p>
            <w:pPr>
              <w:spacing w:line="360" w:lineRule="auto"/>
              <w:widowControl/>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本采购包中提供的符合本国产品标准的产品成本之和占该采购包提供的全部产品成本之和的比例为  %。（该部分供应商填写）</w:t>
            </w:r>
            <w:r/>
          </w:p>
        </w:tc>
      </w:tr>
    </w:tbl>
    <w:p>
      <w:pPr>
        <w:ind w:firstLine="42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p>
      <w:pPr>
        <w:ind w:firstLine="42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投标人（盖章）：</w:t>
      </w:r>
      <w:r/>
    </w:p>
    <w:p>
      <w:pPr>
        <w:ind w:firstLine="42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法定代表人（单位负责人）或委托代理人（签字或盖章）：</w:t>
      </w:r>
      <w:r/>
    </w:p>
    <w:p>
      <w:pPr>
        <w:ind w:firstLine="420"/>
        <w:spacing w:line="360" w:lineRule="auto"/>
        <w:rPr>
          <w:rFonts w:hint="eastAsia" w:ascii="宋体" w:hAnsi="宋体" w:eastAsia="宋体" w:cs="宋体"/>
          <w:color w:val="000000" w:themeColor="text1"/>
          <w:szCs w:val="20"/>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日期：年月日</w:t>
      </w:r>
      <w:r/>
    </w:p>
    <w:p>
      <w:pPr>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填报说明：</w:t>
      </w:r>
      <w:r/>
    </w:p>
    <w:p>
      <w:pPr>
        <w:ind w:firstLine="42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1、“制造商企业类型”栏填写内容为“大型”“中型”“小型”“微型”“监狱企业”或“残疾人福利性单位”。</w:t>
      </w:r>
      <w:r/>
    </w:p>
    <w:p>
      <w:pPr>
        <w:ind w:firstLine="42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2、以上报价包含但不限于人员费用、全部软硬件设备、辅助材料、备品、备件、机械、运输、现场安装调试、人员培训、管理、维护、利润、技术支持、税金、保险、售后服务、政策性文件规定及合同包含的所有风险、责任等各项应有费用。</w:t>
      </w:r>
      <w:r/>
    </w:p>
    <w:p>
      <w:pPr>
        <w:ind w:firstLine="42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3、请投标人如实、正确填写本表，所填内容将作为评审的依据，其内容应与对应的证明资料相符。</w:t>
      </w:r>
      <w:r/>
    </w:p>
    <w:p>
      <w:pPr>
        <w:ind w:firstLine="420"/>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4、行数或事项不够，可自行增加。</w:t>
      </w:r>
      <w:r/>
    </w:p>
    <w:p>
      <w:pPr>
        <w:ind w:firstLine="42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left"/>
        <w:keepLines/>
        <w:keepNext/>
        <w:spacing w:line="360" w:lineRule="auto"/>
        <w:rPr>
          <w:rFonts w:hint="eastAsia" w:ascii="宋体" w:hAnsi="宋体" w:eastAsia="宋体" w:cs="宋体"/>
          <w:i/>
          <w:color w:val="000000" w:themeColor="text1"/>
          <w:sz w:val="28"/>
          <w:szCs w:val="28"/>
          <w:u w:val="single"/>
          <w14:textFill>
            <w14:solidFill>
              <w14:schemeClr w14:val="tx1"/>
            </w14:solidFill>
          </w14:textFill>
        </w:rPr>
        <w:outlineLvl w:val="1"/>
      </w:pPr>
      <w:r>
        <w:rPr>
          <w:rFonts w:hint="eastAsia" w:ascii="宋体" w:hAnsi="宋体" w:eastAsia="宋体" w:cs="宋体"/>
          <w:i/>
          <w:color w:val="000000" w:themeColor="text1"/>
          <w:sz w:val="28"/>
          <w:szCs w:val="28"/>
          <w:u w:val="single"/>
          <w14:textFill>
            <w14:solidFill>
              <w14:schemeClr w14:val="tx1"/>
            </w14:solidFill>
          </w14:textFill>
        </w:rPr>
        <w:t xml:space="preserve">十四、关于符合本国产品标准的声明函</w:t>
      </w:r>
      <w:r/>
    </w:p>
    <w:p>
      <w:pPr>
        <w:ind w:firstLine="420"/>
        <w:jc w:val="left"/>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r>
      <w:r/>
    </w:p>
    <w:p>
      <w:pPr>
        <w:ind w:firstLine="420"/>
        <w:jc w:val="left"/>
        <w:spacing w:line="360" w:lineRule="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1156335</wp:posOffset>
                </wp:positionH>
                <wp:positionV relativeFrom="paragraph">
                  <wp:posOffset>730250</wp:posOffset>
                </wp:positionV>
                <wp:extent cx="364490" cy="97790"/>
                <wp:effectExtent l="0" t="0" r="35560" b="35560"/>
                <wp:wrapNone/>
                <wp:docPr id="1" name="直接箭头连接符 2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91.0pt;mso-position-horizontal:absolute;mso-position-vertical-relative:text;margin-top:57.5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4565650</wp:posOffset>
                </wp:positionH>
                <wp:positionV relativeFrom="paragraph">
                  <wp:posOffset>123825</wp:posOffset>
                </wp:positionV>
                <wp:extent cx="577215" cy="92075"/>
                <wp:effectExtent l="0" t="0" r="32384" b="22225"/>
                <wp:wrapNone/>
                <wp:docPr id="2" name="直接箭头连接符 2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6432;o:allowoverlap:true;o:allowincell:true;mso-position-horizontal-relative:text;margin-left:359.5pt;mso-position-horizontal:absolute;mso-position-vertical-relative:text;margin-top:9.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1841500</wp:posOffset>
                </wp:positionH>
                <wp:positionV relativeFrom="paragraph">
                  <wp:posOffset>709295</wp:posOffset>
                </wp:positionV>
                <wp:extent cx="876300" cy="120015"/>
                <wp:effectExtent l="0" t="0" r="19050" b="32384"/>
                <wp:wrapNone/>
                <wp:docPr id="3" name="直接箭头连接符 2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45.0pt;mso-position-horizontal:absolute;mso-position-vertical-relative:text;margin-top:55.8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4272915</wp:posOffset>
                </wp:positionH>
                <wp:positionV relativeFrom="paragraph">
                  <wp:posOffset>427990</wp:posOffset>
                </wp:positionV>
                <wp:extent cx="816610" cy="103505"/>
                <wp:effectExtent l="0" t="0" r="21590" b="29845"/>
                <wp:wrapNone/>
                <wp:docPr id="4" name="直接箭头连接符 1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3153410</wp:posOffset>
                </wp:positionH>
                <wp:positionV relativeFrom="paragraph">
                  <wp:posOffset>434975</wp:posOffset>
                </wp:positionV>
                <wp:extent cx="816610" cy="76200"/>
                <wp:effectExtent l="0" t="0" r="21590" b="19050"/>
                <wp:wrapNone/>
                <wp:docPr id="5" name="直接箭头连接符 1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2115185</wp:posOffset>
                </wp:positionH>
                <wp:positionV relativeFrom="paragraph">
                  <wp:posOffset>387350</wp:posOffset>
                </wp:positionV>
                <wp:extent cx="565785" cy="130810"/>
                <wp:effectExtent l="0" t="0" r="24765" b="21590"/>
                <wp:wrapNone/>
                <wp:docPr id="6" name="直接箭头连接符 1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1.</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，生产厂为</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Cs w:val="24"/>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，厂址为</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u w:val="single"/>
          <w:shd w:val="clear" w:color="auto" w:fill="ffffff"/>
          <w14:textFill>
            <w14:solidFill>
              <w14:schemeClr w14:val="tx1"/>
            </w14:solidFill>
          </w14:textFill>
        </w:rPr>
        <w:t xml:space="preserve"> </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（规定比例）</w:t>
      </w:r>
      <w:r>
        <w:rPr>
          <w:rFonts w:hint="eastAsia" w:ascii="宋体" w:hAnsi="宋体" w:eastAsia="宋体" w:cs="宋体"/>
          <w:color w:val="000000" w:themeColor="text1"/>
          <w:szCs w:val="24"/>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（关键组件）</w:t>
      </w:r>
      <w:r>
        <w:rPr>
          <w:rFonts w:hint="eastAsia" w:ascii="宋体" w:hAnsi="宋体" w:eastAsia="宋体" w:cs="宋体"/>
          <w:color w:val="000000" w:themeColor="text1"/>
          <w:szCs w:val="24"/>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在中国境内生产。</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（关键工序）</w:t>
      </w:r>
      <w:r>
        <w:rPr>
          <w:rFonts w:hint="eastAsia" w:ascii="宋体" w:hAnsi="宋体" w:eastAsia="宋体" w:cs="宋体"/>
          <w:color w:val="000000" w:themeColor="text1"/>
          <w:szCs w:val="24"/>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在中国境内完成。</w:t>
      </w:r>
      <w:r/>
    </w:p>
    <w:p>
      <w:pPr>
        <w:ind w:firstLine="420"/>
        <w:jc w:val="left"/>
        <w:spacing w:before="30" w:after="3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1981200</wp:posOffset>
                </wp:positionH>
                <wp:positionV relativeFrom="paragraph">
                  <wp:posOffset>356235</wp:posOffset>
                </wp:positionV>
                <wp:extent cx="816610" cy="147320"/>
                <wp:effectExtent l="0" t="0" r="21590" b="2413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156.0pt;mso-position-horizontal:absolute;mso-position-vertical-relative:text;margin-top:28.0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2981960</wp:posOffset>
                </wp:positionH>
                <wp:positionV relativeFrom="paragraph">
                  <wp:posOffset>392430</wp:posOffset>
                </wp:positionV>
                <wp:extent cx="843915" cy="125730"/>
                <wp:effectExtent l="0" t="0" r="32384" b="2667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34.8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3976370</wp:posOffset>
                </wp:positionH>
                <wp:positionV relativeFrom="paragraph">
                  <wp:posOffset>427990</wp:posOffset>
                </wp:positionV>
                <wp:extent cx="849630" cy="120015"/>
                <wp:effectExtent l="0" t="0" r="26670" b="32384"/>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313.1pt;mso-position-horizontal:absolute;mso-position-vertical-relative:text;margin-top:33.7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4269740</wp:posOffset>
                </wp:positionH>
                <wp:positionV relativeFrom="paragraph">
                  <wp:posOffset>86995</wp:posOffset>
                </wp:positionV>
                <wp:extent cx="718185" cy="97790"/>
                <wp:effectExtent l="0" t="0" r="24765" b="3556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520065</wp:posOffset>
                </wp:positionH>
                <wp:positionV relativeFrom="paragraph">
                  <wp:posOffset>701040</wp:posOffset>
                </wp:positionV>
                <wp:extent cx="821690" cy="102870"/>
                <wp:effectExtent l="0" t="0" r="35560" b="30480"/>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40.9pt;mso-position-horizontal:absolute;mso-position-vertical-relative:text;margin-top:55.2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1567815</wp:posOffset>
                </wp:positionH>
                <wp:positionV relativeFrom="paragraph">
                  <wp:posOffset>657860</wp:posOffset>
                </wp:positionV>
                <wp:extent cx="908685" cy="140970"/>
                <wp:effectExtent l="0" t="0" r="24765" b="30480"/>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23.4pt;mso-position-horizontal:absolute;mso-position-vertical-relative:text;margin-top:51.8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2.</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，生产厂为</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，厂址为</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（规定比例）</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（关键组件）</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在中国境内生产。</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的</w:t>
      </w:r>
      <w:r>
        <w:rPr>
          <w:rFonts w:hint="eastAsia" w:ascii="宋体" w:hAnsi="宋体" w:eastAsia="宋体" w:cs="宋体"/>
          <w:color w:val="000000" w:themeColor="text1"/>
          <w:szCs w:val="24"/>
          <w:u w:val="single"/>
          <w:shd w:val="clear" w:color="auto" w:fill="ffffff"/>
          <w14:textFill>
            <w14:solidFill>
              <w14:schemeClr w14:val="tx1"/>
            </w14:solidFill>
          </w14:textFill>
        </w:rPr>
        <w:t xml:space="preserve">（关键工序）</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在中国境内完成。</w:t>
      </w:r>
      <w:r/>
    </w:p>
    <w:p>
      <w:pPr>
        <w:ind w:firstLine="420"/>
        <w:jc w:val="left"/>
        <w:spacing w:before="30" w:after="3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w:t>
      </w:r>
      <w:r/>
    </w:p>
    <w:p>
      <w:pPr>
        <w:ind w:firstLine="420"/>
        <w:jc w:val="left"/>
        <w:spacing w:before="30" w:after="3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本公司（单位）对上述声明内容的真实性负责。如有虚假，愿承担相应法律责任。</w:t>
      </w:r>
      <w:r/>
    </w:p>
    <w:p>
      <w:pPr>
        <w:ind w:right="480" w:firstLine="4728"/>
        <w:jc w:val="left"/>
        <w:spacing w:before="30" w:after="30"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公司（单位）名称（盖章）：　                                          日期：　   年　  月　  日      </w:t>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1.产品如有型号，请在“产品名称”栏一并填写。</w:t>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2.生产厂名与厂址应与生产厂营业执照载明的相关信息保持一致。</w:t>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4.该产品的关键组件要求实施前，“关键组件”栏可不填，下同。</w:t>
      </w:r>
      <w:r/>
    </w:p>
    <w:p>
      <w:pPr>
        <w:jc w:val="left"/>
        <w:spacing w:line="36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5.该产品的关键工序要求实施前，“关键工序”栏可不填，下同。</w:t>
      </w:r>
      <w:r/>
    </w:p>
    <w:p>
      <w:pPr>
        <w:jc w:val="left"/>
        <w:spacing w:line="36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6.提供生产厂营业执照原件扫描件，否则不享受价格优惠。</w:t>
      </w:r>
      <w:r/>
    </w:p>
    <w:p>
      <w:pPr>
        <w:jc w:val="left"/>
        <w:spacing w:line="360" w:lineRule="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7.用斜线划除的地方无需填写。</w:t>
      </w:r>
      <w:r/>
    </w:p>
    <w:p>
      <w:pPr>
        <w:jc w:val="lef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8.请供应商如实填写，如填写有误，将承担一切不利后果。</w:t>
      </w:r>
      <w:r/>
    </w:p>
    <w:p>
      <w:pPr>
        <w:jc w:val="left"/>
        <w:spacing w:line="360" w:lineRule="auto"/>
        <w:shd w:val="clear" w:color="auto" w:fill="ffffff"/>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9.供应商提供虚假《声明函》、虚假证明文件谋取中标的，依照《中华人民共和国政府采购法》等法律法规规定追究相应责任。</w:t>
      </w:r>
      <w:r/>
    </w:p>
    <w:p>
      <w:pPr>
        <w:rPr>
          <w:rFonts w:hint="eastAsia" w:ascii="宋体" w:hAnsi="宋体" w:eastAsia="宋体" w:cs="宋体"/>
          <w:iCs/>
          <w:color w:val="000000" w:themeColor="text1"/>
          <w:szCs w:val="21"/>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中标人的《声明函》或有关证明文件随中标结果公开，接受社会监督。</w:t>
      </w:r>
      <w:r/>
    </w:p>
    <w:p>
      <w:pPr>
        <w:rPr>
          <w:rFonts w:hint="eastAsia" w:ascii="宋体" w:hAnsi="宋体" w:eastAsia="宋体" w:cs="宋体"/>
          <w:i/>
          <w:color w:val="000000" w:themeColor="text1"/>
          <w:sz w:val="28"/>
          <w:szCs w:val="28"/>
          <w:u w:val="single"/>
          <w14:textFill>
            <w14:solidFill>
              <w14:schemeClr w14:val="tx1"/>
            </w14:solidFill>
          </w14:textFill>
        </w:rPr>
      </w:pPr>
      <w:r>
        <w:rPr>
          <w:rFonts w:hint="eastAsia" w:ascii="宋体" w:hAnsi="宋体" w:eastAsia="宋体" w:cs="宋体"/>
          <w:i/>
          <w:color w:val="000000" w:themeColor="text1"/>
          <w:sz w:val="28"/>
          <w:szCs w:val="28"/>
          <w:u w:val="single"/>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十五、技术要求响应及偏离表</w:t>
      </w:r>
      <w:r/>
    </w:p>
    <w:p>
      <w:pPr>
        <w:jc w:val="center"/>
        <w:spacing w:line="360" w:lineRule="auto"/>
        <w:tabs>
          <w:tab w:val="left" w:pos="360" w:leader="none"/>
        </w:tabs>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 xml:space="preserve">技术要求响应及偏离表</w:t>
      </w:r>
      <w:r/>
    </w:p>
    <w:p>
      <w:pPr>
        <w:ind w:firstLine="480"/>
        <w:jc w:val="left"/>
        <w:spacing w:line="360" w:lineRule="auto"/>
        <w:rPr>
          <w:rFonts w:hint="eastAsia" w:ascii="宋体" w:hAnsi="宋体" w:eastAsia="宋体" w:cs="宋体"/>
          <w:color w:val="000000" w:themeColor="text1"/>
          <w:sz w:val="36"/>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      项目编号：   </w:t>
      </w:r>
      <w:r/>
    </w:p>
    <w:tbl>
      <w:tblPr>
        <w:tblStyle w:val="8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327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招标文件要求</w:t>
            </w:r>
            <w:r/>
          </w:p>
        </w:tc>
        <w:tc>
          <w:tcPr>
            <w:tcW w:w="3024"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投标响应情况</w:t>
            </w:r>
            <w:r/>
          </w:p>
        </w:tc>
        <w:tc>
          <w:tcPr>
            <w:tcW w:w="139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超出、符合或偏离</w:t>
            </w:r>
            <w:r/>
          </w:p>
        </w:tc>
      </w:tr>
      <w:tr>
        <w:trPr>
          <w:cantSplit/>
          <w:jc w:val="center"/>
          <w:trHeight w:val="640"/>
        </w:trPr>
        <w:tc>
          <w:tcPr>
            <w:tcW w:w="80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327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024"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9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80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327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024"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9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80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327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024"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9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80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327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024"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9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投标人（盖章）：</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法定代表人（单位负责人）或委托代理人（签字或盖章）：</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日期：年月日</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i/>
          <w:color w:val="000000" w:themeColor="text1"/>
          <w:sz w:val="28"/>
          <w:szCs w:val="28"/>
          <w:u w:val="single"/>
          <w14:textFill>
            <w14:solidFill>
              <w14:schemeClr w14:val="tx1"/>
            </w14:solidFill>
          </w14:textFill>
        </w:rPr>
      </w:pPr>
      <w:r/>
      <w:bookmarkStart w:id="18" w:name="_Hlt26955054"/>
      <w:r/>
      <w:bookmarkEnd w:id="18"/>
      <w:r>
        <w:rPr>
          <w:rFonts w:hint="eastAsia" w:ascii="宋体" w:hAnsi="宋体" w:eastAsia="宋体" w:cs="宋体"/>
          <w:i/>
          <w:iCs/>
          <w:color w:val="000000" w:themeColor="text1"/>
          <w:sz w:val="36"/>
          <w:u w:val="single"/>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十六、商务要求响应及偏离表</w:t>
      </w:r>
      <w:r/>
    </w:p>
    <w:p>
      <w:pPr>
        <w:jc w:val="center"/>
        <w:spacing w:line="360" w:lineRule="auto"/>
        <w:tabs>
          <w:tab w:val="left" w:pos="360" w:leader="none"/>
        </w:tabs>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 xml:space="preserve">商务要求响应及偏离表</w:t>
      </w:r>
      <w:r/>
    </w:p>
    <w:p>
      <w:pPr>
        <w:jc w:val="left"/>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      项目编号：    </w:t>
      </w:r>
      <w:r/>
    </w:p>
    <w:tbl>
      <w:tblPr>
        <w:tblStyle w:val="85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bookmarkStart w:id="19" w:name="_Hlt26955056"/>
            <w:r/>
            <w:bookmarkEnd w:id="19"/>
            <w:r/>
            <w:bookmarkStart w:id="20" w:name="_Hlt26782999"/>
            <w:r/>
            <w:bookmarkEnd w:id="20"/>
            <w:r/>
            <w:bookmarkStart w:id="21" w:name="_Hlt26580838"/>
            <w:r/>
            <w:bookmarkEnd w:id="21"/>
            <w:r/>
            <w:bookmarkStart w:id="22" w:name="_Hlt26609391"/>
            <w:r/>
            <w:bookmarkEnd w:id="22"/>
            <w:r/>
            <w:bookmarkStart w:id="23" w:name="_Hlt26955064"/>
            <w:r/>
            <w:bookmarkEnd w:id="23"/>
            <w:r/>
            <w:bookmarkStart w:id="24" w:name="_Hlt26671372"/>
            <w:r/>
            <w:bookmarkEnd w:id="24"/>
            <w:r/>
            <w:bookmarkStart w:id="25" w:name="_Hlt26671343"/>
            <w:r/>
            <w:bookmarkEnd w:id="25"/>
            <w:r/>
            <w:bookmarkStart w:id="26" w:name="_Hlt24879081"/>
            <w:r/>
            <w:bookmarkEnd w:id="26"/>
            <w:r>
              <w:rPr>
                <w:rFonts w:hint="eastAsia" w:ascii="宋体" w:hAnsi="宋体" w:eastAsia="宋体" w:cs="宋体"/>
                <w:color w:val="000000" w:themeColor="text1"/>
                <w:sz w:val="24"/>
                <w:szCs w:val="24"/>
                <w14:textFill>
                  <w14:solidFill>
                    <w14:schemeClr w14:val="tx1"/>
                  </w14:solidFill>
                </w14:textFill>
              </w:rPr>
              <w:t xml:space="preserve">序号</w:t>
            </w:r>
            <w:r/>
          </w:p>
        </w:tc>
        <w:tc>
          <w:tcPr>
            <w:tcW w:w="326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招标文件要求</w:t>
            </w:r>
            <w:r/>
          </w:p>
        </w:tc>
        <w:tc>
          <w:tcPr>
            <w:tcW w:w="3034"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投标响应情况</w:t>
            </w:r>
            <w:r/>
          </w:p>
        </w:tc>
        <w:tc>
          <w:tcPr>
            <w:tcW w:w="1391"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超出、符合或偏离</w:t>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326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034"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91"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326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034"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91"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326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034"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91"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3263"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034"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91"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投标人（盖章）：</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法定代表人（单位负责人）或委托代理人（签字或盖章）：</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日期：年月日</w:t>
      </w:r>
      <w:r/>
    </w:p>
    <w:p>
      <w:pPr>
        <w:spacing w:line="360" w:lineRule="auto"/>
        <w:rPr>
          <w:rFonts w:hint="eastAsia" w:ascii="宋体" w:hAnsi="宋体" w:eastAsia="宋体" w:cs="宋体"/>
          <w:color w:val="000000" w:themeColor="text1"/>
          <w14:textFill>
            <w14:solidFill>
              <w14:schemeClr w14:val="tx1"/>
            </w14:solidFill>
          </w14:textFill>
        </w:rPr>
      </w:pPr>
      <w:r/>
      <w:bookmarkStart w:id="27" w:name="_Hlt26609389"/>
      <w:r/>
      <w:bookmarkEnd w:id="27"/>
      <w:r/>
      <w:bookmarkStart w:id="28" w:name="_Hlt26671374"/>
      <w:r/>
      <w:bookmarkEnd w:id="28"/>
      <w:r/>
      <w:bookmarkStart w:id="29" w:name="_格式2__法定代表人授权书"/>
      <w:r/>
      <w:bookmarkEnd w:id="29"/>
      <w:r/>
      <w:bookmarkStart w:id="30" w:name="_Hlt26955066"/>
      <w:r/>
      <w:bookmarkEnd w:id="30"/>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i/>
          <w:color w:val="000000" w:themeColor="text1"/>
          <w:sz w:val="28"/>
          <w:szCs w:val="28"/>
          <w:u w:val="single"/>
          <w14:textFill>
            <w14:solidFill>
              <w14:schemeClr w14:val="tx1"/>
            </w14:solidFill>
          </w14:textFill>
        </w:rPr>
      </w:pPr>
      <w:r>
        <w:rPr>
          <w:rFonts w:hint="eastAsia" w:ascii="宋体" w:hAnsi="宋体" w:eastAsia="宋体" w:cs="宋体"/>
          <w:iCs/>
          <w:color w:val="000000" w:themeColor="text1"/>
          <w:sz w:val="36"/>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十七、类似项目业绩一览表</w:t>
      </w:r>
      <w:r/>
    </w:p>
    <w:p>
      <w:pPr>
        <w:jc w:val="left"/>
        <w:keepLines/>
        <w:keepNext/>
        <w:spacing w:line="360" w:lineRule="auto"/>
        <w:rPr>
          <w:rFonts w:hint="eastAsia" w:ascii="宋体" w:hAnsi="宋体" w:eastAsia="宋体" w:cs="宋体"/>
          <w:i/>
          <w:color w:val="000000" w:themeColor="text1"/>
          <w:sz w:val="28"/>
          <w:szCs w:val="28"/>
          <w:u w:val="single"/>
          <w14:textFill>
            <w14:solidFill>
              <w14:schemeClr w14:val="tx1"/>
            </w14:solidFill>
          </w14:textFill>
        </w:rPr>
        <w:outlineLvl w:val="1"/>
      </w:pPr>
      <w:r>
        <w:rPr>
          <w:rFonts w:hint="eastAsia" w:ascii="宋体" w:hAnsi="宋体" w:eastAsia="宋体" w:cs="宋体"/>
          <w:i/>
          <w:color w:val="000000" w:themeColor="text1"/>
          <w:sz w:val="28"/>
          <w:szCs w:val="28"/>
          <w:u w:val="single"/>
          <w14:textFill>
            <w14:solidFill>
              <w14:schemeClr w14:val="tx1"/>
            </w14:solidFill>
          </w14:textFill>
        </w:rPr>
      </w:r>
      <w:r/>
    </w:p>
    <w:p>
      <w:pPr>
        <w:jc w:val="center"/>
        <w:spacing w:line="360" w:lineRule="auto"/>
        <w:tabs>
          <w:tab w:val="left" w:pos="360" w:leader="none"/>
        </w:tabs>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r>
      <w:r/>
    </w:p>
    <w:p>
      <w:pPr>
        <w:jc w:val="center"/>
        <w:spacing w:line="360" w:lineRule="auto"/>
        <w:tabs>
          <w:tab w:val="left" w:pos="360" w:leader="none"/>
        </w:tabs>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 xml:space="preserve">类似项目业绩一览表</w:t>
      </w:r>
      <w:r/>
    </w:p>
    <w:p>
      <w:pPr>
        <w:ind w:firstLine="240"/>
        <w:jc w:val="left"/>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      项目编号：    </w:t>
      </w:r>
      <w:r/>
    </w:p>
    <w:tbl>
      <w:tblPr>
        <w:tblStyle w:val="85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2686"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tcW w:w="1850"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签订时间</w:t>
            </w:r>
            <w:r/>
          </w:p>
        </w:tc>
        <w:tc>
          <w:tcPr>
            <w:tcW w:w="1985"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采购单位</w:t>
            </w:r>
            <w:r/>
          </w:p>
        </w:tc>
        <w:tc>
          <w:tcPr>
            <w:tcW w:w="130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主要标的</w:t>
            </w:r>
            <w:r/>
          </w:p>
        </w:tc>
      </w:tr>
      <w:tr>
        <w:trPr>
          <w:cantSplit/>
          <w:jc w:val="center"/>
          <w:trHeight w:val="640"/>
        </w:trPr>
        <w:tc>
          <w:tcPr>
            <w:tcW w:w="675"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686"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850" w:type="dxa"/>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0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675"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686"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850" w:type="dxa"/>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0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675"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686"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850" w:type="dxa"/>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0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675"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686"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850" w:type="dxa"/>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985"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309"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投标人（盖章）：</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法定代表人（单位负责人）或委托代理人（签字或盖章）：</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日期：年月日</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i/>
          <w:color w:val="000000" w:themeColor="text1"/>
          <w:sz w:val="28"/>
          <w:szCs w:val="28"/>
          <w:u w:val="single"/>
          <w14:textFill>
            <w14:solidFill>
              <w14:schemeClr w14:val="tx1"/>
            </w14:solidFill>
          </w14:textFill>
        </w:rPr>
      </w:pPr>
      <w:r>
        <w:rPr>
          <w:rFonts w:hint="eastAsia" w:ascii="宋体" w:hAnsi="宋体" w:eastAsia="宋体" w:cs="宋体"/>
          <w:iCs/>
          <w:color w:val="000000" w:themeColor="text1"/>
          <w:sz w:val="36"/>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十八、项目团队人员一览表</w:t>
      </w:r>
      <w:r/>
    </w:p>
    <w:p>
      <w:pPr>
        <w:jc w:val="center"/>
        <w:spacing w:line="360" w:lineRule="auto"/>
        <w:tabs>
          <w:tab w:val="left" w:pos="360" w:leader="none"/>
        </w:tabs>
        <w:rPr>
          <w:rFonts w:hint="eastAsia" w:ascii="宋体" w:hAnsi="宋体" w:eastAsia="宋体" w:cs="宋体"/>
          <w:bCs/>
          <w:color w:val="000000" w:themeColor="text1"/>
          <w:sz w:val="36"/>
          <w:szCs w:val="28"/>
          <w14:textFill>
            <w14:solidFill>
              <w14:schemeClr w14:val="tx1"/>
            </w14:solidFill>
          </w14:textFill>
        </w:rPr>
      </w:pPr>
      <w:r>
        <w:rPr>
          <w:rFonts w:hint="eastAsia" w:ascii="宋体" w:hAnsi="宋体" w:eastAsia="宋体" w:cs="宋体"/>
          <w:bCs/>
          <w:color w:val="000000" w:themeColor="text1"/>
          <w:sz w:val="36"/>
          <w:szCs w:val="28"/>
          <w14:textFill>
            <w14:solidFill>
              <w14:schemeClr w14:val="tx1"/>
            </w14:solidFill>
          </w14:textFill>
        </w:rPr>
        <w:t xml:space="preserve">项目团队人员一览表</w:t>
      </w:r>
      <w:r/>
    </w:p>
    <w:p>
      <w:pPr>
        <w:jc w:val="left"/>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      项目编号：    </w:t>
      </w:r>
      <w:r/>
    </w:p>
    <w:tbl>
      <w:tblPr>
        <w:tblStyle w:val="854"/>
        <w:tblW w:w="89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jc w:val="center"/>
        </w:trPr>
        <w:tc>
          <w:tcPr>
            <w:tcW w:w="1088"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姓名</w:t>
            </w:r>
            <w:r/>
          </w:p>
        </w:tc>
        <w:tc>
          <w:tcPr>
            <w:tcW w:w="2227"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本项目拟担任职务</w:t>
            </w:r>
            <w:r/>
          </w:p>
        </w:tc>
        <w:tc>
          <w:tcPr>
            <w:tcW w:w="2696"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技术职称、专业资质</w:t>
            </w:r>
            <w:r/>
          </w:p>
        </w:tc>
        <w:tc>
          <w:tcPr>
            <w:tcW w:w="2910"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主要资历及担任过的职务</w:t>
            </w:r>
            <w:r/>
          </w:p>
        </w:tc>
      </w:tr>
      <w:tr>
        <w:trPr>
          <w:cantSplit/>
          <w:jc w:val="center"/>
          <w:trHeight w:val="640"/>
        </w:trPr>
        <w:tc>
          <w:tcPr>
            <w:tcW w:w="1088"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27"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696" w:type="dxa"/>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0" w:type="dxa"/>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1088"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27"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696" w:type="dxa"/>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0" w:type="dxa"/>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1088"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27"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696" w:type="dxa"/>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0" w:type="dxa"/>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640"/>
        </w:trPr>
        <w:tc>
          <w:tcPr>
            <w:tcW w:w="1088"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227" w:type="dxa"/>
            <w:vAlign w:val="center"/>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696" w:type="dxa"/>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0" w:type="dxa"/>
            <w:textDirection w:val="lrTb"/>
            <w:noWrap w:val="false"/>
          </w:tcPr>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投标人（盖章）：</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法定代表人（单位负责人）或委托代理人（签字或盖章）：</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日期：年月日</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643"/>
        <w:jc w:val="left"/>
        <w:spacing w:line="360" w:lineRule="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rPr>
          <w:rFonts w:hint="eastAsia" w:ascii="宋体" w:hAnsi="宋体" w:eastAsia="宋体" w:cs="宋体"/>
          <w:i/>
          <w:color w:val="000000" w:themeColor="text1"/>
          <w:sz w:val="28"/>
          <w:szCs w:val="28"/>
          <w:u w:val="single"/>
          <w14:textFill>
            <w14:solidFill>
              <w14:schemeClr w14:val="tx1"/>
            </w14:solidFill>
          </w14:textFill>
        </w:rPr>
      </w:pPr>
      <w:r>
        <w:rPr>
          <w:rFonts w:hint="eastAsia" w:ascii="宋体" w:hAnsi="宋体" w:eastAsia="宋体" w:cs="宋体"/>
          <w:bCs/>
          <w:i/>
          <w:color w:val="000000" w:themeColor="text1"/>
          <w:sz w:val="36"/>
          <w:szCs w:val="36"/>
          <w:u w:val="single"/>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十九、开标一览表</w:t>
      </w:r>
      <w:r/>
    </w:p>
    <w:p>
      <w:pPr>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投标人全称（加盖公章）：</w:t>
      </w:r>
      <w:r/>
    </w:p>
    <w:p>
      <w:pPr>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招标编号：</w:t>
      </w:r>
      <w:r/>
    </w:p>
    <w:tbl>
      <w:tblPr>
        <w:tblStyle w:val="85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小写：   元        （人民币（大写）：   元）</w:t>
            </w:r>
            <w:r/>
          </w:p>
        </w:tc>
      </w:tr>
      <w:tr>
        <w:trPr>
          <w:cantSplit/>
          <w:trHeight w:val="612"/>
        </w:trPr>
        <w:tc>
          <w:tcPr>
            <w:tcW w:w="2481" w:type="dxa"/>
            <w:vAlign w:val="center"/>
            <w:textDirection w:val="lrTb"/>
            <w:noWrap w:val="false"/>
          </w:tcPr>
          <w:p>
            <w:pPr>
              <w:jc w:val="center"/>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核心产品</w:t>
            </w:r>
            <w:r/>
          </w:p>
        </w:tc>
        <w:tc>
          <w:tcPr>
            <w:tcW w:w="6405" w:type="dxa"/>
            <w:vAlign w:val="center"/>
            <w:textDirection w:val="lrTb"/>
            <w:noWrap w:val="false"/>
          </w:tcPr>
          <w:p>
            <w:pPr>
              <w:jc w:val="left"/>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i/>
          <w:color w:val="000000" w:themeColor="text1"/>
          <w:sz w:val="28"/>
          <w:szCs w:val="28"/>
          <w:u w:val="single"/>
          <w14:textFill>
            <w14:solidFill>
              <w14:schemeClr w14:val="tx1"/>
            </w14:solidFill>
          </w14:textFill>
        </w:rPr>
        <w:t xml:space="preserve">二十、供应商认为需要提供的其他材料</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8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40"/>
          <w:szCs w:val="32"/>
          <w14:textFill>
            <w14:solidFill>
              <w14:schemeClr w14:val="tx1"/>
            </w14:solidFill>
          </w14:textFill>
        </w:rPr>
        <w:br w:type="page" w:clear="all"/>
      </w:r>
      <w:r/>
    </w:p>
    <w:p>
      <w:pPr>
        <w:jc w:val="center"/>
        <w:spacing w:line="360" w:lineRule="auto"/>
        <w:rPr>
          <w:rFonts w:hint="eastAsia" w:ascii="宋体" w:hAnsi="宋体" w:eastAsia="宋体" w:cs="宋体"/>
          <w:bCs/>
          <w:color w:val="000000" w:themeColor="text1"/>
          <w:sz w:val="40"/>
          <w:szCs w:val="32"/>
          <w14:textFill>
            <w14:solidFill>
              <w14:schemeClr w14:val="tx1"/>
            </w14:solidFill>
          </w14:textFill>
        </w:rPr>
      </w:pPr>
      <w:r>
        <w:rPr>
          <w:rFonts w:hint="eastAsia" w:ascii="宋体" w:hAnsi="宋体" w:eastAsia="宋体" w:cs="宋体"/>
          <w:bCs/>
          <w:color w:val="000000" w:themeColor="text1"/>
          <w:sz w:val="40"/>
          <w:szCs w:val="32"/>
          <w14:textFill>
            <w14:solidFill>
              <w14:schemeClr w14:val="tx1"/>
            </w14:solidFill>
          </w14:textFill>
        </w:rPr>
        <w:t xml:space="preserve">质疑函范本</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致：</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一、质疑投标人基本信息</w:t>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质疑投标人：</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地址：邮编：</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联系人：联系电话：</w:t>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授权代表：</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地址：邮编：</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二、质疑项目基本情况</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质疑项目的名称：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质疑项目的编号：包号：</w:t>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招标人名称：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招标文件获取日期：</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三、质疑事项具体内容</w:t>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质疑事项1：</w:t>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事实依据：</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法律依据：</w:t>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质疑事项2</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四、与质疑事项相关的质疑请求</w:t>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请求：</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签字（签章）：                   公章：                      </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w:t>
      </w:r>
      <w:r/>
    </w:p>
    <w:p>
      <w:pPr>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质疑函制作说明：</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1.投标人提出质疑时，应提交质疑函和必要的证明材料。</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3.质疑投标人若对项目的某一分包进行质疑，质疑函中应列明具体分包号。</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5.质疑函的质疑请求应与质疑事项相关。</w:t>
      </w:r>
      <w:r/>
    </w:p>
    <w:p>
      <w:pPr>
        <w:ind w:firstLine="480"/>
        <w:jc w:val="left"/>
        <w:spacing w:line="360" w:lineRule="auto"/>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w:panose1 w:val="020B0502040204020203"/>
  </w:font>
  <w:font w:name="Symbol">
    <w:panose1 w:val="05050102010706020507"/>
  </w:font>
  <w:font w:name="Wingdings">
    <w:panose1 w:val="05000000000000000000"/>
  </w:font>
  <w:font w:name="华文楷体">
    <w:panose1 w:val="02010600040101010101"/>
  </w:font>
  <w:font w:name="楷体_GB2312">
    <w:panose1 w:val="02010609060101010101"/>
  </w:font>
  <w:font w:name="Cambria">
    <w:panose1 w:val="02040503050406030204"/>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宋体_x0006_壵分糮..">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eastAsia="Arial" w:cs="Times New Roman"/>
        <w:sz w:val="18"/>
        <w:szCs w:val="18"/>
      </w:rPr>
    </w:pPr>
    <w:r>
      <w:rPr>
        <w:rFonts w:ascii="Calibri" w:hAnsi="Calibri" w:eastAsia="Arial"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eastAsia="Arial" w:cs="Times New Roman"/>
        <w:sz w:val="18"/>
        <w:szCs w:val="18"/>
      </w:rPr>
    </w:pPr>
    <w:r>
      <w:rPr>
        <w:rFonts w:ascii="Calibri" w:hAnsi="Calibri" w:eastAsia="Arial"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Calibri" w:hAnsi="Calibri" w:eastAsia="Arial" w:cs="Times New Roman"/>
        <w:sz w:val="18"/>
        <w:szCs w:val="18"/>
      </w:rPr>
    </w:pPr>
    <w:r>
      <w:rPr>
        <w:rFonts w:ascii="Calibri" w:hAnsi="Calibri" w:eastAsia="Arial"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3"/>
  </w:num>
  <w:num w:numId="4">
    <w:abstractNumId w:val="9"/>
  </w:num>
  <w:num w:numId="5">
    <w:abstractNumId w:val="2"/>
  </w:num>
  <w:num w:numId="6">
    <w:abstractNumId w:val="1"/>
  </w:num>
  <w:num w:numId="7">
    <w:abstractNumId w:val="6"/>
  </w:num>
  <w:num w:numId="8">
    <w:abstractNumId w:val="8"/>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53"/>
    <w:link w:val="844"/>
    <w:uiPriority w:val="9"/>
    <w:rPr>
      <w:rFonts w:ascii="Arial" w:hAnsi="Arial" w:eastAsia="Arial" w:cs="Arial"/>
      <w:sz w:val="40"/>
      <w:szCs w:val="40"/>
    </w:rPr>
  </w:style>
  <w:style w:type="character" w:styleId="685">
    <w:name w:val="Heading 2 Char"/>
    <w:basedOn w:val="853"/>
    <w:link w:val="845"/>
    <w:uiPriority w:val="9"/>
    <w:rPr>
      <w:rFonts w:ascii="Arial" w:hAnsi="Arial" w:eastAsia="Arial" w:cs="Arial"/>
      <w:sz w:val="34"/>
    </w:rPr>
  </w:style>
  <w:style w:type="character" w:styleId="686">
    <w:name w:val="Heading 3 Char"/>
    <w:basedOn w:val="853"/>
    <w:link w:val="846"/>
    <w:uiPriority w:val="9"/>
    <w:rPr>
      <w:rFonts w:ascii="Arial" w:hAnsi="Arial" w:eastAsia="Arial" w:cs="Arial"/>
      <w:sz w:val="30"/>
      <w:szCs w:val="30"/>
    </w:rPr>
  </w:style>
  <w:style w:type="character" w:styleId="687">
    <w:name w:val="Heading 4 Char"/>
    <w:basedOn w:val="853"/>
    <w:link w:val="847"/>
    <w:uiPriority w:val="9"/>
    <w:rPr>
      <w:rFonts w:ascii="Arial" w:hAnsi="Arial" w:eastAsia="Arial" w:cs="Arial"/>
      <w:b/>
      <w:bCs/>
      <w:sz w:val="26"/>
      <w:szCs w:val="26"/>
    </w:rPr>
  </w:style>
  <w:style w:type="character" w:styleId="688">
    <w:name w:val="Heading 5 Char"/>
    <w:basedOn w:val="853"/>
    <w:link w:val="848"/>
    <w:uiPriority w:val="9"/>
    <w:rPr>
      <w:rFonts w:ascii="Arial" w:hAnsi="Arial" w:eastAsia="Arial" w:cs="Arial"/>
      <w:b/>
      <w:bCs/>
      <w:sz w:val="24"/>
      <w:szCs w:val="24"/>
    </w:rPr>
  </w:style>
  <w:style w:type="character" w:styleId="689">
    <w:name w:val="Heading 6 Char"/>
    <w:basedOn w:val="853"/>
    <w:link w:val="849"/>
    <w:uiPriority w:val="9"/>
    <w:rPr>
      <w:rFonts w:ascii="Arial" w:hAnsi="Arial" w:eastAsia="Arial" w:cs="Arial"/>
      <w:b/>
      <w:bCs/>
      <w:sz w:val="22"/>
      <w:szCs w:val="22"/>
    </w:rPr>
  </w:style>
  <w:style w:type="character" w:styleId="690">
    <w:name w:val="Heading 7 Char"/>
    <w:basedOn w:val="853"/>
    <w:link w:val="850"/>
    <w:uiPriority w:val="9"/>
    <w:rPr>
      <w:rFonts w:ascii="Arial" w:hAnsi="Arial" w:eastAsia="Arial" w:cs="Arial"/>
      <w:b/>
      <w:bCs/>
      <w:i/>
      <w:iCs/>
      <w:sz w:val="22"/>
      <w:szCs w:val="22"/>
    </w:rPr>
  </w:style>
  <w:style w:type="character" w:styleId="691">
    <w:name w:val="Heading 8 Char"/>
    <w:basedOn w:val="853"/>
    <w:link w:val="851"/>
    <w:uiPriority w:val="9"/>
    <w:rPr>
      <w:rFonts w:ascii="Arial" w:hAnsi="Arial" w:eastAsia="Arial" w:cs="Arial"/>
      <w:i/>
      <w:iCs/>
      <w:sz w:val="22"/>
      <w:szCs w:val="22"/>
    </w:rPr>
  </w:style>
  <w:style w:type="character" w:styleId="692">
    <w:name w:val="Heading 9 Char"/>
    <w:basedOn w:val="853"/>
    <w:link w:val="852"/>
    <w:uiPriority w:val="9"/>
    <w:rPr>
      <w:rFonts w:ascii="Arial" w:hAnsi="Arial" w:eastAsia="Arial" w:cs="Arial"/>
      <w:i/>
      <w:iCs/>
      <w:sz w:val="21"/>
      <w:szCs w:val="21"/>
    </w:rPr>
  </w:style>
  <w:style w:type="paragraph" w:styleId="693">
    <w:name w:val="No Spacing"/>
    <w:uiPriority w:val="1"/>
    <w:qFormat/>
    <w:pPr>
      <w:spacing w:before="0" w:after="0" w:line="240" w:lineRule="auto"/>
    </w:pPr>
  </w:style>
  <w:style w:type="character" w:styleId="694">
    <w:name w:val="Title Char"/>
    <w:basedOn w:val="853"/>
    <w:link w:val="868"/>
    <w:uiPriority w:val="10"/>
    <w:rPr>
      <w:sz w:val="48"/>
      <w:szCs w:val="48"/>
    </w:rPr>
  </w:style>
  <w:style w:type="character" w:styleId="695">
    <w:name w:val="Subtitle Char"/>
    <w:basedOn w:val="853"/>
    <w:link w:val="865"/>
    <w:uiPriority w:val="11"/>
    <w:rPr>
      <w:sz w:val="24"/>
      <w:szCs w:val="24"/>
    </w:rPr>
  </w:style>
  <w:style w:type="character" w:styleId="696">
    <w:name w:val="Quote Char"/>
    <w:link w:val="887"/>
    <w:uiPriority w:val="29"/>
    <w:rPr>
      <w:i/>
    </w:rPr>
  </w:style>
  <w:style w:type="character" w:styleId="697">
    <w:name w:val="Intense Quote Char"/>
    <w:link w:val="891"/>
    <w:uiPriority w:val="30"/>
    <w:rPr>
      <w:i/>
    </w:rPr>
  </w:style>
  <w:style w:type="character" w:styleId="698">
    <w:name w:val="Header Char"/>
    <w:basedOn w:val="853"/>
    <w:link w:val="863"/>
    <w:uiPriority w:val="99"/>
  </w:style>
  <w:style w:type="character" w:styleId="699">
    <w:name w:val="Footer Char"/>
    <w:basedOn w:val="853"/>
    <w:link w:val="862"/>
    <w:uiPriority w:val="99"/>
  </w:style>
  <w:style w:type="paragraph" w:styleId="700">
    <w:name w:val="Caption"/>
    <w:basedOn w:val="843"/>
    <w:next w:val="843"/>
    <w:uiPriority w:val="35"/>
    <w:semiHidden/>
    <w:unhideWhenUsed/>
    <w:qFormat/>
    <w:pPr>
      <w:spacing w:line="276" w:lineRule="auto"/>
    </w:pPr>
    <w:rPr>
      <w:b/>
      <w:bCs/>
      <w:color w:val="4f81bd" w:themeColor="accent1"/>
      <w:sz w:val="18"/>
      <w:szCs w:val="18"/>
    </w:rPr>
  </w:style>
  <w:style w:type="character" w:styleId="701">
    <w:name w:val="Caption Char"/>
    <w:basedOn w:val="700"/>
    <w:link w:val="862"/>
    <w:uiPriority w:val="99"/>
  </w:style>
  <w:style w:type="table" w:styleId="702">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3">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0">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1">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2">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3">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4">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5">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6">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7">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8">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9">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0">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1">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2">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1">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2">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3">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4">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5">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6">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7">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38">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9">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0">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1">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2">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3">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5">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6">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7">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8">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49">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0">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1">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2">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6">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7">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9">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0">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1">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2">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3">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4">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6">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7">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8">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9">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0">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1">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3">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4">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5">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6">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77">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8">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0">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1">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2">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3">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4">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5">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4">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5">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6">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7">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98">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9">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0">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1">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2">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3">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4">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5">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6">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08">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9">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0">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1">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2">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3">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5">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6">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7">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8">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9">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0">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1">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2">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3">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4">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5">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6">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7">
    <w:name w:val="footnote text"/>
    <w:basedOn w:val="843"/>
    <w:link w:val="828"/>
    <w:uiPriority w:val="99"/>
    <w:semiHidden/>
    <w:unhideWhenUsed/>
    <w:pPr>
      <w:spacing w:after="40" w:line="240" w:lineRule="auto"/>
    </w:pPr>
    <w:rPr>
      <w:sz w:val="18"/>
    </w:rPr>
  </w:style>
  <w:style w:type="character" w:styleId="828">
    <w:name w:val="Footnote Text Char"/>
    <w:link w:val="827"/>
    <w:uiPriority w:val="99"/>
    <w:rPr>
      <w:sz w:val="18"/>
    </w:rPr>
  </w:style>
  <w:style w:type="character" w:styleId="829">
    <w:name w:val="footnote reference"/>
    <w:basedOn w:val="853"/>
    <w:uiPriority w:val="99"/>
    <w:unhideWhenUsed/>
    <w:rPr>
      <w:vertAlign w:val="superscript"/>
    </w:rPr>
  </w:style>
  <w:style w:type="paragraph" w:styleId="830">
    <w:name w:val="endnote text"/>
    <w:basedOn w:val="843"/>
    <w:link w:val="831"/>
    <w:uiPriority w:val="99"/>
    <w:semiHidden/>
    <w:unhideWhenUsed/>
    <w:pPr>
      <w:spacing w:after="0" w:line="240" w:lineRule="auto"/>
    </w:pPr>
    <w:rPr>
      <w:sz w:val="20"/>
    </w:rPr>
  </w:style>
  <w:style w:type="character" w:styleId="831">
    <w:name w:val="Endnote Text Char"/>
    <w:link w:val="830"/>
    <w:uiPriority w:val="99"/>
    <w:rPr>
      <w:sz w:val="20"/>
    </w:rPr>
  </w:style>
  <w:style w:type="character" w:styleId="832">
    <w:name w:val="endnote reference"/>
    <w:basedOn w:val="853"/>
    <w:uiPriority w:val="99"/>
    <w:semiHidden/>
    <w:unhideWhenUsed/>
    <w:rPr>
      <w:vertAlign w:val="superscript"/>
    </w:rPr>
  </w:style>
  <w:style w:type="paragraph" w:styleId="833">
    <w:name w:val="toc 2"/>
    <w:basedOn w:val="843"/>
    <w:next w:val="843"/>
    <w:uiPriority w:val="39"/>
    <w:unhideWhenUsed/>
    <w:pPr>
      <w:ind w:left="283" w:right="0" w:firstLine="0"/>
      <w:spacing w:after="57"/>
    </w:pPr>
  </w:style>
  <w:style w:type="paragraph" w:styleId="834">
    <w:name w:val="toc 3"/>
    <w:basedOn w:val="843"/>
    <w:next w:val="843"/>
    <w:uiPriority w:val="39"/>
    <w:unhideWhenUsed/>
    <w:pPr>
      <w:ind w:left="567" w:right="0" w:firstLine="0"/>
      <w:spacing w:after="57"/>
    </w:pPr>
  </w:style>
  <w:style w:type="paragraph" w:styleId="835">
    <w:name w:val="toc 4"/>
    <w:basedOn w:val="843"/>
    <w:next w:val="843"/>
    <w:uiPriority w:val="39"/>
    <w:unhideWhenUsed/>
    <w:pPr>
      <w:ind w:left="850" w:right="0" w:firstLine="0"/>
      <w:spacing w:after="57"/>
    </w:pPr>
  </w:style>
  <w:style w:type="paragraph" w:styleId="836">
    <w:name w:val="toc 5"/>
    <w:basedOn w:val="843"/>
    <w:next w:val="843"/>
    <w:uiPriority w:val="39"/>
    <w:unhideWhenUsed/>
    <w:pPr>
      <w:ind w:left="1134" w:right="0" w:firstLine="0"/>
      <w:spacing w:after="57"/>
    </w:pPr>
  </w:style>
  <w:style w:type="paragraph" w:styleId="837">
    <w:name w:val="toc 6"/>
    <w:basedOn w:val="843"/>
    <w:next w:val="843"/>
    <w:uiPriority w:val="39"/>
    <w:unhideWhenUsed/>
    <w:pPr>
      <w:ind w:left="1417" w:right="0" w:firstLine="0"/>
      <w:spacing w:after="57"/>
    </w:pPr>
  </w:style>
  <w:style w:type="paragraph" w:styleId="838">
    <w:name w:val="toc 7"/>
    <w:basedOn w:val="843"/>
    <w:next w:val="843"/>
    <w:uiPriority w:val="39"/>
    <w:unhideWhenUsed/>
    <w:pPr>
      <w:ind w:left="1701" w:right="0" w:firstLine="0"/>
      <w:spacing w:after="57"/>
    </w:pPr>
  </w:style>
  <w:style w:type="paragraph" w:styleId="839">
    <w:name w:val="toc 8"/>
    <w:basedOn w:val="843"/>
    <w:next w:val="843"/>
    <w:uiPriority w:val="39"/>
    <w:unhideWhenUsed/>
    <w:pPr>
      <w:ind w:left="1984" w:right="0" w:firstLine="0"/>
      <w:spacing w:after="57"/>
    </w:pPr>
  </w:style>
  <w:style w:type="paragraph" w:styleId="840">
    <w:name w:val="toc 9"/>
    <w:basedOn w:val="843"/>
    <w:next w:val="843"/>
    <w:uiPriority w:val="39"/>
    <w:unhideWhenUsed/>
    <w:pPr>
      <w:ind w:left="2268" w:right="0" w:firstLine="0"/>
      <w:spacing w:after="57"/>
    </w:pPr>
  </w:style>
  <w:style w:type="paragraph" w:styleId="841">
    <w:name w:val="TOC Heading"/>
    <w:uiPriority w:val="39"/>
    <w:unhideWhenUsed/>
  </w:style>
  <w:style w:type="paragraph" w:styleId="842">
    <w:name w:val="table of figures"/>
    <w:basedOn w:val="843"/>
    <w:next w:val="843"/>
    <w:uiPriority w:val="99"/>
    <w:unhideWhenUsed/>
    <w:pPr>
      <w:spacing w:after="0" w:afterAutospacing="0"/>
    </w:pPr>
  </w:style>
  <w:style w:type="paragraph" w:styleId="84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4">
    <w:name w:val="Heading 1"/>
    <w:basedOn w:val="843"/>
    <w:next w:val="843"/>
    <w:link w:val="876"/>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845">
    <w:name w:val="Heading 2"/>
    <w:basedOn w:val="843"/>
    <w:next w:val="843"/>
    <w:link w:val="877"/>
    <w:uiPriority w:val="9"/>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846">
    <w:name w:val="Heading 3"/>
    <w:basedOn w:val="843"/>
    <w:next w:val="843"/>
    <w:link w:val="878"/>
    <w:uiPriority w:val="9"/>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847">
    <w:name w:val="Heading 4"/>
    <w:basedOn w:val="843"/>
    <w:next w:val="843"/>
    <w:link w:val="879"/>
    <w:uiPriority w:val="9"/>
    <w:semiHidden/>
    <w:unhideWhenUsed/>
    <w:qFormat/>
    <w:pPr>
      <w:keepLines/>
      <w:keepNext/>
      <w:spacing w:before="80" w:after="40"/>
      <w:outlineLvl w:val="3"/>
    </w:pPr>
    <w:rPr>
      <w:rFonts w:cstheme="majorBidi"/>
      <w:color w:val="2f5597" w:themeColor="accent1" w:themeShade="BF"/>
      <w:sz w:val="28"/>
      <w:szCs w:val="28"/>
    </w:rPr>
  </w:style>
  <w:style w:type="paragraph" w:styleId="848">
    <w:name w:val="Heading 5"/>
    <w:basedOn w:val="843"/>
    <w:next w:val="843"/>
    <w:link w:val="880"/>
    <w:uiPriority w:val="9"/>
    <w:semiHidden/>
    <w:unhideWhenUsed/>
    <w:qFormat/>
    <w:pPr>
      <w:keepLines/>
      <w:keepNext/>
      <w:spacing w:before="80" w:after="40"/>
      <w:outlineLvl w:val="4"/>
    </w:pPr>
    <w:rPr>
      <w:rFonts w:cstheme="majorBidi"/>
      <w:color w:val="2f5597" w:themeColor="accent1" w:themeShade="BF"/>
      <w:sz w:val="24"/>
      <w:szCs w:val="24"/>
    </w:rPr>
  </w:style>
  <w:style w:type="paragraph" w:styleId="849">
    <w:name w:val="Heading 6"/>
    <w:basedOn w:val="843"/>
    <w:next w:val="843"/>
    <w:link w:val="881"/>
    <w:uiPriority w:val="9"/>
    <w:semiHidden/>
    <w:unhideWhenUsed/>
    <w:qFormat/>
    <w:pPr>
      <w:keepLines/>
      <w:keepNext/>
      <w:spacing w:before="40"/>
      <w:outlineLvl w:val="5"/>
    </w:pPr>
    <w:rPr>
      <w:rFonts w:cstheme="majorBidi"/>
      <w:b/>
      <w:bCs/>
      <w:color w:val="2f5597" w:themeColor="accent1" w:themeShade="BF"/>
    </w:rPr>
  </w:style>
  <w:style w:type="paragraph" w:styleId="850">
    <w:name w:val="Heading 7"/>
    <w:basedOn w:val="843"/>
    <w:next w:val="843"/>
    <w:link w:val="882"/>
    <w:uiPriority w:val="1"/>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851">
    <w:name w:val="Heading 8"/>
    <w:basedOn w:val="843"/>
    <w:next w:val="843"/>
    <w:link w:val="883"/>
    <w:uiPriority w:val="9"/>
    <w:semiHidden/>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852">
    <w:name w:val="Heading 9"/>
    <w:basedOn w:val="843"/>
    <w:next w:val="843"/>
    <w:link w:val="884"/>
    <w:uiPriority w:val="9"/>
    <w:semiHidden/>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53" w:default="1">
    <w:name w:val="Default Paragraph Font"/>
    <w:uiPriority w:val="1"/>
    <w:semiHidden/>
    <w:unhideWhenUsed/>
  </w:style>
  <w:style w:type="table" w:styleId="854" w:default="1">
    <w:name w:val="Normal Table"/>
    <w:uiPriority w:val="99"/>
    <w:semiHidden/>
    <w:unhideWhenUsed/>
    <w:tblPr>
      <w:tblCellMar>
        <w:left w:w="108" w:type="dxa"/>
        <w:top w:w="0" w:type="dxa"/>
        <w:right w:w="108" w:type="dxa"/>
        <w:bottom w:w="0" w:type="dxa"/>
      </w:tblCellMar>
    </w:tblPr>
  </w:style>
  <w:style w:type="paragraph" w:styleId="855">
    <w:name w:val="Document Map"/>
    <w:basedOn w:val="843"/>
    <w:link w:val="897"/>
    <w:uiPriority w:val="99"/>
    <w:unhideWhenUsed/>
    <w:qFormat/>
    <w:rPr>
      <w:rFonts w:ascii="宋体" w:hAnsi="Times New Roman" w:eastAsia="宋体" w:cs="Times New Roman"/>
      <w:sz w:val="18"/>
      <w:szCs w:val="18"/>
    </w:rPr>
  </w:style>
  <w:style w:type="paragraph" w:styleId="856">
    <w:name w:val="annotation text"/>
    <w:basedOn w:val="843"/>
    <w:link w:val="898"/>
    <w:uiPriority w:val="0"/>
    <w:qFormat/>
    <w:pPr>
      <w:ind w:firstLine="922"/>
      <w:jc w:val="left"/>
      <w:spacing w:line="360" w:lineRule="auto"/>
    </w:pPr>
    <w:rPr>
      <w:rFonts w:ascii="Times New Roman" w:hAnsi="Times New Roman" w:eastAsia="宋体" w:cs="Times New Roman"/>
      <w:sz w:val="20"/>
      <w:szCs w:val="24"/>
    </w:rPr>
  </w:style>
  <w:style w:type="paragraph" w:styleId="857">
    <w:name w:val="Body Text"/>
    <w:basedOn w:val="843"/>
    <w:next w:val="843"/>
    <w:link w:val="899"/>
    <w:uiPriority w:val="0"/>
    <w:unhideWhenUsed/>
    <w:qFormat/>
    <w:pPr>
      <w:spacing w:after="120"/>
    </w:pPr>
    <w:rPr>
      <w:rFonts w:ascii="Calibri" w:hAnsi="Calibri" w:eastAsia="宋体" w:cs="Times New Roman"/>
      <w:sz w:val="20"/>
      <w:szCs w:val="20"/>
    </w:rPr>
  </w:style>
  <w:style w:type="paragraph" w:styleId="858">
    <w:name w:val="Body Text Indent"/>
    <w:basedOn w:val="843"/>
    <w:link w:val="900"/>
    <w:uiPriority w:val="0"/>
    <w:qFormat/>
    <w:pPr>
      <w:ind w:left="420"/>
      <w:spacing w:after="120"/>
    </w:pPr>
    <w:rPr>
      <w:rFonts w:ascii="Times New Roman" w:hAnsi="Times New Roman" w:eastAsia="宋体" w:cs="Times New Roman"/>
      <w:sz w:val="20"/>
      <w:szCs w:val="24"/>
    </w:rPr>
  </w:style>
  <w:style w:type="paragraph" w:styleId="859">
    <w:name w:val="Plain Text"/>
    <w:basedOn w:val="843"/>
    <w:link w:val="901"/>
    <w:uiPriority w:val="0"/>
    <w:qFormat/>
    <w:rPr>
      <w:rFonts w:ascii="宋体" w:hAnsi="Courier New" w:eastAsia="宋体" w:cs="Times New Roman"/>
      <w:sz w:val="20"/>
      <w:szCs w:val="21"/>
    </w:rPr>
  </w:style>
  <w:style w:type="paragraph" w:styleId="860">
    <w:name w:val="Date"/>
    <w:basedOn w:val="843"/>
    <w:next w:val="843"/>
    <w:link w:val="902"/>
    <w:uiPriority w:val="99"/>
    <w:unhideWhenUsed/>
    <w:qFormat/>
    <w:pPr>
      <w:ind w:left="100"/>
    </w:pPr>
    <w:rPr>
      <w:rFonts w:ascii="Calibri" w:hAnsi="Calibri" w:eastAsia="宋体" w:cs="Times New Roman"/>
    </w:rPr>
  </w:style>
  <w:style w:type="paragraph" w:styleId="861">
    <w:name w:val="Balloon Text"/>
    <w:basedOn w:val="843"/>
    <w:link w:val="903"/>
    <w:uiPriority w:val="99"/>
    <w:unhideWhenUsed/>
    <w:qFormat/>
    <w:rPr>
      <w:rFonts w:ascii="Times New Roman" w:hAnsi="Times New Roman" w:eastAsia="宋体" w:cs="Times New Roman"/>
      <w:sz w:val="18"/>
      <w:szCs w:val="18"/>
    </w:rPr>
  </w:style>
  <w:style w:type="paragraph" w:styleId="862">
    <w:name w:val="Footer"/>
    <w:basedOn w:val="843"/>
    <w:link w:val="895"/>
    <w:uiPriority w:val="99"/>
    <w:unhideWhenUsed/>
    <w:qFormat/>
    <w:pPr>
      <w:jc w:val="left"/>
      <w:tabs>
        <w:tab w:val="center" w:pos="4153" w:leader="none"/>
        <w:tab w:val="right" w:pos="8306" w:leader="none"/>
      </w:tabs>
    </w:pPr>
    <w:rPr>
      <w:sz w:val="18"/>
      <w:szCs w:val="18"/>
    </w:rPr>
  </w:style>
  <w:style w:type="paragraph" w:styleId="863">
    <w:name w:val="Header"/>
    <w:basedOn w:val="843"/>
    <w:link w:val="894"/>
    <w:uiPriority w:val="99"/>
    <w:unhideWhenUsed/>
    <w:qFormat/>
    <w:pPr>
      <w:jc w:val="center"/>
      <w:tabs>
        <w:tab w:val="center" w:pos="4153" w:leader="none"/>
        <w:tab w:val="right" w:pos="8306" w:leader="none"/>
      </w:tabs>
    </w:pPr>
    <w:rPr>
      <w:sz w:val="18"/>
      <w:szCs w:val="18"/>
    </w:rPr>
  </w:style>
  <w:style w:type="paragraph" w:styleId="864">
    <w:name w:val="toc 1"/>
    <w:basedOn w:val="843"/>
    <w:next w:val="843"/>
    <w:uiPriority w:val="39"/>
    <w:unhideWhenUsed/>
    <w:qFormat/>
    <w:pPr>
      <w:jc w:val="center"/>
      <w:tabs>
        <w:tab w:val="right" w:pos="8296" w:leader="dot"/>
      </w:tabs>
    </w:pPr>
    <w:rPr>
      <w:rFonts w:ascii="黑体" w:hAnsi="黑体" w:eastAsia="黑体" w:cs="Times New Roman"/>
      <w:sz w:val="44"/>
      <w:szCs w:val="44"/>
    </w:rPr>
  </w:style>
  <w:style w:type="paragraph" w:styleId="865">
    <w:name w:val="Subtitle"/>
    <w:basedOn w:val="843"/>
    <w:next w:val="843"/>
    <w:link w:val="886"/>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66">
    <w:name w:val="HTML Preformatted"/>
    <w:link w:val="904"/>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2"/>
      <w:lang w:val="en-US" w:eastAsia="zh-CN" w:bidi="ar-SA"/>
    </w:rPr>
  </w:style>
  <w:style w:type="paragraph" w:styleId="867">
    <w:name w:val="Normal (Web)"/>
    <w:basedOn w:val="843"/>
    <w:uiPriority w:val="99"/>
    <w:unhideWhenUsed/>
    <w:qFormat/>
    <w:pPr>
      <w:jc w:val="left"/>
      <w:spacing w:before="100" w:beforeAutospacing="1" w:after="100" w:afterAutospacing="1"/>
    </w:pPr>
    <w:rPr>
      <w:rFonts w:ascii="Calibri" w:hAnsi="Calibri" w:eastAsia="宋体" w:cs="Times New Roman"/>
      <w:sz w:val="24"/>
    </w:rPr>
  </w:style>
  <w:style w:type="paragraph" w:styleId="868">
    <w:name w:val="Title"/>
    <w:basedOn w:val="843"/>
    <w:next w:val="843"/>
    <w:link w:val="885"/>
    <w:uiPriority w:val="10"/>
    <w:qFormat/>
    <w:pPr>
      <w:contextualSpacing/>
      <w:jc w:val="center"/>
      <w:spacing w:after="80"/>
    </w:pPr>
    <w:rPr>
      <w:rFonts w:asciiTheme="majorHAnsi" w:hAnsiTheme="majorHAnsi" w:eastAsiaTheme="majorEastAsia" w:cstheme="majorBidi"/>
      <w:spacing w:val="-10"/>
      <w:sz w:val="56"/>
      <w:szCs w:val="56"/>
    </w:rPr>
  </w:style>
  <w:style w:type="paragraph" w:styleId="869">
    <w:name w:val="Body Text First Indent"/>
    <w:basedOn w:val="857"/>
    <w:link w:val="905"/>
    <w:uiPriority w:val="99"/>
    <w:unhideWhenUsed/>
    <w:qFormat/>
    <w:pPr>
      <w:ind w:firstLine="420"/>
      <w:jc w:val="left"/>
      <w:widowControl/>
    </w:pPr>
    <w:rPr>
      <w:rFonts w:ascii="Arial" w:hAnsi="Arial" w:eastAsia="Arial" w:cs="Arial"/>
      <w:color w:val="000000"/>
      <w:szCs w:val="21"/>
      <w:lang w:eastAsia="en-US"/>
    </w:rPr>
  </w:style>
  <w:style w:type="table" w:styleId="870">
    <w:name w:val="Table Grid"/>
    <w:basedOn w:val="854"/>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Strong"/>
    <w:basedOn w:val="853"/>
    <w:uiPriority w:val="22"/>
    <w:qFormat/>
    <w:rPr>
      <w:b/>
      <w:bCs/>
    </w:rPr>
  </w:style>
  <w:style w:type="character" w:styleId="872">
    <w:name w:val="page number"/>
    <w:uiPriority w:val="0"/>
    <w:qFormat/>
  </w:style>
  <w:style w:type="character" w:styleId="873">
    <w:name w:val="Emphasis"/>
    <w:uiPriority w:val="0"/>
    <w:qFormat/>
    <w:rPr>
      <w:i/>
    </w:rPr>
  </w:style>
  <w:style w:type="character" w:styleId="874">
    <w:name w:val="Hyperlink"/>
    <w:uiPriority w:val="99"/>
    <w:qFormat/>
    <w:rPr>
      <w:color w:val="0000ff"/>
      <w:u w:val="none"/>
    </w:rPr>
  </w:style>
  <w:style w:type="character" w:styleId="875">
    <w:name w:val="annotation reference"/>
    <w:uiPriority w:val="0"/>
    <w:qFormat/>
    <w:rPr>
      <w:sz w:val="21"/>
      <w:szCs w:val="21"/>
    </w:rPr>
  </w:style>
  <w:style w:type="character" w:styleId="876" w:customStyle="1">
    <w:name w:val="标题 1 字符"/>
    <w:basedOn w:val="853"/>
    <w:link w:val="844"/>
    <w:uiPriority w:val="9"/>
    <w:qFormat/>
    <w:rPr>
      <w:rFonts w:asciiTheme="majorHAnsi" w:hAnsiTheme="majorHAnsi" w:eastAsiaTheme="majorEastAsia" w:cstheme="majorBidi"/>
      <w:color w:val="2f5597" w:themeColor="accent1" w:themeShade="BF"/>
      <w:sz w:val="48"/>
      <w:szCs w:val="48"/>
    </w:rPr>
  </w:style>
  <w:style w:type="character" w:styleId="877" w:customStyle="1">
    <w:name w:val="标题 2 字符"/>
    <w:basedOn w:val="853"/>
    <w:link w:val="845"/>
    <w:uiPriority w:val="9"/>
    <w:qFormat/>
    <w:rPr>
      <w:rFonts w:asciiTheme="majorHAnsi" w:hAnsiTheme="majorHAnsi" w:eastAsiaTheme="majorEastAsia" w:cstheme="majorBidi"/>
      <w:color w:val="2f5597" w:themeColor="accent1" w:themeShade="BF"/>
      <w:sz w:val="40"/>
      <w:szCs w:val="40"/>
    </w:rPr>
  </w:style>
  <w:style w:type="character" w:styleId="878" w:customStyle="1">
    <w:name w:val="标题 3 字符"/>
    <w:basedOn w:val="853"/>
    <w:link w:val="846"/>
    <w:uiPriority w:val="9"/>
    <w:qFormat/>
    <w:rPr>
      <w:rFonts w:asciiTheme="majorHAnsi" w:hAnsiTheme="majorHAnsi" w:eastAsiaTheme="majorEastAsia" w:cstheme="majorBidi"/>
      <w:color w:val="2f5597" w:themeColor="accent1" w:themeShade="BF"/>
      <w:sz w:val="32"/>
      <w:szCs w:val="32"/>
    </w:rPr>
  </w:style>
  <w:style w:type="character" w:styleId="879" w:customStyle="1">
    <w:name w:val="标题 4 字符"/>
    <w:basedOn w:val="853"/>
    <w:link w:val="847"/>
    <w:uiPriority w:val="9"/>
    <w:semiHidden/>
    <w:qFormat/>
    <w:rPr>
      <w:rFonts w:cstheme="majorBidi"/>
      <w:color w:val="2f5597" w:themeColor="accent1" w:themeShade="BF"/>
      <w:sz w:val="28"/>
      <w:szCs w:val="28"/>
    </w:rPr>
  </w:style>
  <w:style w:type="character" w:styleId="880" w:customStyle="1">
    <w:name w:val="标题 5 字符"/>
    <w:basedOn w:val="853"/>
    <w:link w:val="848"/>
    <w:uiPriority w:val="9"/>
    <w:semiHidden/>
    <w:qFormat/>
    <w:rPr>
      <w:rFonts w:cstheme="majorBidi"/>
      <w:color w:val="2f5597" w:themeColor="accent1" w:themeShade="BF"/>
      <w:sz w:val="24"/>
      <w:szCs w:val="24"/>
    </w:rPr>
  </w:style>
  <w:style w:type="character" w:styleId="881" w:customStyle="1">
    <w:name w:val="标题 6 字符"/>
    <w:basedOn w:val="853"/>
    <w:link w:val="849"/>
    <w:uiPriority w:val="9"/>
    <w:semiHidden/>
    <w:qFormat/>
    <w:rPr>
      <w:rFonts w:cstheme="majorBidi"/>
      <w:b/>
      <w:bCs/>
      <w:color w:val="2f5597" w:themeColor="accent1" w:themeShade="BF"/>
    </w:rPr>
  </w:style>
  <w:style w:type="character" w:styleId="882" w:customStyle="1">
    <w:name w:val="标题 7 字符"/>
    <w:basedOn w:val="853"/>
    <w:link w:val="850"/>
    <w:uiPriority w:val="9"/>
    <w:semiHidden/>
    <w:qFormat/>
    <w:rPr>
      <w:rFonts w:cstheme="majorBidi"/>
      <w:b/>
      <w:bCs/>
      <w:color w:val="595959" w:themeColor="text1" w:themeTint="A6"/>
      <w14:textFill>
        <w14:solidFill>
          <w14:schemeClr w14:val="tx1">
            <w14:lumMod w14:val="65000"/>
            <w14:lumOff w14:val="35000"/>
          </w14:schemeClr>
        </w14:solidFill>
      </w14:textFill>
    </w:rPr>
  </w:style>
  <w:style w:type="character" w:styleId="883" w:customStyle="1">
    <w:name w:val="标题 8 字符"/>
    <w:basedOn w:val="853"/>
    <w:link w:val="851"/>
    <w:uiPriority w:val="9"/>
    <w:semiHidden/>
    <w:qFormat/>
    <w:rPr>
      <w:rFonts w:cstheme="majorBidi"/>
      <w:color w:val="595959" w:themeColor="text1" w:themeTint="A6"/>
      <w14:textFill>
        <w14:solidFill>
          <w14:schemeClr w14:val="tx1">
            <w14:lumMod w14:val="65000"/>
            <w14:lumOff w14:val="35000"/>
          </w14:schemeClr>
        </w14:solidFill>
      </w14:textFill>
    </w:rPr>
  </w:style>
  <w:style w:type="character" w:styleId="884" w:customStyle="1">
    <w:name w:val="标题 9 字符"/>
    <w:basedOn w:val="853"/>
    <w:link w:val="852"/>
    <w:uiPriority w:val="9"/>
    <w:semiHidden/>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85" w:customStyle="1">
    <w:name w:val="标题 字符"/>
    <w:basedOn w:val="853"/>
    <w:link w:val="868"/>
    <w:uiPriority w:val="10"/>
    <w:qFormat/>
    <w:rPr>
      <w:rFonts w:asciiTheme="majorHAnsi" w:hAnsiTheme="majorHAnsi" w:eastAsiaTheme="majorEastAsia" w:cstheme="majorBidi"/>
      <w:spacing w:val="-10"/>
      <w:sz w:val="56"/>
      <w:szCs w:val="56"/>
    </w:rPr>
  </w:style>
  <w:style w:type="character" w:styleId="886" w:customStyle="1">
    <w:name w:val="副标题 字符"/>
    <w:basedOn w:val="853"/>
    <w:link w:val="865"/>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87">
    <w:name w:val="Quote"/>
    <w:basedOn w:val="843"/>
    <w:next w:val="843"/>
    <w:link w:val="888"/>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88" w:customStyle="1">
    <w:name w:val="引用 字符"/>
    <w:basedOn w:val="853"/>
    <w:link w:val="887"/>
    <w:uiPriority w:val="29"/>
    <w:qFormat/>
    <w:rPr>
      <w:i/>
      <w:iCs/>
      <w:color w:val="404040" w:themeColor="text1" w:themeTint="BF"/>
      <w14:textFill>
        <w14:solidFill>
          <w14:schemeClr w14:val="tx1">
            <w14:lumMod w14:val="75000"/>
            <w14:lumOff w14:val="25000"/>
          </w14:schemeClr>
        </w14:solidFill>
      </w14:textFill>
    </w:rPr>
  </w:style>
  <w:style w:type="paragraph" w:styleId="889">
    <w:name w:val="List Paragraph"/>
    <w:basedOn w:val="843"/>
    <w:uiPriority w:val="1"/>
    <w:qFormat/>
    <w:pPr>
      <w:contextualSpacing/>
      <w:ind w:left="720"/>
    </w:pPr>
  </w:style>
  <w:style w:type="character" w:styleId="890" w:customStyle="1">
    <w:name w:val="明显强调1"/>
    <w:basedOn w:val="853"/>
    <w:uiPriority w:val="21"/>
    <w:qFormat/>
    <w:rPr>
      <w:i/>
      <w:iCs/>
      <w:color w:val="2f5597" w:themeColor="accent1" w:themeShade="BF"/>
    </w:rPr>
  </w:style>
  <w:style w:type="paragraph" w:styleId="891">
    <w:name w:val="Intense Quote"/>
    <w:basedOn w:val="843"/>
    <w:next w:val="843"/>
    <w:link w:val="892"/>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892" w:customStyle="1">
    <w:name w:val="明显引用 字符"/>
    <w:basedOn w:val="853"/>
    <w:link w:val="891"/>
    <w:uiPriority w:val="30"/>
    <w:qFormat/>
    <w:rPr>
      <w:i/>
      <w:iCs/>
      <w:color w:val="2f5597" w:themeColor="accent1" w:themeShade="BF"/>
    </w:rPr>
  </w:style>
  <w:style w:type="character" w:styleId="893" w:customStyle="1">
    <w:name w:val="明显参考1"/>
    <w:basedOn w:val="853"/>
    <w:uiPriority w:val="32"/>
    <w:qFormat/>
    <w:rPr>
      <w:b/>
      <w:bCs/>
      <w:smallCaps/>
      <w:color w:val="2f5597" w:themeColor="accent1" w:themeShade="BF"/>
      <w:spacing w:val="5"/>
    </w:rPr>
  </w:style>
  <w:style w:type="character" w:styleId="894" w:customStyle="1">
    <w:name w:val="页眉 字符"/>
    <w:basedOn w:val="853"/>
    <w:link w:val="863"/>
    <w:uiPriority w:val="99"/>
    <w:qFormat/>
    <w:rPr>
      <w:sz w:val="18"/>
      <w:szCs w:val="18"/>
    </w:rPr>
  </w:style>
  <w:style w:type="character" w:styleId="895" w:customStyle="1">
    <w:name w:val="页脚 字符"/>
    <w:basedOn w:val="853"/>
    <w:link w:val="862"/>
    <w:uiPriority w:val="99"/>
    <w:qFormat/>
    <w:rPr>
      <w:sz w:val="18"/>
      <w:szCs w:val="18"/>
    </w:rPr>
  </w:style>
  <w:style w:type="paragraph" w:styleId="896" w:customStyle="1">
    <w:name w:val="Default"/>
    <w:uiPriority w:val="99"/>
    <w:qFormat/>
    <w:pPr>
      <w:widowControl w:val="off"/>
    </w:pPr>
    <w:rPr>
      <w:rFonts w:ascii="宋体_x0006_壵分糮.." w:hAnsi="Times New Roman" w:eastAsia="宋体_x0006_壵分糮.." w:cs="宋体_x0006_壵分糮.."/>
      <w:color w:val="000000"/>
      <w:sz w:val="24"/>
      <w:szCs w:val="24"/>
      <w:lang w:val="en-US" w:eastAsia="zh-CN" w:bidi="ar-SA"/>
    </w:rPr>
  </w:style>
  <w:style w:type="character" w:styleId="897" w:customStyle="1">
    <w:name w:val="文档结构图 字符"/>
    <w:basedOn w:val="853"/>
    <w:link w:val="855"/>
    <w:uiPriority w:val="99"/>
    <w:qFormat/>
    <w:rPr>
      <w:rFonts w:ascii="宋体" w:hAnsi="Times New Roman" w:eastAsia="宋体" w:cs="Times New Roman"/>
      <w:sz w:val="18"/>
      <w:szCs w:val="18"/>
    </w:rPr>
  </w:style>
  <w:style w:type="character" w:styleId="898" w:customStyle="1">
    <w:name w:val="批注文字 字符"/>
    <w:basedOn w:val="853"/>
    <w:link w:val="856"/>
    <w:uiPriority w:val="0"/>
    <w:qFormat/>
    <w:rPr>
      <w:rFonts w:ascii="Times New Roman" w:hAnsi="Times New Roman" w:eastAsia="宋体" w:cs="Times New Roman"/>
      <w:sz w:val="20"/>
      <w:szCs w:val="24"/>
    </w:rPr>
  </w:style>
  <w:style w:type="character" w:styleId="899" w:customStyle="1">
    <w:name w:val="正文文本 字符"/>
    <w:basedOn w:val="853"/>
    <w:link w:val="857"/>
    <w:uiPriority w:val="0"/>
    <w:qFormat/>
    <w:rPr>
      <w:rFonts w:ascii="Calibri" w:hAnsi="Calibri" w:eastAsia="宋体" w:cs="Times New Roman"/>
      <w:sz w:val="20"/>
      <w:szCs w:val="20"/>
    </w:rPr>
  </w:style>
  <w:style w:type="character" w:styleId="900" w:customStyle="1">
    <w:name w:val="正文文本缩进 字符"/>
    <w:basedOn w:val="853"/>
    <w:link w:val="858"/>
    <w:uiPriority w:val="0"/>
    <w:qFormat/>
    <w:rPr>
      <w:rFonts w:ascii="Times New Roman" w:hAnsi="Times New Roman" w:eastAsia="宋体" w:cs="Times New Roman"/>
      <w:sz w:val="20"/>
      <w:szCs w:val="24"/>
    </w:rPr>
  </w:style>
  <w:style w:type="character" w:styleId="901" w:customStyle="1">
    <w:name w:val="纯文本 字符"/>
    <w:basedOn w:val="853"/>
    <w:link w:val="859"/>
    <w:uiPriority w:val="0"/>
    <w:qFormat/>
    <w:rPr>
      <w:rFonts w:ascii="宋体" w:hAnsi="Courier New" w:eastAsia="宋体" w:cs="Times New Roman"/>
      <w:sz w:val="20"/>
      <w:szCs w:val="21"/>
    </w:rPr>
  </w:style>
  <w:style w:type="character" w:styleId="902" w:customStyle="1">
    <w:name w:val="日期 字符"/>
    <w:basedOn w:val="853"/>
    <w:link w:val="860"/>
    <w:uiPriority w:val="99"/>
    <w:qFormat/>
    <w:rPr>
      <w:rFonts w:ascii="Calibri" w:hAnsi="Calibri" w:eastAsia="宋体" w:cs="Times New Roman"/>
    </w:rPr>
  </w:style>
  <w:style w:type="character" w:styleId="903" w:customStyle="1">
    <w:name w:val="批注框文本 字符"/>
    <w:basedOn w:val="853"/>
    <w:link w:val="861"/>
    <w:uiPriority w:val="99"/>
    <w:qFormat/>
    <w:rPr>
      <w:rFonts w:ascii="Times New Roman" w:hAnsi="Times New Roman" w:eastAsia="宋体" w:cs="Times New Roman"/>
      <w:sz w:val="18"/>
      <w:szCs w:val="18"/>
    </w:rPr>
  </w:style>
  <w:style w:type="character" w:styleId="904" w:customStyle="1">
    <w:name w:val="HTML 预设格式 字符"/>
    <w:basedOn w:val="853"/>
    <w:link w:val="866"/>
    <w:uiPriority w:val="0"/>
    <w:qFormat/>
    <w:rPr>
      <w:rFonts w:ascii="宋体" w:hAnsi="宋体" w:eastAsia="宋体" w:cs="Times New Roman"/>
      <w:sz w:val="24"/>
    </w:rPr>
  </w:style>
  <w:style w:type="character" w:styleId="905" w:customStyle="1">
    <w:name w:val="正文文本首行缩进 字符"/>
    <w:basedOn w:val="899"/>
    <w:link w:val="869"/>
    <w:uiPriority w:val="99"/>
    <w:qFormat/>
    <w:rPr>
      <w:rFonts w:ascii="Arial" w:hAnsi="Arial" w:eastAsia="Arial" w:cs="Arial"/>
      <w:color w:val="000000"/>
      <w:sz w:val="20"/>
      <w:szCs w:val="21"/>
      <w:lang w:eastAsia="en-US"/>
    </w:rPr>
  </w:style>
  <w:style w:type="paragraph" w:styleId="906" w:customStyle="1">
    <w:name w:val="标题 21"/>
    <w:basedOn w:val="843"/>
    <w:next w:val="843"/>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907" w:customStyle="1">
    <w:name w:val="正文首行缩进11"/>
    <w:basedOn w:val="908"/>
    <w:uiPriority w:val="0"/>
    <w:qFormat/>
    <w:pPr>
      <w:ind w:firstLine="200"/>
      <w:spacing w:line="360" w:lineRule="auto"/>
    </w:pPr>
    <w:rPr>
      <w:rFonts w:ascii="仿宋_GB2312" w:hAnsi="Times New Roman" w:eastAsia="仿宋_GB2312"/>
      <w:sz w:val="30"/>
      <w:szCs w:val="30"/>
    </w:rPr>
  </w:style>
  <w:style w:type="paragraph" w:styleId="908" w:customStyle="1">
    <w:name w:val="正文文本11"/>
    <w:basedOn w:val="843"/>
    <w:next w:val="843"/>
    <w:uiPriority w:val="0"/>
    <w:qFormat/>
    <w:rPr>
      <w:rFonts w:ascii="楷体_GB2312" w:hAnsi="Arial" w:eastAsia="楷体_GB2312" w:cs="Times New Roman"/>
      <w:sz w:val="28"/>
      <w:szCs w:val="28"/>
      <w:lang w:eastAsia="en-US"/>
    </w:rPr>
  </w:style>
  <w:style w:type="paragraph" w:styleId="90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10" w:customStyle="1">
    <w:name w:val="列出段落1"/>
    <w:basedOn w:val="843"/>
    <w:uiPriority w:val="0"/>
    <w:qFormat/>
    <w:pPr>
      <w:ind w:firstLine="420"/>
    </w:pPr>
    <w:rPr>
      <w:rFonts w:ascii="Times New Roman" w:hAnsi="Times New Roman" w:eastAsia="宋体" w:cs="Times New Roman"/>
      <w:szCs w:val="21"/>
    </w:rPr>
  </w:style>
  <w:style w:type="paragraph" w:styleId="911" w:customStyle="1">
    <w:name w:val="正文111"/>
    <w:next w:val="843"/>
    <w:uiPriority w:val="0"/>
    <w:qFormat/>
    <w:pPr>
      <w:jc w:val="both"/>
      <w:widowControl w:val="off"/>
    </w:pPr>
    <w:rPr>
      <w:rFonts w:ascii="Times New Roman" w:hAnsi="Times New Roman" w:eastAsia="宋体" w:cs="Times New Roman"/>
      <w:sz w:val="21"/>
      <w:szCs w:val="24"/>
      <w:lang w:val="en-US" w:eastAsia="zh-CN" w:bidi="ar-SA"/>
    </w:rPr>
  </w:style>
  <w:style w:type="paragraph" w:styleId="912" w:customStyle="1">
    <w:name w:val="Table Paragraph"/>
    <w:basedOn w:val="843"/>
    <w:uiPriority w:val="1"/>
    <w:qFormat/>
    <w:rPr>
      <w:rFonts w:ascii="Calibri" w:hAnsi="Calibri" w:eastAsia="宋体" w:cs="Times New Roman"/>
    </w:rPr>
  </w:style>
  <w:style w:type="paragraph" w:styleId="913" w:customStyle="1">
    <w:name w:val="Table Text"/>
    <w:basedOn w:val="843"/>
    <w:uiPriority w:val="0"/>
    <w:semiHidden/>
    <w:qFormat/>
    <w:pPr>
      <w:jc w:val="left"/>
      <w:widowControl/>
    </w:pPr>
    <w:rPr>
      <w:rFonts w:ascii="宋体" w:hAnsi="宋体" w:eastAsia="宋体" w:cs="宋体"/>
      <w:color w:val="000000"/>
      <w:sz w:val="20"/>
      <w:szCs w:val="20"/>
      <w:lang w:eastAsia="en-US"/>
    </w:rPr>
  </w:style>
  <w:style w:type="paragraph" w:styleId="914" w:customStyle="1">
    <w:name w:val="正文缩进1"/>
    <w:basedOn w:val="843"/>
    <w:uiPriority w:val="0"/>
    <w:unhideWhenUsed/>
    <w:qFormat/>
    <w:pPr>
      <w:ind w:firstLine="420"/>
    </w:pPr>
    <w:rPr>
      <w:rFonts w:ascii="Calibri" w:hAnsi="Calibri" w:eastAsia="宋体" w:cs="Times New Roman"/>
    </w:rPr>
  </w:style>
  <w:style w:type="character" w:styleId="915" w:customStyle="1">
    <w:name w:val="font21"/>
    <w:basedOn w:val="853"/>
    <w:uiPriority w:val="0"/>
    <w:qFormat/>
    <w:rPr>
      <w:rFonts w:hint="eastAsia" w:ascii="宋体" w:hAnsi="宋体" w:eastAsia="宋体" w:cs="宋体"/>
      <w:color w:val="000000"/>
      <w:sz w:val="18"/>
      <w:szCs w:val="18"/>
      <w:u w:val="none"/>
    </w:rPr>
  </w:style>
  <w:style w:type="character" w:styleId="916" w:customStyle="1">
    <w:name w:val="font11"/>
    <w:basedOn w:val="853"/>
    <w:uiPriority w:val="0"/>
    <w:qFormat/>
    <w:rPr>
      <w:rFonts w:hint="eastAsia" w:ascii="宋体" w:hAnsi="宋体" w:eastAsia="宋体" w:cs="宋体"/>
      <w:color w:val="000000"/>
      <w:sz w:val="20"/>
      <w:szCs w:val="20"/>
      <w:u w:val="none"/>
    </w:rPr>
  </w:style>
  <w:style w:type="character" w:styleId="917" w:customStyle="1">
    <w:name w:val="font101"/>
    <w:basedOn w:val="853"/>
    <w:uiPriority w:val="0"/>
    <w:qFormat/>
    <w:rPr>
      <w:rFonts w:hint="eastAsia" w:ascii="宋体" w:hAnsi="宋体" w:eastAsia="宋体" w:cs="宋体"/>
      <w:color w:val="ff0000"/>
      <w:sz w:val="22"/>
      <w:szCs w:val="22"/>
      <w:u w:val="none"/>
    </w:rPr>
  </w:style>
  <w:style w:type="numbering" w:styleId="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DCD6EDC-54ED-4467-8260-166AEA17BA0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焦东东</cp:lastModifiedBy>
  <cp:revision>9</cp:revision>
  <dcterms:created xsi:type="dcterms:W3CDTF">2026-08-25T01:29:00Z</dcterms:created>
  <dcterms:modified xsi:type="dcterms:W3CDTF">2026-09-01T08:33:34Z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eyJoZGlkIjoiY2YxOGI3ZmNmNzk2Y2E0NjlkMDAzODVlMDc3YzEyYjciLCJ1c2VySWQiOiIxNjI2OTQwMzcyIn0=</vt:lpwstr>
  </property>
  <property fmtid="{D5CDD505-2E9C-101B-9397-08002B2CF9AE}" pid="3" name="KSOProductBuildVer">
    <vt:lpwstr>2052-12.1.0.28043</vt:lpwstr>
  </property>
  <property fmtid="{D5CDD505-2E9C-101B-9397-08002B2CF9AE}" pid="4" name="ICV">
    <vt:lpwstr>50EA5CC2BAA2441A93BE958EFB2390CF_12</vt:lpwstr>
  </property>
</Properties>
</file>