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C4990">
      <w:pPr>
        <w:pStyle w:val="13"/>
        <w:keepNext w:val="0"/>
        <w:keepLines w:val="0"/>
        <w:pageBreakBefore w:val="0"/>
        <w:kinsoku/>
        <w:wordWrap/>
        <w:overflowPunct/>
        <w:topLinePunct w:val="0"/>
        <w:autoSpaceDE/>
        <w:autoSpaceDN/>
        <w:bidi w:val="0"/>
        <w:snapToGrid w:val="0"/>
        <w:spacing w:line="360" w:lineRule="auto"/>
        <w:ind w:left="0" w:firstLine="0" w:firstLineChars="0"/>
        <w:jc w:val="center"/>
        <w:rPr>
          <w:rFonts w:asciiTheme="majorEastAsia" w:hAnsiTheme="majorEastAsia" w:eastAsiaTheme="majorEastAsia"/>
          <w:b/>
          <w:color w:val="auto"/>
          <w:sz w:val="30"/>
          <w:szCs w:val="30"/>
          <w:highlight w:val="none"/>
        </w:rPr>
      </w:pPr>
      <w:r>
        <w:rPr>
          <w:rFonts w:hint="eastAsia" w:asciiTheme="majorEastAsia" w:hAnsiTheme="majorEastAsia" w:eastAsiaTheme="majorEastAsia"/>
          <w:b/>
          <w:color w:val="auto"/>
          <w:sz w:val="30"/>
          <w:szCs w:val="30"/>
          <w:highlight w:val="none"/>
        </w:rPr>
        <w:t>技术要求</w:t>
      </w:r>
    </w:p>
    <w:p w14:paraId="45448D88">
      <w:pPr>
        <w:pStyle w:val="13"/>
        <w:keepNext w:val="0"/>
        <w:keepLines w:val="0"/>
        <w:pageBreakBefore w:val="0"/>
        <w:kinsoku/>
        <w:wordWrap/>
        <w:overflowPunct/>
        <w:topLinePunct w:val="0"/>
        <w:autoSpaceDE/>
        <w:autoSpaceDN/>
        <w:bidi w:val="0"/>
        <w:snapToGrid w:val="0"/>
        <w:spacing w:line="360" w:lineRule="auto"/>
        <w:ind w:left="0" w:firstLine="0" w:firstLineChars="0"/>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一、项目概述</w:t>
      </w:r>
    </w:p>
    <w:p w14:paraId="6E3E8497">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color w:val="auto"/>
          <w:sz w:val="24"/>
          <w:szCs w:val="24"/>
          <w:highlight w:val="none"/>
        </w:rPr>
      </w:pPr>
      <w:r>
        <w:rPr>
          <w:rFonts w:hint="eastAsia" w:ascii="宋体" w:hAnsi="宋体" w:eastAsia="宋体" w:cs="宋体"/>
          <w:color w:val="auto"/>
          <w:kern w:val="0"/>
          <w:sz w:val="24"/>
          <w:szCs w:val="24"/>
          <w:highlight w:val="none"/>
          <w:lang w:val="en-US" w:eastAsia="zh-CN" w:bidi="ar"/>
        </w:rPr>
        <w:t>本项目为2026年园区旺墩路等人行道更新项目，主要为对旺墩路、钟园路、津梁街、星墩巷等地块周边人行道破损缺失、多次维修仍无法恢复原貌的路段，进行翻新改造；另外，对锦溪街（兆佳巷-方洲路、丰茂巷-中新大道东）西侧人行道进行拓宽改造，改造总面积共计约10680平方米。</w:t>
      </w:r>
      <w:bookmarkStart w:id="1" w:name="_GoBack"/>
      <w:bookmarkEnd w:id="1"/>
    </w:p>
    <w:p w14:paraId="68D7538A">
      <w:pPr>
        <w:pStyle w:val="13"/>
        <w:keepNext w:val="0"/>
        <w:keepLines w:val="0"/>
        <w:pageBreakBefore w:val="0"/>
        <w:kinsoku/>
        <w:wordWrap/>
        <w:overflowPunct/>
        <w:topLinePunct w:val="0"/>
        <w:autoSpaceDE/>
        <w:autoSpaceDN/>
        <w:bidi w:val="0"/>
        <w:snapToGrid w:val="0"/>
        <w:spacing w:line="360" w:lineRule="auto"/>
        <w:ind w:left="0" w:firstLine="0" w:firstLineChars="0"/>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二、工期要求</w:t>
      </w:r>
    </w:p>
    <w:p w14:paraId="1510111D">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cs="Times New Roman"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1、本工程计划工期为：</w:t>
      </w:r>
      <w:r>
        <w:rPr>
          <w:rFonts w:hint="eastAsia" w:cs="Times New Roman" w:asciiTheme="minorEastAsia" w:hAnsiTheme="minorEastAsia" w:eastAsiaTheme="minorEastAsia"/>
          <w:color w:val="auto"/>
          <w:sz w:val="24"/>
          <w:szCs w:val="24"/>
          <w:highlight w:val="none"/>
        </w:rPr>
        <w:t>本工程工期</w:t>
      </w:r>
      <w:r>
        <w:rPr>
          <w:rFonts w:hint="eastAsia" w:cs="Times New Roman" w:asciiTheme="minorEastAsia" w:hAnsiTheme="minorEastAsia" w:eastAsiaTheme="minorEastAsia"/>
          <w:color w:val="auto"/>
          <w:sz w:val="24"/>
          <w:szCs w:val="24"/>
          <w:highlight w:val="none"/>
          <w:lang w:val="en-US" w:eastAsia="zh-CN"/>
        </w:rPr>
        <w:t>136</w:t>
      </w:r>
      <w:r>
        <w:rPr>
          <w:rFonts w:hint="eastAsia" w:cs="Times New Roman" w:asciiTheme="minorEastAsia" w:hAnsiTheme="minorEastAsia" w:eastAsiaTheme="minorEastAsia"/>
          <w:color w:val="auto"/>
          <w:sz w:val="24"/>
          <w:szCs w:val="24"/>
          <w:highlight w:val="none"/>
        </w:rPr>
        <w:t>天，开工日期暂定202</w:t>
      </w:r>
      <w:r>
        <w:rPr>
          <w:rFonts w:hint="eastAsia" w:cs="Times New Roman" w:asciiTheme="minorEastAsia" w:hAnsiTheme="minorEastAsia" w:eastAsiaTheme="minorEastAsia"/>
          <w:color w:val="auto"/>
          <w:sz w:val="24"/>
          <w:szCs w:val="24"/>
          <w:highlight w:val="none"/>
          <w:lang w:val="en-US" w:eastAsia="zh-CN"/>
        </w:rPr>
        <w:t>6</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11</w:t>
      </w:r>
      <w:r>
        <w:rPr>
          <w:rFonts w:hint="eastAsia" w:cs="Times New Roman" w:asciiTheme="minorEastAsia" w:hAnsiTheme="minorEastAsia" w:eastAsiaTheme="minorEastAsia"/>
          <w:color w:val="auto"/>
          <w:sz w:val="24"/>
          <w:szCs w:val="24"/>
          <w:highlight w:val="none"/>
        </w:rPr>
        <w:t>月1</w:t>
      </w:r>
      <w:r>
        <w:rPr>
          <w:rFonts w:hint="eastAsia" w:cs="Times New Roman" w:asciiTheme="minorEastAsia" w:hAnsiTheme="minorEastAsia" w:eastAsiaTheme="minorEastAsia"/>
          <w:color w:val="auto"/>
          <w:sz w:val="24"/>
          <w:szCs w:val="24"/>
          <w:highlight w:val="none"/>
          <w:lang w:val="en-US" w:eastAsia="zh-CN"/>
        </w:rPr>
        <w:t>6</w:t>
      </w:r>
      <w:r>
        <w:rPr>
          <w:rFonts w:hint="eastAsia" w:cs="Times New Roman" w:asciiTheme="minorEastAsia" w:hAnsiTheme="minorEastAsia" w:eastAsiaTheme="minorEastAsia"/>
          <w:color w:val="auto"/>
          <w:sz w:val="24"/>
          <w:szCs w:val="24"/>
          <w:highlight w:val="none"/>
        </w:rPr>
        <w:t>日，竣工日期暂定为202</w:t>
      </w:r>
      <w:r>
        <w:rPr>
          <w:rFonts w:hint="eastAsia" w:cs="Times New Roman" w:asciiTheme="minorEastAsia" w:hAnsiTheme="minorEastAsia" w:eastAsiaTheme="minorEastAsia"/>
          <w:color w:val="auto"/>
          <w:sz w:val="24"/>
          <w:szCs w:val="24"/>
          <w:highlight w:val="none"/>
          <w:lang w:val="en-US" w:eastAsia="zh-CN"/>
        </w:rPr>
        <w:t>7</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3</w:t>
      </w:r>
      <w:r>
        <w:rPr>
          <w:rFonts w:hint="eastAsia" w:cs="Times New Roman" w:asciiTheme="minorEastAsia" w:hAnsiTheme="minorEastAsia" w:eastAsiaTheme="minorEastAsia"/>
          <w:color w:val="auto"/>
          <w:sz w:val="24"/>
          <w:szCs w:val="24"/>
          <w:highlight w:val="none"/>
        </w:rPr>
        <w:t>月3</w:t>
      </w:r>
      <w:r>
        <w:rPr>
          <w:rFonts w:hint="eastAsia" w:cs="Times New Roman" w:asciiTheme="minorEastAsia" w:hAnsiTheme="minorEastAsia" w:eastAsiaTheme="minorEastAsia"/>
          <w:color w:val="auto"/>
          <w:sz w:val="24"/>
          <w:szCs w:val="24"/>
          <w:highlight w:val="none"/>
          <w:lang w:val="en-US" w:eastAsia="zh-CN"/>
        </w:rPr>
        <w:t>1</w:t>
      </w:r>
      <w:r>
        <w:rPr>
          <w:rFonts w:hint="eastAsia" w:cs="Times New Roman" w:asciiTheme="minorEastAsia" w:hAnsiTheme="minorEastAsia" w:eastAsiaTheme="minorEastAsia"/>
          <w:color w:val="auto"/>
          <w:sz w:val="24"/>
          <w:szCs w:val="24"/>
          <w:highlight w:val="none"/>
        </w:rPr>
        <w:t>日，具体开工日期以开工报告为准，并以完工证书的日期计算工期。</w:t>
      </w:r>
    </w:p>
    <w:p w14:paraId="12F6B319">
      <w:pPr>
        <w:pStyle w:val="13"/>
        <w:keepNext w:val="0"/>
        <w:keepLines w:val="0"/>
        <w:pageBreakBefore w:val="0"/>
        <w:kinsoku/>
        <w:wordWrap/>
        <w:overflowPunct/>
        <w:topLinePunct w:val="0"/>
        <w:autoSpaceDE/>
        <w:autoSpaceDN/>
        <w:bidi w:val="0"/>
        <w:snapToGrid w:val="0"/>
        <w:spacing w:line="360" w:lineRule="auto"/>
        <w:ind w:left="0" w:firstLine="480"/>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2、实际开工日期以批复的开工报告日期为准。</w:t>
      </w:r>
    </w:p>
    <w:p w14:paraId="13E22824">
      <w:pPr>
        <w:pStyle w:val="13"/>
        <w:keepNext w:val="0"/>
        <w:keepLines w:val="0"/>
        <w:pageBreakBefore w:val="0"/>
        <w:widowControl w:val="0"/>
        <w:kinsoku/>
        <w:wordWrap/>
        <w:overflowPunct/>
        <w:topLinePunct w:val="0"/>
        <w:autoSpaceDE/>
        <w:autoSpaceDN/>
        <w:bidi w:val="0"/>
        <w:adjustRightInd/>
        <w:snapToGrid w:val="0"/>
        <w:spacing w:line="360" w:lineRule="auto"/>
        <w:ind w:left="0" w:firstLine="0" w:firstLineChars="0"/>
        <w:jc w:val="left"/>
        <w:textAlignment w:val="auto"/>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三、人员、设备配备及核验要求</w:t>
      </w:r>
    </w:p>
    <w:p w14:paraId="13BD43AB">
      <w:pPr>
        <w:pageBreakBefore w:val="0"/>
        <w:widowControl w:val="0"/>
        <w:kinsoku/>
        <w:wordWrap/>
        <w:overflowPunct/>
        <w:topLinePunct w:val="0"/>
        <w:autoSpaceDE/>
        <w:autoSpaceDN/>
        <w:bidi w:val="0"/>
        <w:adjustRightInd/>
        <w:snapToGrid/>
        <w:spacing w:line="560" w:lineRule="exact"/>
        <w:ind w:firstLine="490" w:firstLineChars="200"/>
        <w:textAlignment w:val="auto"/>
        <w:rPr>
          <w:rFonts w:hint="eastAsia" w:asciiTheme="minorEastAsia" w:hAnsiTheme="minorEastAsia" w:eastAsiaTheme="minorEastAsia" w:cstheme="minorEastAsia"/>
          <w:b/>
          <w:bCs/>
          <w:color w:val="auto"/>
          <w:spacing w:val="2"/>
          <w:sz w:val="24"/>
          <w:szCs w:val="24"/>
          <w:highlight w:val="none"/>
          <w:lang w:val="en-US" w:eastAsia="zh-CN"/>
        </w:rPr>
      </w:pPr>
      <w:r>
        <w:rPr>
          <w:rFonts w:hint="eastAsia" w:asciiTheme="minorEastAsia" w:hAnsiTheme="minorEastAsia" w:eastAsiaTheme="minorEastAsia" w:cstheme="minorEastAsia"/>
          <w:b/>
          <w:bCs/>
          <w:color w:val="auto"/>
          <w:spacing w:val="2"/>
          <w:sz w:val="24"/>
          <w:szCs w:val="24"/>
          <w:highlight w:val="none"/>
          <w:lang w:val="en-US" w:eastAsia="zh-CN"/>
        </w:rPr>
        <w:t>1、人员设备要求</w:t>
      </w:r>
    </w:p>
    <w:p w14:paraId="282229E0">
      <w:pPr>
        <w:keepNext w:val="0"/>
        <w:keepLines w:val="0"/>
        <w:pageBreakBefore w:val="0"/>
        <w:widowControl/>
        <w:suppressLineNumbers w:val="0"/>
        <w:kinsoku/>
        <w:wordWrap/>
        <w:overflowPunct/>
        <w:topLinePunct w:val="0"/>
        <w:autoSpaceDE/>
        <w:autoSpaceDN/>
        <w:bidi w:val="0"/>
        <w:adjustRightInd/>
        <w:snapToGrid/>
        <w:spacing w:line="360" w:lineRule="auto"/>
        <w:ind w:left="0" w:firstLine="488" w:firstLineChars="200"/>
        <w:jc w:val="left"/>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项目经理部人员配备要求：项目经理1名（具有注册二级（含）以上建造师（</w:t>
      </w:r>
      <w:r>
        <w:rPr>
          <w:rFonts w:hint="eastAsia" w:asciiTheme="minorEastAsia" w:hAnsiTheme="minorEastAsia" w:eastAsiaTheme="minorEastAsia" w:cstheme="minorEastAsia"/>
          <w:color w:val="auto"/>
          <w:spacing w:val="2"/>
          <w:sz w:val="24"/>
          <w:szCs w:val="24"/>
          <w:highlight w:val="none"/>
          <w:lang w:val="en-US" w:eastAsia="zh-CN"/>
        </w:rPr>
        <w:t>市政</w:t>
      </w:r>
      <w:r>
        <w:rPr>
          <w:rFonts w:hint="eastAsia" w:asciiTheme="minorEastAsia" w:hAnsiTheme="minorEastAsia" w:eastAsiaTheme="minorEastAsia" w:cstheme="minorEastAsia"/>
          <w:color w:val="auto"/>
          <w:spacing w:val="2"/>
          <w:sz w:val="24"/>
          <w:szCs w:val="24"/>
          <w:highlight w:val="none"/>
        </w:rPr>
        <w:t>工程）资质证书）</w:t>
      </w:r>
      <w:r>
        <w:rPr>
          <w:rFonts w:hint="eastAsia" w:asciiTheme="minorEastAsia" w:hAnsiTheme="minorEastAsia" w:eastAsiaTheme="minorEastAsia" w:cstheme="minorEastAsia"/>
          <w:color w:val="auto"/>
          <w:spacing w:val="2"/>
          <w:sz w:val="24"/>
          <w:szCs w:val="24"/>
          <w:highlight w:val="none"/>
          <w:lang w:val="en-US" w:eastAsia="zh-CN"/>
        </w:rPr>
        <w:t>、</w:t>
      </w:r>
      <w:r>
        <w:rPr>
          <w:rFonts w:hint="eastAsia" w:asciiTheme="minorEastAsia" w:hAnsiTheme="minorEastAsia" w:eastAsiaTheme="minorEastAsia" w:cstheme="minorEastAsia"/>
          <w:color w:val="auto"/>
          <w:spacing w:val="2"/>
          <w:sz w:val="24"/>
          <w:szCs w:val="24"/>
          <w:highlight w:val="none"/>
        </w:rPr>
        <w:t>安全员1名（具有安全生产相关考核合格证书）、资料员1名、施工员1名。</w:t>
      </w:r>
      <w:r>
        <w:rPr>
          <w:rFonts w:hint="eastAsia" w:asciiTheme="minorEastAsia" w:hAnsiTheme="minorEastAsia" w:eastAsiaTheme="minorEastAsia" w:cstheme="minorEastAsia"/>
          <w:color w:val="auto"/>
          <w:spacing w:val="2"/>
          <w:sz w:val="24"/>
          <w:szCs w:val="24"/>
          <w:highlight w:val="none"/>
          <w:lang w:val="en-US" w:eastAsia="zh-CN"/>
        </w:rPr>
        <w:t>人员须纳入钉钉考勤系统，不满足出勤要求按相关要求进行处罚。</w:t>
      </w:r>
      <w:r>
        <w:rPr>
          <w:rFonts w:hint="eastAsia" w:asciiTheme="minorEastAsia" w:hAnsiTheme="minorEastAsia" w:eastAsiaTheme="minorEastAsia" w:cstheme="minorEastAsia"/>
          <w:color w:val="auto"/>
          <w:spacing w:val="2"/>
          <w:sz w:val="24"/>
          <w:szCs w:val="24"/>
          <w:highlight w:val="none"/>
        </w:rPr>
        <w:t>中标单位需准备本项目施工必须的机械设备，需自有或提供相关租赁证明，并书面报甲方批准。</w:t>
      </w:r>
      <w:r>
        <w:rPr>
          <w:rFonts w:ascii="宋体" w:hAnsi="宋体" w:eastAsia="宋体" w:cs="宋体"/>
          <w:color w:val="auto"/>
          <w:kern w:val="0"/>
          <w:sz w:val="24"/>
          <w:szCs w:val="24"/>
          <w:highlight w:val="none"/>
          <w:lang w:val="en-US" w:eastAsia="zh-CN" w:bidi="ar"/>
        </w:rPr>
        <w:t>中标单位进场前需办理相关建筑垃圾处理备案申请，并取得相关部门审批许可。</w:t>
      </w:r>
    </w:p>
    <w:p w14:paraId="4409D292">
      <w:pPr>
        <w:pStyle w:val="13"/>
        <w:keepNext w:val="0"/>
        <w:keepLines w:val="0"/>
        <w:pageBreakBefore w:val="0"/>
        <w:widowControl w:val="0"/>
        <w:kinsoku/>
        <w:wordWrap/>
        <w:overflowPunct/>
        <w:topLinePunct w:val="0"/>
        <w:autoSpaceDE/>
        <w:autoSpaceDN/>
        <w:bidi w:val="0"/>
        <w:adjustRightInd w:val="0"/>
        <w:snapToGrid w:val="0"/>
        <w:spacing w:after="0" w:afterLines="0" w:line="360" w:lineRule="auto"/>
        <w:ind w:left="0" w:firstLine="482"/>
        <w:jc w:val="left"/>
        <w:textAlignment w:val="baseline"/>
        <w:rPr>
          <w:rFonts w:hint="eastAsia" w:cs="Times New Roman" w:asciiTheme="minorEastAsia" w:hAnsiTheme="minorEastAsia" w:eastAsiaTheme="minorEastAsia"/>
          <w:b/>
          <w:color w:val="auto"/>
          <w:kern w:val="0"/>
          <w:sz w:val="24"/>
          <w:szCs w:val="24"/>
          <w:highlight w:val="none"/>
        </w:rPr>
      </w:pPr>
      <w:r>
        <w:rPr>
          <w:rFonts w:hint="eastAsia" w:cs="Times New Roman" w:asciiTheme="minorEastAsia" w:hAnsiTheme="minorEastAsia" w:eastAsiaTheme="minorEastAsia"/>
          <w:b/>
          <w:color w:val="auto"/>
          <w:kern w:val="0"/>
          <w:sz w:val="24"/>
          <w:szCs w:val="24"/>
          <w:highlight w:val="none"/>
        </w:rPr>
        <w:t>2、核验要求</w:t>
      </w:r>
    </w:p>
    <w:p w14:paraId="75B75EA5">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Theme="minorEastAsia" w:hAnsiTheme="minorEastAsia" w:eastAsiaTheme="minorEastAsia"/>
          <w:b/>
          <w:color w:val="auto"/>
          <w:sz w:val="24"/>
          <w:szCs w:val="24"/>
          <w:highlight w:val="none"/>
        </w:rPr>
      </w:pPr>
      <w:r>
        <w:rPr>
          <w:rFonts w:hint="eastAsia" w:ascii="宋体" w:hAnsi="宋体" w:eastAsia="宋体" w:cs="宋体"/>
          <w:color w:val="auto"/>
          <w:kern w:val="0"/>
          <w:sz w:val="24"/>
          <w:szCs w:val="24"/>
          <w:highlight w:val="none"/>
          <w:lang w:val="en-US" w:eastAsia="zh-CN" w:bidi="ar"/>
        </w:rPr>
        <w:t>中标人应在收到中标通知书</w:t>
      </w:r>
      <w:r>
        <w:rPr>
          <w:rFonts w:hint="eastAsia" w:ascii="宋体" w:hAnsi="宋体" w:eastAsia="宋体" w:cs="宋体"/>
          <w:b/>
          <w:bCs/>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日内将施工组织设计中配备的项目组成员及使用的机械 设备配置到位。若中标人在</w:t>
      </w:r>
      <w:r>
        <w:rPr>
          <w:rFonts w:hint="eastAsia" w:ascii="宋体" w:hAnsi="宋体" w:eastAsia="宋体" w:cs="宋体"/>
          <w:b/>
          <w:bCs/>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日内人员设备等不能配置到位的，发包人有权取消其中标资 格，重新招标。所有施工材料进场前必须报验，经监理和发包人批准且检测合格后方可使用。</w:t>
      </w:r>
    </w:p>
    <w:p w14:paraId="5E34BB08">
      <w:pPr>
        <w:pStyle w:val="13"/>
        <w:keepNext w:val="0"/>
        <w:keepLines w:val="0"/>
        <w:pageBreakBefore w:val="0"/>
        <w:kinsoku/>
        <w:wordWrap/>
        <w:overflowPunct/>
        <w:topLinePunct w:val="0"/>
        <w:autoSpaceDE/>
        <w:autoSpaceDN/>
        <w:bidi w:val="0"/>
        <w:snapToGrid w:val="0"/>
        <w:spacing w:line="360" w:lineRule="auto"/>
        <w:ind w:left="0" w:firstLine="0" w:firstLineChars="0"/>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四、施工及管理要求</w:t>
      </w:r>
    </w:p>
    <w:p w14:paraId="29866E8F">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1、总体要求</w:t>
      </w:r>
    </w:p>
    <w:p w14:paraId="07FCA75F">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1.1</w:t>
      </w:r>
      <w:r>
        <w:rPr>
          <w:rFonts w:hint="eastAsia" w:asciiTheme="minorEastAsia" w:hAnsiTheme="minorEastAsia" w:eastAsiaTheme="minorEastAsia"/>
          <w:color w:val="auto"/>
          <w:sz w:val="24"/>
          <w:szCs w:val="24"/>
          <w:highlight w:val="none"/>
        </w:rPr>
        <w:t>投标人投标前须自行踏勘现场，了解现场并充分考虑施工</w:t>
      </w:r>
      <w:r>
        <w:rPr>
          <w:rFonts w:asciiTheme="minorEastAsia" w:hAnsiTheme="minorEastAsia" w:eastAsiaTheme="minorEastAsia"/>
          <w:color w:val="auto"/>
          <w:sz w:val="24"/>
          <w:szCs w:val="24"/>
          <w:highlight w:val="none"/>
        </w:rPr>
        <w:t>作业面、</w:t>
      </w:r>
      <w:r>
        <w:rPr>
          <w:rFonts w:hint="eastAsia" w:asciiTheme="minorEastAsia" w:hAnsiTheme="minorEastAsia" w:eastAsiaTheme="minorEastAsia"/>
          <w:color w:val="auto"/>
          <w:sz w:val="24"/>
          <w:szCs w:val="24"/>
          <w:highlight w:val="none"/>
        </w:rPr>
        <w:t>施工运输通道、材料</w:t>
      </w:r>
      <w:r>
        <w:rPr>
          <w:rFonts w:asciiTheme="minorEastAsia" w:hAnsiTheme="minorEastAsia" w:eastAsiaTheme="minorEastAsia"/>
          <w:color w:val="auto"/>
          <w:sz w:val="24"/>
          <w:szCs w:val="24"/>
          <w:highlight w:val="none"/>
        </w:rPr>
        <w:t>放</w:t>
      </w:r>
      <w:r>
        <w:rPr>
          <w:rFonts w:hint="eastAsia" w:asciiTheme="minorEastAsia" w:hAnsiTheme="minorEastAsia" w:eastAsiaTheme="minorEastAsia"/>
          <w:color w:val="auto"/>
          <w:sz w:val="24"/>
          <w:szCs w:val="24"/>
          <w:highlight w:val="none"/>
        </w:rPr>
        <w:t>置场地等因素。</w:t>
      </w:r>
      <w:r>
        <w:rPr>
          <w:rFonts w:asciiTheme="minorEastAsia" w:hAnsiTheme="minorEastAsia" w:eastAsiaTheme="minorEastAsia"/>
          <w:color w:val="auto"/>
          <w:sz w:val="24"/>
          <w:szCs w:val="24"/>
          <w:highlight w:val="none"/>
        </w:rPr>
        <w:t>研究</w:t>
      </w:r>
      <w:r>
        <w:rPr>
          <w:rFonts w:hint="eastAsia" w:asciiTheme="minorEastAsia" w:hAnsiTheme="minorEastAsia" w:eastAsiaTheme="minorEastAsia"/>
          <w:color w:val="auto"/>
          <w:sz w:val="24"/>
          <w:szCs w:val="24"/>
          <w:highlight w:val="none"/>
        </w:rPr>
        <w:t>道路修复</w:t>
      </w:r>
      <w:r>
        <w:rPr>
          <w:rFonts w:asciiTheme="minorEastAsia" w:hAnsiTheme="minorEastAsia" w:eastAsiaTheme="minorEastAsia"/>
          <w:color w:val="auto"/>
          <w:sz w:val="24"/>
          <w:szCs w:val="24"/>
          <w:highlight w:val="none"/>
        </w:rPr>
        <w:t>工程</w:t>
      </w:r>
      <w:r>
        <w:rPr>
          <w:rFonts w:hint="eastAsia" w:asciiTheme="minorEastAsia" w:hAnsiTheme="minorEastAsia" w:eastAsiaTheme="minorEastAsia"/>
          <w:color w:val="auto"/>
          <w:sz w:val="24"/>
          <w:szCs w:val="24"/>
          <w:highlight w:val="none"/>
        </w:rPr>
        <w:t>施工现场相关不利</w:t>
      </w:r>
      <w:r>
        <w:rPr>
          <w:rFonts w:asciiTheme="minorEastAsia" w:hAnsiTheme="minorEastAsia" w:eastAsiaTheme="minorEastAsia"/>
          <w:color w:val="auto"/>
          <w:sz w:val="24"/>
          <w:szCs w:val="24"/>
          <w:highlight w:val="none"/>
        </w:rPr>
        <w:t>因素</w:t>
      </w:r>
      <w:r>
        <w:rPr>
          <w:rFonts w:hint="eastAsia" w:asciiTheme="minorEastAsia" w:hAnsiTheme="minorEastAsia" w:eastAsiaTheme="minorEastAsia"/>
          <w:color w:val="auto"/>
          <w:sz w:val="24"/>
          <w:szCs w:val="24"/>
          <w:highlight w:val="none"/>
        </w:rPr>
        <w:t>，并</w:t>
      </w:r>
      <w:r>
        <w:rPr>
          <w:rFonts w:asciiTheme="minorEastAsia" w:hAnsiTheme="minorEastAsia" w:eastAsiaTheme="minorEastAsia"/>
          <w:color w:val="auto"/>
          <w:sz w:val="24"/>
          <w:szCs w:val="24"/>
          <w:highlight w:val="none"/>
        </w:rPr>
        <w:t>制定相关预案。</w:t>
      </w:r>
      <w:r>
        <w:rPr>
          <w:rFonts w:hint="eastAsia" w:asciiTheme="minorEastAsia" w:hAnsiTheme="minorEastAsia" w:eastAsiaTheme="minorEastAsia"/>
          <w:color w:val="auto"/>
          <w:sz w:val="24"/>
          <w:szCs w:val="24"/>
          <w:highlight w:val="none"/>
        </w:rPr>
        <w:t>对</w:t>
      </w:r>
      <w:r>
        <w:rPr>
          <w:rFonts w:asciiTheme="minorEastAsia" w:hAnsiTheme="minorEastAsia" w:eastAsiaTheme="minorEastAsia"/>
          <w:color w:val="auto"/>
          <w:sz w:val="24"/>
          <w:szCs w:val="24"/>
          <w:highlight w:val="none"/>
        </w:rPr>
        <w:t>施工</w:t>
      </w:r>
      <w:r>
        <w:rPr>
          <w:rFonts w:hint="eastAsia" w:asciiTheme="minorEastAsia" w:hAnsiTheme="minorEastAsia" w:eastAsiaTheme="minorEastAsia"/>
          <w:color w:val="auto"/>
          <w:sz w:val="24"/>
          <w:szCs w:val="24"/>
          <w:highlight w:val="none"/>
        </w:rPr>
        <w:t>过程</w:t>
      </w:r>
      <w:r>
        <w:rPr>
          <w:rFonts w:asciiTheme="minorEastAsia" w:hAnsiTheme="minorEastAsia" w:eastAsiaTheme="minorEastAsia"/>
          <w:color w:val="auto"/>
          <w:sz w:val="24"/>
          <w:szCs w:val="24"/>
          <w:highlight w:val="none"/>
        </w:rPr>
        <w:t>中可能发生的各种不利因素</w:t>
      </w:r>
      <w:r>
        <w:rPr>
          <w:rFonts w:hint="eastAsia" w:asciiTheme="minorEastAsia" w:hAnsiTheme="minorEastAsia" w:eastAsiaTheme="minorEastAsia"/>
          <w:color w:val="auto"/>
          <w:sz w:val="24"/>
          <w:szCs w:val="24"/>
          <w:highlight w:val="none"/>
        </w:rPr>
        <w:t>及</w:t>
      </w:r>
      <w:r>
        <w:rPr>
          <w:rFonts w:asciiTheme="minorEastAsia" w:hAnsiTheme="minorEastAsia" w:eastAsiaTheme="minorEastAsia"/>
          <w:color w:val="auto"/>
          <w:sz w:val="24"/>
          <w:szCs w:val="24"/>
          <w:highlight w:val="none"/>
        </w:rPr>
        <w:t>管理</w:t>
      </w:r>
      <w:r>
        <w:rPr>
          <w:rFonts w:hint="eastAsia" w:asciiTheme="minorEastAsia" w:hAnsiTheme="minorEastAsia" w:eastAsiaTheme="minorEastAsia"/>
          <w:color w:val="auto"/>
          <w:sz w:val="24"/>
          <w:szCs w:val="24"/>
          <w:highlight w:val="none"/>
        </w:rPr>
        <w:t>风险</w:t>
      </w:r>
      <w:r>
        <w:rPr>
          <w:rFonts w:asciiTheme="minorEastAsia" w:hAnsiTheme="minorEastAsia" w:eastAsiaTheme="minorEastAsia"/>
          <w:color w:val="auto"/>
          <w:sz w:val="24"/>
          <w:szCs w:val="24"/>
          <w:highlight w:val="none"/>
        </w:rPr>
        <w:t>也要充分</w:t>
      </w:r>
      <w:r>
        <w:rPr>
          <w:rFonts w:hint="eastAsia" w:asciiTheme="minorEastAsia" w:hAnsiTheme="minorEastAsia" w:eastAsiaTheme="minorEastAsia"/>
          <w:color w:val="auto"/>
          <w:sz w:val="24"/>
          <w:szCs w:val="24"/>
          <w:highlight w:val="none"/>
        </w:rPr>
        <w:t>考虑，切勿盲目投标。</w:t>
      </w:r>
    </w:p>
    <w:p w14:paraId="526A19C1">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1.2</w:t>
      </w:r>
      <w:r>
        <w:rPr>
          <w:rFonts w:hint="eastAsia" w:asciiTheme="minorEastAsia" w:hAnsiTheme="minorEastAsia" w:eastAsiaTheme="minorEastAsia"/>
          <w:color w:val="auto"/>
          <w:sz w:val="24"/>
          <w:szCs w:val="24"/>
          <w:highlight w:val="none"/>
        </w:rPr>
        <w:t>投标人中标后，应尽快按照合同</w:t>
      </w:r>
      <w:r>
        <w:rPr>
          <w:rFonts w:asciiTheme="minorEastAsia" w:hAnsiTheme="minorEastAsia" w:eastAsiaTheme="minorEastAsia"/>
          <w:color w:val="auto"/>
          <w:sz w:val="24"/>
          <w:szCs w:val="24"/>
          <w:highlight w:val="none"/>
        </w:rPr>
        <w:t>及招投标文件要求</w:t>
      </w:r>
      <w:r>
        <w:rPr>
          <w:rFonts w:hint="eastAsia" w:asciiTheme="minorEastAsia" w:hAnsiTheme="minorEastAsia" w:eastAsiaTheme="minorEastAsia"/>
          <w:color w:val="auto"/>
          <w:sz w:val="24"/>
          <w:szCs w:val="24"/>
          <w:highlight w:val="none"/>
        </w:rPr>
        <w:t>完成人员、设备、</w:t>
      </w:r>
      <w:r>
        <w:rPr>
          <w:rFonts w:asciiTheme="minorEastAsia" w:hAnsiTheme="minorEastAsia" w:eastAsiaTheme="minorEastAsia"/>
          <w:color w:val="auto"/>
          <w:sz w:val="24"/>
          <w:szCs w:val="24"/>
          <w:highlight w:val="none"/>
        </w:rPr>
        <w:t>材料</w:t>
      </w:r>
      <w:r>
        <w:rPr>
          <w:rFonts w:hint="eastAsia" w:asciiTheme="minorEastAsia" w:hAnsiTheme="minorEastAsia" w:eastAsiaTheme="minorEastAsia"/>
          <w:color w:val="auto"/>
          <w:sz w:val="24"/>
          <w:szCs w:val="24"/>
          <w:highlight w:val="none"/>
        </w:rPr>
        <w:t>的组织准备</w:t>
      </w:r>
      <w:r>
        <w:rPr>
          <w:rFonts w:asciiTheme="minorEastAsia" w:hAnsiTheme="minorEastAsia" w:eastAsiaTheme="minorEastAsia"/>
          <w:color w:val="auto"/>
          <w:sz w:val="24"/>
          <w:szCs w:val="24"/>
          <w:highlight w:val="none"/>
        </w:rPr>
        <w:t>工作</w:t>
      </w:r>
      <w:r>
        <w:rPr>
          <w:rFonts w:hint="eastAsia" w:asciiTheme="minorEastAsia" w:hAnsiTheme="minorEastAsia" w:eastAsiaTheme="minorEastAsia"/>
          <w:color w:val="auto"/>
          <w:sz w:val="24"/>
          <w:szCs w:val="24"/>
          <w:highlight w:val="none"/>
        </w:rPr>
        <w:t>。</w:t>
      </w:r>
    </w:p>
    <w:p w14:paraId="19DCB583">
      <w:pPr>
        <w:pStyle w:val="13"/>
        <w:keepNext w:val="0"/>
        <w:keepLines w:val="0"/>
        <w:pageBreakBefore w:val="0"/>
        <w:kinsoku/>
        <w:wordWrap/>
        <w:overflowPunct/>
        <w:topLinePunct w:val="0"/>
        <w:autoSpaceDE/>
        <w:autoSpaceDN/>
        <w:bidi w:val="0"/>
        <w:snapToGrid w:val="0"/>
        <w:spacing w:line="360" w:lineRule="auto"/>
        <w:ind w:left="0" w:firstLine="480"/>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工程开工前中标人必须做好现场勘查工作，对作业区域的地上、地下管线等进行认真调查确认，并</w:t>
      </w:r>
      <w:r>
        <w:rPr>
          <w:rFonts w:asciiTheme="minorEastAsia" w:hAnsiTheme="minorEastAsia" w:eastAsiaTheme="minorEastAsia"/>
          <w:color w:val="auto"/>
          <w:sz w:val="24"/>
          <w:szCs w:val="24"/>
          <w:highlight w:val="none"/>
        </w:rPr>
        <w:t>采取安全可靠的保护措施</w:t>
      </w:r>
      <w:r>
        <w:rPr>
          <w:rFonts w:hint="eastAsia" w:asciiTheme="minorEastAsia" w:hAnsiTheme="minorEastAsia" w:eastAsiaTheme="minorEastAsia"/>
          <w:color w:val="auto"/>
          <w:sz w:val="24"/>
          <w:szCs w:val="24"/>
          <w:highlight w:val="none"/>
        </w:rPr>
        <w:t>，同时做好作业区域及周围的公共设施的保护工作。须按规定办理土方垃圾运输的相关手续。</w:t>
      </w:r>
    </w:p>
    <w:p w14:paraId="54EF5CF6">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1.3</w:t>
      </w:r>
      <w:r>
        <w:rPr>
          <w:rFonts w:hint="eastAsia" w:asciiTheme="minorEastAsia" w:hAnsiTheme="minorEastAsia" w:eastAsiaTheme="minorEastAsia"/>
          <w:color w:val="auto"/>
          <w:sz w:val="24"/>
          <w:szCs w:val="24"/>
          <w:highlight w:val="none"/>
        </w:rPr>
        <w:t>工程开工前，中</w:t>
      </w:r>
      <w:r>
        <w:rPr>
          <w:rFonts w:asciiTheme="minorEastAsia" w:hAnsiTheme="minorEastAsia" w:eastAsiaTheme="minorEastAsia"/>
          <w:color w:val="auto"/>
          <w:sz w:val="24"/>
          <w:szCs w:val="24"/>
          <w:highlight w:val="none"/>
        </w:rPr>
        <w:t>标</w:t>
      </w:r>
      <w:r>
        <w:rPr>
          <w:rFonts w:hint="eastAsia" w:asciiTheme="minorEastAsia" w:hAnsiTheme="minorEastAsia" w:eastAsiaTheme="minorEastAsia"/>
          <w:color w:val="auto"/>
          <w:sz w:val="24"/>
          <w:szCs w:val="24"/>
          <w:highlight w:val="none"/>
        </w:rPr>
        <w:t>人应根据本工程特点和现场条件编制切实可行的施工组织设计，经公司技术负责人（总工）审批签字后，报监理工程师和业主进行审核，申报通过后方可申请开工。施工组织设计应包括：施工组织、施工方案、进度计划、安全文明措施、应急预案、人员及设备配备等内容。申报材料应附：⑴项目部主要管理人员名单、执业证（复印件）及身份证（复印件）。⑵特种作业人员名单、操作证（复印件）及身份证（复印件）。(3)工程施工主要设备配备表，包括设备名称、型号、规格、数量、生产厂家、主要技术性能等。</w:t>
      </w:r>
    </w:p>
    <w:p w14:paraId="45B673DF">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2、现场施工管理要求</w:t>
      </w:r>
    </w:p>
    <w:p w14:paraId="12F987DB">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2.1</w:t>
      </w:r>
      <w:r>
        <w:rPr>
          <w:rFonts w:hint="eastAsia" w:asciiTheme="minorEastAsia" w:hAnsiTheme="minorEastAsia" w:eastAsiaTheme="minorEastAsia"/>
          <w:color w:val="auto"/>
          <w:sz w:val="24"/>
          <w:szCs w:val="24"/>
          <w:highlight w:val="none"/>
        </w:rPr>
        <w:t>本工程全部施工内容必须遵循国家和行业相关规范和标准。</w:t>
      </w:r>
    </w:p>
    <w:p w14:paraId="3AD5E1A8">
      <w:pPr>
        <w:keepNext w:val="0"/>
        <w:keepLines w:val="0"/>
        <w:pageBreakBefore w:val="0"/>
        <w:kinsoku/>
        <w:wordWrap/>
        <w:overflowPunct/>
        <w:topLinePunct w:val="0"/>
        <w:autoSpaceDE/>
        <w:autoSpaceDN/>
        <w:bidi w:val="0"/>
        <w:snapToGrid w:val="0"/>
        <w:spacing w:line="360" w:lineRule="auto"/>
        <w:ind w:left="0" w:firstLine="482"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2.2</w:t>
      </w:r>
      <w:r>
        <w:rPr>
          <w:rFonts w:hint="eastAsia" w:asciiTheme="minorEastAsia" w:hAnsiTheme="minorEastAsia" w:eastAsiaTheme="minorEastAsia"/>
          <w:color w:val="auto"/>
          <w:sz w:val="24"/>
          <w:szCs w:val="24"/>
          <w:highlight w:val="none"/>
        </w:rPr>
        <w:t>施工</w:t>
      </w:r>
      <w:r>
        <w:rPr>
          <w:rFonts w:asciiTheme="minorEastAsia" w:hAnsiTheme="minorEastAsia" w:eastAsiaTheme="minorEastAsia"/>
          <w:color w:val="auto"/>
          <w:sz w:val="24"/>
          <w:szCs w:val="24"/>
          <w:highlight w:val="none"/>
        </w:rPr>
        <w:t>作业单位要避免扬尘、避免噪音扰民、避免影响交通秩序，投标人要配备</w:t>
      </w:r>
      <w:r>
        <w:rPr>
          <w:rFonts w:hint="eastAsia" w:asciiTheme="minorEastAsia" w:hAnsiTheme="minorEastAsia" w:eastAsiaTheme="minorEastAsia"/>
          <w:color w:val="auto"/>
          <w:sz w:val="24"/>
          <w:szCs w:val="24"/>
          <w:highlight w:val="none"/>
        </w:rPr>
        <w:t>使用</w:t>
      </w:r>
      <w:r>
        <w:rPr>
          <w:rFonts w:asciiTheme="minorEastAsia" w:hAnsiTheme="minorEastAsia" w:eastAsiaTheme="minorEastAsia"/>
          <w:color w:val="auto"/>
          <w:sz w:val="24"/>
          <w:szCs w:val="24"/>
          <w:highlight w:val="none"/>
        </w:rPr>
        <w:t>专业防尘降噪设备，要把施工对周边环境的影响降到最低。</w:t>
      </w:r>
      <w:r>
        <w:rPr>
          <w:rFonts w:hint="eastAsia" w:asciiTheme="minorEastAsia" w:hAnsiTheme="minorEastAsia" w:eastAsiaTheme="minorEastAsia"/>
          <w:color w:val="auto"/>
          <w:sz w:val="24"/>
          <w:szCs w:val="24"/>
          <w:highlight w:val="none"/>
        </w:rPr>
        <w:t>如因投标人</w:t>
      </w:r>
      <w:r>
        <w:rPr>
          <w:rFonts w:asciiTheme="minorEastAsia" w:hAnsiTheme="minorEastAsia" w:eastAsiaTheme="minorEastAsia"/>
          <w:color w:val="auto"/>
          <w:sz w:val="24"/>
          <w:szCs w:val="24"/>
          <w:highlight w:val="none"/>
        </w:rPr>
        <w:t>作业</w:t>
      </w:r>
      <w:r>
        <w:rPr>
          <w:rFonts w:hint="eastAsia" w:asciiTheme="minorEastAsia" w:hAnsiTheme="minorEastAsia" w:eastAsiaTheme="minorEastAsia"/>
          <w:color w:val="auto"/>
          <w:sz w:val="24"/>
          <w:szCs w:val="24"/>
          <w:highlight w:val="none"/>
        </w:rPr>
        <w:t>时</w:t>
      </w:r>
      <w:r>
        <w:rPr>
          <w:rFonts w:asciiTheme="minorEastAsia" w:hAnsiTheme="minorEastAsia" w:eastAsiaTheme="minorEastAsia"/>
          <w:color w:val="auto"/>
          <w:sz w:val="24"/>
          <w:szCs w:val="24"/>
          <w:highlight w:val="none"/>
        </w:rPr>
        <w:t>未达到</w:t>
      </w:r>
      <w:r>
        <w:rPr>
          <w:rFonts w:hint="eastAsia" w:asciiTheme="minorEastAsia" w:hAnsiTheme="minorEastAsia" w:eastAsiaTheme="minorEastAsia"/>
          <w:color w:val="auto"/>
          <w:sz w:val="24"/>
          <w:szCs w:val="24"/>
          <w:highlight w:val="none"/>
        </w:rPr>
        <w:t>安全文明施工要求</w:t>
      </w:r>
      <w:r>
        <w:rPr>
          <w:rFonts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rPr>
        <w:t>受到</w:t>
      </w:r>
      <w:r>
        <w:rPr>
          <w:rFonts w:asciiTheme="minorEastAsia" w:hAnsiTheme="minorEastAsia" w:eastAsiaTheme="minorEastAsia"/>
          <w:color w:val="auto"/>
          <w:sz w:val="24"/>
          <w:szCs w:val="24"/>
          <w:highlight w:val="none"/>
        </w:rPr>
        <w:t>主管部门</w:t>
      </w:r>
      <w:r>
        <w:rPr>
          <w:rFonts w:hint="eastAsia" w:asciiTheme="minorEastAsia" w:hAnsiTheme="minorEastAsia" w:eastAsiaTheme="minorEastAsia"/>
          <w:color w:val="auto"/>
          <w:sz w:val="24"/>
          <w:szCs w:val="24"/>
          <w:highlight w:val="none"/>
        </w:rPr>
        <w:t>通报</w:t>
      </w:r>
      <w:r>
        <w:rPr>
          <w:rFonts w:asciiTheme="minorEastAsia" w:hAnsiTheme="minorEastAsia" w:eastAsiaTheme="minorEastAsia"/>
          <w:color w:val="auto"/>
          <w:sz w:val="24"/>
          <w:szCs w:val="24"/>
          <w:highlight w:val="none"/>
        </w:rPr>
        <w:t>处罚的，相关责任由投标人</w:t>
      </w:r>
      <w:r>
        <w:rPr>
          <w:rFonts w:hint="eastAsia" w:asciiTheme="minorEastAsia" w:hAnsiTheme="minorEastAsia" w:eastAsiaTheme="minorEastAsia"/>
          <w:color w:val="auto"/>
          <w:sz w:val="24"/>
          <w:szCs w:val="24"/>
          <w:highlight w:val="none"/>
        </w:rPr>
        <w:t>自行</w:t>
      </w:r>
      <w:r>
        <w:rPr>
          <w:rFonts w:asciiTheme="minorEastAsia" w:hAnsiTheme="minorEastAsia" w:eastAsiaTheme="minorEastAsia"/>
          <w:color w:val="auto"/>
          <w:sz w:val="24"/>
          <w:szCs w:val="24"/>
          <w:highlight w:val="none"/>
        </w:rPr>
        <w:t>负责</w:t>
      </w:r>
      <w:r>
        <w:rPr>
          <w:rFonts w:hint="eastAsia" w:asciiTheme="minorEastAsia" w:hAnsiTheme="minorEastAsia" w:eastAsiaTheme="minorEastAsia"/>
          <w:color w:val="auto"/>
          <w:sz w:val="24"/>
          <w:szCs w:val="24"/>
          <w:highlight w:val="none"/>
        </w:rPr>
        <w:t>。</w:t>
      </w:r>
    </w:p>
    <w:p w14:paraId="5B89C461">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9"/>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2.3</w:t>
      </w:r>
      <w:r>
        <w:rPr>
          <w:rFonts w:hint="eastAsia" w:asciiTheme="minorEastAsia" w:hAnsiTheme="minorEastAsia" w:eastAsiaTheme="minorEastAsia"/>
          <w:color w:val="auto"/>
          <w:sz w:val="24"/>
          <w:szCs w:val="24"/>
          <w:highlight w:val="none"/>
        </w:rPr>
        <w:t>本工程施工区域围挡搭设必须满足园区行政主管部门要求，必要时安装电子喷淋系统。施工现场应按园区行政主管单位要求规范设置相关标识标牌和相关安全警示标志。标识标牌的设置和管理应遵循统一样式、规范管理的原则。</w:t>
      </w:r>
      <w:r>
        <w:rPr>
          <w:rFonts w:hint="default"/>
          <w:color w:val="auto"/>
          <w:spacing w:val="-5"/>
          <w:sz w:val="24"/>
          <w:szCs w:val="24"/>
          <w:highlight w:val="none"/>
          <w:lang w:val="en-US" w:eastAsia="zh-CN"/>
        </w:rPr>
        <w:t>夜间施工时，在作业区域边界设置警示装备，作业人员、作业机具和设备按照有关规定配备反光安全识别标志，保障夜间施工安全。</w:t>
      </w:r>
      <w:r>
        <w:rPr>
          <w:rFonts w:hint="eastAsia" w:asciiTheme="minorEastAsia" w:hAnsiTheme="minorEastAsia" w:eastAsiaTheme="minorEastAsia"/>
          <w:color w:val="auto"/>
          <w:sz w:val="24"/>
          <w:szCs w:val="24"/>
          <w:highlight w:val="none"/>
        </w:rPr>
        <w:t>标识内容不准、标志破损锈蚀等不符合要求的禁止使用。交通</w:t>
      </w:r>
      <w:r>
        <w:rPr>
          <w:rFonts w:asciiTheme="minorEastAsia" w:hAnsiTheme="minorEastAsia" w:eastAsiaTheme="minorEastAsia"/>
          <w:color w:val="auto"/>
          <w:sz w:val="24"/>
          <w:szCs w:val="24"/>
          <w:highlight w:val="none"/>
        </w:rPr>
        <w:t>隔离护栏及各种</w:t>
      </w:r>
      <w:r>
        <w:rPr>
          <w:rFonts w:hint="eastAsia" w:asciiTheme="minorEastAsia" w:hAnsiTheme="minorEastAsia" w:eastAsiaTheme="minorEastAsia"/>
          <w:color w:val="auto"/>
          <w:sz w:val="24"/>
          <w:szCs w:val="24"/>
          <w:highlight w:val="none"/>
        </w:rPr>
        <w:t>标识</w:t>
      </w:r>
      <w:r>
        <w:rPr>
          <w:rFonts w:asciiTheme="minorEastAsia" w:hAnsiTheme="minorEastAsia" w:eastAsiaTheme="minorEastAsia"/>
          <w:color w:val="auto"/>
          <w:sz w:val="24"/>
          <w:szCs w:val="24"/>
          <w:highlight w:val="none"/>
        </w:rPr>
        <w:t>标志应重新采购，禁止</w:t>
      </w:r>
      <w:r>
        <w:rPr>
          <w:rFonts w:hint="eastAsia" w:asciiTheme="minorEastAsia" w:hAnsiTheme="minorEastAsia" w:eastAsiaTheme="minorEastAsia"/>
          <w:color w:val="auto"/>
          <w:sz w:val="24"/>
          <w:szCs w:val="24"/>
          <w:highlight w:val="none"/>
        </w:rPr>
        <w:t>采购</w:t>
      </w:r>
      <w:r>
        <w:rPr>
          <w:rFonts w:asciiTheme="minorEastAsia" w:hAnsiTheme="minorEastAsia" w:eastAsiaTheme="minorEastAsia"/>
          <w:color w:val="auto"/>
          <w:sz w:val="24"/>
          <w:szCs w:val="24"/>
          <w:highlight w:val="none"/>
        </w:rPr>
        <w:t>租用</w:t>
      </w:r>
      <w:r>
        <w:rPr>
          <w:rFonts w:hint="eastAsia" w:asciiTheme="minorEastAsia" w:hAnsiTheme="minorEastAsia" w:eastAsiaTheme="minorEastAsia"/>
          <w:color w:val="auto"/>
          <w:sz w:val="24"/>
          <w:szCs w:val="24"/>
          <w:highlight w:val="none"/>
        </w:rPr>
        <w:t>老旧标识</w:t>
      </w:r>
      <w:r>
        <w:rPr>
          <w:rFonts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rPr>
        <w:t>标志</w:t>
      </w:r>
      <w:r>
        <w:rPr>
          <w:rFonts w:asciiTheme="minorEastAsia" w:hAnsiTheme="minorEastAsia" w:eastAsiaTheme="minorEastAsia"/>
          <w:color w:val="auto"/>
          <w:sz w:val="24"/>
          <w:szCs w:val="24"/>
          <w:highlight w:val="none"/>
        </w:rPr>
        <w:t>、标牌及</w:t>
      </w:r>
      <w:r>
        <w:rPr>
          <w:rFonts w:hint="eastAsia" w:asciiTheme="minorEastAsia" w:hAnsiTheme="minorEastAsia" w:eastAsiaTheme="minorEastAsia"/>
          <w:color w:val="auto"/>
          <w:sz w:val="24"/>
          <w:szCs w:val="24"/>
          <w:highlight w:val="none"/>
        </w:rPr>
        <w:t>交通隔离</w:t>
      </w:r>
      <w:r>
        <w:rPr>
          <w:rFonts w:asciiTheme="minorEastAsia" w:hAnsiTheme="minorEastAsia" w:eastAsiaTheme="minorEastAsia"/>
          <w:color w:val="auto"/>
          <w:sz w:val="24"/>
          <w:szCs w:val="24"/>
          <w:highlight w:val="none"/>
        </w:rPr>
        <w:t>设施。</w:t>
      </w:r>
    </w:p>
    <w:p w14:paraId="17471388">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w:t>
      </w:r>
      <w:r>
        <w:rPr>
          <w:rFonts w:asciiTheme="minorEastAsia" w:hAnsiTheme="minorEastAsia" w:eastAsiaTheme="minorEastAsia"/>
          <w:b/>
          <w:color w:val="auto"/>
          <w:sz w:val="24"/>
          <w:szCs w:val="24"/>
          <w:highlight w:val="none"/>
        </w:rPr>
        <w:t>4</w:t>
      </w:r>
      <w:r>
        <w:rPr>
          <w:rFonts w:hint="eastAsia" w:asciiTheme="minorEastAsia" w:hAnsiTheme="minorEastAsia" w:eastAsiaTheme="minorEastAsia"/>
          <w:color w:val="auto"/>
          <w:sz w:val="24"/>
          <w:szCs w:val="24"/>
          <w:highlight w:val="none"/>
        </w:rPr>
        <w:t>中标人必须保护好道路的各种设施，如路灯、绿化、设施等等，如因中标人的损毁，由</w:t>
      </w:r>
      <w:r>
        <w:rPr>
          <w:rFonts w:asciiTheme="minorEastAsia" w:hAnsiTheme="minorEastAsia" w:eastAsiaTheme="minorEastAsia"/>
          <w:color w:val="auto"/>
          <w:sz w:val="24"/>
          <w:szCs w:val="24"/>
          <w:highlight w:val="none"/>
        </w:rPr>
        <w:t>中标人</w:t>
      </w:r>
      <w:r>
        <w:rPr>
          <w:rFonts w:hint="eastAsia" w:asciiTheme="minorEastAsia" w:hAnsiTheme="minorEastAsia" w:eastAsiaTheme="minorEastAsia"/>
          <w:color w:val="auto"/>
          <w:sz w:val="24"/>
          <w:szCs w:val="24"/>
          <w:highlight w:val="none"/>
        </w:rPr>
        <w:t>承担相关责任和费用。</w:t>
      </w:r>
    </w:p>
    <w:p w14:paraId="2CFB98F1">
      <w:pPr>
        <w:pStyle w:val="13"/>
        <w:keepNext w:val="0"/>
        <w:keepLines w:val="0"/>
        <w:pageBreakBefore w:val="0"/>
        <w:kinsoku/>
        <w:wordWrap/>
        <w:overflowPunct/>
        <w:topLinePunct w:val="0"/>
        <w:autoSpaceDE/>
        <w:autoSpaceDN/>
        <w:bidi w:val="0"/>
        <w:snapToGrid w:val="0"/>
        <w:spacing w:line="360" w:lineRule="auto"/>
        <w:ind w:left="0" w:firstLine="482"/>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2.5</w:t>
      </w:r>
      <w:r>
        <w:rPr>
          <w:rFonts w:hint="eastAsia" w:asciiTheme="minorEastAsia" w:hAnsiTheme="minorEastAsia" w:eastAsiaTheme="minorEastAsia"/>
          <w:color w:val="auto"/>
          <w:sz w:val="24"/>
          <w:szCs w:val="24"/>
          <w:highlight w:val="none"/>
        </w:rPr>
        <w:t>本工程所用的主要材料必须符合园区行政主管部门许可的厂家。平侧石及人行道板砖规格及材质要求和原有道路一致。沥青、砼、平侧石、人行道、雨水管在进场时必须报验，验收合格后方可使用，否则业主有权清退，造成的损失由承包商负责。混凝土材料：</w:t>
      </w:r>
      <w:r>
        <w:rPr>
          <w:rFonts w:asciiTheme="minorEastAsia" w:hAnsiTheme="minorEastAsia" w:eastAsiaTheme="minorEastAsia"/>
          <w:color w:val="auto"/>
          <w:sz w:val="24"/>
          <w:szCs w:val="24"/>
          <w:highlight w:val="none"/>
        </w:rPr>
        <w:t>本工程所用</w:t>
      </w:r>
      <w:r>
        <w:rPr>
          <w:rFonts w:hint="eastAsia" w:asciiTheme="minorEastAsia" w:hAnsiTheme="minorEastAsia" w:eastAsiaTheme="minorEastAsia"/>
          <w:color w:val="auto"/>
          <w:sz w:val="24"/>
          <w:szCs w:val="24"/>
          <w:highlight w:val="none"/>
        </w:rPr>
        <w:t>的混凝土</w:t>
      </w:r>
      <w:r>
        <w:rPr>
          <w:rFonts w:asciiTheme="minorEastAsia" w:hAnsiTheme="minorEastAsia" w:eastAsiaTheme="minorEastAsia"/>
          <w:color w:val="auto"/>
          <w:sz w:val="24"/>
          <w:szCs w:val="24"/>
          <w:highlight w:val="none"/>
        </w:rPr>
        <w:t>质量和</w:t>
      </w:r>
      <w:r>
        <w:rPr>
          <w:rFonts w:hint="eastAsia" w:asciiTheme="minorEastAsia" w:hAnsiTheme="minorEastAsia" w:eastAsiaTheme="minorEastAsia"/>
          <w:color w:val="auto"/>
          <w:sz w:val="24"/>
          <w:szCs w:val="24"/>
          <w:highlight w:val="none"/>
        </w:rPr>
        <w:t>施工工艺必须满足国家规范有关混凝土的</w:t>
      </w:r>
      <w:r>
        <w:rPr>
          <w:rFonts w:asciiTheme="minorEastAsia" w:hAnsiTheme="minorEastAsia" w:eastAsiaTheme="minorEastAsia"/>
          <w:color w:val="auto"/>
          <w:sz w:val="24"/>
          <w:szCs w:val="24"/>
          <w:highlight w:val="none"/>
        </w:rPr>
        <w:t>工程质量和工艺</w:t>
      </w:r>
      <w:r>
        <w:rPr>
          <w:rFonts w:hint="eastAsia" w:asciiTheme="minorEastAsia" w:hAnsiTheme="minorEastAsia" w:eastAsiaTheme="minorEastAsia"/>
          <w:color w:val="auto"/>
          <w:sz w:val="24"/>
          <w:szCs w:val="24"/>
          <w:highlight w:val="none"/>
        </w:rPr>
        <w:t>技术要求，其中C20及以上的混凝土（除特别要求外）必须用商品混凝土。</w:t>
      </w:r>
    </w:p>
    <w:p w14:paraId="03CED699">
      <w:pPr>
        <w:keepNext w:val="0"/>
        <w:keepLines w:val="0"/>
        <w:pageBreakBefore w:val="0"/>
        <w:kinsoku/>
        <w:wordWrap/>
        <w:overflowPunct/>
        <w:topLinePunct w:val="0"/>
        <w:autoSpaceDE/>
        <w:autoSpaceDN/>
        <w:bidi w:val="0"/>
        <w:adjustRightInd w:val="0"/>
        <w:snapToGrid w:val="0"/>
        <w:spacing w:line="360" w:lineRule="auto"/>
        <w:ind w:left="0" w:firstLine="482" w:firstLineChars="200"/>
        <w:rPr>
          <w:rFonts w:ascii="宋体" w:hAnsi="宋体"/>
          <w:bCs/>
          <w:color w:val="auto"/>
          <w:sz w:val="24"/>
          <w:szCs w:val="24"/>
          <w:highlight w:val="none"/>
        </w:rPr>
      </w:pPr>
      <w:r>
        <w:rPr>
          <w:rFonts w:hint="eastAsia" w:asciiTheme="minorEastAsia" w:hAnsiTheme="minorEastAsia" w:eastAsiaTheme="minorEastAsia"/>
          <w:b/>
          <w:color w:val="auto"/>
          <w:sz w:val="24"/>
          <w:szCs w:val="24"/>
          <w:highlight w:val="none"/>
        </w:rPr>
        <w:t>2.6</w:t>
      </w:r>
      <w:r>
        <w:rPr>
          <w:rFonts w:hint="eastAsia" w:ascii="宋体" w:hAnsi="宋体" w:cs="宋体"/>
          <w:bCs/>
          <w:color w:val="auto"/>
          <w:sz w:val="24"/>
          <w:szCs w:val="24"/>
          <w:highlight w:val="none"/>
        </w:rPr>
        <w:t>苗木养护12个月考虑，</w:t>
      </w:r>
      <w:r>
        <w:rPr>
          <w:rFonts w:hint="eastAsia" w:ascii="宋体" w:hAnsi="宋体"/>
          <w:bCs/>
          <w:color w:val="auto"/>
          <w:sz w:val="24"/>
          <w:szCs w:val="24"/>
          <w:highlight w:val="none"/>
        </w:rPr>
        <w:t>本项目需严控其养护期内</w:t>
      </w:r>
      <w:r>
        <w:rPr>
          <w:rFonts w:hint="eastAsia" w:ascii="宋体" w:hAnsi="宋体"/>
          <w:bCs/>
          <w:color w:val="auto"/>
          <w:sz w:val="24"/>
          <w:szCs w:val="24"/>
          <w:highlight w:val="none"/>
          <w:lang w:val="zh-CN"/>
        </w:rPr>
        <w:t>空秃或杂化</w:t>
      </w:r>
      <w:r>
        <w:rPr>
          <w:rFonts w:hint="eastAsia" w:ascii="宋体" w:hAnsi="宋体"/>
          <w:bCs/>
          <w:color w:val="auto"/>
          <w:sz w:val="24"/>
          <w:szCs w:val="24"/>
          <w:highlight w:val="none"/>
        </w:rPr>
        <w:t>比例（应低于15%）。遇枯死、</w:t>
      </w:r>
      <w:r>
        <w:rPr>
          <w:rFonts w:hint="eastAsia" w:ascii="宋体" w:hAnsi="宋体"/>
          <w:bCs/>
          <w:color w:val="auto"/>
          <w:sz w:val="24"/>
          <w:szCs w:val="24"/>
          <w:highlight w:val="none"/>
          <w:lang w:val="zh-CN"/>
        </w:rPr>
        <w:t>空秃</w:t>
      </w:r>
      <w:r>
        <w:rPr>
          <w:rFonts w:hint="eastAsia" w:ascii="宋体" w:hAnsi="宋体"/>
          <w:bCs/>
          <w:color w:val="auto"/>
          <w:sz w:val="24"/>
          <w:szCs w:val="24"/>
          <w:highlight w:val="none"/>
        </w:rPr>
        <w:t>或杂化时，应及时进行更新播种。对枯死、</w:t>
      </w:r>
      <w:r>
        <w:rPr>
          <w:rFonts w:hint="eastAsia" w:ascii="宋体" w:hAnsi="宋体"/>
          <w:bCs/>
          <w:color w:val="auto"/>
          <w:sz w:val="24"/>
          <w:szCs w:val="24"/>
          <w:highlight w:val="none"/>
          <w:lang w:val="zh-CN"/>
        </w:rPr>
        <w:t>空秃</w:t>
      </w:r>
      <w:r>
        <w:rPr>
          <w:rFonts w:hint="eastAsia" w:ascii="宋体" w:hAnsi="宋体"/>
          <w:bCs/>
          <w:color w:val="auto"/>
          <w:sz w:val="24"/>
          <w:szCs w:val="24"/>
          <w:highlight w:val="none"/>
        </w:rPr>
        <w:t>或杂化比例过大且更新不及时的，</w:t>
      </w:r>
      <w:r>
        <w:rPr>
          <w:rFonts w:hint="eastAsia" w:ascii="宋体" w:hAnsi="宋体" w:cs="宋体"/>
          <w:bCs/>
          <w:color w:val="auto"/>
          <w:sz w:val="24"/>
          <w:szCs w:val="24"/>
          <w:highlight w:val="none"/>
        </w:rPr>
        <w:t>中标单位需无条件服从，并积极做好整改工作。</w:t>
      </w:r>
    </w:p>
    <w:p w14:paraId="1D2EBF59">
      <w:pPr>
        <w:keepNext w:val="0"/>
        <w:keepLines w:val="0"/>
        <w:pageBreakBefore w:val="0"/>
        <w:kinsoku/>
        <w:wordWrap/>
        <w:overflowPunct/>
        <w:topLinePunct w:val="0"/>
        <w:autoSpaceDE/>
        <w:autoSpaceDN/>
        <w:bidi w:val="0"/>
        <w:snapToGrid w:val="0"/>
        <w:spacing w:line="360" w:lineRule="auto"/>
        <w:ind w:left="0" w:firstLine="482"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b/>
          <w:color w:val="auto"/>
          <w:sz w:val="24"/>
          <w:szCs w:val="24"/>
          <w:highlight w:val="none"/>
        </w:rPr>
        <w:t>2.7</w:t>
      </w:r>
      <w:r>
        <w:rPr>
          <w:rFonts w:hint="eastAsia" w:asciiTheme="minorEastAsia" w:hAnsiTheme="minorEastAsia" w:eastAsiaTheme="minorEastAsia"/>
          <w:color w:val="auto"/>
          <w:sz w:val="24"/>
          <w:szCs w:val="24"/>
          <w:highlight w:val="none"/>
        </w:rPr>
        <w:t>施工现场遗留垃圾及时清运（须按行政许可路线运输），不得在现场堆放。施工期间，应做到产生的垃圾日产日清，避免扬尘及土方抛洒，开挖之后来不及马上恢复的区域须使用专用绿色防尘网覆盖，施工区域及出入口周边道路须安排专人及时清扫。在工程施工期间，中标人使用的建材运输车辆的载重吨位须满足园区交警及城管等部门的规定，并办理相关运输许可。上述如有费用产生应考虑在投标报价中。</w:t>
      </w:r>
    </w:p>
    <w:p w14:paraId="71839825">
      <w:pPr>
        <w:keepNext w:val="0"/>
        <w:keepLines w:val="0"/>
        <w:pageBreakBefore w:val="0"/>
        <w:kinsoku/>
        <w:wordWrap/>
        <w:overflowPunct/>
        <w:topLinePunct w:val="0"/>
        <w:autoSpaceDE/>
        <w:autoSpaceDN/>
        <w:bidi w:val="0"/>
        <w:snapToGrid w:val="0"/>
        <w:spacing w:line="360" w:lineRule="auto"/>
        <w:ind w:left="0" w:firstLine="482" w:firstLineChars="200"/>
        <w:rPr>
          <w:rFonts w:ascii="宋体" w:hAnsi="宋体"/>
          <w:color w:val="auto"/>
          <w:sz w:val="24"/>
          <w:szCs w:val="24"/>
          <w:highlight w:val="none"/>
        </w:rPr>
      </w:pPr>
      <w:r>
        <w:rPr>
          <w:rFonts w:hint="eastAsia" w:asciiTheme="minorEastAsia" w:hAnsiTheme="minorEastAsia" w:eastAsiaTheme="minorEastAsia"/>
          <w:b/>
          <w:color w:val="auto"/>
          <w:sz w:val="24"/>
          <w:szCs w:val="24"/>
          <w:highlight w:val="none"/>
        </w:rPr>
        <w:t>2.8</w:t>
      </w:r>
      <w:r>
        <w:rPr>
          <w:rFonts w:hint="eastAsia" w:asciiTheme="minorEastAsia" w:hAnsiTheme="minorEastAsia" w:eastAsiaTheme="minorEastAsia"/>
          <w:color w:val="auto"/>
          <w:sz w:val="24"/>
          <w:szCs w:val="24"/>
          <w:highlight w:val="none"/>
        </w:rPr>
        <w:t>中标人</w:t>
      </w:r>
      <w:r>
        <w:rPr>
          <w:rFonts w:hint="eastAsia" w:ascii="宋体" w:hAnsi="宋体"/>
          <w:color w:val="auto"/>
          <w:sz w:val="24"/>
          <w:szCs w:val="24"/>
          <w:highlight w:val="none"/>
        </w:rPr>
        <w:t>在工程开工后应向园区建设档案馆索取《园区建设工程竣工档案的编制及报送规定》，完工后二个月内必须完成所有的竣工资料，并按照规定整理装订成册报业主存档。</w:t>
      </w:r>
    </w:p>
    <w:p w14:paraId="16115F27">
      <w:pPr>
        <w:keepNext w:val="0"/>
        <w:keepLines w:val="0"/>
        <w:pageBreakBefore w:val="0"/>
        <w:kinsoku/>
        <w:wordWrap/>
        <w:overflowPunct/>
        <w:topLinePunct w:val="0"/>
        <w:autoSpaceDE/>
        <w:autoSpaceDN/>
        <w:bidi w:val="0"/>
        <w:snapToGrid w:val="0"/>
        <w:spacing w:line="360" w:lineRule="auto"/>
        <w:ind w:left="0" w:firstLine="482"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b/>
          <w:bCs/>
          <w:color w:val="auto"/>
          <w:sz w:val="24"/>
          <w:szCs w:val="24"/>
          <w:highlight w:val="none"/>
        </w:rPr>
        <w:t>2.9</w:t>
      </w:r>
      <w:r>
        <w:rPr>
          <w:rFonts w:hint="eastAsia" w:asciiTheme="minorEastAsia" w:hAnsiTheme="minorEastAsia" w:eastAsiaTheme="minorEastAsia"/>
          <w:color w:val="auto"/>
          <w:sz w:val="24"/>
          <w:szCs w:val="24"/>
          <w:highlight w:val="none"/>
        </w:rPr>
        <w:t>道路施工应尽量避开交通高峰时段，确需限制车辆行驶或者实行交通管制的，制订详细交通分流方案，报公安交通管理部门批准，并事先进行公告。派专人做好交通秩序维护和交通疏导，并按要求设置交通导向标志。提倡应用先进的机械、技术，提高工作效率，缩短设施养护维修时间，费用含在投标报价中。</w:t>
      </w:r>
    </w:p>
    <w:p w14:paraId="0F510321">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68" w:firstLine="482"/>
        <w:textAlignment w:val="baseline"/>
        <w:rPr>
          <w:rFonts w:hint="eastAsia"/>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2.10 竣工验收资料和竣工验收：</w:t>
      </w:r>
      <w:r>
        <w:rPr>
          <w:rFonts w:hint="eastAsia"/>
          <w:color w:val="auto"/>
          <w:spacing w:val="-1"/>
          <w:sz w:val="24"/>
          <w:szCs w:val="24"/>
          <w:highlight w:val="none"/>
          <w:lang w:val="en-US" w:eastAsia="zh-CN"/>
        </w:rPr>
        <w:t>承包人应向发包人代表提供工程竣工档案，档案报送内容按《苏州工业园区建设工程竣工档案的编制及报送办法》及《苏州工业园区建设工程声像档案收集归档管理细则》执行，案卷质量符合《建设工程文件归档整理规范》（GB/T50328-2001）。工程验收及档案编制、报送所涉及的费用均由承包人承担。承包人完工后二个月内必须完成所有竣工资料，并通过有关部门的验收。</w:t>
      </w:r>
    </w:p>
    <w:p w14:paraId="0BDAD65A">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68" w:firstLine="482"/>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合同内项目全部完成后，会签各方对其完成情况进行竣工验收，签发竣工验收鉴定书。验收须经施工单位自检、监理预验收，合格后报联合验收小组进行初验。联合验收小组由综合行政执法局、市政服务集团、监理单位、设计单位、施工单位共同组成。</w:t>
      </w:r>
    </w:p>
    <w:p w14:paraId="4E714A6E">
      <w:pPr>
        <w:keepNext w:val="0"/>
        <w:keepLines w:val="0"/>
        <w:pageBreakBefore w:val="0"/>
        <w:kinsoku/>
        <w:wordWrap/>
        <w:overflowPunct/>
        <w:topLinePunct w:val="0"/>
        <w:autoSpaceDE/>
        <w:autoSpaceDN/>
        <w:bidi w:val="0"/>
        <w:snapToGrid w:val="0"/>
        <w:spacing w:line="360" w:lineRule="auto"/>
        <w:ind w:left="0" w:firstLine="482"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b/>
          <w:bCs/>
          <w:color w:val="auto"/>
          <w:sz w:val="24"/>
          <w:szCs w:val="24"/>
          <w:highlight w:val="none"/>
        </w:rPr>
        <w:t>2.11</w:t>
      </w:r>
      <w:r>
        <w:rPr>
          <w:rFonts w:hint="eastAsia" w:asciiTheme="minorEastAsia" w:hAnsiTheme="minorEastAsia" w:eastAsiaTheme="minorEastAsia"/>
          <w:color w:val="auto"/>
          <w:sz w:val="24"/>
          <w:szCs w:val="24"/>
          <w:highlight w:val="none"/>
        </w:rPr>
        <w:t>如遇园区重大活动需要临时停工，中标人须无条件服从监理和业主的统一安排，工期可以顺延。</w:t>
      </w:r>
    </w:p>
    <w:p w14:paraId="5D9B4023">
      <w:pPr>
        <w:keepNext w:val="0"/>
        <w:keepLines w:val="0"/>
        <w:pageBreakBefore w:val="0"/>
        <w:kinsoku/>
        <w:wordWrap/>
        <w:overflowPunct/>
        <w:topLinePunct w:val="0"/>
        <w:autoSpaceDE/>
        <w:autoSpaceDN/>
        <w:bidi w:val="0"/>
        <w:snapToGrid w:val="0"/>
        <w:spacing w:line="360" w:lineRule="auto"/>
        <w:ind w:left="0" w:firstLine="482"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b/>
          <w:bCs/>
          <w:color w:val="auto"/>
          <w:sz w:val="24"/>
          <w:szCs w:val="24"/>
          <w:highlight w:val="none"/>
        </w:rPr>
        <w:t>2.12</w:t>
      </w:r>
      <w:r>
        <w:rPr>
          <w:rFonts w:hint="eastAsia" w:asciiTheme="minorEastAsia" w:hAnsiTheme="minorEastAsia" w:eastAsiaTheme="minorEastAsia"/>
          <w:color w:val="auto"/>
          <w:sz w:val="24"/>
          <w:szCs w:val="24"/>
          <w:highlight w:val="none"/>
        </w:rPr>
        <w:t xml:space="preserve">本工程工程量原则上严格按照工程量清单执行，做到少变更或无变更，中标单位要及时收集整理现场工程资料。  </w:t>
      </w:r>
    </w:p>
    <w:p w14:paraId="7F354B9C">
      <w:pPr>
        <w:pStyle w:val="13"/>
        <w:keepNext w:val="0"/>
        <w:keepLines w:val="0"/>
        <w:pageBreakBefore w:val="0"/>
        <w:kinsoku/>
        <w:wordWrap/>
        <w:overflowPunct/>
        <w:topLinePunct w:val="0"/>
        <w:autoSpaceDE/>
        <w:autoSpaceDN/>
        <w:bidi w:val="0"/>
        <w:snapToGrid w:val="0"/>
        <w:spacing w:line="360" w:lineRule="auto"/>
        <w:ind w:left="0" w:firstLine="0" w:firstLineChars="0"/>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 xml:space="preserve">五、安全文明施工  </w:t>
      </w:r>
    </w:p>
    <w:p w14:paraId="25E42161">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1、在工程施工、竣工、交付及修补任何缺陷的过程中，承包人应当始终遵守国家和地方有关安全生产的法律、法规、规范、标准和规程等履行其安全施工职责。  </w:t>
      </w:r>
    </w:p>
    <w:p w14:paraId="0C71B53D">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2、承包人应坚持“安全第一，预防为主”的方针，建立、健全安全生产责任制度和安全生产教育培训制度。在整个工程施工期间，承包人应在施工现场设立、提供和维护以下标识标牌，并在有关工作完成或竣工交付后撤除，安全文明施工费用包含在投标报价中：  </w:t>
      </w:r>
    </w:p>
    <w:p w14:paraId="1A3D11B4">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2.1在施工路段的两头显著位置设置工程告示牌；</w:t>
      </w:r>
    </w:p>
    <w:p w14:paraId="1C3A82C7">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2.2为确保工程安全施工须设立的足够道路导行警示、指示标志标牌；</w:t>
      </w:r>
    </w:p>
    <w:p w14:paraId="50F7716F">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2.3承包人应为其进场施工人员配备必需的安全防护设施和设备，承包人还应为邻近地区的所有者和占有者、公众和其他人员，提供一切必要的临时道路、人行道、防护棚、围栏及警告等，以确保财产和人身安全和最大程度地降低施工可能造成的不便。另外，承包人必须采取有效防护措施，保护好施工沿线的各类建筑物及构筑物，一旦发生相应工程质量及安全事故，责任及费用由承包人承担。 </w:t>
      </w:r>
    </w:p>
    <w:p w14:paraId="10A69B3E">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3、发生施工安全事故后，承包人必须立即报告监理人和发包人，并在事故发生后2小时内向发包人提交事故情况书面报告，并根据《生产安全事故报告和调查处理条例》的规定，及时向苏州工业园区安全生产监督管理部门和建设行政主管部门报告。                                     </w:t>
      </w:r>
    </w:p>
    <w:p w14:paraId="250E8351">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4、施工时必须做好自身及他人道路交通安全管理工作，如果因承包人管理不当造成交通事故视同工程建设安全责任事故，除追究交通事故责任外，并相应追究承包人安全生产事故责任。  </w:t>
      </w:r>
    </w:p>
    <w:p w14:paraId="1DBB065B">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5、施工场地（现场）内的易燃、易爆物品应单独和安全地存放，设专人进行存放和领用管理。施工场地（现场）储有或正在使用易燃、易爆或可燃材料时或有明火施工的工序，应当实行严格的“用火证”管理制度。  </w:t>
      </w:r>
    </w:p>
    <w:p w14:paraId="425DE4E3">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6、承包人应当根据《施工现场临时用电安全技术规范》（JGJ46-2005）及其适用的修行版本的规定和施工要求编制施工临时用电方案，临时用电方案及其变更时，必须履行“编制、审核、批准”程序，验收合格后方可投入使用。承包人应为施工场地（现场），提供、设立和维护必要的临时电力供应系统，并保证电力供应系统始终处于满足供电管理部门要求和正常施工生产所要求的状态，并在工程实际竣工和相应永久系统投入使用后从现场拆除。  </w:t>
      </w:r>
    </w:p>
    <w:p w14:paraId="11CDA4D5">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8、承包人应按照国家《劳动保护法》的规定，为本合同下雇佣的职员和工人提供适当和充分的劳动保护，包括但不限于安全防护、防寒、防雨、防尘、绝缘保护、常用药品、急救设备、传染病预防等。  </w:t>
      </w:r>
    </w:p>
    <w:p w14:paraId="7A6E807E">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9、承包人应当规范现场施工秩序，实行标准化管理： </w:t>
      </w:r>
    </w:p>
    <w:p w14:paraId="2407D5E7">
      <w:pPr>
        <w:keepNext w:val="0"/>
        <w:keepLines w:val="0"/>
        <w:pageBreakBefore w:val="0"/>
        <w:kinsoku/>
        <w:wordWrap/>
        <w:overflowPunct/>
        <w:topLinePunct w:val="0"/>
        <w:autoSpaceDE/>
        <w:autoSpaceDN/>
        <w:bidi w:val="0"/>
        <w:snapToGrid w:val="0"/>
        <w:spacing w:line="360" w:lineRule="auto"/>
        <w:ind w:left="0"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9.1现场作业管理人员应统一着装，穿戴整洁；</w:t>
      </w:r>
    </w:p>
    <w:p w14:paraId="41948988">
      <w:pPr>
        <w:keepNext w:val="0"/>
        <w:keepLines w:val="0"/>
        <w:pageBreakBefore w:val="0"/>
        <w:kinsoku/>
        <w:wordWrap/>
        <w:overflowPunct/>
        <w:topLinePunct w:val="0"/>
        <w:autoSpaceDE/>
        <w:autoSpaceDN/>
        <w:bidi w:val="0"/>
        <w:snapToGrid w:val="0"/>
        <w:spacing w:line="360" w:lineRule="auto"/>
        <w:ind w:left="0"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9.2施工现场各类材料、设备堆停整齐有序，施工废料做到随产随清；来不及完成工作面，须采用专业绿化防尘网进行覆盖，避免扬尘污染，施工废料清运应符合园区城管等相关部门的规定，委托有相应资质的单位进行处理，严防抛洒、遗漏；如被上级主管部门查到，将从严从重处罚。</w:t>
      </w:r>
    </w:p>
    <w:p w14:paraId="03EFF314">
      <w:pPr>
        <w:pStyle w:val="4"/>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pacing w:val="-3"/>
          <w:sz w:val="24"/>
          <w:szCs w:val="24"/>
          <w:highlight w:val="none"/>
          <w:lang w:val="en-US" w:eastAsia="zh-CN"/>
        </w:rPr>
      </w:pPr>
      <w:r>
        <w:rPr>
          <w:rFonts w:hint="eastAsia" w:ascii="宋体" w:hAnsi="宋体" w:eastAsia="宋体" w:cs="宋体"/>
          <w:b/>
          <w:bCs/>
          <w:color w:val="auto"/>
          <w:spacing w:val="-3"/>
          <w:sz w:val="24"/>
          <w:szCs w:val="24"/>
          <w:highlight w:val="none"/>
          <w:lang w:val="en-US" w:eastAsia="zh-CN"/>
        </w:rPr>
        <w:t>六、市政设施保护</w:t>
      </w:r>
    </w:p>
    <w:p w14:paraId="7B5B8259">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498"/>
        <w:textAlignment w:val="baseline"/>
        <w:rPr>
          <w:color w:val="auto"/>
          <w:sz w:val="24"/>
          <w:szCs w:val="24"/>
          <w:highlight w:val="none"/>
        </w:rPr>
      </w:pPr>
      <w:r>
        <w:rPr>
          <w:rFonts w:hint="eastAsia"/>
          <w:color w:val="auto"/>
          <w:spacing w:val="-6"/>
          <w:sz w:val="24"/>
          <w:szCs w:val="24"/>
          <w:highlight w:val="none"/>
          <w:lang w:val="en-US" w:eastAsia="zh-CN"/>
        </w:rPr>
        <w:t>1.</w:t>
      </w:r>
      <w:r>
        <w:rPr>
          <w:color w:val="auto"/>
          <w:spacing w:val="-44"/>
          <w:sz w:val="24"/>
          <w:szCs w:val="24"/>
          <w:highlight w:val="none"/>
        </w:rPr>
        <w:t xml:space="preserve"> </w:t>
      </w:r>
      <w:r>
        <w:rPr>
          <w:color w:val="auto"/>
          <w:spacing w:val="-6"/>
          <w:sz w:val="24"/>
          <w:szCs w:val="24"/>
          <w:highlight w:val="none"/>
        </w:rPr>
        <w:t>工程前期</w:t>
      </w:r>
    </w:p>
    <w:p w14:paraId="1D7D8234">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120" w:firstLine="483"/>
        <w:textAlignment w:val="baseline"/>
        <w:rPr>
          <w:color w:val="auto"/>
          <w:sz w:val="24"/>
          <w:szCs w:val="24"/>
          <w:highlight w:val="none"/>
        </w:rPr>
      </w:pPr>
      <w:r>
        <w:rPr>
          <w:color w:val="auto"/>
          <w:spacing w:val="2"/>
          <w:sz w:val="24"/>
          <w:szCs w:val="24"/>
          <w:highlight w:val="none"/>
        </w:rPr>
        <w:t>工程开工前承包人必须做好现场勘查工作，对作业区域的地上、地下管线等进行认真</w:t>
      </w:r>
      <w:r>
        <w:rPr>
          <w:color w:val="auto"/>
          <w:spacing w:val="12"/>
          <w:sz w:val="24"/>
          <w:szCs w:val="24"/>
          <w:highlight w:val="none"/>
        </w:rPr>
        <w:t xml:space="preserve"> </w:t>
      </w:r>
      <w:r>
        <w:rPr>
          <w:color w:val="auto"/>
          <w:spacing w:val="1"/>
          <w:sz w:val="24"/>
          <w:szCs w:val="24"/>
          <w:highlight w:val="none"/>
        </w:rPr>
        <w:t>调查确认，必要时进行测绘委托，经相关管线权属单位（如强电、弱电、污水、自来水、</w:t>
      </w:r>
      <w:r>
        <w:rPr>
          <w:color w:val="auto"/>
          <w:spacing w:val="15"/>
          <w:sz w:val="24"/>
          <w:szCs w:val="24"/>
          <w:highlight w:val="none"/>
        </w:rPr>
        <w:t xml:space="preserve"> </w:t>
      </w:r>
      <w:r>
        <w:rPr>
          <w:color w:val="auto"/>
          <w:spacing w:val="2"/>
          <w:sz w:val="24"/>
          <w:szCs w:val="24"/>
          <w:highlight w:val="none"/>
        </w:rPr>
        <w:t>燃气、监控、交通设施等）书面确认。承包人应充分了解本项目因工程施工造成的市政设</w:t>
      </w:r>
      <w:r>
        <w:rPr>
          <w:color w:val="auto"/>
          <w:spacing w:val="11"/>
          <w:sz w:val="24"/>
          <w:szCs w:val="24"/>
          <w:highlight w:val="none"/>
        </w:rPr>
        <w:t xml:space="preserve"> </w:t>
      </w:r>
      <w:r>
        <w:rPr>
          <w:color w:val="auto"/>
          <w:spacing w:val="-1"/>
          <w:sz w:val="24"/>
          <w:szCs w:val="24"/>
          <w:highlight w:val="none"/>
        </w:rPr>
        <w:t>施损坏等问题，涉及的市政设施损坏修复，在投标报价</w:t>
      </w:r>
      <w:r>
        <w:rPr>
          <w:color w:val="auto"/>
          <w:spacing w:val="-2"/>
          <w:sz w:val="24"/>
          <w:szCs w:val="24"/>
          <w:highlight w:val="none"/>
        </w:rPr>
        <w:t>时综合考虑并包干。</w:t>
      </w:r>
    </w:p>
    <w:p w14:paraId="7325F004">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498"/>
        <w:textAlignment w:val="baseline"/>
        <w:rPr>
          <w:color w:val="auto"/>
          <w:sz w:val="24"/>
          <w:szCs w:val="24"/>
          <w:highlight w:val="none"/>
        </w:rPr>
      </w:pPr>
      <w:r>
        <w:rPr>
          <w:rFonts w:hint="eastAsia"/>
          <w:color w:val="auto"/>
          <w:spacing w:val="-4"/>
          <w:sz w:val="24"/>
          <w:szCs w:val="24"/>
          <w:highlight w:val="none"/>
          <w:lang w:val="en-US" w:eastAsia="zh-CN"/>
        </w:rPr>
        <w:t>2.</w:t>
      </w:r>
      <w:r>
        <w:rPr>
          <w:color w:val="auto"/>
          <w:spacing w:val="-48"/>
          <w:sz w:val="24"/>
          <w:szCs w:val="24"/>
          <w:highlight w:val="none"/>
        </w:rPr>
        <w:t xml:space="preserve"> </w:t>
      </w:r>
      <w:r>
        <w:rPr>
          <w:color w:val="auto"/>
          <w:spacing w:val="-4"/>
          <w:sz w:val="24"/>
          <w:szCs w:val="24"/>
          <w:highlight w:val="none"/>
        </w:rPr>
        <w:t>工程施工过程中</w:t>
      </w:r>
    </w:p>
    <w:p w14:paraId="2C7AA462">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120" w:firstLine="483"/>
        <w:textAlignment w:val="baseline"/>
        <w:rPr>
          <w:rFonts w:hint="eastAsia" w:asciiTheme="minorEastAsia" w:hAnsiTheme="minorEastAsia" w:eastAsiaTheme="minorEastAsia"/>
          <w:color w:val="auto"/>
          <w:sz w:val="24"/>
          <w:szCs w:val="24"/>
          <w:highlight w:val="none"/>
        </w:rPr>
      </w:pPr>
      <w:r>
        <w:rPr>
          <w:color w:val="auto"/>
          <w:spacing w:val="-1"/>
          <w:sz w:val="24"/>
          <w:szCs w:val="24"/>
          <w:highlight w:val="none"/>
        </w:rPr>
        <w:t xml:space="preserve">承包人应充分了解本项目工程施工对其它市政公用管线已存在的、或潜在的破坏因素， </w:t>
      </w:r>
      <w:r>
        <w:rPr>
          <w:rFonts w:hint="default"/>
          <w:color w:val="auto"/>
          <w:spacing w:val="-1"/>
          <w:sz w:val="24"/>
          <w:szCs w:val="24"/>
          <w:highlight w:val="none"/>
          <w:lang w:val="en-US" w:eastAsia="zh-CN"/>
        </w:rPr>
        <w:t>严格执行《苏州市地下管线管理办法》和园区市政基础设施工程建设管线保护工作要求，</w:t>
      </w:r>
      <w:r>
        <w:rPr>
          <w:color w:val="auto"/>
          <w:spacing w:val="-1"/>
          <w:sz w:val="24"/>
          <w:szCs w:val="24"/>
          <w:highlight w:val="none"/>
        </w:rPr>
        <w:t>并要求本项目工程管理和施工人员采取切实的保护措施，防止因本项目工程施工而破坏其它市政公用管线。如对其他设施(绿化、路灯等)造成损失由承包人负责如实赔偿，此部分 费用投标报价自行考虑，费用包干。</w:t>
      </w:r>
    </w:p>
    <w:p w14:paraId="0A532F5D">
      <w:pPr>
        <w:keepNext w:val="0"/>
        <w:keepLines w:val="0"/>
        <w:pageBreakBefore w:val="0"/>
        <w:wordWrap/>
        <w:overflowPunct/>
        <w:topLinePunct w:val="0"/>
        <w:bidi w:val="0"/>
        <w:spacing w:line="360" w:lineRule="auto"/>
        <w:outlineLvl w:val="0"/>
        <w:rPr>
          <w:rFonts w:ascii="黑体" w:hAnsi="黑体" w:eastAsia="黑体" w:cs="宋体"/>
          <w:color w:val="auto"/>
          <w:kern w:val="0"/>
          <w:sz w:val="28"/>
          <w:szCs w:val="28"/>
          <w:highlight w:val="none"/>
        </w:rPr>
      </w:pPr>
      <w:r>
        <w:rPr>
          <w:rFonts w:hint="eastAsia" w:asciiTheme="minorEastAsia" w:hAnsiTheme="minorEastAsia" w:eastAsiaTheme="minorEastAsia"/>
          <w:b/>
          <w:color w:val="auto"/>
          <w:sz w:val="24"/>
          <w:szCs w:val="24"/>
          <w:highlight w:val="none"/>
          <w:lang w:val="en-US" w:eastAsia="zh-CN"/>
        </w:rPr>
        <w:t>七</w:t>
      </w:r>
      <w:r>
        <w:rPr>
          <w:rFonts w:hint="eastAsia" w:asciiTheme="minorEastAsia" w:hAnsiTheme="minorEastAsia" w:eastAsiaTheme="minorEastAsia"/>
          <w:b/>
          <w:color w:val="auto"/>
          <w:sz w:val="24"/>
          <w:szCs w:val="24"/>
          <w:highlight w:val="none"/>
        </w:rPr>
        <w:t>、</w:t>
      </w:r>
      <w:r>
        <w:rPr>
          <w:rFonts w:hint="eastAsia" w:ascii="黑体" w:hAnsi="黑体" w:eastAsia="黑体" w:cs="宋体"/>
          <w:color w:val="auto"/>
          <w:kern w:val="0"/>
          <w:sz w:val="28"/>
          <w:szCs w:val="28"/>
          <w:highlight w:val="none"/>
        </w:rPr>
        <w:t>保险要求</w:t>
      </w:r>
    </w:p>
    <w:p w14:paraId="502D3ED4">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为保障项目平稳实施，采购单位对项目保险作出如下要求：</w:t>
      </w:r>
    </w:p>
    <w:p w14:paraId="4A233722">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1、投保</w:t>
      </w:r>
    </w:p>
    <w:p w14:paraId="448C010D">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中标单位应投保团体意外险+公众责任险或建筑/安装工程一切险+建筑工程意外伤害险。</w:t>
      </w:r>
    </w:p>
    <w:p w14:paraId="2F66BE7E">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2、保险金额/赔偿限额</w:t>
      </w:r>
    </w:p>
    <w:p w14:paraId="080F9688">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   （1）第三者人身伤害及财产损失，每次事故赔偿额度不得低于300万，不得设立每人赔偿限额。</w:t>
      </w:r>
    </w:p>
    <w:p w14:paraId="73C82892">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（2）项目人员，每人赔偿限额不得低于150万。</w:t>
      </w:r>
    </w:p>
    <w:p w14:paraId="3B0A3809">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   （3）工程财产损失保险金额不得低于工程造价金额。</w:t>
      </w:r>
    </w:p>
    <w:p w14:paraId="3A93B9EC">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3、其他</w:t>
      </w:r>
    </w:p>
    <w:p w14:paraId="52254FCF">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中标单位应当在成交通知书发出后，合同开始履行前完成项目保险的投保，中标单位应选择具有良好信誉和资质的保险公司进行投保，保险期应覆盖整个项目周期，按年度购买的，后续服务期，中标单位应当提前一个月完成下一年度的投保。</w:t>
      </w:r>
    </w:p>
    <w:p w14:paraId="11D76234">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（2）中标单位投保建筑/安装工程一切险、公众责任险时应同时将采购单位及相关方作为共同被保险人。</w:t>
      </w:r>
    </w:p>
    <w:p w14:paraId="1DA40918">
      <w:pPr>
        <w:pStyle w:val="13"/>
        <w:keepNext w:val="0"/>
        <w:keepLines w:val="0"/>
        <w:pageBreakBefore w:val="0"/>
        <w:kinsoku/>
        <w:wordWrap/>
        <w:overflowPunct/>
        <w:topLinePunct w:val="0"/>
        <w:autoSpaceDE/>
        <w:autoSpaceDN/>
        <w:bidi w:val="0"/>
        <w:snapToGrid w:val="0"/>
        <w:spacing w:line="360" w:lineRule="auto"/>
        <w:ind w:left="0" w:firstLine="480"/>
        <w:jc w:val="left"/>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（3）中标单位应及时向采购单位提交所购买保险的凭证、保险单复印件，保险单内容必须与采购单位要求保持一致。</w:t>
      </w:r>
    </w:p>
    <w:p w14:paraId="0FDA2A21">
      <w:pPr>
        <w:pStyle w:val="13"/>
        <w:keepNext w:val="0"/>
        <w:keepLines w:val="0"/>
        <w:pageBreakBefore w:val="0"/>
        <w:kinsoku/>
        <w:wordWrap/>
        <w:overflowPunct/>
        <w:topLinePunct w:val="0"/>
        <w:autoSpaceDE/>
        <w:autoSpaceDN/>
        <w:bidi w:val="0"/>
        <w:snapToGrid w:val="0"/>
        <w:spacing w:line="360" w:lineRule="auto"/>
        <w:ind w:left="0" w:firstLine="0" w:firstLineChars="0"/>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八</w:t>
      </w:r>
      <w:r>
        <w:rPr>
          <w:rFonts w:hint="eastAsia" w:asciiTheme="minorEastAsia" w:hAnsiTheme="minorEastAsia" w:eastAsiaTheme="minorEastAsia"/>
          <w:b/>
          <w:color w:val="auto"/>
          <w:sz w:val="24"/>
          <w:szCs w:val="24"/>
          <w:highlight w:val="none"/>
        </w:rPr>
        <w:t>、其他要求</w:t>
      </w:r>
    </w:p>
    <w:p w14:paraId="2BB7C476">
      <w:pPr>
        <w:pStyle w:val="13"/>
        <w:keepNext w:val="0"/>
        <w:keepLines w:val="0"/>
        <w:pageBreakBefore w:val="0"/>
        <w:kinsoku/>
        <w:wordWrap/>
        <w:overflowPunct/>
        <w:topLinePunct w:val="0"/>
        <w:autoSpaceDE/>
        <w:autoSpaceDN/>
        <w:bidi w:val="0"/>
        <w:snapToGrid w:val="0"/>
        <w:spacing w:line="360" w:lineRule="auto"/>
        <w:ind w:left="0" w:firstLine="480"/>
        <w:jc w:val="lef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hint="eastAsia" w:asciiTheme="minorEastAsia" w:hAnsiTheme="minorEastAsia" w:eastAsiaTheme="minorEastAsia"/>
          <w:bCs/>
          <w:color w:val="auto"/>
          <w:sz w:val="24"/>
          <w:szCs w:val="24"/>
          <w:highlight w:val="none"/>
        </w:rPr>
        <w:t>承包人应在园区设项目部，项目组人员在园区有固定办公场地，</w:t>
      </w:r>
      <w:r>
        <w:rPr>
          <w:rFonts w:hint="eastAsia" w:asciiTheme="minorEastAsia" w:hAnsiTheme="minorEastAsia" w:eastAsiaTheme="minorEastAsia"/>
          <w:bCs/>
          <w:color w:val="auto"/>
          <w:sz w:val="24"/>
          <w:szCs w:val="24"/>
          <w:highlight w:val="none"/>
        </w:rPr>
        <w:t>材料需有固定堆放场地，相关人员和设备应由项目部统一管理。项目组成员应配合发包方办理相关上岗手续方可进场施工。</w:t>
      </w:r>
    </w:p>
    <w:p w14:paraId="3872077C">
      <w:pPr>
        <w:pStyle w:val="13"/>
        <w:keepNext w:val="0"/>
        <w:keepLines w:val="0"/>
        <w:pageBreakBefore w:val="0"/>
        <w:kinsoku/>
        <w:wordWrap/>
        <w:overflowPunct/>
        <w:topLinePunct w:val="0"/>
        <w:autoSpaceDE/>
        <w:autoSpaceDN/>
        <w:bidi w:val="0"/>
        <w:snapToGrid w:val="0"/>
        <w:spacing w:line="360" w:lineRule="auto"/>
        <w:ind w:left="0" w:firstLine="480"/>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Cs/>
          <w:color w:val="auto"/>
          <w:sz w:val="24"/>
          <w:szCs w:val="24"/>
          <w:highlight w:val="none"/>
        </w:rPr>
        <w:t>2、实事求是、透明公正地评价工程质量，由发包人根据合同约定及考核违约处罚条款对承包单位开展日常考核，并根据附表1及附表2相关要求进行相应处罚，考核结果定期汇总。</w:t>
      </w:r>
    </w:p>
    <w:p w14:paraId="7D5C5E2B">
      <w:pPr>
        <w:pStyle w:val="13"/>
        <w:keepNext w:val="0"/>
        <w:keepLines w:val="0"/>
        <w:pageBreakBefore w:val="0"/>
        <w:kinsoku/>
        <w:wordWrap/>
        <w:overflowPunct/>
        <w:topLinePunct w:val="0"/>
        <w:autoSpaceDE/>
        <w:autoSpaceDN/>
        <w:bidi w:val="0"/>
        <w:snapToGrid w:val="0"/>
        <w:spacing w:line="360" w:lineRule="auto"/>
        <w:ind w:left="0" w:firstLine="0" w:firstLineChars="0"/>
        <w:jc w:val="left"/>
        <w:rPr>
          <w:rFonts w:hint="eastAsia" w:asciiTheme="minorEastAsia" w:hAnsiTheme="minorEastAsia" w:eastAsiaTheme="minorEastAsia"/>
          <w:b/>
          <w:color w:val="auto"/>
          <w:sz w:val="24"/>
          <w:szCs w:val="24"/>
          <w:highlight w:val="none"/>
          <w:lang w:val="en-US" w:eastAsia="zh-CN"/>
        </w:rPr>
      </w:pPr>
      <w:r>
        <w:rPr>
          <w:rFonts w:hint="eastAsia" w:asciiTheme="minorEastAsia" w:hAnsiTheme="minorEastAsia" w:eastAsiaTheme="minorEastAsia"/>
          <w:b/>
          <w:color w:val="auto"/>
          <w:sz w:val="24"/>
          <w:szCs w:val="24"/>
          <w:highlight w:val="none"/>
          <w:lang w:val="en-US" w:eastAsia="zh-CN"/>
        </w:rPr>
        <w:t>九、承包人违约处罚</w:t>
      </w:r>
    </w:p>
    <w:p w14:paraId="534AA03F">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68" w:firstLine="482"/>
        <w:textAlignment w:val="baseline"/>
        <w:rPr>
          <w:rFonts w:hint="eastAsia"/>
          <w:color w:val="auto"/>
          <w:spacing w:val="-1"/>
          <w:sz w:val="24"/>
          <w:szCs w:val="24"/>
          <w:highlight w:val="none"/>
          <w:lang w:val="en-US" w:eastAsia="zh-CN"/>
        </w:rPr>
        <w:sectPr>
          <w:footerReference r:id="rId3" w:type="default"/>
          <w:pgSz w:w="11907" w:h="16839"/>
          <w:pgMar w:top="1431" w:right="1133" w:bottom="1395" w:left="1312" w:header="0" w:footer="1168" w:gutter="0"/>
          <w:pgNumType w:fmt="decimal"/>
          <w:cols w:space="720" w:num="1"/>
        </w:sectPr>
      </w:pPr>
      <w:r>
        <w:rPr>
          <w:rFonts w:hint="eastAsia"/>
          <w:color w:val="auto"/>
          <w:spacing w:val="-1"/>
          <w:sz w:val="24"/>
          <w:szCs w:val="24"/>
          <w:highlight w:val="none"/>
          <w:lang w:val="en-US" w:eastAsia="zh-CN"/>
        </w:rPr>
        <w:t>发包人（或监理）在现场如发现承包人有附表1所列违规现象时，将进行相应的处罚并扣款。</w:t>
      </w:r>
    </w:p>
    <w:tbl>
      <w:tblPr>
        <w:tblStyle w:val="10"/>
        <w:tblW w:w="5000" w:type="pct"/>
        <w:tblInd w:w="0" w:type="dxa"/>
        <w:tblLayout w:type="autofit"/>
        <w:tblCellMar>
          <w:top w:w="0" w:type="dxa"/>
          <w:left w:w="108" w:type="dxa"/>
          <w:bottom w:w="0" w:type="dxa"/>
          <w:right w:w="108" w:type="dxa"/>
        </w:tblCellMar>
      </w:tblPr>
      <w:tblGrid>
        <w:gridCol w:w="561"/>
        <w:gridCol w:w="1368"/>
        <w:gridCol w:w="5901"/>
        <w:gridCol w:w="3794"/>
        <w:gridCol w:w="1696"/>
        <w:gridCol w:w="1353"/>
      </w:tblGrid>
      <w:tr w14:paraId="1B2F6431">
        <w:tblPrEx>
          <w:tblCellMar>
            <w:top w:w="0" w:type="dxa"/>
            <w:left w:w="108" w:type="dxa"/>
            <w:bottom w:w="0" w:type="dxa"/>
            <w:right w:w="108" w:type="dxa"/>
          </w:tblCellMar>
        </w:tblPrEx>
        <w:trPr>
          <w:trHeight w:val="780" w:hRule="atLeast"/>
        </w:trPr>
        <w:tc>
          <w:tcPr>
            <w:tcW w:w="5000" w:type="pct"/>
            <w:gridSpan w:val="6"/>
            <w:tcBorders>
              <w:top w:val="nil"/>
              <w:left w:val="nil"/>
              <w:bottom w:val="single" w:color="auto" w:sz="4" w:space="0"/>
              <w:right w:val="nil"/>
            </w:tcBorders>
            <w:shd w:val="clear" w:color="auto" w:fill="auto"/>
            <w:noWrap/>
            <w:vAlign w:val="center"/>
          </w:tcPr>
          <w:p w14:paraId="2079D5F3">
            <w:pPr>
              <w:pStyle w:val="20"/>
              <w:keepNext w:val="0"/>
              <w:keepLines w:val="0"/>
              <w:pageBreakBefore/>
              <w:widowControl w:val="0"/>
              <w:kinsoku/>
              <w:wordWrap/>
              <w:overflowPunct/>
              <w:topLinePunct w:val="0"/>
              <w:autoSpaceDE/>
              <w:autoSpaceDN/>
              <w:bidi w:val="0"/>
              <w:adjustRightInd w:val="0"/>
              <w:snapToGrid/>
              <w:spacing w:before="0" w:after="0"/>
              <w:textAlignment w:val="auto"/>
              <w:rPr>
                <w:rFonts w:asciiTheme="minorEastAsia" w:hAnsiTheme="minorEastAsia" w:eastAsiaTheme="minorEastAsia" w:cstheme="minorEastAsia"/>
                <w:color w:val="auto"/>
                <w:kern w:val="2"/>
                <w:sz w:val="30"/>
                <w:szCs w:val="24"/>
                <w:highlight w:val="none"/>
              </w:rPr>
            </w:pPr>
            <w:bookmarkStart w:id="0" w:name="_Toc22875"/>
            <w:r>
              <w:rPr>
                <w:rFonts w:hint="eastAsia" w:asciiTheme="minorEastAsia" w:hAnsiTheme="minorEastAsia" w:eastAsiaTheme="minorEastAsia" w:cstheme="minorEastAsia"/>
                <w:color w:val="auto"/>
                <w:kern w:val="2"/>
                <w:sz w:val="30"/>
                <w:szCs w:val="24"/>
                <w:highlight w:val="none"/>
              </w:rPr>
              <w:t>附表</w:t>
            </w:r>
            <w:r>
              <w:rPr>
                <w:rFonts w:hint="eastAsia" w:asciiTheme="minorEastAsia" w:hAnsiTheme="minorEastAsia" w:eastAsiaTheme="minorEastAsia" w:cstheme="minorEastAsia"/>
                <w:color w:val="auto"/>
                <w:kern w:val="2"/>
                <w:sz w:val="30"/>
                <w:szCs w:val="24"/>
                <w:highlight w:val="none"/>
                <w:lang w:val="en-US" w:eastAsia="zh-CN"/>
              </w:rPr>
              <w:t xml:space="preserve">1 </w:t>
            </w:r>
            <w:r>
              <w:rPr>
                <w:rFonts w:hint="eastAsia" w:asciiTheme="minorEastAsia" w:hAnsiTheme="minorEastAsia" w:eastAsiaTheme="minorEastAsia" w:cstheme="minorEastAsia"/>
                <w:color w:val="auto"/>
                <w:kern w:val="2"/>
                <w:sz w:val="30"/>
                <w:szCs w:val="24"/>
                <w:highlight w:val="none"/>
              </w:rPr>
              <w:t xml:space="preserve">                           代建项目月度</w:t>
            </w:r>
            <w:r>
              <w:rPr>
                <w:rFonts w:asciiTheme="minorEastAsia" w:hAnsiTheme="minorEastAsia" w:eastAsiaTheme="minorEastAsia" w:cstheme="minorEastAsia"/>
                <w:color w:val="auto"/>
                <w:kern w:val="2"/>
                <w:sz w:val="30"/>
                <w:szCs w:val="24"/>
                <w:highlight w:val="none"/>
              </w:rPr>
              <w:t>考核</w:t>
            </w:r>
            <w:r>
              <w:rPr>
                <w:rFonts w:hint="eastAsia" w:asciiTheme="minorEastAsia" w:hAnsiTheme="minorEastAsia" w:eastAsiaTheme="minorEastAsia" w:cstheme="minorEastAsia"/>
                <w:color w:val="auto"/>
                <w:kern w:val="2"/>
                <w:sz w:val="30"/>
                <w:szCs w:val="24"/>
                <w:highlight w:val="none"/>
              </w:rPr>
              <w:t>表</w:t>
            </w:r>
            <w:bookmarkEnd w:id="0"/>
          </w:p>
          <w:p w14:paraId="7CAD3B15">
            <w:pPr>
              <w:spacing w:line="400" w:lineRule="exact"/>
              <w:jc w:val="left"/>
              <w:rPr>
                <w:rFonts w:ascii="Times New Roman" w:hAnsi="Times New Roman" w:eastAsia="仿宋_GB2312"/>
                <w:color w:val="auto"/>
                <w:highlight w:val="none"/>
              </w:rPr>
            </w:pPr>
            <w:r>
              <w:rPr>
                <w:rFonts w:ascii="Times New Roman" w:hAnsi="Times New Roman" w:eastAsia="仿宋_GB2312"/>
                <w:color w:val="auto"/>
                <w:highlight w:val="none"/>
              </w:rPr>
              <w:t>合同编号：                                          项目名称：</w:t>
            </w:r>
          </w:p>
          <w:p w14:paraId="3347A675">
            <w:pPr>
              <w:spacing w:line="400" w:lineRule="exact"/>
              <w:jc w:val="left"/>
              <w:rPr>
                <w:rFonts w:ascii="Times New Roman" w:hAnsi="Times New Roman" w:eastAsia="仿宋"/>
                <w:color w:val="auto"/>
                <w:highlight w:val="none"/>
              </w:rPr>
            </w:pPr>
            <w:r>
              <w:rPr>
                <w:rFonts w:ascii="Times New Roman" w:hAnsi="Times New Roman" w:eastAsia="仿宋_GB2312"/>
                <w:color w:val="auto"/>
                <w:highlight w:val="none"/>
              </w:rPr>
              <w:t>被考核企业：                                        考核日期：</w:t>
            </w:r>
          </w:p>
        </w:tc>
      </w:tr>
      <w:tr w14:paraId="602FACAB">
        <w:tblPrEx>
          <w:tblCellMar>
            <w:top w:w="0" w:type="dxa"/>
            <w:left w:w="108" w:type="dxa"/>
            <w:bottom w:w="0" w:type="dxa"/>
            <w:right w:w="108" w:type="dxa"/>
          </w:tblCellMar>
        </w:tblPrEx>
        <w:trPr>
          <w:trHeight w:val="540" w:hRule="atLeast"/>
        </w:trPr>
        <w:tc>
          <w:tcPr>
            <w:tcW w:w="191" w:type="pct"/>
            <w:tcBorders>
              <w:top w:val="single" w:color="auto" w:sz="4" w:space="0"/>
              <w:left w:val="single" w:color="auto" w:sz="4" w:space="0"/>
              <w:bottom w:val="single" w:color="auto" w:sz="4" w:space="0"/>
              <w:right w:val="single" w:color="auto" w:sz="4" w:space="0"/>
            </w:tcBorders>
            <w:shd w:val="clear" w:color="auto" w:fill="auto"/>
            <w:vAlign w:val="center"/>
          </w:tcPr>
          <w:p w14:paraId="471DA1CB">
            <w:pPr>
              <w:widowControl/>
              <w:jc w:val="center"/>
              <w:textAlignment w:val="center"/>
              <w:rPr>
                <w:rFonts w:ascii="Times New Roman" w:hAnsi="Times New Roman" w:eastAsia="仿宋_GB2312"/>
                <w:b/>
                <w:bCs/>
                <w:color w:val="auto"/>
                <w:szCs w:val="21"/>
                <w:highlight w:val="none"/>
              </w:rPr>
            </w:pPr>
            <w:r>
              <w:rPr>
                <w:rFonts w:ascii="Times New Roman" w:hAnsi="Times New Roman" w:eastAsia="仿宋_GB2312"/>
                <w:b/>
                <w:bCs/>
                <w:color w:val="auto"/>
                <w:kern w:val="0"/>
                <w:szCs w:val="21"/>
                <w:highlight w:val="none"/>
              </w:rPr>
              <w:t>序号</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636417C">
            <w:pPr>
              <w:widowControl/>
              <w:jc w:val="center"/>
              <w:textAlignment w:val="center"/>
              <w:rPr>
                <w:rFonts w:ascii="Times New Roman" w:hAnsi="Times New Roman" w:eastAsia="仿宋_GB2312"/>
                <w:b/>
                <w:bCs/>
                <w:color w:val="auto"/>
                <w:szCs w:val="21"/>
                <w:highlight w:val="none"/>
              </w:rPr>
            </w:pPr>
            <w:r>
              <w:rPr>
                <w:rFonts w:ascii="Times New Roman" w:hAnsi="Times New Roman" w:eastAsia="仿宋_GB2312"/>
                <w:b/>
                <w:bCs/>
                <w:color w:val="auto"/>
                <w:kern w:val="0"/>
                <w:szCs w:val="21"/>
                <w:highlight w:val="none"/>
              </w:rPr>
              <w:t>考核项目</w:t>
            </w: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64760020">
            <w:pPr>
              <w:widowControl/>
              <w:jc w:val="center"/>
              <w:textAlignment w:val="center"/>
              <w:rPr>
                <w:rFonts w:ascii="Times New Roman" w:hAnsi="Times New Roman" w:eastAsia="仿宋_GB2312"/>
                <w:b/>
                <w:bCs/>
                <w:color w:val="auto"/>
                <w:szCs w:val="21"/>
                <w:highlight w:val="none"/>
              </w:rPr>
            </w:pPr>
            <w:r>
              <w:rPr>
                <w:rFonts w:ascii="Times New Roman" w:hAnsi="Times New Roman" w:eastAsia="仿宋_GB2312"/>
                <w:b/>
                <w:bCs/>
                <w:color w:val="auto"/>
                <w:kern w:val="0"/>
                <w:szCs w:val="21"/>
                <w:highlight w:val="none"/>
              </w:rPr>
              <w:t>考核内容</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0204B4DF">
            <w:pPr>
              <w:widowControl/>
              <w:jc w:val="center"/>
              <w:textAlignment w:val="center"/>
              <w:rPr>
                <w:rFonts w:ascii="Times New Roman" w:hAnsi="Times New Roman" w:eastAsia="仿宋_GB2312"/>
                <w:b/>
                <w:bCs/>
                <w:color w:val="auto"/>
                <w:kern w:val="0"/>
                <w:szCs w:val="21"/>
                <w:highlight w:val="none"/>
              </w:rPr>
            </w:pPr>
            <w:r>
              <w:rPr>
                <w:rFonts w:ascii="Times New Roman" w:hAnsi="Times New Roman" w:eastAsia="仿宋_GB2312"/>
                <w:b/>
                <w:bCs/>
                <w:color w:val="auto"/>
                <w:kern w:val="0"/>
                <w:szCs w:val="21"/>
                <w:highlight w:val="none"/>
              </w:rPr>
              <w:t>扣款标准</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3FACD82">
            <w:pPr>
              <w:widowControl/>
              <w:jc w:val="center"/>
              <w:textAlignment w:val="center"/>
              <w:rPr>
                <w:rFonts w:ascii="Times New Roman" w:hAnsi="Times New Roman" w:eastAsia="仿宋_GB2312"/>
                <w:b/>
                <w:bCs/>
                <w:color w:val="auto"/>
                <w:szCs w:val="21"/>
                <w:highlight w:val="none"/>
              </w:rPr>
            </w:pPr>
            <w:r>
              <w:rPr>
                <w:rFonts w:ascii="Times New Roman" w:hAnsi="Times New Roman" w:eastAsia="仿宋_GB2312"/>
                <w:b/>
                <w:bCs/>
                <w:color w:val="auto"/>
                <w:kern w:val="0"/>
                <w:szCs w:val="21"/>
                <w:highlight w:val="none"/>
              </w:rPr>
              <w:t>扣款情况</w:t>
            </w:r>
          </w:p>
        </w:tc>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2CD42306">
            <w:pPr>
              <w:widowControl/>
              <w:jc w:val="center"/>
              <w:textAlignment w:val="center"/>
              <w:rPr>
                <w:rFonts w:hint="eastAsia" w:ascii="Times New Roman" w:hAnsi="Times New Roman" w:eastAsia="仿宋_GB2312"/>
                <w:b/>
                <w:bCs/>
                <w:color w:val="auto"/>
                <w:szCs w:val="21"/>
                <w:highlight w:val="none"/>
                <w:lang w:eastAsia="zh-CN"/>
              </w:rPr>
            </w:pPr>
            <w:r>
              <w:rPr>
                <w:rFonts w:hint="eastAsia" w:ascii="Times New Roman" w:hAnsi="Times New Roman" w:eastAsia="仿宋_GB2312"/>
                <w:b/>
                <w:bCs/>
                <w:color w:val="auto"/>
                <w:kern w:val="0"/>
                <w:szCs w:val="21"/>
                <w:highlight w:val="none"/>
                <w:lang w:val="en-US" w:eastAsia="zh-CN"/>
              </w:rPr>
              <w:t>备注</w:t>
            </w:r>
          </w:p>
        </w:tc>
      </w:tr>
      <w:tr w14:paraId="5E0647B0">
        <w:tblPrEx>
          <w:tblCellMar>
            <w:top w:w="0" w:type="dxa"/>
            <w:left w:w="108" w:type="dxa"/>
            <w:bottom w:w="0" w:type="dxa"/>
            <w:right w:w="108" w:type="dxa"/>
          </w:tblCellMar>
        </w:tblPrEx>
        <w:trPr>
          <w:trHeight w:val="90" w:hRule="atLeast"/>
        </w:trPr>
        <w:tc>
          <w:tcPr>
            <w:tcW w:w="19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6B1BCC">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w:t>
            </w:r>
          </w:p>
        </w:tc>
        <w:tc>
          <w:tcPr>
            <w:tcW w:w="4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5CCB41">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人员管理</w:t>
            </w:r>
          </w:p>
          <w:p w14:paraId="5EFF5E16">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（10分）</w:t>
            </w: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3D508C63">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（1）项目组相关人员未经批准擅自离岗位。</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CE642AB">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2000元/人次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4DCDDC15">
            <w:pPr>
              <w:widowControl/>
              <w:jc w:val="center"/>
              <w:textAlignment w:val="center"/>
              <w:rPr>
                <w:rFonts w:ascii="Times New Roman" w:hAnsi="Times New Roman" w:eastAsia="仿宋_GB2312"/>
                <w:color w:val="auto"/>
                <w:szCs w:val="21"/>
                <w:highlight w:val="none"/>
              </w:rPr>
            </w:pPr>
          </w:p>
        </w:tc>
        <w:tc>
          <w:tcPr>
            <w:tcW w:w="457" w:type="pct"/>
            <w:vMerge w:val="restart"/>
            <w:tcBorders>
              <w:top w:val="single" w:color="auto" w:sz="4" w:space="0"/>
              <w:left w:val="single" w:color="auto" w:sz="4" w:space="0"/>
              <w:right w:val="single" w:color="auto" w:sz="4" w:space="0"/>
            </w:tcBorders>
            <w:shd w:val="clear" w:color="auto" w:fill="auto"/>
            <w:vAlign w:val="center"/>
          </w:tcPr>
          <w:p w14:paraId="0180BED0">
            <w:pPr>
              <w:jc w:val="center"/>
              <w:rPr>
                <w:rFonts w:ascii="Times New Roman" w:hAnsi="Times New Roman" w:eastAsia="仿宋_GB2312"/>
                <w:color w:val="auto"/>
                <w:szCs w:val="21"/>
                <w:highlight w:val="none"/>
              </w:rPr>
            </w:pPr>
          </w:p>
        </w:tc>
      </w:tr>
      <w:tr w14:paraId="5EBBFACA">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697F4B">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E0418E">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283FD554">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（2）项目组相关人员出勤未满足招标文件要求。</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359A733">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1000元/人次天</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0C2E310F">
            <w:pPr>
              <w:widowControl/>
              <w:jc w:val="center"/>
              <w:textAlignment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54F1BE63">
            <w:pPr>
              <w:jc w:val="center"/>
              <w:rPr>
                <w:rFonts w:ascii="Times New Roman" w:hAnsi="Times New Roman" w:eastAsia="仿宋_GB2312"/>
                <w:color w:val="auto"/>
                <w:szCs w:val="21"/>
                <w:highlight w:val="none"/>
              </w:rPr>
            </w:pPr>
          </w:p>
        </w:tc>
      </w:tr>
      <w:tr w14:paraId="40ECDB21">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DD15D5">
            <w:pPr>
              <w:widowControl/>
              <w:jc w:val="center"/>
              <w:textAlignment w:val="center"/>
              <w:rPr>
                <w:rFonts w:ascii="Times New Roman" w:hAnsi="Times New Roman" w:eastAsia="仿宋_GB2312"/>
                <w:color w:val="auto"/>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0F64CD">
            <w:pPr>
              <w:widowControl/>
              <w:jc w:val="center"/>
              <w:textAlignment w:val="center"/>
              <w:rPr>
                <w:rFonts w:ascii="Times New Roman" w:hAnsi="Times New Roman" w:eastAsia="仿宋_GB2312"/>
                <w:color w:val="auto"/>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384D18D8">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3</w:t>
            </w:r>
            <w:r>
              <w:rPr>
                <w:rFonts w:ascii="Times New Roman" w:hAnsi="Times New Roman" w:eastAsia="仿宋_GB2312"/>
                <w:color w:val="auto"/>
                <w:kern w:val="0"/>
                <w:szCs w:val="21"/>
                <w:highlight w:val="none"/>
              </w:rPr>
              <w:t>）承包人更换项目组成员。</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3D8ABAE">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按照招标文件要求扣款</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B7DEA3B">
            <w:pPr>
              <w:widowControl/>
              <w:jc w:val="center"/>
              <w:textAlignment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643926F3">
            <w:pPr>
              <w:jc w:val="center"/>
              <w:rPr>
                <w:rFonts w:ascii="Times New Roman" w:hAnsi="Times New Roman" w:eastAsia="仿宋_GB2312"/>
                <w:color w:val="auto"/>
                <w:szCs w:val="21"/>
                <w:highlight w:val="none"/>
              </w:rPr>
            </w:pPr>
          </w:p>
        </w:tc>
      </w:tr>
      <w:tr w14:paraId="72758421">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CB4912">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7699DC">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70B53A3B">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4</w:t>
            </w:r>
            <w:r>
              <w:rPr>
                <w:rFonts w:ascii="Times New Roman" w:hAnsi="Times New Roman" w:eastAsia="仿宋_GB2312"/>
                <w:color w:val="auto"/>
                <w:kern w:val="0"/>
                <w:szCs w:val="21"/>
                <w:highlight w:val="none"/>
              </w:rPr>
              <w:t>）</w:t>
            </w:r>
            <w:r>
              <w:rPr>
                <w:rFonts w:ascii="Times New Roman" w:hAnsi="Times New Roman" w:eastAsia="仿宋_GB2312"/>
                <w:color w:val="auto"/>
                <w:szCs w:val="21"/>
                <w:highlight w:val="none"/>
              </w:rPr>
              <w:t>非法用工或拖欠农民工（或作业人员）工资。</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D947997">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视情节轻重20000、30000、50000元/次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26D37E4C">
            <w:pPr>
              <w:widowControl/>
              <w:jc w:val="center"/>
              <w:textAlignment w:val="center"/>
              <w:rPr>
                <w:rFonts w:ascii="Times New Roman" w:hAnsi="Times New Roman" w:eastAsia="仿宋_GB2312"/>
                <w:color w:val="auto"/>
                <w:szCs w:val="21"/>
                <w:highlight w:val="none"/>
              </w:rPr>
            </w:pPr>
          </w:p>
        </w:tc>
        <w:tc>
          <w:tcPr>
            <w:tcW w:w="457" w:type="pct"/>
            <w:vMerge w:val="continue"/>
            <w:tcBorders>
              <w:left w:val="single" w:color="auto" w:sz="4" w:space="0"/>
              <w:bottom w:val="single" w:color="auto" w:sz="4" w:space="0"/>
              <w:right w:val="single" w:color="auto" w:sz="4" w:space="0"/>
            </w:tcBorders>
            <w:shd w:val="clear" w:color="auto" w:fill="auto"/>
            <w:vAlign w:val="center"/>
          </w:tcPr>
          <w:p w14:paraId="171E89DA">
            <w:pPr>
              <w:jc w:val="center"/>
              <w:rPr>
                <w:rFonts w:ascii="Times New Roman" w:hAnsi="Times New Roman" w:eastAsia="仿宋_GB2312"/>
                <w:color w:val="auto"/>
                <w:szCs w:val="21"/>
                <w:highlight w:val="none"/>
              </w:rPr>
            </w:pPr>
          </w:p>
        </w:tc>
      </w:tr>
      <w:tr w14:paraId="3AC7BB80">
        <w:tblPrEx>
          <w:tblCellMar>
            <w:top w:w="0" w:type="dxa"/>
            <w:left w:w="108" w:type="dxa"/>
            <w:bottom w:w="0" w:type="dxa"/>
            <w:right w:w="108" w:type="dxa"/>
          </w:tblCellMar>
        </w:tblPrEx>
        <w:trPr>
          <w:trHeight w:val="312" w:hRule="atLeast"/>
        </w:trPr>
        <w:tc>
          <w:tcPr>
            <w:tcW w:w="191" w:type="pct"/>
            <w:vMerge w:val="restart"/>
            <w:tcBorders>
              <w:top w:val="single" w:color="auto" w:sz="4" w:space="0"/>
              <w:left w:val="single" w:color="auto" w:sz="4" w:space="0"/>
              <w:right w:val="single" w:color="auto" w:sz="4" w:space="0"/>
            </w:tcBorders>
            <w:shd w:val="clear" w:color="auto" w:fill="auto"/>
            <w:vAlign w:val="center"/>
          </w:tcPr>
          <w:p w14:paraId="4A136C7A">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2</w:t>
            </w:r>
          </w:p>
        </w:tc>
        <w:tc>
          <w:tcPr>
            <w:tcW w:w="466" w:type="pct"/>
            <w:vMerge w:val="restart"/>
            <w:tcBorders>
              <w:top w:val="single" w:color="auto" w:sz="4" w:space="0"/>
              <w:left w:val="single" w:color="auto" w:sz="4" w:space="0"/>
              <w:right w:val="single" w:color="auto" w:sz="4" w:space="0"/>
            </w:tcBorders>
            <w:shd w:val="clear" w:color="auto" w:fill="auto"/>
            <w:vAlign w:val="center"/>
          </w:tcPr>
          <w:p w14:paraId="71BF938B">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投诉管理</w:t>
            </w:r>
          </w:p>
          <w:p w14:paraId="307D308C">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（10分）</w:t>
            </w: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4A7615B6">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1</w:t>
            </w:r>
            <w:r>
              <w:rPr>
                <w:rFonts w:ascii="Times New Roman" w:hAnsi="Times New Roman" w:eastAsia="仿宋_GB2312"/>
                <w:color w:val="auto"/>
                <w:kern w:val="0"/>
                <w:szCs w:val="21"/>
                <w:highlight w:val="none"/>
              </w:rPr>
              <w:t>）对数字城管案件或各类投诉案卷不及时回复或弄虚作假。</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BF92F3D">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视情节轻重2000、5000、10000元/次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D1B944F">
            <w:pPr>
              <w:jc w:val="center"/>
              <w:rPr>
                <w:rFonts w:ascii="Times New Roman" w:hAnsi="Times New Roman" w:eastAsia="仿宋_GB2312"/>
                <w:color w:val="auto"/>
                <w:szCs w:val="21"/>
                <w:highlight w:val="none"/>
              </w:rPr>
            </w:pPr>
          </w:p>
        </w:tc>
        <w:tc>
          <w:tcPr>
            <w:tcW w:w="457" w:type="pct"/>
            <w:vMerge w:val="restart"/>
            <w:tcBorders>
              <w:top w:val="single" w:color="auto" w:sz="4" w:space="0"/>
              <w:left w:val="single" w:color="auto" w:sz="4" w:space="0"/>
              <w:right w:val="single" w:color="auto" w:sz="4" w:space="0"/>
            </w:tcBorders>
            <w:shd w:val="clear" w:color="auto" w:fill="auto"/>
            <w:vAlign w:val="center"/>
          </w:tcPr>
          <w:p w14:paraId="45EC0C64">
            <w:pPr>
              <w:jc w:val="center"/>
              <w:rPr>
                <w:rFonts w:ascii="Times New Roman" w:hAnsi="Times New Roman" w:eastAsia="仿宋_GB2312"/>
                <w:color w:val="auto"/>
                <w:szCs w:val="21"/>
                <w:highlight w:val="none"/>
              </w:rPr>
            </w:pPr>
          </w:p>
        </w:tc>
      </w:tr>
      <w:tr w14:paraId="43C6E23E">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572B5ED4">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236AD1ED">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5D367FD4">
            <w:pPr>
              <w:widowControl/>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（2）工单处理不及时导致超期、非权属工单未按流程处置</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662A91A">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17140BDD">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4B7F0442">
            <w:pPr>
              <w:jc w:val="center"/>
              <w:rPr>
                <w:rFonts w:ascii="Times New Roman" w:hAnsi="Times New Roman" w:eastAsia="仿宋_GB2312"/>
                <w:color w:val="auto"/>
                <w:szCs w:val="21"/>
                <w:highlight w:val="none"/>
              </w:rPr>
            </w:pPr>
          </w:p>
        </w:tc>
      </w:tr>
      <w:tr w14:paraId="7E0A4E38">
        <w:tblPrEx>
          <w:tblCellMar>
            <w:top w:w="0" w:type="dxa"/>
            <w:left w:w="108" w:type="dxa"/>
            <w:bottom w:w="0" w:type="dxa"/>
            <w:right w:w="108" w:type="dxa"/>
          </w:tblCellMar>
        </w:tblPrEx>
        <w:trPr>
          <w:trHeight w:val="312" w:hRule="atLeast"/>
        </w:trPr>
        <w:tc>
          <w:tcPr>
            <w:tcW w:w="191" w:type="pct"/>
            <w:vMerge w:val="continue"/>
            <w:tcBorders>
              <w:left w:val="single" w:color="auto" w:sz="4" w:space="0"/>
              <w:bottom w:val="single" w:color="auto" w:sz="4" w:space="0"/>
              <w:right w:val="single" w:color="auto" w:sz="4" w:space="0"/>
            </w:tcBorders>
            <w:shd w:val="clear" w:color="auto" w:fill="auto"/>
            <w:vAlign w:val="center"/>
          </w:tcPr>
          <w:p w14:paraId="2B2BAB23">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bottom w:val="single" w:color="auto" w:sz="4" w:space="0"/>
              <w:right w:val="single" w:color="auto" w:sz="4" w:space="0"/>
            </w:tcBorders>
            <w:shd w:val="clear" w:color="auto" w:fill="auto"/>
            <w:vAlign w:val="center"/>
          </w:tcPr>
          <w:p w14:paraId="0718918C">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7E136622">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3</w:t>
            </w:r>
            <w:r>
              <w:rPr>
                <w:rFonts w:ascii="Times New Roman" w:hAnsi="Times New Roman" w:eastAsia="仿宋_GB2312"/>
                <w:color w:val="auto"/>
                <w:kern w:val="0"/>
                <w:szCs w:val="21"/>
                <w:highlight w:val="none"/>
              </w:rPr>
              <w:t>）因承包人原因发生有责投诉</w:t>
            </w:r>
            <w:r>
              <w:rPr>
                <w:rFonts w:hint="eastAsia" w:ascii="Times New Roman" w:hAnsi="Times New Roman" w:eastAsia="仿宋_GB2312"/>
                <w:color w:val="auto"/>
                <w:kern w:val="0"/>
                <w:szCs w:val="21"/>
                <w:highlight w:val="none"/>
              </w:rPr>
              <w:t>或</w:t>
            </w:r>
            <w:r>
              <w:rPr>
                <w:rFonts w:ascii="Times New Roman" w:hAnsi="Times New Roman" w:eastAsia="仿宋_GB2312"/>
                <w:color w:val="auto"/>
                <w:kern w:val="0"/>
                <w:szCs w:val="21"/>
                <w:highlight w:val="none"/>
              </w:rPr>
              <w:t>遭新闻媒体曝光。</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27354ACD">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视情节轻重5000、10000、20000元/次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0C89358">
            <w:pPr>
              <w:jc w:val="center"/>
              <w:rPr>
                <w:rFonts w:ascii="Times New Roman" w:hAnsi="Times New Roman" w:eastAsia="仿宋_GB2312"/>
                <w:color w:val="auto"/>
                <w:szCs w:val="21"/>
                <w:highlight w:val="none"/>
              </w:rPr>
            </w:pPr>
          </w:p>
        </w:tc>
        <w:tc>
          <w:tcPr>
            <w:tcW w:w="457" w:type="pct"/>
            <w:vMerge w:val="continue"/>
            <w:tcBorders>
              <w:left w:val="single" w:color="auto" w:sz="4" w:space="0"/>
              <w:bottom w:val="single" w:color="auto" w:sz="4" w:space="0"/>
              <w:right w:val="single" w:color="auto" w:sz="4" w:space="0"/>
            </w:tcBorders>
            <w:shd w:val="clear" w:color="auto" w:fill="auto"/>
            <w:vAlign w:val="center"/>
          </w:tcPr>
          <w:p w14:paraId="71D68810">
            <w:pPr>
              <w:jc w:val="center"/>
              <w:rPr>
                <w:rFonts w:ascii="Times New Roman" w:hAnsi="Times New Roman" w:eastAsia="仿宋_GB2312"/>
                <w:color w:val="auto"/>
                <w:szCs w:val="21"/>
                <w:highlight w:val="none"/>
              </w:rPr>
            </w:pPr>
          </w:p>
        </w:tc>
      </w:tr>
      <w:tr w14:paraId="0BE45EAB">
        <w:tblPrEx>
          <w:tblCellMar>
            <w:top w:w="0" w:type="dxa"/>
            <w:left w:w="108" w:type="dxa"/>
            <w:bottom w:w="0" w:type="dxa"/>
            <w:right w:w="108" w:type="dxa"/>
          </w:tblCellMar>
        </w:tblPrEx>
        <w:trPr>
          <w:trHeight w:val="90" w:hRule="atLeast"/>
        </w:trPr>
        <w:tc>
          <w:tcPr>
            <w:tcW w:w="19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65DE83">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3</w:t>
            </w:r>
          </w:p>
        </w:tc>
        <w:tc>
          <w:tcPr>
            <w:tcW w:w="4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E6E51C">
            <w:pPr>
              <w:widowControl/>
              <w:jc w:val="center"/>
              <w:textAlignment w:val="center"/>
              <w:rPr>
                <w:rFonts w:ascii="Times New Roman" w:hAnsi="Times New Roman" w:eastAsia="仿宋_GB2312"/>
                <w:color w:val="auto"/>
                <w:kern w:val="0"/>
                <w:szCs w:val="21"/>
                <w:highlight w:val="none"/>
              </w:rPr>
            </w:pPr>
          </w:p>
          <w:p w14:paraId="627262E1">
            <w:pPr>
              <w:widowControl/>
              <w:jc w:val="center"/>
              <w:textAlignment w:val="center"/>
              <w:rPr>
                <w:rFonts w:ascii="Times New Roman" w:hAnsi="Times New Roman" w:eastAsia="仿宋_GB2312"/>
                <w:color w:val="auto"/>
                <w:kern w:val="0"/>
                <w:szCs w:val="21"/>
                <w:highlight w:val="none"/>
              </w:rPr>
            </w:pPr>
          </w:p>
          <w:p w14:paraId="590C2A8C">
            <w:pPr>
              <w:widowControl/>
              <w:jc w:val="center"/>
              <w:textAlignment w:val="center"/>
              <w:rPr>
                <w:rFonts w:ascii="Times New Roman" w:hAnsi="Times New Roman" w:eastAsia="仿宋_GB2312"/>
                <w:color w:val="auto"/>
                <w:kern w:val="0"/>
                <w:szCs w:val="21"/>
                <w:highlight w:val="none"/>
              </w:rPr>
            </w:pPr>
          </w:p>
          <w:p w14:paraId="383C1F1B">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作业</w:t>
            </w:r>
            <w:r>
              <w:rPr>
                <w:rFonts w:hint="eastAsia" w:ascii="Times New Roman" w:hAnsi="Times New Roman" w:eastAsia="仿宋_GB2312"/>
                <w:color w:val="auto"/>
                <w:kern w:val="0"/>
                <w:szCs w:val="21"/>
                <w:highlight w:val="none"/>
              </w:rPr>
              <w:t>行为和</w:t>
            </w:r>
            <w:r>
              <w:rPr>
                <w:rFonts w:ascii="Times New Roman" w:hAnsi="Times New Roman" w:eastAsia="仿宋_GB2312"/>
                <w:color w:val="auto"/>
                <w:kern w:val="0"/>
                <w:szCs w:val="21"/>
                <w:highlight w:val="none"/>
              </w:rPr>
              <w:t>质量</w:t>
            </w:r>
            <w:r>
              <w:rPr>
                <w:rFonts w:hint="eastAsia" w:ascii="Times New Roman" w:hAnsi="Times New Roman" w:eastAsia="仿宋_GB2312"/>
                <w:color w:val="auto"/>
                <w:kern w:val="0"/>
                <w:szCs w:val="21"/>
                <w:highlight w:val="none"/>
              </w:rPr>
              <w:t>管理</w:t>
            </w:r>
          </w:p>
          <w:p w14:paraId="56B679B9">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50</w:t>
            </w:r>
            <w:r>
              <w:rPr>
                <w:rFonts w:ascii="Times New Roman" w:hAnsi="Times New Roman" w:eastAsia="仿宋_GB2312"/>
                <w:color w:val="auto"/>
                <w:kern w:val="0"/>
                <w:szCs w:val="21"/>
                <w:highlight w:val="none"/>
              </w:rPr>
              <w:t>分）</w:t>
            </w:r>
          </w:p>
          <w:p w14:paraId="4746FDD2">
            <w:pPr>
              <w:widowControl/>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0267A886">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（1）未按合同要求配备机械设备、车辆或</w:t>
            </w:r>
            <w:r>
              <w:rPr>
                <w:rFonts w:hint="eastAsia" w:ascii="Times New Roman" w:hAnsi="Times New Roman" w:eastAsia="仿宋_GB2312"/>
                <w:color w:val="auto"/>
                <w:kern w:val="0"/>
                <w:szCs w:val="21"/>
                <w:highlight w:val="none"/>
              </w:rPr>
              <w:t>专用设备、车辆</w:t>
            </w:r>
            <w:r>
              <w:rPr>
                <w:rFonts w:ascii="Times New Roman" w:hAnsi="Times New Roman" w:eastAsia="仿宋_GB2312"/>
                <w:color w:val="auto"/>
                <w:kern w:val="0"/>
                <w:szCs w:val="21"/>
                <w:highlight w:val="none"/>
              </w:rPr>
              <w:t>擅自离开</w:t>
            </w:r>
            <w:r>
              <w:rPr>
                <w:rFonts w:hint="eastAsia" w:ascii="Times New Roman" w:hAnsi="Times New Roman" w:eastAsia="仿宋_GB2312"/>
                <w:color w:val="auto"/>
                <w:kern w:val="0"/>
                <w:szCs w:val="21"/>
                <w:highlight w:val="none"/>
              </w:rPr>
              <w:t>用于其他工程项目。</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1219FE9">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每台次3000元</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4ED340D7">
            <w:pPr>
              <w:jc w:val="center"/>
              <w:rPr>
                <w:rFonts w:ascii="Times New Roman" w:hAnsi="Times New Roman" w:eastAsia="仿宋_GB2312"/>
                <w:color w:val="auto"/>
                <w:szCs w:val="21"/>
                <w:highlight w:val="none"/>
              </w:rPr>
            </w:pPr>
          </w:p>
        </w:tc>
        <w:tc>
          <w:tcPr>
            <w:tcW w:w="457" w:type="pct"/>
            <w:vMerge w:val="restart"/>
            <w:tcBorders>
              <w:top w:val="single" w:color="auto" w:sz="4" w:space="0"/>
              <w:left w:val="single" w:color="auto" w:sz="4" w:space="0"/>
              <w:right w:val="single" w:color="auto" w:sz="4" w:space="0"/>
            </w:tcBorders>
            <w:shd w:val="clear" w:color="auto" w:fill="auto"/>
            <w:vAlign w:val="center"/>
          </w:tcPr>
          <w:p w14:paraId="675A1683">
            <w:pPr>
              <w:jc w:val="center"/>
              <w:rPr>
                <w:rFonts w:ascii="Times New Roman" w:hAnsi="Times New Roman" w:eastAsia="仿宋_GB2312"/>
                <w:color w:val="auto"/>
                <w:szCs w:val="21"/>
                <w:highlight w:val="none"/>
              </w:rPr>
            </w:pPr>
          </w:p>
        </w:tc>
      </w:tr>
      <w:tr w14:paraId="304BD77E">
        <w:tblPrEx>
          <w:tblCellMar>
            <w:top w:w="0" w:type="dxa"/>
            <w:left w:w="108" w:type="dxa"/>
            <w:bottom w:w="0" w:type="dxa"/>
            <w:right w:w="108" w:type="dxa"/>
          </w:tblCellMar>
        </w:tblPrEx>
        <w:trPr>
          <w:trHeight w:val="90"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399975">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EAB8F9">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50B0B35C">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（2）中标人的项目组成员在中标合同期</w:t>
            </w:r>
            <w:r>
              <w:rPr>
                <w:rFonts w:hint="eastAsia" w:ascii="Times New Roman" w:hAnsi="Times New Roman" w:eastAsia="仿宋_GB2312"/>
                <w:color w:val="auto"/>
                <w:kern w:val="0"/>
                <w:szCs w:val="21"/>
                <w:highlight w:val="none"/>
              </w:rPr>
              <w:t>内，</w:t>
            </w:r>
            <w:r>
              <w:rPr>
                <w:rFonts w:ascii="Times New Roman" w:hAnsi="Times New Roman" w:eastAsia="仿宋_GB2312"/>
                <w:color w:val="auto"/>
                <w:kern w:val="0"/>
                <w:szCs w:val="21"/>
                <w:highlight w:val="none"/>
              </w:rPr>
              <w:t>以任何形式承担</w:t>
            </w:r>
            <w:r>
              <w:rPr>
                <w:rFonts w:hint="eastAsia" w:ascii="Times New Roman" w:hAnsi="Times New Roman" w:eastAsia="仿宋_GB2312"/>
                <w:color w:val="auto"/>
                <w:kern w:val="0"/>
                <w:szCs w:val="21"/>
                <w:highlight w:val="none"/>
              </w:rPr>
              <w:t>其他</w:t>
            </w:r>
            <w:r>
              <w:rPr>
                <w:rFonts w:ascii="Times New Roman" w:hAnsi="Times New Roman" w:eastAsia="仿宋_GB2312"/>
                <w:color w:val="auto"/>
                <w:kern w:val="0"/>
                <w:szCs w:val="21"/>
                <w:highlight w:val="none"/>
              </w:rPr>
              <w:t>工程项目的施工管理或</w:t>
            </w:r>
            <w:r>
              <w:rPr>
                <w:rFonts w:hint="eastAsia" w:ascii="Times New Roman" w:hAnsi="Times New Roman" w:eastAsia="仿宋_GB2312"/>
                <w:color w:val="auto"/>
                <w:kern w:val="0"/>
                <w:szCs w:val="21"/>
                <w:highlight w:val="none"/>
              </w:rPr>
              <w:t>接受其他</w:t>
            </w:r>
            <w:r>
              <w:rPr>
                <w:rFonts w:ascii="Times New Roman" w:hAnsi="Times New Roman" w:eastAsia="仿宋_GB2312"/>
                <w:color w:val="auto"/>
                <w:kern w:val="0"/>
                <w:szCs w:val="21"/>
                <w:highlight w:val="none"/>
              </w:rPr>
              <w:t>施工单位的分包项目管理。</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1DA7C99B">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200000元/次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90EFF3D">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0FEFED79">
            <w:pPr>
              <w:jc w:val="center"/>
              <w:rPr>
                <w:rFonts w:ascii="Times New Roman" w:hAnsi="Times New Roman" w:eastAsia="仿宋_GB2312"/>
                <w:color w:val="auto"/>
                <w:szCs w:val="21"/>
                <w:highlight w:val="none"/>
              </w:rPr>
            </w:pPr>
          </w:p>
        </w:tc>
      </w:tr>
      <w:tr w14:paraId="7683A5CD">
        <w:tblPrEx>
          <w:tblCellMar>
            <w:top w:w="0" w:type="dxa"/>
            <w:left w:w="108" w:type="dxa"/>
            <w:bottom w:w="0" w:type="dxa"/>
            <w:right w:w="108" w:type="dxa"/>
          </w:tblCellMar>
        </w:tblPrEx>
        <w:trPr>
          <w:trHeight w:val="536"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75DCB7">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1EA1BA">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2AC9EB9C">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3</w:t>
            </w:r>
            <w:r>
              <w:rPr>
                <w:rFonts w:ascii="Times New Roman" w:hAnsi="Times New Roman" w:eastAsia="仿宋_GB2312"/>
                <w:color w:val="auto"/>
                <w:kern w:val="0"/>
                <w:szCs w:val="21"/>
                <w:highlight w:val="none"/>
              </w:rPr>
              <w:t>）承包人未按主材名录规定主材品牌选购材料</w:t>
            </w:r>
            <w:r>
              <w:rPr>
                <w:rFonts w:hint="eastAsia" w:ascii="Times New Roman" w:hAnsi="Times New Roman" w:eastAsia="仿宋_GB2312"/>
                <w:color w:val="auto"/>
                <w:kern w:val="0"/>
                <w:szCs w:val="21"/>
                <w:highlight w:val="none"/>
              </w:rPr>
              <w:t>或</w:t>
            </w:r>
            <w:r>
              <w:rPr>
                <w:rFonts w:ascii="Times New Roman" w:hAnsi="Times New Roman" w:eastAsia="仿宋_GB2312"/>
                <w:color w:val="auto"/>
                <w:kern w:val="0"/>
                <w:szCs w:val="21"/>
                <w:highlight w:val="none"/>
              </w:rPr>
              <w:t>未对进场材料按要求进行申报即投入施工。</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0DB338AA">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6F831F4">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3521F197">
            <w:pPr>
              <w:jc w:val="center"/>
              <w:rPr>
                <w:rFonts w:ascii="Times New Roman" w:hAnsi="Times New Roman" w:eastAsia="仿宋_GB2312"/>
                <w:color w:val="auto"/>
                <w:szCs w:val="21"/>
                <w:highlight w:val="none"/>
              </w:rPr>
            </w:pPr>
          </w:p>
        </w:tc>
      </w:tr>
      <w:tr w14:paraId="30B67F20">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E44B45">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D57680">
            <w:pPr>
              <w:widowControl/>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5A8CE95A">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4</w:t>
            </w:r>
            <w:r>
              <w:rPr>
                <w:rFonts w:ascii="Times New Roman" w:hAnsi="Times New Roman" w:eastAsia="仿宋_GB2312"/>
                <w:color w:val="auto"/>
                <w:kern w:val="0"/>
                <w:szCs w:val="21"/>
                <w:highlight w:val="none"/>
              </w:rPr>
              <w:t>）相关人员未按要求统一着装</w:t>
            </w:r>
            <w:r>
              <w:rPr>
                <w:rFonts w:hint="eastAsia" w:ascii="Times New Roman" w:hAnsi="Times New Roman" w:eastAsia="仿宋_GB2312"/>
                <w:color w:val="auto"/>
                <w:kern w:val="0"/>
                <w:szCs w:val="21"/>
                <w:highlight w:val="none"/>
              </w:rPr>
              <w:t>、做与工作无关事项</w:t>
            </w:r>
            <w:r>
              <w:rPr>
                <w:rFonts w:ascii="Times New Roman" w:hAnsi="Times New Roman" w:eastAsia="仿宋_GB2312"/>
                <w:color w:val="auto"/>
                <w:kern w:val="0"/>
                <w:szCs w:val="21"/>
                <w:highlight w:val="none"/>
              </w:rPr>
              <w:t>。</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ED7BB8F">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1000元/人次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0D0EC071">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3695B322">
            <w:pPr>
              <w:jc w:val="center"/>
              <w:rPr>
                <w:rFonts w:ascii="Times New Roman" w:hAnsi="Times New Roman" w:eastAsia="仿宋_GB2312"/>
                <w:color w:val="auto"/>
                <w:szCs w:val="21"/>
                <w:highlight w:val="none"/>
              </w:rPr>
            </w:pPr>
          </w:p>
        </w:tc>
      </w:tr>
      <w:tr w14:paraId="3632B005">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E807F1">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4CB5E6">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4CD1318E">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5</w:t>
            </w:r>
            <w:r>
              <w:rPr>
                <w:rFonts w:ascii="Times New Roman" w:hAnsi="Times New Roman" w:eastAsia="仿宋_GB2312"/>
                <w:color w:val="auto"/>
                <w:kern w:val="0"/>
                <w:szCs w:val="21"/>
                <w:highlight w:val="none"/>
              </w:rPr>
              <w:t>）承包人进场材料不符合招标文件要求。</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698292AB">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5000元/次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2E73D42F">
            <w:pPr>
              <w:jc w:val="center"/>
              <w:rPr>
                <w:rFonts w:ascii="Times New Roman" w:hAnsi="Times New Roman" w:eastAsia="仿宋_GB2312"/>
                <w:color w:val="auto"/>
                <w:szCs w:val="21"/>
                <w:highlight w:val="none"/>
              </w:rPr>
            </w:pPr>
          </w:p>
        </w:tc>
        <w:tc>
          <w:tcPr>
            <w:tcW w:w="457" w:type="pct"/>
            <w:vMerge w:val="continue"/>
            <w:tcBorders>
              <w:left w:val="single" w:color="auto" w:sz="4" w:space="0"/>
              <w:bottom w:val="single" w:color="auto" w:sz="4" w:space="0"/>
              <w:right w:val="single" w:color="auto" w:sz="4" w:space="0"/>
            </w:tcBorders>
            <w:shd w:val="clear" w:color="auto" w:fill="auto"/>
            <w:vAlign w:val="center"/>
          </w:tcPr>
          <w:p w14:paraId="0AFAF030">
            <w:pPr>
              <w:jc w:val="center"/>
              <w:rPr>
                <w:rFonts w:ascii="Times New Roman" w:hAnsi="Times New Roman" w:eastAsia="仿宋_GB2312"/>
                <w:color w:val="auto"/>
                <w:szCs w:val="21"/>
                <w:highlight w:val="none"/>
              </w:rPr>
            </w:pPr>
          </w:p>
        </w:tc>
      </w:tr>
      <w:tr w14:paraId="7ED0B454">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F09581">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5DF5E9">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4F922C37">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6</w:t>
            </w:r>
            <w:r>
              <w:rPr>
                <w:rFonts w:ascii="Times New Roman" w:hAnsi="Times New Roman" w:eastAsia="仿宋_GB2312"/>
                <w:color w:val="auto"/>
                <w:kern w:val="0"/>
                <w:szCs w:val="21"/>
                <w:highlight w:val="none"/>
              </w:rPr>
              <w:t>）未能按时完成管理单位布置工作任务。</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B2B832D">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视情节轻重</w:t>
            </w:r>
            <w:r>
              <w:rPr>
                <w:rFonts w:hint="eastAsia" w:ascii="Times New Roman" w:hAnsi="Times New Roman" w:eastAsia="仿宋_GB2312"/>
                <w:color w:val="auto"/>
                <w:kern w:val="0"/>
                <w:szCs w:val="21"/>
                <w:highlight w:val="none"/>
              </w:rPr>
              <w:t>1000、2000、</w:t>
            </w:r>
            <w:r>
              <w:rPr>
                <w:rFonts w:ascii="Times New Roman" w:hAnsi="Times New Roman" w:eastAsia="仿宋_GB2312"/>
                <w:color w:val="auto"/>
                <w:kern w:val="0"/>
                <w:szCs w:val="21"/>
                <w:highlight w:val="none"/>
              </w:rPr>
              <w:t>3000元/次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37A3FE1">
            <w:pPr>
              <w:jc w:val="center"/>
              <w:rPr>
                <w:rFonts w:ascii="Times New Roman" w:hAnsi="Times New Roman" w:eastAsia="仿宋_GB2312"/>
                <w:color w:val="auto"/>
                <w:szCs w:val="21"/>
                <w:highlight w:val="none"/>
              </w:rPr>
            </w:pPr>
          </w:p>
        </w:tc>
        <w:tc>
          <w:tcPr>
            <w:tcW w:w="457" w:type="pct"/>
            <w:vMerge w:val="restart"/>
            <w:tcBorders>
              <w:top w:val="single" w:color="auto" w:sz="4" w:space="0"/>
              <w:left w:val="single" w:color="auto" w:sz="4" w:space="0"/>
              <w:right w:val="single" w:color="auto" w:sz="4" w:space="0"/>
            </w:tcBorders>
            <w:shd w:val="clear" w:color="auto" w:fill="auto"/>
            <w:vAlign w:val="center"/>
          </w:tcPr>
          <w:p w14:paraId="359451EA">
            <w:pPr>
              <w:jc w:val="center"/>
              <w:rPr>
                <w:rFonts w:ascii="Times New Roman" w:hAnsi="Times New Roman" w:eastAsia="仿宋_GB2312"/>
                <w:color w:val="auto"/>
                <w:szCs w:val="21"/>
                <w:highlight w:val="none"/>
              </w:rPr>
            </w:pPr>
          </w:p>
        </w:tc>
      </w:tr>
      <w:tr w14:paraId="2DBC69DC">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FD8369">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D35322">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51CB0474">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7</w:t>
            </w:r>
            <w:r>
              <w:rPr>
                <w:rFonts w:ascii="Times New Roman" w:hAnsi="Times New Roman" w:eastAsia="仿宋_GB2312"/>
                <w:color w:val="auto"/>
                <w:kern w:val="0"/>
                <w:szCs w:val="21"/>
                <w:highlight w:val="none"/>
              </w:rPr>
              <w:t>）未按流程操作或施工、</w:t>
            </w:r>
            <w:r>
              <w:rPr>
                <w:rFonts w:hint="eastAsia" w:ascii="Times New Roman" w:hAnsi="Times New Roman" w:eastAsia="仿宋_GB2312"/>
                <w:color w:val="auto"/>
                <w:kern w:val="0"/>
                <w:szCs w:val="21"/>
                <w:highlight w:val="none"/>
              </w:rPr>
              <w:t>施工</w:t>
            </w:r>
            <w:r>
              <w:rPr>
                <w:rFonts w:ascii="Times New Roman" w:hAnsi="Times New Roman" w:eastAsia="仿宋_GB2312"/>
                <w:color w:val="auto"/>
                <w:kern w:val="0"/>
                <w:szCs w:val="21"/>
                <w:highlight w:val="none"/>
              </w:rPr>
              <w:t>质量不符合规范或合同文件相关要求。</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44615904">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视情节轻重1000、3000、5000元/次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1551C995">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6D597BD5">
            <w:pPr>
              <w:jc w:val="center"/>
              <w:rPr>
                <w:rFonts w:ascii="Times New Roman" w:hAnsi="Times New Roman" w:eastAsia="仿宋_GB2312"/>
                <w:color w:val="auto"/>
                <w:szCs w:val="21"/>
                <w:highlight w:val="none"/>
              </w:rPr>
            </w:pPr>
          </w:p>
        </w:tc>
      </w:tr>
      <w:tr w14:paraId="113826DA">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0F1976">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1BE52C">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7BA9B250">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8</w:t>
            </w:r>
            <w:r>
              <w:rPr>
                <w:rFonts w:ascii="Times New Roman" w:hAnsi="Times New Roman" w:eastAsia="仿宋_GB2312"/>
                <w:color w:val="auto"/>
                <w:kern w:val="0"/>
                <w:szCs w:val="21"/>
                <w:highlight w:val="none"/>
              </w:rPr>
              <w:t>）对现场防尘降噪、应急处置事件保障、雨雪灾害天气、重大活动保障等措施不符合要求。</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0A26A37C">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视情节轻重</w:t>
            </w:r>
          </w:p>
          <w:p w14:paraId="4198677C">
            <w:pPr>
              <w:jc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5000、10000、15000、20000元/次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0ACCB72C">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270DE613">
            <w:pPr>
              <w:jc w:val="center"/>
              <w:rPr>
                <w:rFonts w:ascii="Times New Roman" w:hAnsi="Times New Roman" w:eastAsia="仿宋_GB2312"/>
                <w:color w:val="auto"/>
                <w:szCs w:val="21"/>
                <w:highlight w:val="none"/>
              </w:rPr>
            </w:pPr>
          </w:p>
        </w:tc>
      </w:tr>
      <w:tr w14:paraId="75EC6758">
        <w:tblPrEx>
          <w:tblCellMar>
            <w:top w:w="0" w:type="dxa"/>
            <w:left w:w="108" w:type="dxa"/>
            <w:bottom w:w="0" w:type="dxa"/>
            <w:right w:w="108" w:type="dxa"/>
          </w:tblCellMar>
        </w:tblPrEx>
        <w:trPr>
          <w:trHeight w:val="312" w:hRule="atLeast"/>
        </w:trPr>
        <w:tc>
          <w:tcPr>
            <w:tcW w:w="19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146CAD">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F48896">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48F15C34">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9</w:t>
            </w:r>
            <w:r>
              <w:rPr>
                <w:rFonts w:ascii="Times New Roman" w:hAnsi="Times New Roman" w:eastAsia="仿宋_GB2312"/>
                <w:color w:val="auto"/>
                <w:kern w:val="0"/>
                <w:szCs w:val="21"/>
                <w:highlight w:val="none"/>
              </w:rPr>
              <w:t>）未按照招标文件或合同执行。</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317EEB87">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按照招标文件和合同要求扣款</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0A2BD364">
            <w:pPr>
              <w:jc w:val="center"/>
              <w:rPr>
                <w:rFonts w:ascii="Times New Roman" w:hAnsi="Times New Roman" w:eastAsia="仿宋_GB2312"/>
                <w:color w:val="auto"/>
                <w:szCs w:val="21"/>
                <w:highlight w:val="none"/>
              </w:rPr>
            </w:pPr>
          </w:p>
        </w:tc>
        <w:tc>
          <w:tcPr>
            <w:tcW w:w="457" w:type="pct"/>
            <w:vMerge w:val="continue"/>
            <w:tcBorders>
              <w:left w:val="single" w:color="auto" w:sz="4" w:space="0"/>
              <w:bottom w:val="single" w:color="auto" w:sz="4" w:space="0"/>
              <w:right w:val="single" w:color="auto" w:sz="4" w:space="0"/>
            </w:tcBorders>
            <w:shd w:val="clear" w:color="auto" w:fill="auto"/>
            <w:vAlign w:val="center"/>
          </w:tcPr>
          <w:p w14:paraId="7F325CBD">
            <w:pPr>
              <w:jc w:val="center"/>
              <w:rPr>
                <w:rFonts w:ascii="Times New Roman" w:hAnsi="Times New Roman" w:eastAsia="仿宋_GB2312"/>
                <w:color w:val="auto"/>
                <w:szCs w:val="21"/>
                <w:highlight w:val="none"/>
              </w:rPr>
            </w:pPr>
          </w:p>
        </w:tc>
      </w:tr>
      <w:tr w14:paraId="37C836C4">
        <w:tblPrEx>
          <w:tblCellMar>
            <w:top w:w="0" w:type="dxa"/>
            <w:left w:w="108" w:type="dxa"/>
            <w:bottom w:w="0" w:type="dxa"/>
            <w:right w:w="108" w:type="dxa"/>
          </w:tblCellMar>
        </w:tblPrEx>
        <w:trPr>
          <w:trHeight w:val="312" w:hRule="atLeast"/>
        </w:trPr>
        <w:tc>
          <w:tcPr>
            <w:tcW w:w="191" w:type="pct"/>
            <w:tcBorders>
              <w:top w:val="single" w:color="auto" w:sz="4" w:space="0"/>
              <w:left w:val="single" w:color="auto" w:sz="4" w:space="0"/>
              <w:right w:val="single" w:color="auto" w:sz="4" w:space="0"/>
            </w:tcBorders>
            <w:shd w:val="clear" w:color="auto" w:fill="auto"/>
            <w:vAlign w:val="center"/>
          </w:tcPr>
          <w:p w14:paraId="759496F7">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4</w:t>
            </w:r>
          </w:p>
        </w:tc>
        <w:tc>
          <w:tcPr>
            <w:tcW w:w="466" w:type="pct"/>
            <w:tcBorders>
              <w:top w:val="single" w:color="auto" w:sz="4" w:space="0"/>
              <w:left w:val="single" w:color="auto" w:sz="4" w:space="0"/>
              <w:right w:val="single" w:color="auto" w:sz="4" w:space="0"/>
            </w:tcBorders>
            <w:shd w:val="clear" w:color="auto" w:fill="auto"/>
            <w:vAlign w:val="center"/>
          </w:tcPr>
          <w:p w14:paraId="3A10F072">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资料管理</w:t>
            </w:r>
          </w:p>
          <w:p w14:paraId="4629FDA9">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（10分）</w:t>
            </w: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73046B42">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签证、</w:t>
            </w:r>
            <w:r>
              <w:rPr>
                <w:rFonts w:hint="eastAsia" w:ascii="Times New Roman" w:hAnsi="Times New Roman" w:eastAsia="仿宋_GB2312"/>
                <w:color w:val="auto"/>
                <w:kern w:val="0"/>
                <w:szCs w:val="21"/>
                <w:highlight w:val="none"/>
              </w:rPr>
              <w:t>变更、</w:t>
            </w:r>
            <w:r>
              <w:rPr>
                <w:rFonts w:ascii="Times New Roman" w:hAnsi="Times New Roman" w:eastAsia="仿宋_GB2312"/>
                <w:color w:val="auto"/>
                <w:kern w:val="0"/>
                <w:szCs w:val="21"/>
                <w:highlight w:val="none"/>
              </w:rPr>
              <w:t>决算</w:t>
            </w:r>
            <w:r>
              <w:rPr>
                <w:rFonts w:hint="eastAsia" w:ascii="Times New Roman" w:hAnsi="Times New Roman" w:eastAsia="仿宋_GB2312"/>
                <w:color w:val="auto"/>
                <w:kern w:val="0"/>
                <w:szCs w:val="21"/>
                <w:highlight w:val="none"/>
              </w:rPr>
              <w:t>等</w:t>
            </w:r>
            <w:r>
              <w:rPr>
                <w:rFonts w:ascii="Times New Roman" w:hAnsi="Times New Roman" w:eastAsia="仿宋_GB2312"/>
                <w:color w:val="auto"/>
                <w:kern w:val="0"/>
                <w:szCs w:val="21"/>
                <w:highlight w:val="none"/>
              </w:rPr>
              <w:t>资料不完整、不及时、不准确。</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8DB0C10">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3000元/次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7CEFFA7">
            <w:pPr>
              <w:jc w:val="center"/>
              <w:rPr>
                <w:rFonts w:ascii="Times New Roman" w:hAnsi="Times New Roman" w:eastAsia="仿宋_GB2312"/>
                <w:color w:val="auto"/>
                <w:szCs w:val="21"/>
                <w:highlight w:val="none"/>
              </w:rPr>
            </w:pPr>
          </w:p>
        </w:tc>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641ED91C">
            <w:pPr>
              <w:jc w:val="center"/>
              <w:rPr>
                <w:rFonts w:ascii="Times New Roman" w:hAnsi="Times New Roman" w:eastAsia="仿宋_GB2312"/>
                <w:color w:val="auto"/>
                <w:szCs w:val="21"/>
                <w:highlight w:val="none"/>
              </w:rPr>
            </w:pPr>
          </w:p>
        </w:tc>
      </w:tr>
    </w:tbl>
    <w:p w14:paraId="5C804727">
      <w:pPr>
        <w:widowControl/>
        <w:jc w:val="center"/>
        <w:textAlignment w:val="center"/>
        <w:rPr>
          <w:rFonts w:hint="eastAsia" w:ascii="Times New Roman" w:hAnsi="Times New Roman" w:eastAsia="仿宋_GB2312"/>
          <w:color w:val="auto"/>
          <w:kern w:val="0"/>
          <w:szCs w:val="21"/>
          <w:highlight w:val="none"/>
        </w:rPr>
        <w:sectPr>
          <w:footerReference r:id="rId4" w:type="default"/>
          <w:pgSz w:w="16838" w:h="11906" w:orient="landscape"/>
          <w:pgMar w:top="1134" w:right="1247" w:bottom="1134" w:left="1134" w:header="567" w:footer="907" w:gutter="0"/>
          <w:pgNumType w:fmt="decimal"/>
          <w:cols w:space="720" w:num="1"/>
          <w:docGrid w:linePitch="312" w:charSpace="0"/>
        </w:sectPr>
      </w:pPr>
    </w:p>
    <w:tbl>
      <w:tblPr>
        <w:tblStyle w:val="10"/>
        <w:tblW w:w="5000" w:type="pct"/>
        <w:tblInd w:w="0" w:type="dxa"/>
        <w:tblLayout w:type="autofit"/>
        <w:tblCellMar>
          <w:top w:w="0" w:type="dxa"/>
          <w:left w:w="108" w:type="dxa"/>
          <w:bottom w:w="0" w:type="dxa"/>
          <w:right w:w="108" w:type="dxa"/>
        </w:tblCellMar>
      </w:tblPr>
      <w:tblGrid>
        <w:gridCol w:w="541"/>
        <w:gridCol w:w="1324"/>
        <w:gridCol w:w="5701"/>
        <w:gridCol w:w="3665"/>
        <w:gridCol w:w="1639"/>
        <w:gridCol w:w="1304"/>
      </w:tblGrid>
      <w:tr w14:paraId="34B23D0C">
        <w:tblPrEx>
          <w:tblCellMar>
            <w:top w:w="0" w:type="dxa"/>
            <w:left w:w="108" w:type="dxa"/>
            <w:bottom w:w="0" w:type="dxa"/>
            <w:right w:w="108" w:type="dxa"/>
          </w:tblCellMar>
        </w:tblPrEx>
        <w:trPr>
          <w:trHeight w:val="584" w:hRule="atLeast"/>
        </w:trPr>
        <w:tc>
          <w:tcPr>
            <w:tcW w:w="191" w:type="pct"/>
            <w:vMerge w:val="restart"/>
            <w:tcBorders>
              <w:top w:val="single" w:color="auto" w:sz="4" w:space="0"/>
              <w:left w:val="single" w:color="auto" w:sz="4" w:space="0"/>
              <w:right w:val="single" w:color="auto" w:sz="4" w:space="0"/>
            </w:tcBorders>
            <w:shd w:val="clear" w:color="auto" w:fill="auto"/>
            <w:vAlign w:val="center"/>
          </w:tcPr>
          <w:p w14:paraId="46AA7196">
            <w:pPr>
              <w:widowControl/>
              <w:jc w:val="center"/>
              <w:textAlignment w:val="center"/>
              <w:rPr>
                <w:rFonts w:ascii="Times New Roman" w:hAnsi="Times New Roman" w:eastAsia="仿宋_GB2312"/>
                <w:color w:val="auto"/>
                <w:kern w:val="0"/>
                <w:szCs w:val="21"/>
                <w:highlight w:val="none"/>
              </w:rPr>
            </w:pPr>
            <w:r>
              <w:rPr>
                <w:rFonts w:hint="eastAsia" w:ascii="Times New Roman" w:hAnsi="Times New Roman" w:eastAsia="仿宋_GB2312"/>
                <w:color w:val="auto"/>
                <w:kern w:val="0"/>
                <w:szCs w:val="21"/>
                <w:highlight w:val="none"/>
              </w:rPr>
              <w:t>5</w:t>
            </w:r>
          </w:p>
          <w:p w14:paraId="24BD3885">
            <w:pPr>
              <w:widowControl/>
              <w:jc w:val="center"/>
              <w:textAlignment w:val="center"/>
              <w:rPr>
                <w:rFonts w:ascii="Times New Roman" w:hAnsi="Times New Roman" w:eastAsia="仿宋_GB2312"/>
                <w:color w:val="auto"/>
                <w:szCs w:val="21"/>
                <w:highlight w:val="none"/>
              </w:rPr>
            </w:pPr>
          </w:p>
        </w:tc>
        <w:tc>
          <w:tcPr>
            <w:tcW w:w="466" w:type="pct"/>
            <w:vMerge w:val="restart"/>
            <w:tcBorders>
              <w:top w:val="single" w:color="auto" w:sz="4" w:space="0"/>
              <w:left w:val="single" w:color="auto" w:sz="4" w:space="0"/>
              <w:right w:val="single" w:color="auto" w:sz="4" w:space="0"/>
            </w:tcBorders>
            <w:shd w:val="clear" w:color="auto" w:fill="auto"/>
            <w:vAlign w:val="center"/>
          </w:tcPr>
          <w:p w14:paraId="47EE0210">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安全文明</w:t>
            </w:r>
          </w:p>
          <w:p w14:paraId="19096A90">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施工</w:t>
            </w:r>
          </w:p>
          <w:p w14:paraId="690CD624">
            <w:pPr>
              <w:widowControl/>
              <w:jc w:val="center"/>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（20分）</w:t>
            </w:r>
          </w:p>
          <w:p w14:paraId="5A929586">
            <w:pPr>
              <w:widowControl/>
              <w:jc w:val="center"/>
              <w:textAlignment w:val="center"/>
              <w:rPr>
                <w:rFonts w:ascii="Times New Roman" w:hAnsi="Times New Roman" w:eastAsia="仿宋_GB2312"/>
                <w:color w:val="auto"/>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22DD17E2">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（1）未按要求建立项目安全管理体系、制定项目安全标准化管理制度等文件。</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554E5DDA">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63FDF2A9">
            <w:pPr>
              <w:jc w:val="center"/>
              <w:rPr>
                <w:rFonts w:ascii="Times New Roman" w:hAnsi="Times New Roman" w:eastAsia="仿宋_GB2312"/>
                <w:color w:val="auto"/>
                <w:szCs w:val="21"/>
                <w:highlight w:val="none"/>
              </w:rPr>
            </w:pPr>
          </w:p>
        </w:tc>
        <w:tc>
          <w:tcPr>
            <w:tcW w:w="457" w:type="pct"/>
            <w:vMerge w:val="restart"/>
            <w:tcBorders>
              <w:top w:val="single" w:color="auto" w:sz="4" w:space="0"/>
              <w:left w:val="single" w:color="auto" w:sz="4" w:space="0"/>
              <w:right w:val="single" w:color="auto" w:sz="4" w:space="0"/>
            </w:tcBorders>
            <w:shd w:val="clear" w:color="auto" w:fill="auto"/>
            <w:vAlign w:val="center"/>
          </w:tcPr>
          <w:p w14:paraId="58BE7D52">
            <w:pPr>
              <w:jc w:val="center"/>
              <w:rPr>
                <w:rFonts w:ascii="Times New Roman" w:hAnsi="Times New Roman" w:eastAsia="仿宋_GB2312"/>
                <w:color w:val="auto"/>
                <w:szCs w:val="21"/>
                <w:highlight w:val="none"/>
              </w:rPr>
            </w:pPr>
          </w:p>
        </w:tc>
      </w:tr>
      <w:tr w14:paraId="2BB8ED10">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5204B135">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49136921">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75720335">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（2）未按项目安全生产制度开展检查、演练、培训等工作、无相关记录。</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78DD6B5A">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3B0593B">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7D44F779">
            <w:pPr>
              <w:jc w:val="center"/>
              <w:rPr>
                <w:rFonts w:ascii="Times New Roman" w:hAnsi="Times New Roman" w:eastAsia="仿宋_GB2312"/>
                <w:color w:val="auto"/>
                <w:szCs w:val="21"/>
                <w:highlight w:val="none"/>
              </w:rPr>
            </w:pPr>
          </w:p>
        </w:tc>
      </w:tr>
      <w:tr w14:paraId="4822CF8A">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08E4B829">
            <w:pPr>
              <w:widowControl/>
              <w:jc w:val="center"/>
              <w:textAlignment w:val="center"/>
              <w:rPr>
                <w:rFonts w:ascii="Times New Roman" w:hAnsi="Times New Roman" w:eastAsia="仿宋_GB2312"/>
                <w:color w:val="auto"/>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355BAD2E">
            <w:pPr>
              <w:widowControl/>
              <w:jc w:val="center"/>
              <w:textAlignment w:val="center"/>
              <w:rPr>
                <w:rFonts w:ascii="Times New Roman" w:hAnsi="Times New Roman" w:eastAsia="仿宋_GB2312"/>
                <w:color w:val="auto"/>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652467B5">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（3）未落实安全风险分级管控和隐患排查治理双重预防工作，未按要求组织开展隐患排查、未落实隐患整改闭环。</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19185D26">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A20BF14">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75C5AD9B">
            <w:pPr>
              <w:jc w:val="center"/>
              <w:rPr>
                <w:rFonts w:ascii="Times New Roman" w:hAnsi="Times New Roman" w:eastAsia="仿宋_GB2312"/>
                <w:color w:val="auto"/>
                <w:szCs w:val="21"/>
                <w:highlight w:val="none"/>
              </w:rPr>
            </w:pPr>
          </w:p>
        </w:tc>
      </w:tr>
      <w:tr w14:paraId="01CF552C">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6C434776">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168D01C5">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6682864A">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（4）作业现场无安全防护措施的</w:t>
            </w:r>
            <w:r>
              <w:rPr>
                <w:rFonts w:hint="eastAsia" w:ascii="Times New Roman" w:hAnsi="Times New Roman" w:eastAsia="仿宋_GB2312"/>
                <w:color w:val="auto"/>
                <w:kern w:val="0"/>
                <w:szCs w:val="21"/>
                <w:highlight w:val="none"/>
              </w:rPr>
              <w:t>或</w:t>
            </w:r>
            <w:r>
              <w:rPr>
                <w:rFonts w:ascii="Times New Roman" w:hAnsi="Times New Roman" w:eastAsia="仿宋_GB2312"/>
                <w:color w:val="auto"/>
                <w:kern w:val="0"/>
                <w:szCs w:val="21"/>
                <w:highlight w:val="none"/>
              </w:rPr>
              <w:t>未落实安全防护要求的</w:t>
            </w:r>
            <w:r>
              <w:rPr>
                <w:rFonts w:hint="eastAsia" w:ascii="Times New Roman" w:hAnsi="Times New Roman" w:eastAsia="仿宋_GB2312"/>
                <w:color w:val="auto"/>
                <w:kern w:val="0"/>
                <w:szCs w:val="21"/>
                <w:highlight w:val="none"/>
              </w:rPr>
              <w:t>或</w:t>
            </w:r>
            <w:r>
              <w:rPr>
                <w:rFonts w:ascii="Times New Roman" w:hAnsi="Times New Roman" w:eastAsia="仿宋_GB2312"/>
                <w:color w:val="auto"/>
                <w:kern w:val="0"/>
                <w:szCs w:val="21"/>
                <w:highlight w:val="none"/>
              </w:rPr>
              <w:t>未配备安全防护器具。</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25944F87">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717579EE">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2CE3E36D">
            <w:pPr>
              <w:jc w:val="center"/>
              <w:rPr>
                <w:rFonts w:ascii="Times New Roman" w:hAnsi="Times New Roman" w:eastAsia="仿宋_GB2312"/>
                <w:color w:val="auto"/>
                <w:szCs w:val="21"/>
                <w:highlight w:val="none"/>
              </w:rPr>
            </w:pPr>
          </w:p>
        </w:tc>
      </w:tr>
      <w:tr w14:paraId="50BB1CCE">
        <w:tblPrEx>
          <w:tblCellMar>
            <w:top w:w="0" w:type="dxa"/>
            <w:left w:w="108" w:type="dxa"/>
            <w:bottom w:w="0" w:type="dxa"/>
            <w:right w:w="108" w:type="dxa"/>
          </w:tblCellMar>
        </w:tblPrEx>
        <w:trPr>
          <w:trHeight w:val="425" w:hRule="atLeast"/>
        </w:trPr>
        <w:tc>
          <w:tcPr>
            <w:tcW w:w="191" w:type="pct"/>
            <w:vMerge w:val="continue"/>
            <w:tcBorders>
              <w:left w:val="single" w:color="auto" w:sz="4" w:space="0"/>
              <w:right w:val="single" w:color="auto" w:sz="4" w:space="0"/>
            </w:tcBorders>
            <w:shd w:val="clear" w:color="auto" w:fill="auto"/>
            <w:vAlign w:val="center"/>
          </w:tcPr>
          <w:p w14:paraId="4B78A7E4">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7843AA87">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03097389">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5</w:t>
            </w: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作业过程中</w:t>
            </w:r>
            <w:r>
              <w:rPr>
                <w:rFonts w:ascii="Times New Roman" w:hAnsi="Times New Roman" w:eastAsia="仿宋_GB2312"/>
                <w:color w:val="auto"/>
                <w:kern w:val="0"/>
                <w:szCs w:val="21"/>
                <w:highlight w:val="none"/>
              </w:rPr>
              <w:t>存在“三违”问题</w:t>
            </w:r>
            <w:r>
              <w:rPr>
                <w:rFonts w:hint="eastAsia" w:ascii="Times New Roman" w:hAnsi="Times New Roman" w:eastAsia="仿宋_GB2312"/>
                <w:color w:val="auto"/>
                <w:kern w:val="0"/>
                <w:szCs w:val="21"/>
                <w:highlight w:val="none"/>
              </w:rPr>
              <w:t>、特种作业人员未持证上岗</w:t>
            </w:r>
            <w:r>
              <w:rPr>
                <w:rFonts w:ascii="Times New Roman" w:hAnsi="Times New Roman" w:eastAsia="仿宋_GB2312"/>
                <w:color w:val="auto"/>
                <w:kern w:val="0"/>
                <w:szCs w:val="21"/>
                <w:highlight w:val="none"/>
              </w:rPr>
              <w:t>。</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376A0CDD">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1000元/人次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44FADF5">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7B9A9FF2">
            <w:pPr>
              <w:jc w:val="center"/>
              <w:rPr>
                <w:rFonts w:ascii="Times New Roman" w:hAnsi="Times New Roman" w:eastAsia="仿宋_GB2312"/>
                <w:color w:val="auto"/>
                <w:szCs w:val="21"/>
                <w:highlight w:val="none"/>
              </w:rPr>
            </w:pPr>
          </w:p>
        </w:tc>
      </w:tr>
      <w:tr w14:paraId="56A91BDE">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7C9FB7DB">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3B27AA8C">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57E54D86">
            <w:pPr>
              <w:widowControl/>
              <w:textAlignment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6</w:t>
            </w:r>
            <w:r>
              <w:rPr>
                <w:rFonts w:ascii="Times New Roman" w:hAnsi="Times New Roman" w:eastAsia="仿宋_GB2312"/>
                <w:color w:val="auto"/>
                <w:kern w:val="0"/>
                <w:szCs w:val="21"/>
                <w:highlight w:val="none"/>
              </w:rPr>
              <w:t>）未制定与本项目相关的应急预案、未定期开展演练、缺少</w:t>
            </w:r>
          </w:p>
          <w:p w14:paraId="2A8C8204">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必要的应急物资。</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1E213BEE">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092AFD89">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43C25126">
            <w:pPr>
              <w:jc w:val="center"/>
              <w:rPr>
                <w:rFonts w:ascii="Times New Roman" w:hAnsi="Times New Roman" w:eastAsia="仿宋_GB2312"/>
                <w:color w:val="auto"/>
                <w:szCs w:val="21"/>
                <w:highlight w:val="none"/>
              </w:rPr>
            </w:pPr>
          </w:p>
        </w:tc>
      </w:tr>
      <w:tr w14:paraId="00052FC2">
        <w:tblPrEx>
          <w:tblCellMar>
            <w:top w:w="0" w:type="dxa"/>
            <w:left w:w="108" w:type="dxa"/>
            <w:bottom w:w="0" w:type="dxa"/>
            <w:right w:w="108" w:type="dxa"/>
          </w:tblCellMar>
        </w:tblPrEx>
        <w:trPr>
          <w:trHeight w:val="312" w:hRule="atLeast"/>
        </w:trPr>
        <w:tc>
          <w:tcPr>
            <w:tcW w:w="191" w:type="pct"/>
            <w:vMerge w:val="continue"/>
            <w:tcBorders>
              <w:left w:val="single" w:color="auto" w:sz="4" w:space="0"/>
              <w:right w:val="single" w:color="auto" w:sz="4" w:space="0"/>
            </w:tcBorders>
            <w:shd w:val="clear" w:color="auto" w:fill="auto"/>
            <w:vAlign w:val="center"/>
          </w:tcPr>
          <w:p w14:paraId="2A6DD137">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right w:val="single" w:color="auto" w:sz="4" w:space="0"/>
            </w:tcBorders>
            <w:shd w:val="clear" w:color="auto" w:fill="auto"/>
            <w:vAlign w:val="center"/>
          </w:tcPr>
          <w:p w14:paraId="35C3B08B">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14CBC0B1">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7</w:t>
            </w:r>
            <w:r>
              <w:rPr>
                <w:rFonts w:ascii="Times New Roman" w:hAnsi="Times New Roman" w:eastAsia="仿宋_GB2312"/>
                <w:color w:val="auto"/>
                <w:kern w:val="0"/>
                <w:szCs w:val="21"/>
                <w:highlight w:val="none"/>
              </w:rPr>
              <w:t>）未按要求配置消防设施设备</w:t>
            </w:r>
            <w:r>
              <w:rPr>
                <w:rFonts w:hint="eastAsia" w:ascii="Times New Roman" w:hAnsi="Times New Roman" w:eastAsia="仿宋_GB2312"/>
                <w:color w:val="auto"/>
                <w:kern w:val="0"/>
                <w:szCs w:val="21"/>
                <w:highlight w:val="none"/>
              </w:rPr>
              <w:t>或</w:t>
            </w:r>
            <w:r>
              <w:rPr>
                <w:rFonts w:ascii="Times New Roman" w:hAnsi="Times New Roman" w:eastAsia="仿宋_GB2312"/>
                <w:color w:val="auto"/>
                <w:kern w:val="0"/>
                <w:szCs w:val="21"/>
                <w:highlight w:val="none"/>
              </w:rPr>
              <w:t>未按要求进行检查（点检）、车辆或特种设备故障或未及时校验。</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67FF7DBA">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2DB67CEC">
            <w:pPr>
              <w:jc w:val="center"/>
              <w:rPr>
                <w:rFonts w:ascii="Times New Roman" w:hAnsi="Times New Roman" w:eastAsia="仿宋_GB2312"/>
                <w:color w:val="auto"/>
                <w:szCs w:val="21"/>
                <w:highlight w:val="none"/>
              </w:rPr>
            </w:pPr>
          </w:p>
        </w:tc>
        <w:tc>
          <w:tcPr>
            <w:tcW w:w="457" w:type="pct"/>
            <w:vMerge w:val="continue"/>
            <w:tcBorders>
              <w:left w:val="single" w:color="auto" w:sz="4" w:space="0"/>
              <w:right w:val="single" w:color="auto" w:sz="4" w:space="0"/>
            </w:tcBorders>
            <w:shd w:val="clear" w:color="auto" w:fill="auto"/>
            <w:vAlign w:val="center"/>
          </w:tcPr>
          <w:p w14:paraId="3DEC5E46">
            <w:pPr>
              <w:jc w:val="center"/>
              <w:rPr>
                <w:rFonts w:ascii="Times New Roman" w:hAnsi="Times New Roman" w:eastAsia="仿宋_GB2312"/>
                <w:color w:val="auto"/>
                <w:szCs w:val="21"/>
                <w:highlight w:val="none"/>
              </w:rPr>
            </w:pPr>
          </w:p>
        </w:tc>
      </w:tr>
      <w:tr w14:paraId="04C3B544">
        <w:tblPrEx>
          <w:tblCellMar>
            <w:top w:w="0" w:type="dxa"/>
            <w:left w:w="108" w:type="dxa"/>
            <w:bottom w:w="0" w:type="dxa"/>
            <w:right w:w="108" w:type="dxa"/>
          </w:tblCellMar>
        </w:tblPrEx>
        <w:trPr>
          <w:trHeight w:val="312" w:hRule="atLeast"/>
        </w:trPr>
        <w:tc>
          <w:tcPr>
            <w:tcW w:w="191" w:type="pct"/>
            <w:vMerge w:val="continue"/>
            <w:tcBorders>
              <w:left w:val="single" w:color="auto" w:sz="4" w:space="0"/>
              <w:bottom w:val="single" w:color="auto" w:sz="4" w:space="0"/>
              <w:right w:val="single" w:color="auto" w:sz="4" w:space="0"/>
            </w:tcBorders>
            <w:shd w:val="clear" w:color="auto" w:fill="auto"/>
            <w:vAlign w:val="center"/>
          </w:tcPr>
          <w:p w14:paraId="6B56B7BE">
            <w:pPr>
              <w:widowControl/>
              <w:jc w:val="center"/>
              <w:textAlignment w:val="center"/>
              <w:rPr>
                <w:rFonts w:ascii="Times New Roman" w:hAnsi="Times New Roman" w:eastAsia="仿宋_GB2312"/>
                <w:color w:val="auto"/>
                <w:kern w:val="0"/>
                <w:szCs w:val="21"/>
                <w:highlight w:val="none"/>
              </w:rPr>
            </w:pPr>
          </w:p>
        </w:tc>
        <w:tc>
          <w:tcPr>
            <w:tcW w:w="466" w:type="pct"/>
            <w:vMerge w:val="continue"/>
            <w:tcBorders>
              <w:left w:val="single" w:color="auto" w:sz="4" w:space="0"/>
              <w:bottom w:val="single" w:color="auto" w:sz="4" w:space="0"/>
              <w:right w:val="single" w:color="auto" w:sz="4" w:space="0"/>
            </w:tcBorders>
            <w:shd w:val="clear" w:color="auto" w:fill="auto"/>
            <w:vAlign w:val="center"/>
          </w:tcPr>
          <w:p w14:paraId="4485CB7C">
            <w:pPr>
              <w:widowControl/>
              <w:jc w:val="center"/>
              <w:textAlignment w:val="center"/>
              <w:rPr>
                <w:rFonts w:ascii="Times New Roman" w:hAnsi="Times New Roman" w:eastAsia="仿宋_GB2312"/>
                <w:color w:val="auto"/>
                <w:kern w:val="0"/>
                <w:szCs w:val="21"/>
                <w:highlight w:val="none"/>
              </w:rPr>
            </w:pPr>
          </w:p>
        </w:tc>
        <w:tc>
          <w:tcPr>
            <w:tcW w:w="2011" w:type="pct"/>
            <w:tcBorders>
              <w:top w:val="single" w:color="auto" w:sz="4" w:space="0"/>
              <w:left w:val="single" w:color="auto" w:sz="4" w:space="0"/>
              <w:bottom w:val="single" w:color="auto" w:sz="4" w:space="0"/>
              <w:right w:val="single" w:color="auto" w:sz="4" w:space="0"/>
            </w:tcBorders>
            <w:shd w:val="clear" w:color="auto" w:fill="auto"/>
            <w:vAlign w:val="center"/>
          </w:tcPr>
          <w:p w14:paraId="45F83297">
            <w:pPr>
              <w:widowControl/>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w:t>
            </w:r>
            <w:r>
              <w:rPr>
                <w:rFonts w:hint="eastAsia" w:ascii="Times New Roman" w:hAnsi="Times New Roman" w:eastAsia="仿宋_GB2312"/>
                <w:color w:val="auto"/>
                <w:kern w:val="0"/>
                <w:szCs w:val="21"/>
                <w:highlight w:val="none"/>
              </w:rPr>
              <w:t>8</w:t>
            </w:r>
            <w:r>
              <w:rPr>
                <w:rFonts w:ascii="Times New Roman" w:hAnsi="Times New Roman" w:eastAsia="仿宋_GB2312"/>
                <w:color w:val="auto"/>
                <w:kern w:val="0"/>
                <w:szCs w:val="21"/>
                <w:highlight w:val="none"/>
              </w:rPr>
              <w:t>）发生安全生产事故（事件）、偷倒土或建筑垃圾。</w:t>
            </w:r>
          </w:p>
        </w:tc>
        <w:tc>
          <w:tcPr>
            <w:tcW w:w="1293" w:type="pct"/>
            <w:tcBorders>
              <w:top w:val="single" w:color="auto" w:sz="4" w:space="0"/>
              <w:left w:val="single" w:color="auto" w:sz="4" w:space="0"/>
              <w:bottom w:val="single" w:color="auto" w:sz="4" w:space="0"/>
              <w:right w:val="single" w:color="auto" w:sz="4" w:space="0"/>
            </w:tcBorders>
            <w:shd w:val="clear" w:color="auto" w:fill="auto"/>
            <w:vAlign w:val="center"/>
          </w:tcPr>
          <w:p w14:paraId="23E939B0">
            <w:pPr>
              <w:jc w:val="center"/>
              <w:rPr>
                <w:rFonts w:hint="eastAsia" w:ascii="Times New Roman" w:hAnsi="Times New Roman" w:eastAsia="仿宋_GB2312"/>
                <w:color w:val="auto"/>
                <w:kern w:val="0"/>
                <w:szCs w:val="21"/>
                <w:highlight w:val="none"/>
                <w:lang w:val="en-US" w:eastAsia="zh-CN"/>
              </w:rPr>
            </w:pPr>
            <w:r>
              <w:rPr>
                <w:rFonts w:ascii="Times New Roman" w:hAnsi="Times New Roman" w:eastAsia="仿宋_GB2312"/>
                <w:color w:val="auto"/>
                <w:kern w:val="0"/>
                <w:szCs w:val="21"/>
                <w:highlight w:val="none"/>
              </w:rPr>
              <w:t>视情节轻重</w:t>
            </w:r>
          </w:p>
          <w:p w14:paraId="304C726E">
            <w:pPr>
              <w:jc w:val="center"/>
              <w:rPr>
                <w:rFonts w:ascii="Times New Roman" w:hAnsi="Times New Roman" w:eastAsia="仿宋_GB2312"/>
                <w:color w:val="auto"/>
                <w:kern w:val="0"/>
                <w:szCs w:val="21"/>
                <w:highlight w:val="none"/>
              </w:rPr>
            </w:pPr>
            <w:r>
              <w:rPr>
                <w:rFonts w:ascii="Times New Roman" w:hAnsi="Times New Roman" w:eastAsia="仿宋_GB2312"/>
                <w:color w:val="auto"/>
                <w:kern w:val="0"/>
                <w:szCs w:val="21"/>
                <w:highlight w:val="none"/>
              </w:rPr>
              <w:t>20000、50000、100000元/次</w:t>
            </w:r>
          </w:p>
        </w:tc>
        <w:tc>
          <w:tcPr>
            <w:tcW w:w="578" w:type="pct"/>
            <w:tcBorders>
              <w:top w:val="single" w:color="auto" w:sz="4" w:space="0"/>
              <w:left w:val="single" w:color="auto" w:sz="4" w:space="0"/>
              <w:bottom w:val="single" w:color="auto" w:sz="4" w:space="0"/>
              <w:right w:val="single" w:color="auto" w:sz="4" w:space="0"/>
            </w:tcBorders>
            <w:shd w:val="clear" w:color="auto" w:fill="auto"/>
            <w:vAlign w:val="center"/>
          </w:tcPr>
          <w:p w14:paraId="30D4CAA8">
            <w:pPr>
              <w:jc w:val="center"/>
              <w:rPr>
                <w:rFonts w:ascii="Times New Roman" w:hAnsi="Times New Roman" w:eastAsia="仿宋_GB2312"/>
                <w:color w:val="auto"/>
                <w:szCs w:val="21"/>
                <w:highlight w:val="none"/>
              </w:rPr>
            </w:pPr>
          </w:p>
        </w:tc>
        <w:tc>
          <w:tcPr>
            <w:tcW w:w="457" w:type="pct"/>
            <w:vMerge w:val="continue"/>
            <w:tcBorders>
              <w:left w:val="single" w:color="auto" w:sz="4" w:space="0"/>
              <w:bottom w:val="single" w:color="auto" w:sz="4" w:space="0"/>
              <w:right w:val="single" w:color="auto" w:sz="4" w:space="0"/>
            </w:tcBorders>
            <w:shd w:val="clear" w:color="auto" w:fill="auto"/>
            <w:vAlign w:val="center"/>
          </w:tcPr>
          <w:p w14:paraId="2CD143D4">
            <w:pPr>
              <w:jc w:val="center"/>
              <w:rPr>
                <w:rFonts w:ascii="Times New Roman" w:hAnsi="Times New Roman" w:eastAsia="仿宋_GB2312"/>
                <w:color w:val="auto"/>
                <w:szCs w:val="21"/>
                <w:highlight w:val="none"/>
              </w:rPr>
            </w:pPr>
          </w:p>
        </w:tc>
      </w:tr>
      <w:tr w14:paraId="550DCAF5">
        <w:tblPrEx>
          <w:tblCellMar>
            <w:top w:w="0" w:type="dxa"/>
            <w:left w:w="108" w:type="dxa"/>
            <w:bottom w:w="0" w:type="dxa"/>
            <w:right w:w="108" w:type="dxa"/>
          </w:tblCellMar>
        </w:tblPrEx>
        <w:trPr>
          <w:trHeight w:val="563" w:hRule="atLeast"/>
        </w:trPr>
        <w:tc>
          <w:tcPr>
            <w:tcW w:w="65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E338E1">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扣款说明</w:t>
            </w:r>
          </w:p>
        </w:tc>
        <w:tc>
          <w:tcPr>
            <w:tcW w:w="434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5E9739F">
            <w:pPr>
              <w:keepNext w:val="0"/>
              <w:keepLines w:val="0"/>
              <w:pageBreakBefore w:val="0"/>
              <w:kinsoku/>
              <w:wordWrap/>
              <w:overflowPunct/>
              <w:topLinePunct w:val="0"/>
              <w:autoSpaceDE/>
              <w:autoSpaceDN/>
              <w:bidi w:val="0"/>
              <w:adjustRightInd/>
              <w:snapToGrid/>
              <w:jc w:val="center"/>
              <w:rPr>
                <w:rFonts w:ascii="Times New Roman" w:hAnsi="Times New Roman" w:eastAsia="仿宋_GB2312"/>
                <w:color w:val="auto"/>
                <w:szCs w:val="21"/>
                <w:highlight w:val="none"/>
              </w:rPr>
            </w:pPr>
          </w:p>
        </w:tc>
      </w:tr>
      <w:tr w14:paraId="018F6390">
        <w:tblPrEx>
          <w:tblCellMar>
            <w:top w:w="0" w:type="dxa"/>
            <w:left w:w="108" w:type="dxa"/>
            <w:bottom w:w="0" w:type="dxa"/>
            <w:right w:w="108" w:type="dxa"/>
          </w:tblCellMar>
        </w:tblPrEx>
        <w:trPr>
          <w:trHeight w:val="511" w:hRule="atLeast"/>
        </w:trPr>
        <w:tc>
          <w:tcPr>
            <w:tcW w:w="65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237D4C">
            <w:pPr>
              <w:widowControl/>
              <w:jc w:val="center"/>
              <w:textAlignment w:val="center"/>
              <w:rPr>
                <w:rFonts w:ascii="Times New Roman" w:hAnsi="Times New Roman" w:eastAsia="仿宋_GB2312"/>
                <w:color w:val="auto"/>
                <w:szCs w:val="21"/>
                <w:highlight w:val="none"/>
              </w:rPr>
            </w:pPr>
            <w:r>
              <w:rPr>
                <w:rFonts w:ascii="Times New Roman" w:hAnsi="Times New Roman" w:eastAsia="仿宋_GB2312"/>
                <w:color w:val="auto"/>
                <w:kern w:val="0"/>
                <w:szCs w:val="21"/>
                <w:highlight w:val="none"/>
              </w:rPr>
              <w:t>扣款总金额</w:t>
            </w:r>
          </w:p>
        </w:tc>
        <w:tc>
          <w:tcPr>
            <w:tcW w:w="434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AF8253">
            <w:pPr>
              <w:rPr>
                <w:rFonts w:ascii="Times New Roman" w:hAnsi="Times New Roman" w:eastAsia="仿宋_GB2312"/>
                <w:color w:val="auto"/>
                <w:szCs w:val="21"/>
                <w:highlight w:val="none"/>
              </w:rPr>
            </w:pPr>
          </w:p>
        </w:tc>
      </w:tr>
      <w:tr w14:paraId="084A0349">
        <w:tblPrEx>
          <w:tblCellMar>
            <w:top w:w="0" w:type="dxa"/>
            <w:left w:w="108" w:type="dxa"/>
            <w:bottom w:w="0" w:type="dxa"/>
            <w:right w:w="108" w:type="dxa"/>
          </w:tblCellMar>
        </w:tblPrEx>
        <w:trPr>
          <w:trHeight w:val="429" w:hRule="atLeast"/>
        </w:trPr>
        <w:tc>
          <w:tcPr>
            <w:tcW w:w="5000" w:type="pct"/>
            <w:gridSpan w:val="6"/>
            <w:tcBorders>
              <w:top w:val="single" w:color="auto" w:sz="4" w:space="0"/>
              <w:left w:val="nil"/>
              <w:bottom w:val="nil"/>
              <w:right w:val="nil"/>
            </w:tcBorders>
            <w:shd w:val="clear" w:color="auto" w:fill="auto"/>
            <w:vAlign w:val="center"/>
          </w:tcPr>
          <w:p w14:paraId="65DCD8DC">
            <w:pPr>
              <w:jc w:val="left"/>
              <w:rPr>
                <w:rFonts w:ascii="Times New Roman" w:hAnsi="Times New Roman" w:eastAsia="仿宋_GB2312"/>
                <w:color w:val="auto"/>
                <w:szCs w:val="21"/>
                <w:highlight w:val="none"/>
              </w:rPr>
            </w:pPr>
            <w:r>
              <w:rPr>
                <w:rFonts w:hint="eastAsia" w:ascii="Times New Roman" w:hAnsi="Times New Roman" w:eastAsia="仿宋_GB2312"/>
                <w:color w:val="auto"/>
                <w:szCs w:val="21"/>
                <w:highlight w:val="none"/>
              </w:rPr>
              <w:t>注：参与履约评价考核的项目，应对考核内容进行相应评分。</w:t>
            </w:r>
          </w:p>
        </w:tc>
      </w:tr>
      <w:tr w14:paraId="5FA0D46E">
        <w:tblPrEx>
          <w:tblCellMar>
            <w:top w:w="0" w:type="dxa"/>
            <w:left w:w="108" w:type="dxa"/>
            <w:bottom w:w="0" w:type="dxa"/>
            <w:right w:w="108" w:type="dxa"/>
          </w:tblCellMar>
        </w:tblPrEx>
        <w:trPr>
          <w:trHeight w:val="737" w:hRule="atLeast"/>
        </w:trPr>
        <w:tc>
          <w:tcPr>
            <w:tcW w:w="5000" w:type="pct"/>
            <w:gridSpan w:val="6"/>
            <w:tcBorders>
              <w:top w:val="nil"/>
              <w:left w:val="nil"/>
              <w:bottom w:val="nil"/>
              <w:right w:val="nil"/>
            </w:tcBorders>
            <w:shd w:val="clear" w:color="auto" w:fill="auto"/>
            <w:vAlign w:val="center"/>
          </w:tcPr>
          <w:p w14:paraId="716A0228">
            <w:pPr>
              <w:jc w:val="left"/>
              <w:rPr>
                <w:rFonts w:ascii="Times New Roman" w:hAnsi="Times New Roman" w:eastAsia="仿宋_GB2312"/>
                <w:color w:val="auto"/>
                <w:szCs w:val="21"/>
                <w:highlight w:val="none"/>
              </w:rPr>
            </w:pPr>
            <w:r>
              <w:rPr>
                <w:rFonts w:ascii="Times New Roman" w:hAnsi="Times New Roman" w:eastAsia="仿宋_GB2312"/>
                <w:color w:val="auto"/>
                <w:szCs w:val="21"/>
                <w:highlight w:val="none"/>
              </w:rPr>
              <w:t>考核</w:t>
            </w:r>
            <w:r>
              <w:rPr>
                <w:rFonts w:hint="eastAsia" w:ascii="Times New Roman" w:hAnsi="Times New Roman" w:eastAsia="仿宋_GB2312"/>
                <w:color w:val="auto"/>
                <w:szCs w:val="21"/>
                <w:highlight w:val="none"/>
              </w:rPr>
              <w:t>部门</w:t>
            </w:r>
            <w:r>
              <w:rPr>
                <w:rFonts w:ascii="Times New Roman" w:hAnsi="Times New Roman" w:eastAsia="仿宋_GB2312"/>
                <w:color w:val="auto"/>
                <w:szCs w:val="21"/>
                <w:highlight w:val="none"/>
              </w:rPr>
              <w:t>（签字</w:t>
            </w:r>
            <w:r>
              <w:rPr>
                <w:rFonts w:hint="eastAsia" w:ascii="Times New Roman" w:hAnsi="Times New Roman" w:eastAsia="仿宋_GB2312"/>
                <w:color w:val="auto"/>
                <w:szCs w:val="21"/>
                <w:highlight w:val="none"/>
              </w:rPr>
              <w:t>盖章</w:t>
            </w:r>
            <w:r>
              <w:rPr>
                <w:rFonts w:ascii="Times New Roman" w:hAnsi="Times New Roman" w:eastAsia="仿宋_GB2312"/>
                <w:color w:val="auto"/>
                <w:szCs w:val="21"/>
                <w:highlight w:val="none"/>
              </w:rPr>
              <w:t xml:space="preserve">）：                                             </w:t>
            </w:r>
            <w:r>
              <w:rPr>
                <w:rFonts w:hint="eastAsia" w:ascii="Times New Roman" w:hAnsi="Times New Roman" w:eastAsia="仿宋_GB2312"/>
                <w:color w:val="auto"/>
                <w:szCs w:val="21"/>
                <w:highlight w:val="none"/>
                <w:lang w:val="en-US" w:eastAsia="zh-CN"/>
              </w:rPr>
              <w:t xml:space="preserve">         </w:t>
            </w:r>
            <w:r>
              <w:rPr>
                <w:rFonts w:ascii="Times New Roman" w:hAnsi="Times New Roman" w:eastAsia="仿宋_GB2312"/>
                <w:color w:val="auto"/>
                <w:szCs w:val="21"/>
                <w:highlight w:val="none"/>
              </w:rPr>
              <w:t>承包企业（签字盖章）：</w:t>
            </w:r>
            <w:r>
              <w:rPr>
                <w:rFonts w:ascii="Times New Roman" w:hAnsi="Times New Roman" w:eastAsia="仿宋_GB2312"/>
                <w:color w:val="auto"/>
                <w:szCs w:val="21"/>
                <w:highlight w:val="none"/>
              </w:rPr>
              <w:br w:type="page"/>
            </w:r>
            <w:r>
              <w:rPr>
                <w:rFonts w:ascii="Times New Roman" w:hAnsi="Times New Roman" w:eastAsia="仿宋_GB2312"/>
                <w:color w:val="auto"/>
                <w:szCs w:val="21"/>
                <w:highlight w:val="none"/>
              </w:rPr>
              <w:t xml:space="preserve"> </w:t>
            </w:r>
          </w:p>
        </w:tc>
      </w:tr>
      <w:tr w14:paraId="676B9923">
        <w:tblPrEx>
          <w:tblCellMar>
            <w:top w:w="0" w:type="dxa"/>
            <w:left w:w="108" w:type="dxa"/>
            <w:bottom w:w="0" w:type="dxa"/>
            <w:right w:w="108" w:type="dxa"/>
          </w:tblCellMar>
        </w:tblPrEx>
        <w:trPr>
          <w:trHeight w:val="469" w:hRule="atLeast"/>
        </w:trPr>
        <w:tc>
          <w:tcPr>
            <w:tcW w:w="5000" w:type="pct"/>
            <w:gridSpan w:val="6"/>
            <w:tcBorders>
              <w:top w:val="nil"/>
              <w:left w:val="nil"/>
              <w:bottom w:val="nil"/>
              <w:right w:val="nil"/>
            </w:tcBorders>
            <w:shd w:val="clear" w:color="auto" w:fill="auto"/>
            <w:noWrap/>
            <w:vAlign w:val="center"/>
          </w:tcPr>
          <w:p w14:paraId="3B5E1AAA">
            <w:pPr>
              <w:jc w:val="left"/>
              <w:rPr>
                <w:rFonts w:ascii="Times New Roman" w:hAnsi="Times New Roman" w:eastAsia="仿宋"/>
                <w:color w:val="auto"/>
                <w:highlight w:val="none"/>
              </w:rPr>
            </w:pPr>
            <w:r>
              <w:rPr>
                <w:rFonts w:hint="eastAsia" w:ascii="Times New Roman" w:hAnsi="Times New Roman" w:eastAsia="仿宋_GB2312"/>
                <w:color w:val="auto"/>
                <w:szCs w:val="21"/>
                <w:highlight w:val="none"/>
              </w:rPr>
              <w:t>日</w:t>
            </w:r>
            <w:r>
              <w:rPr>
                <w:rFonts w:ascii="Times New Roman" w:hAnsi="Times New Roman" w:eastAsia="仿宋_GB2312"/>
                <w:color w:val="auto"/>
                <w:szCs w:val="21"/>
                <w:highlight w:val="none"/>
              </w:rPr>
              <w:t xml:space="preserve"> </w:t>
            </w:r>
            <w:r>
              <w:rPr>
                <w:rFonts w:hint="eastAsia" w:ascii="Times New Roman" w:hAnsi="Times New Roman" w:eastAsia="仿宋_GB2312"/>
                <w:color w:val="auto"/>
                <w:szCs w:val="21"/>
                <w:highlight w:val="none"/>
              </w:rPr>
              <w:t>期：</w:t>
            </w:r>
          </w:p>
        </w:tc>
      </w:tr>
    </w:tbl>
    <w:p w14:paraId="7240BA37">
      <w:pPr>
        <w:pStyle w:val="13"/>
        <w:keepNext w:val="0"/>
        <w:keepLines w:val="0"/>
        <w:kinsoku/>
        <w:wordWrap/>
        <w:overflowPunct/>
        <w:topLinePunct w:val="0"/>
        <w:autoSpaceDE/>
        <w:autoSpaceDN/>
        <w:bidi w:val="0"/>
        <w:snapToGrid w:val="0"/>
        <w:spacing w:line="360" w:lineRule="auto"/>
        <w:ind w:left="0" w:leftChars="0" w:firstLine="0" w:firstLineChars="0"/>
        <w:jc w:val="left"/>
        <w:rPr>
          <w:rFonts w:asciiTheme="minorEastAsia" w:hAnsiTheme="minorEastAsia" w:eastAsiaTheme="minorEastAsia"/>
          <w:b/>
          <w:color w:val="auto"/>
          <w:sz w:val="24"/>
          <w:szCs w:val="24"/>
          <w:highlight w:val="none"/>
        </w:rPr>
      </w:pPr>
    </w:p>
    <w:sectPr>
      <w:footerReference r:id="rId5" w:type="default"/>
      <w:pgSz w:w="16838" w:h="11906" w:orient="landscape"/>
      <w:pgMar w:top="1293" w:right="1440" w:bottom="1293"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07759">
    <w:pPr>
      <w:spacing w:line="236" w:lineRule="auto"/>
      <w:ind w:left="4866"/>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44B79">
    <w:pPr>
      <w:pStyle w:val="7"/>
      <w:jc w:val="center"/>
    </w:pPr>
  </w:p>
  <w:p w14:paraId="47B28D22">
    <w:pPr>
      <w:pStyle w:val="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D5641">
    <w:pPr>
      <w:pStyle w:val="7"/>
      <w:jc w:val="center"/>
    </w:pPr>
  </w:p>
  <w:p w14:paraId="3B1B9C97">
    <w:pPr>
      <w:pStyle w:val="7"/>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3MGE1MWJiMWQzZmE3Yjg0MzNiODkyMmI0OTM0MGIifQ=="/>
  </w:docVars>
  <w:rsids>
    <w:rsidRoot w:val="004E74D5"/>
    <w:rsid w:val="0001372A"/>
    <w:rsid w:val="000159EA"/>
    <w:rsid w:val="00016D65"/>
    <w:rsid w:val="0002472E"/>
    <w:rsid w:val="000247F9"/>
    <w:rsid w:val="00043C1A"/>
    <w:rsid w:val="00060E3B"/>
    <w:rsid w:val="000757D2"/>
    <w:rsid w:val="00076264"/>
    <w:rsid w:val="000B4091"/>
    <w:rsid w:val="000D4AEA"/>
    <w:rsid w:val="000D6B69"/>
    <w:rsid w:val="000D7854"/>
    <w:rsid w:val="000E5730"/>
    <w:rsid w:val="000E6416"/>
    <w:rsid w:val="000F1EBA"/>
    <w:rsid w:val="00104CC4"/>
    <w:rsid w:val="001231D2"/>
    <w:rsid w:val="0013107A"/>
    <w:rsid w:val="001369FE"/>
    <w:rsid w:val="00145AB2"/>
    <w:rsid w:val="00162776"/>
    <w:rsid w:val="00173158"/>
    <w:rsid w:val="0017565A"/>
    <w:rsid w:val="001A2D27"/>
    <w:rsid w:val="001D2CCD"/>
    <w:rsid w:val="001D76B7"/>
    <w:rsid w:val="001E2B2C"/>
    <w:rsid w:val="00211CD8"/>
    <w:rsid w:val="00230EE9"/>
    <w:rsid w:val="00245C75"/>
    <w:rsid w:val="0025733A"/>
    <w:rsid w:val="0026466C"/>
    <w:rsid w:val="00286F8B"/>
    <w:rsid w:val="002C2F61"/>
    <w:rsid w:val="002D17D3"/>
    <w:rsid w:val="002D74CE"/>
    <w:rsid w:val="002E4D07"/>
    <w:rsid w:val="002F3A9E"/>
    <w:rsid w:val="002F7191"/>
    <w:rsid w:val="00312B62"/>
    <w:rsid w:val="00317960"/>
    <w:rsid w:val="00326EE6"/>
    <w:rsid w:val="003444C0"/>
    <w:rsid w:val="00353760"/>
    <w:rsid w:val="00360DC6"/>
    <w:rsid w:val="00372E98"/>
    <w:rsid w:val="00373BE4"/>
    <w:rsid w:val="00377478"/>
    <w:rsid w:val="003904ED"/>
    <w:rsid w:val="003A62AE"/>
    <w:rsid w:val="003B0C31"/>
    <w:rsid w:val="003B2A58"/>
    <w:rsid w:val="003B3670"/>
    <w:rsid w:val="003B506B"/>
    <w:rsid w:val="003B7BCD"/>
    <w:rsid w:val="003C2E4F"/>
    <w:rsid w:val="003D4F5E"/>
    <w:rsid w:val="003D7FC4"/>
    <w:rsid w:val="003F0E32"/>
    <w:rsid w:val="003F1C56"/>
    <w:rsid w:val="00405B36"/>
    <w:rsid w:val="0044429F"/>
    <w:rsid w:val="00446AF5"/>
    <w:rsid w:val="00465D3E"/>
    <w:rsid w:val="0046766E"/>
    <w:rsid w:val="004807E3"/>
    <w:rsid w:val="004A2A1A"/>
    <w:rsid w:val="004B6A49"/>
    <w:rsid w:val="004C4435"/>
    <w:rsid w:val="004D0E2C"/>
    <w:rsid w:val="004D1BB6"/>
    <w:rsid w:val="004E3479"/>
    <w:rsid w:val="004E74D5"/>
    <w:rsid w:val="004F127E"/>
    <w:rsid w:val="00513023"/>
    <w:rsid w:val="005401B1"/>
    <w:rsid w:val="00552483"/>
    <w:rsid w:val="00560363"/>
    <w:rsid w:val="00575309"/>
    <w:rsid w:val="00577825"/>
    <w:rsid w:val="00585347"/>
    <w:rsid w:val="00586D3A"/>
    <w:rsid w:val="005A3714"/>
    <w:rsid w:val="005D58DD"/>
    <w:rsid w:val="005D5979"/>
    <w:rsid w:val="005D7ECD"/>
    <w:rsid w:val="005F7C6F"/>
    <w:rsid w:val="006030A2"/>
    <w:rsid w:val="006161C7"/>
    <w:rsid w:val="0062082E"/>
    <w:rsid w:val="00622C54"/>
    <w:rsid w:val="006323FC"/>
    <w:rsid w:val="00634013"/>
    <w:rsid w:val="0066586C"/>
    <w:rsid w:val="00685A42"/>
    <w:rsid w:val="00690826"/>
    <w:rsid w:val="006A4064"/>
    <w:rsid w:val="006A7DA3"/>
    <w:rsid w:val="006B556C"/>
    <w:rsid w:val="006C6F07"/>
    <w:rsid w:val="0071410C"/>
    <w:rsid w:val="00725DD7"/>
    <w:rsid w:val="00757191"/>
    <w:rsid w:val="00781001"/>
    <w:rsid w:val="00784075"/>
    <w:rsid w:val="007B3916"/>
    <w:rsid w:val="007B4B21"/>
    <w:rsid w:val="007D4CF9"/>
    <w:rsid w:val="007D773D"/>
    <w:rsid w:val="007E36DD"/>
    <w:rsid w:val="008051D4"/>
    <w:rsid w:val="00820D39"/>
    <w:rsid w:val="00825073"/>
    <w:rsid w:val="0082521F"/>
    <w:rsid w:val="0084103D"/>
    <w:rsid w:val="00842E89"/>
    <w:rsid w:val="00842F97"/>
    <w:rsid w:val="00864717"/>
    <w:rsid w:val="008735F3"/>
    <w:rsid w:val="0089370C"/>
    <w:rsid w:val="008A7E0D"/>
    <w:rsid w:val="008C63A0"/>
    <w:rsid w:val="008C79E7"/>
    <w:rsid w:val="008D6773"/>
    <w:rsid w:val="008E096F"/>
    <w:rsid w:val="008F0996"/>
    <w:rsid w:val="008F79E3"/>
    <w:rsid w:val="00902BCD"/>
    <w:rsid w:val="0090356F"/>
    <w:rsid w:val="00904820"/>
    <w:rsid w:val="0090533A"/>
    <w:rsid w:val="009173DD"/>
    <w:rsid w:val="00922C9B"/>
    <w:rsid w:val="00924612"/>
    <w:rsid w:val="00927909"/>
    <w:rsid w:val="0093501F"/>
    <w:rsid w:val="00937C7F"/>
    <w:rsid w:val="00954271"/>
    <w:rsid w:val="009601CA"/>
    <w:rsid w:val="0096578F"/>
    <w:rsid w:val="009662F8"/>
    <w:rsid w:val="009768B4"/>
    <w:rsid w:val="009770E2"/>
    <w:rsid w:val="009804EE"/>
    <w:rsid w:val="00992650"/>
    <w:rsid w:val="009B78CE"/>
    <w:rsid w:val="009D22DF"/>
    <w:rsid w:val="00A03315"/>
    <w:rsid w:val="00A10B9F"/>
    <w:rsid w:val="00A23162"/>
    <w:rsid w:val="00A402D3"/>
    <w:rsid w:val="00A606DC"/>
    <w:rsid w:val="00A65518"/>
    <w:rsid w:val="00A74AC5"/>
    <w:rsid w:val="00A81DCE"/>
    <w:rsid w:val="00AA0F90"/>
    <w:rsid w:val="00AC68D6"/>
    <w:rsid w:val="00AD5E0E"/>
    <w:rsid w:val="00AE015C"/>
    <w:rsid w:val="00AE036A"/>
    <w:rsid w:val="00AF72EC"/>
    <w:rsid w:val="00B16182"/>
    <w:rsid w:val="00B31C1D"/>
    <w:rsid w:val="00B32889"/>
    <w:rsid w:val="00B4729C"/>
    <w:rsid w:val="00B47677"/>
    <w:rsid w:val="00B52698"/>
    <w:rsid w:val="00B54154"/>
    <w:rsid w:val="00B615DB"/>
    <w:rsid w:val="00B7213F"/>
    <w:rsid w:val="00B9491A"/>
    <w:rsid w:val="00BA592E"/>
    <w:rsid w:val="00BD4A8F"/>
    <w:rsid w:val="00BE5ACF"/>
    <w:rsid w:val="00BF6803"/>
    <w:rsid w:val="00C124D8"/>
    <w:rsid w:val="00C172B2"/>
    <w:rsid w:val="00C40EDF"/>
    <w:rsid w:val="00C54C36"/>
    <w:rsid w:val="00C56DEF"/>
    <w:rsid w:val="00C64B60"/>
    <w:rsid w:val="00C7559F"/>
    <w:rsid w:val="00C8461C"/>
    <w:rsid w:val="00C84E3E"/>
    <w:rsid w:val="00C86245"/>
    <w:rsid w:val="00C9035A"/>
    <w:rsid w:val="00CC6091"/>
    <w:rsid w:val="00CD3891"/>
    <w:rsid w:val="00CE1D25"/>
    <w:rsid w:val="00D0391A"/>
    <w:rsid w:val="00D17027"/>
    <w:rsid w:val="00D224B0"/>
    <w:rsid w:val="00D23CCA"/>
    <w:rsid w:val="00D43E50"/>
    <w:rsid w:val="00D90BED"/>
    <w:rsid w:val="00D952AF"/>
    <w:rsid w:val="00DA3504"/>
    <w:rsid w:val="00DA566D"/>
    <w:rsid w:val="00DD1B49"/>
    <w:rsid w:val="00DD7D3C"/>
    <w:rsid w:val="00DE2A98"/>
    <w:rsid w:val="00DE48AA"/>
    <w:rsid w:val="00E06C32"/>
    <w:rsid w:val="00E1130E"/>
    <w:rsid w:val="00E21B2E"/>
    <w:rsid w:val="00E26AF4"/>
    <w:rsid w:val="00E36D31"/>
    <w:rsid w:val="00E664E8"/>
    <w:rsid w:val="00E707F8"/>
    <w:rsid w:val="00E74BB5"/>
    <w:rsid w:val="00E872B6"/>
    <w:rsid w:val="00E90F18"/>
    <w:rsid w:val="00EB3067"/>
    <w:rsid w:val="00EC1C62"/>
    <w:rsid w:val="00ED1F15"/>
    <w:rsid w:val="00ED4889"/>
    <w:rsid w:val="00EE2983"/>
    <w:rsid w:val="00EF1AD4"/>
    <w:rsid w:val="00EF6117"/>
    <w:rsid w:val="00EF6881"/>
    <w:rsid w:val="00F0434C"/>
    <w:rsid w:val="00F06F64"/>
    <w:rsid w:val="00F22E2F"/>
    <w:rsid w:val="00F315BF"/>
    <w:rsid w:val="00F56F90"/>
    <w:rsid w:val="00F65B63"/>
    <w:rsid w:val="00F70AA3"/>
    <w:rsid w:val="00F72151"/>
    <w:rsid w:val="00F74D26"/>
    <w:rsid w:val="00F83825"/>
    <w:rsid w:val="00F879E1"/>
    <w:rsid w:val="00FD2158"/>
    <w:rsid w:val="00FF5B69"/>
    <w:rsid w:val="04C47632"/>
    <w:rsid w:val="0E8872EF"/>
    <w:rsid w:val="162C3FA5"/>
    <w:rsid w:val="186E51A7"/>
    <w:rsid w:val="18EA613B"/>
    <w:rsid w:val="1A7C1C90"/>
    <w:rsid w:val="1B1C5AE4"/>
    <w:rsid w:val="209462D2"/>
    <w:rsid w:val="294D6E4E"/>
    <w:rsid w:val="2D9A22B0"/>
    <w:rsid w:val="30AD21DC"/>
    <w:rsid w:val="3BB650FD"/>
    <w:rsid w:val="3D9170BE"/>
    <w:rsid w:val="3DEB5158"/>
    <w:rsid w:val="40F47DB5"/>
    <w:rsid w:val="47406266"/>
    <w:rsid w:val="4BD62160"/>
    <w:rsid w:val="4FD562A2"/>
    <w:rsid w:val="505E5899"/>
    <w:rsid w:val="52814F55"/>
    <w:rsid w:val="58BB004D"/>
    <w:rsid w:val="5D966D54"/>
    <w:rsid w:val="62DA1E3F"/>
    <w:rsid w:val="6586229B"/>
    <w:rsid w:val="66021786"/>
    <w:rsid w:val="6EA73DF4"/>
    <w:rsid w:val="70C121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宋体" w:hAnsi="宋体" w:eastAsia="宋体" w:cs="宋体"/>
      <w:sz w:val="24"/>
      <w:szCs w:val="24"/>
      <w:lang w:val="en-US" w:eastAsia="en-US" w:bidi="ar-SA"/>
    </w:rPr>
  </w:style>
  <w:style w:type="paragraph" w:styleId="5">
    <w:name w:val="Body Text Indent"/>
    <w:basedOn w:val="1"/>
    <w:unhideWhenUsed/>
    <w:qFormat/>
    <w:uiPriority w:val="99"/>
    <w:pPr>
      <w:spacing w:after="120"/>
      <w:ind w:left="420" w:leftChars="200"/>
    </w:pPr>
  </w:style>
  <w:style w:type="paragraph" w:styleId="6">
    <w:name w:val="Balloon Text"/>
    <w:basedOn w:val="1"/>
    <w:link w:val="18"/>
    <w:autoRedefine/>
    <w:semiHidden/>
    <w:unhideWhenUsed/>
    <w:qFormat/>
    <w:uiPriority w:val="99"/>
    <w:rPr>
      <w:sz w:val="18"/>
      <w:szCs w:val="18"/>
    </w:rPr>
  </w:style>
  <w:style w:type="paragraph" w:styleId="7">
    <w:name w:val="footer"/>
    <w:basedOn w:val="1"/>
    <w:link w:val="17"/>
    <w:autoRedefine/>
    <w:unhideWhenUsed/>
    <w:qFormat/>
    <w:uiPriority w:val="99"/>
    <w:pPr>
      <w:tabs>
        <w:tab w:val="center" w:pos="4153"/>
        <w:tab w:val="right" w:pos="8306"/>
      </w:tabs>
      <w:snapToGrid w:val="0"/>
      <w:jc w:val="left"/>
    </w:pPr>
    <w:rPr>
      <w:sz w:val="18"/>
      <w:szCs w:val="18"/>
    </w:rPr>
  </w:style>
  <w:style w:type="paragraph" w:styleId="8">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5"/>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列出段落1"/>
    <w:basedOn w:val="1"/>
    <w:autoRedefine/>
    <w:qFormat/>
    <w:uiPriority w:val="34"/>
    <w:pPr>
      <w:spacing w:line="360" w:lineRule="auto"/>
      <w:ind w:firstLine="420" w:firstLineChars="200"/>
    </w:pPr>
    <w:rPr>
      <w:rFonts w:ascii="Calibri" w:hAnsi="Calibri" w:eastAsia="仿宋_GB2312"/>
      <w:sz w:val="24"/>
      <w:szCs w:val="22"/>
    </w:rPr>
  </w:style>
  <w:style w:type="character" w:customStyle="1" w:styleId="14">
    <w:name w:val="Plain Text Char"/>
    <w:link w:val="15"/>
    <w:autoRedefine/>
    <w:qFormat/>
    <w:uiPriority w:val="0"/>
    <w:rPr>
      <w:rFonts w:ascii="宋体" w:hAnsi="Courier New" w:eastAsia="楷体_GB2312"/>
      <w:sz w:val="26"/>
    </w:rPr>
  </w:style>
  <w:style w:type="paragraph" w:customStyle="1" w:styleId="15">
    <w:name w:val="纯文本1"/>
    <w:basedOn w:val="1"/>
    <w:link w:val="14"/>
    <w:autoRedefine/>
    <w:qFormat/>
    <w:uiPriority w:val="0"/>
    <w:pPr>
      <w:adjustRightInd w:val="0"/>
      <w:textAlignment w:val="baseline"/>
    </w:pPr>
    <w:rPr>
      <w:rFonts w:ascii="宋体" w:hAnsi="Courier New" w:eastAsia="楷体_GB2312" w:cstheme="minorBidi"/>
      <w:sz w:val="26"/>
      <w:szCs w:val="22"/>
    </w:rPr>
  </w:style>
  <w:style w:type="character" w:customStyle="1" w:styleId="16">
    <w:name w:val="页眉 字符"/>
    <w:basedOn w:val="12"/>
    <w:link w:val="8"/>
    <w:autoRedefine/>
    <w:qFormat/>
    <w:uiPriority w:val="99"/>
    <w:rPr>
      <w:rFonts w:ascii="Times New Roman" w:hAnsi="Times New Roman" w:eastAsia="宋体" w:cs="Times New Roman"/>
      <w:sz w:val="18"/>
      <w:szCs w:val="18"/>
    </w:rPr>
  </w:style>
  <w:style w:type="character" w:customStyle="1" w:styleId="17">
    <w:name w:val="页脚 字符"/>
    <w:basedOn w:val="12"/>
    <w:link w:val="7"/>
    <w:autoRedefine/>
    <w:qFormat/>
    <w:uiPriority w:val="99"/>
    <w:rPr>
      <w:rFonts w:ascii="Times New Roman" w:hAnsi="Times New Roman" w:eastAsia="宋体" w:cs="Times New Roman"/>
      <w:sz w:val="18"/>
      <w:szCs w:val="18"/>
    </w:rPr>
  </w:style>
  <w:style w:type="character" w:customStyle="1" w:styleId="18">
    <w:name w:val="批注框文本 字符"/>
    <w:basedOn w:val="12"/>
    <w:link w:val="6"/>
    <w:autoRedefine/>
    <w:semiHidden/>
    <w:qFormat/>
    <w:uiPriority w:val="99"/>
    <w:rPr>
      <w:rFonts w:ascii="Times New Roman" w:hAnsi="Times New Roman" w:eastAsia="宋体" w:cs="Times New Roman"/>
      <w:sz w:val="18"/>
      <w:szCs w:val="18"/>
    </w:rPr>
  </w:style>
  <w:style w:type="paragraph" w:styleId="19">
    <w:name w:val="List Paragraph"/>
    <w:basedOn w:val="1"/>
    <w:autoRedefine/>
    <w:qFormat/>
    <w:uiPriority w:val="34"/>
    <w:pPr>
      <w:ind w:firstLine="420" w:firstLineChars="200"/>
    </w:pPr>
  </w:style>
  <w:style w:type="paragraph" w:customStyle="1" w:styleId="20">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438A0-8947-4C2A-8303-BDF06A0B4DC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5763</Words>
  <Characters>5994</Characters>
  <Lines>54</Lines>
  <Paragraphs>15</Paragraphs>
  <TotalTime>4</TotalTime>
  <ScaleCrop>false</ScaleCrop>
  <LinksUpToDate>false</LinksUpToDate>
  <CharactersWithSpaces>6231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2025-05-06T01:30:00Z</dcterms:created>
  <dc:creator>user</dc:creator>
  <cp:lastModifiedBy>浩</cp:lastModifiedBy>
  <cp:lastPrinted>2022-05-19T01:36:00Z</cp:lastPrinted>
  <dcterms:modified xsi:type="dcterms:W3CDTF">2026-09-20T09:04:41Z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eyJoZGlkIjoiN2I2YWNhM2VkZmU0ZDU0YjI0NDJjNTQzMjI2Nzg5ZDQiLCJ1c2VySWQiOiIyNzIyNDQxMzgifQ==</vt:lpwstr>
  </property>
  <property fmtid="{D5CDD505-2E9C-101B-9397-08002B2CF9AE}" pid="3" name="KSOProductBuildVer">
    <vt:lpwstr>2052-12.1.0.28505</vt:lpwstr>
  </property>
  <property fmtid="{D5CDD505-2E9C-101B-9397-08002B2CF9AE}" pid="4" name="ICV">
    <vt:lpwstr>A3735D919CFD4066A9FD10D94D472A08_13</vt:lpwstr>
  </property>
</Properties>
</file>