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Style w:val="962"/>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采购编号：</w:t>
      </w:r>
      <w:r>
        <w:rPr>
          <w:rFonts w:hint="eastAsia" w:ascii="宋体" w:hAnsi="宋体" w:cs="宋体"/>
          <w:sz w:val="30"/>
          <w:szCs w:val="30"/>
          <w:lang w:val="zh-CN"/>
        </w:rPr>
        <w:t xml:space="preserve">JSZC-320000-CJZB-G2026-0114</w:t>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手术显微镜</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九</w:t>
      </w:r>
      <w:r>
        <w:rPr>
          <w:rFonts w:hint="eastAsia" w:ascii="宋体" w:hAnsi="宋体" w:cs="宋体"/>
          <w:sz w:val="30"/>
          <w:szCs w:val="30"/>
        </w:rPr>
        <w:t xml:space="preserve">月</w:t>
      </w:r>
      <w:bookmarkEnd w:id="1"/>
      <w:r/>
      <w:r/>
    </w:p>
    <w:p>
      <w:pPr>
        <w:pStyle w:val="952"/>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JSZC-320000-CJZB-G2026-0114</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手术显微镜</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6"/>
                <w:rFonts w:ascii="宋体" w:hAnsi="宋体" w:cs="宋体"/>
                <w:bCs w:val="0"/>
                <w:spacing w:val="0"/>
                <w:sz w:val="21"/>
                <w:szCs w:val="21"/>
              </w:rPr>
            </w:pPr>
            <w:r>
              <w:rPr>
                <w:rStyle w:val="1006"/>
                <w:rFonts w:ascii="Wingdings" w:hAnsi="Wingdings" w:eastAsia="Wingdings" w:cs="Wingdings"/>
                <w:bCs w:val="0"/>
                <w:spacing w:val="0"/>
                <w:sz w:val="21"/>
                <w:szCs w:val="21"/>
              </w:rPr>
              <w:t xml:space="preserve">þ</w:t>
            </w:r>
            <w:r>
              <w:rPr>
                <w:rStyle w:val="1006"/>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联系人：周小飞</w:t>
            </w:r>
            <w:r>
              <w:rPr>
                <w:rFonts w:hint="eastAsia" w:ascii="宋体" w:hAnsi="宋体" w:cs="宋体"/>
                <w:szCs w:val="21"/>
                <w:lang w:val="zh-CN"/>
              </w:rPr>
              <w:t xml:space="preserve">     </w:t>
            </w:r>
            <w:r>
              <w:rPr>
                <w:rFonts w:hint="eastAsia" w:ascii="宋体" w:hAnsi="宋体" w:cs="宋体"/>
                <w:szCs w:val="21"/>
                <w:lang w:val="zh-CN"/>
              </w:rPr>
              <w:t xml:space="preserve">电　话：</w:t>
            </w:r>
            <w:r>
              <w:rPr>
                <w:rFonts w:hint="eastAsia" w:ascii="宋体" w:hAnsi="宋体" w:cs="宋体"/>
                <w:szCs w:val="21"/>
                <w:lang w:val="zh-CN"/>
              </w:rPr>
              <w:t xml:space="preserve">0512-67972785</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26</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w:t>
            </w:r>
            <w:r>
              <w:rPr>
                <w:rFonts w:hint="eastAsia" w:ascii="宋体" w:hAnsi="宋体" w:cs="宋体"/>
              </w:rPr>
              <w:t xml:space="preserve">采购代理服务费</w:t>
            </w:r>
            <w:r>
              <w:rPr>
                <w:rFonts w:hint="eastAsia" w:ascii="宋体" w:hAnsi="宋体" w:cs="宋体"/>
              </w:rPr>
              <w:t xml:space="preserve">由中标单位支付</w:t>
            </w:r>
            <w:r>
              <w:rPr>
                <w:rFonts w:hint="eastAsia" w:ascii="宋体" w:hAnsi="宋体" w:cs="宋体"/>
              </w:rPr>
              <w:t xml:space="preserve">，请各供应商在投标报价中综合考虑。中标单位在领取中标通知书时</w:t>
            </w:r>
            <w:r>
              <w:rPr>
                <w:rFonts w:hint="eastAsia" w:ascii="宋体" w:hAnsi="宋体" w:cs="宋体"/>
              </w:rPr>
              <w:t xml:space="preserve">向招标代理机构</w:t>
            </w:r>
            <w:r>
              <w:rPr>
                <w:rFonts w:hint="eastAsia" w:ascii="宋体" w:hAnsi="宋体" w:cs="宋体"/>
              </w:rPr>
              <w:t xml:space="preserve">一次性</w:t>
            </w:r>
            <w:r>
              <w:rPr>
                <w:rFonts w:hint="eastAsia" w:ascii="宋体" w:hAnsi="宋体" w:cs="宋体"/>
              </w:rPr>
              <w:t xml:space="preserve">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w:t>
            </w:r>
            <w:r>
              <w:rPr>
                <w:rFonts w:hint="eastAsia" w:ascii="宋体" w:hAnsi="宋体" w:cs="宋体"/>
              </w:rPr>
              <w:t xml:space="preserve">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根据代理协议约定，</w:t>
            </w:r>
            <w:r>
              <w:rPr>
                <w:rFonts w:hint="eastAsia" w:ascii="宋体" w:hAnsi="宋体" w:cs="宋体"/>
              </w:rPr>
              <w:t xml:space="preserve">本项目中标服务费为</w:t>
            </w:r>
            <w:r>
              <w:rPr>
                <w:rFonts w:hint="eastAsia" w:ascii="宋体" w:hAnsi="宋体" w:cs="宋体"/>
              </w:rPr>
              <w:t xml:space="preserve">叁万零陆佰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w:t>
            </w:r>
            <w:r>
              <w:rPr>
                <w:rFonts w:hint="eastAsia" w:ascii="宋体" w:hAnsi="宋体" w:cs="宋体"/>
              </w:rPr>
              <w:t xml:space="preserve">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手术显微镜</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26</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35393790"/>
      <w:r/>
      <w:bookmarkStart w:id="5" w:name="_Toc28359002"/>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JSZC-320000-CJZB-G2026-0114</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手术显微镜</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叁佰捌拾万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3800000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叁佰捌拾万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3800000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采购需求：</w:t>
      </w:r>
      <w:r>
        <w:rPr>
          <w:rFonts w:hint="eastAsia" w:ascii="宋体" w:hAnsi="宋体" w:cs="宋体"/>
          <w:szCs w:val="21"/>
        </w:rPr>
        <w:t xml:space="preserve">手术显微镜</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8" w:name="_Toc28359080"/>
      <w:r/>
      <w:bookmarkStart w:id="9" w:name="_Toc28359003"/>
      <w:r/>
      <w:bookmarkStart w:id="10" w:name="_Toc35393622"/>
      <w:r/>
      <w:bookmarkStart w:id="11" w:name="_Toc35393791"/>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合同履行期限：合同签订后</w:t>
      </w:r>
      <w:r>
        <w:rPr>
          <w:rFonts w:hint="eastAsia" w:ascii="宋体" w:hAnsi="宋体" w:cs="宋体"/>
          <w:szCs w:val="21"/>
        </w:rPr>
        <w:t xml:space="preserve">60</w:t>
      </w:r>
      <w:r>
        <w:rPr>
          <w:rFonts w:hint="eastAsia" w:ascii="宋体" w:hAnsi="宋体" w:cs="宋体"/>
          <w:szCs w:val="21"/>
        </w:rPr>
        <w:t xml:space="preserve">天内安装调试完毕，</w:t>
      </w:r>
      <w:r>
        <w:rPr>
          <w:rFonts w:hint="eastAsia" w:ascii="宋体" w:hAnsi="宋体" w:cs="宋体"/>
          <w:szCs w:val="21"/>
        </w:rPr>
        <w:t xml:space="preserve">整机原厂</w:t>
      </w:r>
      <w:r>
        <w:rPr>
          <w:rFonts w:hint="eastAsia" w:ascii="宋体" w:hAnsi="宋体" w:cs="宋体"/>
          <w:szCs w:val="21"/>
        </w:rPr>
        <w:t xml:space="preserve">免费质保期为验收合格之日起</w:t>
      </w:r>
      <w:r>
        <w:rPr>
          <w:rFonts w:hint="eastAsia" w:ascii="宋体" w:hAnsi="宋体" w:cs="宋体"/>
          <w:szCs w:val="21"/>
        </w:rPr>
        <w:t xml:space="preserve">不低于</w:t>
      </w:r>
      <w:r>
        <w:rPr>
          <w:rFonts w:hint="eastAsia" w:ascii="宋体" w:hAnsi="宋体" w:cs="宋体"/>
          <w:szCs w:val="21"/>
        </w:rPr>
        <w:t xml:space="preserve">3</w:t>
      </w:r>
      <w:r>
        <w:rPr>
          <w:rFonts w:hint="eastAsia" w:ascii="宋体" w:hAnsi="宋体" w:cs="宋体"/>
          <w:szCs w:val="21"/>
        </w:rPr>
        <w:t xml:space="preserve">年。</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2.</w:t>
      </w:r>
      <w:r>
        <w:rPr>
          <w:rFonts w:hint="eastAsia" w:ascii="宋体" w:hAnsi="宋体" w:cs="宋体"/>
          <w:szCs w:val="21"/>
        </w:rPr>
        <w:t xml:space="preserve">落实政府采购政策需满足</w:t>
      </w:r>
      <w:r>
        <w:rPr>
          <w:rFonts w:hint="eastAsia" w:ascii="宋体" w:hAnsi="宋体" w:cs="宋体"/>
          <w:szCs w:val="21"/>
        </w:rPr>
        <w:t xml:space="preserve">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37"/>
        <w:spacing w:line="360" w:lineRule="auto"/>
        <w:rPr>
          <w:rFonts w:ascii="宋体" w:hAnsi="宋体" w:eastAsia="宋体" w:cs="宋体"/>
          <w:sz w:val="21"/>
          <w:szCs w:val="21"/>
        </w:rPr>
      </w:pPr>
      <w:r/>
      <w:bookmarkStart w:id="20" w:name="_Toc35393625"/>
      <w:r/>
      <w:bookmarkStart w:id="21" w:name="_Toc28359007"/>
      <w:r/>
      <w:bookmarkStart w:id="22" w:name="_Toc35393794"/>
      <w:r/>
      <w:bookmarkStart w:id="23"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26</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26</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w:t>
      </w:r>
      <w:r>
        <w:rPr>
          <w:rFonts w:hint="eastAsia" w:ascii="宋体" w:hAnsi="宋体" w:eastAsia="宋体" w:cs="宋体"/>
          <w:sz w:val="21"/>
          <w:szCs w:val="21"/>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w:t>
      </w:r>
      <w:r>
        <w:rPr>
          <w:rFonts w:hint="eastAsia" w:ascii="宋体" w:hAnsi="宋体" w:eastAsia="宋体" w:cs="宋体"/>
          <w:sz w:val="21"/>
          <w:szCs w:val="21"/>
        </w:rPr>
        <w:t xml:space="preserve">密时间内未能完成解密的视为放弃投标。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6" w:name="_Toc28359008"/>
      <w:r/>
      <w:bookmarkStart w:id="27" w:name="_Toc35393627"/>
      <w:r/>
      <w:bookmarkStart w:id="28" w:name="_Toc28359085"/>
      <w:r/>
      <w:bookmarkStart w:id="29" w:name="_Toc35393796"/>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28359075"/>
      <w:r/>
      <w:bookmarkStart w:id="31" w:name="_Toc35393786"/>
      <w:r/>
      <w:bookmarkStart w:id="32" w:name="_Toc35393617"/>
      <w:r/>
      <w:bookmarkStart w:id="33" w:name="_Toc28358998"/>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联系人：周小飞</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0512-67972785</w:t>
      </w:r>
      <w:r/>
    </w:p>
    <w:p>
      <w:pPr>
        <w:ind w:firstLine="420"/>
        <w:jc w:val="left"/>
        <w:spacing w:line="360" w:lineRule="auto"/>
        <w:widowControl/>
        <w:rPr>
          <w:rFonts w:ascii="宋体" w:hAnsi="宋体" w:cs="宋体"/>
          <w:szCs w:val="21"/>
        </w:rPr>
      </w:pPr>
      <w:r/>
      <w:bookmarkStart w:id="34" w:name="_Toc28359000"/>
      <w:r/>
      <w:bookmarkStart w:id="35" w:name="_Toc35393788"/>
      <w:r/>
      <w:bookmarkStart w:id="36" w:name="_Toc28359077"/>
      <w:r/>
      <w:bookmarkStart w:id="37" w:name="_Toc35393619"/>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二</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39"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手术显微镜</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JSZC-320000-CJZB-G2026-0114</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手术显微镜</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w:t>
      </w:r>
      <w:r>
        <w:rPr>
          <w:rFonts w:hint="eastAsia" w:ascii="宋体" w:hAnsi="宋体" w:cs="宋体"/>
          <w:szCs w:val="21"/>
        </w:rPr>
        <w:t xml:space="preserve">叁佰捌拾万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3800000.00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w:t>
      </w:r>
      <w:r>
        <w:rPr>
          <w:rFonts w:hint="eastAsia" w:ascii="宋体" w:hAnsi="宋体" w:cs="宋体"/>
          <w:szCs w:val="21"/>
        </w:rPr>
        <w:t xml:space="preserve">叁佰捌拾万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3800000.00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手术显微镜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（一）适用范围：用于神经外科的显微手术。</w:t>
      </w:r>
      <w:r/>
    </w:p>
    <w:p>
      <w:pPr>
        <w:ind w:firstLine="420"/>
        <w:spacing w:line="360" w:lineRule="auto"/>
        <w:rPr>
          <w:rFonts w:ascii="宋体" w:hAnsi="宋体" w:cs="宋体"/>
          <w:szCs w:val="21"/>
        </w:rPr>
      </w:pPr>
      <w:r>
        <w:rPr>
          <w:rFonts w:hint="eastAsia" w:ascii="宋体" w:hAnsi="宋体" w:cs="宋体"/>
          <w:szCs w:val="21"/>
        </w:rPr>
        <w:t xml:space="preserve">（二）参数要求：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使用年限≥</w:t>
      </w:r>
      <w:r>
        <w:rPr>
          <w:rFonts w:hint="eastAsia" w:ascii="宋体" w:hAnsi="宋体" w:cs="宋体"/>
          <w:szCs w:val="21"/>
        </w:rPr>
        <w:t xml:space="preserve">8</w:t>
      </w:r>
      <w:r>
        <w:rPr>
          <w:rFonts w:hint="eastAsia" w:ascii="宋体" w:hAnsi="宋体" w:cs="宋体"/>
          <w:szCs w:val="21"/>
        </w:rPr>
        <w:t xml:space="preserve">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光学系统，具备高分辨率和大景深；</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★内置物镜连续变焦范围：最小工作距离≤</w:t>
      </w:r>
      <w:r>
        <w:rPr>
          <w:rFonts w:hint="eastAsia" w:ascii="宋体" w:hAnsi="宋体" w:cs="宋体"/>
          <w:szCs w:val="21"/>
        </w:rPr>
        <w:t xml:space="preserve">230mm</w:t>
      </w:r>
      <w:r>
        <w:rPr>
          <w:rFonts w:hint="eastAsia" w:ascii="宋体" w:hAnsi="宋体" w:cs="宋体"/>
          <w:szCs w:val="21"/>
        </w:rPr>
        <w:t xml:space="preserve">，最大工作距离≥</w:t>
      </w:r>
      <w:r>
        <w:rPr>
          <w:rFonts w:hint="eastAsia" w:ascii="宋体" w:hAnsi="宋体" w:cs="宋体"/>
          <w:szCs w:val="21"/>
        </w:rPr>
        <w:t xml:space="preserve">590mm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放大倍数：</w:t>
      </w:r>
      <w:r>
        <w:rPr>
          <w:rFonts w:hint="eastAsia" w:ascii="宋体" w:hAnsi="宋体" w:cs="宋体"/>
          <w:szCs w:val="21"/>
        </w:rPr>
        <w:t xml:space="preserve">12.5</w:t>
      </w:r>
      <w:r>
        <w:rPr>
          <w:rFonts w:hint="eastAsia" w:ascii="宋体" w:hAnsi="宋体" w:cs="宋体"/>
          <w:szCs w:val="21"/>
        </w:rPr>
        <w:t xml:space="preserve">倍目镜下，最小倍数≤</w:t>
      </w:r>
      <w:r>
        <w:rPr>
          <w:rFonts w:hint="eastAsia" w:ascii="宋体" w:hAnsi="宋体" w:cs="宋体"/>
          <w:szCs w:val="21"/>
        </w:rPr>
        <w:t xml:space="preserve">1.5</w:t>
      </w:r>
      <w:r>
        <w:rPr>
          <w:rFonts w:hint="eastAsia" w:ascii="宋体" w:hAnsi="宋体" w:cs="宋体"/>
          <w:szCs w:val="21"/>
        </w:rPr>
        <w:t xml:space="preserve">倍，最大倍数≥</w:t>
      </w:r>
      <w:r>
        <w:rPr>
          <w:rFonts w:hint="eastAsia" w:ascii="宋体" w:hAnsi="宋体" w:cs="宋体"/>
          <w:szCs w:val="21"/>
        </w:rPr>
        <w:t xml:space="preserve">15</w:t>
      </w:r>
      <w:r>
        <w:rPr>
          <w:rFonts w:hint="eastAsia" w:ascii="宋体" w:hAnsi="宋体" w:cs="宋体"/>
          <w:szCs w:val="21"/>
        </w:rPr>
        <w:t xml:space="preserve">倍；</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视场范围：</w:t>
      </w:r>
      <w:r>
        <w:rPr>
          <w:rFonts w:hint="eastAsia" w:ascii="宋体" w:hAnsi="宋体" w:cs="宋体"/>
          <w:szCs w:val="21"/>
        </w:rPr>
        <w:t xml:space="preserve">10</w:t>
      </w:r>
      <w:r>
        <w:rPr>
          <w:rFonts w:hint="eastAsia" w:ascii="宋体" w:hAnsi="宋体" w:cs="宋体"/>
          <w:szCs w:val="21"/>
        </w:rPr>
        <w:t xml:space="preserve">倍目镜下，最大视野≥</w:t>
      </w:r>
      <w:r>
        <w:rPr>
          <w:rFonts w:hint="eastAsia" w:ascii="宋体" w:hAnsi="宋体" w:cs="宋体"/>
          <w:szCs w:val="21"/>
        </w:rPr>
        <w:t xml:space="preserve">170mm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具备双束激光点辅助对焦，也可电动变焦或手动变焦调节；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物镜保护镜可反复消毒使用，不影响光学品质；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▲具备四连杆支架；</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★底座上方垂直臂可前后倾斜，倾斜角度≥</w:t>
      </w:r>
      <w:r>
        <w:rPr>
          <w:rFonts w:hint="eastAsia" w:ascii="宋体" w:hAnsi="宋体" w:cs="宋体"/>
          <w:szCs w:val="21"/>
        </w:rPr>
        <w:t xml:space="preserve">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▲支架最大水平伸展范围：≥</w:t>
      </w:r>
      <w:r>
        <w:rPr>
          <w:rFonts w:hint="eastAsia" w:ascii="宋体" w:hAnsi="宋体" w:cs="宋体"/>
          <w:szCs w:val="21"/>
        </w:rPr>
        <w:t xml:space="preserve">1800mm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▲具备术中一键自动平衡或定位记忆功能；</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光学主体可旋转角度≥</w:t>
      </w:r>
      <w:r>
        <w:rPr>
          <w:rFonts w:hint="eastAsia" w:ascii="宋体" w:hAnsi="宋体" w:cs="宋体"/>
          <w:szCs w:val="21"/>
        </w:rPr>
        <w:t xml:space="preserve">450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光学主体旋转轴上方线缆、光纤全内置；</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全金属支架，稳定性高；</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光学主镜体左倾可调角度≥</w:t>
      </w:r>
      <w:r>
        <w:rPr>
          <w:rFonts w:hint="eastAsia" w:ascii="宋体" w:hAnsi="宋体" w:cs="宋体"/>
          <w:szCs w:val="21"/>
        </w:rPr>
        <w:t xml:space="preserve">45</w:t>
      </w:r>
      <w:r>
        <w:rPr>
          <w:rFonts w:hint="eastAsia" w:ascii="宋体" w:hAnsi="宋体" w:cs="宋体"/>
          <w:szCs w:val="21"/>
        </w:rPr>
        <w:t xml:space="preserve">°，右倾可调角度≥</w:t>
      </w:r>
      <w:r>
        <w:rPr>
          <w:rFonts w:hint="eastAsia" w:ascii="宋体" w:hAnsi="宋体" w:cs="宋体"/>
          <w:szCs w:val="21"/>
        </w:rPr>
        <w:t xml:space="preserve">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具备一键无菌罩抽气系统，且可兼容各品牌无菌罩；</w:t>
      </w:r>
      <w:r/>
    </w:p>
    <w:p>
      <w:pPr>
        <w:ind w:firstLine="420"/>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★主照明光源≥</w:t>
      </w:r>
      <w:r>
        <w:rPr>
          <w:rFonts w:hint="eastAsia" w:ascii="宋体" w:hAnsi="宋体" w:cs="宋体"/>
          <w:szCs w:val="21"/>
        </w:rPr>
        <w:t xml:space="preserve">300W</w:t>
      </w:r>
      <w:r>
        <w:rPr>
          <w:rFonts w:hint="eastAsia" w:ascii="宋体" w:hAnsi="宋体" w:cs="宋体"/>
          <w:szCs w:val="21"/>
        </w:rPr>
        <w:t xml:space="preserve">氙灯；</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▲备用照明光源≥</w:t>
      </w:r>
      <w:r>
        <w:rPr>
          <w:rFonts w:hint="eastAsia" w:ascii="宋体" w:hAnsi="宋体" w:cs="宋体"/>
          <w:szCs w:val="21"/>
        </w:rPr>
        <w:t xml:space="preserve">300W</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光源系统：两套独立光源照明系统，两套独立供电系统；</w:t>
      </w:r>
      <w:r/>
    </w:p>
    <w:p>
      <w:pPr>
        <w:ind w:firstLine="42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有自动照明光阑功能：光照明范围与视野范围自动同步，防止组织灼伤；</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有自动光强度保护功能：随着工作距离的变化，光强自动控制在安全值以内；</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具备</w:t>
      </w:r>
      <w:r>
        <w:rPr>
          <w:rFonts w:hint="eastAsia" w:ascii="宋体" w:hAnsi="宋体" w:cs="宋体"/>
          <w:szCs w:val="21"/>
        </w:rPr>
        <w:t xml:space="preserve">800</w:t>
      </w:r>
      <w:r>
        <w:rPr>
          <w:rFonts w:hint="eastAsia" w:ascii="宋体" w:hAnsi="宋体" w:cs="宋体"/>
          <w:szCs w:val="21"/>
        </w:rPr>
        <w:t xml:space="preserve">血管荧光技术，与荧光剂吲哚菁绿配合使用；</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▲具备增强现实荧光模块，与荧光剂吲哚菁绿配合使用，需在</w:t>
      </w:r>
      <w:r>
        <w:rPr>
          <w:rFonts w:hint="eastAsia" w:ascii="宋体" w:hAnsi="宋体" w:cs="宋体"/>
          <w:szCs w:val="21"/>
        </w:rPr>
        <w:t xml:space="preserve">主机同一医疗器械注册证结构及组成中或适用范围中标明；</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▲具备</w:t>
      </w:r>
      <w:r>
        <w:rPr>
          <w:rFonts w:hint="eastAsia" w:ascii="宋体" w:hAnsi="宋体" w:cs="宋体"/>
          <w:szCs w:val="21"/>
        </w:rPr>
        <w:t xml:space="preserve">560</w:t>
      </w:r>
      <w:r>
        <w:rPr>
          <w:rFonts w:hint="eastAsia" w:ascii="宋体" w:hAnsi="宋体" w:cs="宋体"/>
          <w:szCs w:val="21"/>
        </w:rPr>
        <w:t xml:space="preserve">荧光模块，与荧光素钠配合使用，需在主机同一医疗器械注册证结构及组成中或适用范围中标明；</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▲全内置摄像头，一体化</w:t>
      </w:r>
      <w:r>
        <w:rPr>
          <w:rFonts w:hint="eastAsia" w:ascii="宋体" w:hAnsi="宋体" w:cs="宋体"/>
          <w:szCs w:val="21"/>
        </w:rPr>
        <w:t xml:space="preserve">3D</w:t>
      </w:r>
      <w:r>
        <w:rPr>
          <w:rFonts w:hint="eastAsia" w:ascii="宋体" w:hAnsi="宋体" w:cs="宋体"/>
          <w:szCs w:val="21"/>
        </w:rPr>
        <w:t xml:space="preserve">可视系统；</w:t>
      </w:r>
      <w:bookmarkStart w:id="40" w:name="_GoBack"/>
      <w:r/>
      <w:bookmarkEnd w:id="40"/>
      <w:r/>
      <w:r/>
    </w:p>
    <w:p>
      <w:pPr>
        <w:ind w:firstLine="420"/>
        <w:spacing w:line="360" w:lineRule="auto"/>
        <w:rPr>
          <w:rFonts w:ascii="宋体" w:hAnsi="宋体" w:cs="宋体"/>
          <w:szCs w:val="21"/>
        </w:rPr>
      </w:pPr>
      <w:r>
        <w:rPr>
          <w:rFonts w:hint="eastAsia" w:ascii="宋体" w:hAnsi="宋体" w:cs="宋体"/>
          <w:szCs w:val="21"/>
        </w:rPr>
        <w:t xml:space="preserve">26.4K</w:t>
      </w:r>
      <w:r>
        <w:rPr>
          <w:rFonts w:hint="eastAsia" w:ascii="宋体" w:hAnsi="宋体" w:cs="宋体"/>
          <w:szCs w:val="21"/>
        </w:rPr>
        <w:t xml:space="preserve">超高清视频信号输出，分辨率≥</w:t>
      </w:r>
      <w:r>
        <w:rPr>
          <w:rFonts w:hint="eastAsia" w:ascii="宋体" w:hAnsi="宋体" w:cs="宋体"/>
          <w:szCs w:val="21"/>
        </w:rPr>
        <w:t xml:space="preserve">3840 x 2160</w:t>
      </w:r>
      <w:r>
        <w:rPr>
          <w:rFonts w:hint="eastAsia" w:ascii="宋体" w:hAnsi="宋体" w:cs="宋体"/>
          <w:szCs w:val="21"/>
        </w:rPr>
        <w:t xml:space="preserve">像素；</w:t>
      </w:r>
      <w:r/>
    </w:p>
    <w:p>
      <w:pPr>
        <w:ind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▲具备摄像系统电动微调焦功能，摄像独立调焦时不影响主刀镜焦距；</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与显微镜一体化的</w:t>
      </w:r>
      <w:r>
        <w:rPr>
          <w:rFonts w:hint="eastAsia" w:ascii="宋体" w:hAnsi="宋体" w:cs="宋体"/>
          <w:szCs w:val="21"/>
        </w:rPr>
        <w:t xml:space="preserve">3D</w:t>
      </w:r>
      <w:r>
        <w:rPr>
          <w:rFonts w:hint="eastAsia" w:ascii="宋体" w:hAnsi="宋体" w:cs="宋体"/>
          <w:szCs w:val="21"/>
        </w:rPr>
        <w:t xml:space="preserve">超高清显示器≥</w:t>
      </w:r>
      <w:r>
        <w:rPr>
          <w:rFonts w:hint="eastAsia" w:ascii="宋体" w:hAnsi="宋体" w:cs="宋体"/>
          <w:szCs w:val="21"/>
        </w:rPr>
        <w:t xml:space="preserve">24</w:t>
      </w:r>
      <w:r>
        <w:rPr>
          <w:rFonts w:hint="eastAsia" w:ascii="宋体" w:hAnsi="宋体" w:cs="宋体"/>
          <w:szCs w:val="21"/>
        </w:rPr>
        <w:t xml:space="preserve">英寸；</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具备无线脚控功能，功能键≥</w:t>
      </w:r>
      <w:r>
        <w:rPr>
          <w:rFonts w:hint="eastAsia" w:ascii="宋体" w:hAnsi="宋体" w:cs="宋体"/>
          <w:szCs w:val="21"/>
        </w:rPr>
        <w:t xml:space="preserve">10</w:t>
      </w:r>
      <w:r>
        <w:rPr>
          <w:rFonts w:hint="eastAsia" w:ascii="宋体" w:hAnsi="宋体" w:cs="宋体"/>
          <w:szCs w:val="21"/>
        </w:rPr>
        <w:t xml:space="preserve">个。</w:t>
      </w:r>
      <w:r/>
    </w:p>
    <w:p>
      <w:pPr>
        <w:ind w:firstLine="422"/>
        <w:spacing w:line="360" w:lineRule="auto"/>
        <w:rPr>
          <w:rFonts w:ascii="宋体" w:hAnsi="宋体" w:cs="宋体"/>
          <w:b/>
          <w:bCs/>
          <w:szCs w:val="21"/>
        </w:rPr>
      </w:pPr>
      <w:r>
        <w:rPr>
          <w:rFonts w:hint="eastAsia" w:ascii="宋体" w:hAnsi="宋体" w:cs="宋体"/>
          <w:b/>
          <w:bCs/>
          <w:szCs w:val="21"/>
        </w:rPr>
        <w:t xml:space="preserve">注：</w:t>
      </w:r>
      <w:r>
        <w:rPr>
          <w:rFonts w:ascii="宋体" w:hAnsi="宋体" w:cs="宋体"/>
          <w:szCs w:val="21"/>
        </w:rPr>
        <w:t xml:space="preserve">本招标文件技术要求中，所有标注</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的技术参数，投标人均须提供医疗器械注册证、</w:t>
      </w:r>
      <w:r>
        <w:rPr>
          <w:rFonts w:ascii="宋体" w:hAnsi="宋体" w:cs="宋体"/>
          <w:szCs w:val="21"/>
        </w:rPr>
        <w:t xml:space="preserve">CMA</w:t>
      </w:r>
      <w:r>
        <w:rPr>
          <w:rFonts w:ascii="宋体" w:hAnsi="宋体" w:cs="宋体"/>
          <w:szCs w:val="21"/>
        </w:rPr>
        <w:t xml:space="preserve">第三方检测报告、制造商公开发行的产品说明书、产品彩页样本（进口产品可提供原厂外文说明书及对应中文翻译件）任意一项材料作为有效佐证依据，无有效佐证材料的视为该项参数未响应。其中，</w:t>
      </w:r>
      <w:r>
        <w:rPr>
          <w:rStyle w:val="962"/>
          <w:rFonts w:ascii="宋体" w:hAnsi="宋体" w:cs="宋体"/>
          <w:szCs w:val="21"/>
        </w:rPr>
        <w:t xml:space="preserve">标注</w:t>
      </w:r>
      <w:r>
        <w:rPr>
          <w:rStyle w:val="962"/>
          <w:rFonts w:ascii="宋体" w:hAnsi="宋体" w:cs="宋体"/>
          <w:szCs w:val="21"/>
        </w:rPr>
        <w:t xml:space="preserve">★</w:t>
      </w:r>
      <w:r>
        <w:rPr>
          <w:rStyle w:val="962"/>
          <w:rFonts w:ascii="宋体" w:hAnsi="宋体" w:cs="宋体"/>
          <w:szCs w:val="21"/>
        </w:rPr>
        <w:t xml:space="preserve">的技术参数为实质性满足项</w:t>
      </w:r>
      <w:r>
        <w:rPr>
          <w:rFonts w:ascii="宋体" w:hAnsi="宋体" w:cs="宋体"/>
          <w:szCs w:val="21"/>
        </w:rPr>
        <w:t xml:space="preserve">，投标人须全部完整满足，不得存在任何负偏离，若任意一条</w:t>
      </w:r>
      <w:r>
        <w:rPr>
          <w:rFonts w:ascii="宋体" w:hAnsi="宋体" w:cs="宋体"/>
          <w:szCs w:val="21"/>
        </w:rPr>
        <w:t xml:space="preserve">★</w:t>
      </w:r>
      <w:r>
        <w:rPr>
          <w:rFonts w:ascii="宋体" w:hAnsi="宋体" w:cs="宋体"/>
          <w:szCs w:val="21"/>
        </w:rPr>
        <w:t xml:space="preserve">项技术参数不满足或无有效佐证材料，均视为投标人未实质性响应招标文件，其投标作无效投标处理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w:t>
      </w:r>
      <w:r>
        <w:rPr>
          <w:rFonts w:hint="eastAsia" w:ascii="宋体" w:hAnsi="宋体" w:cs="宋体"/>
          <w:szCs w:val="21"/>
        </w:rPr>
        <w:t xml:space="preserve">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w:t>
      </w:r>
      <w:r>
        <w:rPr>
          <w:rFonts w:hint="eastAsia" w:ascii="宋体" w:hAnsi="宋体" w:cs="宋体"/>
          <w:szCs w:val="21"/>
        </w:rPr>
        <w:t xml:space="preserve">所</w:t>
      </w:r>
      <w:r>
        <w:rPr>
          <w:rFonts w:hint="eastAsia" w:ascii="宋体" w:hAnsi="宋体" w:cs="宋体"/>
          <w:szCs w:val="21"/>
        </w:rPr>
        <w:t xml:space="preserve">有设备整机</w:t>
      </w:r>
      <w:r>
        <w:rPr>
          <w:rFonts w:hint="eastAsia" w:ascii="宋体" w:hAnsi="宋体" w:cs="宋体"/>
          <w:szCs w:val="21"/>
        </w:rPr>
        <w:t xml:space="preserve">原厂免费维保≥</w:t>
      </w:r>
      <w:r>
        <w:rPr>
          <w:rFonts w:hint="eastAsia" w:ascii="宋体" w:hAnsi="宋体" w:cs="宋体"/>
          <w:szCs w:val="21"/>
        </w:rPr>
        <w:t xml:space="preserve">3</w:t>
      </w:r>
      <w:r>
        <w:rPr>
          <w:rFonts w:hint="eastAsia" w:ascii="宋体" w:hAnsi="宋体" w:cs="宋体"/>
          <w:szCs w:val="21"/>
        </w:rPr>
        <w:t xml:space="preserve">年，质保期自采购单位验收合格之日起计算；合同期间若发生退回、维修或设备替换等情形，质保期自发生之日起，至标的物恢复正常使用之日止，停止计算。</w:t>
      </w:r>
      <w:r>
        <w:rPr>
          <w:rFonts w:hint="eastAsia" w:ascii="宋体" w:hAnsi="宋体" w:cs="宋体"/>
          <w:bCs/>
          <w:szCs w:val="21"/>
        </w:rPr>
        <w:t xml:space="preserve">质保期内免费提供保养服务</w:t>
      </w:r>
      <w:r>
        <w:rPr>
          <w:rFonts w:hint="eastAsia" w:ascii="宋体" w:hAnsi="宋体" w:cs="宋体"/>
          <w:szCs w:val="21"/>
        </w:rPr>
        <w:t xml:space="preserve">（维修保养要求每年维护保养≥</w:t>
      </w:r>
      <w:r>
        <w:rPr>
          <w:rFonts w:hint="eastAsia" w:ascii="宋体" w:hAnsi="宋体" w:cs="宋体"/>
          <w:szCs w:val="21"/>
        </w:rPr>
        <w:t xml:space="preserve">2</w:t>
      </w:r>
      <w:r>
        <w:rPr>
          <w:rFonts w:hint="eastAsia" w:ascii="宋体" w:hAnsi="宋体" w:cs="宋体"/>
          <w:szCs w:val="21"/>
        </w:rPr>
        <w:t xml:space="preserve">次）</w:t>
      </w:r>
      <w:r>
        <w:rPr>
          <w:rFonts w:hint="eastAsia" w:ascii="宋体" w:hAnsi="宋体" w:cs="宋体"/>
          <w:bCs/>
          <w:szCs w:val="21"/>
        </w:rPr>
        <w:t xml:space="preserve">，</w:t>
      </w:r>
      <w:r>
        <w:rPr>
          <w:rFonts w:hint="eastAsia" w:ascii="宋体" w:hAnsi="宋体" w:cs="宋体"/>
          <w:bCs/>
          <w:szCs w:val="21"/>
        </w:rPr>
        <w:t xml:space="preserve">质保期后</w:t>
      </w:r>
      <w:r>
        <w:rPr>
          <w:rFonts w:hint="eastAsia" w:ascii="宋体" w:hAnsi="宋体" w:cs="宋体"/>
          <w:bCs/>
          <w:szCs w:val="21"/>
        </w:rPr>
        <w:t xml:space="preserve">中标单位</w:t>
      </w:r>
      <w:r>
        <w:rPr>
          <w:rFonts w:hint="eastAsia" w:ascii="宋体" w:hAnsi="宋体" w:cs="宋体"/>
          <w:bCs/>
          <w:szCs w:val="21"/>
        </w:rPr>
        <w:t xml:space="preserve">提供终身维修和维护服务，且只收取配件费用，不收取人工费及其他费用</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在免费维护期内，中标单位应成立专门的技术支持和售后服务小组，提供完善周到的本地化服务，提供</w:t>
      </w:r>
      <w:r>
        <w:rPr>
          <w:rFonts w:hint="eastAsia" w:ascii="宋体" w:hAnsi="宋体" w:cs="宋体"/>
          <w:szCs w:val="21"/>
        </w:rPr>
        <w:t xml:space="preserve">7*24</w:t>
      </w:r>
      <w:r>
        <w:rPr>
          <w:rFonts w:hint="eastAsia" w:ascii="宋体" w:hAnsi="宋体" w:cs="宋体"/>
          <w:szCs w:val="21"/>
        </w:rPr>
        <w:t xml:space="preserve">小时免费维修服务热线，设备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设备如涉及配件、易损件等，投标单位在投标文件中详细提供设备涉及的所有配件、易损件名称、价格。中标后如出现未在投标文件所列的配件、易损件等，均视为中标单位免费使用或更换等，此报价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w:t>
      </w:r>
      <w:r>
        <w:rPr>
          <w:rFonts w:hint="eastAsia" w:ascii="宋体" w:hAnsi="宋体" w:cs="宋体"/>
          <w:szCs w:val="21"/>
        </w:rPr>
        <w:t xml:space="preserve">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w:t>
      </w:r>
      <w:r>
        <w:rPr>
          <w:rFonts w:hint="eastAsia" w:ascii="宋体" w:hAnsi="宋体" w:cs="宋体"/>
          <w:szCs w:val="21"/>
        </w:rPr>
        <w:t xml:space="preserve">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、投标总报价一次报定，包括产品供货、辅助材料、备品备件、运输、仓储、发货、送货、安装、医院平台各系统（如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w:t>
      </w:r>
      <w:r>
        <w:rPr>
          <w:rFonts w:hint="eastAsia" w:ascii="宋体" w:hAnsi="宋体" w:cs="宋体"/>
          <w:szCs w:val="21"/>
        </w:rPr>
        <w:t xml:space="preserve">、运费、</w:t>
      </w:r>
      <w:r>
        <w:rPr>
          <w:rFonts w:hint="eastAsia" w:ascii="宋体" w:hAnsi="宋体" w:cs="宋体"/>
          <w:szCs w:val="21"/>
        </w:rPr>
        <w:t xml:space="preserve">采购代理服务费、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、知识产权：供方应保证采购人免除且供方承担由于采购人在其本国使用该设备或设备任何一</w:t>
      </w:r>
      <w:r>
        <w:rPr>
          <w:rFonts w:hint="eastAsia" w:ascii="宋体" w:hAnsi="宋体" w:cs="宋体"/>
          <w:szCs w:val="21"/>
        </w:rPr>
        <w:t xml:space="preserve">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w:t>
      </w:r>
      <w:r>
        <w:rPr>
          <w:rFonts w:hint="eastAsia"/>
          <w:b/>
          <w:bCs/>
          <w:szCs w:val="21"/>
        </w:rPr>
        <w:t xml:space="preserve">不</w:t>
      </w:r>
      <w:r>
        <w:rPr>
          <w:rFonts w:hint="eastAsia"/>
          <w:b/>
          <w:bCs/>
          <w:szCs w:val="21"/>
        </w:rPr>
        <w:t xml:space="preserve">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w:t>
      </w:r>
      <w:r>
        <w:rPr>
          <w:rFonts w:hint="eastAsia" w:ascii="宋体" w:hAnsi="宋体" w:cs="宋体"/>
          <w:szCs w:val="21"/>
        </w:rPr>
        <w:t xml:space="preserve">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w:t>
      </w:r>
      <w:r>
        <w:rPr>
          <w:rFonts w:hint="eastAsia" w:ascii="宋体" w:hAnsi="宋体" w:cs="宋体"/>
          <w:szCs w:val="21"/>
        </w:rPr>
        <w:t xml:space="preserve">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w:t>
      </w:r>
      <w:r>
        <w:rPr>
          <w:rFonts w:hint="eastAsia" w:ascii="宋体" w:hAnsi="宋体" w:cs="宋体"/>
          <w:b/>
          <w:szCs w:val="21"/>
        </w:rPr>
        <w:t xml:space="preserve">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w:t>
      </w:r>
      <w:r>
        <w:rPr>
          <w:rFonts w:hint="eastAsia" w:ascii="宋体" w:hAnsi="宋体" w:cs="宋体"/>
        </w:rPr>
        <w:t xml:space="preserve">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w:t>
      </w:r>
      <w:r>
        <w:rPr>
          <w:rFonts w:hint="eastAsia" w:ascii="宋体" w:hAnsi="宋体" w:cs="宋体"/>
        </w:rPr>
        <w:t xml:space="preserve">（响应）报价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w:t>
      </w:r>
      <w:r>
        <w:rPr>
          <w:rFonts w:hint="eastAsia" w:ascii="宋体" w:hAnsi="宋体" w:cs="宋体"/>
        </w:rPr>
        <w:t xml:space="preserve">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w:t>
      </w:r>
      <w:r>
        <w:rPr>
          <w:rFonts w:hint="eastAsia" w:ascii="宋体" w:hAnsi="宋体" w:cs="宋体"/>
        </w:rPr>
        <w:t xml:space="preserve">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w:t>
      </w:r>
      <w:r>
        <w:rPr>
          <w:rFonts w:hint="eastAsia" w:ascii="宋体" w:hAnsi="宋体" w:cs="宋体"/>
        </w:rPr>
        <w:t xml:space="preserve">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39"/>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三</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w:t>
      </w:r>
      <w:r>
        <w:rPr>
          <w:rFonts w:hint="eastAsia" w:ascii="宋体" w:hAnsi="宋体" w:cs="宋体"/>
          <w:szCs w:val="21"/>
          <w:lang w:val="zh-CN"/>
        </w:rPr>
        <w:t xml:space="preserve">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w:t>
      </w:r>
      <w:r>
        <w:rPr>
          <w:rFonts w:hint="eastAsia" w:ascii="宋体" w:hAnsi="宋体" w:eastAsia="宋体" w:cs="宋体"/>
          <w:sz w:val="21"/>
        </w:rPr>
        <w:t xml:space="preserve">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w:t>
      </w:r>
      <w:r>
        <w:rPr>
          <w:rFonts w:hint="eastAsia" w:ascii="宋体" w:hAnsi="宋体" w:cs="宋体"/>
        </w:rPr>
        <w:t xml:space="preserve">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rPr>
          <w:rFonts w:hint="eastAsia" w:ascii="宋体" w:hAnsi="宋体" w:cs="宋体"/>
          <w:szCs w:val="21"/>
        </w:rPr>
        <w:t xml:space="preserve">提供证明资料。</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b/>
        </w:rPr>
        <w:t xml:space="preserve">投标文件中提供投标产品中华人民共和国医疗器械注册证，否则为无效投标</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1" w:name="_Toc25608"/>
      <w:r/>
      <w:bookmarkStart w:id="42"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1"/>
      <w:r/>
      <w:bookmarkEnd w:id="42"/>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四</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101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w:t>
      </w:r>
      <w:r>
        <w:rPr>
          <w:rFonts w:hint="eastAsia" w:hAnsi="宋体" w:eastAsia="宋体" w:cs="宋体"/>
          <w:sz w:val="21"/>
        </w:rPr>
        <w:t xml:space="preserve">在招标文件中要求的所有资料。</w:t>
      </w:r>
      <w:r/>
    </w:p>
    <w:p>
      <w:pPr>
        <w:pStyle w:val="101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w:t>
      </w:r>
      <w:r>
        <w:rPr>
          <w:rFonts w:hint="eastAsia" w:hAnsi="宋体" w:eastAsia="宋体" w:cs="宋体"/>
          <w:sz w:val="21"/>
        </w:rPr>
        <w:t xml:space="preserve">招标文件有不同意见的偏离说明；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6"/>
        <w:ind w:firstLine="420"/>
        <w:spacing w:line="360" w:lineRule="auto"/>
        <w:rPr>
          <w:rFonts w:hAnsi="宋体" w:eastAsia="宋体" w:cs="宋体"/>
          <w:sz w:val="21"/>
        </w:rPr>
      </w:pPr>
      <w:r>
        <w:rPr>
          <w:rFonts w:hint="eastAsia" w:hAnsi="宋体" w:eastAsia="宋体" w:cs="宋体"/>
          <w:sz w:val="21"/>
        </w:rPr>
        <w:t xml:space="preserve">邮箱地址：</w:t>
      </w:r>
      <w:r/>
    </w:p>
    <w:p>
      <w:pPr>
        <w:pStyle w:val="101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3"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3"/>
        <w:ind w:firstLine="420"/>
        <w:spacing w:line="360" w:lineRule="auto"/>
        <w:rPr>
          <w:rFonts w:hAnsi="宋体" w:eastAsia="宋体"/>
          <w:sz w:val="21"/>
        </w:rPr>
      </w:pPr>
      <w:r>
        <w:rPr>
          <w:rFonts w:hAnsi="宋体" w:eastAsia="宋体"/>
          <w:sz w:val="21"/>
        </w:rPr>
      </w:r>
      <w:r/>
    </w:p>
    <w:p>
      <w:pPr>
        <w:pStyle w:val="1013"/>
        <w:ind w:firstLine="420"/>
        <w:spacing w:line="360" w:lineRule="auto"/>
        <w:rPr>
          <w:rFonts w:hAnsi="宋体" w:eastAsia="宋体"/>
          <w:sz w:val="21"/>
        </w:rPr>
      </w:pPr>
      <w:r>
        <w:rPr>
          <w:rFonts w:hint="eastAsia" w:hAnsi="宋体" w:eastAsia="宋体"/>
          <w:sz w:val="21"/>
        </w:rPr>
        <w:t xml:space="preserve">投标单位（签章）：</w:t>
      </w:r>
      <w:r/>
    </w:p>
    <w:p>
      <w:pPr>
        <w:pStyle w:val="101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3"/>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4" w:name="_Toc2583142"/>
      <w:r/>
      <w:bookmarkStart w:id="45" w:name="_Toc532444344"/>
      <w:r/>
      <w:bookmarkStart w:id="46" w:name="_Toc532452113"/>
      <w:r/>
      <w:bookmarkStart w:id="47" w:name="_Toc532444506"/>
      <w:r/>
      <w:bookmarkStart w:id="48" w:name="_Toc518926909"/>
      <w:r/>
      <w:bookmarkStart w:id="49" w:name="_Toc7888"/>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4"/>
      <w:r/>
      <w:bookmarkEnd w:id="45"/>
      <w:r/>
      <w:bookmarkEnd w:id="46"/>
      <w:r/>
      <w:bookmarkEnd w:id="47"/>
      <w:r/>
      <w:bookmarkEnd w:id="48"/>
      <w:r/>
      <w:bookmarkEnd w:id="49"/>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ind w:firstLine="422"/>
        <w:jc w:val="center"/>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ind w:firstLine="422"/>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0" w:name="_Toc4028"/>
      <w:r/>
      <w:bookmarkStart w:id="51" w:name="_Toc1077"/>
      <w:r>
        <w:rPr>
          <w:rFonts w:hint="eastAsia" w:ascii="宋体" w:hAnsi="宋体" w:cs="宋体"/>
          <w:szCs w:val="21"/>
        </w:rPr>
        <w:t xml:space="preserve">中小企业声明函（货物）</w:t>
      </w:r>
      <w:bookmarkEnd w:id="50"/>
      <w:r/>
      <w:bookmarkEnd w:id="51"/>
      <w:r/>
      <w:r/>
    </w:p>
    <w:p>
      <w:pPr>
        <w:pStyle w:val="94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2" w:name="_Toc532452121"/>
      <w:r/>
      <w:bookmarkStart w:id="53" w:name="_Toc532444352"/>
      <w:r/>
      <w:bookmarkStart w:id="54" w:name="_Toc532444514"/>
      <w:r/>
      <w:bookmarkStart w:id="55" w:name="_Toc2583149"/>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3"/>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3"/>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JSZC-320000-CJZB-G2026-0114</w:t>
      </w:r>
      <w:r>
        <w:rPr>
          <w:rFonts w:hint="eastAsia" w:ascii="宋体" w:hAnsi="宋体" w:cs="宋体"/>
          <w:b/>
          <w:szCs w:val="21"/>
        </w:rPr>
        <w:t xml:space="preserve">号</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w:t>
      </w:r>
      <w:r>
        <w:rPr>
          <w:rFonts w:hint="eastAsia" w:ascii="宋体" w:hAnsi="宋体" w:cs="宋体"/>
          <w:sz w:val="21"/>
          <w:szCs w:val="21"/>
          <w:shd w:val="clear" w:color="auto" w:fill="ffffff"/>
        </w:rPr>
        <w:t xml:space="preserve">”栏可不填，下同。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3"/>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3"/>
        <w:ind w:firstLine="420"/>
        <w:rPr>
          <w:rFonts w:hAnsi="宋体" w:eastAsia="宋体"/>
          <w:sz w:val="21"/>
          <w:szCs w:val="24"/>
          <w:lang w:val="zh-CN"/>
        </w:rPr>
      </w:pPr>
      <w:r>
        <w:rPr>
          <w:rFonts w:hAnsi="宋体" w:eastAsia="宋体"/>
          <w:sz w:val="21"/>
          <w:szCs w:val="24"/>
          <w:lang w:val="zh-CN"/>
        </w:rPr>
      </w:r>
      <w:r/>
    </w:p>
    <w:p>
      <w:pPr>
        <w:pStyle w:val="1013"/>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2"/>
      <w:r/>
      <w:bookmarkEnd w:id="53"/>
      <w:r/>
      <w:bookmarkEnd w:id="54"/>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cs="宋体"/>
          <w:b/>
        </w:rPr>
      </w:pPr>
      <w:r/>
      <w:bookmarkStart w:id="57" w:name="_Toc13889377"/>
      <w:r/>
      <w:bookmarkStart w:id="58" w:name="_Toc13642117"/>
      <w:r/>
      <w:bookmarkEnd w:id="56"/>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937"/>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937"/>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59" w:name="_Toc13543214"/>
      <w:r>
        <w:rPr>
          <w:rFonts w:hint="eastAsia" w:ascii="宋体" w:hAnsi="宋体" w:cs="宋体"/>
          <w:b/>
        </w:rPr>
        <w:t xml:space="preserve">二、标的物的一般条款</w:t>
      </w:r>
      <w:bookmarkEnd w:id="59"/>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937"/>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w:t>
      </w:r>
      <w:r>
        <w:rPr>
          <w:rFonts w:hint="eastAsia" w:ascii="宋体" w:hAnsi="宋体" w:eastAsia="宋体" w:cs="宋体"/>
          <w:sz w:val="21"/>
        </w:rPr>
        <w:t xml:space="preserve">正确安装，正常使用和保养条件下，在其标称的使用寿命期内应具有满意的性能。在乙方承诺的质量保证期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937"/>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w:t>
      </w:r>
      <w:r>
        <w:rPr>
          <w:rFonts w:hint="eastAsia" w:ascii="宋体" w:hAnsi="宋体" w:eastAsia="宋体" w:cs="宋体"/>
          <w:sz w:val="21"/>
        </w:rPr>
        <w:t xml:space="preserve">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937"/>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括且不限于整体要求、各类功能要求等。</w:t>
      </w:r>
      <w:r/>
    </w:p>
    <w:p>
      <w:pPr>
        <w:pStyle w:val="937"/>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w:t>
      </w:r>
      <w:r>
        <w:rPr>
          <w:rFonts w:hint="eastAsia" w:ascii="宋体" w:hAnsi="宋体" w:eastAsia="宋体" w:cs="宋体"/>
          <w:sz w:val="21"/>
        </w:rPr>
        <w:t xml:space="preserve">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937"/>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w:t>
      </w:r>
      <w:r>
        <w:rPr>
          <w:rFonts w:hint="eastAsia" w:ascii="宋体" w:hAnsi="宋体" w:cs="宋体"/>
          <w:bCs/>
        </w:rPr>
        <w:t xml:space="preserve">甲方无须支付任何费用</w:t>
      </w:r>
      <w:r>
        <w:rPr>
          <w:rFonts w:hint="eastAsia" w:ascii="宋体" w:hAnsi="宋体" w:cs="宋体"/>
          <w:bCs/>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937"/>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937"/>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937"/>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937"/>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937"/>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0" w:name="_Toc13543215"/>
      <w:r>
        <w:rPr>
          <w:rFonts w:hint="eastAsia" w:ascii="宋体" w:hAnsi="宋体" w:cs="宋体"/>
          <w:b/>
        </w:rPr>
        <w:t xml:space="preserve">三、标的物的交付、检验和验收</w:t>
      </w:r>
      <w:bookmarkEnd w:id="60"/>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937"/>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937"/>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乙方应当按照约定的期限和约定的地点交付标的物。</w:t>
      </w:r>
      <w:r/>
    </w:p>
    <w:p>
      <w:pPr>
        <w:pStyle w:val="937"/>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937"/>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w:t>
      </w:r>
      <w:r>
        <w:rPr>
          <w:rFonts w:hint="eastAsia" w:ascii="宋体" w:hAnsi="宋体" w:eastAsia="宋体" w:cs="宋体"/>
          <w:sz w:val="21"/>
        </w:rPr>
        <w:t xml:space="preserve">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937"/>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937"/>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937"/>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如双方对验收结果有分歧，则以国家权威部门的检验结果为准，检验费用由有过失的一</w:t>
      </w:r>
      <w:r>
        <w:rPr>
          <w:rFonts w:hint="eastAsia" w:ascii="宋体" w:hAnsi="宋体" w:eastAsia="宋体" w:cs="宋体"/>
          <w:sz w:val="21"/>
        </w:rPr>
        <w:t xml:space="preserve">方支付。</w:t>
      </w:r>
      <w:r/>
    </w:p>
    <w:p>
      <w:pPr>
        <w:pStyle w:val="937"/>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1" w:name="_Toc13543216"/>
      <w:r>
        <w:rPr>
          <w:rFonts w:hint="eastAsia" w:ascii="宋体" w:hAnsi="宋体" w:cs="宋体"/>
          <w:b/>
        </w:rPr>
        <w:t xml:space="preserve">四、对标的物提出异议的时间和办法</w:t>
      </w:r>
      <w:bookmarkEnd w:id="61"/>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937"/>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w:t>
      </w:r>
      <w:r>
        <w:rPr>
          <w:rFonts w:hint="eastAsia" w:ascii="宋体" w:hAnsi="宋体" w:eastAsia="宋体" w:cs="宋体"/>
          <w:sz w:val="21"/>
        </w:rPr>
        <w:t xml:space="preserve">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937"/>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937"/>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2" w:name="_Toc13543217"/>
      <w:r>
        <w:rPr>
          <w:rFonts w:hint="eastAsia" w:ascii="宋体" w:hAnsi="宋体" w:cs="宋体"/>
          <w:b/>
        </w:rPr>
        <w:t xml:space="preserve">五、合同价款和支付</w:t>
      </w:r>
      <w:bookmarkEnd w:id="62"/>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937"/>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937"/>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937"/>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937"/>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937"/>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937"/>
        <w:spacing w:line="360" w:lineRule="auto"/>
        <w:rPr>
          <w:rFonts w:ascii="宋体" w:hAnsi="宋体" w:eastAsia="宋体" w:cs="宋体"/>
          <w:sz w:val="21"/>
        </w:rPr>
      </w:pPr>
      <w:r>
        <w:rPr>
          <w:rFonts w:hint="eastAsia" w:ascii="宋体" w:hAnsi="宋体" w:eastAsia="宋体" w:cs="宋体"/>
          <w:sz w:val="21"/>
        </w:rPr>
        <w:t xml:space="preserve">11.4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3" w:name="_Toc13543218"/>
      <w:r>
        <w:rPr>
          <w:rFonts w:hint="eastAsia" w:ascii="宋体" w:hAnsi="宋体" w:cs="宋体"/>
          <w:b/>
        </w:rPr>
        <w:t xml:space="preserve">六、违约责任</w:t>
      </w:r>
      <w:bookmarkEnd w:id="63"/>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w:t>
      </w:r>
      <w:r>
        <w:rPr>
          <w:rFonts w:hint="eastAsia" w:ascii="宋体" w:hAnsi="宋体" w:eastAsia="宋体" w:cs="宋体"/>
          <w:sz w:val="21"/>
        </w:rPr>
        <w:t xml:space="preserve">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w:t>
      </w:r>
      <w:r>
        <w:rPr>
          <w:rFonts w:hint="eastAsia" w:ascii="宋体" w:hAnsi="宋体" w:eastAsia="宋体" w:cs="宋体"/>
          <w:sz w:val="21"/>
        </w:rPr>
        <w:t xml:space="preserve">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w:t>
      </w:r>
      <w:r>
        <w:rPr>
          <w:rFonts w:hint="eastAsia" w:ascii="宋体" w:hAnsi="宋体" w:cs="宋体"/>
          <w:b/>
        </w:rPr>
        <w:t xml:space="preserve">抗力</w:t>
      </w:r>
      <w:r/>
    </w:p>
    <w:p>
      <w:pPr>
        <w:pStyle w:val="937"/>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937"/>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4" w:name="_Toc13543219"/>
      <w:r>
        <w:rPr>
          <w:rFonts w:hint="eastAsia" w:ascii="宋体" w:hAnsi="宋体" w:cs="宋体"/>
          <w:b/>
        </w:rPr>
        <w:t xml:space="preserve">七、索赔</w:t>
      </w:r>
      <w:bookmarkEnd w:id="64"/>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937"/>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部门出具的检验证书向乙方提出索赔。</w:t>
      </w:r>
      <w:r/>
    </w:p>
    <w:p>
      <w:pPr>
        <w:pStyle w:val="937"/>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937"/>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937"/>
        <w:spacing w:line="360" w:lineRule="auto"/>
        <w:rPr>
          <w:rFonts w:ascii="宋体" w:hAnsi="宋体" w:eastAsia="宋体" w:cs="宋体"/>
          <w:sz w:val="21"/>
        </w:rPr>
      </w:pPr>
      <w:r>
        <w:rPr>
          <w:rFonts w:hint="eastAsia" w:ascii="宋体" w:hAnsi="宋体" w:eastAsia="宋体" w:cs="宋体"/>
          <w:sz w:val="21"/>
        </w:rPr>
        <w:t xml:space="preserve">16.2.2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937"/>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用符合规格、质量和性能要求的原厂全新零件、部件或标的物来更换有缺陷的部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w:t>
      </w:r>
      <w:r>
        <w:rPr>
          <w:rFonts w:hint="eastAsia" w:ascii="宋体" w:hAnsi="宋体" w:eastAsia="宋体" w:cs="宋体"/>
          <w:sz w:val="21"/>
        </w:rPr>
        <w:t xml:space="preserve">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5" w:name="_Toc13543220"/>
      <w:r>
        <w:rPr>
          <w:rFonts w:hint="eastAsia" w:ascii="宋体" w:hAnsi="宋体" w:cs="宋体"/>
          <w:b/>
        </w:rPr>
        <w:t xml:space="preserve">八、履约保证金</w:t>
      </w:r>
      <w:bookmarkEnd w:id="65"/>
      <w:r/>
      <w:r/>
    </w:p>
    <w:p>
      <w:pPr>
        <w:spacing w:line="360" w:lineRule="auto"/>
        <w:rPr>
          <w:rFonts w:ascii="宋体" w:hAnsi="宋体" w:cs="宋体"/>
          <w:b/>
        </w:rPr>
      </w:pPr>
      <w:r/>
      <w:bookmarkStart w:id="66" w:name="_Toc13543221"/>
      <w:r>
        <w:rPr>
          <w:rFonts w:hint="eastAsia" w:ascii="宋体" w:hAnsi="宋体" w:cs="宋体"/>
          <w:b/>
        </w:rPr>
        <w:t xml:space="preserve">17.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66"/>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w:t>
      </w:r>
      <w:r>
        <w:rPr>
          <w:rFonts w:hint="eastAsia" w:ascii="宋体" w:hAnsi="宋体" w:eastAsia="宋体" w:cs="宋体"/>
          <w:sz w:val="21"/>
        </w:rPr>
        <w:t xml:space="preserve">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67" w:name="_Toc13543222"/>
      <w:r>
        <w:rPr>
          <w:rFonts w:hint="eastAsia" w:ascii="宋体" w:hAnsi="宋体" w:cs="宋体"/>
          <w:b/>
        </w:rPr>
        <w:t xml:space="preserve">十、合同的生效</w:t>
      </w:r>
      <w:bookmarkEnd w:id="67"/>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68"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68"/>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937"/>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69" w:name="_Toc13543224"/>
      <w:r>
        <w:rPr>
          <w:rFonts w:hint="eastAsia" w:ascii="宋体" w:hAnsi="宋体" w:cs="宋体"/>
          <w:b/>
        </w:rPr>
        <w:t xml:space="preserve">十二、附则</w:t>
      </w:r>
      <w:bookmarkEnd w:id="69"/>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943"/>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6"/>
        <w:ind w:firstLine="502"/>
        <w:spacing w:line="360" w:lineRule="auto"/>
        <w:rPr>
          <w:rFonts w:cs="宋体"/>
          <w:sz w:val="21"/>
        </w:rPr>
      </w:pPr>
      <w:r>
        <w:rPr>
          <w:rFonts w:hint="eastAsia" w:cs="宋体"/>
          <w:sz w:val="21"/>
        </w:rPr>
        <w:t xml:space="preserve">①招投标文件及中标通知书；</w:t>
      </w:r>
      <w:r/>
    </w:p>
    <w:p>
      <w:pPr>
        <w:pStyle w:val="946"/>
        <w:ind w:firstLine="502"/>
        <w:spacing w:line="360" w:lineRule="auto"/>
        <w:rPr>
          <w:rFonts w:cs="宋体"/>
          <w:sz w:val="21"/>
        </w:rPr>
      </w:pPr>
      <w:r>
        <w:rPr>
          <w:rFonts w:hint="eastAsia" w:cs="宋体"/>
          <w:sz w:val="21"/>
        </w:rPr>
        <w:t xml:space="preserve">②产品清单；</w:t>
      </w:r>
      <w:r/>
    </w:p>
    <w:p>
      <w:pPr>
        <w:pStyle w:val="946"/>
        <w:ind w:firstLine="502"/>
        <w:spacing w:line="360" w:lineRule="auto"/>
        <w:rPr>
          <w:rFonts w:cs="宋体"/>
          <w:sz w:val="21"/>
        </w:rPr>
      </w:pPr>
      <w:r>
        <w:rPr>
          <w:rFonts w:hint="eastAsia" w:cs="宋体"/>
          <w:sz w:val="21"/>
        </w:rPr>
        <w:t xml:space="preserve">③合同其他附件。</w:t>
      </w:r>
      <w:r/>
    </w:p>
    <w:p>
      <w:pPr>
        <w:pStyle w:val="946"/>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w:t>
      </w:r>
      <w:r>
        <w:rPr>
          <w:rFonts w:hint="eastAsia" w:ascii="宋体" w:hAnsi="宋体" w:cs="宋体"/>
          <w:bCs/>
          <w:szCs w:val="21"/>
        </w:rPr>
        <w:t xml:space="preserve">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w:t>
      </w:r>
      <w:r>
        <w:rPr>
          <w:rFonts w:hint="eastAsia" w:ascii="宋体" w:hAnsi="宋体" w:eastAsia="宋体" w:cs="宋体"/>
          <w:sz w:val="21"/>
        </w:rPr>
        <w:t xml:space="preserve">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w:t>
      </w:r>
      <w:r>
        <w:rPr>
          <w:rFonts w:hint="eastAsia" w:ascii="宋体" w:hAnsi="宋体" w:cs="宋体"/>
        </w:rPr>
        <w:t xml:space="preserve">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937"/>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自发生上述情形之日起，至标的物恢复正常使用之日止，停</w:t>
      </w:r>
      <w:r>
        <w:rPr>
          <w:rFonts w:hint="eastAsia" w:ascii="宋体" w:hAnsi="宋体" w:cs="宋体"/>
        </w:rPr>
        <w:t xml:space="preserve">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w:t>
      </w:r>
      <w:r>
        <w:rPr>
          <w:rFonts w:hint="eastAsia" w:ascii="宋体" w:hAnsi="宋体" w:cs="宋体"/>
        </w:rPr>
        <w:t xml:space="preserve">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0"/>
        <w:ind w:firstLine="522"/>
        <w:spacing w:line="360" w:lineRule="auto"/>
      </w:pPr>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w:t>
      </w:r>
      <w:r>
        <w:rPr>
          <w:rFonts w:hint="eastAsia" w:ascii="宋体" w:hAnsi="宋体" w:cs="宋体"/>
          <w:szCs w:val="21"/>
        </w:rPr>
        <w:t xml:space="preserve">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ind w:firstLine="422"/>
        <w:spacing w:line="360" w:lineRule="auto"/>
        <w:rPr>
          <w:rFonts w:ascii="宋体" w:hAnsi="宋体"/>
          <w:b/>
        </w:rPr>
      </w:pPr>
      <w:r>
        <w:rPr>
          <w:rFonts w:hint="eastAsia" w:ascii="宋体" w:hAnsi="宋体"/>
          <w:b/>
        </w:rPr>
        <w:t xml:space="preserve">6.</w:t>
      </w:r>
      <w:r>
        <w:rPr>
          <w:rFonts w:hint="eastAsia" w:ascii="宋体" w:hAnsi="宋体"/>
          <w:b/>
        </w:rPr>
        <w:t xml:space="preserve">异常低价</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w:t>
      </w:r>
      <w:r>
        <w:rPr>
          <w:rFonts w:hint="eastAsia" w:ascii="宋体" w:hAnsi="宋体" w:cs="宋体"/>
        </w:rPr>
        <w:t xml:space="preserve">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spacing w:line="360" w:lineRule="auto"/>
        <w:rPr>
          <w:rFonts w:ascii="宋体" w:hAnsi="宋体" w:cs="宋体"/>
          <w:b/>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37</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37</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重要技术条款出现一项负偏离扣</w:t>
      </w:r>
      <w:r>
        <w:rPr>
          <w:rFonts w:hint="eastAsia" w:ascii="宋体" w:hAnsi="宋体" w:cs="宋体"/>
          <w:szCs w:val="21"/>
        </w:rPr>
        <w:t xml:space="preserve">3.5</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0.5</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标注</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的技术条款，投标人应当按招标文件要求提供对应佐证资料。投标人未提供佐证资料，或所提供佐证资料不足以有效证明投标产品满足该参数要求的，评标委员会应当认定该项为负偏离并予以扣分。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w:t>
      </w:r>
      <w:r>
        <w:rPr>
          <w:rFonts w:hint="eastAsia" w:ascii="宋体" w:hAnsi="宋体"/>
          <w:b/>
          <w:bCs/>
          <w:szCs w:val="21"/>
        </w:rPr>
        <w:t xml:space="preserve">9</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5</w:t>
      </w:r>
      <w:r>
        <w:rPr>
          <w:rFonts w:hint="eastAsia" w:ascii="宋体" w:hAnsi="宋体"/>
          <w:szCs w:val="21"/>
        </w:rPr>
        <w:t xml:space="preserve">分）：项目实施方案内容完整不漏项、有针对性说明、切实可行、能保证项目质量的得</w:t>
      </w:r>
      <w:r>
        <w:rPr>
          <w:rFonts w:hint="eastAsia" w:ascii="宋体" w:hAnsi="宋体"/>
          <w:szCs w:val="21"/>
        </w:rPr>
        <w:t xml:space="preserve">5</w:t>
      </w:r>
      <w:r>
        <w:rPr>
          <w:rFonts w:hint="eastAsia" w:ascii="宋体" w:hAnsi="宋体"/>
          <w:szCs w:val="21"/>
        </w:rPr>
        <w:t xml:space="preserve">分；方案各项内容阐述片面有缺漏项、针对性说明简单、可行性一般、基本能保证项目质量的得</w:t>
      </w:r>
      <w:r>
        <w:rPr>
          <w:rFonts w:hint="eastAsia" w:ascii="宋体" w:hAnsi="宋体"/>
          <w:szCs w:val="21"/>
        </w:rPr>
        <w:t xml:space="preserve">3</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w:t>
      </w:r>
      <w:r>
        <w:rPr>
          <w:rFonts w:hint="eastAsia" w:ascii="宋体" w:hAnsi="宋体"/>
          <w:szCs w:val="21"/>
        </w:rPr>
        <w:t xml:space="preserve">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w:t>
      </w:r>
      <w:r>
        <w:rPr>
          <w:rFonts w:hint="eastAsia" w:ascii="宋体" w:hAnsi="宋体" w:cs="宋体"/>
        </w:rPr>
        <w:t xml:space="preserve">价格优惠力度大，维保内容涵盖全面优于上述要求，维保流程及规范科学合理，可实施性强，维保档案建立标准规范，完全优于采购需求的得</w:t>
      </w:r>
      <w:r>
        <w:rPr>
          <w:rFonts w:hint="eastAsia" w:ascii="宋体" w:hAnsi="宋体" w:cs="宋体"/>
        </w:rPr>
        <w:t xml:space="preserve">5</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w:t>
      </w:r>
      <w:r>
        <w:rPr>
          <w:rFonts w:hint="eastAsia" w:ascii="宋体" w:hAnsi="宋体" w:cs="宋体"/>
        </w:rPr>
        <w:t xml:space="preserve">采购需求的得</w:t>
      </w:r>
      <w:r>
        <w:rPr>
          <w:rFonts w:hint="eastAsia" w:ascii="宋体" w:hAnsi="宋体" w:cs="宋体"/>
        </w:rPr>
        <w:t xml:space="preserve">3</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5</w:t>
      </w:r>
      <w:r>
        <w:rPr>
          <w:rFonts w:hint="eastAsia" w:ascii="宋体" w:hAnsi="宋体"/>
          <w:szCs w:val="21"/>
        </w:rPr>
        <w:t xml:space="preserve">分）：方案考虑详实具体全面周到、应对措施科学合理可行的得</w:t>
      </w:r>
      <w:r>
        <w:rPr>
          <w:rFonts w:hint="eastAsia" w:ascii="宋体" w:hAnsi="宋体"/>
          <w:szCs w:val="21"/>
        </w:rPr>
        <w:t xml:space="preserve">5</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w:t>
      </w:r>
      <w:r>
        <w:rPr>
          <w:rFonts w:hint="eastAsia" w:ascii="宋体" w:hAnsi="宋体"/>
          <w:szCs w:val="21"/>
        </w:rPr>
        <w:t xml:space="preserve">，科学合理可行性高为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b/>
          <w:bCs/>
          <w:szCs w:val="21"/>
        </w:rPr>
      </w:pPr>
      <w:r>
        <w:rPr>
          <w:rFonts w:hint="eastAsia"/>
          <w:b/>
          <w:bCs/>
          <w:szCs w:val="21"/>
        </w:rPr>
        <w:t xml:space="preserve">（四）</w:t>
      </w:r>
      <w:r>
        <w:rPr>
          <w:rFonts w:hint="eastAsia"/>
          <w:b/>
          <w:bCs/>
          <w:szCs w:val="21"/>
        </w:rPr>
        <w:t xml:space="preserve">类似产品</w:t>
      </w:r>
      <w:r>
        <w:rPr>
          <w:rFonts w:hint="eastAsia"/>
          <w:b/>
          <w:bCs/>
          <w:szCs w:val="21"/>
        </w:rPr>
        <w:t xml:space="preserve">业绩情况（最高为</w:t>
      </w:r>
      <w:r>
        <w:rPr>
          <w:rFonts w:hint="eastAsia"/>
          <w:b/>
          <w:bCs/>
          <w:szCs w:val="21"/>
        </w:rPr>
        <w:t xml:space="preserve">4</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w:t>
      </w:r>
      <w:r>
        <w:rPr>
          <w:rFonts w:hint="eastAsia" w:ascii="宋体" w:hAnsi="宋体"/>
        </w:rPr>
        <w:t xml:space="preserve">所投品牌同类型产品</w:t>
      </w:r>
      <w:r>
        <w:rPr>
          <w:rFonts w:hint="eastAsia" w:ascii="宋体" w:hAnsi="宋体"/>
        </w:rPr>
        <w:t xml:space="preserve">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业绩合同</w:t>
      </w:r>
      <w:r>
        <w:rPr>
          <w:rFonts w:hint="eastAsia" w:ascii="宋体" w:hAnsi="宋体"/>
        </w:rPr>
        <w:t xml:space="preserve">得</w:t>
      </w:r>
      <w:r>
        <w:rPr>
          <w:rFonts w:hint="eastAsia" w:ascii="宋体" w:hAnsi="宋体"/>
        </w:rPr>
        <w:t xml:space="preserve">2</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4</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w:t>
      </w:r>
      <w:r>
        <w:rPr>
          <w:rFonts w:hint="eastAsia" w:ascii="宋体" w:hAnsi="宋体" w:cs="宋体"/>
          <w:szCs w:val="21"/>
        </w:rPr>
        <w:t xml:space="preserve">如有虚假或对招标文件所要求说明的情况故意隐瞒或虚报，视为不实质性响应招标文件，为无效投标。已中标的将取消中标资格，并</w:t>
      </w:r>
      <w:r>
        <w:rPr>
          <w:rFonts w:hint="eastAsia" w:ascii="宋体" w:hAnsi="宋体" w:cs="宋体"/>
          <w:szCs w:val="21"/>
        </w:rPr>
        <w:t xml:space="preserve">按《中华人民共和国政府采购法》第七十七条“提供虚假材料谋取中标、成交”相关处理办法处理。</w:t>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JSZC-320000-CJZB-G2026-0114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JSZC-320000-CJZB-G2026-0114</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4"/>
    <w:qFormat/>
    <w:pPr>
      <w:keepLines/>
      <w:keepNext/>
      <w:spacing w:before="340" w:after="330" w:line="578" w:lineRule="auto"/>
      <w:outlineLvl w:val="0"/>
    </w:pPr>
    <w:rPr>
      <w:b/>
      <w:bCs/>
      <w:sz w:val="44"/>
      <w:szCs w:val="44"/>
    </w:rPr>
  </w:style>
  <w:style w:type="paragraph" w:styleId="930">
    <w:name w:val="Heading 2"/>
    <w:basedOn w:val="928"/>
    <w:next w:val="928"/>
    <w:link w:val="975"/>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77"/>
    <w:qFormat/>
    <w:pPr>
      <w:keepLines/>
      <w:keepNext/>
      <w:spacing w:before="260" w:after="260" w:line="416" w:lineRule="auto"/>
      <w:outlineLvl w:val="2"/>
    </w:pPr>
    <w:rPr>
      <w:b/>
      <w:sz w:val="32"/>
      <w:szCs w:val="20"/>
    </w:rPr>
  </w:style>
  <w:style w:type="paragraph" w:styleId="932">
    <w:name w:val="Heading 5"/>
    <w:basedOn w:val="928"/>
    <w:next w:val="928"/>
    <w:link w:val="978"/>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9"/>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76"/>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Document Map"/>
    <w:basedOn w:val="928"/>
    <w:next w:val="940"/>
    <w:qFormat/>
    <w:rPr>
      <w:rFonts w:ascii="宋体"/>
      <w:sz w:val="18"/>
      <w:szCs w:val="18"/>
    </w:rPr>
  </w:style>
  <w:style w:type="paragraph" w:styleId="940">
    <w:name w:val="annotation subject"/>
    <w:basedOn w:val="941"/>
    <w:next w:val="928"/>
    <w:link w:val="989"/>
    <w:qFormat/>
  </w:style>
  <w:style w:type="paragraph" w:styleId="941">
    <w:name w:val="annotation text"/>
    <w:basedOn w:val="928"/>
    <w:link w:val="980"/>
    <w:qFormat/>
    <w:pPr>
      <w:jc w:val="left"/>
    </w:pPr>
  </w:style>
  <w:style w:type="paragraph" w:styleId="942">
    <w:name w:val="Body Text"/>
    <w:basedOn w:val="928"/>
    <w:link w:val="981"/>
    <w:uiPriority w:val="99"/>
    <w:unhideWhenUsed/>
    <w:qFormat/>
    <w:pPr>
      <w:spacing w:after="120"/>
    </w:pPr>
    <w:rPr>
      <w:sz w:val="20"/>
    </w:rPr>
  </w:style>
  <w:style w:type="paragraph" w:styleId="943">
    <w:name w:val="Body Text Indent"/>
    <w:basedOn w:val="928"/>
    <w:link w:val="973"/>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2"/>
    <w:qFormat/>
    <w:rPr>
      <w:rFonts w:ascii="宋体" w:hAnsi="Courier New" w:eastAsia="楷体_GB2312"/>
      <w:sz w:val="26"/>
    </w:rPr>
  </w:style>
  <w:style w:type="paragraph" w:styleId="946">
    <w:name w:val="Date"/>
    <w:basedOn w:val="928"/>
    <w:next w:val="928"/>
    <w:link w:val="983"/>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4"/>
    <w:qFormat/>
    <w:rPr>
      <w:sz w:val="18"/>
      <w:szCs w:val="18"/>
    </w:rPr>
  </w:style>
  <w:style w:type="paragraph" w:styleId="949">
    <w:name w:val="Footer"/>
    <w:basedOn w:val="928"/>
    <w:link w:val="985"/>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86"/>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87"/>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88"/>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Body Text First Indent"/>
    <w:basedOn w:val="942"/>
    <w:next w:val="928"/>
    <w:qFormat/>
    <w:pPr>
      <w:ind w:firstLine="420"/>
    </w:pPr>
  </w:style>
  <w:style w:type="paragraph" w:styleId="960">
    <w:name w:val="Body Text First Indent 2"/>
    <w:basedOn w:val="943"/>
    <w:qFormat/>
    <w:pPr>
      <w:ind w:left="420" w:firstLine="210"/>
      <w:spacing w:after="120" w:line="240" w:lineRule="auto"/>
    </w:pPr>
    <w:rPr>
      <w:rFonts w:eastAsia="仿宋_GB2312"/>
      <w:sz w:val="30"/>
    </w:rPr>
  </w:style>
  <w:style w:type="table" w:styleId="961">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28"/>
    <w:qFormat/>
    <w:pPr>
      <w:ind w:firstLine="420"/>
      <w:jc w:val="both"/>
      <w:tabs>
        <w:tab w:val="center" w:pos="4201" w:leader="none"/>
        <w:tab w:val="right" w:pos="9298" w:leader="dot"/>
      </w:tabs>
    </w:pPr>
    <w:rPr>
      <w:rFonts w:ascii="宋体" w:eastAsia="Times New Roman"/>
    </w:rPr>
  </w:style>
  <w:style w:type="paragraph" w:styleId="972" w:customStyle="1">
    <w:name w:val="首行缩进"/>
    <w:basedOn w:val="928"/>
    <w:uiPriority w:val="99"/>
    <w:qFormat/>
    <w:pPr>
      <w:ind w:firstLine="480"/>
    </w:pPr>
    <w:rPr>
      <w:szCs w:val="20"/>
      <w:lang w:val="zh-CN"/>
    </w:rPr>
  </w:style>
  <w:style w:type="character" w:styleId="973" w:customStyle="1">
    <w:name w:val="正文文本缩进 Char"/>
    <w:basedOn w:val="934"/>
    <w:link w:val="943"/>
    <w:qFormat/>
    <w:rPr>
      <w:rFonts w:ascii="Times New Roman" w:hAnsi="Times New Roman" w:eastAsia="宋体" w:cs="Times New Roman"/>
      <w:sz w:val="24"/>
      <w:szCs w:val="24"/>
    </w:rPr>
  </w:style>
  <w:style w:type="character" w:styleId="974" w:customStyle="1">
    <w:name w:val="标题 1 Char"/>
    <w:basedOn w:val="934"/>
    <w:link w:val="929"/>
    <w:qFormat/>
    <w:rPr>
      <w:rFonts w:ascii="Times New Roman" w:hAnsi="Times New Roman" w:eastAsia="宋体" w:cs="Times New Roman"/>
      <w:b/>
      <w:bCs/>
      <w:sz w:val="44"/>
      <w:szCs w:val="44"/>
    </w:rPr>
  </w:style>
  <w:style w:type="character" w:styleId="975" w:customStyle="1">
    <w:name w:val="标题 2 Char"/>
    <w:basedOn w:val="934"/>
    <w:link w:val="930"/>
    <w:qFormat/>
    <w:rPr>
      <w:rFonts w:ascii="Cambria" w:hAnsi="Cambria" w:eastAsia="宋体" w:cs="Times New Roman"/>
      <w:b/>
      <w:bCs/>
      <w:sz w:val="32"/>
      <w:szCs w:val="32"/>
    </w:rPr>
  </w:style>
  <w:style w:type="character" w:styleId="976" w:customStyle="1">
    <w:name w:val="正文缩进 Char"/>
    <w:link w:val="937"/>
    <w:qFormat/>
    <w:rPr>
      <w:rFonts w:ascii="Times New Roman" w:hAnsi="Times New Roman" w:eastAsia="楷体_GB2312" w:cs="Times New Roman"/>
      <w:sz w:val="24"/>
      <w:szCs w:val="20"/>
    </w:rPr>
  </w:style>
  <w:style w:type="character" w:styleId="977" w:customStyle="1">
    <w:name w:val="标题 3 Char"/>
    <w:basedOn w:val="934"/>
    <w:link w:val="931"/>
    <w:qFormat/>
    <w:rPr>
      <w:rFonts w:ascii="Times New Roman" w:hAnsi="Times New Roman" w:eastAsia="宋体" w:cs="Times New Roman"/>
      <w:b/>
      <w:sz w:val="32"/>
      <w:szCs w:val="20"/>
    </w:rPr>
  </w:style>
  <w:style w:type="character" w:styleId="978" w:customStyle="1">
    <w:name w:val="标题 5 Char"/>
    <w:basedOn w:val="934"/>
    <w:link w:val="932"/>
    <w:qFormat/>
    <w:rPr>
      <w:rFonts w:ascii="Times New Roman" w:hAnsi="Times New Roman" w:eastAsia="宋体" w:cs="Times New Roman"/>
      <w:b/>
      <w:bCs/>
      <w:sz w:val="28"/>
      <w:szCs w:val="28"/>
    </w:rPr>
  </w:style>
  <w:style w:type="character" w:styleId="979" w:customStyle="1">
    <w:name w:val="标题 6 Char"/>
    <w:basedOn w:val="934"/>
    <w:link w:val="933"/>
    <w:uiPriority w:val="9"/>
    <w:qFormat/>
    <w:rPr>
      <w:rFonts w:ascii="Arial" w:hAnsi="Arial" w:eastAsia="宋体" w:cs="Times New Roman"/>
      <w:bCs/>
      <w:sz w:val="24"/>
      <w:szCs w:val="24"/>
    </w:rPr>
  </w:style>
  <w:style w:type="character" w:styleId="980" w:customStyle="1">
    <w:name w:val="批注文字 Char"/>
    <w:basedOn w:val="934"/>
    <w:link w:val="941"/>
    <w:qFormat/>
    <w:rPr>
      <w:rFonts w:ascii="Times New Roman" w:hAnsi="Times New Roman" w:eastAsia="宋体" w:cs="Times New Roman"/>
      <w:szCs w:val="24"/>
    </w:rPr>
  </w:style>
  <w:style w:type="character" w:styleId="981" w:customStyle="1">
    <w:name w:val="正文文本 Char1"/>
    <w:basedOn w:val="934"/>
    <w:link w:val="942"/>
    <w:uiPriority w:val="99"/>
    <w:qFormat/>
    <w:rPr>
      <w:rFonts w:ascii="Times New Roman" w:hAnsi="Times New Roman" w:eastAsia="宋体" w:cs="Times New Roman"/>
      <w:sz w:val="20"/>
      <w:szCs w:val="24"/>
    </w:rPr>
  </w:style>
  <w:style w:type="character" w:styleId="982" w:customStyle="1">
    <w:name w:val="纯文本 Char1"/>
    <w:basedOn w:val="934"/>
    <w:link w:val="945"/>
    <w:qFormat/>
    <w:rPr>
      <w:rFonts w:ascii="宋体" w:hAnsi="Courier New" w:eastAsia="楷体_GB2312" w:cs="Times New Roman"/>
      <w:sz w:val="26"/>
      <w:szCs w:val="24"/>
    </w:rPr>
  </w:style>
  <w:style w:type="character" w:styleId="983" w:customStyle="1">
    <w:name w:val="日期 Char"/>
    <w:basedOn w:val="934"/>
    <w:link w:val="946"/>
    <w:qFormat/>
    <w:rPr>
      <w:rFonts w:ascii="Times New Roman" w:hAnsi="Times New Roman" w:eastAsia="宋体" w:cs="Times New Roman"/>
      <w:b/>
      <w:bCs/>
      <w:spacing w:val="20"/>
      <w:sz w:val="20"/>
      <w:szCs w:val="24"/>
    </w:rPr>
  </w:style>
  <w:style w:type="character" w:styleId="984" w:customStyle="1">
    <w:name w:val="批注框文本 Char"/>
    <w:basedOn w:val="934"/>
    <w:link w:val="948"/>
    <w:qFormat/>
    <w:rPr>
      <w:rFonts w:ascii="Times New Roman" w:hAnsi="Times New Roman" w:eastAsia="宋体" w:cs="Times New Roman"/>
      <w:sz w:val="18"/>
      <w:szCs w:val="18"/>
    </w:rPr>
  </w:style>
  <w:style w:type="character" w:styleId="985" w:customStyle="1">
    <w:name w:val="页脚 Char"/>
    <w:basedOn w:val="934"/>
    <w:link w:val="949"/>
    <w:uiPriority w:val="99"/>
    <w:qFormat/>
    <w:rPr>
      <w:rFonts w:ascii="Times New Roman" w:hAnsi="Times New Roman" w:eastAsia="宋体" w:cs="Times New Roman"/>
      <w:sz w:val="18"/>
      <w:szCs w:val="18"/>
    </w:rPr>
  </w:style>
  <w:style w:type="character" w:styleId="986" w:customStyle="1">
    <w:name w:val="页眉 Char"/>
    <w:basedOn w:val="934"/>
    <w:link w:val="951"/>
    <w:qFormat/>
    <w:rPr>
      <w:rFonts w:ascii="Times New Roman" w:hAnsi="Times New Roman" w:eastAsia="宋体" w:cs="Times New Roman"/>
      <w:sz w:val="18"/>
      <w:szCs w:val="18"/>
    </w:rPr>
  </w:style>
  <w:style w:type="character" w:styleId="987" w:customStyle="1">
    <w:name w:val="副标题 Char"/>
    <w:basedOn w:val="934"/>
    <w:link w:val="954"/>
    <w:qFormat/>
    <w:rPr>
      <w:rFonts w:ascii="宋体" w:hAnsi="Courier New" w:eastAsia="楷体_GB2312" w:cs="Times New Roman"/>
      <w:sz w:val="26"/>
      <w:szCs w:val="20"/>
    </w:rPr>
  </w:style>
  <w:style w:type="character" w:styleId="988" w:customStyle="1">
    <w:name w:val="正文文本缩进 3 Char"/>
    <w:basedOn w:val="934"/>
    <w:link w:val="956"/>
    <w:qFormat/>
    <w:rPr>
      <w:rFonts w:ascii="Times New Roman" w:hAnsi="Times New Roman" w:eastAsia="宋体" w:cs="Times New Roman"/>
      <w:sz w:val="24"/>
      <w:szCs w:val="24"/>
    </w:rPr>
  </w:style>
  <w:style w:type="character" w:styleId="989" w:customStyle="1">
    <w:name w:val="批注主题 Char"/>
    <w:basedOn w:val="980"/>
    <w:link w:val="940"/>
    <w:qFormat/>
    <w:rPr>
      <w:rFonts w:ascii="Times New Roman" w:hAnsi="Times New Roman" w:eastAsia="宋体" w:cs="Times New Roman"/>
      <w:b/>
      <w:bCs/>
      <w:szCs w:val="24"/>
    </w:rPr>
  </w:style>
  <w:style w:type="character" w:styleId="990" w:customStyle="1">
    <w:name w:val="hover14"/>
    <w:qFormat/>
    <w:rPr>
      <w:shd w:val="clear" w:color="auto" w:fill="eeeeee"/>
    </w:rPr>
  </w:style>
  <w:style w:type="character" w:styleId="991" w:customStyle="1">
    <w:name w:val="hour_pm"/>
    <w:qFormat/>
  </w:style>
  <w:style w:type="character" w:styleId="992" w:customStyle="1">
    <w:name w:val="first-child"/>
    <w:qFormat/>
  </w:style>
  <w:style w:type="character" w:styleId="993" w:customStyle="1">
    <w:name w:val="正文文本 Char"/>
    <w:uiPriority w:val="99"/>
    <w:qFormat/>
    <w:rPr>
      <w:rFonts w:ascii="Calibri" w:hAnsi="Calibri" w:eastAsia="宋体" w:cs="Times New Roman"/>
      <w:szCs w:val="24"/>
    </w:rPr>
  </w:style>
  <w:style w:type="character" w:styleId="994" w:customStyle="1">
    <w:name w:val="font81"/>
    <w:qFormat/>
    <w:rPr>
      <w:rFonts w:hint="eastAsia" w:ascii="宋体" w:hAnsi="宋体" w:eastAsia="宋体" w:cs="宋体"/>
      <w:b/>
      <w:color w:val="000000"/>
      <w:sz w:val="22"/>
      <w:szCs w:val="22"/>
      <w:u w:val="none"/>
    </w:rPr>
  </w:style>
  <w:style w:type="character" w:styleId="995" w:customStyle="1">
    <w:name w:val="日期 Char1"/>
    <w:qFormat/>
    <w:rPr>
      <w:rFonts w:ascii="Calibri" w:hAnsi="Calibri" w:eastAsia="宋体" w:cs="Times New Roman"/>
      <w:szCs w:val="24"/>
    </w:rPr>
  </w:style>
  <w:style w:type="character" w:styleId="996" w:customStyle="1">
    <w:name w:val="hover13"/>
    <w:qFormat/>
    <w:rPr>
      <w:shd w:val="clear" w:color="auto" w:fill="eeeeee"/>
    </w:rPr>
  </w:style>
  <w:style w:type="character" w:styleId="997" w:customStyle="1">
    <w:name w:val="font71"/>
    <w:qFormat/>
    <w:rPr>
      <w:rFonts w:hint="eastAsia" w:ascii="宋体" w:hAnsi="宋体" w:eastAsia="宋体" w:cs="宋体"/>
      <w:b/>
      <w:color w:val="000000"/>
      <w:sz w:val="22"/>
      <w:szCs w:val="22"/>
      <w:u w:val="none"/>
      <w:vertAlign w:val="superscript"/>
    </w:rPr>
  </w:style>
  <w:style w:type="character" w:styleId="998" w:customStyle="1">
    <w:name w:val="纯文本 Char"/>
    <w:qFormat/>
    <w:rPr>
      <w:rFonts w:ascii="宋体" w:hAnsi="Courier New" w:eastAsia="宋体" w:cs="Courier New"/>
      <w:szCs w:val="21"/>
    </w:rPr>
  </w:style>
  <w:style w:type="character" w:styleId="999" w:customStyle="1">
    <w:name w:val="select2-selection__rendered"/>
    <w:qFormat/>
    <w:rPr>
      <w:sz w:val="18"/>
      <w:szCs w:val="18"/>
    </w:rPr>
  </w:style>
  <w:style w:type="character" w:styleId="1000" w:customStyle="1">
    <w:name w:val="first-child1"/>
    <w:qFormat/>
  </w:style>
  <w:style w:type="character" w:styleId="1001" w:customStyle="1">
    <w:name w:val="old"/>
    <w:qFormat/>
    <w:rPr>
      <w:color w:val="999999"/>
    </w:rPr>
  </w:style>
  <w:style w:type="character" w:styleId="1002" w:customStyle="1">
    <w:name w:val="time"/>
    <w:qFormat/>
    <w:rPr>
      <w:rFonts w:ascii="Arial" w:hAnsi="Arial" w:cs="Arial"/>
    </w:rPr>
  </w:style>
  <w:style w:type="character" w:styleId="1003" w:customStyle="1">
    <w:name w:val="Plain Text Char"/>
    <w:link w:val="1004"/>
    <w:qFormat/>
    <w:rPr>
      <w:rFonts w:ascii="宋体" w:hAnsi="Courier New" w:eastAsia="楷体_GB2312" w:cs="Times New Roman"/>
      <w:sz w:val="26"/>
    </w:rPr>
  </w:style>
  <w:style w:type="paragraph" w:styleId="1004" w:customStyle="1">
    <w:name w:val="纯文本3"/>
    <w:basedOn w:val="928"/>
    <w:link w:val="1003"/>
    <w:qFormat/>
    <w:rPr>
      <w:rFonts w:ascii="宋体" w:hAnsi="Courier New" w:eastAsia="楷体_GB2312"/>
      <w:sz w:val="26"/>
      <w:szCs w:val="22"/>
    </w:rPr>
  </w:style>
  <w:style w:type="character" w:styleId="1005" w:customStyle="1">
    <w:name w:val="hour_am"/>
    <w:qFormat/>
  </w:style>
  <w:style w:type="character" w:styleId="1006" w:customStyle="1">
    <w:name w:val="NormalCharacter"/>
    <w:semiHidden/>
    <w:qFormat/>
    <w:rPr>
      <w:rFonts w:ascii="Times New Roman" w:hAnsi="Times New Roman" w:eastAsia="宋体" w:cs="Times New Roman"/>
    </w:rPr>
  </w:style>
  <w:style w:type="paragraph" w:styleId="1007" w:customStyle="1">
    <w:name w:val="纯文本2"/>
    <w:basedOn w:val="928"/>
    <w:qFormat/>
    <w:rPr>
      <w:rFonts w:ascii="宋体" w:hAnsi="Courier New"/>
    </w:rPr>
  </w:style>
  <w:style w:type="paragraph" w:styleId="1008" w:customStyle="1">
    <w:name w:val="文本正文"/>
    <w:basedOn w:val="928"/>
    <w:qFormat/>
    <w:pPr>
      <w:ind w:firstLine="560"/>
      <w:jc w:val="left"/>
      <w:spacing w:line="360" w:lineRule="auto"/>
    </w:pPr>
    <w:rPr>
      <w:sz w:val="28"/>
      <w:szCs w:val="28"/>
    </w:rPr>
  </w:style>
  <w:style w:type="paragraph" w:styleId="1009" w:customStyle="1">
    <w:name w:val="Plain Text1"/>
    <w:basedOn w:val="928"/>
    <w:qFormat/>
    <w:pPr>
      <w:jc w:val="left"/>
      <w:widowControl/>
    </w:pPr>
    <w:rPr>
      <w:rFonts w:ascii="宋体" w:hAnsi="Courier New" w:eastAsia="楷体_GB2312"/>
      <w:sz w:val="26"/>
      <w:szCs w:val="20"/>
    </w:rPr>
  </w:style>
  <w:style w:type="paragraph" w:styleId="1010" w:customStyle="1">
    <w:name w:val="纯文本4"/>
    <w:basedOn w:val="928"/>
    <w:qFormat/>
    <w:rPr>
      <w:rFonts w:ascii="宋体" w:hAnsi="Courier New" w:eastAsia="楷体_GB2312"/>
      <w:sz w:val="26"/>
      <w:szCs w:val="20"/>
    </w:rPr>
  </w:style>
  <w:style w:type="paragraph" w:styleId="1011" w:customStyle="1">
    <w:name w:val="Default"/>
    <w:qFormat/>
    <w:pPr>
      <w:widowControl w:val="off"/>
    </w:pPr>
    <w:rPr>
      <w:rFonts w:ascii="宋体"/>
      <w:color w:val="000000"/>
      <w:sz w:val="24"/>
      <w:szCs w:val="24"/>
    </w:rPr>
  </w:style>
  <w:style w:type="paragraph" w:styleId="1012">
    <w:name w:val="List Paragraph"/>
    <w:basedOn w:val="928"/>
    <w:uiPriority w:val="99"/>
    <w:qFormat/>
    <w:pPr>
      <w:ind w:firstLine="420"/>
    </w:pPr>
  </w:style>
  <w:style w:type="paragraph" w:styleId="1013" w:customStyle="1">
    <w:name w:val="纯文本1"/>
    <w:basedOn w:val="928"/>
    <w:qFormat/>
    <w:rPr>
      <w:rFonts w:ascii="宋体" w:hAnsi="Courier New" w:eastAsia="楷体_GB2312"/>
      <w:sz w:val="28"/>
      <w:szCs w:val="20"/>
    </w:rPr>
  </w:style>
  <w:style w:type="paragraph" w:styleId="1014" w:customStyle="1">
    <w:name w:val="修订1"/>
    <w:uiPriority w:val="99"/>
    <w:unhideWhenUsed/>
    <w:qFormat/>
    <w:rPr>
      <w:sz w:val="21"/>
      <w:szCs w:val="24"/>
    </w:rPr>
  </w:style>
  <w:style w:type="paragraph" w:styleId="1015" w:customStyle="1">
    <w:name w:val="纯文本5"/>
    <w:basedOn w:val="928"/>
    <w:qFormat/>
    <w:rPr>
      <w:rFonts w:ascii="宋体" w:hAnsi="Courier New" w:eastAsia="楷体_GB2312"/>
      <w:sz w:val="26"/>
      <w:szCs w:val="20"/>
    </w:rPr>
  </w:style>
  <w:style w:type="paragraph" w:styleId="1016" w:customStyle="1">
    <w:name w:val="纯文本6"/>
    <w:basedOn w:val="928"/>
    <w:qFormat/>
    <w:rPr>
      <w:rFonts w:ascii="宋体" w:hAnsi="Courier New" w:eastAsia="楷体_GB2312"/>
      <w:sz w:val="26"/>
      <w:szCs w:val="20"/>
    </w:rPr>
  </w:style>
  <w:style w:type="character" w:styleId="1017" w:customStyle="1">
    <w:name w:val="font21"/>
    <w:basedOn w:val="934"/>
    <w:qFormat/>
    <w:rPr>
      <w:rFonts w:hint="eastAsia" w:ascii="宋体" w:hAnsi="宋体" w:eastAsia="宋体" w:cs="宋体"/>
      <w:color w:val="000000"/>
      <w:sz w:val="22"/>
      <w:szCs w:val="22"/>
      <w:u w:val="none"/>
    </w:rPr>
  </w:style>
  <w:style w:type="paragraph" w:styleId="1018" w:customStyle="1">
    <w:name w:val="正文1"/>
    <w:basedOn w:val="928"/>
    <w:qFormat/>
    <w:rPr>
      <w:rFonts w:ascii="宋体" w:hAnsi="宋体" w:cs="宋体"/>
      <w:sz w:val="24"/>
      <w:szCs w:val="20"/>
      <w:lang w:eastAsia="en-US"/>
    </w:rPr>
  </w:style>
  <w:style w:type="paragraph" w:styleId="1019" w:customStyle="1">
    <w:name w:val="Table Paragraph"/>
    <w:basedOn w:val="928"/>
    <w:uiPriority w:val="1"/>
    <w:qFormat/>
    <w:rPr>
      <w:rFonts w:ascii="宋体" w:hAnsi="宋体" w:cs="宋体"/>
      <w:lang w:val="zh-CN" w:bidi="zh-CN"/>
    </w:rPr>
  </w:style>
  <w:style w:type="paragraph" w:styleId="1020" w:customStyle="1">
    <w:name w:val="Andy_3级"/>
    <w:basedOn w:val="928"/>
    <w:qFormat/>
    <w:pPr>
      <w:ind w:firstLine="510"/>
      <w:spacing w:line="360" w:lineRule="auto"/>
    </w:pPr>
    <w:rPr>
      <w:rFonts w:ascii="Calibri" w:hAnsi="Calibri"/>
      <w:sz w:val="24"/>
    </w:rPr>
  </w:style>
  <w:style w:type="character" w:styleId="1021" w:customStyle="1">
    <w:name w:val="font51"/>
    <w:basedOn w:val="934"/>
    <w:qFormat/>
    <w:rPr>
      <w:rFonts w:hint="eastAsia" w:ascii="宋体" w:hAnsi="宋体" w:eastAsia="宋体" w:cs="宋体"/>
      <w:color w:val="000000"/>
      <w:sz w:val="22"/>
      <w:szCs w:val="22"/>
      <w:u w:val="none"/>
    </w:rPr>
  </w:style>
  <w:style w:type="character" w:styleId="1022" w:customStyle="1">
    <w:name w:val="font31"/>
    <w:basedOn w:val="934"/>
    <w:qFormat/>
    <w:rPr>
      <w:rFonts w:hint="default" w:ascii="Times New Roman" w:hAnsi="Times New Roman" w:cs="Times New Roman"/>
      <w:color w:val="000000"/>
      <w:sz w:val="22"/>
      <w:szCs w:val="22"/>
      <w:u w:val="none"/>
    </w:rPr>
  </w:style>
  <w:style w:type="character" w:styleId="1023" w:customStyle="1">
    <w:name w:val="font11"/>
    <w:basedOn w:val="934"/>
    <w:qFormat/>
    <w:rPr>
      <w:rFonts w:hint="eastAsia" w:ascii="宋体" w:hAnsi="宋体" w:eastAsia="宋体" w:cs="宋体"/>
      <w:color w:val="000000"/>
      <w:sz w:val="22"/>
      <w:szCs w:val="22"/>
      <w:u w:val="none"/>
    </w:rPr>
  </w:style>
  <w:style w:type="paragraph" w:styleId="1024" w:customStyle="1">
    <w:name w:val="文档结构图1"/>
    <w:basedOn w:val="928"/>
    <w:uiPriority w:val="99"/>
    <w:qFormat/>
    <w:pPr>
      <w:shd w:val="clear" w:color="auto" w:fill="000080"/>
    </w:pPr>
  </w:style>
  <w:style w:type="paragraph" w:styleId="1025" w:customStyle="1">
    <w:name w:val="纯文本7"/>
    <w:basedOn w:val="928"/>
    <w:qFormat/>
    <w:rPr>
      <w:rFonts w:ascii="宋体" w:hAnsi="Courier New" w:eastAsia="楷体_GB2312"/>
      <w:sz w:val="26"/>
      <w:szCs w:val="20"/>
    </w:rPr>
  </w:style>
  <w:style w:type="paragraph" w:styleId="1026" w:customStyle="1">
    <w:name w:val="表"/>
    <w:basedOn w:val="928"/>
    <w:qFormat/>
    <w:pPr>
      <w:jc w:val="center"/>
    </w:pPr>
    <w:rPr>
      <w:rFonts w:ascii="Calibri" w:hAnsi="Calibri"/>
      <w:sz w:val="22"/>
    </w:rPr>
  </w:style>
  <w:style w:type="paragraph" w:styleId="1027" w:customStyle="1">
    <w:name w:val="列表段落1"/>
    <w:basedOn w:val="928"/>
    <w:uiPriority w:val="34"/>
    <w:qFormat/>
    <w:pPr>
      <w:ind w:firstLine="420"/>
    </w:pPr>
    <w:rPr>
      <w:rFonts w:ascii="等线" w:hAnsi="等线" w:eastAsia="等线"/>
    </w:rPr>
  </w:style>
  <w:style w:type="paragraph" w:styleId="1028" w:customStyle="1">
    <w:name w:val="List Paragraph1"/>
    <w:basedOn w:val="928"/>
    <w:qFormat/>
    <w:pPr>
      <w:ind w:firstLine="420"/>
    </w:pPr>
  </w:style>
  <w:style w:type="paragraph" w:styleId="1029" w:customStyle="1">
    <w:name w:val="Table Text"/>
    <w:basedOn w:val="928"/>
    <w:semiHidden/>
    <w:qFormat/>
    <w:rPr>
      <w:rFonts w:ascii="宋体" w:hAnsi="宋体" w:cs="宋体"/>
      <w:szCs w:val="21"/>
      <w:lang w:eastAsia="en-US"/>
    </w:rPr>
  </w:style>
  <w:style w:type="table" w:styleId="1030"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33</cp:revision>
  <dcterms:created xsi:type="dcterms:W3CDTF">2024-05-06T08:40:00Z</dcterms:created>
  <dcterms:modified xsi:type="dcterms:W3CDTF">2026-09-29T06:47:52Z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