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Hei" w:hAnsi="SimHei" w:eastAsia="SimHei" w:cs="SimHei"/>
          <w:color w:val="000000" w:themeColor="text1"/>
          <w:sz w:val="74"/>
          <w:u w:val="none"/>
        </w:rPr>
        <w:t xml:space="preserve">苏州市相城区政府采购</w:t>
      </w:r>
      <w:r>
        <w:rPr>
          <w:color w:val="000000" w:themeColor="text1"/>
        </w:rPr>
      </w:r>
    </w:p>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Hei" w:hAnsi="SimHei" w:eastAsia="SimHei" w:cs="SimHei"/>
          <w:color w:val="000000" w:themeColor="text1"/>
          <w:sz w:val="74"/>
        </w:rPr>
        <w:t xml:space="preserve">竞争性磋商采购文件</w:t>
      </w:r>
      <w:r>
        <w:rPr>
          <w:color w:val="000000" w:themeColor="text1"/>
        </w:rPr>
      </w:r>
    </w:p>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p>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p>
    <w:p>
      <w:pPr>
        <w:ind w:left="0" w:right="0" w:firstLine="90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rPr>
        <w:t xml:space="preserve">采购编号：</w:t>
      </w:r>
      <w:r>
        <w:rPr>
          <w:rFonts w:ascii="Times New Roman" w:hAnsi="Times New Roman" w:eastAsia="Times New Roman" w:cs="Times New Roman"/>
          <w:color w:val="000000" w:themeColor="text1"/>
          <w:sz w:val="30"/>
          <w:u w:val="single"/>
        </w:rPr>
        <w:t xml:space="preserve">JSZC-320507-PMJS-C2026-0022</w:t>
      </w:r>
      <w:r>
        <w:rPr>
          <w:color w:val="000000" w:themeColor="text1"/>
        </w:rPr>
      </w:r>
    </w:p>
    <w:p>
      <w:pPr>
        <w:ind w:left="0" w:right="0" w:firstLine="90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rPr>
        <w:t xml:space="preserve">采购单位：苏州市公安局相城分局交通管理大队望亭中队</w:t>
      </w:r>
      <w:r>
        <w:rPr>
          <w:color w:val="000000" w:themeColor="text1"/>
        </w:rPr>
      </w:r>
    </w:p>
    <w:p>
      <w:pPr>
        <w:ind w:left="2397" w:right="0" w:hanging="150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rPr>
        <w:t xml:space="preserve">采购项目：</w:t>
      </w:r>
      <w:r>
        <w:rPr>
          <w:rFonts w:ascii="Times New Roman" w:hAnsi="Times New Roman" w:eastAsia="Times New Roman" w:cs="Times New Roman"/>
          <w:color w:val="000000" w:themeColor="text1"/>
          <w:sz w:val="30"/>
        </w:rPr>
        <w:t xml:space="preserve">2026</w:t>
      </w:r>
      <w:r>
        <w:rPr>
          <w:rFonts w:ascii="SimSun" w:hAnsi="SimSun" w:eastAsia="SimSun" w:cs="SimSun"/>
          <w:color w:val="000000" w:themeColor="text1"/>
          <w:sz w:val="30"/>
        </w:rPr>
        <w:t xml:space="preserve">年交通安全设施维护和保养及隐患整改项目</w:t>
      </w:r>
      <w:r>
        <w:rPr>
          <w:color w:val="000000" w:themeColor="text1"/>
        </w:rPr>
      </w:r>
    </w:p>
    <w:p>
      <w:pPr>
        <w:ind w:left="0" w:right="0" w:firstLine="90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rPr>
        <w:t xml:space="preserve">类别：工程类</w:t>
      </w:r>
      <w:r>
        <w:rPr>
          <w:color w:val="000000" w:themeColor="text1"/>
        </w:rPr>
      </w:r>
    </w:p>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rPr>
        <w:t xml:space="preserve"> </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rPr>
        <w:t xml:space="preserve"> </w:t>
      </w:r>
      <w:r>
        <w:rPr>
          <w:color w:val="000000" w:themeColor="text1"/>
        </w:rPr>
      </w:r>
    </w:p>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color w:val="000000" w:themeColor="text1"/>
        </w:rPr>
        <mc:AlternateContent>
          <mc:Choice Requires="wpg">
            <w:drawing>
              <wp:inline xmlns:wp="http://schemas.openxmlformats.org/drawingml/2006/wordprocessingDrawing" distT="0" distB="0" distL="0" distR="0">
                <wp:extent cx="1562100" cy="12001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48978" name=""/>
                        <pic:cNvPicPr>
                          <a:picLocks noChangeAspect="1"/>
                        </pic:cNvPicPr>
                        <pic:nvPr/>
                      </pic:nvPicPr>
                      <pic:blipFill>
                        <a:blip/>
                        <a:stretch/>
                      </pic:blipFill>
                      <pic:spPr bwMode="auto">
                        <a:xfrm>
                          <a:off x="0" y="0"/>
                          <a:ext cx="1562099" cy="12001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3.0pt;height:94.5pt;mso-wrap-distance-left:0.0pt;mso-wrap-distance-top:0.0pt;mso-wrap-distance-right:0.0pt;mso-wrap-distance-bottom:0.0pt;" stroked="false">
                <v:path textboxrect="0,0,0,0"/>
              </v:shape>
            </w:pict>
          </mc:Fallback>
        </mc:AlternateContent>
      </w:r>
      <w:r>
        <w:rPr>
          <w:rFonts w:ascii="SimSun" w:hAnsi="SimSun" w:eastAsia="SimSun" w:cs="SimSun"/>
          <w:b/>
          <w:color w:val="000000" w:themeColor="text1"/>
          <w:sz w:val="26"/>
        </w:rPr>
        <w:t xml:space="preserve"> </w:t>
      </w:r>
      <w:r>
        <w:rPr>
          <w:color w:val="000000" w:themeColor="text1"/>
        </w:rPr>
      </w:r>
    </w:p>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6"/>
        </w:rPr>
        <w:t xml:space="preserve"> </w:t>
      </w:r>
      <w:r>
        <w:rPr>
          <w:color w:val="000000" w:themeColor="text1"/>
        </w:rPr>
      </w:r>
    </w:p>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6"/>
        </w:rPr>
        <w:t xml:space="preserve"> </w:t>
      </w:r>
      <w:r>
        <w:rPr>
          <w:color w:val="000000" w:themeColor="text1"/>
        </w:rPr>
      </w:r>
    </w:p>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6"/>
          <w:sz w:val="32"/>
        </w:rPr>
        <w:t xml:space="preserve"> </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rPr>
        <w:t xml:space="preserve"> </w:t>
      </w:r>
      <w:r>
        <w:rPr>
          <w:color w:val="000000" w:themeColor="text1"/>
        </w:rPr>
      </w:r>
    </w:p>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rPr>
        <w:t xml:space="preserve">江苏京苏项目管理咨询有限公司</w:t>
      </w:r>
      <w:r>
        <w:rPr>
          <w:color w:val="000000" w:themeColor="text1"/>
        </w:rPr>
      </w:r>
    </w:p>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rPr>
        <w:t xml:space="preserve">2026年0</w:t>
      </w:r>
      <w:r>
        <w:rPr>
          <w:rFonts w:ascii="SimSun" w:hAnsi="SimSun" w:eastAsia="SimSun" w:cs="SimSun"/>
          <w:color w:val="000000" w:themeColor="text1"/>
          <w:sz w:val="30"/>
          <w:u w:val="single"/>
        </w:rPr>
        <w:t xml:space="preserve">8</w:t>
      </w:r>
      <w:r>
        <w:rPr>
          <w:rFonts w:ascii="SimSun" w:hAnsi="SimSun" w:eastAsia="SimSun" w:cs="SimSun"/>
          <w:color w:val="000000" w:themeColor="text1"/>
          <w:sz w:val="30"/>
        </w:rPr>
        <w:t xml:space="preserve">月</w:t>
      </w:r>
      <w:r>
        <w:rPr>
          <w:color w:val="000000" w:themeColor="text1"/>
        </w:rPr>
      </w:r>
    </w:p>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rPr>
        <w:t xml:space="preserve">目录</w:t>
      </w:r>
      <w:r>
        <w:rPr>
          <w:color w:val="000000" w:themeColor="text1"/>
        </w:rPr>
      </w:r>
    </w:p>
    <w:p>
      <w:pPr>
        <w:ind w:left="0" w:right="0" w:firstLine="0"/>
        <w:spacing w:before="0" w:after="0" w:line="85" w:lineRule="atLeast"/>
        <w:shd w:val="clear" w:color="ffffff" w:themeColor="background1" w:fill="ffffff" w:themeFill="background1"/>
        <w:tabs>
          <w:tab w:val="left" w:pos="8302"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rPr>
        <w:t xml:space="preserve"> </w:t>
      </w:r>
      <w:r>
        <w:rPr>
          <w:color w:val="000000" w:themeColor="text1"/>
        </w:rPr>
      </w:r>
    </w:p>
    <w:p>
      <w:pPr>
        <w:ind w:left="0" w:right="0" w:firstLine="0"/>
        <w:spacing w:before="0" w:after="0" w:line="113" w:lineRule="atLeast"/>
        <w:shd w:val="clear" w:color="ffffff" w:themeColor="background1" w:fill="ffffff" w:themeFill="background1"/>
        <w:tabs>
          <w:tab w:val="left" w:pos="9072" w:leader="none"/>
        </w:tabs>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hyperlink r:id="rId15" w:tooltip="https://jszfcg.jsczt.cn/jszc/onlyoffice/7.2.1-34/web-apps/apps/documenteditor/main/index_loader.html?_dc=7.2.1-34&amp;lang=zh&amp;customer=%20&amp;logo=%20&amp;headerlogo=%2Ffavicon.ico&amp;frameEditorId=iframePage&amp;compact=true&amp;parentOrigin=https://jszfcg.jsczt.cn#_Toc826" w:history="1">
        <w:r>
          <w:rPr>
            <w:rStyle w:val="1063"/>
            <w:rFonts w:ascii="SimSun" w:hAnsi="SimSun" w:eastAsia="SimSun" w:cs="SimSun"/>
            <w:color w:val="000000" w:themeColor="text1"/>
            <w:sz w:val="32"/>
            <w:u w:val="single"/>
          </w:rPr>
          <w:t xml:space="preserve">前附表</w:t>
          <w:tab/>
        </w:r>
      </w:hyperlink>
      <w:r>
        <w:rPr>
          <w:color w:val="000000" w:themeColor="text1"/>
        </w:rPr>
      </w:r>
      <w:r>
        <w:rPr>
          <w:color w:val="000000" w:themeColor="text1"/>
        </w:rPr>
      </w:r>
    </w:p>
    <w:p>
      <w:pPr>
        <w:ind w:left="0" w:right="0" w:firstLine="0"/>
        <w:spacing w:before="0" w:after="0" w:line="113" w:lineRule="atLeast"/>
        <w:shd w:val="clear" w:color="ffffff" w:themeColor="background1" w:fill="ffffff" w:themeFill="background1"/>
        <w:tabs>
          <w:tab w:val="left" w:pos="9072" w:leader="none"/>
        </w:tabs>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hyperlink r:id="rId16" w:tooltip="https://jszfcg.jsczt.cn/jszc/onlyoffice/7.2.1-34/web-apps/apps/documenteditor/main/index_loader.html?_dc=7.2.1-34&amp;lang=zh&amp;customer=%20&amp;logo=%20&amp;headerlogo=%2Ffavicon.ico&amp;frameEditorId=iframePage&amp;compact=true&amp;parentOrigin=https://jszfcg.jsczt.cn#_Toc14214" w:history="1">
        <w:r>
          <w:rPr>
            <w:rStyle w:val="1063"/>
            <w:rFonts w:ascii="SimSun" w:hAnsi="SimSun" w:eastAsia="SimSun" w:cs="SimSun"/>
            <w:color w:val="000000" w:themeColor="text1"/>
            <w:sz w:val="32"/>
            <w:u w:val="single"/>
          </w:rPr>
          <w:t xml:space="preserve">第一章</w:t>
        </w:r>
        <w:r>
          <w:rPr>
            <w:rStyle w:val="1063"/>
            <w:rFonts w:ascii="SimSun" w:hAnsi="SimSun" w:eastAsia="SimSun" w:cs="SimSun"/>
            <w:color w:val="000000" w:themeColor="text1"/>
            <w:sz w:val="32"/>
            <w:u w:val="none"/>
          </w:rPr>
          <w:t xml:space="preserve"> </w:t>
        </w:r>
        <w:r>
          <w:rPr>
            <w:rStyle w:val="1063"/>
            <w:rFonts w:ascii="SimSun" w:hAnsi="SimSun" w:eastAsia="SimSun" w:cs="SimSun"/>
            <w:color w:val="000000" w:themeColor="text1"/>
            <w:sz w:val="32"/>
            <w:u w:val="single"/>
          </w:rPr>
          <w:t xml:space="preserve">磋商邀请函</w:t>
          <w:tab/>
        </w:r>
      </w:hyperlink>
      <w:r>
        <w:rPr>
          <w:color w:val="000000" w:themeColor="text1"/>
        </w:rPr>
      </w:r>
      <w:r>
        <w:rPr>
          <w:color w:val="000000" w:themeColor="text1"/>
        </w:rPr>
      </w:r>
    </w:p>
    <w:p>
      <w:pPr>
        <w:ind w:left="0" w:right="0" w:firstLine="0"/>
        <w:spacing w:before="0" w:after="0" w:line="113" w:lineRule="atLeast"/>
        <w:shd w:val="clear" w:color="ffffff" w:themeColor="background1" w:fill="ffffff" w:themeFill="background1"/>
        <w:tabs>
          <w:tab w:val="left" w:pos="9072" w:leader="none"/>
        </w:tabs>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hyperlink r:id="rId17" w:tooltip="https://jszfcg.jsczt.cn/jszc/onlyoffice/7.2.1-34/web-apps/apps/documenteditor/main/index_loader.html?_dc=7.2.1-34&amp;lang=zh&amp;customer=%20&amp;logo=%20&amp;headerlogo=%2Ffavicon.ico&amp;frameEditorId=iframePage&amp;compact=true&amp;parentOrigin=https://jszfcg.jsczt.cn#_Toc21223" w:history="1">
        <w:r>
          <w:rPr>
            <w:rStyle w:val="1063"/>
            <w:rFonts w:ascii="SimSun" w:hAnsi="SimSun" w:eastAsia="SimSun" w:cs="SimSun"/>
            <w:color w:val="000000" w:themeColor="text1"/>
            <w:sz w:val="32"/>
            <w:u w:val="single"/>
          </w:rPr>
          <w:t xml:space="preserve">第二章磋商响应文件格式</w:t>
          <w:tab/>
        </w:r>
      </w:hyperlink>
      <w:r>
        <w:rPr>
          <w:color w:val="000000" w:themeColor="text1"/>
        </w:rPr>
      </w:r>
      <w:r>
        <w:rPr>
          <w:color w:val="000000" w:themeColor="text1"/>
        </w:rPr>
      </w:r>
    </w:p>
    <w:p>
      <w:pPr>
        <w:ind w:left="0" w:right="0" w:firstLine="0"/>
        <w:jc w:val="both"/>
        <w:spacing w:before="260" w:after="260" w:line="113" w:lineRule="atLeast"/>
        <w:shd w:val="clear" w:color="ffffff" w:themeColor="background1" w:fill="ffffff" w:themeFill="background1"/>
        <w:tabs>
          <w:tab w:val="left" w:pos="9072" w:leader="none"/>
        </w:tabs>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hyperlink r:id="rId18" w:tooltip="https://jszfcg.jsczt.cn/jszc/onlyoffice/7.2.1-34/web-apps/apps/documenteditor/main/index_loader.html?_dc=7.2.1-34&amp;lang=zh&amp;customer=%20&amp;logo=%20&amp;headerlogo=%2Ffavicon.ico&amp;frameEditorId=iframePage&amp;compact=true&amp;parentOrigin=https://jszfcg.jsczt.cn#_Toc2427" w:history="1">
        <w:r>
          <w:rPr>
            <w:rStyle w:val="1063"/>
            <w:rFonts w:ascii="SimSun" w:hAnsi="SimSun" w:eastAsia="SimSun" w:cs="SimSun"/>
            <w:color w:val="000000" w:themeColor="text1"/>
            <w:sz w:val="32"/>
            <w:u w:val="single"/>
          </w:rPr>
          <w:t xml:space="preserve">第三章</w:t>
        </w:r>
        <w:r>
          <w:rPr>
            <w:rStyle w:val="1063"/>
            <w:rFonts w:ascii="SimSun" w:hAnsi="SimSun" w:eastAsia="SimSun" w:cs="SimSun"/>
            <w:color w:val="000000" w:themeColor="text1"/>
            <w:sz w:val="32"/>
            <w:u w:val="none"/>
          </w:rPr>
          <w:t xml:space="preserve"> </w:t>
        </w:r>
        <w:r>
          <w:rPr>
            <w:rStyle w:val="1063"/>
            <w:rFonts w:ascii="SimSun" w:hAnsi="SimSun" w:eastAsia="SimSun" w:cs="SimSun"/>
            <w:color w:val="000000" w:themeColor="text1"/>
            <w:sz w:val="32"/>
            <w:u w:val="single"/>
          </w:rPr>
          <w:t xml:space="preserve">采购内容</w:t>
          <w:tab/>
        </w:r>
      </w:hyperlink>
      <w:r>
        <w:rPr>
          <w:color w:val="000000" w:themeColor="text1"/>
        </w:rPr>
      </w:r>
      <w:r>
        <w:rPr>
          <w:color w:val="000000" w:themeColor="text1"/>
        </w:rPr>
      </w:r>
    </w:p>
    <w:p>
      <w:pPr>
        <w:ind w:left="0" w:right="0" w:firstLine="0"/>
        <w:spacing w:before="0" w:after="0" w:line="113" w:lineRule="atLeast"/>
        <w:shd w:val="clear" w:color="ffffff" w:themeColor="background1" w:fill="ffffff" w:themeFill="background1"/>
        <w:tabs>
          <w:tab w:val="left" w:pos="9072" w:leader="none"/>
        </w:tabs>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hyperlink r:id="rId19" w:tooltip="https://jszfcg.jsczt.cn/jszc/onlyoffice/7.2.1-34/web-apps/apps/documenteditor/main/index_loader.html?_dc=7.2.1-34&amp;lang=zh&amp;customer=%20&amp;logo=%20&amp;headerlogo=%2Ffavicon.ico&amp;frameEditorId=iframePage&amp;compact=true&amp;parentOrigin=https://jszfcg.jsczt.cn#_Toc7013" w:history="1">
        <w:r>
          <w:rPr>
            <w:rStyle w:val="1063"/>
            <w:rFonts w:ascii="SimSun" w:hAnsi="SimSun" w:eastAsia="SimSun" w:cs="SimSun"/>
            <w:color w:val="000000" w:themeColor="text1"/>
            <w:sz w:val="32"/>
            <w:u w:val="single"/>
          </w:rPr>
          <w:t xml:space="preserve">第四章</w:t>
        </w:r>
        <w:r>
          <w:rPr>
            <w:rStyle w:val="1063"/>
            <w:rFonts w:ascii="SimSun" w:hAnsi="SimSun" w:eastAsia="SimSun" w:cs="SimSun"/>
            <w:color w:val="000000" w:themeColor="text1"/>
            <w:sz w:val="32"/>
            <w:u w:val="none"/>
          </w:rPr>
          <w:t xml:space="preserve"> </w:t>
        </w:r>
        <w:r>
          <w:rPr>
            <w:rStyle w:val="1063"/>
            <w:rFonts w:ascii="SimSun" w:hAnsi="SimSun" w:eastAsia="SimSun" w:cs="SimSun"/>
            <w:color w:val="000000" w:themeColor="text1"/>
            <w:sz w:val="32"/>
            <w:u w:val="single"/>
          </w:rPr>
          <w:t xml:space="preserve">技术管理要求</w:t>
          <w:tab/>
        </w:r>
      </w:hyperlink>
      <w:r>
        <w:rPr>
          <w:color w:val="000000" w:themeColor="text1"/>
        </w:rPr>
      </w:r>
      <w:r>
        <w:rPr>
          <w:color w:val="000000" w:themeColor="text1"/>
        </w:rPr>
      </w:r>
    </w:p>
    <w:p>
      <w:pPr>
        <w:ind w:left="0" w:right="0" w:firstLine="0"/>
        <w:spacing w:before="0" w:after="0" w:line="113" w:lineRule="atLeast"/>
        <w:shd w:val="clear" w:color="ffffff" w:themeColor="background1" w:fill="ffffff" w:themeFill="background1"/>
        <w:tabs>
          <w:tab w:val="left" w:pos="9072" w:leader="none"/>
        </w:tabs>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hyperlink r:id="rId20" w:tooltip="https://jszfcg.jsczt.cn/jszc/onlyoffice/7.2.1-34/web-apps/apps/documenteditor/main/index_loader.html?_dc=7.2.1-34&amp;lang=zh&amp;customer=%20&amp;logo=%20&amp;headerlogo=%2Ffavicon.ico&amp;frameEditorId=iframePage&amp;compact=true&amp;parentOrigin=https://jszfcg.jsczt.cn#_Toc15956" w:history="1">
        <w:r>
          <w:rPr>
            <w:rStyle w:val="1063"/>
            <w:rFonts w:ascii="SimSun" w:hAnsi="SimSun" w:eastAsia="SimSun" w:cs="SimSun"/>
            <w:color w:val="000000" w:themeColor="text1"/>
            <w:sz w:val="32"/>
            <w:u w:val="single"/>
          </w:rPr>
          <w:t xml:space="preserve">第五章</w:t>
        </w:r>
        <w:r>
          <w:rPr>
            <w:rStyle w:val="1063"/>
            <w:rFonts w:ascii="SimSun" w:hAnsi="SimSun" w:eastAsia="SimSun" w:cs="SimSun"/>
            <w:color w:val="000000" w:themeColor="text1"/>
            <w:sz w:val="32"/>
            <w:u w:val="none"/>
          </w:rPr>
          <w:t xml:space="preserve"> </w:t>
        </w:r>
        <w:r>
          <w:rPr>
            <w:rStyle w:val="1063"/>
            <w:rFonts w:ascii="SimSun" w:hAnsi="SimSun" w:eastAsia="SimSun" w:cs="SimSun"/>
            <w:color w:val="000000" w:themeColor="text1"/>
            <w:sz w:val="32"/>
            <w:u w:val="single"/>
          </w:rPr>
          <w:t xml:space="preserve">合同主要条款</w:t>
          <w:tab/>
        </w:r>
      </w:hyperlink>
      <w:r>
        <w:rPr>
          <w:color w:val="000000" w:themeColor="text1"/>
        </w:rPr>
      </w:r>
      <w:r>
        <w:rPr>
          <w:color w:val="000000" w:themeColor="text1"/>
        </w:rPr>
      </w:r>
    </w:p>
    <w:p>
      <w:pPr>
        <w:ind w:left="0" w:right="0" w:firstLine="0"/>
        <w:spacing w:before="0" w:after="0" w:line="113" w:lineRule="atLeast"/>
        <w:shd w:val="clear" w:color="ffffff" w:themeColor="background1" w:fill="ffffff" w:themeFill="background1"/>
        <w:tabs>
          <w:tab w:val="left" w:pos="9072" w:leader="none"/>
        </w:tabs>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hyperlink r:id="rId21" w:tooltip="https://jszfcg.jsczt.cn/jszc/onlyoffice/7.2.1-34/web-apps/apps/documenteditor/main/index_loader.html?_dc=7.2.1-34&amp;lang=zh&amp;customer=%20&amp;logo=%20&amp;headerlogo=%2Ffavicon.ico&amp;frameEditorId=iframePage&amp;compact=true&amp;parentOrigin=https://jszfcg.jsczt.cn#_Toc29740" w:history="1">
        <w:r>
          <w:rPr>
            <w:rStyle w:val="1063"/>
            <w:rFonts w:ascii="SimSun" w:hAnsi="SimSun" w:eastAsia="SimSun" w:cs="SimSun"/>
            <w:color w:val="000000" w:themeColor="text1"/>
            <w:sz w:val="32"/>
            <w:u w:val="single"/>
          </w:rPr>
          <w:t xml:space="preserve">第六章</w:t>
        </w:r>
        <w:r>
          <w:rPr>
            <w:rStyle w:val="1063"/>
            <w:rFonts w:ascii="SimSun" w:hAnsi="SimSun" w:eastAsia="SimSun" w:cs="SimSun"/>
            <w:color w:val="000000" w:themeColor="text1"/>
            <w:sz w:val="32"/>
            <w:u w:val="none"/>
          </w:rPr>
          <w:t xml:space="preserve"> </w:t>
        </w:r>
        <w:r>
          <w:rPr>
            <w:rStyle w:val="1063"/>
            <w:rFonts w:ascii="SimSun" w:hAnsi="SimSun" w:eastAsia="SimSun" w:cs="SimSun"/>
            <w:color w:val="000000" w:themeColor="text1"/>
            <w:sz w:val="32"/>
            <w:u w:val="single"/>
          </w:rPr>
          <w:t xml:space="preserve">评审办法</w:t>
          <w:tab/>
        </w:r>
      </w:hyperlink>
      <w:r>
        <w:rPr>
          <w:color w:val="000000" w:themeColor="text1"/>
        </w:rPr>
      </w:r>
      <w:r>
        <w:rPr>
          <w:color w:val="000000" w:themeColor="text1"/>
        </w:rPr>
      </w:r>
    </w:p>
    <w:p>
      <w:pPr>
        <w:ind w:left="0" w:right="0" w:firstLine="0"/>
        <w:spacing w:before="0" w:after="0" w:line="113"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44"/>
        </w:rPr>
        <w:t xml:space="preserve"> </w:t>
      </w:r>
      <w:r>
        <w:rPr>
          <w:color w:val="000000" w:themeColor="text1"/>
        </w:rPr>
      </w:r>
    </w:p>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rPr>
        <w:t xml:space="preserve"> </w:t>
      </w:r>
      <w:r>
        <w:rPr>
          <w:color w:val="000000" w:themeColor="text1"/>
        </w:rPr>
      </w:r>
    </w:p>
    <w:p>
      <w:pPr>
        <w:pStyle w:val="795"/>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pStyle w:val="795"/>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Hei" w:hAnsi="SimHei" w:eastAsia="SimHei" w:cs="SimHei"/>
          <w:b/>
          <w:color w:val="000000" w:themeColor="text1"/>
          <w:sz w:val="44"/>
          <w:u w:val="none"/>
        </w:rPr>
        <w:t xml:space="preserve">前附表</w:t>
      </w:r>
      <w:r>
        <w:rPr>
          <w:color w:val="000000" w:themeColor="text1"/>
        </w:rP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7"/>
        <w:gridCol w:w="1305"/>
        <w:gridCol w:w="6548"/>
      </w:tblGrid>
      <w:tr>
        <w:trPr>
          <w:trHeight w:val="4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项号</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内 容</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说明与要求</w:t>
            </w:r>
            <w:r>
              <w:rPr>
                <w:color w:val="000000" w:themeColor="text1"/>
              </w:rP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工程名称</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2026年交通安全设施维护和保养及隐患整改项目</w:t>
            </w:r>
            <w:r>
              <w:rPr>
                <w:color w:val="000000" w:themeColor="text1"/>
              </w:rP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建设地点</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苏州相城区望亭镇</w:t>
            </w:r>
            <w:r>
              <w:rPr>
                <w:color w:val="000000" w:themeColor="text1"/>
              </w:rP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承包方式</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包工包料</w:t>
            </w:r>
            <w:r>
              <w:rPr>
                <w:color w:val="000000" w:themeColor="text1"/>
              </w:rPr>
            </w:r>
          </w:p>
        </w:tc>
      </w:tr>
      <w:tr>
        <w:trPr>
          <w:trHeight w:val="4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质量标准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合格</w:t>
            </w:r>
            <w:r>
              <w:rPr>
                <w:color w:val="000000" w:themeColor="text1"/>
              </w:rP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发包范围</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施工范围主要为望亭镇市政道路交安设施养护维修，主要包括信号灯、标志标牌、隔离护栏、标线及其他交安设施的日常养护及故障维修等内容，工程内容详见工程量清单、工程量编制说明。</w:t>
            </w:r>
            <w:r>
              <w:rPr>
                <w:color w:val="000000" w:themeColor="text1"/>
              </w:rPr>
            </w:r>
          </w:p>
        </w:tc>
      </w:tr>
      <w:tr>
        <w:trPr>
          <w:trHeight w:val="4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服务期限</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12个月（具体开工日期以采购人通知为准）</w:t>
            </w:r>
            <w:r>
              <w:rPr>
                <w:color w:val="000000" w:themeColor="text1"/>
              </w:rPr>
            </w:r>
          </w:p>
          <w:p>
            <w:pPr>
              <w:ind w:left="0" w:right="0" w:firstLine="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如在服务过程中，乙方服务费用达到预算金额时，合同自动终止；如在服务周期结束后，乙方服务费用未达到预算金额时，合同也自动终止。</w:t>
            </w:r>
            <w:r>
              <w:rPr>
                <w:color w:val="000000" w:themeColor="text1"/>
              </w:rPr>
            </w:r>
          </w:p>
        </w:tc>
      </w:tr>
      <w:tr>
        <w:trPr>
          <w:trHeight w:val="2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资金来源</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财政资金</w:t>
            </w:r>
            <w:r>
              <w:rPr>
                <w:color w:val="000000" w:themeColor="text1"/>
              </w:rP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现场踏勘</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由响应单位自行踏勘（供应商由于未踏勘现场导致的报价失误或对工程量清单理解产生的歧义，其后果自行承担）。</w:t>
            </w:r>
            <w:r>
              <w:rPr>
                <w:color w:val="000000" w:themeColor="text1"/>
              </w:rP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供应商的资质等级要求</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1、满足中华人民共和国政府采购法第二十二条所规定的条件；</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2、申请人资质类别和等级：具有公路交通工程（公路安全设施分项）专业承包二级及以上且同时具有公路交通工程（公路机电工程分项）专业承包二级及以上 资质(含)以上资质；</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3、具备安全生产条件，并取得安全生产许可证；</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拟选派项目经理资质等级：具有公路工程二级及以上注册建造师资质或机电工程二级及以上注册建造师资质并具有《建筑施工企业项目负责人安全生产考核合格证书》（B类）及响应单位为其缴纳社保。项目经理必须满足： ①项目经理不得同时在两个或者两个以上单位受聘或者执业。②项目经理是非变更后无在建工程，或项目经理是变更后无在建工程</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必须原合同工期已满且变更备案之日已满</w:t>
            </w:r>
            <w:r>
              <w:rPr>
                <w:rFonts w:ascii="Times New Roman" w:hAnsi="Times New Roman" w:eastAsia="Times New Roman" w:cs="Times New Roman"/>
                <w:color w:val="000000" w:themeColor="text1"/>
                <w:sz w:val="24"/>
              </w:rPr>
              <w:t xml:space="preserve">6</w:t>
            </w:r>
            <w:r>
              <w:rPr>
                <w:rFonts w:ascii="SimSun" w:hAnsi="SimSun" w:eastAsia="SimSun" w:cs="SimSun"/>
                <w:color w:val="000000" w:themeColor="text1"/>
                <w:sz w:val="24"/>
              </w:rPr>
              <w:t xml:space="preserve">个月</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或因非承包方原因致使工程项目停工或因故不能按期开工、且已办理了项目经理解锁手续，或项目经理有在建工程，但该在建工程与本次招标的程属于同一工程项目、同一项目批文、同一施工地点分段发包或分期施工的情况且总的工程规模在项目经理执业范围之内。</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注：本项目不接受联合体投标。</w:t>
            </w:r>
            <w:r>
              <w:rPr>
                <w:color w:val="000000" w:themeColor="text1"/>
              </w:rP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工程报价方式</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shd w:val="clear" w:color="ffffff" w:themeColor="background1" w:fill="ffffff" w:themeFill="background1"/>
              <w:tabs>
                <w:tab w:val="left" w:pos="12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固定综合单价</w:t>
            </w:r>
            <w:r>
              <w:rPr>
                <w:color w:val="000000" w:themeColor="text1"/>
              </w:rPr>
            </w:r>
          </w:p>
        </w:tc>
      </w:tr>
      <w:tr>
        <w:trPr>
          <w:trHeight w:val="6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磋商保证金</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本项目不收取磋商保证金，采购文件中有关磋商保证金的条款不适用。</w:t>
            </w:r>
            <w:r>
              <w:rPr>
                <w:color w:val="000000" w:themeColor="text1"/>
              </w:rPr>
            </w:r>
          </w:p>
        </w:tc>
      </w:tr>
      <w:tr>
        <w:trPr>
          <w:trHeight w:val="9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预算价</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预算价：1799938.85元</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注：报价超过预算价或最高限价的按无效报价处理。</w:t>
            </w:r>
            <w:r>
              <w:rPr>
                <w:color w:val="000000" w:themeColor="text1"/>
              </w:rP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13</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响应文件份数</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成交后，成交供应商提供四份纸质响应文件至代理机构，响应文件中须包含综合分析表。</w:t>
            </w:r>
            <w:r>
              <w:rPr>
                <w:color w:val="000000" w:themeColor="text1"/>
              </w:rP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响应文件有效期</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90天（从提交响应文件截止时间当日起算）</w:t>
            </w:r>
            <w:r>
              <w:rPr>
                <w:color w:val="000000" w:themeColor="text1"/>
              </w:rPr>
            </w:r>
          </w:p>
        </w:tc>
      </w:tr>
      <w:tr>
        <w:trPr>
          <w:trHeight w:val="9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15</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磋商响应文件提交</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6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上传截止时间：</w:t>
            </w:r>
            <w:r>
              <w:rPr>
                <w:rFonts w:ascii="SimSun" w:hAnsi="SimSun" w:eastAsia="SimSun" w:cs="SimSun"/>
                <w:color w:val="000000" w:themeColor="text1"/>
                <w:sz w:val="24"/>
                <w:u w:val="single"/>
              </w:rPr>
              <w:t xml:space="preserve">2026年</w:t>
            </w:r>
            <w:r>
              <w:rPr>
                <w:rFonts w:ascii="SimSun" w:hAnsi="SimSun" w:eastAsia="SimSun" w:cs="SimSun"/>
                <w:color w:val="000000" w:themeColor="text1"/>
                <w:sz w:val="24"/>
              </w:rPr>
              <w:t xml:space="preserve">09月02日13:30（北京时间）</w:t>
            </w:r>
            <w:r>
              <w:rPr>
                <w:color w:val="000000" w:themeColor="text1"/>
              </w:rPr>
            </w:r>
          </w:p>
          <w:p>
            <w:pPr>
              <w:ind w:left="0" w:right="0" w:firstLine="0"/>
              <w:jc w:val="both"/>
              <w:spacing w:before="0" w:after="0" w:line="6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地点：苏采云政府采购一体化平台</w:t>
            </w:r>
            <w:r>
              <w:rPr>
                <w:color w:val="000000" w:themeColor="text1"/>
              </w:rPr>
            </w:r>
          </w:p>
          <w:p>
            <w:pPr>
              <w:ind w:left="0" w:right="0" w:firstLine="0"/>
              <w:jc w:val="both"/>
              <w:spacing w:before="0" w:after="0" w:line="6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本项目为不见面开标项目，开标阶段供应商在【供应商解密】环节必须使用 CA证书解密电子投标文件，如在系统规定的解密时间内未能完成解密的视为放弃投标（响应）。</w:t>
            </w:r>
            <w:r>
              <w:rPr>
                <w:color w:val="000000" w:themeColor="text1"/>
              </w:rPr>
            </w:r>
          </w:p>
        </w:tc>
      </w:tr>
      <w:tr>
        <w:trPr>
          <w:trHeight w:val="9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16</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磋商时间</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6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响应文件开启时间：</w:t>
            </w:r>
            <w:r>
              <w:rPr>
                <w:rFonts w:ascii="SimSun" w:hAnsi="SimSun" w:eastAsia="SimSun" w:cs="SimSun"/>
                <w:color w:val="000000" w:themeColor="text1"/>
                <w:sz w:val="24"/>
                <w:u w:val="single"/>
              </w:rPr>
              <w:t xml:space="preserve">2026年</w:t>
            </w:r>
            <w:r>
              <w:rPr>
                <w:rFonts w:ascii="SimSun" w:hAnsi="SimSun" w:eastAsia="SimSun" w:cs="SimSun"/>
                <w:color w:val="000000" w:themeColor="text1"/>
                <w:sz w:val="24"/>
              </w:rPr>
              <w:t xml:space="preserve">09月02日13:30（北京时间）</w:t>
            </w:r>
            <w:r>
              <w:rPr>
                <w:color w:val="000000" w:themeColor="text1"/>
              </w:rPr>
            </w:r>
          </w:p>
          <w:p>
            <w:pPr>
              <w:ind w:left="1"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磋商地点：苏采云政府采购一体化平台</w:t>
            </w:r>
            <w:r>
              <w:rPr>
                <w:color w:val="000000" w:themeColor="text1"/>
              </w:rPr>
            </w:r>
          </w:p>
        </w:tc>
      </w:tr>
      <w:tr>
        <w:trPr>
          <w:trHeight w:val="4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17</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询问和质疑</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shd w:val="clear" w:color="ffffff" w:themeColor="background1" w:fill="ffffff" w:themeFill="background1"/>
              <w:tabs>
                <w:tab w:val="left" w:pos="12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（1）获取磋商文件成功的磋商供应商在下载磋商文件后，对磋商文件有疑问的，可通过邮件（1214506206@qq.com）进行询问。采购代理机构通过邮件予以解答，询问人自行在邮件中查看解答信息。</w:t>
            </w:r>
            <w:r>
              <w:rPr>
                <w:color w:val="000000" w:themeColor="text1"/>
              </w:rPr>
            </w:r>
          </w:p>
          <w:p>
            <w:pPr>
              <w:ind w:left="0" w:right="0" w:firstLine="0"/>
              <w:jc w:val="both"/>
              <w:spacing w:before="0" w:after="0" w:line="85" w:lineRule="atLeast"/>
              <w:shd w:val="clear" w:color="ffffff" w:themeColor="background1" w:fill="ffffff" w:themeFill="background1"/>
              <w:tabs>
                <w:tab w:val="left" w:pos="12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供应商认为采购文件、采购过程、成交结果使自己的权益受到损害的，可以在知道或者应知其权益受到损害之日起7个工作日内，以书面形式向采购人提出质疑。供应商须在法定质疑期内一次性提出针对同一采购程序环节的质疑。质疑函须以当面递交等法定途径送达。供应商质疑应符合政府采购质疑和投诉办法(中华人民共和国财政部令第94号)。</w:t>
            </w:r>
            <w:r>
              <w:rPr>
                <w:color w:val="000000" w:themeColor="text1"/>
              </w:rPr>
            </w:r>
          </w:p>
        </w:tc>
      </w:tr>
      <w:tr>
        <w:trPr>
          <w:trHeight w:val="13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18</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成交原则</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经磋商确定最终采购需求和提交最后报价的供应商后，由磋商小组采用综合评分法对提交最后报价的供应商的响应文件和最后报价进行综合评分。</w:t>
            </w:r>
            <w:r>
              <w:rPr>
                <w:color w:val="000000" w:themeColor="text1"/>
              </w:rPr>
            </w:r>
          </w:p>
        </w:tc>
      </w:tr>
      <w:tr>
        <w:trP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19</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代理服务费</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本项目无需供应商支付代理服务费</w:t>
            </w:r>
            <w:r>
              <w:rPr>
                <w:color w:val="000000" w:themeColor="text1"/>
              </w:rP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20</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签订合同</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成交通知书发出之日起15日内</w:t>
            </w:r>
            <w:r>
              <w:rPr>
                <w:color w:val="000000" w:themeColor="text1"/>
              </w:rPr>
            </w:r>
          </w:p>
        </w:tc>
      </w:tr>
      <w:tr>
        <w:trPr>
          <w:trHeight w:val="7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履约保证金</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不提交，采购文件中有关履约保证金的规定均不适用。</w:t>
            </w:r>
            <w:r>
              <w:rPr>
                <w:color w:val="000000" w:themeColor="text1"/>
              </w:rPr>
            </w:r>
          </w:p>
        </w:tc>
      </w:tr>
      <w:tr>
        <w:trPr>
          <w:trHeight w:val="9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特别提醒</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1、本项目支持网上不见面开标，供应商不需到现场参加磋商会。</w:t>
            </w:r>
            <w:r>
              <w:rPr>
                <w:color w:val="000000" w:themeColor="text1"/>
              </w:rPr>
            </w:r>
          </w:p>
          <w:p>
            <w:pPr>
              <w:ind w:left="0" w:right="0" w:firstLine="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本项目采用线上二次报价(及时关注系统，以防错过二次报价)，供应商应登录采购系统并在规定时间内进行线上二次报价。此处规定时间的计算以采购系统中的倒计时间为准。因供应商自身原因导致线上二次报价失败的后果由供应商自行承担。</w:t>
            </w:r>
            <w:r>
              <w:rPr>
                <w:color w:val="000000" w:themeColor="text1"/>
              </w:rPr>
            </w:r>
          </w:p>
          <w:p>
            <w:pPr>
              <w:ind w:left="0" w:right="0" w:firstLine="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3、请供应商确保电脑、系统及其他设备（视频输入输出设备等）无误，且开标直至项目结束始终保持系统在线状态。</w:t>
            </w:r>
            <w:r>
              <w:rPr>
                <w:color w:val="000000" w:themeColor="text1"/>
              </w:rPr>
            </w:r>
          </w:p>
          <w:p>
            <w:pPr>
              <w:ind w:left="0" w:right="0" w:firstLine="0"/>
              <w:spacing w:before="200" w:after="20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4、供应商如需图纸，请联系采购代理机构(如有）。</w:t>
            </w:r>
            <w:r>
              <w:rPr>
                <w:color w:val="000000" w:themeColor="text1"/>
              </w:rPr>
            </w:r>
          </w:p>
        </w:tc>
      </w:tr>
    </w:tbl>
    <w:p>
      <w:pPr>
        <w:pStyle w:val="795"/>
        <w:ind w:left="0" w:right="0" w:firstLine="0"/>
        <w:jc w:val="center"/>
        <w:spacing w:before="12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pStyle w:val="795"/>
        <w:ind w:left="0" w:right="0" w:firstLine="0"/>
        <w:jc w:val="center"/>
        <w:spacing w:before="12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Hei" w:hAnsi="SimHei" w:eastAsia="SimHei" w:cs="SimHei"/>
          <w:b/>
          <w:color w:val="000000" w:themeColor="text1"/>
          <w:sz w:val="44"/>
        </w:rPr>
        <w:t xml:space="preserve">第一章 磋商邀请函</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项目概况</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2026年交通安全设施维护和保养及隐患整改采购项目的潜在供应商应在“苏采云政府采购一体化平台”自行免费下载磋商文件，并于</w:t>
      </w:r>
      <w:r>
        <w:rPr>
          <w:rFonts w:ascii="SimSun" w:hAnsi="SimSun" w:eastAsia="SimSun" w:cs="SimSun"/>
          <w:color w:val="000000" w:themeColor="text1"/>
          <w:sz w:val="24"/>
          <w:u w:val="single"/>
        </w:rPr>
        <w:t xml:space="preserve">2026年</w:t>
      </w:r>
      <w:r>
        <w:rPr>
          <w:rFonts w:ascii="SimSun" w:hAnsi="SimSun" w:eastAsia="SimSun" w:cs="SimSun"/>
          <w:color w:val="000000" w:themeColor="text1"/>
          <w:sz w:val="24"/>
        </w:rPr>
        <w:t xml:space="preserve">09月02日13:30（北京时间）前提交响应文件。</w:t>
      </w:r>
      <w:r>
        <w:rPr>
          <w:color w:val="000000" w:themeColor="text1"/>
        </w:rPr>
      </w:r>
    </w:p>
    <w:p>
      <w:pPr>
        <w:ind w:left="0" w:right="0" w:firstLine="48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一、项目基本情况：</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项目编号：</w:t>
      </w:r>
      <w:r>
        <w:rPr>
          <w:rFonts w:ascii="SimSun" w:hAnsi="SimSun" w:eastAsia="SimSun" w:cs="SimSun"/>
          <w:color w:val="000000" w:themeColor="text1"/>
          <w:sz w:val="24"/>
          <w:u w:val="single"/>
        </w:rPr>
        <w:t xml:space="preserve">JSZC-320507-PMJS-C2026-0022</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项目名称：2026年交通安全设施维护和保养及隐患整改</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采购方式：竞争性磋商</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预算金额：179.993885万元</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采购需求：</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1.工程概况：施工范围主要为望亭镇市政道路交安设施养护维修，主要包括信号灯、标志标牌、隔离护栏、标线及其他交安设施的日常养护及故障维修等。</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2.施工范围及内容：施工范围主要为望亭镇市政道路交安设施养护维修，主要包括信号灯、标志标牌、隔离护栏、标线及其他交安设施的日常养护及故障维修等，详见工程量清单。</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3.工程地点：苏州相城区望亭镇</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4.资金来源：财政资金</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5.承包方式：包工包料</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6.服务期限：12个月（具体开工日期以采购人通知为准）；如在服务过程中，乙方服务费用达到预算金额时，合同自动终止；如在服务周期结束后，乙方服务费用未达到预算金额时，合同也自动终止。</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7.质量要求：合格</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8.编制依据：《市政工程工程量计算标准》（GB/T 50857-2024）、《通用安装工程工程量计算标准》（GB/T 50856-2024）等工程量计算标准、《江苏省建设工程费用参考》等；</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numPr>
          <w:ilvl w:val="0"/>
          <w:numId w:val="22"/>
        </w:numPr>
        <w:spacing w:before="0" w:after="0" w:line="85" w:lineRule="atLeast"/>
        <w:shd w:val="clear" w:color="ffffff" w:themeColor="background1" w:fill="ffffff" w:themeFill="background1"/>
        <w:tabs>
          <w:tab w:val="left" w:pos="312"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项目工程量：详见工程量清单（本项目工程量清单、工程量编制说明，请投标人自行下载）；</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10.施工要求：按现行国家施工技术及验收规范规程执行，满足采购需求要求；</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11.验收标准：满足采购需求要求；</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本项目（是/否）接受联合体投标：否</w:t>
      </w:r>
      <w:r>
        <w:rPr>
          <w:color w:val="000000" w:themeColor="text1"/>
        </w:rPr>
      </w:r>
    </w:p>
    <w:p>
      <w:pPr>
        <w:ind w:left="0" w:right="0" w:firstLine="48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二、申请人的资格要求：</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1.满足《中华人民共和国政府采购法》第二十二条规定；</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（1）具有独立承担民事责任的能力；</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（2）具有良好的商业信誉和健全的财务会计制度；</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（3）具有履行合同所必须的设备和专业技术能力；</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（4）有依法缴纳税收和社会保障资金的良好记录；</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（5）参加政府采购活动前三年内,在经营活动中没有重大违法记录；</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（6）符合法律、行政法规规定的其他条件；</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2.落实政府采购政策需满足的资格要求：本项目专门面向中小企业采购，所属行业为建筑业，供应商应为中小微企业或监狱企业或残疾人福利性单位。</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3.本项目的特定资格要求：</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w:t>
      </w:r>
      <w:r>
        <w:rPr>
          <w:rFonts w:ascii="SimSun" w:hAnsi="SimSun" w:eastAsia="SimSun" w:cs="SimSun"/>
          <w:color w:val="000000" w:themeColor="text1"/>
          <w:sz w:val="24"/>
        </w:rPr>
        <w:t xml:space="preserve">1）申请人资质类别和等级：具有公路交通工程（公路安全设施分项）专业承包二级及以上且同时具有公路交通工程（公路机电工程分项）专业承包二级及以上资质(含)以上资质；</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（2）具备安全生产条件：取得安全生产许可证；</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拟选派项目经理资质等级：具有公路工程二级及以上注册建造师资质或机电工程二级及以上资质并具有《建筑施工企业项目负责人安全生产考核合格证书》（B类）及响应单位为其缴纳社保。项目经理必须满足： ①项目经理不得同时在两个或者两个以上单位受聘或者执业。②项目经理是非变更后无在建工程，或项目经理是变更后无在建工程</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必须原合同工期已满且变更备案之日已满</w:t>
      </w:r>
      <w:r>
        <w:rPr>
          <w:rFonts w:ascii="Times New Roman" w:hAnsi="Times New Roman" w:eastAsia="Times New Roman" w:cs="Times New Roman"/>
          <w:color w:val="000000" w:themeColor="text1"/>
          <w:sz w:val="24"/>
        </w:rPr>
        <w:t xml:space="preserve">6</w:t>
      </w:r>
      <w:r>
        <w:rPr>
          <w:rFonts w:ascii="SimSun" w:hAnsi="SimSun" w:eastAsia="SimSun" w:cs="SimSun"/>
          <w:color w:val="000000" w:themeColor="text1"/>
          <w:sz w:val="24"/>
        </w:rPr>
        <w:t xml:space="preserve">个月</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或因非承包方原因致使工程项目停工或因故不能按期开工、且已办理了项目经理解锁手续，或项目经理有在建工程，但该在建工程与本次招标的程属于同一工程项目、同一项目批文、同一施工地点分段发包或分期施工的情况且总的工程规模在项目经理执业范围之内。</w:t>
      </w:r>
      <w:r>
        <w:rPr>
          <w:color w:val="000000" w:themeColor="text1"/>
        </w:rPr>
      </w:r>
    </w:p>
    <w:p>
      <w:pPr>
        <w:ind w:left="0" w:right="0" w:firstLine="4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注：</w:t>
      </w:r>
      <w:r>
        <w:rPr>
          <w:color w:val="000000" w:themeColor="text1"/>
        </w:rPr>
      </w:r>
    </w:p>
    <w:p>
      <w:pPr>
        <w:ind w:left="0" w:right="0" w:firstLine="4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（1）根据政府采购法及相关法规，招标代理人将对供应商进行信用查询。对列入失信被执行人、重大税收违法案件当事人名单、政府采购严重违法失信行为记录名单的供应商，拒绝其参与政府采购活动。</w:t>
      </w:r>
      <w:r>
        <w:rPr>
          <w:color w:val="000000" w:themeColor="text1"/>
        </w:rPr>
      </w:r>
    </w:p>
    <w:p>
      <w:pPr>
        <w:ind w:left="0" w:right="0" w:firstLine="4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（2）单位负责人为同一人或者存在直接控股、管理关系的不同供应商，不得参加同一合同项下的政府采购活动。</w:t>
      </w:r>
      <w:r>
        <w:rPr>
          <w:color w:val="000000" w:themeColor="text1"/>
        </w:rPr>
      </w:r>
    </w:p>
    <w:p>
      <w:pPr>
        <w:ind w:left="0" w:right="0" w:firstLine="4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（3）为本采购项目提供整体设计、规范编制或者项目管理、监理、检测等服务的供应商，不得再参加本采购项目的其他采购活动。</w:t>
      </w:r>
      <w:r>
        <w:rPr>
          <w:color w:val="000000" w:themeColor="text1"/>
        </w:rPr>
      </w:r>
    </w:p>
    <w:p>
      <w:pPr>
        <w:ind w:left="0" w:right="0" w:firstLine="48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三、获取采购文件：</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时间：磋商公告之日起5个工作日。</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地点：供应商登录苏州市政府采购网站首页下侧 “苏采云-已参与项目”中，根据提示，下载招标（采购）文件。 </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方式：网上报名 </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售价：0.00元 </w:t>
      </w:r>
      <w:r>
        <w:rPr>
          <w:color w:val="000000" w:themeColor="text1"/>
        </w:rPr>
      </w:r>
    </w:p>
    <w:p>
      <w:pPr>
        <w:ind w:left="0" w:right="0" w:firstLine="48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四、响应文件递交</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截止时间：</w:t>
      </w:r>
      <w:r>
        <w:rPr>
          <w:rFonts w:ascii="SimSun" w:hAnsi="SimSun" w:eastAsia="SimSun" w:cs="SimSun"/>
          <w:color w:val="000000" w:themeColor="text1"/>
          <w:sz w:val="24"/>
          <w:u w:val="single"/>
        </w:rPr>
        <w:t xml:space="preserve">2026年</w:t>
      </w:r>
      <w:r>
        <w:rPr>
          <w:rFonts w:ascii="SimSun" w:hAnsi="SimSun" w:eastAsia="SimSun" w:cs="SimSun"/>
          <w:color w:val="000000" w:themeColor="text1"/>
          <w:sz w:val="24"/>
        </w:rPr>
        <w:t xml:space="preserve">09月02日13：30（北京时间）</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地点：苏州市政府采购网站-苏采云系统</w:t>
      </w:r>
      <w:r>
        <w:rPr>
          <w:color w:val="000000" w:themeColor="text1"/>
        </w:rPr>
      </w:r>
    </w:p>
    <w:p>
      <w:pPr>
        <w:ind w:left="0" w:right="0" w:firstLine="48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五、开启</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时间：</w:t>
      </w:r>
      <w:r>
        <w:rPr>
          <w:rFonts w:ascii="SimSun" w:hAnsi="SimSun" w:eastAsia="SimSun" w:cs="SimSun"/>
          <w:color w:val="000000" w:themeColor="text1"/>
          <w:sz w:val="24"/>
          <w:u w:val="single"/>
        </w:rPr>
        <w:t xml:space="preserve">2026年</w:t>
      </w:r>
      <w:r>
        <w:rPr>
          <w:rFonts w:ascii="SimSun" w:hAnsi="SimSun" w:eastAsia="SimSun" w:cs="SimSun"/>
          <w:color w:val="000000" w:themeColor="text1"/>
          <w:sz w:val="24"/>
        </w:rPr>
        <w:t xml:space="preserve">09月02日13：30（北京时间）</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地点：</w:t>
      </w:r>
      <w:r>
        <w:rPr>
          <w:color w:val="000000" w:themeColor="text1"/>
        </w:rPr>
      </w:r>
    </w:p>
    <w:p>
      <w:pPr>
        <w:ind w:left="0" w:right="0" w:firstLine="48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六、公告期限</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自本公告发布之日起3个工作日。</w:t>
      </w:r>
      <w:r>
        <w:rPr>
          <w:color w:val="000000" w:themeColor="text1"/>
        </w:rPr>
      </w:r>
    </w:p>
    <w:p>
      <w:pPr>
        <w:ind w:left="0" w:right="0" w:firstLine="48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七、</w:t>
      </w:r>
      <w:r>
        <w:rPr>
          <w:rFonts w:ascii="SimSun" w:hAnsi="SimSun" w:eastAsia="SimSun" w:cs="SimSun"/>
          <w:b/>
          <w:color w:val="000000" w:themeColor="text1"/>
          <w:sz w:val="24"/>
        </w:rPr>
        <w:t xml:space="preserve">其他补充事宜</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本项目为网上招投标项目，供应商应在“苏州市政府采购网-苏采云-项目参与-采购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2.本项目支持网上不见面开标，</w:t>
      </w:r>
      <w:r>
        <w:rPr>
          <w:rFonts w:ascii="SimSun" w:hAnsi="SimSun" w:eastAsia="SimSun" w:cs="SimSun"/>
          <w:b/>
          <w:color w:val="000000" w:themeColor="text1"/>
          <w:sz w:val="24"/>
        </w:rPr>
        <w:t xml:space="preserve">供应商不需到现场参加磋商会，开标阶段供应商在【供应商解密】环节必须使用 CA证书解密电子投标（响应）文件，如在系统规定的解密时间内未能完成解密的视为放弃投标（响应）。</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4.线上参加（观看）开标会方式：苏州市政府采购网点击“苏采云”进入交易系统，点击“开标大厅-我的项目”，找到对应项目</w:t>
      </w:r>
      <w:r>
        <w:rPr>
          <w:rFonts w:ascii="SimSun" w:hAnsi="SimSun" w:eastAsia="SimSun" w:cs="SimSun"/>
          <w:color w:val="000000" w:themeColor="text1"/>
          <w:sz w:val="24"/>
          <w:highlight w:val="white"/>
        </w:rPr>
        <w:t xml:space="preserve">进入不见面开标系统</w:t>
      </w:r>
      <w:r>
        <w:rPr>
          <w:rFonts w:ascii="SimSun" w:hAnsi="SimSun" w:eastAsia="SimSun" w:cs="SimSun"/>
          <w:color w:val="000000" w:themeColor="text1"/>
          <w:sz w:val="24"/>
        </w:rPr>
        <w:t xml:space="preserve">。</w:t>
      </w:r>
      <w:r>
        <w:rPr>
          <w:color w:val="000000" w:themeColor="text1"/>
        </w:rPr>
      </w:r>
    </w:p>
    <w:p>
      <w:pPr>
        <w:ind w:left="0" w:right="0" w:firstLine="48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5.请供应商确保电脑、系统及其他设备（视频输入输出设备等）无误，且开标直至项目结束始终保持系统在线状态。</w:t>
      </w:r>
      <w:r>
        <w:rPr>
          <w:color w:val="000000" w:themeColor="text1"/>
        </w:rPr>
      </w:r>
    </w:p>
    <w:p>
      <w:pPr>
        <w:ind w:left="0" w:right="0" w:firstLine="4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6.CA办理及使用指南： 根据省财政厅《关于更换全省政府采购交易系统CA数字证书和电子签章的通知》（苏财购〔2023〕101号），“苏采云”政府采购交易系统（以下简称苏采云系统）的CA数字证书、电子签章为江苏省电子政务证书认证中心CA和方正国际软件（北京）有限公司电子签章。具体办理指南和操作手册见苏州市政府采购网苏采云登陆页面右下角点击【新CA办理指南】--江苏省政府采购数字证书（供应商)数字证书CA及电子签章办理指南。苏州现场办理地址：苏州高新区邓尉路105号狮山科技馆1楼服务大厅，咨询电话：0512-6</w:t>
      </w:r>
      <w:r>
        <w:rPr>
          <w:rFonts w:ascii="SimSun" w:hAnsi="SimSun" w:eastAsia="SimSun" w:cs="SimSun"/>
          <w:color w:val="000000" w:themeColor="text1"/>
          <w:sz w:val="24"/>
        </w:rPr>
        <w:t xml:space="preserve">5737699。</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进入“苏采云”政府采购交易系统后按照《苏采云系统供应商操作手册》（以下简称《操作手册》）、进行注册并按《操作手册》要求制作、上传电子响应文件。供应商可在采购系统中下载《苏采云系统供应商操作手册》。</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7.考虑到熟悉苏采云系统操作需要一定的时间，请提早准备以免耽误采购活动。</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供应商应及时关注政府采购信息发布媒体上发布的更正（补充）公告，同时在苏采云系统中下载更正（补充）资料，如有遗漏（包括但不限于文件未下载或下载不完整），所造成的投标失败或损失由供应商自行负责。</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9.投标人（供应商）应自行在苏采云政府采购一体化平台上下载/获取招标（采购）文件及其澄清（答疑）、工程量清单、图纸等相关招标（采购）资料，恕不另行通知。</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10.采购项目需要落实的政府采购政策：</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（1）财政部、工业和信息化部《政府采购促进中小企业发展管理办法》。</w:t>
      </w:r>
      <w:r>
        <w:rPr>
          <w:color w:val="000000" w:themeColor="text1"/>
        </w:rPr>
      </w:r>
    </w:p>
    <w:p>
      <w:pPr>
        <w:ind w:left="0" w:right="0" w:firstLine="4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（2）苏州市财政局《关于贯彻执行绿色采购、促进残疾人就业和支持监狱企业发展有关政策的通知（苏财购〔2020〕10号）》。</w:t>
      </w:r>
      <w:r>
        <w:rPr>
          <w:color w:val="000000" w:themeColor="text1"/>
        </w:rPr>
      </w:r>
    </w:p>
    <w:p>
      <w:pPr>
        <w:ind w:left="0" w:right="0" w:firstLine="4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（3）财库〔2022〕19号关于进一步加大政府采购支持中小企业力度的通知。</w:t>
      </w:r>
      <w:r>
        <w:rPr>
          <w:color w:val="000000" w:themeColor="text1"/>
        </w:rPr>
      </w:r>
    </w:p>
    <w:p>
      <w:pPr>
        <w:ind w:left="0" w:right="0" w:firstLine="4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（4）苏财购〔2022〕16号关于印发《苏州市政府采购促进中小企业发展实施意见》的通知。</w:t>
      </w:r>
      <w:r>
        <w:rPr>
          <w:color w:val="000000" w:themeColor="text1"/>
        </w:rPr>
      </w:r>
    </w:p>
    <w:p>
      <w:pPr>
        <w:ind w:left="0" w:right="0" w:firstLine="4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（5）国办发(2025)34号《国务院办公厅关于在政府采购中实施本国产品标准及相关政策的通知》。</w:t>
      </w:r>
      <w:r>
        <w:rPr>
          <w:color w:val="000000" w:themeColor="text1"/>
        </w:rPr>
      </w:r>
    </w:p>
    <w:p>
      <w:pPr>
        <w:ind w:left="0" w:right="0" w:firstLine="46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11.成交供应商可凭政府采购合同办理融资贷款，详情请见江苏政府采购网“政采贷”专栏。</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12.请贵单位领取本次采购文件后，认真阅读各项内容，进行必要的磋商准备，按文件的要求详细填写和编制响应文件。</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13.苏州市相城区财政局政府采购监督电话：0512-67591005、0512-67591006。</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14.本次采购的有关信息将在苏州市政府采购网、江苏政府采购网、中国政府采购网</w:t>
      </w:r>
      <w:hyperlink r:id="rId22" w:tooltip="http://www.szweikang.xn--com-6y3ba7cbgc4097e4kax19cqoerohxod7w1bva254sga6035lg4sc/" w:history="1">
        <w:r>
          <w:rPr>
            <w:rStyle w:val="1063"/>
            <w:rFonts w:ascii="SimSun" w:hAnsi="SimSun" w:eastAsia="SimSun" w:cs="SimSun"/>
            <w:color w:val="000000" w:themeColor="text1"/>
            <w:sz w:val="24"/>
            <w:u w:val="single"/>
          </w:rPr>
          <w:t xml:space="preserve">上发布</w:t>
        </w:r>
      </w:hyperlink>
      <w:r>
        <w:rPr>
          <w:rFonts w:ascii="SimSun" w:hAnsi="SimSun" w:eastAsia="SimSun" w:cs="SimSun"/>
          <w:color w:val="000000" w:themeColor="text1"/>
          <w:sz w:val="24"/>
        </w:rPr>
        <w:t xml:space="preserve">，敬请留意。</w:t>
      </w:r>
      <w:r>
        <w:rPr>
          <w:color w:val="000000" w:themeColor="text1"/>
        </w:rPr>
      </w:r>
    </w:p>
    <w:p>
      <w:pPr>
        <w:ind w:left="0" w:right="0" w:firstLine="4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15.技术支持</w:t>
      </w:r>
      <w:r>
        <w:rPr>
          <w:color w:val="000000" w:themeColor="text1"/>
        </w:rPr>
      </w:r>
    </w:p>
    <w:p>
      <w:pPr>
        <w:ind w:left="0" w:right="0" w:firstLine="4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注册咨询：13914088964、18261002950；</w:t>
      </w:r>
      <w:r>
        <w:rPr>
          <w:color w:val="000000" w:themeColor="text1"/>
        </w:rPr>
      </w:r>
    </w:p>
    <w:p>
      <w:pPr>
        <w:ind w:left="0" w:right="0" w:firstLine="4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CA技术咨询电话：400-608-6099；</w:t>
      </w:r>
      <w:r>
        <w:rPr>
          <w:color w:val="000000" w:themeColor="text1"/>
        </w:rPr>
      </w:r>
    </w:p>
    <w:p>
      <w:pPr>
        <w:ind w:left="0" w:right="0" w:firstLine="4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签章使用问题：025-83633811、025-83633812、15380932027、15371015030；</w:t>
      </w:r>
      <w:r>
        <w:rPr>
          <w:color w:val="000000" w:themeColor="text1"/>
        </w:rPr>
      </w:r>
    </w:p>
    <w:p>
      <w:pPr>
        <w:ind w:left="0" w:right="0" w:firstLine="4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系统使用指导与咨询：联系电话：13914088964、18261002950；QQ：3048755361、1315179389、895706745。智能客服：登录苏采云系统后，联系系统右下方智能客服图标进行咨询。</w:t>
      </w:r>
      <w:r>
        <w:rPr>
          <w:color w:val="000000" w:themeColor="text1"/>
        </w:rPr>
      </w:r>
    </w:p>
    <w:p>
      <w:pPr>
        <w:ind w:left="0" w:right="0" w:firstLine="48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八、凡对本次采购提出询问，请按以下方式联系。</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1.采购人信息</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名称：</w:t>
      </w:r>
      <w:r>
        <w:rPr>
          <w:rFonts w:ascii="SimSun" w:hAnsi="SimSun" w:eastAsia="SimSun" w:cs="SimSun"/>
          <w:color w:val="000000" w:themeColor="text1"/>
          <w:sz w:val="24"/>
        </w:rPr>
        <w:t xml:space="preserve">苏州市公安局相城分局交通管理大队望亭中队</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单位地址：江苏省苏州市相城区望亭镇问渡路</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联系人：庄争荣</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联系电话：0512-65381504</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2.采购代理机构信息</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名称：江苏京苏项目管理咨询有限公司</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地　　址：苏州工业园区东环路1400号综艺开元大厦15楼会议室1502</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联系方式：0512-67256848-1647</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3.项目联系</w:t>
      </w:r>
      <w:r>
        <w:rPr>
          <w:rFonts w:ascii="SimSun" w:hAnsi="SimSun" w:eastAsia="SimSun" w:cs="SimSun"/>
          <w:color w:val="000000" w:themeColor="text1"/>
          <w:sz w:val="24"/>
        </w:rPr>
        <w:t xml:space="preserve">方式</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项目联系人：顾苏芯、</w:t>
      </w:r>
      <w:r>
        <w:rPr>
          <w:rFonts w:ascii="SimSun" w:hAnsi="SimSun" w:eastAsia="SimSun" w:cs="SimSun"/>
          <w:color w:val="000000" w:themeColor="text1"/>
          <w:sz w:val="24"/>
          <w:u w:val="single"/>
        </w:rPr>
        <w:t xml:space="preserve">刘金华、</w:t>
      </w:r>
      <w:r>
        <w:rPr>
          <w:rFonts w:ascii="SimSun" w:hAnsi="SimSun" w:eastAsia="SimSun" w:cs="SimSun"/>
          <w:color w:val="000000" w:themeColor="text1"/>
          <w:sz w:val="24"/>
        </w:rPr>
        <w:t xml:space="preserve">俞莉</w:t>
      </w:r>
      <w:r>
        <w:rPr>
          <w:rFonts w:ascii="SimSun" w:hAnsi="SimSun" w:eastAsia="SimSun" w:cs="SimSun"/>
          <w:color w:val="000000" w:themeColor="text1"/>
          <w:sz w:val="24"/>
          <w:u w:val="single"/>
        </w:rPr>
        <w:t xml:space="preserve">、周东星（项目负责人）</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电　　 话：0512-67256848-1647</w:t>
      </w:r>
      <w:r>
        <w:rPr>
          <w:color w:val="000000" w:themeColor="text1"/>
        </w:rPr>
      </w:r>
    </w:p>
    <w:p>
      <w:pPr>
        <w:pStyle w:val="795"/>
        <w:ind w:left="0" w:right="0" w:firstLine="0"/>
        <w:jc w:val="center"/>
        <w:spacing w:before="12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pStyle w:val="795"/>
        <w:ind w:left="0" w:right="0" w:firstLine="0"/>
        <w:jc w:val="center"/>
        <w:spacing w:before="12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Hei" w:hAnsi="SimHei" w:eastAsia="SimHei" w:cs="SimHei"/>
          <w:b/>
          <w:color w:val="000000" w:themeColor="text1"/>
          <w:sz w:val="44"/>
        </w:rPr>
        <w:t xml:space="preserve">第二章磋商响应文件格式</w:t>
      </w:r>
      <w:r>
        <w:rPr>
          <w:color w:val="000000" w:themeColor="text1"/>
        </w:rPr>
      </w:r>
    </w:p>
    <w:p>
      <w:pPr>
        <w:ind w:left="0" w:right="0" w:firstLine="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p>
    <w:p>
      <w:pPr>
        <w:ind w:left="0" w:right="0" w:firstLine="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说明：</w:t>
      </w:r>
      <w:r>
        <w:rPr>
          <w:color w:val="000000" w:themeColor="text1"/>
        </w:rPr>
      </w:r>
    </w:p>
    <w:p>
      <w:pPr>
        <w:ind w:left="0" w:right="0" w:firstLine="482"/>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对本章所有的格式，磋商供应商可根据自身情况进行补充和修改，但补充和修改不得造成与本格式内容有实质性的违背。</w:t>
      </w:r>
      <w:r>
        <w:rPr>
          <w:color w:val="000000" w:themeColor="text1"/>
        </w:rPr>
      </w:r>
    </w:p>
    <w:p>
      <w:pPr>
        <w:pStyle w:val="796"/>
        <w:ind w:left="0" w:right="0" w:firstLine="0"/>
        <w:spacing w:before="0" w:after="12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pStyle w:val="796"/>
        <w:ind w:left="0" w:right="0" w:firstLine="0"/>
        <w:spacing w:before="0" w:after="12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1、授权委托书</w:t>
      </w:r>
      <w:r>
        <w:rPr>
          <w:color w:val="000000" w:themeColor="text1"/>
        </w:rPr>
      </w:r>
    </w:p>
    <w:p>
      <w:pPr>
        <w:ind w:left="0" w:right="0" w:firstLine="0"/>
        <w:jc w:val="center"/>
        <w:spacing w:before="100" w:after="10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rPr>
        <w:t xml:space="preserve">法定代表人授权委托书</w:t>
      </w:r>
      <w:r>
        <w:rPr>
          <w:color w:val="000000" w:themeColor="text1"/>
        </w:rPr>
      </w:r>
    </w:p>
    <w:p>
      <w:pPr>
        <w:ind w:left="0" w:right="0" w:firstLine="480"/>
        <w:spacing w:before="100" w:after="10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本授权委托书声明：我</w:t>
      </w:r>
      <w:r>
        <w:rPr>
          <w:rFonts w:ascii="SimSun" w:hAnsi="SimSun" w:eastAsia="SimSun" w:cs="SimSun"/>
          <w:color w:val="000000" w:themeColor="text1"/>
          <w:sz w:val="24"/>
          <w:u w:val="single"/>
        </w:rPr>
        <w:t xml:space="preserve">（姓名）</w:t>
      </w:r>
      <w:r>
        <w:rPr>
          <w:rFonts w:ascii="SimSun" w:hAnsi="SimSun" w:eastAsia="SimSun" w:cs="SimSun"/>
          <w:color w:val="000000" w:themeColor="text1"/>
          <w:sz w:val="24"/>
        </w:rPr>
        <w:t xml:space="preserve">系</w:t>
      </w:r>
      <w:r>
        <w:rPr>
          <w:rFonts w:ascii="SimSun" w:hAnsi="SimSun" w:eastAsia="SimSun" w:cs="SimSun"/>
          <w:color w:val="000000" w:themeColor="text1"/>
          <w:sz w:val="24"/>
          <w:u w:val="single"/>
        </w:rPr>
        <w:t xml:space="preserve">（投标人名称）</w:t>
      </w:r>
      <w:r>
        <w:rPr>
          <w:rFonts w:ascii="SimSun" w:hAnsi="SimSun" w:eastAsia="SimSun" w:cs="SimSun"/>
          <w:color w:val="000000" w:themeColor="text1"/>
          <w:sz w:val="24"/>
        </w:rPr>
        <w:t xml:space="preserve">的法定代表人，现授权委托</w:t>
      </w:r>
      <w:r>
        <w:rPr>
          <w:rFonts w:ascii="SimSun" w:hAnsi="SimSun" w:eastAsia="SimSun" w:cs="SimSun"/>
          <w:color w:val="000000" w:themeColor="text1"/>
          <w:sz w:val="24"/>
          <w:u w:val="single"/>
        </w:rPr>
        <w:t xml:space="preserve">（姓名+手机号码）</w:t>
      </w:r>
      <w:r>
        <w:rPr>
          <w:rFonts w:ascii="SimSun" w:hAnsi="SimSun" w:eastAsia="SimSun" w:cs="SimSun"/>
          <w:color w:val="000000" w:themeColor="text1"/>
          <w:sz w:val="24"/>
        </w:rPr>
        <w:t xml:space="preserve">为我公司代理人，以本公司的名义参加</w:t>
      </w:r>
      <w:r>
        <w:rPr>
          <w:rFonts w:ascii="SimSun" w:hAnsi="SimSun" w:eastAsia="SimSun" w:cs="SimSun"/>
          <w:color w:val="000000" w:themeColor="text1"/>
          <w:sz w:val="24"/>
          <w:u w:val="single"/>
        </w:rPr>
        <w:t xml:space="preserve">（采购人名称）</w:t>
      </w:r>
      <w:r>
        <w:rPr>
          <w:rFonts w:ascii="SimSun" w:hAnsi="SimSun" w:eastAsia="SimSun" w:cs="SimSun"/>
          <w:color w:val="000000" w:themeColor="text1"/>
          <w:sz w:val="24"/>
        </w:rPr>
        <w:t xml:space="preserve">组织实施的编号为 </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号的招标（采购）活动。代理人在投标、开标、评标、合同订立和履行过程中所签署的一切文件和处理与这有关的一切事务，我均予以承认。</w:t>
      </w:r>
      <w:r>
        <w:rPr>
          <w:color w:val="000000" w:themeColor="text1"/>
        </w:rPr>
      </w:r>
    </w:p>
    <w:p>
      <w:pPr>
        <w:ind w:left="0" w:right="0" w:firstLine="480"/>
        <w:spacing w:before="100" w:after="10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如我司需撤销该代理人授权或更换代理人的，必须另行向贵方提交相应正式书面文件，并经贵方确认送达后方可实施。代理人在授权委托书有效期内签署的所有文件不因授权委托的撤销而失效，除非有撤销授权委托的书面通知，本授权委托书自投标开始至合同履行完毕止。</w:t>
      </w:r>
      <w:r>
        <w:rPr>
          <w:color w:val="000000" w:themeColor="text1"/>
        </w:rPr>
      </w:r>
    </w:p>
    <w:p>
      <w:pPr>
        <w:ind w:left="0" w:right="0" w:firstLine="480"/>
        <w:spacing w:before="100" w:after="10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80"/>
        <w:spacing w:before="100" w:after="10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代理人无转委托权。特此委托。  </w:t>
      </w:r>
      <w:r>
        <w:rPr>
          <w:color w:val="000000" w:themeColor="text1"/>
        </w:rPr>
      </w:r>
    </w:p>
    <w:p>
      <w:pPr>
        <w:ind w:left="0" w:right="0" w:firstLine="480"/>
        <w:spacing w:before="100" w:after="10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 标 人(盖章）：</w:t>
      </w:r>
      <w:r>
        <w:rPr>
          <w:color w:val="000000" w:themeColor="text1"/>
        </w:rPr>
      </w:r>
    </w:p>
    <w:p>
      <w:pPr>
        <w:ind w:left="0" w:right="0" w:firstLine="480"/>
        <w:spacing w:before="100" w:after="10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法定代表人（盖章或签字）：</w:t>
      </w:r>
      <w:r>
        <w:rPr>
          <w:color w:val="000000" w:themeColor="text1"/>
        </w:rPr>
      </w:r>
    </w:p>
    <w:p>
      <w:pPr>
        <w:ind w:left="0" w:right="0" w:firstLine="480"/>
        <w:spacing w:before="100" w:after="10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代理人（盖章或签字）：</w:t>
      </w:r>
      <w:r>
        <w:rPr>
          <w:color w:val="000000" w:themeColor="text1"/>
        </w:rPr>
      </w:r>
    </w:p>
    <w:p>
      <w:pPr>
        <w:ind w:left="0" w:right="0" w:firstLine="480"/>
        <w:spacing w:before="100" w:after="10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 期： </w:t>
      </w:r>
      <w:r>
        <w:rPr>
          <w:color w:val="000000" w:themeColor="text1"/>
        </w:rPr>
      </w:r>
    </w:p>
    <w:p>
      <w:pPr>
        <w:ind w:left="0" w:right="0" w:firstLine="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pStyle w:val="796"/>
        <w:ind w:left="0" w:right="0" w:firstLine="0"/>
        <w:spacing w:before="0" w:after="12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pStyle w:val="796"/>
        <w:ind w:left="0" w:right="0" w:firstLine="0"/>
        <w:spacing w:before="0" w:after="12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2、磋商响应函</w:t>
      </w:r>
      <w:r>
        <w:rPr>
          <w:color w:val="000000" w:themeColor="text1"/>
        </w:rPr>
      </w:r>
    </w:p>
    <w:p>
      <w:pPr>
        <w:ind w:left="0" w:right="0" w:firstLine="0"/>
        <w:jc w:val="center"/>
        <w:spacing w:before="120" w:after="12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rPr>
        <w:t xml:space="preserve">磋商响应函</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江苏京苏项目管理咨询有限公司：</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我们收到贵公司</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号采购文件，经仔细阅读和研究，我们决定参加磋商活动。</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1、我们愿意按照磋商采购文件的一切要求，提供本项目所有内容，我方的报价包含磋商文件要求的一切费用。</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2、如果我们的磋商响应文件被接受，我们将严格履行采购文件中规定的每一项要求，按期、按质、按量履行合同的义务。</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3、我们已详细审查全部采购文件，包括更正公告(如有)。</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4、我们同意按采购文件中的规定，本磋商响应文件的有效期限为响应文件提交截止之日起90天。如果我们在开标后规定的有效期内撤回，我们愿承担一切责任。</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我们愿意提供磋商采购单位在采购文件中要求的所有资料，也同意向贵方提供贵方可能另外要求的与其有关的任何证据或资料，并保证所提供的资料全部是真实的、合法的、有效的，若有虚假，我们愿承担一切责任。</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6、我们愿意遵守采购文件中所列的收费标准。</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7、我们承诺该磋商响应文件在磋商开始后的全过程中保持有效，不作任何更改和变动。我们同意成交后若不履行响应文件的内容要求和各项承诺及义务的即被视为违约，我们愿承担一切责任。</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8、我们承诺我公司符合采购文件中“合格磋商供应商的条件”的要求，若与真实情况不符，本公司愿意承担由此而产生的一切后果。</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9、我们声明：我们在参加本次政府采购活动前3年内在经营活动中没有重大违法记录。</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10、如果我们成交，我们愿意在签订合同时按采购文件的规定支付代理服务费；</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11、综合说明：</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（1）伴随服务及配合措施；</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（2）要求甲方提供的配合；</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（3）对采购文件有不同意见的偏离说明；</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（4）其它说明。</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12、本函填写的电子邮箱为我方在本次采购中的授权邮箱，该邮箱发至采购人或招标代理的函件无论是否签字或盖章，均视为我方的意思表示，我方均予以承认并承担相应后果。</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所有有关磋商响应文件的函电，请按下列地址联系：</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单位：联系人：</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地址：邮政编码：</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联系电话（手机号码）：电子邮箱：</w:t>
      </w:r>
      <w:r>
        <w:rPr>
          <w:color w:val="000000" w:themeColor="text1"/>
        </w:rPr>
      </w:r>
    </w:p>
    <w:p>
      <w:pPr>
        <w:ind w:left="0" w:right="1560" w:firstLine="480"/>
        <w:jc w:val="right"/>
        <w:spacing w:before="0" w:after="0" w:line="85" w:lineRule="atLeast"/>
        <w:shd w:val="clear" w:color="ffffff" w:themeColor="background1" w:fill="ffffff" w:themeFill="background1"/>
        <w:tabs>
          <w:tab w:val="left" w:pos="48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1560" w:firstLine="480"/>
        <w:jc w:val="right"/>
        <w:spacing w:before="0" w:after="0" w:line="85" w:lineRule="atLeast"/>
        <w:shd w:val="clear" w:color="ffffff" w:themeColor="background1" w:fill="ffffff" w:themeFill="background1"/>
        <w:tabs>
          <w:tab w:val="left" w:pos="48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供应商（单位盖章）：</w:t>
      </w:r>
      <w:r>
        <w:rPr>
          <w:color w:val="000000" w:themeColor="text1"/>
        </w:rPr>
      </w:r>
    </w:p>
    <w:p>
      <w:pPr>
        <w:ind w:left="0" w:right="1560" w:firstLine="480"/>
        <w:jc w:val="right"/>
        <w:spacing w:before="0" w:after="0" w:line="85" w:lineRule="atLeast"/>
        <w:shd w:val="clear" w:color="ffffff" w:themeColor="background1" w:fill="ffffff" w:themeFill="background1"/>
        <w:tabs>
          <w:tab w:val="left" w:pos="48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日期：年月日</w:t>
      </w:r>
      <w:r>
        <w:rPr>
          <w:color w:val="000000" w:themeColor="text1"/>
        </w:rPr>
      </w:r>
    </w:p>
    <w:p>
      <w:pPr>
        <w:pStyle w:val="796"/>
        <w:ind w:left="0" w:right="0" w:firstLine="0"/>
        <w:spacing w:before="0" w:after="12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pStyle w:val="796"/>
        <w:ind w:left="0" w:right="0" w:firstLine="0"/>
        <w:spacing w:before="0" w:after="12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3、磋商报价</w:t>
      </w:r>
      <w:r>
        <w:rPr>
          <w:rFonts w:ascii="SimSun" w:hAnsi="SimSun" w:eastAsia="SimSun" w:cs="SimSun"/>
          <w:b/>
          <w:color w:val="000000" w:themeColor="text1"/>
          <w:sz w:val="24"/>
          <w:u w:val="single"/>
        </w:rPr>
        <w:t xml:space="preserve">函</w:t>
      </w:r>
      <w:r>
        <w:rPr>
          <w:color w:val="000000" w:themeColor="text1"/>
        </w:rPr>
      </w:r>
    </w:p>
    <w:p>
      <w:pPr>
        <w:ind w:left="0" w:right="0" w:firstLine="0"/>
        <w:jc w:val="center"/>
        <w:spacing w:before="120" w:after="12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rPr>
        <w:t xml:space="preserve">磋商报价</w:t>
      </w:r>
      <w:r>
        <w:rPr>
          <w:rFonts w:ascii="SimSun" w:hAnsi="SimSun" w:eastAsia="SimSun" w:cs="SimSun"/>
          <w:color w:val="000000" w:themeColor="text1"/>
          <w:sz w:val="30"/>
          <w:u w:val="single"/>
        </w:rPr>
        <w:t xml:space="preserve">函</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江苏京苏项目管理咨询有限公司：</w:t>
      </w:r>
      <w:r>
        <w:rPr>
          <w:color w:val="000000" w:themeColor="text1"/>
        </w:rPr>
      </w:r>
    </w:p>
    <w:p>
      <w:pPr>
        <w:numPr>
          <w:ilvl w:val="0"/>
          <w:numId w:val="23"/>
        </w:numPr>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根据已收到的工程的磋商文件，遵照现行法律法规的有关规定，我单位经考察现场和研究磋商文件后，愿以人民币元</w:t>
      </w:r>
      <w:r>
        <w:rPr>
          <w:rFonts w:ascii="SimSun" w:hAnsi="SimSun" w:eastAsia="SimSun" w:cs="SimSun"/>
          <w:color w:val="000000" w:themeColor="text1"/>
          <w:sz w:val="24"/>
          <w:u w:val="single"/>
        </w:rPr>
        <w:t xml:space="preserve">（大写）（¥   ）</w:t>
      </w:r>
      <w:r>
        <w:rPr>
          <w:rFonts w:ascii="SimSun" w:hAnsi="SimSun" w:eastAsia="SimSun" w:cs="SimSun"/>
          <w:color w:val="000000" w:themeColor="text1"/>
          <w:sz w:val="24"/>
        </w:rPr>
        <w:t xml:space="preserve">的总价，</w:t>
      </w:r>
      <w:r>
        <w:rPr>
          <w:rFonts w:ascii="SimSun" w:hAnsi="SimSun" w:eastAsia="SimSun" w:cs="SimSun"/>
          <w:color w:val="000000" w:themeColor="text1"/>
          <w:sz w:val="24"/>
          <w:u w:val="single"/>
        </w:rPr>
        <w:t xml:space="preserve">税率%</w:t>
      </w:r>
      <w:r>
        <w:rPr>
          <w:rFonts w:ascii="SimSun" w:hAnsi="SimSun" w:eastAsia="SimSun" w:cs="SimSun"/>
          <w:color w:val="000000" w:themeColor="text1"/>
          <w:sz w:val="24"/>
        </w:rPr>
        <w:t xml:space="preserve">，按磋商文件的要求承包本次发包范围内的全部工程。我们承诺：我们的报价经过仔细测算，绝对不低于我们的成本价。在工程量不发生变更的情况下，在合同条款约定的范围内，不向发包人要求增加任何费用。</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（二）</w:t>
      </w:r>
      <w:r>
        <w:rPr>
          <w:rFonts w:ascii="SimSun" w:hAnsi="SimSun" w:eastAsia="SimSun" w:cs="SimSun"/>
          <w:color w:val="000000" w:themeColor="text1"/>
          <w:spacing w:val="16"/>
          <w:sz w:val="24"/>
        </w:rPr>
        <w:t xml:space="preserve">我单位拟派项目经理：</w:t>
      </w:r>
      <w:r>
        <w:rPr>
          <w:rFonts w:ascii="SimSun" w:hAnsi="SimSun" w:eastAsia="SimSun" w:cs="SimSun"/>
          <w:color w:val="000000" w:themeColor="text1"/>
          <w:spacing w:val="16"/>
          <w:sz w:val="24"/>
          <w:u w:val="single"/>
        </w:rPr>
        <w:t xml:space="preserve">（姓名）</w:t>
      </w:r>
      <w:r>
        <w:rPr>
          <w:rFonts w:ascii="SimSun" w:hAnsi="SimSun" w:eastAsia="SimSun" w:cs="SimSun"/>
          <w:color w:val="000000" w:themeColor="text1"/>
          <w:spacing w:val="16"/>
          <w:sz w:val="24"/>
        </w:rPr>
        <w:t xml:space="preserve">，资质等级：</w:t>
      </w:r>
      <w:r>
        <w:rPr>
          <w:rFonts w:ascii="SimSun" w:hAnsi="SimSun" w:eastAsia="SimSun" w:cs="SimSun"/>
          <w:color w:val="000000" w:themeColor="text1"/>
          <w:spacing w:val="16"/>
          <w:sz w:val="24"/>
          <w:u w:val="single"/>
        </w:rPr>
        <w:t xml:space="preserve">   </w:t>
      </w:r>
      <w:r>
        <w:rPr>
          <w:rFonts w:ascii="SimSun" w:hAnsi="SimSun" w:eastAsia="SimSun" w:cs="SimSun"/>
          <w:color w:val="000000" w:themeColor="text1"/>
          <w:spacing w:val="16"/>
          <w:sz w:val="24"/>
        </w:rPr>
        <w:t xml:space="preserve">级，证号:</w:t>
      </w:r>
      <w:r>
        <w:rPr>
          <w:rFonts w:ascii="SimSun" w:hAnsi="SimSun" w:eastAsia="SimSun" w:cs="SimSun"/>
          <w:color w:val="000000" w:themeColor="text1"/>
          <w:spacing w:val="16"/>
          <w:sz w:val="24"/>
          <w:u w:val="single"/>
        </w:rPr>
        <w:t xml:space="preserve">    </w:t>
      </w:r>
      <w:r>
        <w:rPr>
          <w:rFonts w:ascii="SimSun" w:hAnsi="SimSun" w:eastAsia="SimSun" w:cs="SimSun"/>
          <w:color w:val="000000" w:themeColor="text1"/>
          <w:spacing w:val="16"/>
          <w:sz w:val="24"/>
        </w:rPr>
        <w:t xml:space="preserve">。</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6"/>
          <w:sz w:val="24"/>
        </w:rPr>
        <w:t xml:space="preserve">（三）我单位保证在工期范围内</w:t>
      </w:r>
      <w:r>
        <w:rPr>
          <w:rFonts w:ascii="SimSun" w:hAnsi="SimSun" w:eastAsia="SimSun" w:cs="SimSun"/>
          <w:color w:val="000000" w:themeColor="text1"/>
          <w:sz w:val="24"/>
        </w:rPr>
        <w:t xml:space="preserve">一般工程8小时内响应，24小时内完成；特殊项目8小时内响应，48小时内完成</w:t>
      </w:r>
      <w:r>
        <w:rPr>
          <w:rFonts w:ascii="SimSun" w:hAnsi="SimSun" w:eastAsia="SimSun" w:cs="SimSun"/>
          <w:color w:val="000000" w:themeColor="text1"/>
          <w:spacing w:val="16"/>
          <w:sz w:val="24"/>
        </w:rPr>
        <w:t xml:space="preserve">。</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（四）我单位保证本工程质量达到。</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（五）贵单位的磋商文件、成交通知书和本报价文件将构成约束我们双方的合同。</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1560" w:firstLine="480"/>
        <w:jc w:val="right"/>
        <w:spacing w:before="0" w:after="0" w:line="85" w:lineRule="atLeast"/>
        <w:shd w:val="clear" w:color="ffffff" w:themeColor="background1" w:fill="ffffff" w:themeFill="background1"/>
        <w:tabs>
          <w:tab w:val="left" w:pos="48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供应商（单位盖章）：</w:t>
      </w:r>
      <w:r>
        <w:rPr>
          <w:color w:val="000000" w:themeColor="text1"/>
        </w:rPr>
      </w:r>
    </w:p>
    <w:p>
      <w:pPr>
        <w:ind w:left="0" w:right="1560" w:firstLine="480"/>
        <w:jc w:val="right"/>
        <w:spacing w:before="0" w:after="0" w:line="85" w:lineRule="atLeast"/>
        <w:shd w:val="clear" w:color="ffffff" w:themeColor="background1" w:fill="ffffff" w:themeFill="background1"/>
        <w:tabs>
          <w:tab w:val="left" w:pos="48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法定代表人或代理人（签字或盖章）：</w:t>
      </w:r>
      <w:r>
        <w:rPr>
          <w:color w:val="000000" w:themeColor="text1"/>
        </w:rPr>
      </w:r>
    </w:p>
    <w:p>
      <w:pPr>
        <w:ind w:left="0" w:right="1560" w:firstLine="480"/>
        <w:jc w:val="right"/>
        <w:spacing w:before="0" w:after="0" w:line="85" w:lineRule="atLeast"/>
        <w:shd w:val="clear" w:color="ffffff" w:themeColor="background1" w:fill="ffffff" w:themeFill="background1"/>
        <w:tabs>
          <w:tab w:val="left" w:pos="48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日期：年月日</w:t>
      </w:r>
      <w:r>
        <w:rPr>
          <w:color w:val="000000" w:themeColor="text1"/>
        </w:rPr>
      </w:r>
    </w:p>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KaiTi" w:hAnsi="KaiTi" w:eastAsia="KaiTi" w:cs="KaiTi"/>
          <w:color w:val="000000" w:themeColor="text1"/>
          <w:sz w:val="26"/>
        </w:rPr>
        <w:t xml:space="preserve"> </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pStyle w:val="796"/>
        <w:ind w:left="0" w:right="0" w:firstLine="0"/>
        <w:spacing w:before="0" w:after="120" w:line="85" w:lineRule="atLeast"/>
        <w:shd w:val="clear" w:color="ffffff" w:themeColor="background1" w:fill="ffffff" w:themeFill="background1"/>
        <w:tabs>
          <w:tab w:val="left" w:pos="2532" w:leader="none"/>
        </w:tabs>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pStyle w:val="796"/>
        <w:ind w:left="0" w:right="0" w:firstLine="0"/>
        <w:spacing w:before="0" w:after="120" w:line="85" w:lineRule="atLeast"/>
        <w:shd w:val="clear" w:color="ffffff" w:themeColor="background1" w:fill="ffffff" w:themeFill="background1"/>
        <w:tabs>
          <w:tab w:val="left" w:pos="2532"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4、偏离表</w:t>
      </w:r>
      <w:r>
        <w:rPr>
          <w:color w:val="000000" w:themeColor="text1"/>
        </w:rPr>
      </w:r>
    </w:p>
    <w:p>
      <w:pPr>
        <w:ind w:left="0" w:right="0" w:firstLine="0"/>
        <w:jc w:val="center"/>
        <w:spacing w:before="120" w:after="12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rPr>
        <w:t xml:space="preserve">商务技术条款偏离表</w:t>
      </w:r>
      <w:r>
        <w:rPr>
          <w:color w:val="000000" w:themeColor="text1"/>
        </w:rP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9"/>
        <w:gridCol w:w="1921"/>
        <w:gridCol w:w="2401"/>
        <w:gridCol w:w="2401"/>
        <w:gridCol w:w="1043"/>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序号</w:t>
            </w:r>
            <w:r>
              <w:rPr>
                <w:color w:val="000000" w:themeColor="text1"/>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center"/>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采购文件条目号</w:t>
            </w:r>
            <w:r>
              <w:rPr>
                <w:color w:val="000000" w:themeColor="text1"/>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center"/>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采购文件的商务条款</w:t>
            </w:r>
            <w:r>
              <w:rPr>
                <w:color w:val="000000" w:themeColor="text1"/>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center"/>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响应文件的商务条款</w:t>
            </w:r>
            <w:r>
              <w:rPr>
                <w:color w:val="000000" w:themeColor="text1"/>
              </w:rP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center"/>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说明</w:t>
            </w:r>
            <w:r>
              <w:rPr>
                <w:color w:val="000000" w:themeColor="text1"/>
              </w:rP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bl>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rPr>
          <w:color w:val="000000" w:themeColor="text1"/>
        </w:rPr>
      </w:r>
    </w:p>
    <w:p>
      <w:pPr>
        <w:ind w:left="570" w:right="0" w:firstLine="0"/>
        <w:jc w:val="both"/>
        <w:spacing w:before="240" w:after="240" w:line="520"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 </w:t>
      </w:r>
      <w:r>
        <w:rPr>
          <w:color w:val="000000" w:themeColor="text1"/>
        </w:rPr>
      </w:r>
    </w:p>
    <w:p>
      <w:pPr>
        <w:ind w:left="0" w:right="1560" w:firstLine="480"/>
        <w:jc w:val="right"/>
        <w:spacing w:before="0" w:after="0" w:line="85" w:lineRule="atLeast"/>
        <w:shd w:val="clear" w:color="ffffff" w:themeColor="background1" w:fill="ffffff" w:themeFill="background1"/>
        <w:tabs>
          <w:tab w:val="left" w:pos="48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供应商（单位盖章）：</w:t>
      </w:r>
      <w:r>
        <w:rPr>
          <w:color w:val="000000" w:themeColor="text1"/>
        </w:rPr>
      </w:r>
    </w:p>
    <w:p>
      <w:pPr>
        <w:ind w:left="0" w:right="1560" w:firstLine="480"/>
        <w:jc w:val="right"/>
        <w:spacing w:before="0" w:after="0" w:line="85" w:lineRule="atLeast"/>
        <w:shd w:val="clear" w:color="ffffff" w:themeColor="background1" w:fill="ffffff" w:themeFill="background1"/>
        <w:tabs>
          <w:tab w:val="left" w:pos="48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日期：年月日</w:t>
      </w:r>
      <w:r>
        <w:rPr>
          <w:color w:val="000000" w:themeColor="text1"/>
        </w:rPr>
      </w:r>
    </w:p>
    <w:p>
      <w:pPr>
        <w:pStyle w:val="796"/>
        <w:ind w:left="0" w:right="0" w:firstLine="0"/>
        <w:spacing w:before="0" w:after="12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pStyle w:val="796"/>
        <w:ind w:left="0" w:right="0" w:firstLine="0"/>
        <w:spacing w:before="0" w:after="12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5、施工组织机构及现场施工人员名单</w:t>
      </w:r>
      <w:r>
        <w:rPr>
          <w:color w:val="000000" w:themeColor="text1"/>
        </w:rPr>
      </w:r>
    </w:p>
    <w:p>
      <w:pPr>
        <w:ind w:left="0" w:right="0" w:firstLine="0"/>
        <w:jc w:val="center"/>
        <w:spacing w:before="120" w:after="12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rPr>
        <w:t xml:space="preserve">施工组织机构人员名单</w:t>
      </w:r>
      <w:r>
        <w:rPr>
          <w:color w:val="000000" w:themeColor="text1"/>
        </w:rP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5"/>
        <w:gridCol w:w="1683"/>
        <w:gridCol w:w="878"/>
        <w:gridCol w:w="1684"/>
        <w:gridCol w:w="1525"/>
        <w:gridCol w:w="1684"/>
        <w:gridCol w:w="11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姓名</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拟在本项目中</w:t>
            </w:r>
            <w:r>
              <w:rPr>
                <w:color w:val="000000" w:themeColor="text1"/>
              </w:rPr>
            </w:r>
          </w:p>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担任的职务</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职称</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执业资格证或上岗证书等</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身份证号码</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主要资历和项目施工经历</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联系方式</w:t>
            </w:r>
            <w:r>
              <w:rPr>
                <w:color w:val="000000" w:themeColor="text1"/>
              </w:rP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bl>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注：1、成交后，项目组人员配备应按本表承诺实施，不经采购单位事先书面同意，不得擅自更换。</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1560" w:firstLine="480"/>
        <w:jc w:val="right"/>
        <w:spacing w:before="0" w:after="0" w:line="85" w:lineRule="atLeast"/>
        <w:shd w:val="clear" w:color="ffffff" w:themeColor="background1" w:fill="ffffff" w:themeFill="background1"/>
        <w:tabs>
          <w:tab w:val="left" w:pos="48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供应商（单位盖章）：</w:t>
      </w:r>
      <w:r>
        <w:rPr>
          <w:color w:val="000000" w:themeColor="text1"/>
        </w:rPr>
      </w:r>
    </w:p>
    <w:p>
      <w:pPr>
        <w:ind w:left="0" w:right="1560" w:firstLine="480"/>
        <w:jc w:val="right"/>
        <w:spacing w:before="0" w:after="0" w:line="85" w:lineRule="atLeast"/>
        <w:shd w:val="clear" w:color="ffffff" w:themeColor="background1" w:fill="ffffff" w:themeFill="background1"/>
        <w:tabs>
          <w:tab w:val="left" w:pos="48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日期：年月日</w:t>
      </w:r>
      <w:r>
        <w:rPr>
          <w:color w:val="000000" w:themeColor="text1"/>
        </w:rPr>
      </w:r>
    </w:p>
    <w:p>
      <w:pPr>
        <w:pStyle w:val="796"/>
        <w:ind w:left="0" w:right="0" w:firstLine="0"/>
        <w:spacing w:before="0" w:after="12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KaiTi" w:hAnsi="KaiTi" w:eastAsia="KaiTi" w:cs="KaiTi"/>
          <w:color w:val="000000" w:themeColor="text1"/>
          <w:sz w:val="26"/>
        </w:rPr>
        <w:t xml:space="preserve"> </w:t>
      </w:r>
      <w:r>
        <w:rPr>
          <w:color w:val="000000" w:themeColor="text1"/>
        </w:rPr>
      </w:r>
    </w:p>
    <w:p>
      <w:pPr>
        <w:pStyle w:val="796"/>
        <w:ind w:left="0" w:right="0" w:firstLine="0"/>
        <w:spacing w:before="0" w:after="12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pStyle w:val="796"/>
        <w:ind w:left="0" w:right="0" w:firstLine="0"/>
        <w:spacing w:before="0" w:after="12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6、类似业绩一览表</w:t>
      </w:r>
      <w:r>
        <w:rPr>
          <w:color w:val="000000" w:themeColor="text1"/>
        </w:rPr>
      </w:r>
    </w:p>
    <w:p>
      <w:pPr>
        <w:ind w:left="0" w:right="0" w:firstLine="0"/>
        <w:jc w:val="center"/>
        <w:spacing w:before="120" w:after="12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rPr>
        <w:t xml:space="preserve">类似业绩一览表</w:t>
      </w:r>
      <w:r>
        <w:rPr>
          <w:color w:val="000000" w:themeColor="text1"/>
        </w:rP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6"/>
        <w:gridCol w:w="2077"/>
        <w:gridCol w:w="1363"/>
        <w:gridCol w:w="1676"/>
        <w:gridCol w:w="1651"/>
        <w:gridCol w:w="847"/>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200" w:after="20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序号</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200" w:after="20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项目名称及简介</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采购单位</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合同签订日期</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合同金额（元）</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47" w:type="dxa"/>
            <w:vAlign w:val="center"/>
            <w:textDirection w:val="lrTb"/>
            <w:noWrap w:val="false"/>
          </w:tcPr>
          <w:p>
            <w:pPr>
              <w:ind w:left="0" w:right="0" w:firstLine="0"/>
              <w:jc w:val="center"/>
              <w:spacing w:before="200" w:after="20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备注</w:t>
            </w:r>
            <w:r>
              <w:rPr>
                <w:color w:val="000000" w:themeColor="text1"/>
              </w:rPr>
            </w:r>
          </w:p>
        </w:tc>
      </w:tr>
      <w:tr>
        <w:trPr>
          <w:trHeight w:val="8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7"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8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7"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8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7"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8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7" w:type="dxa"/>
            <w:vAlign w:val="center"/>
            <w:textDirection w:val="lrTb"/>
            <w:noWrap w:val="false"/>
          </w:tcPr>
          <w:p>
            <w:pPr>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bl>
    <w:p>
      <w:pPr>
        <w:ind w:left="0" w:right="0" w:firstLine="396"/>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1560" w:firstLine="480"/>
        <w:jc w:val="right"/>
        <w:spacing w:before="0" w:after="0" w:line="85" w:lineRule="atLeast"/>
        <w:shd w:val="clear" w:color="ffffff" w:themeColor="background1" w:fill="ffffff" w:themeFill="background1"/>
        <w:tabs>
          <w:tab w:val="left" w:pos="48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供应商（单位盖章）：</w:t>
      </w:r>
      <w:r>
        <w:rPr>
          <w:color w:val="000000" w:themeColor="text1"/>
        </w:rPr>
      </w:r>
    </w:p>
    <w:p>
      <w:pPr>
        <w:ind w:left="0" w:right="1560" w:firstLine="480"/>
        <w:jc w:val="right"/>
        <w:spacing w:before="0" w:after="0" w:line="85" w:lineRule="atLeast"/>
        <w:shd w:val="clear" w:color="ffffff" w:themeColor="background1" w:fill="ffffff" w:themeFill="background1"/>
        <w:tabs>
          <w:tab w:val="left" w:pos="48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日期：年月日</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4"/>
        </w:rPr>
        <w:t xml:space="preserve"> </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4"/>
        </w:rPr>
        <w:t xml:space="preserve"> </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4"/>
        </w:rPr>
        <w:t xml:space="preserve"> </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4"/>
        </w:rPr>
        <w:t xml:space="preserve"> </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4"/>
        </w:rPr>
        <w:t xml:space="preserve"> </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4"/>
        </w:rPr>
        <w:t xml:space="preserve"> </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4"/>
        </w:rPr>
        <w:t xml:space="preserve"> </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4"/>
        </w:rPr>
        <w:t xml:space="preserve"> </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4"/>
        </w:rPr>
        <w:t xml:space="preserve"> </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4"/>
        </w:rPr>
        <w:t xml:space="preserve"> </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4"/>
        </w:rPr>
        <w:t xml:space="preserve"> </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4"/>
        </w:rPr>
        <w:t xml:space="preserve"> </w:t>
      </w:r>
      <w:r>
        <w:rPr>
          <w:color w:val="000000" w:themeColor="text1"/>
        </w:rPr>
      </w:r>
    </w:p>
    <w:p>
      <w:pPr>
        <w:pStyle w:val="796"/>
        <w:ind w:left="0" w:right="0" w:firstLine="0"/>
        <w:spacing w:before="0" w:after="12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pStyle w:val="796"/>
        <w:ind w:left="0" w:right="0" w:firstLine="0"/>
        <w:spacing w:before="0" w:after="12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7、中小企业声明函</w:t>
      </w:r>
      <w:r>
        <w:rPr>
          <w:color w:val="000000" w:themeColor="text1"/>
        </w:rPr>
      </w:r>
    </w:p>
    <w:p>
      <w:pPr>
        <w:ind w:left="0" w:right="0" w:firstLine="0"/>
        <w:jc w:val="center"/>
        <w:spacing w:before="120" w:after="12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rPr>
        <w:t xml:space="preserve">中小企业声明函</w:t>
      </w:r>
      <w:r>
        <w:rPr>
          <w:color w:val="000000" w:themeColor="text1"/>
        </w:rPr>
      </w:r>
    </w:p>
    <w:p>
      <w:pPr>
        <w:ind w:left="0" w:right="0" w:firstLine="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______________________：</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本公司（联合体）郑重声明，根据《政府采购促进中小企业发展管理办法》（财库﹝2020﹞46 号）的规定，本公司参加</w:t>
      </w:r>
      <w:r>
        <w:rPr>
          <w:rFonts w:ascii="SimSun" w:hAnsi="SimSun" w:eastAsia="SimSun" w:cs="SimSun"/>
          <w:color w:val="000000" w:themeColor="text1"/>
          <w:sz w:val="24"/>
          <w:u w:val="single"/>
        </w:rPr>
        <w:t xml:space="preserve">（单位名称）</w:t>
      </w:r>
      <w:r>
        <w:rPr>
          <w:rFonts w:ascii="SimSun" w:hAnsi="SimSun" w:eastAsia="SimSun" w:cs="SimSun"/>
          <w:color w:val="000000" w:themeColor="text1"/>
          <w:sz w:val="24"/>
        </w:rPr>
        <w:t xml:space="preserve">的</w:t>
      </w:r>
      <w:r>
        <w:rPr>
          <w:rFonts w:ascii="SimSun" w:hAnsi="SimSun" w:eastAsia="SimSun" w:cs="SimSun"/>
          <w:color w:val="000000" w:themeColor="text1"/>
          <w:sz w:val="24"/>
          <w:u w:val="single"/>
        </w:rPr>
        <w:t xml:space="preserve">（项目名称）</w:t>
      </w:r>
      <w:r>
        <w:rPr>
          <w:rFonts w:ascii="SimSun" w:hAnsi="SimSun" w:eastAsia="SimSun" w:cs="SimSun"/>
          <w:color w:val="000000" w:themeColor="text1"/>
          <w:sz w:val="24"/>
        </w:rPr>
        <w:t xml:space="preserve">采购活动，工程的施工单位全部为符合政策要求的中小企业。具体情况如下：</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（标的名称）</w:t>
      </w:r>
      <w:r>
        <w:rPr>
          <w:rFonts w:ascii="SimSun" w:hAnsi="SimSun" w:eastAsia="SimSun" w:cs="SimSun"/>
          <w:color w:val="000000" w:themeColor="text1"/>
          <w:sz w:val="24"/>
        </w:rPr>
        <w:t xml:space="preserve">，属于</w:t>
      </w:r>
      <w:r>
        <w:rPr>
          <w:rFonts w:ascii="SimSun" w:hAnsi="SimSun" w:eastAsia="SimSun" w:cs="SimSun"/>
          <w:color w:val="000000" w:themeColor="text1"/>
          <w:sz w:val="24"/>
          <w:u w:val="single"/>
        </w:rPr>
        <w:t xml:space="preserve">建筑业</w:t>
      </w:r>
      <w:r>
        <w:rPr>
          <w:rFonts w:ascii="SimSun" w:hAnsi="SimSun" w:eastAsia="SimSun" w:cs="SimSun"/>
          <w:color w:val="000000" w:themeColor="text1"/>
          <w:sz w:val="24"/>
        </w:rPr>
        <w:t xml:space="preserve">；承建（承接）企业为</w:t>
      </w:r>
      <w:r>
        <w:rPr>
          <w:rFonts w:ascii="SimSun" w:hAnsi="SimSun" w:eastAsia="SimSun" w:cs="SimSun"/>
          <w:color w:val="000000" w:themeColor="text1"/>
          <w:sz w:val="24"/>
          <w:u w:val="single"/>
        </w:rPr>
        <w:t xml:space="preserve">（企业名称）</w:t>
      </w:r>
      <w:r>
        <w:rPr>
          <w:rFonts w:ascii="SimSun" w:hAnsi="SimSun" w:eastAsia="SimSun" w:cs="SimSun"/>
          <w:color w:val="000000" w:themeColor="text1"/>
          <w:sz w:val="24"/>
        </w:rPr>
        <w:t xml:space="preserve">，从业人员人，营业收入为万元，资产总额为万元 ，属于</w:t>
      </w:r>
      <w:r>
        <w:rPr>
          <w:rFonts w:ascii="SimSun" w:hAnsi="SimSun" w:eastAsia="SimSun" w:cs="SimSun"/>
          <w:color w:val="000000" w:themeColor="text1"/>
          <w:sz w:val="24"/>
          <w:u w:val="single"/>
        </w:rPr>
        <w:t xml:space="preserve">（中型企业、小型企业、微型企业,</w:t>
      </w:r>
      <w:r>
        <w:rPr>
          <w:rFonts w:ascii="Times New Roman" w:hAnsi="Times New Roman" w:eastAsia="Times New Roman" w:cs="Times New Roman"/>
          <w:color w:val="000000" w:themeColor="text1"/>
          <w:sz w:val="24"/>
          <w:u w:val="single"/>
        </w:rPr>
        <w:t xml:space="preserve"> </w:t>
      </w:r>
      <w:r>
        <w:rPr>
          <w:rFonts w:ascii="SimSun" w:hAnsi="SimSun" w:eastAsia="SimSun" w:cs="SimSun"/>
          <w:color w:val="000000" w:themeColor="text1"/>
          <w:sz w:val="24"/>
          <w:u w:val="single"/>
        </w:rPr>
        <w:t xml:space="preserve">三者选一） </w:t>
      </w:r>
      <w:r>
        <w:rPr>
          <w:rFonts w:ascii="SimSun" w:hAnsi="SimSun" w:eastAsia="SimSun" w:cs="SimSun"/>
          <w:color w:val="000000" w:themeColor="text1"/>
          <w:sz w:val="24"/>
        </w:rPr>
        <w:t xml:space="preserve">；</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以上企业，不属于大企业的分支机构，不存在控股股东为大企业的情形，也不存在与大企业的负责人为同一人的情形。</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本企业对上述声明内容的真实性负责。如有虚假，将依法承担相应责任。</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1560" w:firstLine="480"/>
        <w:jc w:val="right"/>
        <w:spacing w:before="0" w:after="0" w:line="85" w:lineRule="atLeast"/>
        <w:shd w:val="clear" w:color="ffffff" w:themeColor="background1" w:fill="ffffff" w:themeFill="background1"/>
        <w:tabs>
          <w:tab w:val="left" w:pos="48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企业名称（盖章）： </w:t>
      </w:r>
      <w:r>
        <w:rPr>
          <w:color w:val="000000" w:themeColor="text1"/>
        </w:rPr>
      </w:r>
    </w:p>
    <w:p>
      <w:pPr>
        <w:ind w:left="0" w:right="492"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日期：</w:t>
      </w:r>
      <w:r>
        <w:rPr>
          <w:color w:val="000000" w:themeColor="text1"/>
        </w:rPr>
      </w:r>
    </w:p>
    <w:p>
      <w:pPr>
        <w:ind w:left="0" w:right="0" w:firstLine="482"/>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注：</w:t>
      </w:r>
      <w:r>
        <w:rPr>
          <w:color w:val="000000" w:themeColor="text1"/>
        </w:rPr>
      </w:r>
    </w:p>
    <w:p>
      <w:pPr>
        <w:numPr>
          <w:ilvl w:val="0"/>
          <w:numId w:val="24"/>
        </w:numPr>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single"/>
        </w:rPr>
        <w:t xml:space="preserve">提供的中小企业声明函必须将盖有公章的彩色扫描件上传至电子投标文件中，</w:t>
      </w:r>
      <w:r>
        <w:rPr>
          <w:rFonts w:ascii="SimSun" w:hAnsi="SimSun" w:eastAsia="SimSun" w:cs="SimSun"/>
          <w:b/>
          <w:color w:val="000000" w:themeColor="text1"/>
          <w:sz w:val="24"/>
          <w:u w:val="none"/>
        </w:rPr>
        <w:t xml:space="preserve">否则不享受相应政府采购政策</w:t>
      </w:r>
      <w:r>
        <w:rPr>
          <w:rFonts w:ascii="SimSun" w:hAnsi="SimSun" w:eastAsia="SimSun" w:cs="SimSun"/>
          <w:b/>
          <w:color w:val="000000" w:themeColor="text1"/>
          <w:sz w:val="24"/>
          <w:u w:val="single"/>
        </w:rPr>
        <w:t xml:space="preserve">或视为不响应。</w:t>
      </w:r>
      <w:r>
        <w:rPr>
          <w:color w:val="000000" w:themeColor="text1"/>
        </w:rPr>
      </w:r>
    </w:p>
    <w:p>
      <w:pPr>
        <w:ind w:left="0" w:right="0" w:firstLine="482"/>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2、如供应商认定本企业为小型或微型企业，则需根据“工信部联企业〔2011〕300号”通知中的《中小企业划型标准规定》填报“中小企业声明函”。</w:t>
      </w:r>
      <w:r>
        <w:rPr>
          <w:color w:val="000000" w:themeColor="text1"/>
        </w:rPr>
      </w:r>
    </w:p>
    <w:p>
      <w:pPr>
        <w:ind w:left="0" w:right="0" w:firstLine="482"/>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3、从业人员、营业收入、资产总额填报上一年度数据，无上一年度数据的新成立企业可不填报。</w:t>
      </w:r>
      <w:r>
        <w:rPr>
          <w:color w:val="000000" w:themeColor="text1"/>
        </w:rPr>
      </w:r>
    </w:p>
    <w:p>
      <w:pPr>
        <w:ind w:left="0" w:right="0" w:firstLine="482"/>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4、中小企业划分标准详见“工信部联企业〔2011〕300号通知中的《中小企业划型标准规定》”。</w:t>
      </w:r>
      <w:r>
        <w:rPr>
          <w:color w:val="000000" w:themeColor="text1"/>
        </w:rPr>
      </w:r>
    </w:p>
    <w:p>
      <w:pPr>
        <w:ind w:left="0" w:right="0" w:firstLine="482"/>
        <w:spacing w:before="240" w:after="24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5、《中小企业声明函》中所填的行业应与本采购标的对应的中小企业划分标准所属行业一致，不一致的不可享受相应政策优惠。</w:t>
      </w:r>
      <w:r>
        <w:rPr>
          <w:color w:val="000000" w:themeColor="text1"/>
        </w:rPr>
      </w:r>
    </w:p>
    <w:p>
      <w:pPr>
        <w:ind w:left="0" w:right="0" w:firstLine="482"/>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6、如未对（中型企业、小型企业、微型企业）进行勾选，视同非中小微企业，不可享受相应扶持政策。</w:t>
      </w:r>
      <w:r>
        <w:rPr>
          <w:color w:val="000000" w:themeColor="text1"/>
        </w:rPr>
      </w:r>
    </w:p>
    <w:p>
      <w:pPr>
        <w:ind w:left="0" w:right="0" w:firstLine="482"/>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7、成交单位为中小微企业的，《中小企业声明函》将随成交结果同时公告。</w:t>
      </w:r>
      <w:r>
        <w:rPr>
          <w:color w:val="000000" w:themeColor="text1"/>
        </w:rPr>
      </w:r>
    </w:p>
    <w:p>
      <w:pPr>
        <w:ind w:left="0" w:right="0" w:firstLine="482"/>
        <w:spacing w:before="240" w:after="24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8、未尽事宜按照《苏州市政府采购促进中小企业发展实施意见》执行。</w:t>
      </w:r>
      <w:r>
        <w:rPr>
          <w:color w:val="000000" w:themeColor="text1"/>
        </w:rPr>
      </w:r>
    </w:p>
    <w:p>
      <w:pPr>
        <w:ind w:left="0" w:right="0" w:firstLine="482"/>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9、若供应商提供的“中小企业声明函”内容不实的，属于提供虚假材料谋取中标、成交，依照《中华人民共和国政府采购法》等国家有关规定追究相应责任。</w:t>
      </w:r>
      <w:r>
        <w:rPr>
          <w:color w:val="000000" w:themeColor="text1"/>
        </w:rPr>
      </w:r>
    </w:p>
    <w:p>
      <w:pPr>
        <w:pStyle w:val="796"/>
        <w:ind w:left="0" w:right="0" w:firstLine="0"/>
        <w:spacing w:before="0" w:after="12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pStyle w:val="796"/>
        <w:ind w:left="0" w:right="0" w:firstLine="0"/>
        <w:spacing w:before="0" w:after="12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8、残疾人福利性单位声明函</w:t>
      </w:r>
      <w:r>
        <w:rPr>
          <w:color w:val="000000" w:themeColor="text1"/>
        </w:rPr>
      </w:r>
    </w:p>
    <w:p>
      <w:pPr>
        <w:ind w:left="0" w:right="0" w:firstLine="0"/>
        <w:jc w:val="center"/>
        <w:spacing w:before="120" w:after="12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rPr>
        <w:t xml:space="preserve">残疾人福利性单位声明函</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本单位对上述声明的真实性负责。如有虚假，将依法承担相应责任。</w:t>
      </w:r>
      <w:r>
        <w:rPr>
          <w:color w:val="000000" w:themeColor="text1"/>
        </w:rPr>
      </w:r>
    </w:p>
    <w:p>
      <w:pPr>
        <w:ind w:left="0" w:right="0" w:firstLine="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单位名称（盖章）：</w:t>
      </w:r>
      <w:r>
        <w:rPr>
          <w:color w:val="000000" w:themeColor="text1"/>
        </w:rPr>
      </w:r>
    </w:p>
    <w:p>
      <w:pPr>
        <w:ind w:left="0" w:right="0" w:firstLine="7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  期：</w:t>
      </w:r>
      <w:r>
        <w:rPr>
          <w:color w:val="000000" w:themeColor="text1"/>
        </w:rPr>
      </w:r>
    </w:p>
    <w:p>
      <w:pPr>
        <w:ind w:left="0" w:right="0" w:firstLine="7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7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single"/>
        </w:rPr>
        <w:t xml:space="preserve">注：未提供或者提供的残疾人福利性单位声明函未加盖有公章的彩色扫描件上传至电子投标文件中的不享受相应政策优惠。</w:t>
      </w:r>
      <w:r>
        <w:rPr>
          <w:color w:val="000000" w:themeColor="text1"/>
        </w:rPr>
      </w:r>
    </w:p>
    <w:p>
      <w:pPr>
        <w:ind w:left="0" w:right="0" w:firstLine="7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7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7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7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7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7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7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7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7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7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7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7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7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pStyle w:val="796"/>
        <w:ind w:left="0" w:right="0" w:firstLine="0"/>
        <w:spacing w:before="0" w:after="12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9、资格证明文件</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(1)关于资格文件的声明函</w:t>
      </w:r>
      <w:r>
        <w:rPr>
          <w:color w:val="000000" w:themeColor="text1"/>
        </w:rPr>
      </w:r>
    </w:p>
    <w:p>
      <w:pPr>
        <w:ind w:left="0" w:right="0" w:firstLine="0"/>
        <w:jc w:val="center"/>
        <w:spacing w:before="120" w:after="12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rPr>
        <w:t xml:space="preserve">关于资格文件的声明函</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江苏京苏项目管理咨询有限公司：</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公司愿就由贵公司组织实施的编号为______号的磋商采购活动进行响应。本公司所提交的响应文件中所有关于磋商资格的文件、证明和陈述均是真实的、准确的。若与真实情况不符，本公司愿意承担由此而产生的一切后果。</w:t>
      </w:r>
      <w:r>
        <w:rPr>
          <w:color w:val="000000" w:themeColor="text1"/>
        </w:rPr>
      </w:r>
    </w:p>
    <w:p>
      <w:pPr>
        <w:ind w:left="0" w:right="0" w:firstLine="4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1560" w:firstLine="480"/>
        <w:jc w:val="right"/>
        <w:spacing w:before="0" w:after="0" w:line="85" w:lineRule="atLeast"/>
        <w:shd w:val="clear" w:color="ffffff" w:themeColor="background1" w:fill="ffffff" w:themeFill="background1"/>
        <w:tabs>
          <w:tab w:val="left" w:pos="48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供应商（单位盖章）：</w:t>
      </w:r>
      <w:r>
        <w:rPr>
          <w:color w:val="000000" w:themeColor="text1"/>
        </w:rPr>
      </w:r>
    </w:p>
    <w:p>
      <w:pPr>
        <w:ind w:left="0" w:right="1560" w:firstLine="480"/>
        <w:jc w:val="right"/>
        <w:spacing w:before="0" w:after="0" w:line="85" w:lineRule="atLeast"/>
        <w:shd w:val="clear" w:color="ffffff" w:themeColor="background1" w:fill="ffffff" w:themeFill="background1"/>
        <w:tabs>
          <w:tab w:val="left" w:pos="48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法定代表人或代理人（签字或盖章）：</w:t>
      </w:r>
      <w:r>
        <w:rPr>
          <w:color w:val="000000" w:themeColor="text1"/>
        </w:rPr>
      </w:r>
    </w:p>
    <w:p>
      <w:pPr>
        <w:ind w:left="0" w:right="1560" w:firstLine="480"/>
        <w:jc w:val="right"/>
        <w:spacing w:before="0" w:after="0" w:line="85" w:lineRule="atLeast"/>
        <w:shd w:val="clear" w:color="ffffff" w:themeColor="background1" w:fill="ffffff" w:themeFill="background1"/>
        <w:tabs>
          <w:tab w:val="left" w:pos="48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日期：年月日</w:t>
      </w:r>
      <w:r>
        <w:rPr>
          <w:color w:val="000000" w:themeColor="text1"/>
        </w:rPr>
      </w:r>
    </w:p>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KaiTi" w:hAnsi="KaiTi" w:eastAsia="KaiTi" w:cs="KaiTi"/>
          <w:color w:val="000000" w:themeColor="text1"/>
          <w:sz w:val="26"/>
        </w:rPr>
        <w:t xml:space="preserve"> </w:t>
      </w:r>
      <w:r>
        <w:rPr>
          <w:color w:val="000000" w:themeColor="text1"/>
        </w:rPr>
      </w:r>
    </w:p>
    <w:p>
      <w:pPr>
        <w:ind w:left="0" w:right="0" w:firstLine="4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ab/>
      </w:r>
      <w:r>
        <w:rPr>
          <w:color w:val="000000" w:themeColor="text1"/>
        </w:rPr>
      </w:r>
    </w:p>
    <w:p>
      <w:pPr>
        <w:numPr>
          <w:ilvl w:val="0"/>
          <w:numId w:val="25"/>
        </w:numPr>
        <w:jc w:val="both"/>
        <w:spacing w:before="0" w:after="0" w:line="85" w:lineRule="atLeast"/>
        <w:shd w:val="clear" w:color="ffffff" w:themeColor="background1" w:fill="ffffff" w:themeFill="background1"/>
        <w:tabs>
          <w:tab w:val="left" w:pos="312" w:leader="none"/>
        </w:tabs>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numPr>
          <w:ilvl w:val="0"/>
          <w:numId w:val="25"/>
        </w:numPr>
        <w:jc w:val="both"/>
        <w:spacing w:before="0" w:after="0" w:line="85" w:lineRule="atLeast"/>
        <w:shd w:val="clear" w:color="ffffff" w:themeColor="background1" w:fill="ffffff" w:themeFill="background1"/>
        <w:tabs>
          <w:tab w:val="left" w:pos="312"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磋商响应单位情况表</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响应单位（盖章）：</w:t>
      </w:r>
      <w:r>
        <w:rPr>
          <w:color w:val="000000" w:themeColor="text1"/>
        </w:rP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87"/>
        <w:gridCol w:w="1973"/>
        <w:gridCol w:w="1524"/>
        <w:gridCol w:w="1991"/>
        <w:gridCol w:w="1195"/>
      </w:tblGrid>
      <w:tr>
        <w:trPr>
          <w:trHeight w:val="48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3" w:type="dxa"/>
            <w:vAlign w:val="top"/>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4" w:type="dxa"/>
            <w:vAlign w:val="top"/>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成立日期</w:t>
            </w:r>
            <w:r>
              <w:rPr>
                <w:color w:val="000000" w:themeColor="text1"/>
              </w:rP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86" w:type="dxa"/>
            <w:vAlign w:val="top"/>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企业地址</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top"/>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top"/>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注册资本</w:t>
            </w:r>
            <w:r>
              <w:rPr>
                <w:color w:val="000000" w:themeColor="text1"/>
              </w:r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6" w:type="dxa"/>
            <w:vAlign w:val="top"/>
            <w:textDirection w:val="lrTb"/>
            <w:noWrap/>
          </w:tcPr>
          <w:p>
            <w:pPr>
              <w:ind w:left="0" w:right="0" w:firstLine="0"/>
              <w:jc w:val="right"/>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万元</w:t>
            </w:r>
            <w:r>
              <w:rPr>
                <w:color w:val="000000" w:themeColor="text1"/>
              </w:rP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经营范围</w:t>
            </w:r>
            <w:r>
              <w:rPr>
                <w:color w:val="000000" w:themeColor="text1"/>
              </w:rP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职工人数</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center"/>
            <w:textDirection w:val="lrTb"/>
            <w:noWrap/>
          </w:tcPr>
          <w:p>
            <w:pPr>
              <w:ind w:left="0" w:right="0" w:firstLine="0"/>
              <w:jc w:val="center"/>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15" w:type="dxa"/>
            <w:vAlign w:val="center"/>
            <w:textDirection w:val="lrTb"/>
            <w:noWrap/>
          </w:tcPr>
          <w:p>
            <w:pPr>
              <w:ind w:left="0" w:right="0" w:firstLine="0"/>
              <w:jc w:val="center"/>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其中：有中高级以上职称的人数</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tcPr>
          <w:p>
            <w:pPr>
              <w:ind w:left="0" w:right="0" w:firstLine="0"/>
              <w:jc w:val="center"/>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资产总计</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center"/>
            <w:textDirection w:val="lrTb"/>
            <w:noWrap/>
          </w:tcPr>
          <w:p>
            <w:pPr>
              <w:ind w:left="0" w:right="0" w:firstLine="0"/>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万元</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center"/>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净资产</w:t>
            </w:r>
            <w:r>
              <w:rPr>
                <w:color w:val="000000" w:themeColor="text1"/>
              </w:r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6" w:type="dxa"/>
            <w:vAlign w:val="center"/>
            <w:textDirection w:val="lrTb"/>
            <w:noWrap/>
          </w:tcPr>
          <w:p>
            <w:pPr>
              <w:ind w:left="0" w:right="0" w:firstLine="0"/>
              <w:jc w:val="right"/>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万元</w:t>
            </w:r>
            <w:r>
              <w:rPr>
                <w:color w:val="000000" w:themeColor="text1"/>
              </w:rP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股东权益</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center"/>
            <w:textDirection w:val="lrTb"/>
            <w:noWrap/>
          </w:tcPr>
          <w:p>
            <w:pPr>
              <w:ind w:left="0" w:right="0" w:firstLine="0"/>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万元</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center"/>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销售收入</w:t>
            </w:r>
            <w:r>
              <w:rPr>
                <w:color w:val="000000" w:themeColor="text1"/>
              </w:r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6" w:type="dxa"/>
            <w:vAlign w:val="center"/>
            <w:textDirection w:val="lrTb"/>
            <w:noWrap/>
          </w:tcPr>
          <w:p>
            <w:pPr>
              <w:ind w:left="0" w:right="0" w:firstLine="0"/>
              <w:jc w:val="right"/>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right"/>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2025年          万元</w:t>
            </w:r>
            <w:r>
              <w:rPr>
                <w:color w:val="000000" w:themeColor="text1"/>
              </w:rPr>
            </w:r>
          </w:p>
        </w:tc>
      </w:tr>
      <w:tr>
        <w:trPr>
          <w:trHeight w:val="5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实现利润</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top"/>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2025年    万元</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top"/>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6" w:type="dxa"/>
            <w:vAlign w:val="top"/>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营业面积（含厂房面积）</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center"/>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平方米</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center"/>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其中：</w:t>
            </w:r>
            <w:r>
              <w:rPr>
                <w:color w:val="000000" w:themeColor="text1"/>
              </w:r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6" w:type="dxa"/>
            <w:vAlign w:val="top"/>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自有面积         平方米</w:t>
            </w:r>
            <w:r>
              <w:rPr>
                <w:color w:val="000000" w:themeColor="text1"/>
              </w:rPr>
            </w:r>
          </w:p>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承租面积         平方米</w:t>
            </w:r>
            <w:r>
              <w:rPr>
                <w:color w:val="000000" w:themeColor="text1"/>
              </w:rP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单位简历及内设机构情况</w:t>
            </w:r>
            <w:r>
              <w:rPr>
                <w:color w:val="000000" w:themeColor="text1"/>
              </w:rP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单位优势及特长</w:t>
            </w:r>
            <w:r>
              <w:rPr>
                <w:color w:val="000000" w:themeColor="text1"/>
              </w:rP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9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近三年来完成或正在履行的重大合同情况</w:t>
            </w:r>
            <w:r>
              <w:rPr>
                <w:color w:val="000000" w:themeColor="text1"/>
              </w:rP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1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最近2年内在经营过程中受到何种奖励或处分（包括稽查情况和结果）</w:t>
            </w:r>
            <w:r>
              <w:rPr>
                <w:color w:val="000000" w:themeColor="text1"/>
              </w:rP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18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最近3年内有无因售假、售劣或是其他原因被消费者投诉或起诉的情况及说明（包括解决方式和结果）</w:t>
            </w:r>
            <w:r>
              <w:rPr>
                <w:color w:val="000000" w:themeColor="text1"/>
              </w:rP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1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最近3年内主要负责人有无因经济犯罪被司法机关追究的情况及说明</w:t>
            </w:r>
            <w:r>
              <w:rPr>
                <w:color w:val="000000" w:themeColor="text1"/>
              </w:rP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获得技术认证的工程师及简介</w:t>
            </w:r>
            <w:r>
              <w:rPr>
                <w:color w:val="000000" w:themeColor="text1"/>
              </w:rP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6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tcPr>
          <w:p>
            <w:pPr>
              <w:ind w:left="0" w:right="0" w:firstLine="0"/>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其他需要说明的情况</w:t>
            </w:r>
            <w:r>
              <w:rPr>
                <w:color w:val="000000" w:themeColor="text1"/>
              </w:rP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bl>
    <w:p>
      <w:pPr>
        <w:ind w:left="0" w:right="0" w:firstLine="0"/>
        <w:spacing w:before="100" w:after="100" w:line="400"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（3）供应商与其他单位存在控股、管理关系情况表</w:t>
      </w:r>
      <w:r>
        <w:rPr>
          <w:color w:val="000000" w:themeColor="text1"/>
        </w:rP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38"/>
        <w:gridCol w:w="4481"/>
      </w:tblGrid>
      <w:tr>
        <w:trPr>
          <w:trHeight w:val="7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8" w:type="dxa"/>
            <w:vAlign w:val="center"/>
            <w:textDirection w:val="lrTb"/>
            <w:noWrap/>
          </w:tcPr>
          <w:p>
            <w:pPr>
              <w:ind w:left="0" w:right="0" w:firstLine="0"/>
              <w:jc w:val="center"/>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供应商与其他单位存在控股、管理关系的单位名称</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tcPr>
          <w:p>
            <w:pPr>
              <w:ind w:left="0" w:right="0" w:firstLine="0"/>
              <w:jc w:val="center"/>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控股、管理关系情况说明</w:t>
            </w:r>
            <w:r>
              <w:rPr>
                <w:color w:val="000000" w:themeColor="text1"/>
              </w:rP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8" w:type="dxa"/>
            <w:vAlign w:val="center"/>
            <w:textDirection w:val="lrTb"/>
            <w:noWrap/>
          </w:tcPr>
          <w:p>
            <w:pPr>
              <w:ind w:left="0" w:right="0" w:firstLine="0"/>
              <w:jc w:val="center"/>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tcPr>
          <w:p>
            <w:pPr>
              <w:ind w:left="0" w:right="0" w:firstLine="0"/>
              <w:jc w:val="center"/>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8" w:type="dxa"/>
            <w:vAlign w:val="center"/>
            <w:textDirection w:val="lrTb"/>
            <w:noWrap/>
          </w:tcPr>
          <w:p>
            <w:pPr>
              <w:ind w:left="0" w:right="0" w:firstLine="0"/>
              <w:jc w:val="center"/>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tcPr>
          <w:p>
            <w:pPr>
              <w:ind w:left="0" w:right="0" w:firstLine="0"/>
              <w:jc w:val="center"/>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8" w:type="dxa"/>
            <w:vAlign w:val="center"/>
            <w:textDirection w:val="lrTb"/>
            <w:noWrap/>
          </w:tcPr>
          <w:p>
            <w:pPr>
              <w:ind w:left="0" w:right="0" w:firstLine="0"/>
              <w:jc w:val="center"/>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tcPr>
          <w:p>
            <w:pPr>
              <w:ind w:left="0" w:right="0" w:firstLine="0"/>
              <w:jc w:val="center"/>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p>
        </w:tc>
      </w:tr>
      <w:tr>
        <w:trPr>
          <w:trHeight w:val="8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8" w:type="dxa"/>
            <w:vAlign w:val="center"/>
            <w:textDirection w:val="lrTb"/>
            <w:noWrap/>
          </w:tcPr>
          <w:p>
            <w:pPr>
              <w:ind w:left="0" w:right="0" w:firstLine="0"/>
              <w:jc w:val="center"/>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tcPr>
          <w:p>
            <w:pPr>
              <w:ind w:left="0" w:right="0" w:firstLine="0"/>
              <w:jc w:val="center"/>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p>
        </w:tc>
      </w:tr>
    </w:tbl>
    <w:p>
      <w:pPr>
        <w:ind w:left="0" w:right="0" w:firstLine="0"/>
        <w:spacing w:before="100" w:after="100" w:line="43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注：响应单位应当按实填写所有与之有控股、管理关系的情况。</w:t>
      </w:r>
      <w:r>
        <w:rPr>
          <w:color w:val="000000" w:themeColor="text1"/>
        </w:rPr>
      </w:r>
    </w:p>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KaiTi" w:hAnsi="KaiTi" w:eastAsia="KaiTi" w:cs="KaiTi"/>
          <w:b/>
          <w:color w:val="000000" w:themeColor="text1"/>
          <w:sz w:val="26"/>
        </w:rPr>
        <w:t xml:space="preserve"> </w:t>
      </w:r>
      <w:r>
        <w:rPr>
          <w:color w:val="000000" w:themeColor="text1"/>
        </w:rPr>
      </w:r>
    </w:p>
    <w:p>
      <w:pPr>
        <w:ind w:left="520" w:right="0" w:firstLine="0"/>
        <w:jc w:val="both"/>
        <w:spacing w:before="240" w:after="240" w:line="520"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themeColor="text1"/>
          <w:sz w:val="24"/>
        </w:rPr>
        <w:t xml:space="preserve"> </w:t>
      </w:r>
      <w:r>
        <w:rPr>
          <w:color w:val="000000" w:themeColor="text1"/>
        </w:rPr>
      </w:r>
    </w:p>
    <w:p>
      <w:pPr>
        <w:ind w:left="0" w:right="0" w:firstLine="0"/>
        <w:spacing w:before="240" w:after="24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2"/>
        </w:rPr>
        <w:t xml:space="preserve"> </w:t>
      </w:r>
      <w:r>
        <w:rPr>
          <w:color w:val="000000" w:themeColor="text1"/>
        </w:rPr>
      </w:r>
    </w:p>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6"/>
        </w:rPr>
        <w:t xml:space="preserve"> </w:t>
      </w:r>
      <w:r>
        <w:rPr>
          <w:color w:val="000000" w:themeColor="text1"/>
        </w:rPr>
      </w:r>
    </w:p>
    <w:p>
      <w:pPr>
        <w:ind w:left="520" w:right="0" w:firstLine="0"/>
        <w:jc w:val="both"/>
        <w:spacing w:before="240" w:after="240" w:line="520"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themeColor="text1"/>
          <w:sz w:val="24"/>
        </w:rPr>
        <w:t xml:space="preserve"> </w:t>
      </w:r>
      <w:r>
        <w:rPr>
          <w:color w:val="000000" w:themeColor="text1"/>
        </w:rPr>
      </w:r>
    </w:p>
    <w:p>
      <w:pPr>
        <w:ind w:left="0" w:right="1560" w:firstLine="480"/>
        <w:jc w:val="right"/>
        <w:spacing w:before="0" w:after="0" w:line="85" w:lineRule="atLeast"/>
        <w:shd w:val="clear" w:color="ffffff" w:themeColor="background1" w:fill="ffffff" w:themeFill="background1"/>
        <w:tabs>
          <w:tab w:val="left" w:pos="48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供应商（单位盖章）：</w:t>
      </w:r>
      <w:r>
        <w:rPr>
          <w:color w:val="000000" w:themeColor="text1"/>
        </w:rPr>
      </w:r>
    </w:p>
    <w:p>
      <w:pPr>
        <w:ind w:left="0" w:right="1560" w:firstLine="480"/>
        <w:jc w:val="right"/>
        <w:spacing w:before="0" w:after="0" w:line="85" w:lineRule="atLeast"/>
        <w:shd w:val="clear" w:color="ffffff" w:themeColor="background1" w:fill="ffffff" w:themeFill="background1"/>
        <w:tabs>
          <w:tab w:val="left" w:pos="48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日期：年月日</w:t>
      </w:r>
      <w:r>
        <w:rPr>
          <w:color w:val="000000" w:themeColor="text1"/>
        </w:rPr>
      </w:r>
    </w:p>
    <w:p>
      <w:pPr>
        <w:ind w:left="0" w:right="0" w:firstLine="0"/>
        <w:spacing w:before="240" w:after="24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2"/>
        </w:rPr>
        <w:t xml:space="preserve"> </w:t>
      </w:r>
      <w:r>
        <w:rPr>
          <w:color w:val="000000" w:themeColor="text1"/>
        </w:rPr>
      </w:r>
    </w:p>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6"/>
        </w:rPr>
        <w:t xml:space="preserve"> </w:t>
      </w:r>
      <w:r>
        <w:rPr>
          <w:color w:val="000000" w:themeColor="text1"/>
        </w:rPr>
      </w:r>
    </w:p>
    <w:p>
      <w:pPr>
        <w:ind w:left="520" w:right="0" w:firstLine="0"/>
        <w:jc w:val="both"/>
        <w:spacing w:before="240" w:after="240" w:line="520"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themeColor="text1"/>
          <w:sz w:val="24"/>
        </w:rPr>
        <w:t xml:space="preserve"> </w:t>
      </w:r>
      <w:r>
        <w:rPr>
          <w:color w:val="000000" w:themeColor="text1"/>
        </w:rPr>
      </w:r>
    </w:p>
    <w:p>
      <w:pPr>
        <w:ind w:left="0" w:right="0" w:firstLine="0"/>
        <w:spacing w:before="240" w:after="24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2"/>
        </w:rPr>
        <w:t xml:space="preserve"> </w:t>
      </w:r>
      <w:r>
        <w:rPr>
          <w:color w:val="000000" w:themeColor="text1"/>
        </w:rPr>
      </w:r>
    </w:p>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6"/>
        </w:rPr>
        <w:t xml:space="preserve"> </w:t>
      </w:r>
      <w:r>
        <w:rPr>
          <w:color w:val="000000" w:themeColor="text1"/>
        </w:rPr>
      </w:r>
    </w:p>
    <w:p>
      <w:pPr>
        <w:ind w:left="520" w:right="0" w:firstLine="0"/>
        <w:jc w:val="both"/>
        <w:spacing w:before="240" w:after="240" w:line="520"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themeColor="text1"/>
          <w:sz w:val="24"/>
        </w:rPr>
        <w:t xml:space="preserve"> </w:t>
      </w:r>
      <w:r>
        <w:rPr>
          <w:color w:val="000000" w:themeColor="text1"/>
        </w:rPr>
      </w:r>
    </w:p>
    <w:p>
      <w:pPr>
        <w:ind w:left="0" w:right="0" w:firstLine="0"/>
        <w:spacing w:before="240" w:after="24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2"/>
        </w:rPr>
        <w:t xml:space="preserve"> </w:t>
      </w:r>
      <w:r>
        <w:rPr>
          <w:color w:val="000000" w:themeColor="text1"/>
        </w:rPr>
      </w:r>
    </w:p>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6"/>
        </w:rPr>
        <w:t xml:space="preserve"> </w:t>
      </w:r>
      <w:r>
        <w:rPr>
          <w:color w:val="000000" w:themeColor="text1"/>
        </w:rPr>
      </w:r>
    </w:p>
    <w:p>
      <w:pPr>
        <w:ind w:left="520" w:right="0" w:firstLine="0"/>
        <w:jc w:val="both"/>
        <w:spacing w:before="240" w:after="240" w:line="520"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themeColor="text1"/>
          <w:sz w:val="24"/>
        </w:rPr>
        <w:t xml:space="preserve"> </w:t>
      </w:r>
      <w:r>
        <w:rPr>
          <w:color w:val="000000" w:themeColor="text1"/>
        </w:rPr>
      </w:r>
    </w:p>
    <w:p>
      <w:pPr>
        <w:ind w:left="0" w:right="0" w:firstLine="0"/>
        <w:spacing w:before="240" w:after="24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2"/>
        </w:rPr>
        <w:t xml:space="preserve"> </w:t>
      </w:r>
      <w:r>
        <w:rPr>
          <w:color w:val="000000" w:themeColor="text1"/>
        </w:rPr>
      </w:r>
    </w:p>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6"/>
        </w:rPr>
        <w:t xml:space="preserve"> </w:t>
      </w:r>
      <w:r>
        <w:rPr>
          <w:color w:val="000000" w:themeColor="text1"/>
        </w:rPr>
      </w:r>
    </w:p>
    <w:p>
      <w:pPr>
        <w:ind w:left="520" w:right="0" w:firstLine="0"/>
        <w:jc w:val="both"/>
        <w:spacing w:before="240" w:after="240" w:line="520"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themeColor="text1"/>
          <w:sz w:val="24"/>
        </w:rPr>
        <w:t xml:space="preserve"> </w:t>
      </w:r>
      <w:r>
        <w:rPr>
          <w:color w:val="000000" w:themeColor="text1"/>
        </w:rPr>
      </w:r>
    </w:p>
    <w:p>
      <w:pPr>
        <w:ind w:left="0" w:right="0" w:firstLine="0"/>
        <w:spacing w:before="240" w:after="24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2"/>
        </w:rPr>
        <w:t xml:space="preserve"> </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pStyle w:val="796"/>
        <w:ind w:left="0" w:right="0" w:firstLine="0"/>
        <w:jc w:val="center"/>
        <w:spacing w:before="0" w:after="12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pStyle w:val="796"/>
        <w:ind w:left="0" w:right="0" w:firstLine="0"/>
        <w:jc w:val="center"/>
        <w:spacing w:before="0" w:after="12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Hei" w:hAnsi="SimHei" w:eastAsia="SimHei" w:cs="SimHei"/>
          <w:b/>
          <w:color w:val="000000" w:themeColor="text1"/>
          <w:sz w:val="44"/>
        </w:rPr>
        <w:t xml:space="preserve">第三章 采购内容</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江苏京苏项目管理咨询有限公司受苏州市公安局相城分局交通管理大队望亭中队的委托，就其所需</w:t>
      </w:r>
      <w:r>
        <w:rPr>
          <w:rFonts w:ascii="Calibri" w:hAnsi="Calibri" w:eastAsia="Calibri" w:cs="Calibri"/>
          <w:color w:val="000000" w:themeColor="text1"/>
          <w:sz w:val="24"/>
        </w:rPr>
        <w:t xml:space="preserve">2026</w:t>
      </w:r>
      <w:r>
        <w:rPr>
          <w:rFonts w:ascii="SimSun" w:hAnsi="SimSun" w:eastAsia="SimSun" w:cs="SimSun"/>
          <w:color w:val="000000" w:themeColor="text1"/>
          <w:sz w:val="24"/>
        </w:rPr>
        <w:t xml:space="preserve">年交通安全设施维护和保养及隐患整改项目采用竞争性磋商方式进行采购，欢迎有资格的供应商前来参加本次磋商采购活动。</w:t>
      </w:r>
      <w:r>
        <w:rPr>
          <w:color w:val="000000" w:themeColor="text1"/>
        </w:rPr>
      </w:r>
    </w:p>
    <w:p>
      <w:pPr>
        <w:ind w:left="0" w:right="0" w:firstLine="48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一、采购编号：</w:t>
      </w:r>
      <w:r>
        <w:rPr>
          <w:rFonts w:ascii="SimSun" w:hAnsi="SimSun" w:eastAsia="SimSun" w:cs="SimSun"/>
          <w:b/>
          <w:color w:val="000000" w:themeColor="text1"/>
          <w:sz w:val="24"/>
          <w:u w:val="single"/>
        </w:rPr>
        <w:t xml:space="preserve">JSZC-320507-PMJS-C2026-0022</w:t>
      </w:r>
      <w:r>
        <w:rPr>
          <w:color w:val="000000" w:themeColor="text1"/>
        </w:rPr>
      </w:r>
    </w:p>
    <w:p>
      <w:pPr>
        <w:ind w:left="0" w:right="0" w:firstLine="48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二、采购项目：2026年交通安全设施维护和保养及隐患整改</w:t>
      </w:r>
      <w:r>
        <w:rPr>
          <w:color w:val="000000" w:themeColor="text1"/>
        </w:rPr>
      </w:r>
    </w:p>
    <w:p>
      <w:pPr>
        <w:ind w:left="0" w:right="0" w:firstLine="482"/>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三、采购需求：</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1、工程概况：</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施工范围及内容：施工范围主要为望亭镇市政道路交安设施养护维修，主要包括信号灯、标志标牌、隔离护栏、标线及其他交安设施的日常养护及故障维修等内容，工程内容详见工程量清单、工程量编制说明。</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工程地点：苏州区望亭镇；</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资金来源：财政资金；</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承包方式：包工包料；</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服务期限：12个月（具体开工日期以采购人通知为准）；如在服务过程中，乙方服务费用达到预算金额时，合同自动终止；如在服务周期结束后，乙方服务费用未达到预算金额时，合同也自动终止。</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质量要求：合格；</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2、项目工程量：详见工程量清单及工程量编制说明（本项目工程量清单、工程量编制说明，请投标人自行下载）；</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3、施工要求：</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（1）按采购文件、工程量清单等资料组织改造施工；</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（2）施工质量应符合现行国家施工技术及验收规范规程；</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4、施工组织设计方案要求：</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按要求组织改造施工，施工组织设计内容包括但不限于总体概述、进度计划、施工方案应科学合理。劳动力配备合理，工作任务明确，人员组织到位。机械设备投入符合项目要求，有详尽的计划，项目实施进度、时间，关键节点科学合理。安全文明施工措施科学、合理、操作性强，沟通和解决机制简单有效，给出验收条件明晰、措施合理。</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5、验收标准：满足采购需求要求。</w:t>
      </w:r>
      <w:r>
        <w:rPr>
          <w:color w:val="000000" w:themeColor="text1"/>
        </w:rPr>
      </w:r>
    </w:p>
    <w:p>
      <w:pPr>
        <w:ind w:left="0" w:right="0" w:firstLine="48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四、报价说明</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1、报价方式：本工程项目采用下列第</w:t>
      </w:r>
      <w:r>
        <w:rPr>
          <w:rFonts w:ascii="SimSun" w:hAnsi="SimSun" w:eastAsia="SimSun" w:cs="SimSun"/>
          <w:color w:val="000000" w:themeColor="text1"/>
          <w:sz w:val="24"/>
          <w:u w:val="single"/>
        </w:rPr>
        <w:t xml:space="preserve"> （2）</w:t>
      </w:r>
      <w:r>
        <w:rPr>
          <w:rFonts w:ascii="SimSun" w:hAnsi="SimSun" w:eastAsia="SimSun" w:cs="SimSun"/>
          <w:color w:val="000000" w:themeColor="text1"/>
          <w:sz w:val="24"/>
        </w:rPr>
        <w:t xml:space="preserve"> 种报价方式。</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（1）固定总价报价。竞争报价人应充分考虑施工期间各类建材市场价格变化，政策性调整的风险，一旦经评审确定承包人，报价不作调整。</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（2.1）磋商供应商报价时，必须按统一的工程量清单报价。成交后，本工程工程量清单各子目综合单价的确定方式为：以预算价各子目综合单价为基准，按其成交价与预算价相比的下浮系数同比例下浮。</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（2.2）本工程追加费用不得超过原合同金额的10%；原合同金额10%以内的追加费用，限于原合同内工程清单数量调整增加的工程费用，原合同外工程内容不得计入。</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（2.3）本工程在磋商文件中已明确的各项施工措施项目，除工程变更引起施工方案改变外，承包人不得以招标工程措施项目清单缺项为由要求新增措施项目。 </w:t>
      </w:r>
      <w:r>
        <w:rPr>
          <w:color w:val="000000" w:themeColor="text1"/>
        </w:rPr>
      </w:r>
    </w:p>
    <w:p>
      <w:pPr>
        <w:ind w:left="0" w:right="0" w:firstLine="5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（2.4）政府投资工程有关变更按《苏州市政府投资建设项目工程变更备案管理暂行办法》、《苏州市市级政府投资建筑工程变更备案管理实施细则》等项目所在地相关规定执行。</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承包人应及时对招标工程量清单数量的工程数量进行校核，如两者的误差额达到《苏州市市级政府投资建筑工程变更备案管理实施细则》等项目所在地相关规定的备案起点时，必须在分部分项工程实施前向发包方提出变更费用申请，否则工程结算时对因此造成的造价增加将不予认可。</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（2.5）合同备案要求</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（2.5.1）如需办理施工许可证等相关工程监管手续的小额工程项目，在项目实施前，建设单位（集中建设实施单位）应及时办理施工许可证，并接受质安监的监督管理。</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（2.5.2）无需办理施工许可证等相关工程监管手续的小额工程项目，只需在合同公示即可。</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2、磋商报价时，安全生产措施费参考《江苏省建设工程费用参考》的下限值。</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3、税率详见工程量清单。不可磋商税率详见工程量清单。</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4、计价格式中列明的所有需要填报的单价和合价，竞争人均需填报，未填报的单价和合价，视为此项费用已包含在工程量清单的其他单价和合价中。</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5、成交供应商一般工程8小时内响应，24小时内完成；特殊项目8小时内响应，48小时内完成。</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6、因成交供应商施工不到位造成的他人的人身及财产损失，经有关部门认定为成交单位责任的，由成交单位承担相关责任及费用。</w:t>
      </w:r>
      <w:r>
        <w:rPr>
          <w:color w:val="000000" w:themeColor="text1"/>
        </w:rPr>
      </w:r>
    </w:p>
    <w:p>
      <w:pPr>
        <w:ind w:left="0" w:right="0" w:firstLine="48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六、响应文件的组成及要求：</w:t>
      </w:r>
      <w:r>
        <w:rPr>
          <w:color w:val="000000" w:themeColor="text1"/>
        </w:rPr>
      </w:r>
    </w:p>
    <w:p>
      <w:pPr>
        <w:ind w:left="0" w:right="0" w:firstLine="480"/>
        <w:jc w:val="both"/>
        <w:spacing w:before="0" w:after="0" w:line="85" w:lineRule="atLeast"/>
        <w:shd w:val="clear" w:color="ffffff" w:themeColor="background1" w:fill="ffffff" w:themeFill="background1"/>
        <w:tabs>
          <w:tab w:val="left" w:pos="753"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（一）文件组成（部分格式见第二章）</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1、磋商响应函；</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2、授权委托书（如有授权）；</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3、磋商报价表、开标一览表；</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4、已标价工程量清单；</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5、《中小企业声明函》或残疾人福利性单位声明函或省级以上监狱管理局、戒毒管理局（含新疆生产建设兵团）出具的属于监狱企业的证明文件扫描件；</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single"/>
        </w:rPr>
        <w:t xml:space="preserve">注：未提供、未按要求提供或者提供的中小企业声明函或残疾人福利性单位声明函未加盖有公章的彩色扫描件上传至电子投标文件中的不享受相关政策。</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6、关于资格文件的声明函；</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7、磋商响应单位情况表，供应商与其他单位存在控股、管理关系情况表；</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8、磋商响应单位法定代表人身份证扫描件；</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9、磋商响应单位代理人身份证扫描件（如有授权）；</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10、商务、技术条款偏离表；</w:t>
      </w:r>
      <w:r>
        <w:rPr>
          <w:color w:val="000000" w:themeColor="text1"/>
        </w:rPr>
      </w:r>
    </w:p>
    <w:p>
      <w:pPr>
        <w:ind w:left="0" w:right="0" w:firstLine="48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11、供应商一般资格条件证明文件：</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①具有独立承担民事责任的能力：包括法人或者其他组织的营业执照等证明文件，自然人身份证明；</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②具有良好的商业信誉和健全的财务会计制度：包括但不限于最近一期经审计的财务报告或其基本开户银行出具的资信证明，其他组织、自然人及成立未满一年的法人应提供银行出具的资信证明；</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③具有履行合同所必需的设备和专业技术能力证明资料或声明函；</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④有依法缴纳税收和社会保障资金的良好记录:投标截止时间前六个月内依法缴纳税收的凭据，如为依法免税或不需要缴纳的，投标人则须提供对应证明资料，否则不予认可；社会保险登记证（如有）和投标截止时间前六个月内依法缴纳社会保险的凭据（专用收据或社会保险缴纳清单）；</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⑤参加政府采购活动近三年内，在经营活动中没有重大违法记录的书面声明函（格式自拟）；</w:t>
      </w:r>
      <w:r>
        <w:rPr>
          <w:color w:val="000000" w:themeColor="text1"/>
        </w:rPr>
      </w:r>
    </w:p>
    <w:p>
      <w:pPr>
        <w:ind w:left="862" w:right="0" w:hanging="7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12、供应商特殊资格条件证明文件：</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（1）磋商供应商具有公路交通工程（公路安全设施分项）专业承包二级及以上且同时具有公路交通工程（公路机电工程分项）专业承包二级及以上资质(含)以上资质扫描件；</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（2）磋商供应商具备安全生产条件：安全生产许可证扫描件；</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（3）拟选派项目经理公路工程二级及以上注册建造师资质或机电工程二级及以上资质证书扫描件、《建筑施工企业项目负责人安全生产考核合格证书》（B类）扫描件及响应单位为其缴纳社保证明扫描件；</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（4）项目经理无在建工程承诺书（格式自拟）；</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13、类似业绩一览表及相关附件；</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14、施工组织设计；</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15、施工组织机构人员名单；</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16、采购文件要求提供的其他资料及响应单位认为应提交的资料。</w:t>
      </w:r>
      <w:r>
        <w:rPr>
          <w:color w:val="000000" w:themeColor="text1"/>
        </w:rPr>
      </w:r>
    </w:p>
    <w:p>
      <w:pPr>
        <w:ind w:left="0" w:right="0" w:firstLine="480"/>
        <w:jc w:val="both"/>
        <w:spacing w:before="0" w:after="0" w:line="85" w:lineRule="atLeast"/>
        <w:shd w:val="clear" w:color="ffffff" w:themeColor="background1" w:fill="ffffff" w:themeFill="background1"/>
        <w:tabs>
          <w:tab w:val="left" w:pos="753"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（二）电子磋商响应文件编制及提交：</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本项目为网上招投标项目，供应商应登陆苏采云系统、线上获取招标（采购）文件，线上获取更正（补充）文件、对投标（响应）文件进行电子签章、线上递交投标（响应）文件；应使用电子投标文件制作工具制作电子版投标（响应）文件。</w:t>
      </w:r>
      <w:r>
        <w:rPr>
          <w:rFonts w:ascii="SimSun" w:hAnsi="SimSun" w:eastAsia="SimSun" w:cs="SimSun"/>
          <w:b/>
          <w:color w:val="000000" w:themeColor="text1"/>
          <w:sz w:val="24"/>
        </w:rPr>
        <w:t xml:space="preserve">电子投标（响应）文件制作完成后请于上传截止前成功上传，未按要求线上递交电子投标（响应）文件将被拒收。</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2、电子投标（响应）文件制作工具下载：</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电子投标文件制作工具下载：详见苏州市政府采购网-苏采云登陆页面右下角点击驱动下载。使用指南见《苏采云系统供应商操作手册》。</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3、电子投标（响应）文件制作与提交：</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供应商根据《苏采云系统供应商操作手册》进行操作。制作电子投标文件时必须与投标文件制作软件目录一一对应，将相关资料上传至相应模块。</w:t>
      </w:r>
      <w:r>
        <w:rPr>
          <w:rFonts w:ascii="SimSun" w:hAnsi="SimSun" w:eastAsia="SimSun" w:cs="SimSun"/>
          <w:b/>
          <w:color w:val="000000" w:themeColor="text1"/>
          <w:sz w:val="24"/>
        </w:rPr>
        <w:t xml:space="preserve">需对投标（响应）文件中涉及的扫描件（复印件）及需要加盖公章的部分进行签章，否则视为未提供相对应项。</w:t>
      </w:r>
      <w:r>
        <w:rPr>
          <w:color w:val="000000" w:themeColor="text1"/>
        </w:rPr>
      </w:r>
    </w:p>
    <w:p>
      <w:pPr>
        <w:ind w:left="42"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4、投标（响应）文件制作完成后导出投标（响应）文件，在“参与详情”页面上传已制作完成的投标（响应）文件。</w:t>
      </w:r>
      <w:r>
        <w:rPr>
          <w:color w:val="000000" w:themeColor="text1"/>
        </w:rPr>
      </w:r>
    </w:p>
    <w:p>
      <w:pPr>
        <w:ind w:left="42"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5、投标（响应）文件提交后，供应商可通过模拟解密操作检测投标（响应）文件是否可以正常解密。</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6"/>
        </w:rPr>
        <w:t xml:space="preserve">6、</w:t>
      </w:r>
      <w:r>
        <w:rPr>
          <w:rFonts w:ascii="SimSun" w:hAnsi="SimSun" w:eastAsia="SimSun" w:cs="SimSun"/>
          <w:b/>
          <w:color w:val="000000" w:themeColor="text1"/>
          <w:sz w:val="24"/>
          <w:u w:val="single"/>
        </w:rPr>
        <w:t xml:space="preserve">因本章“六、响应文件的组成及要求”要求的中小企业声明函、残疾人福利性单位声明函要求的文件需在成交公告时对外公示，故磋商供应商如涉及需要提供“六、响应文件的组成及要求”要求的中小企业声明函、残疾人福利性单位声明函的文件时，必须将签章上传至电子投标文件中。</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7、供应商应在采购系统中选择已制作好的响应文件进行上传，上传必须在投标（响应）截止时间前完成。</w:t>
      </w:r>
      <w:r>
        <w:rPr>
          <w:rFonts w:ascii="SimSun" w:hAnsi="SimSun" w:eastAsia="SimSun" w:cs="SimSun"/>
          <w:b/>
          <w:color w:val="000000" w:themeColor="text1"/>
          <w:sz w:val="24"/>
        </w:rPr>
        <w:t xml:space="preserve">未按要求成功上传的投标（响应）文件视为未递交。</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8、联合体投标：本项目不涉及。</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如招标（采购）公告中允许联合体投标，联合体投标的投标（响应）文件制作上传操作如下：</w:t>
      </w:r>
      <w:r>
        <w:rPr>
          <w:color w:val="000000" w:themeColor="text1"/>
        </w:rPr>
      </w:r>
    </w:p>
    <w:p>
      <w:pPr>
        <w:ind w:left="0" w:right="0" w:firstLine="480"/>
        <w:jc w:val="both"/>
        <w:spacing w:before="0" w:after="0" w:line="85" w:lineRule="atLeast"/>
        <w:shd w:val="clear" w:color="ffffff" w:themeColor="background1" w:fill="ffffff" w:themeFill="background1"/>
        <w:tabs>
          <w:tab w:val="left" w:pos="142" w:leader="none"/>
          <w:tab w:val="left" w:pos="6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第一步：在投标（响应）文件中上传联合体投标协议书。</w:t>
      </w:r>
      <w:r>
        <w:rPr>
          <w:color w:val="000000" w:themeColor="text1"/>
        </w:rPr>
      </w:r>
    </w:p>
    <w:p>
      <w:pPr>
        <w:ind w:left="0" w:right="0" w:firstLine="480"/>
        <w:jc w:val="both"/>
        <w:spacing w:before="0" w:after="0" w:line="85" w:lineRule="atLeast"/>
        <w:shd w:val="clear" w:color="ffffff" w:themeColor="background1" w:fill="ffffff" w:themeFill="background1"/>
        <w:tabs>
          <w:tab w:val="left" w:pos="142" w:leader="none"/>
          <w:tab w:val="left" w:pos="6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第二步</w:t>
      </w:r>
      <w:r>
        <w:rPr>
          <w:rFonts w:ascii="KaiTi" w:hAnsi="KaiTi" w:eastAsia="KaiTi" w:cs="KaiTi"/>
          <w:color w:val="000000" w:themeColor="text1"/>
          <w:sz w:val="24"/>
        </w:rPr>
        <w:t xml:space="preserve">：</w:t>
      </w:r>
      <w:r>
        <w:rPr>
          <w:rFonts w:ascii="SimSun" w:hAnsi="SimSun" w:eastAsia="SimSun" w:cs="SimSun"/>
          <w:color w:val="000000" w:themeColor="text1"/>
          <w:sz w:val="24"/>
        </w:rPr>
        <w:t xml:space="preserve">在投标（响应）文件中，由联合体中的牵头人制作投标（响应）文件。</w:t>
      </w:r>
      <w:r>
        <w:rPr>
          <w:color w:val="000000" w:themeColor="text1"/>
        </w:rPr>
      </w:r>
    </w:p>
    <w:p>
      <w:pPr>
        <w:ind w:left="0" w:right="0" w:firstLine="482"/>
        <w:jc w:val="both"/>
        <w:spacing w:before="0" w:after="0" w:line="85" w:lineRule="atLeast"/>
        <w:shd w:val="clear" w:color="ffffff" w:themeColor="background1" w:fill="ffffff" w:themeFill="background1"/>
        <w:tabs>
          <w:tab w:val="left" w:pos="502"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备注：响应文件中的CA证书签章为有效签名章。</w:t>
      </w:r>
      <w:r>
        <w:rPr>
          <w:color w:val="000000" w:themeColor="text1"/>
        </w:rPr>
      </w:r>
    </w:p>
    <w:p>
      <w:pPr>
        <w:ind w:left="0" w:right="0" w:firstLine="480"/>
        <w:jc w:val="both"/>
        <w:spacing w:before="0" w:after="0" w:line="85" w:lineRule="atLeast"/>
        <w:shd w:val="clear" w:color="ffffff" w:themeColor="background1" w:fill="ffffff" w:themeFill="background1"/>
        <w:tabs>
          <w:tab w:val="left" w:pos="753"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（三）报价（编制）要求的说明</w:t>
      </w:r>
      <w:r>
        <w:rPr>
          <w:color w:val="000000" w:themeColor="text1"/>
        </w:rPr>
      </w:r>
    </w:p>
    <w:p>
      <w:pPr>
        <w:ind w:left="0" w:right="0" w:firstLine="480"/>
        <w:jc w:val="both"/>
        <w:spacing w:before="0" w:after="0" w:line="85" w:lineRule="atLeast"/>
        <w:shd w:val="clear" w:color="ffffff" w:themeColor="background1" w:fill="ffffff" w:themeFill="background1"/>
        <w:tabs>
          <w:tab w:val="left" w:pos="753"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1、根据提供的磋商文件、工程量清单及有关资料单独编制相关项目实施的磋商报价并汇总填入《已标价工程量清单》；</w:t>
      </w:r>
      <w:r>
        <w:rPr>
          <w:color w:val="000000" w:themeColor="text1"/>
        </w:rPr>
      </w:r>
    </w:p>
    <w:p>
      <w:pPr>
        <w:ind w:left="0" w:right="0" w:firstLine="480"/>
        <w:jc w:val="both"/>
        <w:spacing w:before="0" w:after="0" w:line="85" w:lineRule="atLeast"/>
        <w:shd w:val="clear" w:color="ffffff" w:themeColor="background1" w:fill="ffffff" w:themeFill="background1"/>
        <w:tabs>
          <w:tab w:val="left" w:pos="753"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2、磋商报价明细中标的物顺序和数量均应按本磋商文件提供的采购清单顺序和数量。如发现响应报价中有错算现象，一旦成交，磋商供应商自行承担错算这部分的经济损失。</w:t>
      </w:r>
      <w:r>
        <w:rPr>
          <w:color w:val="000000" w:themeColor="text1"/>
        </w:rPr>
      </w:r>
    </w:p>
    <w:p>
      <w:pPr>
        <w:ind w:left="0" w:right="0" w:firstLine="480"/>
        <w:jc w:val="both"/>
        <w:spacing w:before="0" w:after="0" w:line="85" w:lineRule="atLeast"/>
        <w:shd w:val="clear" w:color="ffffff" w:themeColor="background1" w:fill="ffffff" w:themeFill="background1"/>
        <w:tabs>
          <w:tab w:val="left" w:pos="753"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3、供应商应对磋商文件内所要采购的全部内容进行报价，只响应其中部分内容者，其响应文件将被拒绝。</w:t>
      </w:r>
      <w:r>
        <w:rPr>
          <w:color w:val="000000" w:themeColor="text1"/>
        </w:rPr>
      </w:r>
    </w:p>
    <w:p>
      <w:pPr>
        <w:ind w:left="0" w:right="0" w:firstLine="480"/>
        <w:jc w:val="both"/>
        <w:spacing w:before="0" w:after="0" w:line="85" w:lineRule="atLeast"/>
        <w:shd w:val="clear" w:color="ffffff" w:themeColor="background1" w:fill="ffffff" w:themeFill="background1"/>
        <w:tabs>
          <w:tab w:val="left" w:pos="753"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4、一项响应内容只允许一个报价，采购人不接受任何有选择性的响应报价。</w:t>
      </w:r>
      <w:r>
        <w:rPr>
          <w:color w:val="000000" w:themeColor="text1"/>
        </w:rPr>
      </w:r>
    </w:p>
    <w:p>
      <w:pPr>
        <w:ind w:left="0" w:right="0" w:firstLine="480"/>
        <w:jc w:val="both"/>
        <w:spacing w:before="0" w:after="0" w:line="85" w:lineRule="atLeast"/>
        <w:shd w:val="clear" w:color="ffffff" w:themeColor="background1" w:fill="ffffff" w:themeFill="background1"/>
        <w:tabs>
          <w:tab w:val="left" w:pos="753"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5、响应文件中报价全部采用人民币表示，除非合同的特殊条款另有规定。</w:t>
      </w:r>
      <w:r>
        <w:rPr>
          <w:color w:val="000000" w:themeColor="text1"/>
        </w:rPr>
      </w:r>
    </w:p>
    <w:p>
      <w:pPr>
        <w:ind w:left="0" w:right="0" w:firstLine="482"/>
        <w:jc w:val="both"/>
        <w:spacing w:before="0" w:after="0" w:line="85" w:lineRule="atLeast"/>
        <w:shd w:val="clear" w:color="ffffff" w:themeColor="background1" w:fill="ffffff" w:themeFill="background1"/>
        <w:tabs>
          <w:tab w:val="left" w:pos="753"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七、磋商程序</w:t>
      </w:r>
      <w:r>
        <w:rPr>
          <w:color w:val="000000" w:themeColor="text1"/>
        </w:rPr>
      </w:r>
    </w:p>
    <w:p>
      <w:pPr>
        <w:ind w:left="0" w:right="0" w:firstLine="405"/>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rFonts w:ascii="SimSun" w:hAnsi="SimSun" w:eastAsia="SimSun" w:cs="SimSun"/>
          <w:b/>
          <w:color w:val="000000" w:themeColor="text1"/>
          <w:sz w:val="24"/>
        </w:rPr>
        <w:t xml:space="preserve">供应商不需到现场参加开标会</w:t>
      </w:r>
      <w:r>
        <w:rPr>
          <w:rFonts w:ascii="SimSun" w:hAnsi="SimSun" w:eastAsia="SimSun" w:cs="SimSun"/>
          <w:b/>
          <w:color w:val="000000" w:themeColor="text1"/>
          <w:sz w:val="24"/>
          <w:u w:val="single"/>
        </w:rPr>
        <w:t xml:space="preserve">(但请及时关注系统公告栏及语音播报，以防错过二次报价)。</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2、线上参加（观看）开标会方式：苏州市政府采购网点击“苏采云”进入交易系统，点击“开标大厅-我的项目”，找到对应项目进行线上参加（观看）。</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3、开标时，供应商的响应文件须在供应商解密环节进行解密，在解密时长倒计时结束前，供应商需解密完成，否则视为放弃本次投标（磋商）。</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解密完成后，供应商可通过查看“磋商响应”菜单查看是否被邀请磋商。供应商进入采购包磋商列表界面，点击【响应】按钮进行响应。页面弹出磋商要求函，供应商需要在倒计时结束后，点击【我知道了】，完善磋商回复栏内容后，进行签章提交</w:t>
      </w:r>
      <w:r>
        <w:rPr>
          <w:rFonts w:ascii="SimSun" w:hAnsi="SimSun" w:eastAsia="SimSun" w:cs="SimSun"/>
          <w:color w:val="000000" w:themeColor="text1"/>
          <w:sz w:val="24"/>
          <w:u w:val="single"/>
        </w:rPr>
        <w:t xml:space="preserve">；如供应商未在15分钟内响应，视为已响应。</w:t>
      </w:r>
      <w:r>
        <w:rPr>
          <w:rFonts w:ascii="SimSun" w:hAnsi="SimSun" w:eastAsia="SimSun" w:cs="SimSun"/>
          <w:color w:val="000000" w:themeColor="text1"/>
          <w:sz w:val="24"/>
        </w:rPr>
        <w:t xml:space="preserve">开标大厅显示“立即报价”后，供应商须在报价结束时间前进行报价，报价结束时间未进行报价，则视为放弃报价。报价结束时间前可修改最后报价，点击【修改报价】按钮进行修改，倒计时结束后，点击我知道了。最后报价结束，若需要修改报价信息，可在剩余时间之内进行撤销，重新报价。 </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5、开评审结果会在磋商结束的同时通过采购系统告知供应商，请供应商及时查看，否则导致的对供应商不利的后果由供应商自行承担。</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6、本项目采用线上澄清：</w:t>
      </w:r>
      <w:r>
        <w:rPr>
          <w:color w:val="000000" w:themeColor="text1"/>
        </w:rPr>
      </w:r>
    </w:p>
    <w:p>
      <w:pPr>
        <w:ind w:left="0" w:right="0" w:firstLine="60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000000" w:themeColor="text1"/>
        </w:rPr>
      </w:r>
    </w:p>
    <w:p>
      <w:pPr>
        <w:ind w:left="0" w:right="0" w:firstLine="60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评审中需要供应商进行澄清的通知会通过苏采云系统发出，供应商应及时登录采购系统查看澄清要求并在规定的时间内进行线上答复。</w:t>
      </w:r>
      <w:r>
        <w:rPr>
          <w:color w:val="000000" w:themeColor="text1"/>
        </w:rPr>
      </w:r>
    </w:p>
    <w:p>
      <w:pPr>
        <w:ind w:left="0" w:right="0" w:firstLine="48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有关澄清的答复应在系统内采用书面形式，该书面签复应有投标人签(盖)章，并将作为投标内容的一部分。</w:t>
      </w:r>
      <w:r>
        <w:rPr>
          <w:color w:val="000000" w:themeColor="text1"/>
        </w:rPr>
      </w:r>
    </w:p>
    <w:p>
      <w:pPr>
        <w:ind w:left="0" w:right="0" w:firstLine="48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线上澄清答复的方式：当发起答疑澄清时，页面弹出处理答疑澄清消息菜单，点击反馈进入-点击【响应】-填写询问响应内容后，进行询问响应函签章。</w:t>
      </w:r>
      <w:r>
        <w:rPr>
          <w:color w:val="000000" w:themeColor="text1"/>
        </w:rPr>
      </w:r>
    </w:p>
    <w:p>
      <w:pPr>
        <w:ind w:left="0" w:right="0" w:firstLine="480"/>
        <w:jc w:val="both"/>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评审结束后系统公告中会提示评审流程结束，供应商可离开电脑。</w:t>
      </w:r>
      <w:r>
        <w:rPr>
          <w:color w:val="000000" w:themeColor="text1"/>
        </w:rPr>
      </w:r>
    </w:p>
    <w:p>
      <w:pPr>
        <w:ind w:left="0" w:right="0" w:firstLine="405"/>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7、本项目采用线上二次报价</w:t>
      </w:r>
      <w:r>
        <w:rPr>
          <w:rFonts w:ascii="SimSun" w:hAnsi="SimSun" w:eastAsia="SimSun" w:cs="SimSun"/>
          <w:b/>
          <w:color w:val="000000" w:themeColor="text1"/>
          <w:sz w:val="24"/>
          <w:u w:val="single"/>
        </w:rPr>
        <w:t xml:space="preserve">(及时关注“苏采云”系统公告栏和语音播报信息，以防错过二次报价)</w:t>
      </w:r>
      <w:r>
        <w:rPr>
          <w:color w:val="000000" w:themeColor="text1"/>
        </w:rPr>
      </w:r>
    </w:p>
    <w:p>
      <w:pPr>
        <w:ind w:left="0" w:right="0" w:firstLine="405"/>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特别提醒：开评标过程中如有问题采购代理机构工作人员会及时通过《投标供应商确认函》留存的手机号与供应商联系。请供应商确保该手机号通讯畅通，否则导致的不利后果由供应商自行承担。</w:t>
      </w:r>
      <w:r>
        <w:rPr>
          <w:color w:val="000000" w:themeColor="text1"/>
        </w:rPr>
      </w:r>
    </w:p>
    <w:p>
      <w:pPr>
        <w:ind w:left="0" w:right="0" w:firstLine="48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8、供应商未按规定时间及要求递交二次报价的，视为放弃本次投标（响应）。</w:t>
      </w:r>
      <w:r>
        <w:rPr>
          <w:color w:val="000000" w:themeColor="text1"/>
        </w:rPr>
      </w:r>
    </w:p>
    <w:p>
      <w:pPr>
        <w:ind w:left="0" w:right="0" w:firstLine="518"/>
        <w:jc w:val="both"/>
        <w:spacing w:before="0" w:after="0" w:line="85" w:lineRule="atLeast"/>
        <w:shd w:val="clear" w:color="ffffff" w:themeColor="background1" w:fill="ffffff" w:themeFill="background1"/>
        <w:tabs>
          <w:tab w:val="left" w:pos="2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9、磋商结束后，磋商小组要求所有实质性响应的供应商应登录采购系统并在规定时间内进行线上二次报价即最后报价，提交最后报价的供应商不足3家的，磋商采购失败。除因磋商文件修改导致成本增加外，</w:t>
      </w:r>
      <w:r>
        <w:rPr>
          <w:rFonts w:ascii="SimSun" w:hAnsi="SimSun" w:eastAsia="SimSun" w:cs="SimSun"/>
          <w:b/>
          <w:color w:val="000000" w:themeColor="text1"/>
          <w:sz w:val="24"/>
        </w:rPr>
        <w:t xml:space="preserve">最后报价不得高于一次报价，否则为无效响应报价。</w:t>
      </w:r>
      <w:r>
        <w:rPr>
          <w:color w:val="000000" w:themeColor="text1"/>
        </w:rPr>
      </w:r>
    </w:p>
    <w:p>
      <w:pPr>
        <w:ind w:left="0" w:right="0" w:firstLine="482"/>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10、异常低价投标审查</w:t>
      </w:r>
      <w:r>
        <w:rPr>
          <w:color w:val="000000" w:themeColor="text1"/>
        </w:rPr>
      </w:r>
    </w:p>
    <w:p>
      <w:pPr>
        <w:ind w:left="0" w:right="0" w:firstLine="482"/>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10.1 评标过程中出现下列情形之一的，评标委员会应当启动异常低价投标审查程序：</w:t>
      </w:r>
      <w:r>
        <w:rPr>
          <w:color w:val="000000" w:themeColor="text1"/>
        </w:rPr>
      </w:r>
    </w:p>
    <w:p>
      <w:pPr>
        <w:ind w:left="0" w:right="0" w:firstLine="482"/>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（1）投标（响应）报价低于全部通过符合性审查供应商投标（响应）报价平均值50%的，即投标（响应）报价&lt;全部通过符合性审查供应商投标（响应）报价平均值×50%；</w:t>
      </w:r>
      <w:r>
        <w:rPr>
          <w:color w:val="000000" w:themeColor="text1"/>
        </w:rPr>
      </w:r>
    </w:p>
    <w:p>
      <w:pPr>
        <w:ind w:left="0" w:right="0" w:firstLine="482"/>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（2）投标（响应）报价低于通过符合性审查的次低报价供应商投标（响应）报价50%的，即投标（响应）报价&lt;通过符合性审查的次低报价供应商投标（响应）报价×50%；</w:t>
      </w:r>
      <w:r>
        <w:rPr>
          <w:color w:val="000000" w:themeColor="text1"/>
        </w:rPr>
      </w:r>
    </w:p>
    <w:p>
      <w:pPr>
        <w:ind w:left="0" w:right="0" w:firstLine="482"/>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（3）投标报价低于采购项目最高限价45%的，即投标报价＜采购项目最高限价×45%；</w:t>
      </w:r>
      <w:r>
        <w:rPr>
          <w:color w:val="000000" w:themeColor="text1"/>
        </w:rPr>
      </w:r>
    </w:p>
    <w:p>
      <w:pPr>
        <w:ind w:left="0" w:right="0" w:firstLine="482"/>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（4）评标委员会认定的供应商报价过低、有可能影响产品质量或者不能诚信履约的其他情形。</w:t>
      </w:r>
      <w:r>
        <w:rPr>
          <w:color w:val="000000" w:themeColor="text1"/>
        </w:rPr>
      </w:r>
    </w:p>
    <w:p>
      <w:pPr>
        <w:ind w:left="0" w:right="0" w:firstLine="482"/>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10.2启动异常低价投标审查后，评标委员会应当要求相关供应商在评标现场合理的时间内，提供项目具体成本测算等（包括原材料成本、人工成本、制造费用等）与报价合理性相关的书面说明材料及相关证明材料，对投标价格作出解释，由评标委员会参考同类项目中标（成交）价格、类似产品市场价格水平、行业人工费用标准、国家有关部门指导行业协会发布的行业平均成本等情况，对报价合理性进行判断，依据专业经验对供应商报价合理性进行判断。投标供应商不提供成本测算、书面说明、证明材料，或者提供的书面说明、证明材料不能证明其报价合理性的，评标委员</w:t>
      </w:r>
      <w:r>
        <w:rPr>
          <w:rFonts w:ascii="SimSun" w:hAnsi="SimSun" w:eastAsia="SimSun" w:cs="SimSun"/>
          <w:b/>
          <w:color w:val="000000" w:themeColor="text1"/>
          <w:sz w:val="24"/>
        </w:rPr>
        <w:t xml:space="preserve">会应当将其作为无效投标处理。审查相关情况应当在评标报告中进行记录。</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11、经磋商确定最终采购需求和提交最后报价的供应商后，由磋商小组采用综合评分法对提交最后报价的供应商的响应文件和最后报价进行综合评分。</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12、由于开标现场监控传输路径与开标信息传输路径不同，会造成网页显示时间与监控图像显示时间不同。</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13、技术支持</w:t>
      </w:r>
      <w:r>
        <w:rPr>
          <w:color w:val="000000" w:themeColor="text1"/>
        </w:rPr>
      </w:r>
    </w:p>
    <w:p>
      <w:pPr>
        <w:ind w:left="0" w:right="0" w:firstLine="4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CA技术咨询电话：400-608-6099；</w:t>
      </w:r>
      <w:r>
        <w:rPr>
          <w:color w:val="000000" w:themeColor="text1"/>
        </w:rPr>
      </w:r>
    </w:p>
    <w:p>
      <w:pPr>
        <w:ind w:left="0" w:right="0" w:firstLine="4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签章使用问题：025-83633811、025-83633812、15380932027、15371015030；</w:t>
      </w:r>
      <w:r>
        <w:rPr>
          <w:color w:val="000000" w:themeColor="text1"/>
        </w:rPr>
      </w:r>
    </w:p>
    <w:p>
      <w:pPr>
        <w:ind w:left="0" w:right="0" w:firstLine="42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系统使用指导与咨询：联系电话：13914088964、18261002950；QQ：3048755361、1315179389、895706745。智能客服：登录苏采云系统后，联系系统右下方智能客服图标进行咨询。</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八、磋商小组</w:t>
      </w:r>
      <w:r>
        <w:rPr>
          <w:color w:val="000000" w:themeColor="text1"/>
        </w:rPr>
      </w:r>
    </w:p>
    <w:p>
      <w:pPr>
        <w:ind w:left="0" w:right="0" w:firstLine="50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1、磋商小组由采购人依法组建，由采购人代表、专家评委组成。</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2、磋商小组与参加采购活动的供应商存在下列利害关系之一的，应当回避：</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（一）参加采购活动前三年内，与投标人存在劳动关系、或者担任过投标人的董事、监事，或者是投标人的控股股东或实际控制人；</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（二）与投标人的法定代表人或者负责人有夫妻、直系血亲、三代以内旁系血亲或者近姻亲关系；</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（三）与投标人有其他影响政府采购活动公平、公正进行的关系。</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磋商小组发现本人与参加采购活动的供应商有利害关系的，应当主动提出回避。采购人或采购代理机构发现评审专家与参加采购活动的供应商有利害关系的，应当要求其回避。</w:t>
      </w:r>
      <w:r>
        <w:rPr>
          <w:color w:val="000000" w:themeColor="text1"/>
        </w:rPr>
      </w:r>
    </w:p>
    <w:p>
      <w:pPr>
        <w:ind w:left="0" w:right="0" w:firstLine="50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3、磋商小组负责具体的磋商事务，并独立履行以下职责：</w:t>
      </w:r>
      <w:r>
        <w:rPr>
          <w:color w:val="000000" w:themeColor="text1"/>
        </w:rPr>
      </w:r>
    </w:p>
    <w:p>
      <w:pPr>
        <w:ind w:left="0" w:right="0" w:firstLine="50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3.1审查响应文件是否符合磋商采购文件的要求，并作出评价；</w:t>
      </w:r>
      <w:r>
        <w:rPr>
          <w:color w:val="000000" w:themeColor="text1"/>
        </w:rPr>
      </w:r>
    </w:p>
    <w:p>
      <w:pPr>
        <w:ind w:left="0" w:right="0" w:firstLine="50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3.2可以要求磋商供应商对响应文件有关事项作出解释或澄清；</w:t>
      </w:r>
      <w:r>
        <w:rPr>
          <w:color w:val="000000" w:themeColor="text1"/>
        </w:rPr>
      </w:r>
    </w:p>
    <w:p>
      <w:pPr>
        <w:ind w:left="0" w:right="0" w:firstLine="50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3.3推荐成交候选磋商供应商名单；</w:t>
      </w:r>
      <w:r>
        <w:rPr>
          <w:color w:val="000000" w:themeColor="text1"/>
        </w:rPr>
      </w:r>
    </w:p>
    <w:p>
      <w:pPr>
        <w:ind w:left="0" w:right="0" w:firstLine="50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3.4向采购人或者有关部门报告非法干预磋商工作的行为。</w:t>
      </w:r>
      <w:r>
        <w:rPr>
          <w:color w:val="000000" w:themeColor="text1"/>
        </w:rPr>
      </w:r>
    </w:p>
    <w:p>
      <w:pPr>
        <w:ind w:left="0" w:right="0" w:firstLine="50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4、磋商小组成员应当履行下列义务：</w:t>
      </w:r>
      <w:r>
        <w:rPr>
          <w:color w:val="000000" w:themeColor="text1"/>
        </w:rPr>
      </w:r>
    </w:p>
    <w:p>
      <w:pPr>
        <w:ind w:left="0" w:right="0" w:firstLine="50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4.1遵纪守法，客观、公正、廉洁地履行职责；</w:t>
      </w:r>
      <w:r>
        <w:rPr>
          <w:color w:val="000000" w:themeColor="text1"/>
        </w:rPr>
      </w:r>
    </w:p>
    <w:p>
      <w:pPr>
        <w:ind w:left="0" w:right="0" w:firstLine="50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4.2按照磋商采购文件规定的评审办法和评分标准进行评审，对评审意见承担个人责任；</w:t>
      </w:r>
      <w:r>
        <w:rPr>
          <w:color w:val="000000" w:themeColor="text1"/>
        </w:rPr>
      </w:r>
    </w:p>
    <w:p>
      <w:pPr>
        <w:ind w:left="0" w:right="0" w:firstLine="50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4.3对磋商过程和结果，以及磋商供应商的商业秘密保密；</w:t>
      </w:r>
      <w:r>
        <w:rPr>
          <w:color w:val="000000" w:themeColor="text1"/>
        </w:rPr>
      </w:r>
    </w:p>
    <w:p>
      <w:pPr>
        <w:ind w:left="0" w:right="0" w:firstLine="50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4.4参与评审报告的起草；</w:t>
      </w:r>
      <w:r>
        <w:rPr>
          <w:color w:val="000000" w:themeColor="text1"/>
        </w:rPr>
      </w:r>
    </w:p>
    <w:p>
      <w:pPr>
        <w:ind w:left="0" w:right="0" w:firstLine="50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4.5配合相关部门的投诉处理工作；</w:t>
      </w:r>
      <w:r>
        <w:rPr>
          <w:color w:val="000000" w:themeColor="text1"/>
        </w:rPr>
      </w:r>
    </w:p>
    <w:p>
      <w:pPr>
        <w:ind w:left="0" w:right="0" w:firstLine="50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4.6配合采购人答复磋商供应商提出的质疑。</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九、评审内容的保密</w:t>
      </w:r>
      <w:r>
        <w:rPr>
          <w:color w:val="000000" w:themeColor="text1"/>
        </w:rPr>
      </w:r>
    </w:p>
    <w:p>
      <w:pPr>
        <w:ind w:left="0" w:right="0" w:firstLine="50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1、磋商开始后，直到宣布授予成交单位合同为止，凡属于审查、澄清、评价和比较响应文件的所有资料，有关授予合同的信息都不应向磋商供应商或与评审无关的其他人泄露。</w:t>
      </w:r>
      <w:r>
        <w:rPr>
          <w:color w:val="000000" w:themeColor="text1"/>
        </w:rPr>
      </w:r>
    </w:p>
    <w:p>
      <w:pPr>
        <w:ind w:left="0" w:right="0" w:firstLine="50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2、在响应文件的审查、澄清、评价和比较以及授予合同的过程中，磋商供应商对采购人和磋商小组施加影响的任何行为，都将取消其成交资格。</w:t>
      </w:r>
      <w:r>
        <w:rPr>
          <w:color w:val="000000" w:themeColor="text1"/>
        </w:rPr>
      </w:r>
    </w:p>
    <w:p>
      <w:pPr>
        <w:ind w:left="0" w:right="0" w:firstLine="50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3、在评审期间，采购人将通过指定联络人与磋商供应商进行联系。</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十、对响应文件初审</w:t>
      </w:r>
      <w:r>
        <w:rPr>
          <w:color w:val="000000" w:themeColor="text1"/>
        </w:rPr>
      </w:r>
    </w:p>
    <w:p>
      <w:pPr>
        <w:ind w:left="0" w:right="0" w:firstLine="501"/>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开始磋商后，磋商小组将审查响应文件是否实质性响应磋商采购文件的要求、内容是否完整、价格构成有无计算错误、文件签署是否齐全等，响应文件有下列情况之一者，且磋商小组认为在磋商承诺函中无法修正的则有权将其拒绝：</w:t>
      </w:r>
      <w:r>
        <w:rPr>
          <w:color w:val="000000" w:themeColor="text1"/>
        </w:rPr>
      </w:r>
    </w:p>
    <w:p>
      <w:pPr>
        <w:ind w:left="0" w:right="0" w:firstLine="501"/>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1.1磋商供应商的响应文件未按照本须知规定制作的；</w:t>
      </w:r>
      <w:r>
        <w:rPr>
          <w:color w:val="000000" w:themeColor="text1"/>
        </w:rPr>
      </w:r>
    </w:p>
    <w:p>
      <w:pPr>
        <w:ind w:left="0" w:right="0" w:firstLine="501"/>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1.2未按本须知规定提交资格文件；</w:t>
      </w:r>
      <w:r>
        <w:rPr>
          <w:color w:val="000000" w:themeColor="text1"/>
        </w:rPr>
      </w:r>
    </w:p>
    <w:p>
      <w:pPr>
        <w:ind w:left="0" w:right="0" w:firstLine="501"/>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1.3与磋商采购文件有重大偏离；</w:t>
      </w:r>
      <w:r>
        <w:rPr>
          <w:color w:val="000000" w:themeColor="text1"/>
        </w:rPr>
      </w:r>
    </w:p>
    <w:p>
      <w:pPr>
        <w:ind w:left="0" w:right="0" w:firstLine="501"/>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1.4磋商供应商拒绝修正错误；</w:t>
      </w:r>
      <w:r>
        <w:rPr>
          <w:color w:val="000000" w:themeColor="text1"/>
        </w:rPr>
      </w:r>
    </w:p>
    <w:p>
      <w:pPr>
        <w:ind w:left="0" w:right="0" w:firstLine="501"/>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1.5磋商供应商的报价是选择性的；</w:t>
      </w:r>
      <w:r>
        <w:rPr>
          <w:color w:val="000000" w:themeColor="text1"/>
        </w:rPr>
      </w:r>
    </w:p>
    <w:p>
      <w:pPr>
        <w:ind w:left="0" w:right="0" w:firstLine="501"/>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1.6磋商供应商的报价只投了部分内容；</w:t>
      </w:r>
      <w:r>
        <w:rPr>
          <w:color w:val="000000" w:themeColor="text1"/>
        </w:rPr>
      </w:r>
    </w:p>
    <w:p>
      <w:pPr>
        <w:ind w:left="0" w:right="0" w:firstLine="501"/>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1.7未按时递交二次报价的；</w:t>
      </w:r>
      <w:r>
        <w:rPr>
          <w:color w:val="000000" w:themeColor="text1"/>
        </w:rPr>
      </w:r>
    </w:p>
    <w:p>
      <w:pPr>
        <w:ind w:left="0" w:right="0" w:firstLine="501"/>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1.8磋商供应商的响应文件出现了评标委员会认为不应当雷同的情况；</w:t>
      </w:r>
      <w:r>
        <w:rPr>
          <w:color w:val="000000" w:themeColor="text1"/>
        </w:rPr>
      </w:r>
    </w:p>
    <w:p>
      <w:pPr>
        <w:ind w:left="0" w:right="0" w:firstLine="501"/>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1.9经磋商小组认定磋商供应商的报价低于成本价的；</w:t>
      </w:r>
      <w:r>
        <w:rPr>
          <w:color w:val="000000" w:themeColor="text1"/>
        </w:rPr>
      </w:r>
    </w:p>
    <w:p>
      <w:pPr>
        <w:ind w:left="0" w:right="0" w:firstLine="501"/>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1.10不同供应商的“机器码一致”的情形；</w:t>
      </w:r>
      <w:r>
        <w:rPr>
          <w:color w:val="000000" w:themeColor="text1"/>
        </w:rPr>
      </w:r>
    </w:p>
    <w:p>
      <w:pPr>
        <w:ind w:left="0" w:right="0" w:firstLine="501"/>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1.11 其他被磋商小组认定无效的情况。</w:t>
      </w:r>
      <w:r>
        <w:rPr>
          <w:color w:val="000000" w:themeColor="text1"/>
        </w:rPr>
      </w:r>
    </w:p>
    <w:p>
      <w:pPr>
        <w:ind w:left="0" w:right="0" w:firstLine="50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single"/>
        </w:rPr>
        <w:t xml:space="preserve">2、磋商采购文件提供的工艺、材料、设备、参考的商标或样本目录号码等仅作为说明并没有限制性，磋商供应商在磋商中可以选用替代标准，但这些替代标准要优于或相当于技术规格中要求的标准，以满足采购人的需要。</w:t>
      </w:r>
      <w:r>
        <w:rPr>
          <w:color w:val="000000" w:themeColor="text1"/>
        </w:rPr>
      </w:r>
    </w:p>
    <w:p>
      <w:pPr>
        <w:ind w:left="0" w:right="0" w:firstLine="501"/>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3、磋商小组将对确定为实质性响应的文件进行审核，看其是否有计算上或累加上的算术错误，修正错误的原则如下：</w:t>
      </w:r>
      <w:r>
        <w:rPr>
          <w:color w:val="000000" w:themeColor="text1"/>
        </w:rPr>
      </w:r>
    </w:p>
    <w:p>
      <w:pPr>
        <w:ind w:left="0" w:right="0" w:firstLine="501"/>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3.1响应文件的大写金额与小写金额不一致的，以大写金额为准；</w:t>
      </w:r>
      <w:r>
        <w:rPr>
          <w:color w:val="000000" w:themeColor="text1"/>
        </w:rPr>
      </w:r>
    </w:p>
    <w:p>
      <w:pPr>
        <w:ind w:left="0" w:right="0" w:firstLine="501"/>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3.2如果单价乘数量不等于总价，数量符合磋商采购文件要求，以单价计算金额为准；单价金额小数点有明细错位的，应以总价为准，并修改单价；数量不符合磋商采购文件要求的作为未实质性响应磋商采购文件处理，该响应文件将不予以详细评审，也不成交；</w:t>
      </w:r>
      <w:r>
        <w:rPr>
          <w:color w:val="000000" w:themeColor="text1"/>
        </w:rPr>
      </w:r>
    </w:p>
    <w:p>
      <w:pPr>
        <w:ind w:left="0" w:right="0" w:firstLine="501"/>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3.3对不同文字文本响应文件的解释发生异议的，以中文文本为准；</w:t>
      </w:r>
      <w:r>
        <w:rPr>
          <w:color w:val="000000" w:themeColor="text1"/>
        </w:rPr>
      </w:r>
    </w:p>
    <w:p>
      <w:pPr>
        <w:ind w:left="0" w:right="0" w:firstLine="501"/>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3.4磋商供应商不同意以上修正，则其响应文件将被拒绝。</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十一、项目的终止</w:t>
      </w:r>
      <w:r>
        <w:rPr>
          <w:color w:val="000000" w:themeColor="text1"/>
        </w:rPr>
      </w:r>
    </w:p>
    <w:p>
      <w:pPr>
        <w:ind w:left="0" w:right="0" w:firstLine="50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single"/>
        </w:rPr>
        <w:t xml:space="preserve">1、出现下列情形之一的，将终止竞争性磋商采购活动：</w:t>
      </w:r>
      <w:r>
        <w:rPr>
          <w:color w:val="000000" w:themeColor="text1"/>
        </w:rPr>
      </w:r>
    </w:p>
    <w:p>
      <w:pPr>
        <w:ind w:left="0" w:right="0" w:firstLine="48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single"/>
        </w:rPr>
        <w:t xml:space="preserve">1.1因情况变化，不再符合规定的竞争性磋商采购方式适用情形的；</w:t>
      </w:r>
      <w:r>
        <w:rPr>
          <w:color w:val="000000" w:themeColor="text1"/>
        </w:rPr>
      </w:r>
    </w:p>
    <w:p>
      <w:pPr>
        <w:ind w:left="0" w:right="0" w:firstLine="48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single"/>
        </w:rPr>
        <w:t xml:space="preserve">1.2出现影响采购公正的违法、违规行为的；</w:t>
      </w:r>
      <w:r>
        <w:rPr>
          <w:color w:val="000000" w:themeColor="text1"/>
        </w:rPr>
      </w:r>
    </w:p>
    <w:p>
      <w:pPr>
        <w:ind w:left="0" w:right="0" w:firstLine="50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single"/>
        </w:rPr>
        <w:t xml:space="preserve">1.3实质性响应磋商文件不满三家或进入二次报价的不满三家或二次报价在采购预算内不满三家的。</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十二、响应文件的评价和比较</w:t>
      </w:r>
      <w:r>
        <w:rPr>
          <w:color w:val="000000" w:themeColor="text1"/>
        </w:rPr>
      </w:r>
    </w:p>
    <w:p>
      <w:pPr>
        <w:ind w:left="0" w:right="0" w:firstLine="50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1、磋商小组将仅对按照本须知有关规定确定为实质性响应磋商采购文件要求的响应文件进行评价和比较。</w:t>
      </w:r>
      <w:r>
        <w:rPr>
          <w:color w:val="000000" w:themeColor="text1"/>
        </w:rPr>
      </w:r>
    </w:p>
    <w:p>
      <w:pPr>
        <w:ind w:left="0" w:right="0" w:firstLine="501"/>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2、评审办法</w:t>
      </w:r>
      <w:r>
        <w:rPr>
          <w:color w:val="000000" w:themeColor="text1"/>
        </w:rPr>
      </w:r>
    </w:p>
    <w:p>
      <w:pPr>
        <w:ind w:left="0" w:right="0" w:firstLine="501"/>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采购人授权磋商小组根据本文件规定的成交原则，在响应文件满足磋商文件全部实质性要求且按评审因素的量化指标评审得分最高的磋商供应商为成交候选磋商供应商。</w:t>
      </w:r>
      <w:r>
        <w:rPr>
          <w:color w:val="000000" w:themeColor="text1"/>
        </w:rPr>
      </w:r>
    </w:p>
    <w:p>
      <w:pPr>
        <w:ind w:left="0" w:right="0" w:firstLine="501"/>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评标委员会严格按照磋商采购文件的要求、条件、合格性评审办法，对磋商供应商所提供的服务内容进行比较，同时考虑以下因素：</w:t>
      </w:r>
      <w:r>
        <w:rPr>
          <w:color w:val="000000" w:themeColor="text1"/>
        </w:rPr>
      </w:r>
    </w:p>
    <w:p>
      <w:pPr>
        <w:ind w:left="0" w:right="0" w:firstLine="50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2.1磋商供应商的资信情况和履约能力；</w:t>
      </w:r>
      <w:r>
        <w:rPr>
          <w:color w:val="000000" w:themeColor="text1"/>
        </w:rPr>
      </w:r>
    </w:p>
    <w:p>
      <w:pPr>
        <w:ind w:left="0" w:right="0" w:firstLine="50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2.2磋商供应商提供的其他优惠条件；</w:t>
      </w:r>
      <w:r>
        <w:rPr>
          <w:color w:val="000000" w:themeColor="text1"/>
        </w:rPr>
      </w:r>
    </w:p>
    <w:p>
      <w:pPr>
        <w:ind w:left="0" w:right="0" w:firstLine="50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2.3磋商供应商的实施方案；</w:t>
      </w:r>
      <w:r>
        <w:rPr>
          <w:color w:val="000000" w:themeColor="text1"/>
        </w:rPr>
      </w:r>
    </w:p>
    <w:p>
      <w:pPr>
        <w:ind w:left="0" w:right="0" w:firstLine="50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3、评标委员会各成员独立对每个进入合格性评审程序的磋商供应商的响应文件按评审办法进行评审和评价。</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十三、成交单位的确认</w:t>
      </w:r>
      <w:r>
        <w:rPr>
          <w:color w:val="000000" w:themeColor="text1"/>
        </w:rPr>
      </w:r>
    </w:p>
    <w:p>
      <w:pPr>
        <w:ind w:left="0" w:right="0" w:firstLine="50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1、磋商小组根据磋商供应商资格审查情况，对响应文件进行评价和比较，按照评审办法和标准进行评审，并按采购人的委托向采购人推荐成交候选单位。</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2、确定成交供应商后，磋商采购单位将在规定的时间内将成交结果在相关媒体上予以公告。</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十四、合同授予标准</w:t>
      </w:r>
      <w:r>
        <w:rPr>
          <w:color w:val="000000" w:themeColor="text1"/>
        </w:rPr>
      </w:r>
    </w:p>
    <w:p>
      <w:pPr>
        <w:ind w:left="0" w:right="0" w:firstLine="50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1、采购人将把合同授予其响应文件在实质上响应磋商文件要求和按本须知规定评选出的磋商供应商。</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政府采购合同履行中，采购人需追加与合同标的物相同的货物、工程或者服务的，在不改变合同其他条款的前提下，可以与成交供应商签订补充合同，但所有补充合同的采购金额不得超过原合同采购金额的百分之十。</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十五、成交通知书</w:t>
      </w:r>
      <w:r>
        <w:rPr>
          <w:color w:val="000000" w:themeColor="text1"/>
        </w:rPr>
      </w:r>
    </w:p>
    <w:p>
      <w:pPr>
        <w:ind w:left="0" w:right="0" w:firstLine="501"/>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1、磋商采购单位应在规定的时间向成交供应商发出成交通知书。成交通知书发出后，采购人改变成交结果，或者成交供应商放弃成交，应当承担相应的法律责任。</w:t>
      </w:r>
      <w:r>
        <w:rPr>
          <w:color w:val="000000" w:themeColor="text1"/>
        </w:rPr>
      </w:r>
    </w:p>
    <w:p>
      <w:pPr>
        <w:ind w:left="0" w:right="0" w:firstLine="501"/>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2、成交通知书将成为合同的组成部分。</w:t>
      </w:r>
      <w:r>
        <w:rPr>
          <w:color w:val="000000" w:themeColor="text1"/>
        </w:rPr>
      </w:r>
    </w:p>
    <w:p>
      <w:pPr>
        <w:ind w:left="0" w:right="0" w:firstLine="501"/>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3、磋商采购单位对未成交供应商不承担解释未成交原因的义务。</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十六、告知成交结果</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1、发出成交通知书。在发布成交公告的同时，向成交磋商供应商发出成交通知书。</w:t>
      </w:r>
      <w:r>
        <w:rPr>
          <w:color w:val="000000" w:themeColor="text1"/>
        </w:rPr>
      </w:r>
    </w:p>
    <w:p>
      <w:pPr>
        <w:ind w:left="0" w:right="0" w:firstLine="50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参与项目评审的未成交磋商供应商可在成交公告发布之日起2个工作日内向采购代理机构另行提供用以接收《未成交通知书》的电子邮件地址，未按时提供电子邮件地址或提供信息有误的，视为自动放弃并自行承担相应后果。</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十七、合同的签订</w:t>
      </w:r>
      <w:r>
        <w:rPr>
          <w:color w:val="000000" w:themeColor="text1"/>
        </w:rPr>
      </w:r>
    </w:p>
    <w:p>
      <w:pPr>
        <w:ind w:left="0" w:right="0" w:firstLine="50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1、成交单位应按规定的时间和地点，由法定代表人或代理人与甲方代表签订合同。否则按放弃处理。</w:t>
      </w:r>
      <w:r>
        <w:rPr>
          <w:color w:val="000000" w:themeColor="text1"/>
        </w:rPr>
      </w:r>
    </w:p>
    <w:p>
      <w:pPr>
        <w:ind w:left="0" w:right="0" w:firstLine="50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2、签订合同及合同条款应以磋商采购文件和成交单位的响应文件及其澄清文件为依据。</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十八、代理服务费</w:t>
      </w:r>
      <w:r>
        <w:rPr>
          <w:color w:val="000000" w:themeColor="text1"/>
        </w:rPr>
      </w:r>
    </w:p>
    <w:p>
      <w:pPr>
        <w:ind w:left="0" w:right="0" w:firstLine="50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1、成交单位须按前附表的规定计算并支付服务费，该费用应在领取成交通知书时向采购代理机构一次性付清。</w:t>
      </w:r>
      <w:r>
        <w:rPr>
          <w:color w:val="000000" w:themeColor="text1"/>
        </w:rPr>
      </w:r>
    </w:p>
    <w:p>
      <w:pPr>
        <w:ind w:left="0" w:right="0" w:firstLine="50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2、成交单位如果未按规定缴纳服务费，磋商采购单位将保留诉讼的权利。</w:t>
      </w:r>
      <w:r>
        <w:rPr>
          <w:color w:val="000000" w:themeColor="text1"/>
        </w:rPr>
      </w:r>
    </w:p>
    <w:p>
      <w:pPr>
        <w:ind w:left="0" w:right="0" w:firstLine="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十九、采购文件的质疑</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根据《政府采购质疑和投诉办法》财政部第94号令，供应商认为采购文件、采购过程、成交结果使自己的权益受到损害的，可以在知道或者应知其权益受到损害之日起7个工作日内，以书面形式向采购人、采购代理机构提出质疑。</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2、本次采购文件要求供应商在法定质疑期内一次性提出针对同一采购程序环节的质疑。</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3、采购人、采购代理机构收到质疑供应商在法定质疑期内发出的质疑函，应当在收到质疑函后7个工作日内作出答复，并以书面形式通知质疑供应商和其他有关供应商。</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4、供应商提出质疑应当提交质疑函、报名确认单和必要的证明材料。质疑函应当包括下列内容：</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4.1供应商的姓名或者名称、地址、邮编、联系人及联系电话；</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4.2质疑项目的名称、编号；</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4.3具体、明确的质疑事项和与质疑事项相关的请求；</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4.4事实依据；</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4.5必要的法律依据；</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4.6提出质疑的日期。</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5、质疑联系方式详见前附表。</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二十、政府采购政策</w:t>
      </w:r>
      <w:r>
        <w:rPr>
          <w:color w:val="000000" w:themeColor="text1"/>
        </w:rPr>
      </w:r>
    </w:p>
    <w:p>
      <w:pPr>
        <w:ind w:left="0" w:right="0" w:firstLine="482"/>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1、关于节能环保产品政府采购要求：</w:t>
        <w:br/>
      </w:r>
      <w:r>
        <w:rPr>
          <w:rFonts w:ascii="SimSun" w:hAnsi="SimSun" w:eastAsia="SimSun" w:cs="SimSun"/>
          <w:color w:val="000000" w:themeColor="text1"/>
          <w:sz w:val="24"/>
        </w:rPr>
        <w:t xml:space="preserve">   本项目不涉及属于《节能产品政府采购品目清单》中强制采购范围内产品，不涉及属于《节能产品政府采购品目清单》中优先采购范围内的产品及《环境标志产品政府采购品目清单》范围内的产品。</w:t>
      </w:r>
      <w:r>
        <w:rPr>
          <w:color w:val="000000" w:themeColor="text1"/>
        </w:rPr>
      </w:r>
    </w:p>
    <w:p>
      <w:pPr>
        <w:ind w:left="0" w:right="0" w:firstLine="482"/>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2、本项目不接受进口产品。</w:t>
      </w:r>
      <w:r>
        <w:rPr>
          <w:rFonts w:ascii="SimSun" w:hAnsi="SimSun" w:eastAsia="SimSun" w:cs="SimSun"/>
          <w:color w:val="000000" w:themeColor="text1"/>
          <w:sz w:val="24"/>
        </w:rPr>
        <w:t xml:space="preserve">本项目中涉及的标的物执行国办发〔2025〕34号《国务院办公厅关于在政府采购中实施本国产品标准及相关政策的通知》。</w:t>
      </w:r>
      <w:r>
        <w:rPr>
          <w:color w:val="000000" w:themeColor="text1"/>
        </w:rPr>
      </w:r>
    </w:p>
    <w:p>
      <w:pPr>
        <w:ind w:left="0" w:right="0" w:firstLine="482"/>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3、针对中小型企业的评审：</w:t>
      </w:r>
      <w:r>
        <w:rPr>
          <w:color w:val="000000" w:themeColor="text1"/>
        </w:rPr>
      </w:r>
    </w:p>
    <w:p>
      <w:pPr>
        <w:ind w:left="0" w:right="0" w:firstLine="48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（1）本项目为专门面向中小企业采购。</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政府采购促进中小企业发展管理办法》（财库〔2020〕46号）及《关于做好政府采购支持企业发展有关事项的通知》（苏财购〔2020〕52号）的相关规定，对于专门面向中小微企业的项目，如供应商认定本企业提供的工程或服务符合上述文件规定情形，可以享受中小企业扶持政策的，则需根据《中小企业划型标准规定》（工信部联企业〔2011〕300号）提交《中小企业声明函》并加盖公章，</w:t>
      </w:r>
      <w:r>
        <w:rPr>
          <w:rFonts w:ascii="SimSun" w:hAnsi="SimSun" w:eastAsia="SimSun" w:cs="SimSun"/>
          <w:b/>
          <w:color w:val="000000" w:themeColor="text1"/>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在政府采购活动中，供应商提供的工程符合下列情形的，享受《政府采购促进中小企业发展管理办法》规定的中小企业扶持政策：在工程项目中，项目由中小微企业承建。</w:t>
      </w:r>
      <w:r>
        <w:rPr>
          <w:color w:val="000000" w:themeColor="text1"/>
        </w:rPr>
      </w:r>
    </w:p>
    <w:p>
      <w:pPr>
        <w:ind w:left="0" w:right="0" w:firstLine="48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根据《政府采购促进中小企业发展管理办法》（财库〔2020〕46号）及《中小企业划型标准规定》（工信部联企业〔2011〕300号），本采购项目对应的中小企业划分标准所属行业为：建筑业。</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若中小微企业提供的 “中小企业声明函” 或认定证明为虚假声明则视同提供虚假材料，按政府采购相关规定处理并报请政府监管部门给予行政处罚。</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未尽事宜按照《苏州市政府采购促进中小企业发展实施意见》执行。</w:t>
      </w:r>
      <w:r>
        <w:rPr>
          <w:color w:val="000000" w:themeColor="text1"/>
        </w:rPr>
      </w:r>
    </w:p>
    <w:p>
      <w:pPr>
        <w:ind w:left="0" w:right="0" w:firstLine="482"/>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（2）残疾人福利性单位</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rPr>
          <w:color w:val="000000" w:themeColor="text1"/>
        </w:rPr>
      </w:r>
    </w:p>
    <w:p>
      <w:pPr>
        <w:ind w:left="0" w:right="0" w:firstLine="482"/>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（3）监狱企业</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rPr>
          <w:color w:val="000000" w:themeColor="text1"/>
        </w:rPr>
      </w:r>
    </w:p>
    <w:p>
      <w:pPr>
        <w:ind w:left="0" w:right="0" w:firstLine="482"/>
        <w:spacing w:before="240" w:after="36"/>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4、实施本国产品标准及相关政策</w:t>
      </w:r>
      <w:r>
        <w:rPr>
          <w:color w:val="000000" w:themeColor="text1"/>
        </w:rPr>
      </w:r>
    </w:p>
    <w:p>
      <w:pPr>
        <w:ind w:left="0" w:right="0" w:firstLine="0"/>
        <w:spacing w:before="240" w:after="36"/>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本项目为工程类项目，不涉及相关要求。</w:t>
      </w:r>
      <w:r>
        <w:rPr>
          <w:color w:val="000000" w:themeColor="text1"/>
        </w:rPr>
      </w:r>
    </w:p>
    <w:p>
      <w:pPr>
        <w:ind w:left="0" w:right="0" w:firstLine="0"/>
        <w:spacing w:before="240" w:after="36"/>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p>
    <w:p>
      <w:pPr>
        <w:ind w:left="0" w:right="0" w:firstLine="0"/>
        <w:spacing w:before="240" w:after="36"/>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rPr>
      </w:r>
    </w:p>
    <w:p>
      <w:pPr>
        <w:ind w:left="0" w:right="0" w:firstLine="0"/>
        <w:spacing w:before="240" w:after="36"/>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4.3本项目政府采购活动中既有本国产品又有非本国产品参与竞争的，依法对本国产品给予价格评审优惠，对本国产品的报价给予20%的价格扣除，用扣除后的价格参与评审。</w:t>
      </w:r>
      <w:r>
        <w:rPr>
          <w:color w:val="000000" w:themeColor="text1"/>
        </w:rPr>
      </w:r>
    </w:p>
    <w:p>
      <w:pPr>
        <w:ind w:left="0" w:right="0" w:firstLine="0"/>
        <w:spacing w:before="240" w:after="36"/>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rPr>
      </w:r>
    </w:p>
    <w:p>
      <w:pPr>
        <w:ind w:left="0" w:right="0" w:firstLine="0"/>
        <w:spacing w:before="240" w:after="36"/>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4.4供应商需按照招标文件的要求提供《关于符合本国产品标准的声明函》（以下简称《声明函》）或财政部会同有关部门规定的有关证明文件的，如不提供或提供不符要求的将不享受本国产品价格评审优惠。</w:t>
      </w:r>
      <w:r>
        <w:rPr>
          <w:color w:val="000000" w:themeColor="text1"/>
        </w:rPr>
      </w:r>
    </w:p>
    <w:p>
      <w:pPr>
        <w:ind w:left="0" w:right="0" w:firstLine="0"/>
        <w:spacing w:before="240" w:after="36"/>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4.5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rPr>
      </w:r>
    </w:p>
    <w:p>
      <w:pPr>
        <w:ind w:left="0" w:right="0" w:firstLine="0"/>
        <w:spacing w:before="240" w:after="36"/>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4.6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rPr>
      </w:r>
    </w:p>
    <w:p>
      <w:pPr>
        <w:ind w:left="0" w:right="0" w:firstLine="482"/>
        <w:spacing w:before="240" w:after="36"/>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5、信用记录</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5.1查询截止时点：响应文件递交截止时间。</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5.2查询渠道：</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采购代理机构将通过，在中国政府采购网（http://www.ccgp.gov.cn）、信用中国（www.creditchina.gov.cn）的网站输入供应商全称或统一社会信用代码查询信用记录，并将查询结果递交评审小组。</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5.3信用记录使用规则：对投标人进行资格性审查时，应根据查询结果对供应商的不良信用记录逐项甄别确认。按照《中华人民共和国政府采购法》第二十二条规定，下列信用记录属于应依法拒绝投标人参加政府采购的失信信息：</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（一）政府采购严重违法记录，即供应商被全国各级财政部门列入“政府采购严重违法失信行为记录名单”，且在处罚有效期内的。</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（二）财政部门与法院、工商、税务等部门联合惩戒的失信信息，包括：</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（1）被列入失信被执行人名单；</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（2）被列入重大税收违法案件当事人名单；</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投标（响应）文件日未满三年的。</w:t>
      </w:r>
      <w:r>
        <w:rPr>
          <w:color w:val="000000" w:themeColor="text1"/>
        </w:rPr>
      </w:r>
    </w:p>
    <w:p>
      <w:pPr>
        <w:ind w:left="0" w:right="0" w:firstLine="241"/>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6、未尽事宜</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按《中华人民共和国政府采购法》、《中华人民共和国政府采购法实施条例》及其他有关的法律法规的规定执行。</w:t>
      </w:r>
      <w:r>
        <w:rPr>
          <w:color w:val="000000" w:themeColor="text1"/>
        </w:rPr>
      </w:r>
    </w:p>
    <w:p>
      <w:pPr>
        <w:pStyle w:val="795"/>
        <w:numPr>
          <w:ilvl w:val="0"/>
          <w:numId w:val="26"/>
        </w:numPr>
        <w:jc w:val="center"/>
        <w:spacing w:before="340" w:after="330" w:line="1056"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pStyle w:val="795"/>
        <w:numPr>
          <w:ilvl w:val="0"/>
          <w:numId w:val="26"/>
        </w:numPr>
        <w:jc w:val="center"/>
        <w:spacing w:before="340" w:after="330" w:line="1056"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Hei" w:hAnsi="SimHei" w:eastAsia="SimHei" w:cs="SimHei"/>
          <w:b/>
          <w:color w:val="000000" w:themeColor="text1"/>
          <w:sz w:val="32"/>
        </w:rPr>
        <w:t xml:space="preserve">技术管理要求</w:t>
      </w:r>
      <w:r>
        <w:rPr>
          <w:color w:val="000000" w:themeColor="text1"/>
        </w:rPr>
      </w:r>
    </w:p>
    <w:p>
      <w:pPr>
        <w:ind w:left="0" w:right="0" w:firstLine="482"/>
        <w:jc w:val="both"/>
        <w:spacing w:before="120" w:after="12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一、工程范围与内容</w:t>
      </w:r>
      <w:r>
        <w:rPr>
          <w:color w:val="000000" w:themeColor="text1"/>
        </w:rPr>
      </w:r>
    </w:p>
    <w:p>
      <w:pPr>
        <w:ind w:left="0" w:right="0" w:firstLine="482"/>
        <w:jc w:val="both"/>
        <w:spacing w:before="120" w:after="12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1、工程概况：</w:t>
      </w:r>
      <w:r>
        <w:rPr>
          <w:color w:val="000000" w:themeColor="text1"/>
        </w:rPr>
      </w:r>
    </w:p>
    <w:p>
      <w:pPr>
        <w:ind w:left="0" w:right="0" w:firstLine="60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2026年交通安全设施维护和保养及隐患整改：施工范围主要为望亭镇市政道路交安设施养护维修，主要包括信号灯、标志标牌、隔离护栏、标线及其他交安设施的日常养护及故障维修等。</w:t>
      </w:r>
      <w:r>
        <w:rPr>
          <w:color w:val="000000" w:themeColor="text1"/>
        </w:rPr>
      </w:r>
    </w:p>
    <w:p>
      <w:pPr>
        <w:ind w:left="0" w:right="0" w:firstLine="482"/>
        <w:jc w:val="both"/>
        <w:spacing w:before="120" w:after="12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2、工程招标范围、内容：</w:t>
      </w:r>
      <w:r>
        <w:rPr>
          <w:color w:val="000000" w:themeColor="text1"/>
        </w:rPr>
      </w:r>
    </w:p>
    <w:p>
      <w:pPr>
        <w:ind w:left="0" w:right="0" w:firstLine="60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施工范围内的信号灯、标志标牌、隔离护栏、标线及其他交安设施的日常养护及故障维修等内容，具体详见工程量清单。</w:t>
      </w:r>
      <w:r>
        <w:rPr>
          <w:color w:val="000000" w:themeColor="text1"/>
        </w:rPr>
      </w:r>
    </w:p>
    <w:p>
      <w:pPr>
        <w:numPr>
          <w:ilvl w:val="0"/>
          <w:numId w:val="27"/>
        </w:numPr>
        <w:jc w:val="both"/>
        <w:spacing w:before="120" w:after="12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技术管理要求</w:t>
      </w:r>
      <w:r>
        <w:rPr>
          <w:color w:val="000000" w:themeColor="text1"/>
        </w:rPr>
      </w:r>
    </w:p>
    <w:p>
      <w:pPr>
        <w:ind w:left="0" w:right="0" w:firstLine="480"/>
        <w:jc w:val="both"/>
        <w:spacing w:before="120" w:after="12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承包人应把履行本技术管理要求的所有涉及费用综合考虑计入投标总价中包干。</w:t>
      </w:r>
      <w:r>
        <w:rPr>
          <w:color w:val="000000" w:themeColor="text1"/>
        </w:rPr>
      </w:r>
    </w:p>
    <w:p>
      <w:pPr>
        <w:ind w:left="0" w:right="0" w:firstLine="482"/>
        <w:jc w:val="both"/>
        <w:spacing w:before="120" w:after="120" w:line="85" w:lineRule="atLeast"/>
        <w:shd w:val="clear" w:color="ffffff" w:themeColor="background1" w:fill="ffffff" w:themeFill="background1"/>
        <w:tabs>
          <w:tab w:val="left" w:pos="98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三、发包人提供工程量</w:t>
      </w:r>
      <w:r>
        <w:rPr>
          <w:color w:val="000000" w:themeColor="text1"/>
        </w:rPr>
      </w:r>
    </w:p>
    <w:p>
      <w:pPr>
        <w:ind w:left="0" w:right="39"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本工程业主提供的工程量，承包商须自行根据工程现场情况进行核准。</w:t>
      </w:r>
      <w:r>
        <w:rPr>
          <w:color w:val="000000" w:themeColor="text1"/>
        </w:rPr>
      </w:r>
    </w:p>
    <w:p>
      <w:pPr>
        <w:ind w:left="0" w:right="0" w:firstLine="482"/>
        <w:jc w:val="both"/>
        <w:spacing w:before="120" w:after="120" w:line="85" w:lineRule="atLeast"/>
        <w:shd w:val="clear" w:color="ffffff" w:themeColor="background1" w:fill="ffffff" w:themeFill="background1"/>
        <w:tabs>
          <w:tab w:val="left" w:pos="98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五、竣工验收</w:t>
      </w:r>
      <w:r>
        <w:rPr>
          <w:color w:val="000000" w:themeColor="text1"/>
        </w:rPr>
      </w:r>
    </w:p>
    <w:p>
      <w:pPr>
        <w:ind w:left="0" w:right="0" w:firstLine="480"/>
        <w:jc w:val="both"/>
        <w:spacing w:before="120" w:after="120" w:line="85" w:lineRule="atLeast"/>
        <w:shd w:val="clear" w:color="ffffff" w:themeColor="background1" w:fill="ffffff" w:themeFill="background1"/>
        <w:tabs>
          <w:tab w:val="left" w:pos="98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工程验收须经承包商自检、监理预验收，合格后报联合验收小组进行初验。联合验收小组由发包人、接收单位、代建单位、监理和设计单位共同组成。承包人需配合完成电力相关部门的验收，涉及费用综合计入投标总价包干。</w:t>
      </w:r>
      <w:r>
        <w:rPr>
          <w:color w:val="000000" w:themeColor="text1"/>
        </w:rPr>
      </w:r>
    </w:p>
    <w:p>
      <w:pPr>
        <w:ind w:left="0" w:right="0" w:firstLine="480"/>
        <w:jc w:val="both"/>
        <w:spacing w:before="120" w:after="120" w:line="85" w:lineRule="atLeast"/>
        <w:shd w:val="clear" w:color="ffffff" w:themeColor="background1" w:fill="ffffff" w:themeFill="background1"/>
        <w:tabs>
          <w:tab w:val="left" w:pos="98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工程必须完成所有方案变更申报手续后，方可申请工程验收；工程验收后对验收前发生的增加变更费用原则上不予受理。 </w:t>
      </w:r>
      <w:r>
        <w:rPr>
          <w:color w:val="000000" w:themeColor="text1"/>
        </w:rPr>
      </w:r>
    </w:p>
    <w:p>
      <w:pPr>
        <w:ind w:left="0" w:right="0" w:firstLine="0"/>
        <w:jc w:val="both"/>
        <w:spacing w:before="240" w:after="240" w:line="520"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 </w:t>
      </w:r>
      <w:r>
        <w:rPr>
          <w:color w:val="000000" w:themeColor="text1"/>
        </w:rPr>
      </w:r>
    </w:p>
    <w:p>
      <w:pPr>
        <w:ind w:left="0" w:right="0" w:firstLine="0"/>
        <w:spacing w:before="240" w:after="24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p>
    <w:p>
      <w:pPr>
        <w:ind w:left="0" w:right="0" w:firstLine="0"/>
        <w:jc w:val="both"/>
        <w:spacing w:before="240" w:after="240" w:line="520"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 </w:t>
      </w:r>
      <w:r>
        <w:rPr>
          <w:color w:val="000000" w:themeColor="text1"/>
        </w:rPr>
      </w:r>
    </w:p>
    <w:p>
      <w:pPr>
        <w:ind w:left="0" w:right="0" w:firstLine="0"/>
        <w:jc w:val="both"/>
        <w:spacing w:before="240" w:after="240" w:line="520"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 </w:t>
      </w:r>
      <w:r>
        <w:rPr>
          <w:color w:val="000000" w:themeColor="text1"/>
        </w:rPr>
      </w:r>
    </w:p>
    <w:p>
      <w:pPr>
        <w:ind w:left="0" w:right="0" w:firstLine="0"/>
        <w:jc w:val="both"/>
        <w:spacing w:before="240" w:after="240" w:line="520"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 </w:t>
      </w:r>
      <w:r>
        <w:rPr>
          <w:color w:val="000000" w:themeColor="text1"/>
        </w:rPr>
      </w:r>
    </w:p>
    <w:p>
      <w:pPr>
        <w:pStyle w:val="795"/>
        <w:ind w:left="0" w:right="0" w:firstLine="0"/>
        <w:jc w:val="center"/>
        <w:spacing w:before="12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Hei" w:hAnsi="SimHei" w:eastAsia="SimHei" w:cs="SimHei"/>
          <w:b/>
          <w:color w:val="000000" w:themeColor="text1"/>
          <w:sz w:val="32"/>
          <w:u w:val="none"/>
        </w:rPr>
        <w:t xml:space="preserve">第五章合同主要条款</w:t>
      </w:r>
      <w:r>
        <w:rPr>
          <w:color w:val="000000" w:themeColor="text1"/>
        </w:rPr>
      </w:r>
    </w:p>
    <w:p>
      <w:pPr>
        <w:ind w:left="0" w:right="0" w:firstLine="3614"/>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工程施工合同</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合同编号： </w:t>
      </w:r>
      <w:r>
        <w:rPr>
          <w:color w:val="000000" w:themeColor="text1"/>
        </w:rPr>
      </w:r>
    </w:p>
    <w:p>
      <w:pPr>
        <w:ind w:left="0" w:right="0" w:firstLine="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甲方：（以下简称甲方</w:t>
      </w:r>
      <w:r>
        <w:rPr>
          <w:rFonts w:ascii="SimSun" w:hAnsi="SimSun" w:eastAsia="SimSun" w:cs="SimSun"/>
          <w:color w:val="000000" w:themeColor="text1"/>
          <w:sz w:val="24"/>
          <w:u w:val="single"/>
        </w:rPr>
        <w:t xml:space="preserve">或“发包人”</w:t>
      </w:r>
      <w:r>
        <w:rPr>
          <w:rFonts w:ascii="SimSun" w:hAnsi="SimSun" w:eastAsia="SimSun" w:cs="SimSun"/>
          <w:color w:val="000000" w:themeColor="text1"/>
          <w:sz w:val="24"/>
        </w:rPr>
        <w:t xml:space="preserve">）</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联系人：</w:t>
      </w:r>
      <w:r>
        <w:rPr>
          <w:color w:val="000000" w:themeColor="text1"/>
        </w:rPr>
      </w:r>
    </w:p>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联系电话： </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乙方：（以下简称乙方</w:t>
      </w:r>
      <w:r>
        <w:rPr>
          <w:rFonts w:ascii="SimSun" w:hAnsi="SimSun" w:eastAsia="SimSun" w:cs="SimSun"/>
          <w:color w:val="000000" w:themeColor="text1"/>
          <w:sz w:val="24"/>
          <w:u w:val="single"/>
        </w:rPr>
        <w:t xml:space="preserve">或“承包人”</w:t>
      </w:r>
      <w:r>
        <w:rPr>
          <w:rFonts w:ascii="SimSun" w:hAnsi="SimSun" w:eastAsia="SimSun" w:cs="SimSun"/>
          <w:color w:val="000000" w:themeColor="text1"/>
          <w:sz w:val="24"/>
        </w:rPr>
        <w:t xml:space="preserve">） </w:t>
      </w:r>
      <w:r>
        <w:rPr>
          <w:color w:val="000000" w:themeColor="text1"/>
        </w:rPr>
      </w:r>
    </w:p>
    <w:p>
      <w:pPr>
        <w:ind w:left="0" w:right="0" w:firstLine="0"/>
        <w:jc w:val="both"/>
        <w:spacing w:before="0" w:after="0" w:line="85" w:lineRule="atLeast"/>
        <w:shd w:val="clear" w:color="ffffff" w:themeColor="background1" w:fill="ffffff" w:themeFill="background1"/>
        <w:tabs>
          <w:tab w:val="left" w:pos="153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联系人：</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联系电话： </w:t>
      </w:r>
      <w:r>
        <w:rPr>
          <w:color w:val="000000" w:themeColor="text1"/>
        </w:rPr>
      </w:r>
    </w:p>
    <w:p>
      <w:pPr>
        <w:ind w:left="0" w:right="0" w:firstLine="420"/>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center"/>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第一部分合同协议书</w:t>
      </w:r>
      <w:r>
        <w:rPr>
          <w:color w:val="000000" w:themeColor="text1"/>
        </w:rPr>
      </w:r>
    </w:p>
    <w:p>
      <w:pPr>
        <w:ind w:left="0" w:right="0" w:firstLine="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发包人（全称）：</w:t>
      </w:r>
      <w:r>
        <w:rPr>
          <w:color w:val="000000" w:themeColor="text1"/>
        </w:rPr>
      </w:r>
    </w:p>
    <w:p>
      <w:pPr>
        <w:ind w:left="0" w:right="0" w:firstLine="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承包人（全称）：</w:t>
      </w:r>
      <w:r>
        <w:rPr>
          <w:color w:val="000000" w:themeColor="text1"/>
        </w:rPr>
      </w:r>
    </w:p>
    <w:p>
      <w:pPr>
        <w:ind w:left="0" w:right="0" w:firstLine="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根据《中华人民共和国民法典》、《中华人民共和国建筑法》及有关法律规定，遵循平等、自愿、公平和诚实信用的原则，双方就</w:t>
      </w:r>
      <w:r>
        <w:rPr>
          <w:rFonts w:ascii="SimSun" w:hAnsi="SimSun" w:eastAsia="SimSun" w:cs="SimSun"/>
          <w:color w:val="000000" w:themeColor="text1"/>
          <w:sz w:val="24"/>
          <w:u w:val="single"/>
        </w:rPr>
        <w:t xml:space="preserve"> 2026年交通安全设施维护和保养及隐患整改工程 </w:t>
      </w:r>
      <w:r>
        <w:rPr>
          <w:rFonts w:ascii="SimSun" w:hAnsi="SimSun" w:eastAsia="SimSun" w:cs="SimSun"/>
          <w:color w:val="000000" w:themeColor="text1"/>
          <w:sz w:val="24"/>
        </w:rPr>
        <w:t xml:space="preserve">施工及有关事项协商一致，共同达成如下协议：</w:t>
      </w:r>
      <w:r>
        <w:rPr>
          <w:color w:val="000000" w:themeColor="text1"/>
        </w:rPr>
      </w:r>
    </w:p>
    <w:p>
      <w:pPr>
        <w:ind w:left="0" w:right="0" w:firstLine="465"/>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依照《中华人民共和国招标投标法》、《中华人民共和国民法典》、《中华人民共和国建筑法》、及其他有关法律、行政法规，遵循平等、自愿、公平和诚实信用的原则，双方就</w:t>
      </w:r>
      <w:r>
        <w:rPr>
          <w:rFonts w:ascii="SimSun" w:hAnsi="SimSun" w:eastAsia="SimSun" w:cs="SimSun"/>
          <w:color w:val="000000" w:themeColor="text1"/>
          <w:sz w:val="24"/>
          <w:u w:val="single"/>
        </w:rPr>
        <w:t xml:space="preserve">本</w:t>
      </w:r>
      <w:r>
        <w:rPr>
          <w:rFonts w:ascii="SimSun" w:hAnsi="SimSun" w:eastAsia="SimSun" w:cs="SimSun"/>
          <w:color w:val="000000" w:themeColor="text1"/>
          <w:sz w:val="24"/>
        </w:rPr>
        <w:t xml:space="preserve">工程施工及有关事项协商一致，共同达成如下协议。</w:t>
      </w:r>
      <w:r>
        <w:rPr>
          <w:color w:val="000000" w:themeColor="text1"/>
        </w:rPr>
      </w:r>
    </w:p>
    <w:p>
      <w:pPr>
        <w:ind w:left="0" w:right="0" w:firstLine="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一、工程概况</w:t>
      </w:r>
      <w:r>
        <w:rPr>
          <w:color w:val="000000" w:themeColor="text1"/>
        </w:rPr>
      </w:r>
    </w:p>
    <w:p>
      <w:pPr>
        <w:ind w:left="0" w:right="0" w:firstLine="42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工程名称：</w:t>
      </w:r>
      <w:r>
        <w:rPr>
          <w:rFonts w:ascii="SimSun" w:hAnsi="SimSun" w:eastAsia="SimSun" w:cs="SimSun"/>
          <w:color w:val="000000" w:themeColor="text1"/>
          <w:sz w:val="24"/>
          <w:u w:val="single"/>
        </w:rPr>
        <w:t xml:space="preserve">2026年交通安全设施维护和保养及隐患整改工程</w:t>
      </w:r>
      <w:r>
        <w:rPr>
          <w:color w:val="000000" w:themeColor="text1"/>
        </w:rPr>
      </w:r>
    </w:p>
    <w:p>
      <w:pPr>
        <w:ind w:left="0" w:right="0" w:firstLine="42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工程地点：</w:t>
      </w:r>
      <w:r>
        <w:rPr>
          <w:rFonts w:ascii="SimSun" w:hAnsi="SimSun" w:eastAsia="SimSun" w:cs="SimSun"/>
          <w:color w:val="000000" w:themeColor="text1"/>
          <w:sz w:val="24"/>
          <w:u w:val="single"/>
        </w:rPr>
        <w:t xml:space="preserve"> 苏州市相城区望亭镇 </w:t>
      </w:r>
      <w:r>
        <w:rPr>
          <w:color w:val="000000" w:themeColor="text1"/>
        </w:rPr>
      </w:r>
    </w:p>
    <w:p>
      <w:pPr>
        <w:ind w:left="1840" w:right="0" w:hanging="132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工程内容：</w:t>
      </w:r>
      <w:r>
        <w:rPr>
          <w:rFonts w:ascii="SimSun" w:hAnsi="SimSun" w:eastAsia="SimSun" w:cs="SimSun"/>
          <w:color w:val="000000" w:themeColor="text1"/>
          <w:sz w:val="24"/>
          <w:u w:val="single"/>
        </w:rPr>
        <w:t xml:space="preserve">2026年交通安全设施维护和保养及隐患整改工程</w:t>
      </w:r>
      <w:r>
        <w:rPr>
          <w:rFonts w:ascii="SimSun" w:hAnsi="SimSun" w:eastAsia="SimSun" w:cs="SimSun"/>
          <w:b/>
          <w:color w:val="000000" w:themeColor="text1"/>
          <w:sz w:val="24"/>
        </w:rPr>
        <w:t xml:space="preserve">，详见工程量清单</w:t>
      </w:r>
      <w:r>
        <w:rPr>
          <w:color w:val="000000" w:themeColor="text1"/>
        </w:rPr>
      </w:r>
    </w:p>
    <w:p>
      <w:pPr>
        <w:ind w:left="0" w:right="0" w:firstLine="42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群体工程应附“承包人承揽工程项目一览表”</w:t>
      </w:r>
      <w:r>
        <w:rPr>
          <w:color w:val="000000" w:themeColor="text1"/>
        </w:rPr>
      </w:r>
    </w:p>
    <w:p>
      <w:pPr>
        <w:ind w:left="0" w:right="0" w:firstLine="42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工程立项批准文号：/</w:t>
      </w:r>
      <w:r>
        <w:rPr>
          <w:color w:val="000000" w:themeColor="text1"/>
        </w:rPr>
      </w:r>
    </w:p>
    <w:p>
      <w:pPr>
        <w:ind w:left="0" w:right="0" w:firstLine="42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资金来源：</w:t>
      </w:r>
      <w:r>
        <w:rPr>
          <w:rFonts w:ascii="SimSun" w:hAnsi="SimSun" w:eastAsia="SimSun" w:cs="SimSun"/>
          <w:b/>
          <w:color w:val="000000" w:themeColor="text1"/>
          <w:sz w:val="24"/>
        </w:rPr>
        <w:t xml:space="preserve">财政资金</w:t>
      </w:r>
      <w:r>
        <w:rPr>
          <w:color w:val="000000" w:themeColor="text1"/>
        </w:rPr>
      </w:r>
    </w:p>
    <w:p>
      <w:pPr>
        <w:ind w:left="0" w:right="0" w:firstLine="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二、工程承包范围</w:t>
      </w:r>
      <w:r>
        <w:rPr>
          <w:color w:val="000000" w:themeColor="text1"/>
        </w:rPr>
      </w:r>
    </w:p>
    <w:p>
      <w:pPr>
        <w:ind w:left="1967" w:right="0" w:hanging="120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承包范围：</w:t>
      </w:r>
      <w:r>
        <w:rPr>
          <w:rFonts w:ascii="SimSun" w:hAnsi="SimSun" w:eastAsia="SimSun" w:cs="SimSun"/>
          <w:color w:val="000000" w:themeColor="text1"/>
          <w:sz w:val="24"/>
          <w:u w:val="single"/>
        </w:rPr>
        <w:t xml:space="preserve">2026年交通安全设施维护和保养及隐患整改工程</w:t>
      </w:r>
      <w:r>
        <w:rPr>
          <w:rFonts w:ascii="SimSun" w:hAnsi="SimSun" w:eastAsia="SimSun" w:cs="SimSun"/>
          <w:b/>
          <w:color w:val="000000" w:themeColor="text1"/>
          <w:sz w:val="24"/>
        </w:rPr>
        <w:t xml:space="preserve">，详见工程量清单</w:t>
      </w:r>
      <w:r>
        <w:rPr>
          <w:color w:val="000000" w:themeColor="text1"/>
        </w:rPr>
      </w:r>
    </w:p>
    <w:p>
      <w:pPr>
        <w:ind w:left="0" w:right="0" w:firstLine="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三、合同工期</w:t>
      </w:r>
      <w:r>
        <w:rPr>
          <w:color w:val="000000" w:themeColor="text1"/>
        </w:rPr>
      </w:r>
    </w:p>
    <w:p>
      <w:pPr>
        <w:ind w:left="0" w:right="0" w:firstLine="42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计划开工日期：</w:t>
      </w:r>
      <w:r>
        <w:rPr>
          <w:rFonts w:ascii="SimSun" w:hAnsi="SimSun" w:eastAsia="SimSun" w:cs="SimSun"/>
          <w:b/>
          <w:color w:val="000000" w:themeColor="text1"/>
          <w:sz w:val="24"/>
        </w:rPr>
        <w:t xml:space="preserve">2026年    月   日</w:t>
      </w:r>
      <w:r>
        <w:rPr>
          <w:rFonts w:ascii="SimSun" w:hAnsi="SimSun" w:eastAsia="SimSun" w:cs="SimSun"/>
          <w:color w:val="000000" w:themeColor="text1"/>
          <w:sz w:val="24"/>
        </w:rPr>
        <w:t xml:space="preserve">（具体开工时间以采购人通知为准）</w:t>
      </w:r>
      <w:r>
        <w:rPr>
          <w:color w:val="000000" w:themeColor="text1"/>
        </w:rPr>
      </w:r>
    </w:p>
    <w:p>
      <w:pPr>
        <w:ind w:left="0" w:right="0" w:firstLine="42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计划竣工日期</w:t>
      </w:r>
      <w:r>
        <w:rPr>
          <w:rFonts w:ascii="SimSun" w:hAnsi="SimSun" w:eastAsia="SimSun" w:cs="SimSun"/>
          <w:color w:val="000000" w:themeColor="text1"/>
          <w:sz w:val="24"/>
          <w:u w:val="none"/>
        </w:rPr>
        <w:t xml:space="preserve">：</w:t>
      </w:r>
      <w:r>
        <w:rPr>
          <w:rFonts w:ascii="SimSun" w:hAnsi="SimSun" w:eastAsia="SimSun" w:cs="SimSun"/>
          <w:b/>
          <w:color w:val="000000" w:themeColor="text1"/>
          <w:sz w:val="24"/>
        </w:rPr>
        <w:t xml:space="preserve">2027年月日</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工期:</w:t>
      </w:r>
      <w:r>
        <w:rPr>
          <w:rFonts w:ascii="SimSun" w:hAnsi="SimSun" w:eastAsia="SimSun" w:cs="SimSun"/>
          <w:b/>
          <w:color w:val="000000" w:themeColor="text1"/>
          <w:sz w:val="24"/>
        </w:rPr>
        <w:t xml:space="preserve"> </w:t>
      </w:r>
      <w:r>
        <w:rPr>
          <w:rFonts w:ascii="SimSun" w:hAnsi="SimSun" w:eastAsia="SimSun" w:cs="SimSun"/>
          <w:color w:val="000000" w:themeColor="text1"/>
          <w:sz w:val="24"/>
        </w:rPr>
        <w:t xml:space="preserve">12个月</w:t>
      </w:r>
      <w:r>
        <w:rPr>
          <w:rFonts w:ascii="SimSun" w:hAnsi="SimSun" w:eastAsia="SimSun" w:cs="SimSun"/>
          <w:b/>
          <w:color w:val="000000" w:themeColor="text1"/>
          <w:sz w:val="24"/>
        </w:rPr>
        <w:t xml:space="preserve">。</w:t>
      </w:r>
      <w:r>
        <w:rPr>
          <w:rFonts w:ascii="SimSun" w:hAnsi="SimSun" w:eastAsia="SimSun" w:cs="SimSun"/>
          <w:color w:val="000000" w:themeColor="text1"/>
          <w:sz w:val="24"/>
        </w:rPr>
        <w:t xml:space="preserve">服务期自发包人发出的开工通知中载明的开工日期起算。</w:t>
      </w:r>
      <w:r>
        <w:rPr>
          <w:color w:val="000000" w:themeColor="text1"/>
        </w:rPr>
      </w:r>
    </w:p>
    <w:p>
      <w:pPr>
        <w:ind w:left="0" w:right="0" w:firstLine="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四、质量标准</w:t>
      </w:r>
      <w:r>
        <w:rPr>
          <w:color w:val="000000" w:themeColor="text1"/>
        </w:rPr>
      </w:r>
    </w:p>
    <w:p>
      <w:pPr>
        <w:ind w:left="0" w:right="0" w:firstLine="42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工程质量标准：</w:t>
      </w:r>
      <w:r>
        <w:rPr>
          <w:rFonts w:ascii="SimSun" w:hAnsi="SimSun" w:eastAsia="SimSun" w:cs="SimSun"/>
          <w:b/>
          <w:color w:val="000000" w:themeColor="text1"/>
          <w:sz w:val="24"/>
          <w:u w:val="single"/>
        </w:rPr>
        <w:t xml:space="preserve">合格</w:t>
      </w:r>
      <w:r>
        <w:rPr>
          <w:color w:val="000000" w:themeColor="text1"/>
        </w:rPr>
      </w:r>
    </w:p>
    <w:p>
      <w:pPr>
        <w:ind w:left="0" w:right="0" w:firstLine="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五、合同形式</w:t>
      </w:r>
      <w:r>
        <w:rPr>
          <w:color w:val="000000" w:themeColor="text1"/>
        </w:rPr>
      </w:r>
    </w:p>
    <w:p>
      <w:pPr>
        <w:ind w:left="0" w:right="0" w:firstLine="48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本合同采用合同形式：固定单价合同。乙方应充分考虑施工期间各类建材的市场风险和国家政策性调整风险系数。在合同约定的风险范围内，综合单价不再调整</w:t>
      </w:r>
      <w:r>
        <w:rPr>
          <w:rFonts w:ascii="SimSun" w:hAnsi="SimSun" w:eastAsia="SimSun" w:cs="SimSun"/>
          <w:color w:val="000000" w:themeColor="text1"/>
          <w:sz w:val="24"/>
          <w:u w:val="single"/>
        </w:rPr>
        <w:t xml:space="preserve">，该价格包含乙方履行本合同所需的一切费用</w:t>
      </w:r>
      <w:r>
        <w:rPr>
          <w:rFonts w:ascii="SimSun" w:hAnsi="SimSun" w:eastAsia="SimSun" w:cs="SimSun"/>
          <w:color w:val="000000" w:themeColor="text1"/>
          <w:sz w:val="24"/>
        </w:rPr>
        <w:t xml:space="preserve">。结算方式在合同专用条款中约定。</w:t>
      </w:r>
      <w:r>
        <w:rPr>
          <w:color w:val="000000" w:themeColor="text1"/>
        </w:rPr>
      </w:r>
    </w:p>
    <w:p>
      <w:pPr>
        <w:ind w:left="0" w:right="0" w:firstLine="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六、签约合同价</w:t>
      </w:r>
      <w:r>
        <w:rPr>
          <w:color w:val="000000" w:themeColor="text1"/>
        </w:rPr>
      </w:r>
    </w:p>
    <w:p>
      <w:pPr>
        <w:ind w:left="0" w:right="0" w:firstLine="42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金额(大写）：</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（人民币） </w:t>
      </w:r>
      <w:r>
        <w:rPr>
          <w:color w:val="000000" w:themeColor="text1"/>
        </w:rPr>
      </w:r>
    </w:p>
    <w:p>
      <w:pPr>
        <w:ind w:left="0" w:right="0" w:firstLine="42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(小写)￥：</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 </w:t>
      </w:r>
      <w:r>
        <w:rPr>
          <w:color w:val="000000" w:themeColor="text1"/>
        </w:rPr>
      </w:r>
    </w:p>
    <w:p>
      <w:pPr>
        <w:ind w:left="0" w:right="0" w:firstLine="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七、承包人现场负责人：姓名：</w:t>
      </w:r>
      <w:r>
        <w:rPr>
          <w:rFonts w:ascii="SimSun" w:hAnsi="SimSun" w:eastAsia="SimSun" w:cs="SimSun"/>
          <w:color w:val="000000" w:themeColor="text1"/>
          <w:sz w:val="24"/>
          <w:u w:val="single"/>
        </w:rPr>
        <w:t xml:space="preserve">               </w:t>
      </w:r>
      <w:r>
        <w:rPr>
          <w:color w:val="000000" w:themeColor="text1"/>
        </w:rPr>
      </w:r>
    </w:p>
    <w:p>
      <w:pPr>
        <w:ind w:left="0" w:right="0" w:firstLine="42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下列文件共同构成合同文件：</w:t>
      </w:r>
      <w:r>
        <w:rPr>
          <w:color w:val="000000" w:themeColor="text1"/>
        </w:rPr>
      </w:r>
    </w:p>
    <w:p>
      <w:pPr>
        <w:ind w:left="0" w:right="0" w:firstLine="42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1、本协议书；</w:t>
      </w:r>
      <w:r>
        <w:rPr>
          <w:color w:val="000000" w:themeColor="text1"/>
        </w:rPr>
      </w:r>
    </w:p>
    <w:p>
      <w:pPr>
        <w:ind w:left="0" w:right="0" w:firstLine="42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2、成交通知书；</w:t>
      </w:r>
      <w:r>
        <w:rPr>
          <w:color w:val="000000" w:themeColor="text1"/>
        </w:rPr>
      </w:r>
    </w:p>
    <w:p>
      <w:pPr>
        <w:ind w:left="0" w:right="0" w:firstLine="42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3、响应函；</w:t>
      </w:r>
      <w:r>
        <w:rPr>
          <w:color w:val="000000" w:themeColor="text1"/>
        </w:rPr>
      </w:r>
    </w:p>
    <w:p>
      <w:pPr>
        <w:ind w:left="0" w:right="0" w:firstLine="42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4、专用合同条款；</w:t>
      </w:r>
      <w:r>
        <w:rPr>
          <w:color w:val="000000" w:themeColor="text1"/>
        </w:rPr>
      </w:r>
    </w:p>
    <w:p>
      <w:pPr>
        <w:ind w:left="0" w:right="0" w:firstLine="42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5、通用合同条款；</w:t>
      </w:r>
      <w:r>
        <w:rPr>
          <w:color w:val="000000" w:themeColor="text1"/>
        </w:rPr>
      </w:r>
    </w:p>
    <w:p>
      <w:pPr>
        <w:ind w:left="0" w:right="0" w:firstLine="42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6、技术标准和要求；</w:t>
      </w:r>
      <w:r>
        <w:rPr>
          <w:color w:val="000000" w:themeColor="text1"/>
        </w:rPr>
      </w:r>
    </w:p>
    <w:p>
      <w:pPr>
        <w:ind w:left="0" w:right="0" w:firstLine="42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7、已标价工程量清单；</w:t>
      </w:r>
      <w:r>
        <w:rPr>
          <w:color w:val="000000" w:themeColor="text1"/>
        </w:rPr>
      </w:r>
    </w:p>
    <w:p>
      <w:pPr>
        <w:ind w:left="0" w:right="0" w:firstLine="42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8、其他合同文件。</w:t>
      </w:r>
      <w:r>
        <w:rPr>
          <w:color w:val="000000" w:themeColor="text1"/>
        </w:rPr>
      </w:r>
    </w:p>
    <w:p>
      <w:pPr>
        <w:ind w:left="0" w:right="0" w:firstLine="42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上述文件互相补充和解释，如有不明确或不一致之处，以合同约定次序在先者为准。</w:t>
      </w:r>
      <w:r>
        <w:rPr>
          <w:color w:val="000000" w:themeColor="text1"/>
        </w:rPr>
      </w:r>
    </w:p>
    <w:p>
      <w:pPr>
        <w:ind w:left="0" w:right="0" w:firstLine="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八、本协议书中有关词语定义与合同条款中的定义相同。</w:t>
      </w:r>
      <w:r>
        <w:rPr>
          <w:color w:val="000000" w:themeColor="text1"/>
        </w:rPr>
      </w:r>
    </w:p>
    <w:p>
      <w:pPr>
        <w:ind w:left="0" w:right="0" w:firstLine="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九、承包人承诺按照合同约定进行施工、竣工、交付并在缺陷责任期内对工程缺陷承担维修责任。</w:t>
      </w:r>
      <w:r>
        <w:rPr>
          <w:color w:val="000000" w:themeColor="text1"/>
        </w:rPr>
      </w:r>
    </w:p>
    <w:p>
      <w:pPr>
        <w:ind w:left="0" w:right="0" w:firstLine="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十、发包人承诺按照合同约定的条件、期限和方式向承包人支付合同价款。</w:t>
      </w:r>
      <w:r>
        <w:rPr>
          <w:color w:val="000000" w:themeColor="text1"/>
        </w:rPr>
      </w:r>
    </w:p>
    <w:p>
      <w:pPr>
        <w:ind w:left="0" w:right="0" w:firstLine="0"/>
        <w:jc w:val="both"/>
        <w:spacing w:before="0" w:after="0" w:line="71" w:lineRule="atLeast"/>
        <w:shd w:val="clear" w:color="ffffff" w:themeColor="background1" w:fill="ffffff" w:themeFill="background1"/>
        <w:tabs>
          <w:tab w:val="left" w:pos="440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十一、本工程禁止转包</w:t>
      </w:r>
      <w:r>
        <w:rPr>
          <w:rFonts w:ascii="SimSun" w:hAnsi="SimSun" w:eastAsia="SimSun" w:cs="SimSun"/>
          <w:color w:val="000000" w:themeColor="text1"/>
          <w:sz w:val="24"/>
          <w:u w:val="single"/>
        </w:rPr>
        <w:t xml:space="preserve">、分包</w:t>
      </w:r>
      <w:r>
        <w:rPr>
          <w:rFonts w:ascii="SimSun" w:hAnsi="SimSun" w:eastAsia="SimSun" w:cs="SimSun"/>
          <w:color w:val="000000" w:themeColor="text1"/>
          <w:sz w:val="24"/>
        </w:rPr>
        <w:t xml:space="preserve">，如果发现，建设单位将终止、解除施工合同。</w:t>
      </w:r>
      <w:r>
        <w:rPr>
          <w:color w:val="000000" w:themeColor="text1"/>
        </w:rPr>
      </w:r>
    </w:p>
    <w:p>
      <w:pPr>
        <w:ind w:left="0" w:right="0" w:firstLine="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十二、本协议书连同其他合同文件一式</w:t>
      </w:r>
      <w:r>
        <w:rPr>
          <w:rFonts w:ascii="SimSun" w:hAnsi="SimSun" w:eastAsia="SimSun" w:cs="SimSun"/>
          <w:b/>
          <w:color w:val="000000" w:themeColor="text1"/>
          <w:sz w:val="24"/>
        </w:rPr>
        <w:t xml:space="preserve">陆</w:t>
      </w:r>
      <w:r>
        <w:rPr>
          <w:rFonts w:ascii="SimSun" w:hAnsi="SimSun" w:eastAsia="SimSun" w:cs="SimSun"/>
          <w:color w:val="000000" w:themeColor="text1"/>
          <w:sz w:val="24"/>
        </w:rPr>
        <w:t xml:space="preserve">份，合同双方各执</w:t>
      </w:r>
      <w:r>
        <w:rPr>
          <w:rFonts w:ascii="SimSun" w:hAnsi="SimSun" w:eastAsia="SimSun" w:cs="SimSun"/>
          <w:b/>
          <w:color w:val="000000" w:themeColor="text1"/>
          <w:sz w:val="24"/>
        </w:rPr>
        <w:t xml:space="preserve">贰</w:t>
      </w:r>
      <w:r>
        <w:rPr>
          <w:rFonts w:ascii="SimSun" w:hAnsi="SimSun" w:eastAsia="SimSun" w:cs="SimSun"/>
          <w:color w:val="000000" w:themeColor="text1"/>
          <w:sz w:val="24"/>
        </w:rPr>
        <w:t xml:space="preserve">份，采购人壹份，政府采购监督机构</w:t>
      </w:r>
      <w:r>
        <w:rPr>
          <w:rFonts w:ascii="SimSun" w:hAnsi="SimSun" w:eastAsia="SimSun" w:cs="SimSun"/>
          <w:b/>
          <w:color w:val="000000" w:themeColor="text1"/>
          <w:sz w:val="24"/>
        </w:rPr>
        <w:t xml:space="preserve">壹</w:t>
      </w:r>
      <w:r>
        <w:rPr>
          <w:rFonts w:ascii="SimSun" w:hAnsi="SimSun" w:eastAsia="SimSun" w:cs="SimSun"/>
          <w:color w:val="000000" w:themeColor="text1"/>
          <w:sz w:val="24"/>
        </w:rPr>
        <w:t xml:space="preserve">份。</w:t>
      </w:r>
      <w:r>
        <w:rPr>
          <w:color w:val="000000" w:themeColor="text1"/>
        </w:rPr>
      </w:r>
    </w:p>
    <w:p>
      <w:pPr>
        <w:ind w:left="0" w:right="0" w:firstLine="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十三、合同未尽事宜，双方另行签订补充协议，但不得背离本协议第八条所约定的合同文件的实质性内容。补充协议是合同文件的组成部分。</w:t>
      </w:r>
      <w:r>
        <w:rPr>
          <w:color w:val="000000" w:themeColor="text1"/>
        </w:rPr>
      </w:r>
    </w:p>
    <w:p>
      <w:pPr>
        <w:ind w:left="0" w:right="0" w:firstLine="48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p>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70"/>
        <w:gridCol w:w="3280"/>
      </w:tblGrid>
      <w:tr>
        <w:trPr>
          <w:trHeight w:val="90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70" w:type="dxa"/>
            <w:vAlign w:val="top"/>
            <w:textDirection w:val="lrTb"/>
            <w:noWrap w:val="false"/>
          </w:tcPr>
          <w:p>
            <w:pPr>
              <w:ind w:left="0" w:right="0" w:firstLine="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发包人：(盖单位章)</w:t>
            </w:r>
            <w:r>
              <w:rPr>
                <w:color w:val="000000" w:themeColor="text1"/>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80" w:type="dxa"/>
            <w:vAlign w:val="top"/>
            <w:textDirection w:val="lrTb"/>
            <w:noWrap w:val="false"/>
          </w:tcPr>
          <w:p>
            <w:pPr>
              <w:ind w:left="0" w:right="0" w:firstLine="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承包人:(盖单位章)</w:t>
            </w:r>
            <w:r>
              <w:rPr>
                <w:color w:val="000000" w:themeColor="text1"/>
              </w:rPr>
            </w:r>
          </w:p>
        </w:tc>
      </w:tr>
      <w:tr>
        <w:trPr>
          <w:trHeight w:val="118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70" w:type="dxa"/>
            <w:vAlign w:val="top"/>
            <w:textDirection w:val="lrTb"/>
            <w:noWrap w:val="false"/>
          </w:tcPr>
          <w:p>
            <w:pPr>
              <w:ind w:left="0" w:right="0" w:firstLine="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法定代表人或其委托代理人：</w:t>
            </w:r>
            <w:r>
              <w:rPr>
                <w:color w:val="000000" w:themeColor="text1"/>
              </w:rPr>
            </w:r>
          </w:p>
          <w:p>
            <w:pPr>
              <w:ind w:left="0" w:right="0" w:firstLine="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(签字)</w:t>
            </w:r>
            <w:r>
              <w:rPr>
                <w:color w:val="000000" w:themeColor="text1"/>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80" w:type="dxa"/>
            <w:vAlign w:val="top"/>
            <w:textDirection w:val="lrTb"/>
            <w:noWrap w:val="false"/>
          </w:tcPr>
          <w:p>
            <w:pPr>
              <w:ind w:left="0" w:right="0" w:firstLine="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法定代表人或其委托代理人：</w:t>
            </w:r>
            <w:r>
              <w:rPr>
                <w:color w:val="000000" w:themeColor="text1"/>
              </w:rPr>
            </w:r>
          </w:p>
          <w:p>
            <w:pPr>
              <w:ind w:left="0" w:right="0" w:firstLine="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(签字)</w:t>
            </w:r>
            <w:r>
              <w:rPr>
                <w:color w:val="000000" w:themeColor="text1"/>
              </w:rPr>
            </w:r>
          </w:p>
        </w:tc>
      </w:tr>
      <w:tr>
        <w:trPr>
          <w:trHeight w:val="51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70" w:type="dxa"/>
            <w:vAlign w:val="top"/>
            <w:textDirection w:val="lrTb"/>
            <w:noWrap w:val="false"/>
          </w:tcPr>
          <w:p>
            <w:pPr>
              <w:ind w:left="0" w:right="0" w:firstLine="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w:t>
            </w:r>
            <w:r>
              <w:rPr>
                <w:color w:val="000000" w:themeColor="text1"/>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80" w:type="dxa"/>
            <w:vAlign w:val="top"/>
            <w:textDirection w:val="lrTb"/>
            <w:noWrap w:val="false"/>
          </w:tcPr>
          <w:p>
            <w:pPr>
              <w:ind w:left="0" w:right="0" w:firstLine="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w:t>
            </w:r>
            <w:r>
              <w:rPr>
                <w:color w:val="000000" w:themeColor="text1"/>
              </w:rPr>
            </w:r>
          </w:p>
        </w:tc>
      </w:tr>
      <w:tr>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350" w:type="dxa"/>
            <w:vAlign w:val="top"/>
            <w:textDirection w:val="lrTb"/>
            <w:noWrap w:val="false"/>
          </w:tcPr>
          <w:p>
            <w:pPr>
              <w:ind w:left="0" w:right="0" w:firstLine="0"/>
              <w:jc w:val="both"/>
              <w:spacing w:before="0" w:after="0" w:line="71"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签约地点:</w:t>
            </w:r>
            <w:r>
              <w:rPr>
                <w:color w:val="000000" w:themeColor="text1"/>
              </w:rPr>
            </w:r>
          </w:p>
        </w:tc>
      </w:tr>
    </w:tbl>
    <w:p>
      <w:pPr>
        <w:pStyle w:val="796"/>
        <w:ind w:left="0" w:right="0" w:firstLine="0"/>
        <w:jc w:val="center"/>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第二部分通用条款</w:t>
      </w:r>
      <w:r>
        <w:rPr>
          <w:color w:val="000000" w:themeColor="text1"/>
        </w:rPr>
      </w:r>
    </w:p>
    <w:p>
      <w:pPr>
        <w:ind w:left="0" w:right="0" w:firstLine="420"/>
        <w:spacing w:before="226" w:after="0" w:line="450"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参照住建部、国家工商行政管理局《建设工程施工合同（示范文本）》 （</w:t>
      </w:r>
      <w:r>
        <w:rPr>
          <w:rFonts w:ascii="SimSun" w:hAnsi="SimSun" w:eastAsia="SimSun" w:cs="SimSun"/>
          <w:color w:val="000000" w:themeColor="text1"/>
          <w:sz w:val="24"/>
          <w:highlight w:val="white"/>
        </w:rPr>
        <w:t xml:space="preserve">GF-2017-0201</w:t>
      </w:r>
      <w:r>
        <w:rPr>
          <w:rFonts w:ascii="SimSun" w:hAnsi="SimSun" w:eastAsia="SimSun" w:cs="SimSun"/>
          <w:color w:val="000000" w:themeColor="text1"/>
          <w:sz w:val="24"/>
        </w:rPr>
        <w:t xml:space="preserve">）第二部分。</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rPr>
      </w:r>
      <w:r>
        <w:rPr>
          <w:color w:val="000000" w:themeColor="text1"/>
        </w:rPr>
      </w:r>
    </w:p>
    <w:p>
      <w:pPr>
        <w:pStyle w:val="796"/>
        <w:ind w:left="0" w:right="0" w:firstLine="0"/>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第三部分专用合同条款</w:t>
      </w:r>
      <w:r>
        <w:rPr>
          <w:color w:val="000000" w:themeColor="text1"/>
        </w:rPr>
      </w:r>
    </w:p>
    <w:p>
      <w:pPr>
        <w:pStyle w:val="797"/>
        <w:ind w:left="0" w:right="0" w:firstLine="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一、词语定义及合同文件</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1、合同文件及解释顺序</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合同文件组成及解释顺序：</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（1）本合同协议书</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（2）成交通知书</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（3）投标书及其附件</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（4）本合同专用条款</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（5）本合同通用条款</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（6）技术标准和要求</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（7）已标价工程量清单</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（8）其他合同文件。</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合同协议书中约定采用总价合同形式的，已标价工程量清单中的各项工程量对合同双方不具有合同约束力。</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2、语言文字和适用法律、标准及规范</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2.1本合同除使用汉语外，还使用</w:t>
      </w:r>
      <w:r>
        <w:rPr>
          <w:rFonts w:ascii="SimSun" w:hAnsi="SimSun" w:eastAsia="SimSun" w:cs="SimSun"/>
          <w:color w:val="000000" w:themeColor="text1"/>
          <w:sz w:val="24"/>
          <w:u w:val="single"/>
        </w:rPr>
        <w:t xml:space="preserve">无</w:t>
      </w:r>
      <w:r>
        <w:rPr>
          <w:rFonts w:ascii="SimSun" w:hAnsi="SimSun" w:eastAsia="SimSun" w:cs="SimSun"/>
          <w:color w:val="000000" w:themeColor="text1"/>
          <w:sz w:val="24"/>
        </w:rPr>
        <w:t xml:space="preserve">语言文字。</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2.2适用法律和法规</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需要明示的法律、行政法规：</w:t>
      </w:r>
      <w:r>
        <w:rPr>
          <w:rFonts w:ascii="SimSun" w:hAnsi="SimSun" w:eastAsia="SimSun" w:cs="SimSun"/>
          <w:color w:val="000000" w:themeColor="text1"/>
          <w:sz w:val="24"/>
          <w:u w:val="single"/>
        </w:rPr>
        <w:t xml:space="preserve">《中华人民共和国民法典》、《中华人民共和国建筑法》、《建设工程质量管理条例》、《中华人民共和国政府采购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2.3适用标准、规范</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适用标准、规范的名称：</w:t>
      </w:r>
      <w:r>
        <w:rPr>
          <w:rFonts w:ascii="SimSun" w:hAnsi="SimSun" w:eastAsia="SimSun" w:cs="SimSun"/>
          <w:color w:val="000000" w:themeColor="text1"/>
          <w:sz w:val="24"/>
          <w:u w:val="single"/>
        </w:rPr>
        <w:t xml:space="preserve">现行工程施工标准规范以及质量验收标准及规范。</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发包人提供标准、规范的时间</w:t>
      </w:r>
      <w:r>
        <w:rPr>
          <w:rFonts w:ascii="SimSun" w:hAnsi="SimSun" w:eastAsia="SimSun" w:cs="SimSun"/>
          <w:color w:val="000000" w:themeColor="text1"/>
          <w:sz w:val="24"/>
          <w:u w:val="single"/>
        </w:rPr>
        <w:t xml:space="preserve">：签订后15日内。</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国内没有相应标准、规范时的约定：</w:t>
      </w:r>
      <w:r>
        <w:rPr>
          <w:rFonts w:ascii="SimSun" w:hAnsi="SimSun" w:eastAsia="SimSun" w:cs="SimSun"/>
          <w:color w:val="000000" w:themeColor="text1"/>
          <w:sz w:val="24"/>
          <w:u w:val="single"/>
        </w:rPr>
        <w:t xml:space="preserve">如有涉及，双方另行协商约定。</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3、图纸</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3.1发包人向承包人提供图纸日期和套数：</w:t>
      </w:r>
      <w:r>
        <w:rPr>
          <w:rFonts w:ascii="SimSun" w:hAnsi="SimSun" w:eastAsia="SimSun" w:cs="SimSun"/>
          <w:color w:val="000000" w:themeColor="text1"/>
          <w:sz w:val="24"/>
          <w:u w:val="single"/>
        </w:rPr>
        <w:t xml:space="preserve">/。</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发包人对图纸的保密要求：除因履行本合同需要，承包人不得将图纸提供给第三方使用</w:t>
      </w:r>
      <w:r>
        <w:rPr>
          <w:rFonts w:ascii="SimSun" w:hAnsi="SimSun" w:eastAsia="SimSun" w:cs="SimSun"/>
          <w:color w:val="000000" w:themeColor="text1"/>
          <w:sz w:val="24"/>
          <w:u w:val="single"/>
        </w:rPr>
        <w:t xml:space="preserve">。</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使用国外图纸的要求及费用承担：</w:t>
      </w:r>
      <w:r>
        <w:rPr>
          <w:rFonts w:ascii="SimSun" w:hAnsi="SimSun" w:eastAsia="SimSun" w:cs="SimSun"/>
          <w:color w:val="000000" w:themeColor="text1"/>
          <w:sz w:val="24"/>
          <w:u w:val="none"/>
        </w:rPr>
        <w:t xml:space="preserve">无</w:t>
      </w:r>
      <w:r>
        <w:rPr>
          <w:color w:val="000000" w:themeColor="text1"/>
        </w:rPr>
      </w:r>
    </w:p>
    <w:p>
      <w:pPr>
        <w:pStyle w:val="797"/>
        <w:ind w:left="0" w:right="0" w:firstLine="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二、双方一般权利和义务</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4、工程师</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4.2监理单位委派的工程师</w:t>
      </w:r>
      <w:r>
        <w:rPr>
          <w:color w:val="000000" w:themeColor="text1"/>
        </w:rPr>
      </w:r>
    </w:p>
    <w:p>
      <w:pPr>
        <w:ind w:left="0" w:right="0" w:firstLine="36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（按监理合同）</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4.3发包人派驻的工程师</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姓名：</w:t>
      </w:r>
      <w:r>
        <w:rPr>
          <w:rFonts w:ascii="SimSun" w:hAnsi="SimSun" w:eastAsia="SimSun" w:cs="SimSun"/>
          <w:b/>
          <w:color w:val="000000" w:themeColor="text1"/>
          <w:sz w:val="24"/>
          <w:u w:val="single"/>
        </w:rPr>
        <w:t xml:space="preserve">        </w:t>
      </w:r>
      <w:r>
        <w:rPr>
          <w:rFonts w:ascii="SimSun" w:hAnsi="SimSun" w:eastAsia="SimSun" w:cs="SimSun"/>
          <w:b/>
          <w:color w:val="000000" w:themeColor="text1"/>
          <w:sz w:val="24"/>
        </w:rPr>
        <w:t xml:space="preserve"> </w:t>
      </w:r>
      <w:r>
        <w:rPr>
          <w:rFonts w:ascii="SimSun" w:hAnsi="SimSun" w:eastAsia="SimSun" w:cs="SimSun"/>
          <w:color w:val="000000" w:themeColor="text1"/>
          <w:sz w:val="24"/>
        </w:rPr>
        <w:t xml:space="preserve">职务：</w:t>
      </w:r>
      <w:r>
        <w:rPr>
          <w:rFonts w:ascii="SimSun" w:hAnsi="SimSun" w:eastAsia="SimSun" w:cs="SimSun"/>
          <w:color w:val="000000" w:themeColor="text1"/>
          <w:sz w:val="24"/>
          <w:u w:val="single"/>
        </w:rPr>
        <w:t xml:space="preserve">       </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职权：</w:t>
      </w:r>
      <w:r>
        <w:rPr>
          <w:rFonts w:ascii="SimSun" w:hAnsi="SimSun" w:eastAsia="SimSun" w:cs="SimSun"/>
          <w:color w:val="000000" w:themeColor="text1"/>
          <w:sz w:val="24"/>
          <w:u w:val="single"/>
        </w:rPr>
        <w:t xml:space="preserve">代表发包人行使业主权利，全面负责本工程的组织、协调和管理，签发或签署各种相关指令(涉及费用的指令需加盖发包人公章方有效)，报表及支付凭证，处理施工过程中的有关事宜。</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5、承包人项目负责人</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姓名：     职务：</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6、发包人工作</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6.1发包人应按约定的时间和要求完成以下工作：</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（1）施工场地具备施工条件的要求及完成的时间：</w:t>
      </w:r>
      <w:r>
        <w:rPr>
          <w:rFonts w:ascii="SimSun" w:hAnsi="SimSun" w:eastAsia="SimSun" w:cs="SimSun"/>
          <w:color w:val="000000" w:themeColor="text1"/>
          <w:sz w:val="24"/>
          <w:u w:val="single"/>
        </w:rPr>
        <w:t xml:space="preserve">已基本到位。</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（2）将施工所需的水、电、电讯线路接至施工场地的时间、地点和供应要求：</w:t>
      </w:r>
      <w:r>
        <w:rPr>
          <w:rFonts w:ascii="SimSun" w:hAnsi="SimSun" w:eastAsia="SimSun" w:cs="SimSun"/>
          <w:color w:val="000000" w:themeColor="text1"/>
          <w:sz w:val="24"/>
          <w:u w:val="single"/>
        </w:rPr>
        <w:t xml:space="preserve">已提供。</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（3）施工场地与公共道路的通道开通时间和要求：</w:t>
      </w:r>
      <w:r>
        <w:rPr>
          <w:rFonts w:ascii="SimSun" w:hAnsi="SimSun" w:eastAsia="SimSun" w:cs="SimSun"/>
          <w:color w:val="000000" w:themeColor="text1"/>
          <w:sz w:val="24"/>
          <w:u w:val="single"/>
        </w:rPr>
        <w:t xml:space="preserve">已到位。</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（4）工程地质和地下管线资料的提供时间：</w:t>
      </w:r>
      <w:r>
        <w:rPr>
          <w:rFonts w:ascii="SimSun" w:hAnsi="SimSun" w:eastAsia="SimSun" w:cs="SimSun"/>
          <w:color w:val="000000" w:themeColor="text1"/>
          <w:sz w:val="24"/>
          <w:u w:val="single"/>
        </w:rPr>
        <w:t xml:space="preserve">需要时工程地质勘察报告、地下管线资料由发包人提供，承包人协助收集。</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（5）由发包人办理的施工所需证件、批件的名称和完成时间：</w:t>
      </w:r>
      <w:r>
        <w:rPr>
          <w:rFonts w:ascii="SimSun" w:hAnsi="SimSun" w:eastAsia="SimSun" w:cs="SimSun"/>
          <w:color w:val="000000" w:themeColor="text1"/>
          <w:sz w:val="24"/>
          <w:u w:val="single"/>
        </w:rPr>
        <w:t xml:space="preserve">无</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（6）水准点与座标控制点交验要求：</w:t>
      </w:r>
      <w:r>
        <w:rPr>
          <w:rFonts w:ascii="SimSun" w:hAnsi="SimSun" w:eastAsia="SimSun" w:cs="SimSun"/>
          <w:color w:val="000000" w:themeColor="text1"/>
          <w:sz w:val="24"/>
          <w:u w:val="single"/>
        </w:rPr>
        <w:t xml:space="preserve">正式开工前，现场交接。</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（7）图纸会审和设计交底时间：</w:t>
      </w:r>
      <w:r>
        <w:rPr>
          <w:rFonts w:ascii="SimSun" w:hAnsi="SimSun" w:eastAsia="SimSun" w:cs="SimSun"/>
          <w:color w:val="000000" w:themeColor="text1"/>
          <w:sz w:val="24"/>
          <w:u w:val="single"/>
        </w:rPr>
        <w:t xml:space="preserve">正式开工前。</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（8）协调处理施工场地周围地下管线和邻近建筑物、构筑物（含文物保护建筑）、古树名木的保护工作：</w:t>
      </w:r>
      <w:r>
        <w:rPr>
          <w:rFonts w:ascii="SimSun" w:hAnsi="SimSun" w:eastAsia="SimSun" w:cs="SimSun"/>
          <w:color w:val="000000" w:themeColor="text1"/>
          <w:sz w:val="24"/>
          <w:u w:val="single"/>
        </w:rPr>
        <w:t xml:space="preserve">承包人负责处理，如有费用支出由发包人承担。</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（9）双方约定发包人应做的其他工作：</w:t>
      </w:r>
      <w:r>
        <w:rPr>
          <w:rFonts w:ascii="SimSun" w:hAnsi="SimSun" w:eastAsia="SimSun" w:cs="SimSun"/>
          <w:color w:val="000000" w:themeColor="text1"/>
          <w:sz w:val="24"/>
          <w:u w:val="single"/>
        </w:rPr>
        <w:t xml:space="preserve">如涉及，双方现场协商。</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6.2发包人委托承包人办理的工作：</w:t>
      </w:r>
      <w:r>
        <w:rPr>
          <w:rFonts w:ascii="SimSun" w:hAnsi="SimSun" w:eastAsia="SimSun" w:cs="SimSun"/>
          <w:color w:val="000000" w:themeColor="text1"/>
          <w:sz w:val="24"/>
          <w:u w:val="single"/>
        </w:rPr>
        <w:t xml:space="preserve">如涉及，双方现场协商。</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7、承包人工作</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7.1承包人应按约定时间和要求，完成以下工作：</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（1）需由设计资质等级和业务范围允许的承包人完成的设计文件提交时间：</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（2）应提供计划、报表的名称及完成时间：</w:t>
      </w:r>
      <w:r>
        <w:rPr>
          <w:rFonts w:ascii="SimSun" w:hAnsi="SimSun" w:eastAsia="SimSun" w:cs="SimSun"/>
          <w:color w:val="000000" w:themeColor="text1"/>
          <w:sz w:val="24"/>
          <w:u w:val="single"/>
        </w:rPr>
        <w:t xml:space="preserve">按进度计划要求施工</w:t>
      </w:r>
      <w:r>
        <w:rPr>
          <w:rFonts w:ascii="SimSun" w:hAnsi="SimSun" w:eastAsia="SimSun" w:cs="SimSun"/>
          <w:color w:val="000000" w:themeColor="text1"/>
          <w:sz w:val="24"/>
        </w:rPr>
        <w:t xml:space="preserve">；</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（3）承担施工安全保卫工作及非夜间施工照明的责任和要求：</w:t>
      </w:r>
      <w:r>
        <w:rPr>
          <w:rFonts w:ascii="SimSun" w:hAnsi="SimSun" w:eastAsia="SimSun" w:cs="SimSun"/>
          <w:color w:val="000000" w:themeColor="text1"/>
          <w:sz w:val="24"/>
          <w:u w:val="single"/>
        </w:rPr>
        <w:t xml:space="preserve">按建设工程安全施工规范、苏州市颁布的有关安全及施工保护规定执行。</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（4）向发包人提供的办公和生活房屋及设施的要求</w:t>
      </w:r>
      <w:r>
        <w:rPr>
          <w:rFonts w:ascii="SimSun" w:hAnsi="SimSun" w:eastAsia="SimSun" w:cs="SimSun"/>
          <w:color w:val="000000" w:themeColor="text1"/>
          <w:sz w:val="24"/>
          <w:u w:val="single"/>
        </w:rPr>
        <w:t xml:space="preserve">：无；</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（5）需承包人办理的有关施工场地交通、环卫和施工噪音管理等手续：</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按苏州市颁布的有关建设工程施工现场交通、环卫、防噪音等方面的管理规定办理并承担相应费用。</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（6）已完工程成品保护的特殊要求及费用承担：</w:t>
      </w:r>
      <w:r>
        <w:rPr>
          <w:rFonts w:ascii="SimSun" w:hAnsi="SimSun" w:eastAsia="SimSun" w:cs="SimSun"/>
          <w:color w:val="000000" w:themeColor="text1"/>
          <w:sz w:val="24"/>
          <w:u w:val="single"/>
        </w:rPr>
        <w:t xml:space="preserve">未交付发包人使用前由承包人负责；</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（7）施工场地周围地下管线和邻近建筑物、构筑物（含文物保护建筑）、古树名木的保护要求及费用承担：</w:t>
      </w:r>
      <w:r>
        <w:rPr>
          <w:rFonts w:ascii="SimSun" w:hAnsi="SimSun" w:eastAsia="SimSun" w:cs="SimSun"/>
          <w:color w:val="000000" w:themeColor="text1"/>
          <w:sz w:val="24"/>
          <w:u w:val="single"/>
        </w:rPr>
        <w:t xml:space="preserve">承包人负责保护，如有费用支出由发包人承担。由于承包人过错造成的损失，由承包人承担。</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（8）施工场地清洁卫生的要求：</w:t>
      </w:r>
      <w:r>
        <w:rPr>
          <w:rFonts w:ascii="SimSun" w:hAnsi="SimSun" w:eastAsia="SimSun" w:cs="SimSun"/>
          <w:color w:val="000000" w:themeColor="text1"/>
          <w:sz w:val="24"/>
          <w:u w:val="single"/>
        </w:rPr>
        <w:t xml:space="preserve">施工期间按创建文明工地及环卫行政主管部门的要求执行，施工后做到工完场清，</w:t>
      </w:r>
      <w:r>
        <w:rPr>
          <w:rFonts w:ascii="SimSun" w:hAnsi="SimSun" w:eastAsia="SimSun" w:cs="SimSun"/>
          <w:b/>
          <w:color w:val="000000" w:themeColor="text1"/>
          <w:sz w:val="24"/>
          <w:u w:val="single"/>
        </w:rPr>
        <w:t xml:space="preserve">垃圾必须袋装化处理，否则，发现一次，扣罚500元。</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（9）双方约定承包人应做的其他工作：</w:t>
      </w:r>
      <w:r>
        <w:rPr>
          <w:rFonts w:ascii="SimSun" w:hAnsi="SimSun" w:eastAsia="SimSun" w:cs="SimSun"/>
          <w:color w:val="000000" w:themeColor="text1"/>
          <w:sz w:val="24"/>
          <w:u w:val="single"/>
        </w:rPr>
        <w:t xml:space="preserve">如涉及，双方现场协商。</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10）承包人在履行本合同过程中造成发包人、承包人及承包人人员、第三方人身性、财产性损害的，由承包人承担全部赔偿、补偿责任，若发包人先行承担的，则就承担部分及产生的损失及维权费用（包括但不限于律师费、保全担保费等）有权全额要求承包人承担。</w:t>
      </w:r>
      <w:r>
        <w:rPr>
          <w:color w:val="000000" w:themeColor="text1"/>
        </w:rPr>
      </w:r>
    </w:p>
    <w:p>
      <w:pPr>
        <w:pStyle w:val="797"/>
        <w:ind w:left="0" w:right="0" w:firstLine="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三、施工组织设计和工期</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8、进度计划</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8.1承包人提供施工组织设计（施工方案）和进度计划的时间：</w:t>
      </w:r>
      <w:r>
        <w:rPr>
          <w:rFonts w:ascii="SimSun" w:hAnsi="SimSun" w:eastAsia="SimSun" w:cs="SimSun"/>
          <w:color w:val="000000" w:themeColor="text1"/>
          <w:sz w:val="24"/>
          <w:u w:val="single"/>
        </w:rPr>
        <w:t xml:space="preserve">进场前。</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工程师确认的时间：</w:t>
      </w:r>
      <w:r>
        <w:rPr>
          <w:rFonts w:ascii="SimSun" w:hAnsi="SimSun" w:eastAsia="SimSun" w:cs="SimSun"/>
          <w:color w:val="000000" w:themeColor="text1"/>
          <w:sz w:val="24"/>
          <w:u w:val="single"/>
        </w:rPr>
        <w:t xml:space="preserve">收到后七天。</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8.2  暂停施工</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以下情况造成的停工不属于发包人原因造成的停工：</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（1）承包人与现场其他施工单位交叉施工造成的停工；</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（2）各种自然灾害、不可抗力造成的停工（不可抗力的解释见39条款）；</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（3）事先未发现的地下障碍物造成的停工；</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对上述情况，承包人可递交书面材料申请延期，经总监、发包人签字确认后，工期可延期。</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9、工期延误</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9.1双方约定工期顺延的其他情况：</w:t>
      </w:r>
      <w:r>
        <w:rPr>
          <w:rFonts w:ascii="SimSun" w:hAnsi="SimSun" w:eastAsia="SimSun" w:cs="SimSun"/>
          <w:color w:val="000000" w:themeColor="text1"/>
          <w:sz w:val="24"/>
          <w:u w:val="single"/>
        </w:rPr>
        <w:t xml:space="preserve">按合同工期实施，</w:t>
      </w:r>
      <w:r>
        <w:rPr>
          <w:rFonts w:ascii="SimSun" w:hAnsi="SimSun" w:eastAsia="SimSun" w:cs="SimSun"/>
          <w:color w:val="000000" w:themeColor="text1"/>
          <w:sz w:val="24"/>
          <w:u w:val="single"/>
        </w:rPr>
        <w:t xml:space="preserve">因发包人</w:t>
      </w:r>
      <w:r>
        <w:rPr>
          <w:rFonts w:ascii="SimSun" w:hAnsi="SimSun" w:eastAsia="SimSun" w:cs="SimSun"/>
          <w:color w:val="000000" w:themeColor="text1"/>
          <w:sz w:val="24"/>
          <w:u w:val="single"/>
        </w:rPr>
        <w:t xml:space="preserve">原因引起的工期延误发包方应予以顺延工期。</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9.2因承包人原因延误工期，每延误一天，扣罚承包人2000元的违约金，该违约金不足以弥补发包人损失的，承包人应继续承担赔偿责任</w:t>
      </w:r>
      <w:r>
        <w:rPr>
          <w:rFonts w:ascii="SimSun" w:hAnsi="SimSun" w:eastAsia="SimSun" w:cs="SimSun"/>
          <w:color w:val="000000" w:themeColor="text1"/>
          <w:sz w:val="24"/>
          <w:u w:val="single"/>
        </w:rPr>
        <w:t xml:space="preserve">，对于承包人应当承担的违约金，发包人有权直接从应付承包人的款项中直接予以扣除</w:t>
      </w:r>
      <w:r>
        <w:rPr>
          <w:rFonts w:ascii="SimSun" w:hAnsi="SimSun" w:eastAsia="SimSun" w:cs="SimSun"/>
          <w:color w:val="000000" w:themeColor="text1"/>
          <w:sz w:val="24"/>
          <w:u w:val="single"/>
        </w:rPr>
        <w:t xml:space="preserve">。</w:t>
      </w:r>
      <w:r>
        <w:rPr>
          <w:color w:val="000000" w:themeColor="text1"/>
        </w:rPr>
      </w:r>
    </w:p>
    <w:p>
      <w:pPr>
        <w:pStyle w:val="797"/>
        <w:ind w:left="0" w:right="0" w:firstLine="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四、质量与验收</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10、本工程质量必须通过监理、发包人、质监站等相关部门的验收和确认。</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11、确保工程质量为一次</w:t>
      </w:r>
      <w:r>
        <w:rPr>
          <w:rFonts w:ascii="SimSun" w:hAnsi="SimSun" w:eastAsia="SimSun" w:cs="SimSun"/>
          <w:color w:val="000000" w:themeColor="text1"/>
          <w:sz w:val="24"/>
          <w:u w:val="single"/>
        </w:rPr>
        <w:t xml:space="preserve">验收</w:t>
      </w:r>
      <w:r>
        <w:rPr>
          <w:rFonts w:ascii="SimSun" w:hAnsi="SimSun" w:eastAsia="SimSun" w:cs="SimSun"/>
          <w:color w:val="000000" w:themeColor="text1"/>
          <w:sz w:val="24"/>
        </w:rPr>
        <w:t xml:space="preserve">合格。</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12、除不可抗力因素如战争、地震、火灾、自然灾害因素情况外，承包人保证对所供材料在工程全面竣工后设计合理使用年限内使用性能不变。</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13、隐蔽工程和中间验收</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13.1双方约定中间验收部位：</w:t>
      </w:r>
      <w:r>
        <w:rPr>
          <w:rFonts w:ascii="SimSun" w:hAnsi="SimSun" w:eastAsia="SimSun" w:cs="SimSun"/>
          <w:color w:val="000000" w:themeColor="text1"/>
          <w:sz w:val="24"/>
          <w:u w:val="single"/>
        </w:rPr>
        <w:t xml:space="preserve">按发包人指令执行。</w:t>
      </w:r>
      <w:r>
        <w:rPr>
          <w:color w:val="000000" w:themeColor="text1"/>
        </w:rPr>
      </w:r>
    </w:p>
    <w:p>
      <w:pPr>
        <w:pStyle w:val="797"/>
        <w:ind w:left="0" w:right="0" w:firstLine="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五、安全施工</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14、按建设部现行的《建设工程安全生产管理条例》的有关规定、《苏州市建筑施工安全监督管理办法》的有关条款以及磋商文件中技术标准和要求规定执行，由承包人负责管理，发包人监督执行，安全事故由责任方承担一切后果。</w:t>
      </w:r>
      <w:r>
        <w:rPr>
          <w:color w:val="000000" w:themeColor="text1"/>
        </w:rPr>
      </w:r>
    </w:p>
    <w:p>
      <w:pPr>
        <w:pStyle w:val="797"/>
        <w:ind w:left="0" w:right="0" w:firstLine="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六、合同价款与支付</w:t>
      </w:r>
      <w:r>
        <w:rPr>
          <w:color w:val="000000" w:themeColor="text1"/>
        </w:rPr>
      </w:r>
    </w:p>
    <w:p>
      <w:pPr>
        <w:ind w:left="0" w:right="0" w:firstLine="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15、合同价款及调整</w:t>
      </w:r>
      <w:r>
        <w:rPr>
          <w:color w:val="000000" w:themeColor="text1"/>
        </w:rPr>
      </w:r>
    </w:p>
    <w:p>
      <w:pPr>
        <w:ind w:left="0" w:right="0" w:firstLine="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15.1 本合同价款采用固定单价合同，承包人的报价已包括完成磋商文件规定的工程量清单项目所需的全部费用，在约定的风险范围内，承包人所报综合单价不再调整。在工程实施过程中，发包人有权调整工作内容，变更品牌及材质等，变更的内容相应调整，但变更部分的材料价格须</w:t>
      </w:r>
      <w:r>
        <w:rPr>
          <w:rFonts w:ascii="SimSun" w:hAnsi="SimSun" w:eastAsia="SimSun" w:cs="SimSun"/>
          <w:color w:val="000000" w:themeColor="text1"/>
          <w:sz w:val="24"/>
          <w:u w:val="single"/>
        </w:rPr>
        <w:t xml:space="preserve">提前</w:t>
      </w:r>
      <w:r>
        <w:rPr>
          <w:rFonts w:ascii="SimSun" w:hAnsi="SimSun" w:eastAsia="SimSun" w:cs="SimSun"/>
          <w:color w:val="000000" w:themeColor="text1"/>
          <w:sz w:val="24"/>
        </w:rPr>
        <w:t xml:space="preserve">经发包人书面认可。</w:t>
      </w:r>
      <w:r>
        <w:rPr>
          <w:color w:val="000000" w:themeColor="text1"/>
        </w:rPr>
      </w:r>
    </w:p>
    <w:p>
      <w:pPr>
        <w:ind w:left="0" w:right="0" w:firstLine="36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15.2执行综合单价合同的基本规定：</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承包人投标时已按统一的工程量清单报价，在施工过程中，不论由于工程量清单有误或漏项，还是由于设计变更、现场变更、签证引起的工程量清单项目或清单项目工程数量的增减，均按实调整，施工做法不变，综合单价不变。</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2）清单范围外的签证变更不予结算。</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乙方报价时，必须按统一的工程量清单报价，中标后，本工程中工程量清单项目的综合单价按预算单价下浮之后的综合单价执行，由于工程量清单的工程数量有误或者设计变更、现场签证等引起的工程量增减，当工程量清单项目工程量的变化幅度未超过10%（含10%），则综合单价不调整；若工程量清单项目工程量的变化幅度超过10%，并且影响分部分项工程费超过0.1%的，综合单价可调整；其增加部分的工程量或者减少后剩余部分的工程量的综合单价由承包人提出，经发包人</w:t>
      </w:r>
      <w:r>
        <w:rPr>
          <w:rFonts w:ascii="SimSun" w:hAnsi="SimSun" w:eastAsia="SimSun" w:cs="SimSun"/>
          <w:color w:val="000000" w:themeColor="text1"/>
          <w:sz w:val="24"/>
          <w:u w:val="single"/>
        </w:rPr>
        <w:t xml:space="preserve">书面</w:t>
      </w:r>
      <w:r>
        <w:rPr>
          <w:rFonts w:ascii="SimSun" w:hAnsi="SimSun" w:eastAsia="SimSun" w:cs="SimSun"/>
          <w:color w:val="000000" w:themeColor="text1"/>
          <w:sz w:val="24"/>
        </w:rPr>
        <w:t xml:space="preserve">确认后，作为支付进度款的依据。最终价格以审计为准，最终价格比合同金额增加部分经采购方批准同意后，根据追加的采购计划签订补充合同，但全部补充合同的采购金额不得超过原合同金额的10%。</w:t>
      </w:r>
      <w:r>
        <w:rPr>
          <w:color w:val="000000" w:themeColor="text1"/>
        </w:rPr>
      </w:r>
    </w:p>
    <w:p>
      <w:pPr>
        <w:numPr>
          <w:ilvl w:val="0"/>
          <w:numId w:val="28"/>
        </w:numPr>
        <w:jc w:val="both"/>
        <w:spacing w:before="0" w:after="0" w:line="85" w:lineRule="atLeast"/>
        <w:shd w:val="clear" w:color="ffffff" w:themeColor="background1" w:fill="ffffff" w:themeFill="background1"/>
        <w:tabs>
          <w:tab w:val="left" w:pos="16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本工程在磋商文件中已明确的各项施工措施费，均包含在合同总价中。其他在磋商文件和答疑中未提及、未明确部分的施工措施费项目，可以根据相关资料按实调整，并作相应的下浮。</w:t>
      </w:r>
      <w:r>
        <w:rPr>
          <w:color w:val="000000" w:themeColor="text1"/>
        </w:rPr>
      </w:r>
    </w:p>
    <w:p>
      <w:pPr>
        <w:ind w:left="0" w:right="0" w:firstLine="480"/>
        <w:jc w:val="both"/>
        <w:spacing w:before="0" w:after="0" w:line="85" w:lineRule="atLeast"/>
        <w:shd w:val="clear" w:color="ffffff" w:themeColor="background1" w:fill="ffffff" w:themeFill="background1"/>
        <w:tabs>
          <w:tab w:val="left" w:pos="16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5）实质性响应条款：（1）追加费用不得超过原合同金额的10%。（2）原合同金额10%以内的追加费用，限于原合同内工程清单数量调整增加的工程费用，原合同外工程内容不得计入</w:t>
      </w:r>
      <w:r>
        <w:rPr>
          <w:rFonts w:ascii="SimSun" w:hAnsi="SimSun" w:eastAsia="SimSun" w:cs="SimSun"/>
          <w:color w:val="000000" w:themeColor="text1"/>
          <w:sz w:val="24"/>
          <w:u w:val="single"/>
        </w:rPr>
        <w:t xml:space="preserve">，若承包人实际工作量计算的总额超过合同金额的10%，超过部分承包人自愿做放弃处理，承包人同意自愿按照最高不超过合同金额的10%进行审计结算</w:t>
      </w:r>
      <w:r>
        <w:rPr>
          <w:rFonts w:ascii="SimSun" w:hAnsi="SimSun" w:eastAsia="SimSun" w:cs="SimSun"/>
          <w:color w:val="000000" w:themeColor="text1"/>
          <w:sz w:val="24"/>
        </w:rPr>
        <w:t xml:space="preserve">。</w:t>
      </w:r>
      <w:r>
        <w:rPr>
          <w:color w:val="000000" w:themeColor="text1"/>
        </w:rPr>
      </w:r>
    </w:p>
    <w:p>
      <w:pPr>
        <w:ind w:left="0" w:right="0" w:firstLine="720"/>
        <w:jc w:val="both"/>
        <w:spacing w:before="0" w:after="0" w:line="85" w:lineRule="atLeast"/>
        <w:shd w:val="clear" w:color="ffffff" w:themeColor="background1" w:fill="ffffff" w:themeFill="background1"/>
        <w:tabs>
          <w:tab w:val="left" w:pos="16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小额工程在履行合同时，发生工程变更的，按照工程变更管理的相关规定办理变更手续。工程完工验收合格后，按发包方要求进行审计。</w:t>
      </w:r>
      <w:r>
        <w:rPr>
          <w:color w:val="000000" w:themeColor="text1"/>
        </w:rPr>
      </w:r>
    </w:p>
    <w:p>
      <w:pPr>
        <w:ind w:left="0" w:right="0" w:firstLine="720"/>
        <w:jc w:val="both"/>
        <w:spacing w:before="0" w:after="0" w:line="85" w:lineRule="atLeast"/>
        <w:shd w:val="clear" w:color="ffffff" w:themeColor="background1" w:fill="ffffff" w:themeFill="background1"/>
        <w:tabs>
          <w:tab w:val="left" w:pos="16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如响应报价有严重不平衡报价的（原则上以超过预算综合单价的正负20%为界定标准），发包人有权按照有利于发包人的方法处理，包括并不仅限于：发包人可以将投标单价超过预算单价20%的按预算单价乘以中标下浮率进行结算，未发生工程量低于预算单价20%的投标价按预算单价乘以中标下浮率进行扣除，已发生工程量低于预算单价20%的按投标价结算等措施。</w:t>
      </w:r>
      <w:r>
        <w:rPr>
          <w:color w:val="000000" w:themeColor="text1"/>
        </w:rPr>
      </w:r>
    </w:p>
    <w:p>
      <w:pPr>
        <w:ind w:left="0" w:right="0" w:firstLine="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16 双方约定合同价款的其他调整因素：</w:t>
      </w:r>
      <w:r>
        <w:rPr>
          <w:color w:val="000000" w:themeColor="text1"/>
        </w:rPr>
      </w:r>
    </w:p>
    <w:p>
      <w:pPr>
        <w:ind w:left="0" w:right="0" w:firstLine="24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（1）采用工程量清单方式计价，竣工结算的工程量按发承包双方在合同中约定应予计量且实际完成的工程量确定。</w:t>
      </w:r>
      <w:r>
        <w:rPr>
          <w:color w:val="000000" w:themeColor="text1"/>
        </w:rPr>
      </w:r>
    </w:p>
    <w:p>
      <w:pPr>
        <w:ind w:left="0" w:right="0" w:firstLine="24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（2）国家的法律、法规、规章和政策发生变化影响工程造价的，应按省级或行业建设部门或其授权的工程造价管理机构发布的文件调整合同价款。</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17、工程预付款</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发包人向承包人预付工程款的时间和金额或占合同价款总额的比例：</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10%。</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扣回工程款的时间、比例：</w:t>
      </w:r>
      <w:r>
        <w:rPr>
          <w:rFonts w:ascii="SimSun" w:hAnsi="SimSun" w:eastAsia="SimSun" w:cs="SimSun"/>
          <w:color w:val="000000" w:themeColor="text1"/>
          <w:sz w:val="24"/>
          <w:u w:val="single"/>
        </w:rPr>
        <w:t xml:space="preserve">无</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18、工程量确认</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18.1　承包人向工程师提交已完工程量报告的时间：</w:t>
      </w:r>
      <w:r>
        <w:rPr>
          <w:rFonts w:ascii="SimSun" w:hAnsi="SimSun" w:eastAsia="SimSun" w:cs="SimSun"/>
          <w:color w:val="000000" w:themeColor="text1"/>
          <w:sz w:val="24"/>
          <w:u w:val="single"/>
        </w:rPr>
        <w:t xml:space="preserve">每月25日前。</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19、工程款（进度款）支付</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19.1本工程预付款为合同金额10%，签订合同后一个月内支付，每三个月支付一次进度款，最高按每三个月完成且经监理单位和发包人确认后的合格工程量所对应的合同价款的 50%进行支付，审计结束(收到最终审计报告)一年内最高支付至审定金额的80%。余款在审计结束后两年内无息付清(质量保修金除外)；质量保修金在满足合同约定的支付条件时结算支付（无息）。工程价款的结算最终以审计机关的审定金额为准，承包人于发包人进度款（合格工程量所对应的合同价款的50%）付款前开具相应金额的发票，于审计报告出具后，发包人付款前（审定金额</w:t>
      </w:r>
      <w:r>
        <w:rPr>
          <w:rFonts w:ascii="SimSun" w:hAnsi="SimSun" w:eastAsia="SimSun" w:cs="SimSun"/>
          <w:color w:val="000000" w:themeColor="text1"/>
          <w:sz w:val="24"/>
        </w:rPr>
        <w:t xml:space="preserve">的80%）开具全额发票，否则发包人有权拒绝付款并不负违约责任。所有签证变更在施工过程中不支付，待审计结算审定后支付。若区级及以上工程审计部门对该项目进行抽查复审，其抽审核查结果为本项目的最终审定结果。</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项目为年度招标工程，具体实施的工程暂不确定，最终工程量按实结算。施工中，由发包人与承包人确认每次完成工程内容及工程量，并由承包人提供施工前、施工中及施工完成的影像资料，发包人委托造价事务所编制标底，根据每月实际完成的内容，按施工当月的信息价进行组价，标底价按中标下浮率下浮后的价格按年累计形成合同价。合同终了统一送审，最终以审计为准。</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19.2关于审计费:当审计核减率超过15%</w:t>
      </w:r>
      <w:r>
        <w:rPr>
          <w:rFonts w:ascii="SimSun" w:hAnsi="SimSun" w:eastAsia="SimSun" w:cs="SimSun"/>
          <w:color w:val="000000" w:themeColor="text1"/>
          <w:sz w:val="24"/>
          <w:u w:val="single"/>
        </w:rPr>
        <w:t xml:space="preserve">未超过30%</w:t>
      </w:r>
      <w:r>
        <w:rPr>
          <w:rFonts w:ascii="SimSun" w:hAnsi="SimSun" w:eastAsia="SimSun" w:cs="SimSun"/>
          <w:color w:val="000000" w:themeColor="text1"/>
          <w:sz w:val="24"/>
        </w:rPr>
        <w:t xml:space="preserve">时，合同结算金额在原来约定下浮的基础上，再次下浮审</w:t>
      </w:r>
      <w:r>
        <w:rPr>
          <w:rFonts w:ascii="SimSun" w:hAnsi="SimSun" w:eastAsia="SimSun" w:cs="SimSun"/>
          <w:color w:val="000000" w:themeColor="text1"/>
          <w:sz w:val="24"/>
          <w:u w:val="single"/>
        </w:rPr>
        <w:t xml:space="preserve">定</w:t>
      </w:r>
      <w:r>
        <w:rPr>
          <w:rFonts w:ascii="SimSun" w:hAnsi="SimSun" w:eastAsia="SimSun" w:cs="SimSun"/>
          <w:color w:val="000000" w:themeColor="text1"/>
          <w:sz w:val="24"/>
        </w:rPr>
        <w:t xml:space="preserve">金额的2%作为最终结算金额；当审计核减率超过30%时，合同结算金额在原来约定下浮的基础上，再次下浮审</w:t>
      </w:r>
      <w:r>
        <w:rPr>
          <w:rFonts w:ascii="SimSun" w:hAnsi="SimSun" w:eastAsia="SimSun" w:cs="SimSun"/>
          <w:color w:val="000000" w:themeColor="text1"/>
          <w:sz w:val="24"/>
          <w:u w:val="single"/>
        </w:rPr>
        <w:t xml:space="preserve">定</w:t>
      </w:r>
      <w:r>
        <w:rPr>
          <w:rFonts w:ascii="SimSun" w:hAnsi="SimSun" w:eastAsia="SimSun" w:cs="SimSun"/>
          <w:color w:val="000000" w:themeColor="text1"/>
          <w:sz w:val="24"/>
        </w:rPr>
        <w:t xml:space="preserve">金额的5%作为最终结算金额。如工程结算核减超过</w:t>
      </w:r>
      <w:r>
        <w:rPr>
          <w:rFonts w:ascii="SimSun" w:hAnsi="SimSun" w:eastAsia="SimSun" w:cs="SimSun"/>
          <w:color w:val="000000" w:themeColor="text1"/>
          <w:sz w:val="24"/>
          <w:u w:val="single"/>
        </w:rPr>
        <w:t xml:space="preserve">送审</w:t>
      </w:r>
      <w:r>
        <w:rPr>
          <w:rFonts w:ascii="SimSun" w:hAnsi="SimSun" w:eastAsia="SimSun" w:cs="SimSun"/>
          <w:color w:val="000000" w:themeColor="text1"/>
          <w:sz w:val="24"/>
        </w:rPr>
        <w:t xml:space="preserve">总价7%，则超过7%部分的核减造价按</w:t>
      </w:r>
      <w:r>
        <w:rPr>
          <w:rFonts w:ascii="SimSun" w:hAnsi="SimSun" w:eastAsia="SimSun" w:cs="SimSun"/>
          <w:color w:val="000000" w:themeColor="text1"/>
          <w:sz w:val="24"/>
          <w:u w:val="single"/>
        </w:rPr>
        <w:t xml:space="preserve">该金额的</w:t>
      </w:r>
      <w:r>
        <w:rPr>
          <w:rFonts w:ascii="SimSun" w:hAnsi="SimSun" w:eastAsia="SimSun" w:cs="SimSun"/>
          <w:color w:val="000000" w:themeColor="text1"/>
          <w:sz w:val="24"/>
        </w:rPr>
        <w:t xml:space="preserve">4%计算费用，由</w:t>
      </w:r>
      <w:r>
        <w:rPr>
          <w:rFonts w:ascii="SimSun" w:hAnsi="SimSun" w:eastAsia="SimSun" w:cs="SimSun"/>
          <w:color w:val="000000" w:themeColor="text1"/>
          <w:sz w:val="24"/>
          <w:u w:val="single"/>
        </w:rPr>
        <w:t xml:space="preserve">承包人</w:t>
      </w:r>
      <w:r>
        <w:rPr>
          <w:rFonts w:ascii="SimSun" w:hAnsi="SimSun" w:eastAsia="SimSun" w:cs="SimSun"/>
          <w:color w:val="000000" w:themeColor="text1"/>
          <w:sz w:val="24"/>
        </w:rPr>
        <w:t xml:space="preserve">承担（因漏项引起的核增造价不得抵冲），上述费用作为</w:t>
      </w:r>
      <w:r>
        <w:rPr>
          <w:rFonts w:ascii="SimSun" w:hAnsi="SimSun" w:eastAsia="SimSun" w:cs="SimSun"/>
          <w:color w:val="000000" w:themeColor="text1"/>
          <w:sz w:val="24"/>
          <w:u w:val="single"/>
        </w:rPr>
        <w:t xml:space="preserve">承包人</w:t>
      </w:r>
      <w:r>
        <w:rPr>
          <w:rFonts w:ascii="SimSun" w:hAnsi="SimSun" w:eastAsia="SimSun" w:cs="SimSun"/>
          <w:color w:val="000000" w:themeColor="text1"/>
          <w:sz w:val="24"/>
        </w:rPr>
        <w:t xml:space="preserve">的让利，由审计机构在审定工程总造价中直接扣除，</w:t>
      </w:r>
      <w:r>
        <w:rPr>
          <w:rFonts w:ascii="SimSun" w:hAnsi="SimSun" w:eastAsia="SimSun" w:cs="SimSun"/>
          <w:color w:val="000000" w:themeColor="text1"/>
          <w:sz w:val="24"/>
          <w:u w:val="single"/>
        </w:rPr>
        <w:t xml:space="preserve">发包人</w:t>
      </w:r>
      <w:r>
        <w:rPr>
          <w:rFonts w:ascii="SimSun" w:hAnsi="SimSun" w:eastAsia="SimSun" w:cs="SimSun"/>
          <w:color w:val="000000" w:themeColor="text1"/>
          <w:sz w:val="24"/>
        </w:rPr>
        <w:t xml:space="preserve">按扣除上述费用后的审定造价支付工程款。</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19.3本工程结算以望亭镇审计部门审定结果为准，若区级及以上工程审计部门对该项目进行抽查复审，则其抽审核查结果为本项目的最终审定结果。   </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19.4承包人必须按发包人每次支付的款项提供标有税务局监制章的工程发票。</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19.5工程款支付方式为数字人民币支付。</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项目竣工验收合格后，承包人应尽快配合发包人对项目进行结算，结算报告审定后，承包人应按审定的结算金额按合同规定开具</w:t>
      </w:r>
      <w:r>
        <w:rPr>
          <w:rFonts w:ascii="SimSun" w:hAnsi="SimSun" w:eastAsia="SimSun" w:cs="SimSun"/>
          <w:color w:val="000000" w:themeColor="text1"/>
          <w:sz w:val="24"/>
          <w:u w:val="single"/>
        </w:rPr>
        <w:t xml:space="preserve">余款</w:t>
      </w:r>
      <w:r>
        <w:rPr>
          <w:rFonts w:ascii="SimSun" w:hAnsi="SimSun" w:eastAsia="SimSun" w:cs="SimSun"/>
          <w:color w:val="000000" w:themeColor="text1"/>
          <w:sz w:val="24"/>
        </w:rPr>
        <w:t xml:space="preserve">全部发票（含甲供材料）。</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如遇国家审计，最终结算价以国家审计结果为准。</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保修期：工程保修期从工程最终竣工验收合格之日起算。</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本项目质量保证金为结算总价的3%。质保期按照《建设工程质量管理条例》及有关规定执行。质量保修期自工程竣工验收合格之日起计算。</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工程余款的付清，并不免除承包人在约定的本工程质量保修期内的保修责任。</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付款时间：任何按照合同要求的付款，发包人将在收到符合要求的付款申请30天后且承包人已提交符合本合同规定的发票后予以支付。</w:t>
      </w:r>
      <w:r>
        <w:rPr>
          <w:color w:val="000000" w:themeColor="text1"/>
        </w:rPr>
      </w:r>
    </w:p>
    <w:p>
      <w:pPr>
        <w:pStyle w:val="797"/>
        <w:ind w:left="0" w:right="0" w:firstLine="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七、材料设备供应</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20、发包人供应材料设备</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无。</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20.1发包人供应的材料设备与一览表不符时，双方约定发包人承担责任如下：</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（1）材料设备单价与一览表不符：</w:t>
      </w:r>
      <w:r>
        <w:rPr>
          <w:rFonts w:ascii="SimSun" w:hAnsi="SimSun" w:eastAsia="SimSun" w:cs="SimSun"/>
          <w:color w:val="000000" w:themeColor="text1"/>
          <w:sz w:val="24"/>
          <w:u w:val="single"/>
        </w:rPr>
        <w:t xml:space="preserve">按《通用条款》</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（2）材料设备的品种、规格、型号、质量等级与一览表不符</w:t>
      </w:r>
      <w:r>
        <w:rPr>
          <w:rFonts w:ascii="SimSun" w:hAnsi="SimSun" w:eastAsia="SimSun" w:cs="SimSun"/>
          <w:color w:val="000000" w:themeColor="text1"/>
          <w:sz w:val="24"/>
          <w:u w:val="single"/>
        </w:rPr>
        <w:t xml:space="preserve">：按《通用条款》</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（3）承包人可代为调剂串换的材料：</w:t>
      </w:r>
      <w:r>
        <w:rPr>
          <w:rFonts w:ascii="SimSun" w:hAnsi="SimSun" w:eastAsia="SimSun" w:cs="SimSun"/>
          <w:color w:val="000000" w:themeColor="text1"/>
          <w:sz w:val="24"/>
          <w:u w:val="single"/>
        </w:rPr>
        <w:t xml:space="preserve">按《通用条款》</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（4）到货地点与一览表不符</w:t>
      </w:r>
      <w:r>
        <w:rPr>
          <w:rFonts w:ascii="SimSun" w:hAnsi="SimSun" w:eastAsia="SimSun" w:cs="SimSun"/>
          <w:color w:val="000000" w:themeColor="text1"/>
          <w:sz w:val="24"/>
          <w:u w:val="single"/>
        </w:rPr>
        <w:t xml:space="preserve">：按《通用条款》</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（5）供应数量与一览表不符</w:t>
      </w:r>
      <w:r>
        <w:rPr>
          <w:rFonts w:ascii="SimSun" w:hAnsi="SimSun" w:eastAsia="SimSun" w:cs="SimSun"/>
          <w:color w:val="000000" w:themeColor="text1"/>
          <w:sz w:val="24"/>
          <w:u w:val="single"/>
        </w:rPr>
        <w:t xml:space="preserve">：按《通用条款》</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（6）到货时间与一览表不符</w:t>
      </w:r>
      <w:r>
        <w:rPr>
          <w:rFonts w:ascii="SimSun" w:hAnsi="SimSun" w:eastAsia="SimSun" w:cs="SimSun"/>
          <w:color w:val="000000" w:themeColor="text1"/>
          <w:sz w:val="24"/>
          <w:u w:val="single"/>
        </w:rPr>
        <w:t xml:space="preserve">：按《通用条款》</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20.2发包人供应材料设备的结算方法：列入本工程结算。</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21、承包人采购材料设备</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21.1承包人采购材料设备的约定：承包人负责采购材料设备的，应按照约定及设计和有关标准要求采购，并提供产品合格证明，对材料设备质量负责。承包人在材料设备到货前24小时通知工程师清点。</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21.2 发包人对承包人进场的材料：如无出厂证、合格证、检测证的有权指令限定时间内退出工地，并处罚合同金额的2%，承包人应无条件接受。</w:t>
      </w:r>
      <w:r>
        <w:rPr>
          <w:color w:val="000000" w:themeColor="text1"/>
        </w:rPr>
      </w:r>
    </w:p>
    <w:p>
      <w:pPr>
        <w:pStyle w:val="797"/>
        <w:ind w:left="0" w:right="0" w:firstLine="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八、工程变更</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22.1  所有工程量清单以外的增加项目必须经发包人书面流转同意方可实施。</w:t>
      </w:r>
      <w:r>
        <w:rPr>
          <w:color w:val="000000" w:themeColor="text1"/>
        </w:rPr>
      </w:r>
    </w:p>
    <w:p>
      <w:pPr>
        <w:ind w:left="0" w:right="0" w:firstLine="36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22.2  所申报的签证变更费用将在竣工结算时调整，中间支付不作考虑。任何时候施工单位不得以变更费用未核定或者对核定价格有争议为借口影响施工。</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23、其他变更</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23.1在工程实施过程中，发包人发出的设计变更、签证，增减或调整工作内容及施工进度、变更材料、材质的指令等，是合同的一部分，承包人须无条件按发包人的要求实施并承担合同义务，否则视作违约。相关签证变更原则上应按清单范围内调整，超过清单范围的不予签证变更。</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23.2发生变更、施工条件变化等，要由发包人确认方为有效；由于设计变更、现场签证等引起的清单项目工程数量的增减，按实审计；本工程原则上不允许发生清单外内容的签证变更。</w:t>
      </w:r>
      <w:r>
        <w:rPr>
          <w:color w:val="000000" w:themeColor="text1"/>
        </w:rPr>
      </w:r>
    </w:p>
    <w:p>
      <w:pPr>
        <w:ind w:left="0" w:right="0" w:firstLine="480"/>
        <w:jc w:val="both"/>
        <w:spacing w:before="240" w:after="240" w:line="520"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23.3 变更部分明确须执行《望亭镇建设工程项目管理实施细则（试行）》变更相关规定，严格执行变更备案管理程序。</w:t>
      </w:r>
      <w:r>
        <w:rPr>
          <w:color w:val="000000" w:themeColor="text1"/>
        </w:rPr>
      </w:r>
    </w:p>
    <w:p>
      <w:pPr>
        <w:pStyle w:val="797"/>
        <w:ind w:left="0" w:right="0" w:firstLine="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九、竣工验收与结算</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24、竣工验收</w:t>
      </w:r>
      <w:r>
        <w:rPr>
          <w:color w:val="000000" w:themeColor="text1"/>
        </w:rPr>
      </w:r>
    </w:p>
    <w:p>
      <w:pPr>
        <w:ind w:left="0" w:right="0" w:firstLine="36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工程竣工验收必须具备以下条件，否则，发包人不予组织竣工验收；</w:t>
      </w:r>
      <w:r>
        <w:rPr>
          <w:color w:val="000000" w:themeColor="text1"/>
        </w:rPr>
      </w:r>
    </w:p>
    <w:p>
      <w:pPr>
        <w:ind w:left="-72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（1）完成按磋商文件、工程量清单和施工合同约定的工程范围的全部工作内容；</w:t>
      </w:r>
      <w:r>
        <w:rPr>
          <w:color w:val="000000" w:themeColor="text1"/>
        </w:rPr>
      </w:r>
    </w:p>
    <w:p>
      <w:pPr>
        <w:ind w:left="-72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（2）承包人已完成现场的清理工作。</w:t>
      </w:r>
      <w:r>
        <w:rPr>
          <w:color w:val="000000" w:themeColor="text1"/>
        </w:rPr>
      </w:r>
    </w:p>
    <w:p>
      <w:pPr>
        <w:ind w:left="-72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（3）工程师认为工程的所有部分均随时可以占据和使用。</w:t>
      </w:r>
      <w:r>
        <w:rPr>
          <w:color w:val="000000" w:themeColor="text1"/>
        </w:rPr>
      </w:r>
    </w:p>
    <w:p>
      <w:pPr>
        <w:ind w:left="-72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（4）法律规定的其他竣工验收应具备的条件。</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24.1承包人提供竣工图的约定：</w:t>
      </w:r>
      <w:r>
        <w:rPr>
          <w:rFonts w:ascii="SimSun" w:hAnsi="SimSun" w:eastAsia="SimSun" w:cs="SimSun"/>
          <w:color w:val="000000" w:themeColor="text1"/>
          <w:sz w:val="24"/>
          <w:u w:val="single"/>
        </w:rPr>
        <w:t xml:space="preserve">无。</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24.2中间交工工程的范围和竣工时间：</w:t>
      </w:r>
      <w:r>
        <w:rPr>
          <w:rFonts w:ascii="SimSun" w:hAnsi="SimSun" w:eastAsia="SimSun" w:cs="SimSun"/>
          <w:color w:val="000000" w:themeColor="text1"/>
          <w:sz w:val="24"/>
          <w:u w:val="single"/>
        </w:rPr>
        <w:t xml:space="preserve">按照规范</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24.3工程竣工验收通过后10日内,承包人应该向发包人移交工程。</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（1）承包人逾期移交的或未履行发包人为实现本合同所提要求的，应按照每天万分之四支付逾期违约金，同时承担发包人因此遭致的损失费用。</w:t>
      </w:r>
      <w:r>
        <w:rPr>
          <w:color w:val="000000" w:themeColor="text1"/>
        </w:rPr>
      </w:r>
    </w:p>
    <w:p>
      <w:pPr>
        <w:ind w:left="0" w:right="0" w:firstLine="315"/>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25.竣工结算</w:t>
      </w:r>
      <w:r>
        <w:rPr>
          <w:color w:val="000000" w:themeColor="text1"/>
        </w:rPr>
      </w:r>
    </w:p>
    <w:p>
      <w:pPr>
        <w:ind w:left="0" w:right="0" w:firstLine="36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25.1</w:t>
      </w:r>
      <w:r>
        <w:rPr>
          <w:rFonts w:ascii="SimSun" w:hAnsi="SimSun" w:eastAsia="SimSun" w:cs="SimSun"/>
          <w:color w:val="000000" w:themeColor="text1"/>
          <w:sz w:val="24"/>
          <w:u w:val="single"/>
        </w:rPr>
        <w:t xml:space="preserve">本工程的结算结果将以审计结果为准。</w:t>
      </w:r>
      <w:r>
        <w:rPr>
          <w:color w:val="000000" w:themeColor="text1"/>
        </w:rPr>
      </w:r>
    </w:p>
    <w:p>
      <w:pPr>
        <w:ind w:left="0" w:right="0" w:firstLine="360"/>
        <w:jc w:val="both"/>
        <w:spacing w:before="0" w:after="0" w:line="85" w:lineRule="atLeast"/>
        <w:shd w:val="clear" w:color="ffffff" w:themeColor="background1" w:fill="ffffff" w:themeFill="background1"/>
        <w:tabs>
          <w:tab w:val="left" w:pos="72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25.2</w:t>
      </w:r>
      <w:r>
        <w:rPr>
          <w:rFonts w:ascii="SimSun" w:hAnsi="SimSun" w:eastAsia="SimSun" w:cs="SimSun"/>
          <w:color w:val="000000" w:themeColor="text1"/>
          <w:sz w:val="24"/>
          <w:u w:val="single"/>
        </w:rPr>
        <w:t xml:space="preserve">一旦双方确认了竣工结算报告，则视为：双方一致同意该结算书的结算价款，工程涉及到的所有费用已经包括在上述结算金额之中。</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25.3承包人提交竣工结算申请单的期限和竣工结算申请单应包括的内容：</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A、发包人在竣工验收通过之后，承包人应在60天内提交完整的结算报告，经监理人审定后办理工程审计。如超过60天，承包人仍未提交完整的结算报告，每拖延1天应向发包人支付签约合同价的万分之四的违约金。超过150天，按上述支付违约金外，甲方按照以下处理：如承包人在工程竣工后150日内不向发包人报送工程结算报告及完善竣工结算资料，在发包人书面催告的期限内仍未提供的，则发包人有权自行委托造价审价单位根据已有资料进行竣工结算审价，审价单位审定价格即为本工程竣工结算造价。</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B、本工程的竣工结算在工程竣工验收合格后，发包人在承包人提交经总监审定的完整的结算报告后应办理工程审计。双方尚未结清的价款，均为工程结算尾款。一旦双方确认了工程结算审计报告，则视为：双方一致同意该结算报告的结算价款，工程涉及到的所有费用已经包括在上述结算金额之中；一旦发包人根据最终结算报告付清了工程结算尾款，则按照双方已经签署的建设工程保修合同执行外，承包人承诺不再向发包人申请任何价款，这些不应再申请的价款包括但不限于本工程可能存在其他工程价款、工程变更价款、合同价款调整、工程索赔款等。</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C、结算仅认可按招标人工程管理制度规定的正常流程审批备案的工程变更，签证单、技术核定单、联系单、通知单等未经过审批签认形成工程变更报批表将不予结算。如投标人提交的送审清单数量有误或送审金额误差较大，导致最终审计核减率超出5%（含5%）或核增，则投标人支付相关审计费用。</w:t>
      </w:r>
      <w:r>
        <w:rPr>
          <w:color w:val="000000" w:themeColor="text1"/>
        </w:rPr>
      </w:r>
    </w:p>
    <w:p>
      <w:pPr>
        <w:ind w:left="0" w:right="0" w:firstLine="36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25.4送审资料需一次性报送，除审计另有要求外，审计过程中不再接收补充资料。乙方接到“工程结算审定单”确认签字的通知后，需在7天内确认并签字，逾期视为同意。</w:t>
      </w:r>
      <w:r>
        <w:rPr>
          <w:color w:val="000000" w:themeColor="text1"/>
        </w:rPr>
      </w:r>
    </w:p>
    <w:p>
      <w:pPr>
        <w:pStyle w:val="797"/>
        <w:ind w:left="0" w:right="0" w:firstLine="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十、违约、索赔和争议</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26、违约</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26.1本合同中关于发包人违约的具体责任如下：</w:t>
      </w:r>
      <w:r>
        <w:rPr>
          <w:color w:val="000000" w:themeColor="text1"/>
        </w:rPr>
      </w:r>
    </w:p>
    <w:p>
      <w:pPr>
        <w:ind w:left="0" w:right="0" w:firstLine="7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本合同通用条款约定发包人违约应承担的违约责任：</w:t>
      </w:r>
      <w:r>
        <w:rPr>
          <w:rFonts w:ascii="SimSun" w:hAnsi="SimSun" w:eastAsia="SimSun" w:cs="SimSun"/>
          <w:color w:val="000000" w:themeColor="text1"/>
          <w:sz w:val="24"/>
          <w:u w:val="single"/>
        </w:rPr>
        <w:t xml:space="preserve">发包人不按约定时间支付工程款，应按</w:t>
      </w:r>
      <w:r>
        <w:rPr>
          <w:rFonts w:ascii="SimSun" w:hAnsi="SimSun" w:eastAsia="SimSun" w:cs="SimSun"/>
          <w:color w:val="000000" w:themeColor="text1"/>
          <w:sz w:val="24"/>
          <w:u w:val="single"/>
        </w:rPr>
        <w:t xml:space="preserve">一年期LPR计算</w:t>
      </w:r>
      <w:r>
        <w:rPr>
          <w:rFonts w:ascii="SimSun" w:hAnsi="SimSun" w:eastAsia="SimSun" w:cs="SimSun"/>
          <w:color w:val="000000" w:themeColor="text1"/>
          <w:sz w:val="24"/>
          <w:u w:val="single"/>
        </w:rPr>
        <w:t xml:space="preserve">支付拖欠工程款的利息。</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本合同通用条款约定发包人违约应承担的违约责任：</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本合同通用条款约定发包人违约应承担的违约责任：</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双方约定的发包人其他违约责任：</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26.2本合同中关于承包人违约的具体责任如下：</w:t>
      </w:r>
      <w:r>
        <w:rPr>
          <w:color w:val="000000" w:themeColor="text1"/>
        </w:rPr>
      </w:r>
    </w:p>
    <w:p>
      <w:pPr>
        <w:ind w:left="0" w:right="0" w:firstLine="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本合同通用条款约定承包人违约承担的违约责任：</w:t>
      </w:r>
      <w:r>
        <w:rPr>
          <w:rFonts w:ascii="SimSun" w:hAnsi="SimSun" w:eastAsia="SimSun" w:cs="SimSun"/>
          <w:color w:val="000000" w:themeColor="text1"/>
          <w:sz w:val="24"/>
          <w:u w:val="single"/>
        </w:rPr>
        <w:t xml:space="preserve">工程质量达不到约定质量标准的，承包人必须自费进行返工；经返工质量仍达不到约定质量等级的，必须承担不合格部分工程造价20%的质量违约金，同时由承包人负责对不合格工程继续整改或返工，直至验收合格，并承担一切费用。</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双方约定的承包人其他违约责任：</w:t>
      </w:r>
      <w:r>
        <w:rPr>
          <w:color w:val="000000" w:themeColor="text1"/>
        </w:rPr>
      </w:r>
    </w:p>
    <w:p>
      <w:pPr>
        <w:numPr>
          <w:ilvl w:val="0"/>
          <w:numId w:val="29"/>
        </w:numPr>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承包人如在施工中如有偷工减料或使用不合格原材料的行为，每发现一次，承包人除应整改至合格之外，应向发包人支付违约金1000元，该违约金不足以弥补发包人损失的，承包人应继续承担赔偿责任；</w:t>
      </w:r>
      <w:r>
        <w:rPr>
          <w:color w:val="000000" w:themeColor="text1"/>
        </w:rPr>
      </w:r>
    </w:p>
    <w:p>
      <w:pPr>
        <w:numPr>
          <w:ilvl w:val="0"/>
          <w:numId w:val="29"/>
        </w:numPr>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承包人如拖欠民工工资引起民工上访事件将视为承包人违约，发包人有权要求承包人向其支付1万元/次的违约金。如因承包人原因导致发包人垫付民工工资的，承包人应按发包人垫付金额向发包人支付违约金。该违约金不足以弥补发包人损失的，承包人应继续承担赔偿责任。</w:t>
      </w:r>
      <w:r>
        <w:rPr>
          <w:color w:val="000000" w:themeColor="text1"/>
        </w:rPr>
      </w:r>
    </w:p>
    <w:p>
      <w:pPr>
        <w:numPr>
          <w:ilvl w:val="0"/>
          <w:numId w:val="29"/>
        </w:numPr>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如因承包人原因导致本合同提前解除，承包人应向发包人支付合同总价</w:t>
      </w:r>
      <w:r>
        <w:rPr>
          <w:rFonts w:ascii="SimSun" w:hAnsi="SimSun" w:eastAsia="SimSun" w:cs="SimSun"/>
          <w:color w:val="000000" w:themeColor="text1"/>
          <w:sz w:val="24"/>
          <w:u w:val="single"/>
        </w:rPr>
        <w:t xml:space="preserve">3</w:t>
      </w:r>
      <w:r>
        <w:rPr>
          <w:rFonts w:ascii="SimSun" w:hAnsi="SimSun" w:eastAsia="SimSun" w:cs="SimSun"/>
          <w:color w:val="000000" w:themeColor="text1"/>
          <w:sz w:val="24"/>
        </w:rPr>
        <w:t xml:space="preserve">0%的违约金，该违约金不足以弥补发包人损失的，承包人应继续承担赔偿责任。</w:t>
      </w:r>
      <w:r>
        <w:rPr>
          <w:color w:val="000000" w:themeColor="text1"/>
        </w:rPr>
      </w:r>
    </w:p>
    <w:p>
      <w:pPr>
        <w:numPr>
          <w:ilvl w:val="0"/>
          <w:numId w:val="29"/>
        </w:numPr>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竣工验收合格后三个月内，施工单位须将制作整理的竣工结算材料送至建设（管理）单位，由建设（管理）单位按规定送至审计监督岗登记送审。如施工单位拒不配合导致逾期送审，中标金额超过400万（含）的项目，每逾期一周扣除工程款 10000 元；中标金额低于 400 万的项目，每逾期一周扣除工程款2000元（按项目金额选择对应的扣款）。上述违约金不足以弥补发包人损失的，承包人应继续承担赔偿责任。</w:t>
      </w:r>
      <w:r>
        <w:rPr>
          <w:color w:val="000000" w:themeColor="text1"/>
        </w:rPr>
      </w:r>
    </w:p>
    <w:p>
      <w:pPr>
        <w:numPr>
          <w:ilvl w:val="0"/>
          <w:numId w:val="29"/>
        </w:numPr>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承包人于本合同项下所有需承担的违约金，承包人同意发包人有权直接从应付承包人的款项中直接予以扣除。</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26.3关于承包人违约解除合同的特别约定：</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除常规工期、质量、安全文明违约条款外，合同内须明确乙方逾期开工、不履行合同的违约责任。可参照：</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（1）承包人未按合同约定派驻项目经理，导致项目施工无法正常开展的。</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（2）承包人明确表示或者以其行为表明不履行合同主要义务的。</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因承包人违约导致合同无法履行，发包人可以要求解除合同，同时发包人有权向承包人收取合同标的额30%的违约金，由此给发包人造成的损失超过此金额的，须当对超过部分予以赔偿。</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对逾期未开工的（具体开工日期以开工报告或开工指令单为准），发包人有权向承包人收取2万元违约金，由此给发包人造成的损失超过此金额的，须当对超过部分予以赔偿。若严重影响了甲方的项目进度和计划</w:t>
      </w:r>
      <w:r>
        <w:rPr>
          <w:rFonts w:ascii="SimSun" w:hAnsi="SimSun" w:eastAsia="SimSun" w:cs="SimSun"/>
          <w:color w:val="000000" w:themeColor="text1"/>
          <w:sz w:val="24"/>
          <w:u w:val="single"/>
        </w:rPr>
        <w:t xml:space="preserve">的60天</w:t>
      </w:r>
      <w:r>
        <w:rPr>
          <w:rFonts w:ascii="SimSun" w:hAnsi="SimSun" w:eastAsia="SimSun" w:cs="SimSun"/>
          <w:color w:val="000000" w:themeColor="text1"/>
          <w:sz w:val="24"/>
        </w:rPr>
        <w:t xml:space="preserve">，甲方有权解除与乙方签订的施工合同</w:t>
      </w:r>
      <w:r>
        <w:rPr>
          <w:rFonts w:ascii="SimSun" w:hAnsi="SimSun" w:eastAsia="SimSun" w:cs="SimSun"/>
          <w:color w:val="000000" w:themeColor="text1"/>
          <w:sz w:val="24"/>
          <w:u w:val="single"/>
        </w:rPr>
        <w:t xml:space="preserve">，并要求乙方承担合同总额30%计取的违约金</w:t>
      </w:r>
      <w:r>
        <w:rPr>
          <w:rFonts w:ascii="SimSun" w:hAnsi="SimSun" w:eastAsia="SimSun" w:cs="SimSun"/>
          <w:color w:val="000000" w:themeColor="text1"/>
          <w:sz w:val="24"/>
        </w:rPr>
        <w:t xml:space="preserve">。</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27、争议</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27.1双方约定，在履行合同过程中产生争议时：</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（1）请建设行政主管部门</w:t>
      </w:r>
      <w:r>
        <w:rPr>
          <w:rFonts w:ascii="SimSun" w:hAnsi="SimSun" w:eastAsia="SimSun" w:cs="SimSun"/>
          <w:color w:val="000000" w:themeColor="text1"/>
          <w:sz w:val="24"/>
          <w:u w:val="single"/>
        </w:rPr>
        <w:t xml:space="preserve">调解；</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（2）调解不成的，向</w:t>
      </w:r>
      <w:r>
        <w:rPr>
          <w:rFonts w:ascii="SimSun" w:hAnsi="SimSun" w:eastAsia="SimSun" w:cs="SimSun"/>
          <w:color w:val="000000" w:themeColor="text1"/>
          <w:sz w:val="24"/>
          <w:u w:val="single"/>
        </w:rPr>
        <w:t xml:space="preserve">工程所在地</w:t>
      </w:r>
      <w:r>
        <w:rPr>
          <w:rFonts w:ascii="SimSun" w:hAnsi="SimSun" w:eastAsia="SimSun" w:cs="SimSun"/>
          <w:color w:val="000000" w:themeColor="text1"/>
          <w:sz w:val="24"/>
        </w:rPr>
        <w:t xml:space="preserve">人民法院提起诉讼。</w:t>
      </w:r>
      <w:r>
        <w:rPr>
          <w:color w:val="000000" w:themeColor="text1"/>
        </w:rPr>
      </w:r>
    </w:p>
    <w:p>
      <w:pPr>
        <w:pStyle w:val="797"/>
        <w:ind w:left="0" w:right="0" w:firstLine="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十一、其他</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28、工程分包</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28.1本工程发包人同意承包人分包的工程：</w:t>
      </w:r>
      <w:r>
        <w:rPr>
          <w:rFonts w:ascii="SimSun" w:hAnsi="SimSun" w:eastAsia="SimSun" w:cs="SimSun"/>
          <w:color w:val="000000" w:themeColor="text1"/>
          <w:sz w:val="24"/>
          <w:u w:val="single"/>
        </w:rPr>
        <w:t xml:space="preserve">本工程发包人不同意分包。</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分包施工单位为：</w:t>
      </w:r>
      <w:r>
        <w:rPr>
          <w:rFonts w:ascii="SimSun" w:hAnsi="SimSun" w:eastAsia="SimSun" w:cs="SimSun"/>
          <w:color w:val="000000" w:themeColor="text1"/>
          <w:sz w:val="24"/>
          <w:u w:val="single"/>
        </w:rPr>
        <w:t xml:space="preserve">如实际施工中确有需要分包的情况发生，承包人必须首先征得发包人书面同意。分包人必须具有相应的资质条件和类似工程的业绩，经发包人审核同意后方可进场。</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29、不可抗力</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29.1双方关于不可抗力的约定：</w:t>
      </w:r>
      <w:r>
        <w:rPr>
          <w:rFonts w:ascii="SimSun" w:hAnsi="SimSun" w:eastAsia="SimSun" w:cs="SimSun"/>
          <w:color w:val="000000" w:themeColor="text1"/>
          <w:sz w:val="24"/>
          <w:u w:val="single"/>
        </w:rPr>
        <w:t xml:space="preserve">按通用条款执行。</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30、保险</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30.1本工程双方约定投保内容如下：</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（1）发包人投保内容：发包人的</w:t>
      </w:r>
      <w:r>
        <w:rPr>
          <w:rFonts w:ascii="SimSun" w:hAnsi="SimSun" w:eastAsia="SimSun" w:cs="SimSun"/>
          <w:color w:val="000000" w:themeColor="text1"/>
          <w:sz w:val="24"/>
          <w:u w:val="single"/>
        </w:rPr>
        <w:t xml:space="preserve">无</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发包人委托承包人办理的保险事项：</w:t>
      </w:r>
      <w:r>
        <w:rPr>
          <w:rFonts w:ascii="SimSun" w:hAnsi="SimSun" w:eastAsia="SimSun" w:cs="SimSun"/>
          <w:color w:val="000000" w:themeColor="text1"/>
          <w:sz w:val="24"/>
          <w:u w:val="single"/>
        </w:rPr>
        <w:t xml:space="preserve">无</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（2）承包人投保内容：</w:t>
      </w:r>
      <w:r>
        <w:rPr>
          <w:rFonts w:ascii="SimSun" w:hAnsi="SimSun" w:eastAsia="SimSun" w:cs="SimSun"/>
          <w:color w:val="000000" w:themeColor="text1"/>
          <w:sz w:val="24"/>
          <w:u w:val="single"/>
        </w:rPr>
        <w:t xml:space="preserve">按苏州市有关工程保险规定，包括不限于意外险、建筑工程一切险、职业责任险。</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31、担保</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31.1本工程双方约定担保事项如下：</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(1)发包人向承包人提供履约担保，担保方式为：</w:t>
      </w:r>
      <w:r>
        <w:rPr>
          <w:rFonts w:ascii="SimSun" w:hAnsi="SimSun" w:eastAsia="SimSun" w:cs="SimSun"/>
          <w:color w:val="000000" w:themeColor="text1"/>
          <w:sz w:val="24"/>
          <w:u w:val="single"/>
        </w:rPr>
        <w:t xml:space="preserve">  / </w:t>
      </w:r>
      <w:r>
        <w:rPr>
          <w:rFonts w:ascii="SimSun" w:hAnsi="SimSun" w:eastAsia="SimSun" w:cs="SimSun"/>
          <w:color w:val="000000" w:themeColor="text1"/>
          <w:sz w:val="24"/>
        </w:rPr>
        <w:t xml:space="preserve">，担保合同作为本合同附件。</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(2)承包人向发包人提供履约担保，担保方式为：</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(3)双方约定的其他担保事项：</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32、合同份数</w:t>
      </w:r>
      <w:r>
        <w:rPr>
          <w:color w:val="000000" w:themeColor="text1"/>
        </w:rPr>
      </w:r>
    </w:p>
    <w:p>
      <w:pPr>
        <w:ind w:left="0" w:right="0" w:firstLine="42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33.1双方约定合同副本份数：</w:t>
      </w:r>
      <w:r>
        <w:rPr>
          <w:rFonts w:ascii="SimSun" w:hAnsi="SimSun" w:eastAsia="SimSun" w:cs="SimSun"/>
          <w:color w:val="000000" w:themeColor="text1"/>
          <w:sz w:val="24"/>
          <w:u w:val="single"/>
        </w:rPr>
        <w:t xml:space="preserve">一式</w:t>
      </w:r>
      <w:r>
        <w:rPr>
          <w:rFonts w:ascii="SimSun" w:hAnsi="SimSun" w:eastAsia="SimSun" w:cs="SimSun"/>
          <w:b/>
          <w:color w:val="000000" w:themeColor="text1"/>
          <w:sz w:val="24"/>
          <w:u w:val="single"/>
        </w:rPr>
        <w:t xml:space="preserve">陆</w:t>
      </w:r>
      <w:r>
        <w:rPr>
          <w:rFonts w:ascii="SimSun" w:hAnsi="SimSun" w:eastAsia="SimSun" w:cs="SimSun"/>
          <w:color w:val="000000" w:themeColor="text1"/>
          <w:sz w:val="24"/>
          <w:u w:val="single"/>
        </w:rPr>
        <w:t xml:space="preserve">份，合同双方各执</w:t>
      </w:r>
      <w:r>
        <w:rPr>
          <w:rFonts w:ascii="SimSun" w:hAnsi="SimSun" w:eastAsia="SimSun" w:cs="SimSun"/>
          <w:b/>
          <w:color w:val="000000" w:themeColor="text1"/>
          <w:sz w:val="24"/>
          <w:u w:val="single"/>
        </w:rPr>
        <w:t xml:space="preserve">贰</w:t>
      </w:r>
      <w:r>
        <w:rPr>
          <w:rFonts w:ascii="SimSun" w:hAnsi="SimSun" w:eastAsia="SimSun" w:cs="SimSun"/>
          <w:color w:val="000000" w:themeColor="text1"/>
          <w:sz w:val="24"/>
          <w:u w:val="single"/>
        </w:rPr>
        <w:t xml:space="preserve">份，采购人</w:t>
      </w:r>
      <w:r>
        <w:rPr>
          <w:rFonts w:ascii="SimSun" w:hAnsi="SimSun" w:eastAsia="SimSun" w:cs="SimSun"/>
          <w:b/>
          <w:color w:val="000000" w:themeColor="text1"/>
          <w:sz w:val="24"/>
          <w:u w:val="single"/>
        </w:rPr>
        <w:t xml:space="preserve">壹</w:t>
      </w:r>
      <w:r>
        <w:rPr>
          <w:rFonts w:ascii="SimSun" w:hAnsi="SimSun" w:eastAsia="SimSun" w:cs="SimSun"/>
          <w:color w:val="000000" w:themeColor="text1"/>
          <w:sz w:val="24"/>
          <w:u w:val="single"/>
        </w:rPr>
        <w:t xml:space="preserve">份，采购代理机构</w:t>
      </w:r>
      <w:r>
        <w:rPr>
          <w:rFonts w:ascii="SimSun" w:hAnsi="SimSun" w:eastAsia="SimSun" w:cs="SimSun"/>
          <w:b/>
          <w:color w:val="000000" w:themeColor="text1"/>
          <w:sz w:val="24"/>
          <w:u w:val="single"/>
        </w:rPr>
        <w:t xml:space="preserve">壹</w:t>
      </w:r>
      <w:r>
        <w:rPr>
          <w:rFonts w:ascii="SimSun" w:hAnsi="SimSun" w:eastAsia="SimSun" w:cs="SimSun"/>
          <w:color w:val="000000" w:themeColor="text1"/>
          <w:sz w:val="24"/>
          <w:u w:val="single"/>
        </w:rPr>
        <w:t xml:space="preserve">份。</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33.2本项目所涉及的材料，中标单位（承包人）在实际进场施工前均须提供材料样品，经建设单位、设计单位及监理单位三方确认并封样后方可预订、采购。</w:t>
      </w:r>
      <w:r>
        <w:rPr>
          <w:color w:val="000000" w:themeColor="text1"/>
        </w:rPr>
      </w:r>
    </w:p>
    <w:p>
      <w:pPr>
        <w:ind w:left="0" w:right="0" w:firstLine="105"/>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34、补充条款</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（1）本工程必须执行国家相关规范、规定的要求，工程质量等级达到设计要求，如达不到设计要求，工程不合格，承包人应承担由此产生的一切经济和法律责任。</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（2）工程付款：合同中已约定。</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（3）承包人应对其在施工场地的工作人员进行安全教育，并对他们的安全负责。</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（4）发包人有权根据工程的实际情况增加或减少施工范围和施工内容，承包人不得以任何理由拒绝。</w:t>
      </w:r>
      <w:r>
        <w:rPr>
          <w:color w:val="000000" w:themeColor="text1"/>
        </w:rPr>
      </w:r>
    </w:p>
    <w:p>
      <w:pPr>
        <w:ind w:left="0" w:right="0" w:firstLine="24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（5）本合同未尽事宜，双方友好协商解决。</w:t>
      </w:r>
      <w:r>
        <w:rPr>
          <w:color w:val="000000" w:themeColor="text1"/>
        </w:rPr>
      </w:r>
    </w:p>
    <w:p>
      <w:pPr>
        <w:ind w:left="0" w:right="0" w:firstLine="422"/>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35、安全文明施工</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1）施工场地清洁卫生的要求：按照苏州市现场施工清洁卫生规定执行；如违反规定要求承包人应承担当地行政执法部门的处罚费用，并将被发包人视为违约，发包人将对承包人处以同等数额的违约金并在工程结算中予以扣除。承包人在施工期间，负责定期将施工场地范围内的建筑垃圾、建筑杂物、临时道路、生活垃圾等清理干净，并及时清除出施工现场。如承包人不清理或清理不干净，发包人有权委托其它单位或个人清理，所产生的一切费用由承包人负责，发包人在工程款结算时在承包人的工程款中扣除。防止建筑工地扬尘、工程车抛洒滴漏。施工通道应经常进行洒水降</w:t>
      </w:r>
      <w:r>
        <w:rPr>
          <w:rFonts w:ascii="SimSun" w:hAnsi="SimSun" w:eastAsia="SimSun" w:cs="SimSun"/>
          <w:color w:val="000000" w:themeColor="text1"/>
          <w:sz w:val="24"/>
          <w:u w:val="single"/>
        </w:rPr>
        <w:t xml:space="preserve">尘，严禁施工车辆抛洒滴漏污染道路，施工车辆驰向城市道路前，必须经冲洗场冲洗干净，杜绝车轮夹泥上路。从承包人施工起点起的上、下游各150米范围内的现有雨、污水管道被垃圾堵塞，必须由承包人清除。因此原因造成相关职能部门处罚时，同样也将被发包人视为违约，故承包人除支付相关职能部门罚金外，还须承担违约金5000元/次。该款项无需经承包人同意，由发包人直接在履约保函或应付未付的工程款中扣除。</w:t>
      </w:r>
      <w:r>
        <w:rPr>
          <w:color w:val="000000" w:themeColor="text1"/>
        </w:rPr>
      </w:r>
    </w:p>
    <w:p>
      <w:pPr>
        <w:ind w:left="0" w:right="0" w:firstLine="24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36、建筑垃圾清运专项约定</w:t>
      </w:r>
      <w:r>
        <w:rPr>
          <w:color w:val="000000" w:themeColor="text1"/>
        </w:rPr>
      </w:r>
    </w:p>
    <w:p>
      <w:pPr>
        <w:numPr>
          <w:ilvl w:val="0"/>
          <w:numId w:val="30"/>
        </w:numPr>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承包人在施工期间，负责定期将施工场地范围内的建筑垃圾、建筑杂物、生活垃圾等清理干净，并及时清除出施工现场。如承包人不清理或清理不干净，发包人有权委托其它单位或个人清理，所产生的一切费用由承包人负责，并支付1000~10000 元/次的违约金。发包人可从承包人的工程款中直接扣除。</w:t>
      </w:r>
      <w:r>
        <w:rPr>
          <w:color w:val="000000" w:themeColor="text1"/>
        </w:rPr>
      </w:r>
    </w:p>
    <w:p>
      <w:pPr>
        <w:numPr>
          <w:ilvl w:val="0"/>
          <w:numId w:val="30"/>
        </w:numPr>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运卸建筑垃圾的地点必须符合工程所在地相应政府部门规定，垃圾堆放场地由承包人自行选择，但是必须符合政府要求，否则，由此产生的费用，全部由承包人承担。</w:t>
      </w:r>
      <w:r>
        <w:rPr>
          <w:color w:val="000000" w:themeColor="text1"/>
        </w:rPr>
      </w:r>
    </w:p>
    <w:p>
      <w:pPr>
        <w:numPr>
          <w:ilvl w:val="0"/>
          <w:numId w:val="30"/>
        </w:numPr>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承包人的清运车辆必须符合当地政府规定的《建筑垃圾或者生活垃圾运输车辆标准》,如车厢顶部加装纵向开闭柔性结构篷布覆盖密闭装置，安装北斗兼容车载终端、驾驶室上方安装顶灯，车厢后箱喷涂放大反光牌号，车厢两侧喷涂运输企业名称，车身及车厢颜色应为苹果绿色等。</w:t>
      </w:r>
      <w:r>
        <w:rPr>
          <w:color w:val="000000" w:themeColor="text1"/>
        </w:rPr>
      </w:r>
    </w:p>
    <w:p>
      <w:pPr>
        <w:numPr>
          <w:ilvl w:val="0"/>
          <w:numId w:val="30"/>
        </w:numPr>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承包人垃圾清运人员应对发包人工地各个生活垃圾筒及垃圾箱等集中堆放垃圾进行装车。</w:t>
      </w:r>
      <w:r>
        <w:rPr>
          <w:color w:val="000000" w:themeColor="text1"/>
        </w:rPr>
      </w:r>
    </w:p>
    <w:p>
      <w:pPr>
        <w:numPr>
          <w:ilvl w:val="0"/>
          <w:numId w:val="30"/>
        </w:numPr>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根据发包人的要求，对垃圾筒及垃圾箱等集中堆放处垃圾的清理工作，确保每次垃圾清运干净，不遗留。</w:t>
      </w:r>
      <w:r>
        <w:rPr>
          <w:color w:val="000000" w:themeColor="text1"/>
        </w:rPr>
      </w:r>
    </w:p>
    <w:p>
      <w:pPr>
        <w:numPr>
          <w:ilvl w:val="0"/>
          <w:numId w:val="30"/>
        </w:numPr>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施工单位及时编制建筑垃圾处理方案并备案，确保备案率100%。建筑垃圾清运后处置需提供处置协议，接收单等，及时做好台账，相关资料需交给甲方。</w:t>
      </w:r>
      <w:r>
        <w:rPr>
          <w:color w:val="000000" w:themeColor="text1"/>
        </w:rPr>
      </w:r>
    </w:p>
    <w:p>
      <w:pPr>
        <w:numPr>
          <w:ilvl w:val="0"/>
          <w:numId w:val="30"/>
        </w:numPr>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承包人负责清运垃圾人员数量应满足发包人要求，确保现场垃圾每天清理。</w:t>
      </w:r>
      <w:r>
        <w:rPr>
          <w:color w:val="000000" w:themeColor="text1"/>
        </w:rPr>
      </w:r>
    </w:p>
    <w:p>
      <w:pPr>
        <w:numPr>
          <w:ilvl w:val="0"/>
          <w:numId w:val="30"/>
        </w:numPr>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承包人要保护好现场垃圾桶及垃圾箱等设施，如有损坏，需双倍价钱赔偿或自费负责更换新的设施。</w:t>
      </w:r>
      <w:r>
        <w:rPr>
          <w:color w:val="000000" w:themeColor="text1"/>
        </w:rPr>
      </w:r>
    </w:p>
    <w:p>
      <w:pPr>
        <w:numPr>
          <w:ilvl w:val="0"/>
          <w:numId w:val="30"/>
        </w:numPr>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垃圾清运工作严格执行工程所在地政府相应规定。</w:t>
      </w:r>
      <w:r>
        <w:rPr>
          <w:color w:val="000000" w:themeColor="text1"/>
        </w:rPr>
      </w:r>
    </w:p>
    <w:p>
      <w:pPr>
        <w:numPr>
          <w:ilvl w:val="0"/>
          <w:numId w:val="30"/>
        </w:numPr>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垃圾清运车辆必须加盖密封，确保运输过程中不散落。</w:t>
      </w:r>
      <w:r>
        <w:rPr>
          <w:color w:val="000000" w:themeColor="text1"/>
        </w:rPr>
      </w:r>
    </w:p>
    <w:p>
      <w:pPr>
        <w:ind w:left="0" w:right="0" w:firstLine="0"/>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工程质量保修书</w:t>
      </w:r>
      <w:r>
        <w:rPr>
          <w:color w:val="000000" w:themeColor="text1"/>
        </w:rPr>
      </w:r>
    </w:p>
    <w:p>
      <w:pPr>
        <w:ind w:left="0" w:right="0" w:firstLine="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发包人（全称）</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w:t>
      </w:r>
      <w:r>
        <w:rPr>
          <w:color w:val="000000" w:themeColor="text1"/>
        </w:rPr>
      </w:r>
    </w:p>
    <w:p>
      <w:pPr>
        <w:ind w:left="0" w:right="0" w:firstLine="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承包人（全称）</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w:t>
      </w:r>
      <w:r>
        <w:rPr>
          <w:color w:val="000000" w:themeColor="text1"/>
        </w:rPr>
      </w:r>
    </w:p>
    <w:p>
      <w:pPr>
        <w:ind w:left="0" w:right="0" w:firstLine="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发包人和承包人根据《中华人民共和国建筑法》和《建设工程质量管理条例》，经协商一致就</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（工程全称）签订工程质量保修书。</w:t>
      </w:r>
      <w:r>
        <w:rPr>
          <w:color w:val="000000" w:themeColor="text1"/>
        </w:rPr>
      </w:r>
    </w:p>
    <w:p>
      <w:pPr>
        <w:ind w:left="0" w:right="0" w:firstLine="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一、工程质量保修范围和内容</w:t>
      </w:r>
      <w:r>
        <w:rPr>
          <w:color w:val="000000" w:themeColor="text1"/>
        </w:rPr>
      </w:r>
    </w:p>
    <w:p>
      <w:pPr>
        <w:ind w:left="0" w:right="0" w:firstLine="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承包人在质量保修期内，按照有关法律规定和合同约定，承担工程质量保修责任。</w:t>
      </w:r>
      <w:r>
        <w:rPr>
          <w:color w:val="000000" w:themeColor="text1"/>
        </w:rPr>
      </w:r>
    </w:p>
    <w:p>
      <w:pPr>
        <w:ind w:left="0" w:right="0" w:firstLine="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color w:val="000000" w:themeColor="text1"/>
        </w:rPr>
      </w:r>
    </w:p>
    <w:p>
      <w:pPr>
        <w:ind w:left="0" w:right="0" w:firstLine="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承包人施工的所有工程</w:t>
      </w:r>
      <w:r>
        <w:rPr>
          <w:rFonts w:ascii="SimSun" w:hAnsi="SimSun" w:eastAsia="SimSun" w:cs="SimSun"/>
          <w:color w:val="000000" w:themeColor="text1"/>
          <w:sz w:val="24"/>
        </w:rPr>
        <w:t xml:space="preserve">。</w:t>
      </w:r>
      <w:r>
        <w:rPr>
          <w:color w:val="000000" w:themeColor="text1"/>
        </w:rPr>
      </w:r>
    </w:p>
    <w:p>
      <w:pPr>
        <w:ind w:left="0" w:right="0" w:firstLine="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二、质量保修期</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根据《建设工程质量管理条例》及有关规定，工程的质量保修期如下：</w:t>
      </w:r>
      <w:r>
        <w:rPr>
          <w:color w:val="000000" w:themeColor="text1"/>
        </w:rPr>
      </w:r>
    </w:p>
    <w:p>
      <w:pPr>
        <w:ind w:left="0" w:right="0" w:firstLine="12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1．地基基础工程和主体结构工程为设计文件规定的工程合理使用年限；</w:t>
      </w:r>
      <w:r>
        <w:rPr>
          <w:color w:val="000000" w:themeColor="text1"/>
        </w:rPr>
      </w:r>
    </w:p>
    <w:p>
      <w:pPr>
        <w:ind w:left="0" w:right="0" w:firstLine="12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2．屋面防水工程、有防水要求的卫生间、房间和外墙面的防渗为</w:t>
      </w:r>
      <w:r>
        <w:rPr>
          <w:rFonts w:ascii="SimSun" w:hAnsi="SimSun" w:eastAsia="SimSun" w:cs="SimSun"/>
          <w:color w:val="000000" w:themeColor="text1"/>
          <w:sz w:val="24"/>
          <w:u w:val="single"/>
        </w:rPr>
        <w:t xml:space="preserve"> \ </w:t>
      </w:r>
      <w:r>
        <w:rPr>
          <w:rFonts w:ascii="SimSun" w:hAnsi="SimSun" w:eastAsia="SimSun" w:cs="SimSun"/>
          <w:color w:val="000000" w:themeColor="text1"/>
          <w:sz w:val="24"/>
        </w:rPr>
        <w:t xml:space="preserve">年；</w:t>
      </w:r>
      <w:r>
        <w:rPr>
          <w:color w:val="000000" w:themeColor="text1"/>
        </w:rPr>
      </w:r>
    </w:p>
    <w:p>
      <w:pPr>
        <w:ind w:left="0" w:right="0" w:firstLine="12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3．装修工程为</w:t>
      </w:r>
      <w:r>
        <w:rPr>
          <w:rFonts w:ascii="SimSun" w:hAnsi="SimSun" w:eastAsia="SimSun" w:cs="SimSun"/>
          <w:color w:val="000000" w:themeColor="text1"/>
          <w:sz w:val="24"/>
          <w:u w:val="single"/>
        </w:rPr>
        <w:t xml:space="preserve"> \ </w:t>
      </w:r>
      <w:r>
        <w:rPr>
          <w:rFonts w:ascii="SimSun" w:hAnsi="SimSun" w:eastAsia="SimSun" w:cs="SimSun"/>
          <w:color w:val="000000" w:themeColor="text1"/>
          <w:sz w:val="24"/>
        </w:rPr>
        <w:t xml:space="preserve">年；</w:t>
      </w:r>
      <w:r>
        <w:rPr>
          <w:color w:val="000000" w:themeColor="text1"/>
        </w:rPr>
      </w:r>
    </w:p>
    <w:p>
      <w:pPr>
        <w:ind w:left="0" w:right="0" w:firstLine="12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4．电气管线、给排水管道、设备安装工程为</w:t>
      </w:r>
      <w:r>
        <w:rPr>
          <w:rFonts w:ascii="SimSun" w:hAnsi="SimSun" w:eastAsia="SimSun" w:cs="SimSun"/>
          <w:color w:val="000000" w:themeColor="text1"/>
          <w:sz w:val="24"/>
          <w:u w:val="single"/>
        </w:rPr>
        <w:t xml:space="preserve"> \ </w:t>
      </w:r>
      <w:r>
        <w:rPr>
          <w:rFonts w:ascii="SimSun" w:hAnsi="SimSun" w:eastAsia="SimSun" w:cs="SimSun"/>
          <w:color w:val="000000" w:themeColor="text1"/>
          <w:sz w:val="24"/>
        </w:rPr>
        <w:t xml:space="preserve">年；</w:t>
      </w:r>
      <w:r>
        <w:rPr>
          <w:color w:val="000000" w:themeColor="text1"/>
        </w:rPr>
      </w:r>
    </w:p>
    <w:p>
      <w:pPr>
        <w:ind w:left="0" w:right="0" w:firstLine="12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5．供热与供冷系统为</w:t>
      </w:r>
      <w:r>
        <w:rPr>
          <w:rFonts w:ascii="SimSun" w:hAnsi="SimSun" w:eastAsia="SimSun" w:cs="SimSun"/>
          <w:color w:val="000000" w:themeColor="text1"/>
          <w:sz w:val="24"/>
          <w:u w:val="single"/>
        </w:rPr>
        <w:t xml:space="preserve"> \ </w:t>
      </w:r>
      <w:r>
        <w:rPr>
          <w:rFonts w:ascii="SimSun" w:hAnsi="SimSun" w:eastAsia="SimSun" w:cs="SimSun"/>
          <w:color w:val="000000" w:themeColor="text1"/>
          <w:sz w:val="24"/>
        </w:rPr>
        <w:t xml:space="preserve"> 个采暖期、供冷期；</w:t>
      </w:r>
      <w:r>
        <w:rPr>
          <w:color w:val="000000" w:themeColor="text1"/>
        </w:rPr>
      </w:r>
    </w:p>
    <w:p>
      <w:pPr>
        <w:ind w:left="0" w:right="0" w:firstLine="12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6．住宅小区内的给排水设施、道路等配套工程为</w:t>
      </w:r>
      <w:r>
        <w:rPr>
          <w:rFonts w:ascii="SimSun" w:hAnsi="SimSun" w:eastAsia="SimSun" w:cs="SimSun"/>
          <w:color w:val="000000" w:themeColor="text1"/>
          <w:sz w:val="24"/>
          <w:u w:val="single"/>
        </w:rPr>
        <w:t xml:space="preserve"> \ </w:t>
      </w:r>
      <w:r>
        <w:rPr>
          <w:rFonts w:ascii="SimSun" w:hAnsi="SimSun" w:eastAsia="SimSun" w:cs="SimSun"/>
          <w:color w:val="000000" w:themeColor="text1"/>
          <w:sz w:val="24"/>
        </w:rPr>
        <w:t xml:space="preserve"> 年；</w:t>
      </w:r>
      <w:r>
        <w:rPr>
          <w:color w:val="000000" w:themeColor="text1"/>
        </w:rPr>
      </w:r>
    </w:p>
    <w:p>
      <w:pPr>
        <w:ind w:left="0" w:right="0" w:firstLine="12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7．其他项目保修期限约定如下：</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个月</w:t>
      </w:r>
      <w:r>
        <w:rPr>
          <w:color w:val="000000" w:themeColor="text1"/>
        </w:rPr>
      </w:r>
    </w:p>
    <w:p>
      <w:pPr>
        <w:ind w:left="0" w:right="0" w:firstLine="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质量保修期自工程竣工验收合格之日起计算，对于多次维修后仍不合格的分项工程，其质量保修期相应延长。</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三、缺陷责任期</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工程缺陷责任期为</w:t>
      </w:r>
      <w:r>
        <w:rPr>
          <w:rFonts w:ascii="SimSun" w:hAnsi="SimSun" w:eastAsia="SimSun" w:cs="SimSun"/>
          <w:color w:val="000000" w:themeColor="text1"/>
          <w:sz w:val="24"/>
          <w:u w:val="single"/>
        </w:rPr>
        <w:t xml:space="preserve">24</w:t>
      </w:r>
      <w:r>
        <w:rPr>
          <w:rFonts w:ascii="SimSun" w:hAnsi="SimSun" w:eastAsia="SimSun" w:cs="SimSun"/>
          <w:color w:val="000000" w:themeColor="text1"/>
          <w:sz w:val="24"/>
        </w:rPr>
        <w:t xml:space="preserve">个月，缺陷责任期自工程实际竣工之日起计算。单位工程先于全部工程进行验收，单位工程缺陷责任期自单位工程验收合格之日起算。</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四、质量保修责任</w:t>
      </w:r>
      <w:r>
        <w:rPr>
          <w:color w:val="000000" w:themeColor="text1"/>
        </w:rPr>
      </w:r>
    </w:p>
    <w:p>
      <w:pPr>
        <w:ind w:left="130" w:right="0" w:firstLine="491"/>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1．属于保修范围、内容的项目，承包人应当在接到保修通知之日起7天内派人保修。承包人不在约定期限内派人保修的，发包人可以委托他人修理。</w:t>
      </w:r>
      <w:r>
        <w:rPr>
          <w:color w:val="000000" w:themeColor="text1"/>
        </w:rPr>
      </w:r>
    </w:p>
    <w:p>
      <w:pPr>
        <w:ind w:left="130" w:right="0" w:firstLine="491"/>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2．发生紧急事故需抢修的，承包人在接到事故通知后，应当立即到达事故现场抢修。抢修费用由承包人承担，并应在发包人指定的期限内修复。</w:t>
      </w:r>
      <w:r>
        <w:rPr>
          <w:color w:val="000000" w:themeColor="text1"/>
        </w:rPr>
      </w:r>
    </w:p>
    <w:p>
      <w:pPr>
        <w:ind w:left="0" w:right="0" w:firstLine="492"/>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4．质量保修完成后，由发包人组织验收。</w:t>
      </w:r>
      <w:r>
        <w:rPr>
          <w:color w:val="000000" w:themeColor="text1"/>
        </w:rPr>
      </w:r>
    </w:p>
    <w:p>
      <w:pPr>
        <w:ind w:left="0" w:right="0" w:firstLine="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五、保修费用</w:t>
      </w:r>
      <w:r>
        <w:rPr>
          <w:color w:val="000000" w:themeColor="text1"/>
        </w:rPr>
      </w:r>
    </w:p>
    <w:p>
      <w:pPr>
        <w:ind w:left="0" w:right="0" w:firstLine="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保修费用由造成质量缺陷的责任方承担。</w:t>
      </w:r>
      <w:r>
        <w:rPr>
          <w:color w:val="000000" w:themeColor="text1"/>
        </w:rPr>
      </w:r>
    </w:p>
    <w:p>
      <w:pPr>
        <w:numPr>
          <w:ilvl w:val="0"/>
          <w:numId w:val="22"/>
        </w:numPr>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双方约定的其他工程质量保修事项：</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通用合同条款15.缺陷责任与保修不适用于本合同，删除专用合同条款附件《工程质量保修书》第二条中的“质量保修期自工程竣工验收合格之日起计算”，并重新约定为“质量保修期自工程竣工验收合格并移交之日起计算。”。删除专用合同条款附件《工程质量保修书》第三条、第四条第1款和第五条。对本合同项下工程质量保修事宜约定如下：</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属于保修范围、内容的项目，承包人应当在接到发包人保修通知之日后24小时内派人至现场勘察修理并在保修通知要求的期限内修复。承包人认为保修通知要求的修复期限不合理的，应在接到保修通知后当天内书面向发包人提出保修通知要求的修复期限不合理的理由和依据并申报延长修复期限，由发包人审核确认是否延长修复期限。发包人审核确认延长修复期限的，承包人应在发包人审核确认的修复期限内修复，否则，应在保修通知要求的期限内修复。</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发生的保修事项出现下列情形之一的，发包人可以直接进行处理，由此产生的维修费用，第三人索赔和其它的必要费用等（具体金额以发包人、第三方施工单位、第三人等签字或盖章确认为准），由发包人通知承包人后在质保金内直接扣除：</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(1)危及人身、财产安全的；</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(2)造成不能正常使用或者影响相关设施、设备正常使用的；</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(3)发包人或第三人强烈要求立即处理的；</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(4)发包人在保修事项发生后24小时内无法联系承包人维修总负责人的；</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(5)其他不及时处理会造成更大损失的情形（如自来水、污水管道爆裂、燃气管道泄漏、电缆管线挖断等）。</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除本合同另有约定外，发生紧急抢修事故的，承包人在接到事故通知后2小时内到达事故现场抢修，抢修费用由承包人承担，并在保修通知要求的期限内修复。承包人认为保修通知要求的修复期限不合理的，应在接到保修通知后当天内书面向发包人提出保修通知要求的修复期限不合理的理由和依据并申报延长修复期限，由发包人审核确认是否延长修复期限。发包人审核确认延长修复期限的，承包人应在发包人审核确认的修复期限内修复，否则，应在保修通知要求的期限内修复。</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对于涉及结构安全的质量问题，应当按照《房屋建筑工程质量保修办法》的规定，立即向当地建设行政主管部门报告，采取安全防范措施；由原设计单位或者具有相应资质等级的设计单位提出保修方案，承包人实施保修。</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除另有约定外，承包人不在上述约定期限内派人保修或在保修通知要求的期限内或承包人报请并经发包人确认的期限内不修复完毕，或同一质量问题经承包人两次维修仍未能彻底解决的，或承包人有其它未按约履行保修义务情形且在发包人书面催告的期限内仍未整改的，发包人可以在确定缺陷的范围后委托第三方维修，维修费用由承包人承担，维修费用报价单、维修工程量签证单及维修费用具体金额以发包人和第三方施工单位签字盖章确认为准，承包人无条件接受。发包人有权从质量保修金或应支付给承包人的任何款项中直接扣除前述第三方维修费用，并有权追偿不足部</w:t>
      </w:r>
      <w:r>
        <w:rPr>
          <w:rFonts w:ascii="SimSun" w:hAnsi="SimSun" w:eastAsia="SimSun" w:cs="SimSun"/>
          <w:color w:val="000000" w:themeColor="text1"/>
          <w:sz w:val="24"/>
        </w:rPr>
        <w:t xml:space="preserve">分。</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因工程质量或承包人未按约履行保修义务或实施维修工作等原因导致发包人、第三人人身财产损失的，承包人应承担发包人因此遭受的违约金、赔偿金、律师费、诉讼费、仲裁费、鉴定费及其它费用等损失的赔偿责任。前述发包人向第三人支付的违约金、赔偿金等以发包人与第三人签订的赔偿协议及支付凭证为准，承包人无条件接受。发包人有权直接从质量保证金或任何其它应付给承包人的款项扣除上述款项并向承包人追偿不足部分。</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承包人认为发包人通知保修的质量问题不属承包人原因造成的，承包人必须在收到该质量问题保修通知后3天内提供充分有效证据证明质量问题系发包人、第三人原因而非己方原因造成的，承包人未按时提供有效证据或者提供的证据不能充分有效证明质量问题系发包人、第三人原因造成的，视为该质量问题属承包人原因造成的，承包人必须无条件依约承担保修责任.</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8、无论质保期内或质保期后，承包人均应确保维修所需零备件的供应。如因零备件供应问题导致维修无法进行，则承包人应承担由此造成的相应责任和损失赔偿。</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承包人保修维修过程中应做好现场保护并做好标识，维修完毕，应恢复其原样（涉及装饰装修的恢复，应使用同档次、同规格、同品种、同颜色材料，且与原装饰装修工艺、要求、风格一致，如需变更必须经发包人书面同意；否则视为承包人未完成维修）。每次质量保修工作完成，且承包人将施工现场清理干净后，由发包织验收，承包人应取得发包人签字盖章确认该次质量保修工作通过验收的书面文件，方视为承包人履行完毕该次质量保修义务。所维修项目应保证在六个月内不再出现类似问题，否则，即使保修期满，也应该继续维修。</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10、发包人因在质保金中扣除或追偿本质量保修合同项下应由承包人承担的违约金、赔偿金、损失及相关费用而发生的诉讼费、律师费、鉴定费等费用由承包人承担。</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在质量保修期内，承包人必须固定现场维修负责人及安排必要的现场维修人员，并加盖公章向发包人提供包括本项目维保负责人及维修人员姓名、联系电话、联系地址、电子邮件及传真等信息的维保名单。该负责人负责本工程保修事宜，该负责人如有变动，应报请发包人批准，并将变动后的人员及联系方式报发包人备案。未经发包人同意，承包人不得擅自更换维保负责人，否则，视为承包人未按约履行保修义务。该负责人通讯在每天8小时工作时间内必须保证畅通，发包人接到报修后24小时内无法联系该负责人的，视为承包人拒绝维修。如发包人认为该现场维修负责</w:t>
      </w:r>
      <w:r>
        <w:rPr>
          <w:rFonts w:ascii="SimSun" w:hAnsi="SimSun" w:eastAsia="SimSun" w:cs="SimSun"/>
          <w:color w:val="000000" w:themeColor="text1"/>
          <w:sz w:val="24"/>
        </w:rPr>
        <w:t xml:space="preserve">人不能胜任工作，承包人在接通知后2日内予以更换。</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12、本保修合同中所指的发包人保修通知方式包括：直接送交、电话、传真、邮寄、手机短信、电子邮件等，采用其中任意一种方式进行通知均为有效。前述通知方式的收讫确认为：</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直接送交的，以承包人相关工作人员签收时为收讫；如发包人将通知送到承包人办公地址后，承包人相关工作人员拒绝签收的，发包人将该通知留在承包人办公场所后，视为该通知内容已送达给承包人，由此造成的一切责任及后果由承包人承担。</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电话、传真、电子邮件、手机短信等以确认发出时为收讫；如发包人按承包人提供的联系电话、传真、电子邮件地址拨打电话或发出传真、电子邮件、手机短信，而联系电话、传真、电子邮件地址不通或者被拒绝接收的，视为该通知内容已送达给承包人，由此造成的一切责任及后果由承包人承担。前述事实的确认发包人可以采用但不限于照相、录像、录音、电话记录、传真记录、电话清单、邮件保存、短信保存等任何一种方式进行均为有效。</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邮寄以承包人相关工作人员签收之时或发出邮件（以邮戳为准）后第三个工作日的中午12时为收讫（以先到达的时间为准）；如发包人按合同或承包人营业执照载明的联络地址向承包人发出邮件后，而邮件被退回或者被拒收或者代收的，自发出邮件（以邮戳为准）后第三日的中午12时即视为该邮件内容已送达给承包人，由此造成的一切责任及后果由承包人承担。</w:t>
      </w:r>
      <w:r>
        <w:rPr>
          <w:color w:val="000000" w:themeColor="text1"/>
        </w:rPr>
      </w:r>
    </w:p>
    <w:p>
      <w:pPr>
        <w:ind w:left="0" w:right="0" w:firstLine="48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工程质量保修书由发包人、承包人在工程竣工验收前共同签署，作为施工合同附件，其有效期限至保修期满。</w:t>
      </w:r>
      <w:r>
        <w:rPr>
          <w:color w:val="000000" w:themeColor="text1"/>
        </w:rPr>
      </w:r>
    </w:p>
    <w:p>
      <w:pPr>
        <w:ind w:left="0" w:right="0" w:firstLine="42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发包人(公章)：</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  承包人(公章)：</w:t>
      </w:r>
      <w:r>
        <w:rPr>
          <w:rFonts w:ascii="SimSun" w:hAnsi="SimSun" w:eastAsia="SimSun" w:cs="SimSun"/>
          <w:color w:val="000000" w:themeColor="text1"/>
          <w:sz w:val="24"/>
          <w:u w:val="single"/>
        </w:rPr>
        <w:t xml:space="preserve">                </w:t>
      </w:r>
      <w:r>
        <w:rPr>
          <w:color w:val="000000" w:themeColor="text1"/>
        </w:rPr>
      </w:r>
    </w:p>
    <w:p>
      <w:pPr>
        <w:ind w:left="0" w:right="0" w:firstLine="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地址：</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  地址： </w:t>
      </w:r>
      <w:r>
        <w:rPr>
          <w:rFonts w:ascii="SimSun" w:hAnsi="SimSun" w:eastAsia="SimSun" w:cs="SimSun"/>
          <w:color w:val="000000" w:themeColor="text1"/>
          <w:sz w:val="24"/>
          <w:u w:val="single"/>
        </w:rPr>
        <w:t xml:space="preserve">                      </w:t>
      </w:r>
      <w:r>
        <w:rPr>
          <w:color w:val="000000" w:themeColor="text1"/>
        </w:rPr>
      </w:r>
    </w:p>
    <w:p>
      <w:pPr>
        <w:ind w:left="0" w:right="0" w:firstLine="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  法定代表人：</w:t>
      </w:r>
      <w:r>
        <w:rPr>
          <w:rFonts w:ascii="SimSun" w:hAnsi="SimSun" w:eastAsia="SimSun" w:cs="SimSun"/>
          <w:color w:val="000000" w:themeColor="text1"/>
          <w:sz w:val="24"/>
          <w:u w:val="single"/>
        </w:rPr>
        <w:t xml:space="preserve">                 </w:t>
      </w:r>
      <w:r>
        <w:rPr>
          <w:color w:val="000000" w:themeColor="text1"/>
        </w:rPr>
      </w:r>
    </w:p>
    <w:p>
      <w:pPr>
        <w:ind w:left="0" w:right="0" w:firstLine="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或委托代理人(签字)：</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  或委托代理人(签字)：</w:t>
      </w:r>
      <w:r>
        <w:rPr>
          <w:rFonts w:ascii="SimSun" w:hAnsi="SimSun" w:eastAsia="SimSun" w:cs="SimSun"/>
          <w:color w:val="000000" w:themeColor="text1"/>
          <w:sz w:val="24"/>
          <w:u w:val="single"/>
        </w:rPr>
        <w:t xml:space="preserve">         </w:t>
      </w:r>
      <w:r>
        <w:rPr>
          <w:color w:val="000000" w:themeColor="text1"/>
        </w:rPr>
      </w:r>
    </w:p>
    <w:p>
      <w:pPr>
        <w:ind w:left="0" w:right="0" w:firstLine="24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 </w:t>
      </w:r>
      <w:r>
        <w:rPr>
          <w:color w:val="000000" w:themeColor="text1"/>
        </w:rPr>
      </w:r>
    </w:p>
    <w:p>
      <w:pPr>
        <w:ind w:left="0" w:right="0" w:firstLine="24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 </w:t>
      </w:r>
      <w:r>
        <w:rPr>
          <w:color w:val="000000" w:themeColor="text1"/>
        </w:rPr>
      </w:r>
    </w:p>
    <w:p>
      <w:pPr>
        <w:ind w:left="0" w:right="0" w:firstLine="24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 </w:t>
      </w:r>
      <w:r>
        <w:rPr>
          <w:color w:val="000000" w:themeColor="text1"/>
        </w:rPr>
      </w:r>
    </w:p>
    <w:p>
      <w:pPr>
        <w:ind w:left="0" w:right="0" w:firstLine="24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 </w:t>
      </w:r>
      <w:r>
        <w:rPr>
          <w:color w:val="000000" w:themeColor="text1"/>
        </w:rPr>
      </w:r>
    </w:p>
    <w:p>
      <w:pPr>
        <w:ind w:left="0" w:right="0" w:firstLine="24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 </w:t>
      </w:r>
      <w:r>
        <w:rPr>
          <w:color w:val="000000" w:themeColor="text1"/>
        </w:rPr>
      </w:r>
    </w:p>
    <w:p>
      <w:pPr>
        <w:ind w:left="0" w:right="0" w:firstLine="24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 </w:t>
      </w:r>
      <w:r>
        <w:rPr>
          <w:color w:val="000000" w:themeColor="text1"/>
        </w:rPr>
      </w:r>
    </w:p>
    <w:p>
      <w:pPr>
        <w:ind w:left="0" w:right="0" w:firstLine="24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 </w:t>
      </w:r>
      <w:r>
        <w:rPr>
          <w:color w:val="000000" w:themeColor="text1"/>
        </w:rPr>
      </w:r>
    </w:p>
    <w:p>
      <w:pPr>
        <w:ind w:left="0" w:right="0" w:firstLine="24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 </w:t>
      </w:r>
      <w:r>
        <w:rPr>
          <w:color w:val="000000" w:themeColor="text1"/>
        </w:rPr>
      </w:r>
    </w:p>
    <w:p>
      <w:pPr>
        <w:ind w:left="0" w:right="0" w:firstLine="24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 </w:t>
      </w:r>
      <w:r>
        <w:rPr>
          <w:color w:val="000000" w:themeColor="text1"/>
        </w:rPr>
      </w:r>
    </w:p>
    <w:p>
      <w:pPr>
        <w:ind w:left="0" w:right="0" w:firstLine="24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 </w:t>
      </w:r>
      <w:r>
        <w:rPr>
          <w:color w:val="000000" w:themeColor="text1"/>
        </w:rPr>
      </w:r>
    </w:p>
    <w:p>
      <w:pPr>
        <w:ind w:left="0" w:right="0" w:firstLine="24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 </w:t>
      </w:r>
      <w:r>
        <w:rPr>
          <w:color w:val="000000" w:themeColor="text1"/>
        </w:rPr>
      </w:r>
    </w:p>
    <w:p>
      <w:pPr>
        <w:ind w:left="0" w:right="0" w:firstLine="24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 </w:t>
      </w:r>
      <w:r>
        <w:rPr>
          <w:color w:val="000000" w:themeColor="text1"/>
        </w:rPr>
      </w:r>
    </w:p>
    <w:p>
      <w:pPr>
        <w:ind w:left="0" w:right="0" w:firstLine="24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 </w:t>
      </w:r>
      <w:r>
        <w:rPr>
          <w:color w:val="000000" w:themeColor="text1"/>
        </w:rPr>
      </w:r>
    </w:p>
    <w:p>
      <w:pPr>
        <w:ind w:left="0" w:right="0" w:firstLine="24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 </w:t>
      </w:r>
      <w:r>
        <w:rPr>
          <w:color w:val="000000" w:themeColor="text1"/>
        </w:rPr>
      </w:r>
    </w:p>
    <w:p>
      <w:pPr>
        <w:ind w:left="0" w:right="0" w:firstLine="24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 </w:t>
      </w:r>
      <w:r>
        <w:rPr>
          <w:color w:val="000000" w:themeColor="text1"/>
        </w:rPr>
      </w:r>
    </w:p>
    <w:p>
      <w:pPr>
        <w:ind w:left="0" w:right="0" w:firstLine="24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 </w:t>
      </w:r>
      <w:r>
        <w:rPr>
          <w:color w:val="000000" w:themeColor="text1"/>
        </w:rPr>
      </w:r>
    </w:p>
    <w:p>
      <w:pPr>
        <w:ind w:left="0" w:right="0" w:firstLine="24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 </w:t>
      </w:r>
      <w:r>
        <w:rPr>
          <w:color w:val="000000" w:themeColor="text1"/>
        </w:rPr>
      </w:r>
    </w:p>
    <w:p>
      <w:pPr>
        <w:ind w:left="0" w:right="0" w:firstLine="24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 </w:t>
      </w:r>
      <w:r>
        <w:rPr>
          <w:color w:val="000000" w:themeColor="text1"/>
        </w:rPr>
      </w:r>
    </w:p>
    <w:p>
      <w:pPr>
        <w:ind w:left="0" w:right="0" w:firstLine="24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 </w:t>
      </w:r>
      <w:r>
        <w:rPr>
          <w:color w:val="000000" w:themeColor="text1"/>
        </w:rPr>
      </w:r>
    </w:p>
    <w:p>
      <w:pPr>
        <w:ind w:left="0" w:right="0" w:firstLine="24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 </w:t>
      </w:r>
      <w:r>
        <w:rPr>
          <w:color w:val="000000" w:themeColor="text1"/>
        </w:rPr>
      </w:r>
    </w:p>
    <w:p>
      <w:pPr>
        <w:ind w:left="0" w:right="0" w:firstLine="24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 </w:t>
      </w:r>
      <w:r>
        <w:rPr>
          <w:color w:val="000000" w:themeColor="text1"/>
        </w:rPr>
      </w:r>
    </w:p>
    <w:p>
      <w:pPr>
        <w:ind w:left="0" w:right="0" w:firstLine="24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 </w:t>
      </w:r>
      <w:r>
        <w:rPr>
          <w:color w:val="000000" w:themeColor="text1"/>
        </w:rPr>
      </w:r>
    </w:p>
    <w:p>
      <w:pPr>
        <w:ind w:left="0" w:right="0" w:firstLine="138"/>
        <w:jc w:val="center"/>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rPr>
        <w:t xml:space="preserve">廉政合同</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工程项目名称：</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  </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工程项目地址：</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 </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发包人：</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 </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承包人：</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                    </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第一条双方的责任</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（一）双方应共同遵守国家和江苏省、苏州市以及行业主管部门关于加强工程建设项目管理以及党风廉政建设的各项规定。</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（二）双方应严格执行工程建设项目承发包合同文件，自觉按合同办事。</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（三）除非法律认定的商业秘密和合同文件另有规定之外，双方的业务活动应坚持公开、公正、透明的原则，严禁损害国家和集体利益、违反工程建设项目管理规章制度的不正当交易。</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（四）双方如发现对方在业务活动中有违规、违纪、违法的行为，应及时提醒对方，情节严重的，应向其上级主管部门或新区纪检监察部门举报。</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第二条发包人的责任</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发包人的领导和从事该工程建设项目的工作人员，在工程建设的事前、事中、事后应遵守以下规定：</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（一）不准向承包人和相关单位索要或接受回扣、礼金、有价证券、贵重物品和好处费等。</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（二）不准在承包人和相关单位报销任何应由发包人或个人支付的费用。</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（三）不准要求、暗示或接受承包人和相关单位为个人装修住房、婚丧嫁娶、配偶子女的工作安排以及出国（境）、旅游等提供方便。</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（四）不准参加有可能影响公正执行公务的承包人和相关单位的宴请、娱乐等活动。</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第三条承包人的责任</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承包人应与发包人保持正常的业务交往，按照有关法律法规和程序开展业务工作，严格执行工程建设的有关方针、政策，并遵守以下规定：</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（一）不准以任何理由向发包人及其工作人员索要、接受或赠送礼金、有价证券、贵重物品及回扣、好处费等。</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（二）不准以任何理由为发包人和相关单位报销应由对方或个人支付的费用。</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（三）不准接受或暗示为发包人、相关单位或个人装修住房、婚丧嫁娶、配偶子女的工作安排以及出国（境）、旅游等提供方便。</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（四）不准以任何理由为发包人、相关单位或个人组织有可能影响公正执行公务的宴请、娱乐等活动。</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第四条违约责任</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（一）发包人或发包人工作人员有违反本合同第一、二条规定的，按照管理权限，由新区纪检监察部门依据有关法律法规给予党纪、政纪处分；涉嫌犯罪的，移交司法机关追究刑事责任。</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（二）承包人或承包人工作人员有违反本合同第一、三条规定的，按照管理权限，新区纪检监察部门将建议相关建设主管部门给与相应的行政处罚；涉嫌犯罪的，移交司法机关追究刑事责任。</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第五条本合同书作为工程建设项目施工合同的附件，与工程建设项目施工合同具有同等法律效力。经双方签署后立即生效。</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第六条本合同书份数同主合同。</w:t>
      </w:r>
      <w:r>
        <w:rPr>
          <w:color w:val="000000" w:themeColor="text1"/>
        </w:rPr>
      </w:r>
    </w:p>
    <w:p>
      <w:pPr>
        <w:ind w:left="0" w:right="0" w:firstLine="48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80"/>
        <w:jc w:val="both"/>
        <w:spacing w:before="0" w:after="0" w:line="113"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发包人：（盖单位章）承包人：（盖单位章）</w:t>
      </w:r>
      <w:r>
        <w:rPr>
          <w:color w:val="000000" w:themeColor="text1"/>
        </w:rPr>
      </w:r>
    </w:p>
    <w:p>
      <w:pPr>
        <w:ind w:left="0" w:right="0" w:firstLine="480"/>
        <w:jc w:val="both"/>
        <w:spacing w:before="0" w:after="0" w:line="113"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法定代表人法定代表人</w:t>
      </w:r>
      <w:r>
        <w:rPr>
          <w:color w:val="000000" w:themeColor="text1"/>
        </w:rPr>
      </w:r>
    </w:p>
    <w:p>
      <w:pPr>
        <w:ind w:left="0" w:right="0" w:firstLine="480"/>
        <w:jc w:val="both"/>
        <w:spacing w:before="0" w:after="0" w:line="113"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委托代理人（签字）委托代理人（签字）</w:t>
      </w:r>
      <w:r>
        <w:rPr>
          <w:color w:val="000000" w:themeColor="text1"/>
        </w:rPr>
      </w:r>
    </w:p>
    <w:p>
      <w:pPr>
        <w:ind w:left="0" w:right="0" w:firstLine="480"/>
        <w:jc w:val="both"/>
        <w:spacing w:before="0" w:after="0" w:line="113"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年月日年月日</w:t>
        <w:tab/>
      </w:r>
      <w:r>
        <w:rPr>
          <w:color w:val="000000" w:themeColor="text1"/>
        </w:rPr>
      </w:r>
    </w:p>
    <w:p>
      <w:pPr>
        <w:ind w:left="0" w:right="0" w:firstLine="480"/>
        <w:jc w:val="both"/>
        <w:spacing w:before="0" w:after="0" w:line="113"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80"/>
        <w:jc w:val="both"/>
        <w:spacing w:before="0" w:after="0" w:line="113"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0" w:after="0"/>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rPr>
        <w:t xml:space="preserve"> </w:t>
      </w:r>
      <w:r>
        <w:rPr>
          <w:color w:val="000000" w:themeColor="text1"/>
        </w:rPr>
      </w:r>
    </w:p>
    <w:p>
      <w:pPr>
        <w:pStyle w:val="795"/>
        <w:ind w:left="0" w:right="0" w:firstLine="0"/>
        <w:jc w:val="center"/>
        <w:spacing w:before="12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Hei" w:hAnsi="SimHei" w:eastAsia="SimHei" w:cs="SimHei"/>
          <w:b/>
          <w:color w:val="000000" w:themeColor="text1"/>
          <w:sz w:val="44"/>
          <w:u w:val="none"/>
        </w:rPr>
        <w:t xml:space="preserve">第六章评审办法</w:t>
      </w:r>
      <w:r>
        <w:rPr>
          <w:color w:val="000000" w:themeColor="text1"/>
        </w:rPr>
      </w:r>
    </w:p>
    <w:p>
      <w:pPr>
        <w:ind w:left="0" w:right="0" w:firstLine="482"/>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一、评审办法</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 经磋商确定最终采购需求和提交最后报价的供应商后，由磋商小组采用综合评分法对提交最后报价的供应商的响应文件和最后报价进行综合评分。</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2、综合评分法是指响应文件满足磋商文件全部实质性要求且按评审因素的量化指标评审综合得分最高的供应商为成交候选供应商的评审方法。</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3、评审时，磋商小组各成员应当独立对每个有效响应的文件进行评价、打分，然后汇总每个供应商每项评分因素的得分。</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4、综合评审得分相同的，按照最后报价由低到高的顺序推荐。综合评审得分且最后报价相同的，则由磋商采购单位组织以抽签方式确定成交候选人。</w:t>
      </w:r>
      <w:r>
        <w:rPr>
          <w:color w:val="000000" w:themeColor="text1"/>
        </w:rPr>
      </w:r>
    </w:p>
    <w:p>
      <w:pPr>
        <w:ind w:left="0" w:right="0" w:firstLine="482"/>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二、评分标准： </w:t>
      </w:r>
      <w:r>
        <w:rPr>
          <w:color w:val="000000" w:themeColor="text1"/>
        </w:rPr>
      </w:r>
    </w:p>
    <w:p>
      <w:pPr>
        <w:ind w:left="0" w:right="0" w:firstLine="482"/>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（一）价格得分（10分）</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第一步：无效投标报价的磋商响应文件不得成交。</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第二步：价格分采用低价优先法计算，即满足采购文件要求且投标价格最低的投标报价为评标基准价，其价格分为满分。其他响应供应商的价格分统一按照下列公式计算：</w:t>
      </w:r>
      <w:r>
        <w:rPr>
          <w:color w:val="000000" w:themeColor="text1"/>
        </w:rPr>
      </w:r>
    </w:p>
    <w:p>
      <w:pPr>
        <w:ind w:left="0" w:right="0" w:firstLine="480"/>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投标报价得分=（磋商基准价/最后磋商报价）*价格权值（10%）*100，小数点后保留两位。</w:t>
      </w:r>
      <w:r>
        <w:rPr>
          <w:color w:val="000000" w:themeColor="text1"/>
        </w:rPr>
      </w:r>
    </w:p>
    <w:p>
      <w:pPr>
        <w:ind w:left="0" w:right="0" w:firstLine="48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（二）施工组织设计比较（62分）</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根据供应商提供的整体施工方案进行评分，在实质性满足招标要求的前提下，按下列标准评分：</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1、总体概述：工程概述、总体安排、及施工部署及施工段划分等健全、合理、规范、高效。（7分）</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综合评定优秀，概述详细，组织机构健全，总体安排科学，方案考虑周全，有合理化建议等得7分；综合评定良好，概述较为详细，总体安排可行，方案考虑比较细致，能满足项目实施需要的得4分；综合评定一般，方案简单，基本能满足项目实施需要的得1分,不提供的不得分。</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2、平面布置：施工现场平面布置及临时设施、临时道路等施工现场的布置科学、合理、规范、高效。（7分）</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综合评定优秀，布置科学合理，描述详细，清晰准确的得7分；综合评定良好，布置比较科学合理，描述比较详细，能满足项目实施需要的得4分；综合评定一般，方案简单，描述不完整，基本能满足项目实施需要的得1分,不提供的不得分。</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3、施工总进度计划：关于本工程施工进度计划的描述，以及为完成该计划所定措施科学、合理、规范、高效。（7分）</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综合评定优秀，总进度计划详尽，项目实施进度、时间点、关键节点等设置清晰准确的得7分；综合评定良好，总进度计划较为详尽，项目实施进度、时间点、关键点等设置比较准确的得4分；综合评定一般，方案简单，描述不清楚，基本能满足项目实施需要的得1分,不提供的不得分。</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4、分部、分项工程的施工方案：该工程分部分项工程的施工方案、关键施工技术、工艺及工程项目实施的重点、难点和解决方案、具体施工技术措施科学、合理、操作性强、规范、高效。（8分）</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综合评定优秀，分项施工方案、关键施工技术、工艺及工程项目实施的重点、难点和解决方案、科学合理、操作性强、考虑周全的得8分；综合评定良好，分项施工方案、关键施工技术、工艺及工程项目实施的重点、难点和解决方案、比较合理、操作性较强、考虑较周全的得5分；综合评定一般，方案简单，操作性不强的得2分,不提供的不得分。</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5、安全文明施工措施：该工程安全文明施工、垃圾清运、施工现场扬尘污染防治措施及环境保护方面的措施科学、合理、操作性强、规范、高效。（7分）</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综合评定优秀，措施科学合理，问题沟通和解决机制简单有效，对项目安全、环保等风险进行分析，给出应对措施，操作性强的得7分；综合评定良好，措施比较合理、操作性较强、考虑较周全、能满足项目实施需要的得4分；综合评定一般，措施简单，操作性不强的得1分,不提供的不得分。</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6、机械设备的投入；用于该工程的机械及各种设备，及施工过程中的主要设备的使用管理等内容比较。（7分）</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综合评定优秀，投入完全符合项目实际，管理制度完备、使用方案详尽的得7分；综合评定良好，投入基本符合项目实际，管理制度比较完备、使用方案比价清楚的得4分；综合评定一般，投入不足，基本能满足项目实施需要的得1分,不提供的不得分。</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7、作业人员保障措施。（7分）</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综合评定优秀，配备科学合理，方案详尽、考虑周全的得7分；综合评定良好，配备比较合理、考虑较周全、能满足项目实施需要的得4分；综合评定一般，配备简单，基本能满足项目实施需要的得1分,不提供的不得分。</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8、特殊情况施工措施：本项目的季节性施工、已有设备、管线的加固、保护等特殊情况下的施工措施内容比较。 （6分）</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综合评定优秀，措施科学合理，给出应对措施，操作性强的得6分；综合评定良好，措施比较合理、操作性较强、考虑较周全、能满足项目实施需要的的得4分；综合评定一般，措施简单，操作性不强的得2分,不提供的不得分。</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9、应急预案：本项目施工过程中的重大、紧急事项应急方案比较。（6分）</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综合评定优秀，方案措施科学合理，详尽有效，操作性强的得6分；综合评定良好，措施比较合理、操作性较强、考虑较周全、能满足项目实施需要的的得4分；综合评定一般，措施简单，操作性不强的得2分,不提供的不得分。</w:t>
      </w:r>
      <w:r>
        <w:rPr>
          <w:color w:val="000000" w:themeColor="text1"/>
        </w:rPr>
      </w:r>
    </w:p>
    <w:p>
      <w:pPr>
        <w:ind w:left="0" w:right="0" w:firstLine="482"/>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（三）投标人综合履约能力（28分）</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1、响应单位2023年1月（以竣工验收时间为准）以来承担过的类似业绩的有一个得3分，最高9分；（提供施工合同、竣工验收报告、任一期发票扫描件）</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响应单位具有有效的质量管理体系认证证书、环境管理体系认证证书、职业健康安全管理体系每提供一项得3分，最高得9分，响应文件中需提供认证证书扫描件及对应证书在国家认可监督管理委员会官网查询结果的完整网页截图（如需年检则显示年检信息），未按要求提供的，对应项不得分。</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3、项目组人员中（含项目经理）具有与本项目相关的工程师及以上职称的，每提供一名的得2分，满分10分。提供职称证书扫描件及社保缴纳证明扫描件。</w:t>
      </w:r>
      <w:r>
        <w:rPr>
          <w:color w:val="000000" w:themeColor="text1"/>
        </w:rPr>
      </w:r>
    </w:p>
    <w:p>
      <w:pPr>
        <w:ind w:left="0" w:right="0" w:firstLine="48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0" w:after="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注：</w:t>
      </w:r>
      <w:r>
        <w:rPr>
          <w:color w:val="000000" w:themeColor="text1"/>
        </w:rPr>
      </w:r>
    </w:p>
    <w:p>
      <w:pPr>
        <w:ind w:left="502" w:right="0" w:firstLine="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1、报价超过预算价或最高限价的将不进入综合评审程序，也不得标。</w:t>
      </w:r>
      <w:r>
        <w:rPr>
          <w:color w:val="000000" w:themeColor="text1"/>
        </w:rPr>
      </w:r>
    </w:p>
    <w:p>
      <w:pPr>
        <w:ind w:left="502" w:right="0" w:firstLine="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2、针对评分标准中评分的每一条，响应供应商均应提供相关资料并作出相</w:t>
      </w:r>
      <w:r>
        <w:rPr>
          <w:color w:val="000000" w:themeColor="text1"/>
        </w:rPr>
      </w:r>
    </w:p>
    <w:p>
      <w:pPr>
        <w:ind w:left="502" w:right="0" w:firstLine="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应说明供评委评判，不提供相关资料的视为不具备该项得分的条件。</w:t>
      </w:r>
      <w:r>
        <w:rPr>
          <w:color w:val="000000" w:themeColor="text1"/>
        </w:rPr>
      </w:r>
    </w:p>
    <w:p>
      <w:pPr>
        <w:ind w:left="502" w:right="0" w:firstLine="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3、付款步骤、交付完成限期如有负偏离的不得标。</w:t>
      </w:r>
      <w:r>
        <w:rPr>
          <w:color w:val="000000" w:themeColor="text1"/>
        </w:rPr>
      </w:r>
    </w:p>
    <w:p>
      <w:pPr>
        <w:ind w:left="502" w:right="0" w:firstLine="0"/>
        <w:spacing w:before="240" w:after="240" w:line="85" w:lineRule="atLeast"/>
        <w:shd w:val="clear" w:color="ffffff" w:themeColor="background1" w:fill="ffffff" w:themeFill="background1"/>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4、所有扫描件必须字迹清晰可见，字迹不清晰不得分。扫描件：指原件的各种彩色复制件，包括扫描、照片等。</w:t>
      </w:r>
      <w:r>
        <w:rPr>
          <w:color w:val="000000" w:themeColor="text1"/>
        </w:rPr>
      </w:r>
    </w:p>
    <w:p>
      <w:pPr>
        <w:ind w:left="0" w:right="920" w:firstLine="0"/>
        <w:jc w:val="right"/>
        <w:spacing w:before="0" w:after="0" w:line="85" w:lineRule="atLeast"/>
        <w:shd w:val="clear" w:color="ffffff" w:themeColor="background1" w:fill="ffffff" w:themeFill="background1"/>
        <w:tabs>
          <w:tab w:val="left" w:pos="56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（全文完）</w:t>
      </w:r>
      <w:r>
        <w:rPr>
          <w:color w:val="000000" w:themeColor="text1"/>
        </w:rPr>
      </w:r>
    </w:p>
    <w:p>
      <w:pPr>
        <w:shd w:val="clear" w:color="ffffff" w:themeColor="background1" w:fill="ffffff" w:themeFill="background1"/>
        <w:rPr>
          <w:color w:val="000000" w:themeColor="text1"/>
        </w:rPr>
      </w:pPr>
      <w:r>
        <w:rPr>
          <w:color w:val="000000" w:themeColor="text1"/>
        </w:rPr>
      </w:r>
      <w:r>
        <w:rPr>
          <w:color w:val="000000" w:themeColor="text1"/>
        </w:rPr>
      </w:r>
      <w:r>
        <w:rPr>
          <w:color w:val="000000" w:themeColor="text1"/>
        </w:rP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417" w:bottom="1440" w:left="1417" w:header="794" w:footer="675"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等线">
    <w:panose1 w:val="02010600030101010101"/>
  </w:font>
  <w:font w:name="华文细黑">
    <w:panose1 w:val="02010600040101010101"/>
  </w:font>
  <w:font w:name="方正书宋简体">
    <w:panose1 w:val="020B0503020202020204"/>
  </w:font>
  <w:font w:name="Courier New">
    <w:panose1 w:val="02070309020205020404"/>
  </w:font>
  <w:font w:name="Cambria">
    <w:panose1 w:val="02040503050406030204"/>
  </w:font>
  <w:font w:name="方正大黑简体">
    <w:panose1 w:val="020B0503020202020204"/>
  </w:font>
  <w:font w:name="Calibri">
    <w:panose1 w:val="020F05020202040302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Tms Rmn">
    <w:panose1 w:val="020B0503020202020204"/>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6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6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ind w:right="360" w:firstLine="34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left"/>
      <w:tabs>
        <w:tab w:val="center" w:pos="4153" w:leader="none"/>
        <w:tab w:val="right" w:pos="8306" w:leader="none"/>
      </w:tabs>
      <w:rPr>
        <w:rFonts w:ascii="宋体" w:hAnsi="宋体" w:eastAsia="宋体"/>
      </w:rPr>
    </w:pPr>
    <w:r>
      <w:rPr>
        <w:rFonts w:hint="eastAsia" w:ascii="宋体" w:hAnsi="宋体" w:eastAsia="宋体"/>
      </w:rPr>
      <w:t xml:space="preserve">竞争性磋商采购文件                                                  </w:t>
    </w:r>
    <w:r>
      <w:rPr>
        <w:rFonts w:ascii="宋体" w:hAnsi="宋体" w:eastAsia="宋体"/>
      </w:rPr>
      <w:t xml:space="preserve">    JSZC-320507-PMJS-C2026-0015</w:t>
    </w:r>
    <w:r>
      <w:rPr>
        <w:rFonts w:hint="eastAsia" w:ascii="宋体" w:hAnsi="宋体" w:eastAsia="宋体"/>
      </w:rPr>
      <w:t xml:space="preserve">                                         </w:t>
    </w:r>
    <w:r>
      <w:rPr>
        <w:rFonts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9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6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decimal"/>
      <w:isLgl w:val="false"/>
      <w:suff w:val="tab"/>
      <w:lvlText w:val="%1."/>
      <w:lvlJc w:val="left"/>
      <w:pPr>
        <w:pStyle w:val="96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94"/>
      <w:isLgl w:val="false"/>
      <w:suff w:val="tab"/>
      <w:lvlText w:val=""/>
      <w:lvlJc w:val="left"/>
      <w:pPr>
        <w:pStyle w:val="964"/>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pStyle w:val="96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pStyle w:val="9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pStyle w:val="964"/>
        <w:ind w:left="1202" w:hanging="720"/>
      </w:pPr>
    </w:lvl>
    <w:lvl w:ilvl="1">
      <w:start w:val="1"/>
      <w:numFmt w:val="lowerLetter"/>
      <w:isLgl w:val="false"/>
      <w:suff w:val="tab"/>
      <w:lvlText w:val="%2)"/>
      <w:lvlJc w:val="left"/>
      <w:pPr>
        <w:pStyle w:val="964"/>
        <w:ind w:left="1322" w:hanging="420"/>
      </w:pPr>
    </w:lvl>
    <w:lvl w:ilvl="2">
      <w:start w:val="1"/>
      <w:numFmt w:val="lowerRoman"/>
      <w:isLgl w:val="false"/>
      <w:suff w:val="tab"/>
      <w:lvlText w:val="%3."/>
      <w:lvlJc w:val="right"/>
      <w:pPr>
        <w:pStyle w:val="964"/>
        <w:ind w:left="1742" w:hanging="420"/>
      </w:pPr>
    </w:lvl>
    <w:lvl w:ilvl="3">
      <w:start w:val="1"/>
      <w:numFmt w:val="decimal"/>
      <w:isLgl w:val="false"/>
      <w:suff w:val="tab"/>
      <w:lvlText w:val="%4."/>
      <w:lvlJc w:val="left"/>
      <w:pPr>
        <w:pStyle w:val="964"/>
        <w:ind w:left="2162" w:hanging="420"/>
      </w:pPr>
    </w:lvl>
    <w:lvl w:ilvl="4">
      <w:start w:val="1"/>
      <w:numFmt w:val="lowerLetter"/>
      <w:isLgl w:val="false"/>
      <w:suff w:val="tab"/>
      <w:lvlText w:val="%5)"/>
      <w:lvlJc w:val="left"/>
      <w:pPr>
        <w:pStyle w:val="964"/>
        <w:ind w:left="2582" w:hanging="420"/>
      </w:pPr>
    </w:lvl>
    <w:lvl w:ilvl="5">
      <w:start w:val="1"/>
      <w:numFmt w:val="lowerRoman"/>
      <w:isLgl w:val="false"/>
      <w:suff w:val="tab"/>
      <w:lvlText w:val="%6."/>
      <w:lvlJc w:val="right"/>
      <w:pPr>
        <w:pStyle w:val="964"/>
        <w:ind w:left="3002" w:hanging="420"/>
      </w:pPr>
    </w:lvl>
    <w:lvl w:ilvl="6">
      <w:start w:val="1"/>
      <w:numFmt w:val="decimal"/>
      <w:isLgl w:val="false"/>
      <w:suff w:val="tab"/>
      <w:lvlText w:val="%7."/>
      <w:lvlJc w:val="left"/>
      <w:pPr>
        <w:pStyle w:val="964"/>
        <w:ind w:left="3422" w:hanging="420"/>
      </w:pPr>
    </w:lvl>
    <w:lvl w:ilvl="7">
      <w:start w:val="1"/>
      <w:numFmt w:val="lowerLetter"/>
      <w:isLgl w:val="false"/>
      <w:suff w:val="tab"/>
      <w:lvlText w:val="%8)"/>
      <w:lvlJc w:val="left"/>
      <w:pPr>
        <w:pStyle w:val="964"/>
        <w:ind w:left="3842" w:hanging="420"/>
      </w:pPr>
    </w:lvl>
    <w:lvl w:ilvl="8">
      <w:start w:val="1"/>
      <w:numFmt w:val="lowerRoman"/>
      <w:isLgl w:val="false"/>
      <w:suff w:val="tab"/>
      <w:lvlText w:val="%9."/>
      <w:lvlJc w:val="right"/>
      <w:pPr>
        <w:pStyle w:val="964"/>
        <w:ind w:left="4262" w:hanging="420"/>
      </w:pPr>
    </w:lvl>
  </w:abstractNum>
  <w:abstractNum w:abstractNumId="7">
    <w:multiLevelType w:val="hybridMultilevel"/>
    <w:lvl w:ilvl="0">
      <w:start w:val="1"/>
      <w:numFmt w:val="decimal"/>
      <w:isLgl w:val="false"/>
      <w:suff w:val="nothing"/>
      <w:lvlText w:val="%1、"/>
      <w:lvlJc w:val="left"/>
      <w:pPr>
        <w:pStyle w:val="964"/>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
      <w:isLgl w:val="false"/>
      <w:suff w:val="tab"/>
      <w:lvlText w:val="%1"/>
      <w:lvlJc w:val="left"/>
      <w:pPr>
        <w:pStyle w:val="964"/>
        <w:ind w:left="1240" w:hanging="360"/>
        <w:tabs>
          <w:tab w:val="num" w:pos="1240" w:leader="none"/>
        </w:tabs>
      </w:pPr>
    </w:lvl>
    <w:lvl w:ilvl="1">
      <w:start w:val="1"/>
      <w:numFmt w:val="lowerLetter"/>
      <w:isLgl w:val="false"/>
      <w:suff w:val="tab"/>
      <w:lvlText w:val="%2)"/>
      <w:lvlJc w:val="left"/>
      <w:pPr>
        <w:pStyle w:val="964"/>
        <w:ind w:left="1720" w:hanging="420"/>
        <w:tabs>
          <w:tab w:val="num" w:pos="1720" w:leader="none"/>
        </w:tabs>
      </w:pPr>
    </w:lvl>
    <w:lvl w:ilvl="2">
      <w:start w:val="1"/>
      <w:numFmt w:val="lowerRoman"/>
      <w:isLgl w:val="false"/>
      <w:suff w:val="tab"/>
      <w:lvlText w:val="%3."/>
      <w:lvlJc w:val="right"/>
      <w:pPr>
        <w:pStyle w:val="964"/>
        <w:ind w:left="2140" w:hanging="420"/>
        <w:tabs>
          <w:tab w:val="num" w:pos="2140" w:leader="none"/>
        </w:tabs>
      </w:pPr>
    </w:lvl>
    <w:lvl w:ilvl="3">
      <w:start w:val="1"/>
      <w:numFmt w:val="decimal"/>
      <w:pStyle w:val="1050"/>
      <w:isLgl w:val="false"/>
      <w:suff w:val="tab"/>
      <w:lvlText w:val="%4."/>
      <w:lvlJc w:val="left"/>
      <w:pPr>
        <w:pStyle w:val="964"/>
        <w:ind w:left="2560" w:hanging="420"/>
        <w:tabs>
          <w:tab w:val="num" w:pos="2560" w:leader="none"/>
        </w:tabs>
      </w:pPr>
    </w:lvl>
    <w:lvl w:ilvl="4">
      <w:start w:val="1"/>
      <w:numFmt w:val="lowerLetter"/>
      <w:isLgl w:val="false"/>
      <w:suff w:val="tab"/>
      <w:lvlText w:val="%5)"/>
      <w:lvlJc w:val="left"/>
      <w:pPr>
        <w:pStyle w:val="964"/>
        <w:ind w:left="2980" w:hanging="420"/>
        <w:tabs>
          <w:tab w:val="num" w:pos="2980" w:leader="none"/>
        </w:tabs>
      </w:pPr>
    </w:lvl>
    <w:lvl w:ilvl="5">
      <w:start w:val="1"/>
      <w:numFmt w:val="lowerRoman"/>
      <w:isLgl w:val="false"/>
      <w:suff w:val="tab"/>
      <w:lvlText w:val="%6."/>
      <w:lvlJc w:val="right"/>
      <w:pPr>
        <w:pStyle w:val="964"/>
        <w:ind w:left="3400" w:hanging="420"/>
        <w:tabs>
          <w:tab w:val="num" w:pos="3400" w:leader="none"/>
        </w:tabs>
      </w:pPr>
    </w:lvl>
    <w:lvl w:ilvl="6">
      <w:start w:val="1"/>
      <w:numFmt w:val="decimal"/>
      <w:isLgl w:val="false"/>
      <w:suff w:val="tab"/>
      <w:lvlText w:val="%7."/>
      <w:lvlJc w:val="left"/>
      <w:pPr>
        <w:pStyle w:val="964"/>
        <w:ind w:left="3820" w:hanging="420"/>
        <w:tabs>
          <w:tab w:val="num" w:pos="3820" w:leader="none"/>
        </w:tabs>
      </w:pPr>
    </w:lvl>
    <w:lvl w:ilvl="7">
      <w:start w:val="1"/>
      <w:numFmt w:val="lowerLetter"/>
      <w:isLgl w:val="false"/>
      <w:suff w:val="tab"/>
      <w:lvlText w:val="%8)"/>
      <w:lvlJc w:val="left"/>
      <w:pPr>
        <w:pStyle w:val="964"/>
        <w:ind w:left="4240" w:hanging="420"/>
        <w:tabs>
          <w:tab w:val="num" w:pos="4240" w:leader="none"/>
        </w:tabs>
      </w:pPr>
    </w:lvl>
    <w:lvl w:ilvl="8">
      <w:start w:val="1"/>
      <w:numFmt w:val="lowerRoman"/>
      <w:isLgl w:val="false"/>
      <w:suff w:val="tab"/>
      <w:lvlText w:val="%9."/>
      <w:lvlJc w:val="right"/>
      <w:pPr>
        <w:pStyle w:val="964"/>
        <w:ind w:left="4660" w:hanging="420"/>
        <w:tabs>
          <w:tab w:val="num" w:pos="4660" w:leader="none"/>
        </w:tabs>
      </w:pPr>
    </w:lvl>
  </w:abstractNum>
  <w:abstractNum w:abstractNumId="9">
    <w:multiLevelType w:val="hybridMultilevel"/>
    <w:lvl w:ilvl="0">
      <w:start w:val="1"/>
      <w:numFmt w:val="decimal"/>
      <w:isLgl w:val="false"/>
      <w:suff w:val="nothing"/>
      <w:lvlText w:val="（%1）"/>
      <w:lvlJc w:val="left"/>
      <w:pPr>
        <w:pStyle w:val="964"/>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pStyle w:val="9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chineseCounting"/>
      <w:isLgl w:val="false"/>
      <w:suff w:val="nothing"/>
      <w:lvlText w:val="%1、"/>
      <w:lvlJc w:val="left"/>
      <w:pPr>
        <w:pStyle w:val="964"/>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decimal"/>
      <w:isLgl w:val="false"/>
      <w:suff w:val="tab"/>
      <w:lvlText w:val="%1、"/>
      <w:lvlJc w:val="left"/>
      <w:pPr>
        <w:ind w:left="1202" w:hanging="720"/>
      </w:pPr>
    </w:lvl>
    <w:lvl w:ilvl="1">
      <w:start w:val="1"/>
      <w:numFmt w:val="lowerLetter"/>
      <w:isLgl w:val="false"/>
      <w:suff w:val="tab"/>
      <w:lvlText w:val="%2)"/>
      <w:lvlJc w:val="left"/>
      <w:pPr>
        <w:ind w:left="1322" w:hanging="420"/>
      </w:pPr>
    </w:lvl>
    <w:lvl w:ilvl="2">
      <w:start w:val="1"/>
      <w:numFmt w:val="decimal"/>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decimal"/>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decimal"/>
      <w:isLgl w:val="false"/>
      <w:suff w:val="tab"/>
      <w:lvlText w:val="%9."/>
      <w:lvlJc w:val="right"/>
      <w:pPr>
        <w:ind w:left="4262" w:hanging="420"/>
      </w:pPr>
    </w:lvl>
  </w:abstractNum>
  <w:abstractNum w:abstractNumId="18">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2"/>
      <w:numFmt w:val="decimal"/>
      <w:isLgl w:val="false"/>
      <w:suff w:val="tab"/>
      <w:lvlText w:val="%1、"/>
      <w:lvlJc w:val="left"/>
      <w:pPr>
        <w:ind w:left="1202" w:hanging="720"/>
      </w:pPr>
    </w:lvl>
    <w:lvl w:ilvl="1">
      <w:start w:val="1"/>
      <w:numFmt w:val="lowerLetter"/>
      <w:isLgl w:val="false"/>
      <w:suff w:val="tab"/>
      <w:lvlText w:val="%2)"/>
      <w:lvlJc w:val="left"/>
      <w:pPr>
        <w:ind w:left="1322" w:hanging="420"/>
      </w:pPr>
    </w:lvl>
    <w:lvl w:ilvl="2">
      <w:start w:val="1"/>
      <w:numFmt w:val="decimal"/>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decimal"/>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decimal"/>
      <w:isLgl w:val="false"/>
      <w:suff w:val="tab"/>
      <w:lvlText w:val="%9."/>
      <w:lvlJc w:val="right"/>
      <w:pPr>
        <w:ind w:left="4262" w:hanging="420"/>
      </w:pPr>
    </w:lvl>
  </w:abstractNum>
  <w:abstractNum w:abstractNumId="27">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8"/>
  </w:num>
  <w:num w:numId="3">
    <w:abstractNumId w:val="2"/>
  </w:num>
  <w:num w:numId="4">
    <w:abstractNumId w:val="10"/>
    <w:lvlOverride w:ilvl="0">
      <w:startOverride w:val="1"/>
    </w:lvlOverride>
  </w:num>
  <w:num w:numId="5">
    <w:abstractNumId w:val="7"/>
    <w:lvlOverride w:ilvl="0">
      <w:startOverride w:val="1"/>
    </w:lvlOverride>
  </w:num>
  <w:num w:numId="6">
    <w:abstractNumId w:val="4"/>
  </w:num>
  <w:num w:numId="7">
    <w:abstractNumId w:val="0"/>
  </w:num>
  <w:num w:numId="8">
    <w:abstractNumId w:val="6"/>
  </w:num>
  <w:num w:numId="9">
    <w:abstractNumId w:val="5"/>
  </w:num>
  <w:num w:numId="10">
    <w:abstractNumId w:val="9"/>
  </w:num>
  <w:num w:numId="11">
    <w:abstractNumId w:val="1"/>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5">
    <w:name w:val="Heading 1"/>
    <w:basedOn w:val="964"/>
    <w:next w:val="964"/>
    <w:link w:val="1229"/>
    <w:uiPriority w:val="9"/>
    <w:qFormat/>
    <w:pPr>
      <w:keepLines/>
      <w:keepNext/>
      <w:spacing w:before="480" w:after="200"/>
      <w:outlineLvl w:val="0"/>
    </w:pPr>
    <w:rPr>
      <w:rFonts w:ascii="Arial" w:hAnsi="Arial" w:eastAsia="Arial" w:cs="Arial"/>
      <w:sz w:val="40"/>
      <w:szCs w:val="40"/>
    </w:rPr>
  </w:style>
  <w:style w:type="paragraph" w:styleId="796">
    <w:name w:val="Heading 2"/>
    <w:basedOn w:val="964"/>
    <w:next w:val="964"/>
    <w:link w:val="1177"/>
    <w:uiPriority w:val="9"/>
    <w:unhideWhenUsed/>
    <w:qFormat/>
    <w:pPr>
      <w:keepLines/>
      <w:keepNext/>
      <w:spacing w:before="360" w:after="200"/>
      <w:outlineLvl w:val="1"/>
    </w:pPr>
    <w:rPr>
      <w:rFonts w:ascii="Arial" w:hAnsi="Arial" w:eastAsia="Arial" w:cs="Arial"/>
      <w:sz w:val="34"/>
    </w:rPr>
  </w:style>
  <w:style w:type="paragraph" w:styleId="797">
    <w:name w:val="Heading 3"/>
    <w:basedOn w:val="964"/>
    <w:next w:val="964"/>
    <w:link w:val="1227"/>
    <w:uiPriority w:val="9"/>
    <w:unhideWhenUsed/>
    <w:qFormat/>
    <w:pPr>
      <w:keepLines/>
      <w:keepNext/>
      <w:spacing w:before="320" w:after="200"/>
      <w:outlineLvl w:val="2"/>
    </w:pPr>
    <w:rPr>
      <w:rFonts w:ascii="Arial" w:hAnsi="Arial" w:eastAsia="Arial" w:cs="Arial"/>
      <w:sz w:val="30"/>
      <w:szCs w:val="30"/>
    </w:rPr>
  </w:style>
  <w:style w:type="paragraph" w:styleId="798">
    <w:name w:val="Heading 4"/>
    <w:basedOn w:val="964"/>
    <w:next w:val="964"/>
    <w:link w:val="1173"/>
    <w:uiPriority w:val="9"/>
    <w:unhideWhenUsed/>
    <w:qFormat/>
    <w:pPr>
      <w:keepLines/>
      <w:keepNext/>
      <w:spacing w:before="320" w:after="200"/>
      <w:outlineLvl w:val="3"/>
    </w:pPr>
    <w:rPr>
      <w:rFonts w:ascii="Arial" w:hAnsi="Arial" w:eastAsia="Arial" w:cs="Arial"/>
      <w:b/>
      <w:bCs/>
      <w:sz w:val="26"/>
      <w:szCs w:val="26"/>
    </w:rPr>
  </w:style>
  <w:style w:type="paragraph" w:styleId="799">
    <w:name w:val="Heading 5"/>
    <w:basedOn w:val="964"/>
    <w:next w:val="964"/>
    <w:link w:val="1195"/>
    <w:uiPriority w:val="9"/>
    <w:unhideWhenUsed/>
    <w:qFormat/>
    <w:pPr>
      <w:keepLines/>
      <w:keepNext/>
      <w:spacing w:before="320" w:after="200"/>
      <w:outlineLvl w:val="4"/>
    </w:pPr>
    <w:rPr>
      <w:rFonts w:ascii="Arial" w:hAnsi="Arial" w:eastAsia="Arial" w:cs="Arial"/>
      <w:b/>
      <w:bCs/>
      <w:sz w:val="24"/>
      <w:szCs w:val="24"/>
    </w:rPr>
  </w:style>
  <w:style w:type="paragraph" w:styleId="800">
    <w:name w:val="Heading 6"/>
    <w:basedOn w:val="964"/>
    <w:next w:val="964"/>
    <w:link w:val="801"/>
    <w:uiPriority w:val="9"/>
    <w:unhideWhenUsed/>
    <w:qFormat/>
    <w:pPr>
      <w:keepLines/>
      <w:keepNext/>
      <w:spacing w:before="320" w:after="200"/>
      <w:outlineLvl w:val="5"/>
    </w:pPr>
    <w:rPr>
      <w:rFonts w:ascii="Arial" w:hAnsi="Arial" w:eastAsia="Arial" w:cs="Arial"/>
      <w:b/>
      <w:bCs/>
      <w:sz w:val="22"/>
      <w:szCs w:val="22"/>
    </w:rPr>
  </w:style>
  <w:style w:type="character" w:styleId="801">
    <w:name w:val="Heading 6 Char"/>
    <w:link w:val="800"/>
    <w:uiPriority w:val="9"/>
    <w:rPr>
      <w:rFonts w:ascii="Arial" w:hAnsi="Arial" w:eastAsia="Arial" w:cs="Arial"/>
      <w:b/>
      <w:bCs/>
      <w:sz w:val="22"/>
      <w:szCs w:val="22"/>
    </w:rPr>
  </w:style>
  <w:style w:type="paragraph" w:styleId="802">
    <w:name w:val="Heading 7"/>
    <w:basedOn w:val="964"/>
    <w:next w:val="964"/>
    <w:link w:val="803"/>
    <w:uiPriority w:val="9"/>
    <w:unhideWhenUsed/>
    <w:qFormat/>
    <w:pPr>
      <w:keepLines/>
      <w:keepNext/>
      <w:spacing w:before="320" w:after="200"/>
      <w:outlineLvl w:val="6"/>
    </w:pPr>
    <w:rPr>
      <w:rFonts w:ascii="Arial" w:hAnsi="Arial" w:eastAsia="Arial" w:cs="Arial"/>
      <w:b/>
      <w:bCs/>
      <w:i/>
      <w:iCs/>
      <w:sz w:val="22"/>
      <w:szCs w:val="22"/>
    </w:rPr>
  </w:style>
  <w:style w:type="character" w:styleId="803">
    <w:name w:val="Heading 7 Char"/>
    <w:link w:val="802"/>
    <w:uiPriority w:val="9"/>
    <w:rPr>
      <w:rFonts w:ascii="Arial" w:hAnsi="Arial" w:eastAsia="Arial" w:cs="Arial"/>
      <w:b/>
      <w:bCs/>
      <w:i/>
      <w:iCs/>
      <w:sz w:val="22"/>
      <w:szCs w:val="22"/>
    </w:rPr>
  </w:style>
  <w:style w:type="paragraph" w:styleId="804">
    <w:name w:val="Heading 8"/>
    <w:basedOn w:val="964"/>
    <w:next w:val="964"/>
    <w:link w:val="805"/>
    <w:uiPriority w:val="9"/>
    <w:unhideWhenUsed/>
    <w:qFormat/>
    <w:pPr>
      <w:keepLines/>
      <w:keepNext/>
      <w:spacing w:before="320" w:after="200"/>
      <w:outlineLvl w:val="7"/>
    </w:pPr>
    <w:rPr>
      <w:rFonts w:ascii="Arial" w:hAnsi="Arial" w:eastAsia="Arial" w:cs="Arial"/>
      <w:i/>
      <w:iCs/>
      <w:sz w:val="22"/>
      <w:szCs w:val="22"/>
    </w:rPr>
  </w:style>
  <w:style w:type="character" w:styleId="805">
    <w:name w:val="Heading 8 Char"/>
    <w:link w:val="804"/>
    <w:uiPriority w:val="9"/>
    <w:rPr>
      <w:rFonts w:ascii="Arial" w:hAnsi="Arial" w:eastAsia="Arial" w:cs="Arial"/>
      <w:i/>
      <w:iCs/>
      <w:sz w:val="22"/>
      <w:szCs w:val="22"/>
    </w:rPr>
  </w:style>
  <w:style w:type="paragraph" w:styleId="806">
    <w:name w:val="Heading 9"/>
    <w:basedOn w:val="964"/>
    <w:next w:val="964"/>
    <w:link w:val="807"/>
    <w:uiPriority w:val="9"/>
    <w:unhideWhenUsed/>
    <w:qFormat/>
    <w:pPr>
      <w:keepLines/>
      <w:keepNext/>
      <w:spacing w:before="320" w:after="200"/>
      <w:outlineLvl w:val="8"/>
    </w:pPr>
    <w:rPr>
      <w:rFonts w:ascii="Arial" w:hAnsi="Arial" w:eastAsia="Arial" w:cs="Arial"/>
      <w:i/>
      <w:iCs/>
      <w:sz w:val="21"/>
      <w:szCs w:val="21"/>
    </w:rPr>
  </w:style>
  <w:style w:type="character" w:styleId="807">
    <w:name w:val="Heading 9 Char"/>
    <w:link w:val="806"/>
    <w:uiPriority w:val="9"/>
    <w:rPr>
      <w:rFonts w:ascii="Arial" w:hAnsi="Arial" w:eastAsia="Arial" w:cs="Arial"/>
      <w:i/>
      <w:iCs/>
      <w:sz w:val="21"/>
      <w:szCs w:val="21"/>
    </w:rPr>
  </w:style>
  <w:style w:type="paragraph" w:styleId="808">
    <w:name w:val="List Paragraph"/>
    <w:basedOn w:val="964"/>
    <w:uiPriority w:val="34"/>
    <w:qFormat/>
    <w:pPr>
      <w:contextualSpacing/>
      <w:ind w:left="720"/>
    </w:pPr>
  </w:style>
  <w:style w:type="paragraph" w:styleId="809">
    <w:name w:val="No Spacing"/>
    <w:uiPriority w:val="1"/>
    <w:qFormat/>
    <w:pPr>
      <w:spacing w:before="0" w:after="0" w:line="240" w:lineRule="auto"/>
    </w:pPr>
  </w:style>
  <w:style w:type="paragraph" w:styleId="810">
    <w:name w:val="Title"/>
    <w:basedOn w:val="964"/>
    <w:next w:val="964"/>
    <w:link w:val="1247"/>
    <w:uiPriority w:val="10"/>
    <w:qFormat/>
    <w:pPr>
      <w:contextualSpacing/>
      <w:spacing w:before="300" w:after="200"/>
    </w:pPr>
    <w:rPr>
      <w:sz w:val="48"/>
      <w:szCs w:val="48"/>
    </w:rPr>
  </w:style>
  <w:style w:type="paragraph" w:styleId="811">
    <w:name w:val="Subtitle"/>
    <w:basedOn w:val="964"/>
    <w:next w:val="964"/>
    <w:link w:val="812"/>
    <w:uiPriority w:val="11"/>
    <w:qFormat/>
    <w:pPr>
      <w:spacing w:before="200" w:after="200"/>
    </w:pPr>
    <w:rPr>
      <w:sz w:val="24"/>
      <w:szCs w:val="24"/>
    </w:rPr>
  </w:style>
  <w:style w:type="character" w:styleId="812">
    <w:name w:val="Subtitle Char"/>
    <w:link w:val="811"/>
    <w:uiPriority w:val="11"/>
    <w:rPr>
      <w:sz w:val="24"/>
      <w:szCs w:val="24"/>
    </w:rPr>
  </w:style>
  <w:style w:type="paragraph" w:styleId="813">
    <w:name w:val="Quote"/>
    <w:basedOn w:val="964"/>
    <w:next w:val="964"/>
    <w:link w:val="814"/>
    <w:uiPriority w:val="29"/>
    <w:qFormat/>
    <w:pPr>
      <w:ind w:left="720" w:right="720"/>
    </w:pPr>
    <w:rPr>
      <w:i/>
    </w:rPr>
  </w:style>
  <w:style w:type="character" w:styleId="814">
    <w:name w:val="Quote Char"/>
    <w:link w:val="813"/>
    <w:uiPriority w:val="29"/>
    <w:rPr>
      <w:i/>
    </w:rPr>
  </w:style>
  <w:style w:type="paragraph" w:styleId="815">
    <w:name w:val="Intense Quote"/>
    <w:basedOn w:val="964"/>
    <w:next w:val="964"/>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name w:val="Intense Quote Char"/>
    <w:link w:val="815"/>
    <w:uiPriority w:val="30"/>
    <w:rPr>
      <w:i/>
    </w:rPr>
  </w:style>
  <w:style w:type="paragraph" w:styleId="817">
    <w:name w:val="Header"/>
    <w:basedOn w:val="964"/>
    <w:link w:val="1250"/>
    <w:uiPriority w:val="99"/>
    <w:unhideWhenUsed/>
    <w:pPr>
      <w:spacing w:after="0" w:line="240" w:lineRule="auto"/>
      <w:tabs>
        <w:tab w:val="center" w:pos="7143" w:leader="none"/>
        <w:tab w:val="right" w:pos="14287" w:leader="none"/>
      </w:tabs>
    </w:pPr>
  </w:style>
  <w:style w:type="paragraph" w:styleId="818">
    <w:name w:val="Footer"/>
    <w:basedOn w:val="964"/>
    <w:link w:val="820"/>
    <w:uiPriority w:val="99"/>
    <w:unhideWhenUsed/>
    <w:pPr>
      <w:spacing w:after="0" w:line="240" w:lineRule="auto"/>
      <w:tabs>
        <w:tab w:val="center" w:pos="7143" w:leader="none"/>
        <w:tab w:val="right" w:pos="14287" w:leader="none"/>
      </w:tabs>
    </w:pPr>
  </w:style>
  <w:style w:type="paragraph" w:styleId="819">
    <w:name w:val="Caption"/>
    <w:basedOn w:val="964"/>
    <w:next w:val="964"/>
    <w:uiPriority w:val="35"/>
    <w:semiHidden/>
    <w:unhideWhenUsed/>
    <w:qFormat/>
    <w:pPr>
      <w:spacing w:line="276" w:lineRule="auto"/>
    </w:pPr>
    <w:rPr>
      <w:b/>
      <w:bCs/>
      <w:color w:val="4f81bd" w:themeColor="accent1"/>
      <w:sz w:val="18"/>
      <w:szCs w:val="18"/>
    </w:rPr>
  </w:style>
  <w:style w:type="character" w:styleId="820">
    <w:name w:val="Caption Char"/>
    <w:basedOn w:val="819"/>
    <w:link w:val="818"/>
    <w:uiPriority w:val="99"/>
  </w:style>
  <w:style w:type="table" w:styleId="8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7">
    <w:name w:val="Hyperlink"/>
    <w:uiPriority w:val="99"/>
    <w:unhideWhenUsed/>
    <w:rPr>
      <w:color w:val="0000ff" w:themeColor="hyperlink"/>
      <w:u w:val="single"/>
    </w:rPr>
  </w:style>
  <w:style w:type="paragraph" w:styleId="948">
    <w:name w:val="footnote text"/>
    <w:basedOn w:val="964"/>
    <w:link w:val="1224"/>
    <w:uiPriority w:val="99"/>
    <w:semiHidden/>
    <w:unhideWhenUsed/>
    <w:pPr>
      <w:spacing w:after="40" w:line="240" w:lineRule="auto"/>
    </w:pPr>
    <w:rPr>
      <w:sz w:val="18"/>
    </w:rPr>
  </w:style>
  <w:style w:type="character" w:styleId="949">
    <w:name w:val="footnote reference"/>
    <w:uiPriority w:val="99"/>
    <w:unhideWhenUsed/>
    <w:rPr>
      <w:vertAlign w:val="superscript"/>
    </w:rPr>
  </w:style>
  <w:style w:type="paragraph" w:styleId="950">
    <w:name w:val="endnote text"/>
    <w:basedOn w:val="964"/>
    <w:link w:val="951"/>
    <w:uiPriority w:val="99"/>
    <w:semiHidden/>
    <w:unhideWhenUsed/>
    <w:pPr>
      <w:spacing w:after="0" w:line="240" w:lineRule="auto"/>
    </w:pPr>
    <w:rPr>
      <w:sz w:val="20"/>
    </w:rPr>
  </w:style>
  <w:style w:type="character" w:styleId="951">
    <w:name w:val="Endnote Text Char"/>
    <w:link w:val="950"/>
    <w:uiPriority w:val="99"/>
    <w:rPr>
      <w:sz w:val="20"/>
    </w:rPr>
  </w:style>
  <w:style w:type="character" w:styleId="952">
    <w:name w:val="endnote reference"/>
    <w:uiPriority w:val="99"/>
    <w:semiHidden/>
    <w:unhideWhenUsed/>
    <w:rPr>
      <w:vertAlign w:val="superscript"/>
    </w:rPr>
  </w:style>
  <w:style w:type="paragraph" w:styleId="953">
    <w:name w:val="toc 1"/>
    <w:basedOn w:val="964"/>
    <w:next w:val="964"/>
    <w:uiPriority w:val="39"/>
    <w:unhideWhenUsed/>
    <w:pPr>
      <w:ind w:left="0" w:right="0" w:firstLine="0"/>
      <w:spacing w:after="57"/>
    </w:pPr>
  </w:style>
  <w:style w:type="paragraph" w:styleId="954">
    <w:name w:val="toc 2"/>
    <w:basedOn w:val="964"/>
    <w:next w:val="964"/>
    <w:uiPriority w:val="39"/>
    <w:unhideWhenUsed/>
    <w:pPr>
      <w:ind w:left="283" w:right="0" w:firstLine="0"/>
      <w:spacing w:after="57"/>
    </w:pPr>
  </w:style>
  <w:style w:type="paragraph" w:styleId="955">
    <w:name w:val="toc 3"/>
    <w:basedOn w:val="964"/>
    <w:next w:val="964"/>
    <w:uiPriority w:val="39"/>
    <w:unhideWhenUsed/>
    <w:pPr>
      <w:ind w:left="567" w:right="0" w:firstLine="0"/>
      <w:spacing w:after="57"/>
    </w:pPr>
  </w:style>
  <w:style w:type="paragraph" w:styleId="956">
    <w:name w:val="toc 4"/>
    <w:basedOn w:val="964"/>
    <w:next w:val="964"/>
    <w:uiPriority w:val="39"/>
    <w:unhideWhenUsed/>
    <w:pPr>
      <w:ind w:left="850" w:right="0" w:firstLine="0"/>
      <w:spacing w:after="57"/>
    </w:pPr>
  </w:style>
  <w:style w:type="paragraph" w:styleId="957">
    <w:name w:val="toc 5"/>
    <w:basedOn w:val="964"/>
    <w:next w:val="964"/>
    <w:uiPriority w:val="39"/>
    <w:unhideWhenUsed/>
    <w:pPr>
      <w:ind w:left="1134" w:right="0" w:firstLine="0"/>
      <w:spacing w:after="57"/>
    </w:pPr>
  </w:style>
  <w:style w:type="paragraph" w:styleId="958">
    <w:name w:val="toc 6"/>
    <w:basedOn w:val="964"/>
    <w:next w:val="964"/>
    <w:uiPriority w:val="39"/>
    <w:unhideWhenUsed/>
    <w:pPr>
      <w:ind w:left="1417" w:right="0" w:firstLine="0"/>
      <w:spacing w:after="57"/>
    </w:pPr>
  </w:style>
  <w:style w:type="paragraph" w:styleId="959">
    <w:name w:val="toc 7"/>
    <w:basedOn w:val="964"/>
    <w:next w:val="964"/>
    <w:uiPriority w:val="39"/>
    <w:unhideWhenUsed/>
    <w:pPr>
      <w:ind w:left="1701" w:right="0" w:firstLine="0"/>
      <w:spacing w:after="57"/>
    </w:pPr>
  </w:style>
  <w:style w:type="paragraph" w:styleId="960">
    <w:name w:val="toc 8"/>
    <w:basedOn w:val="964"/>
    <w:next w:val="964"/>
    <w:uiPriority w:val="39"/>
    <w:unhideWhenUsed/>
    <w:pPr>
      <w:ind w:left="1984" w:right="0" w:firstLine="0"/>
      <w:spacing w:after="57"/>
    </w:pPr>
  </w:style>
  <w:style w:type="paragraph" w:styleId="961">
    <w:name w:val="toc 9"/>
    <w:basedOn w:val="964"/>
    <w:next w:val="964"/>
    <w:uiPriority w:val="39"/>
    <w:unhideWhenUsed/>
    <w:pPr>
      <w:ind w:left="2268" w:right="0" w:firstLine="0"/>
      <w:spacing w:after="57"/>
    </w:pPr>
  </w:style>
  <w:style w:type="paragraph" w:styleId="962">
    <w:name w:val="TOC Heading"/>
    <w:uiPriority w:val="39"/>
    <w:unhideWhenUsed/>
  </w:style>
  <w:style w:type="paragraph" w:styleId="963">
    <w:name w:val="table of figures"/>
    <w:basedOn w:val="964"/>
    <w:next w:val="964"/>
    <w:uiPriority w:val="99"/>
    <w:unhideWhenUsed/>
    <w:pPr>
      <w:spacing w:after="0" w:afterAutospacing="0"/>
    </w:pPr>
  </w:style>
  <w:style w:type="paragraph" w:styleId="964" w:default="1">
    <w:name w:val="Normal"/>
    <w:next w:val="976"/>
    <w:link w:val="964"/>
    <w:qFormat/>
    <w:pPr>
      <w:jc w:val="both"/>
      <w:widowControl w:val="off"/>
    </w:pPr>
    <w:rPr>
      <w:rFonts w:eastAsia="楷体_GB2312"/>
      <w:sz w:val="26"/>
      <w:lang w:val="en-US" w:eastAsia="zh-CN" w:bidi="ar-SA"/>
    </w:rPr>
  </w:style>
  <w:style w:type="paragraph" w:styleId="965">
    <w:name w:val="标题 1"/>
    <w:basedOn w:val="964"/>
    <w:next w:val="964"/>
    <w:link w:val="978"/>
    <w:qFormat/>
    <w:pPr>
      <w:keepLines/>
      <w:keepNext/>
      <w:spacing w:before="340" w:after="330" w:line="578" w:lineRule="auto"/>
      <w:outlineLvl w:val="0"/>
    </w:pPr>
    <w:rPr>
      <w:b/>
      <w:sz w:val="44"/>
    </w:rPr>
  </w:style>
  <w:style w:type="paragraph" w:styleId="966">
    <w:name w:val="标题 2"/>
    <w:basedOn w:val="964"/>
    <w:next w:val="964"/>
    <w:link w:val="979"/>
    <w:qFormat/>
    <w:pPr>
      <w:jc w:val="left"/>
      <w:keepLines/>
      <w:keepNext/>
      <w:outlineLvl w:val="1"/>
    </w:pPr>
    <w:rPr>
      <w:rFonts w:ascii="宋体" w:hAnsi="宋体"/>
      <w:b/>
    </w:rPr>
  </w:style>
  <w:style w:type="paragraph" w:styleId="967">
    <w:name w:val="标题 3"/>
    <w:basedOn w:val="964"/>
    <w:next w:val="964"/>
    <w:link w:val="980"/>
    <w:uiPriority w:val="1"/>
    <w:qFormat/>
    <w:pPr>
      <w:jc w:val="left"/>
      <w:keepLines/>
      <w:keepNext/>
      <w:outlineLvl w:val="2"/>
    </w:pPr>
    <w:rPr>
      <w:b/>
    </w:rPr>
  </w:style>
  <w:style w:type="paragraph" w:styleId="968">
    <w:name w:val="标题 4"/>
    <w:basedOn w:val="964"/>
    <w:next w:val="964"/>
    <w:link w:val="981"/>
    <w:qFormat/>
    <w:pPr>
      <w:keepLines/>
      <w:keepNext/>
      <w:spacing w:before="280" w:after="290" w:line="376" w:lineRule="auto"/>
      <w:outlineLvl w:val="3"/>
    </w:pPr>
    <w:rPr>
      <w:rFonts w:ascii="Arial" w:hAnsi="Arial" w:eastAsia="黑体"/>
      <w:b/>
      <w:bCs/>
      <w:sz w:val="28"/>
      <w:szCs w:val="28"/>
    </w:rPr>
  </w:style>
  <w:style w:type="paragraph" w:styleId="969">
    <w:name w:val="标题 5"/>
    <w:basedOn w:val="964"/>
    <w:next w:val="964"/>
    <w:link w:val="982"/>
    <w:qFormat/>
    <w:pPr>
      <w:jc w:val="left"/>
      <w:keepLines/>
      <w:keepNext/>
      <w:spacing w:before="280" w:after="290" w:line="376" w:lineRule="atLeast"/>
      <w:outlineLvl w:val="4"/>
    </w:pPr>
    <w:rPr>
      <w:rFonts w:ascii="宋体" w:hAnsi="Tms Rmn" w:eastAsia="宋体"/>
      <w:b/>
      <w:sz w:val="28"/>
    </w:rPr>
  </w:style>
  <w:style w:type="paragraph" w:styleId="970">
    <w:name w:val="标题 6"/>
    <w:basedOn w:val="964"/>
    <w:next w:val="964"/>
    <w:link w:val="983"/>
    <w:qFormat/>
    <w:pPr>
      <w:jc w:val="left"/>
      <w:keepLines/>
      <w:keepNext/>
      <w:spacing w:before="240" w:after="64" w:line="320" w:lineRule="atLeast"/>
      <w:outlineLvl w:val="5"/>
    </w:pPr>
    <w:rPr>
      <w:rFonts w:ascii="黑体" w:hAnsi="Tms Rmn" w:eastAsia="黑体"/>
      <w:b/>
      <w:sz w:val="24"/>
    </w:rPr>
  </w:style>
  <w:style w:type="paragraph" w:styleId="971">
    <w:name w:val="标题 7"/>
    <w:basedOn w:val="964"/>
    <w:next w:val="964"/>
    <w:link w:val="984"/>
    <w:qFormat/>
    <w:pPr>
      <w:jc w:val="left"/>
      <w:keepLines/>
      <w:keepNext/>
      <w:spacing w:before="240" w:after="64" w:line="320" w:lineRule="atLeast"/>
      <w:outlineLvl w:val="6"/>
    </w:pPr>
    <w:rPr>
      <w:rFonts w:ascii="宋体" w:hAnsi="Tms Rmn" w:eastAsia="宋体"/>
      <w:b/>
      <w:sz w:val="24"/>
    </w:rPr>
  </w:style>
  <w:style w:type="paragraph" w:styleId="972">
    <w:name w:val="标题 8"/>
    <w:basedOn w:val="964"/>
    <w:next w:val="964"/>
    <w:link w:val="985"/>
    <w:qFormat/>
    <w:pPr>
      <w:keepLines/>
      <w:keepNext/>
      <w:spacing w:before="240" w:after="64" w:line="320" w:lineRule="auto"/>
      <w:outlineLvl w:val="7"/>
    </w:pPr>
    <w:rPr>
      <w:rFonts w:ascii="Arial" w:hAnsi="Arial" w:eastAsia="黑体"/>
      <w:sz w:val="24"/>
      <w:szCs w:val="24"/>
    </w:rPr>
  </w:style>
  <w:style w:type="paragraph" w:styleId="973">
    <w:name w:val="标题 9"/>
    <w:basedOn w:val="964"/>
    <w:next w:val="964"/>
    <w:link w:val="986"/>
    <w:qFormat/>
    <w:pPr>
      <w:keepLines/>
      <w:keepNext/>
      <w:spacing w:before="240" w:after="64" w:line="320" w:lineRule="auto"/>
      <w:outlineLvl w:val="8"/>
    </w:pPr>
    <w:rPr>
      <w:rFonts w:ascii="Arial" w:hAnsi="Arial" w:eastAsia="黑体"/>
      <w:sz w:val="21"/>
      <w:szCs w:val="21"/>
    </w:rPr>
  </w:style>
  <w:style w:type="character" w:styleId="974">
    <w:name w:val="默认段落字体"/>
    <w:next w:val="974"/>
    <w:link w:val="964"/>
    <w:uiPriority w:val="1"/>
    <w:unhideWhenUsed/>
  </w:style>
  <w:style w:type="table" w:styleId="975">
    <w:name w:val="普通表格"/>
    <w:next w:val="975"/>
    <w:link w:val="964"/>
    <w:uiPriority w:val="99"/>
    <w:unhideWhenUsed/>
    <w:qFormat/>
    <w:tblPr/>
  </w:style>
  <w:style w:type="paragraph" w:styleId="976">
    <w:name w:val="正文文本缩进11"/>
    <w:basedOn w:val="964"/>
    <w:next w:val="977"/>
    <w:link w:val="964"/>
    <w:qFormat/>
    <w:pPr>
      <w:ind w:left="570"/>
      <w:spacing w:line="520" w:lineRule="exact"/>
    </w:pPr>
    <w:rPr>
      <w:rFonts w:ascii="方正仿宋简体" w:hAnsi="创艺简仿宋" w:eastAsia="方正仿宋简体"/>
      <w:sz w:val="24"/>
      <w:szCs w:val="20"/>
    </w:rPr>
  </w:style>
  <w:style w:type="paragraph" w:styleId="977">
    <w:name w:val="寄信人地址1"/>
    <w:basedOn w:val="964"/>
    <w:next w:val="977"/>
    <w:link w:val="964"/>
    <w:qFormat/>
    <w:rPr>
      <w:rFonts w:ascii="Arial" w:hAnsi="Arial"/>
    </w:rPr>
  </w:style>
  <w:style w:type="character" w:styleId="978">
    <w:name w:val="标题 1 字符"/>
    <w:next w:val="978"/>
    <w:link w:val="965"/>
    <w:qFormat/>
    <w:rPr>
      <w:rFonts w:ascii="Times New Roman" w:hAnsi="Times New Roman" w:eastAsia="楷体_GB2312" w:cs="Times New Roman"/>
      <w:b/>
      <w:sz w:val="44"/>
      <w:szCs w:val="20"/>
    </w:rPr>
  </w:style>
  <w:style w:type="character" w:styleId="979">
    <w:name w:val="标题 2 字符"/>
    <w:next w:val="979"/>
    <w:link w:val="966"/>
    <w:qFormat/>
    <w:rPr>
      <w:rFonts w:ascii="宋体" w:hAnsi="宋体" w:eastAsia="楷体_GB2312" w:cs="Times New Roman"/>
      <w:b/>
      <w:sz w:val="26"/>
      <w:szCs w:val="20"/>
    </w:rPr>
  </w:style>
  <w:style w:type="character" w:styleId="980">
    <w:name w:val="标题 3 字符"/>
    <w:next w:val="980"/>
    <w:link w:val="967"/>
    <w:uiPriority w:val="1"/>
    <w:qFormat/>
    <w:rPr>
      <w:rFonts w:ascii="Times New Roman" w:hAnsi="Times New Roman" w:eastAsia="楷体_GB2312" w:cs="Times New Roman"/>
      <w:b/>
      <w:sz w:val="26"/>
      <w:szCs w:val="20"/>
    </w:rPr>
  </w:style>
  <w:style w:type="character" w:styleId="981">
    <w:name w:val="标题 4 字符"/>
    <w:next w:val="981"/>
    <w:link w:val="968"/>
    <w:qFormat/>
    <w:rPr>
      <w:rFonts w:ascii="Arial" w:hAnsi="Arial" w:eastAsia="黑体" w:cs="Times New Roman"/>
      <w:b/>
      <w:bCs/>
      <w:sz w:val="28"/>
      <w:szCs w:val="28"/>
    </w:rPr>
  </w:style>
  <w:style w:type="character" w:styleId="982">
    <w:name w:val="标题 5 字符"/>
    <w:next w:val="982"/>
    <w:link w:val="969"/>
    <w:qFormat/>
    <w:rPr>
      <w:rFonts w:ascii="宋体" w:hAnsi="Tms Rmn" w:eastAsia="宋体" w:cs="Times New Roman"/>
      <w:b/>
      <w:sz w:val="28"/>
      <w:szCs w:val="20"/>
    </w:rPr>
  </w:style>
  <w:style w:type="character" w:styleId="983">
    <w:name w:val="标题 6 字符"/>
    <w:next w:val="983"/>
    <w:link w:val="970"/>
    <w:qFormat/>
    <w:rPr>
      <w:rFonts w:ascii="黑体" w:hAnsi="Tms Rmn" w:eastAsia="黑体" w:cs="Times New Roman"/>
      <w:b/>
      <w:sz w:val="24"/>
      <w:szCs w:val="20"/>
    </w:rPr>
  </w:style>
  <w:style w:type="character" w:styleId="984">
    <w:name w:val="标题 7 字符"/>
    <w:next w:val="984"/>
    <w:link w:val="971"/>
    <w:qFormat/>
    <w:rPr>
      <w:rFonts w:ascii="宋体" w:hAnsi="Tms Rmn" w:eastAsia="宋体" w:cs="Times New Roman"/>
      <w:b/>
      <w:sz w:val="24"/>
      <w:szCs w:val="20"/>
    </w:rPr>
  </w:style>
  <w:style w:type="character" w:styleId="985">
    <w:name w:val="标题 8 字符"/>
    <w:next w:val="985"/>
    <w:link w:val="972"/>
    <w:qFormat/>
    <w:rPr>
      <w:rFonts w:ascii="Arial" w:hAnsi="Arial" w:eastAsia="黑体" w:cs="Times New Roman"/>
      <w:sz w:val="24"/>
      <w:szCs w:val="24"/>
    </w:rPr>
  </w:style>
  <w:style w:type="character" w:styleId="986">
    <w:name w:val="标题 9 字符"/>
    <w:next w:val="986"/>
    <w:link w:val="973"/>
    <w:qFormat/>
    <w:rPr>
      <w:rFonts w:ascii="Arial" w:hAnsi="Arial" w:eastAsia="黑体" w:cs="Times New Roman"/>
      <w:szCs w:val="21"/>
    </w:rPr>
  </w:style>
  <w:style w:type="paragraph" w:styleId="987">
    <w:name w:val="目录 7"/>
    <w:basedOn w:val="964"/>
    <w:next w:val="964"/>
    <w:link w:val="964"/>
    <w:uiPriority w:val="39"/>
    <w:qFormat/>
    <w:pPr>
      <w:ind w:left="2520"/>
    </w:pPr>
  </w:style>
  <w:style w:type="paragraph" w:styleId="988">
    <w:name w:val="索引 8"/>
    <w:basedOn w:val="964"/>
    <w:next w:val="964"/>
    <w:link w:val="964"/>
    <w:semiHidden/>
    <w:qFormat/>
    <w:pPr>
      <w:ind w:left="2940"/>
    </w:pPr>
  </w:style>
  <w:style w:type="paragraph" w:styleId="989">
    <w:name w:val="列表编号"/>
    <w:basedOn w:val="964"/>
    <w:next w:val="989"/>
    <w:link w:val="964"/>
    <w:qFormat/>
    <w:pPr>
      <w:ind w:left="1125" w:hanging="555"/>
      <w:tabs>
        <w:tab w:val="left" w:pos="1125" w:leader="none"/>
      </w:tabs>
    </w:pPr>
    <w:rPr>
      <w:rFonts w:eastAsia="宋体"/>
      <w:sz w:val="21"/>
      <w:szCs w:val="24"/>
    </w:rPr>
  </w:style>
  <w:style w:type="paragraph" w:styleId="990">
    <w:name w:val="正文缩进"/>
    <w:basedOn w:val="964"/>
    <w:next w:val="964"/>
    <w:link w:val="991"/>
    <w:qFormat/>
    <w:pPr>
      <w:ind w:firstLine="420"/>
      <w:jc w:val="left"/>
    </w:pPr>
    <w:rPr>
      <w:rFonts w:ascii="Calibri" w:hAnsi="Calibri" w:cs="Times New Roman"/>
      <w:sz w:val="24"/>
      <w:szCs w:val="22"/>
    </w:rPr>
  </w:style>
  <w:style w:type="character" w:styleId="991">
    <w:name w:val="正文缩进 字符"/>
    <w:next w:val="991"/>
    <w:link w:val="990"/>
    <w:qFormat/>
    <w:rPr>
      <w:rFonts w:eastAsia="楷体_GB2312"/>
      <w:sz w:val="24"/>
    </w:rPr>
  </w:style>
  <w:style w:type="paragraph" w:styleId="992">
    <w:name w:val="题注"/>
    <w:basedOn w:val="964"/>
    <w:next w:val="964"/>
    <w:link w:val="964"/>
    <w:qFormat/>
    <w:rPr>
      <w:rFonts w:ascii="Cambria" w:hAnsi="Cambria" w:eastAsia="黑体"/>
      <w:sz w:val="20"/>
    </w:rPr>
  </w:style>
  <w:style w:type="paragraph" w:styleId="993">
    <w:name w:val="索引 5"/>
    <w:basedOn w:val="964"/>
    <w:next w:val="964"/>
    <w:link w:val="964"/>
    <w:semiHidden/>
    <w:qFormat/>
    <w:pPr>
      <w:ind w:left="1680"/>
    </w:pPr>
  </w:style>
  <w:style w:type="paragraph" w:styleId="994">
    <w:name w:val="列表项目符号"/>
    <w:basedOn w:val="965"/>
    <w:next w:val="964"/>
    <w:link w:val="964"/>
    <w:uiPriority w:val="99"/>
    <w:unhideWhenUsed/>
    <w:qFormat/>
    <w:pPr>
      <w:numPr>
        <w:ilvl w:val="0"/>
        <w:numId w:val="1"/>
      </w:numPr>
      <w:tabs>
        <w:tab w:val="left" w:pos="360" w:leader="none"/>
      </w:tabs>
    </w:pPr>
  </w:style>
  <w:style w:type="paragraph" w:styleId="995">
    <w:name w:val="文档结构图"/>
    <w:basedOn w:val="964"/>
    <w:next w:val="995"/>
    <w:link w:val="996"/>
    <w:qFormat/>
    <w:pPr>
      <w:shd w:val="clear" w:color="auto" w:fill="000080"/>
    </w:pPr>
    <w:rPr>
      <w:rFonts w:eastAsia="宋体"/>
      <w:sz w:val="21"/>
    </w:rPr>
  </w:style>
  <w:style w:type="character" w:styleId="996">
    <w:name w:val="文档结构图 字符"/>
    <w:next w:val="996"/>
    <w:link w:val="995"/>
    <w:qFormat/>
    <w:rPr>
      <w:rFonts w:ascii="Times New Roman" w:hAnsi="Times New Roman" w:eastAsia="宋体" w:cs="Times New Roman"/>
      <w:szCs w:val="20"/>
      <w:shd w:val="clear" w:color="auto" w:fill="000080"/>
    </w:rPr>
  </w:style>
  <w:style w:type="paragraph" w:styleId="997">
    <w:name w:val="批注文字"/>
    <w:basedOn w:val="964"/>
    <w:next w:val="997"/>
    <w:link w:val="998"/>
    <w:unhideWhenUsed/>
    <w:qFormat/>
    <w:pPr>
      <w:jc w:val="left"/>
    </w:pPr>
  </w:style>
  <w:style w:type="character" w:styleId="998">
    <w:name w:val="批注文字 字符"/>
    <w:next w:val="998"/>
    <w:link w:val="997"/>
    <w:uiPriority w:val="99"/>
    <w:qFormat/>
    <w:rPr>
      <w:rFonts w:ascii="Times New Roman" w:hAnsi="Times New Roman" w:eastAsia="楷体_GB2312" w:cs="Times New Roman"/>
      <w:sz w:val="26"/>
      <w:szCs w:val="20"/>
    </w:rPr>
  </w:style>
  <w:style w:type="paragraph" w:styleId="999">
    <w:name w:val="索引 6"/>
    <w:basedOn w:val="964"/>
    <w:next w:val="964"/>
    <w:link w:val="964"/>
    <w:semiHidden/>
    <w:qFormat/>
    <w:pPr>
      <w:ind w:left="2100"/>
    </w:pPr>
  </w:style>
  <w:style w:type="paragraph" w:styleId="1000">
    <w:name w:val="正文文本 3"/>
    <w:basedOn w:val="964"/>
    <w:next w:val="1000"/>
    <w:link w:val="1001"/>
    <w:qFormat/>
    <w:rPr>
      <w:rFonts w:ascii="宋体" w:eastAsia="宋体"/>
      <w:sz w:val="24"/>
    </w:rPr>
  </w:style>
  <w:style w:type="character" w:styleId="1001">
    <w:name w:val="正文文本 3 字符"/>
    <w:next w:val="1001"/>
    <w:link w:val="1000"/>
    <w:qFormat/>
    <w:rPr>
      <w:rFonts w:ascii="宋体"/>
      <w:sz w:val="24"/>
    </w:rPr>
  </w:style>
  <w:style w:type="paragraph" w:styleId="1002">
    <w:name w:val="正文文本"/>
    <w:basedOn w:val="964"/>
    <w:next w:val="1002"/>
    <w:link w:val="1003"/>
    <w:qFormat/>
    <w:pPr>
      <w:spacing w:line="400" w:lineRule="exact"/>
    </w:pPr>
    <w:rPr>
      <w:rFonts w:ascii="楷体_GB2312" w:hAnsi="Calibri" w:cs="Times New Roman"/>
      <w:sz w:val="28"/>
      <w:szCs w:val="22"/>
    </w:rPr>
  </w:style>
  <w:style w:type="character" w:styleId="1003">
    <w:name w:val="正文文本 字符"/>
    <w:next w:val="1003"/>
    <w:link w:val="1002"/>
    <w:qFormat/>
    <w:rPr>
      <w:rFonts w:ascii="楷体_GB2312" w:eastAsia="楷体_GB2312"/>
      <w:sz w:val="28"/>
    </w:rPr>
  </w:style>
  <w:style w:type="paragraph" w:styleId="1004">
    <w:name w:val="正文文本缩进"/>
    <w:basedOn w:val="964"/>
    <w:next w:val="1006"/>
    <w:link w:val="1005"/>
    <w:uiPriority w:val="99"/>
    <w:qFormat/>
    <w:pPr>
      <w:ind w:left="570"/>
      <w:spacing w:line="520" w:lineRule="exact"/>
    </w:pPr>
    <w:rPr>
      <w:rFonts w:ascii="方正仿宋简体" w:hAnsi="创艺简仿宋" w:eastAsia="方正仿宋简体" w:cs="Times New Roman"/>
      <w:sz w:val="24"/>
      <w:szCs w:val="22"/>
    </w:rPr>
  </w:style>
  <w:style w:type="character" w:styleId="1005">
    <w:name w:val="正文文本缩进 字符"/>
    <w:next w:val="1005"/>
    <w:link w:val="1004"/>
    <w:uiPriority w:val="99"/>
    <w:qFormat/>
    <w:rPr>
      <w:rFonts w:ascii="方正仿宋简体" w:hAnsi="创艺简仿宋" w:eastAsia="方正仿宋简体"/>
      <w:sz w:val="24"/>
    </w:rPr>
  </w:style>
  <w:style w:type="paragraph" w:styleId="1006">
    <w:name w:val="寄信人地址"/>
    <w:basedOn w:val="964"/>
    <w:next w:val="1006"/>
    <w:link w:val="964"/>
    <w:qFormat/>
    <w:rPr>
      <w:rFonts w:ascii="Arial" w:hAnsi="Arial"/>
    </w:rPr>
  </w:style>
  <w:style w:type="paragraph" w:styleId="1007">
    <w:name w:val="列表 2"/>
    <w:basedOn w:val="964"/>
    <w:next w:val="1007"/>
    <w:link w:val="964"/>
    <w:qFormat/>
    <w:pPr>
      <w:ind w:left="840" w:hanging="420"/>
    </w:pPr>
    <w:rPr>
      <w:rFonts w:eastAsia="宋体"/>
      <w:sz w:val="21"/>
      <w:szCs w:val="24"/>
    </w:rPr>
  </w:style>
  <w:style w:type="paragraph" w:styleId="1008">
    <w:name w:val="列表接续"/>
    <w:basedOn w:val="964"/>
    <w:next w:val="1008"/>
    <w:link w:val="964"/>
    <w:qFormat/>
    <w:pPr>
      <w:ind w:left="420"/>
      <w:jc w:val="left"/>
      <w:spacing w:after="120"/>
      <w:widowControl/>
    </w:pPr>
    <w:rPr>
      <w:sz w:val="20"/>
      <w:szCs w:val="20"/>
    </w:rPr>
  </w:style>
  <w:style w:type="paragraph" w:styleId="1009">
    <w:name w:val="文本块"/>
    <w:basedOn w:val="964"/>
    <w:next w:val="1009"/>
    <w:link w:val="964"/>
    <w:qFormat/>
    <w:pPr>
      <w:ind w:left="630" w:right="-609" w:firstLine="420"/>
      <w:spacing w:line="360" w:lineRule="auto"/>
    </w:pPr>
    <w:rPr>
      <w:rFonts w:hint="eastAsia" w:ascii="仿宋_GB2312" w:eastAsia="仿宋_GB2312"/>
      <w:sz w:val="21"/>
    </w:rPr>
  </w:style>
  <w:style w:type="paragraph" w:styleId="1010">
    <w:name w:val="索引 4"/>
    <w:basedOn w:val="964"/>
    <w:next w:val="964"/>
    <w:link w:val="964"/>
    <w:qFormat/>
    <w:pPr>
      <w:ind w:left="1260"/>
    </w:pPr>
  </w:style>
  <w:style w:type="paragraph" w:styleId="1011">
    <w:name w:val="目录 5"/>
    <w:basedOn w:val="964"/>
    <w:next w:val="964"/>
    <w:link w:val="964"/>
    <w:uiPriority w:val="39"/>
    <w:qFormat/>
    <w:pPr>
      <w:ind w:left="1680"/>
    </w:pPr>
  </w:style>
  <w:style w:type="paragraph" w:styleId="1012">
    <w:name w:val="目录 3"/>
    <w:basedOn w:val="964"/>
    <w:next w:val="964"/>
    <w:link w:val="964"/>
    <w:uiPriority w:val="39"/>
    <w:qFormat/>
    <w:pPr>
      <w:ind w:left="840"/>
    </w:pPr>
  </w:style>
  <w:style w:type="paragraph" w:styleId="1013">
    <w:name w:val="纯文本"/>
    <w:basedOn w:val="964"/>
    <w:next w:val="1013"/>
    <w:link w:val="1014"/>
    <w:qFormat/>
    <w:rPr>
      <w:rFonts w:ascii="宋体" w:hAnsi="Courier New" w:cs="Times New Roman"/>
      <w:szCs w:val="22"/>
    </w:rPr>
  </w:style>
  <w:style w:type="character" w:styleId="1014">
    <w:name w:val="纯文本 字符"/>
    <w:next w:val="1014"/>
    <w:link w:val="1013"/>
    <w:qFormat/>
    <w:rPr>
      <w:rFonts w:ascii="宋体" w:hAnsi="Courier New" w:eastAsia="楷体_GB2312"/>
      <w:sz w:val="26"/>
    </w:rPr>
  </w:style>
  <w:style w:type="paragraph" w:styleId="1015">
    <w:name w:val="目录 8"/>
    <w:basedOn w:val="964"/>
    <w:next w:val="964"/>
    <w:link w:val="964"/>
    <w:uiPriority w:val="39"/>
    <w:qFormat/>
    <w:pPr>
      <w:ind w:left="2940"/>
    </w:pPr>
  </w:style>
  <w:style w:type="paragraph" w:styleId="1016">
    <w:name w:val="索引 3"/>
    <w:basedOn w:val="964"/>
    <w:next w:val="964"/>
    <w:link w:val="964"/>
    <w:semiHidden/>
    <w:qFormat/>
    <w:pPr>
      <w:ind w:left="840"/>
    </w:pPr>
  </w:style>
  <w:style w:type="paragraph" w:styleId="1017">
    <w:name w:val="日期"/>
    <w:basedOn w:val="964"/>
    <w:next w:val="964"/>
    <w:link w:val="1018"/>
    <w:qFormat/>
    <w:rPr>
      <w:rFonts w:ascii="宋体" w:hAnsi="宋体"/>
      <w:sz w:val="24"/>
    </w:rPr>
  </w:style>
  <w:style w:type="character" w:styleId="1018">
    <w:name w:val="日期 字符"/>
    <w:next w:val="1018"/>
    <w:link w:val="1017"/>
    <w:qFormat/>
    <w:rPr>
      <w:rFonts w:ascii="宋体" w:hAnsi="宋体" w:eastAsia="楷体_GB2312" w:cs="Times New Roman"/>
      <w:sz w:val="24"/>
      <w:szCs w:val="20"/>
    </w:rPr>
  </w:style>
  <w:style w:type="paragraph" w:styleId="1019">
    <w:name w:val="正文文本缩进 2"/>
    <w:basedOn w:val="964"/>
    <w:next w:val="1019"/>
    <w:link w:val="1020"/>
    <w:qFormat/>
    <w:pPr>
      <w:ind w:firstLine="502"/>
      <w:spacing w:line="360" w:lineRule="auto"/>
      <w:tabs>
        <w:tab w:val="left" w:pos="0" w:leader="none"/>
      </w:tabs>
    </w:pPr>
    <w:rPr>
      <w:rFonts w:ascii="宋体" w:hAnsi="Calibri" w:eastAsia="宋体" w:cs="Times New Roman"/>
      <w:b/>
      <w:bCs/>
      <w:sz w:val="24"/>
      <w:szCs w:val="22"/>
    </w:rPr>
  </w:style>
  <w:style w:type="character" w:styleId="1020">
    <w:name w:val="正文文本缩进 2 字符"/>
    <w:next w:val="1020"/>
    <w:link w:val="1019"/>
    <w:qFormat/>
    <w:rPr>
      <w:rFonts w:ascii="宋体"/>
      <w:b/>
      <w:bCs/>
      <w:sz w:val="24"/>
    </w:rPr>
  </w:style>
  <w:style w:type="paragraph" w:styleId="1021">
    <w:name w:val="批注框文本"/>
    <w:basedOn w:val="964"/>
    <w:next w:val="1021"/>
    <w:link w:val="1022"/>
    <w:qFormat/>
    <w:rPr>
      <w:sz w:val="18"/>
      <w:szCs w:val="18"/>
    </w:rPr>
  </w:style>
  <w:style w:type="character" w:styleId="1022">
    <w:name w:val="批注框文本 字符"/>
    <w:next w:val="1022"/>
    <w:link w:val="1021"/>
    <w:qFormat/>
    <w:rPr>
      <w:rFonts w:ascii="Times New Roman" w:hAnsi="Times New Roman" w:eastAsia="楷体_GB2312" w:cs="Times New Roman"/>
      <w:sz w:val="18"/>
      <w:szCs w:val="18"/>
    </w:rPr>
  </w:style>
  <w:style w:type="paragraph" w:styleId="1023">
    <w:name w:val="页脚"/>
    <w:basedOn w:val="964"/>
    <w:next w:val="1023"/>
    <w:link w:val="1024"/>
    <w:uiPriority w:val="99"/>
    <w:qFormat/>
    <w:pPr>
      <w:jc w:val="left"/>
      <w:tabs>
        <w:tab w:val="center" w:pos="4153" w:leader="none"/>
        <w:tab w:val="right" w:pos="8306" w:leader="none"/>
      </w:tabs>
    </w:pPr>
    <w:rPr>
      <w:sz w:val="18"/>
    </w:rPr>
  </w:style>
  <w:style w:type="character" w:styleId="1024">
    <w:name w:val="页脚 字符"/>
    <w:next w:val="1024"/>
    <w:link w:val="1023"/>
    <w:uiPriority w:val="99"/>
    <w:qFormat/>
    <w:rPr>
      <w:rFonts w:ascii="Times New Roman" w:hAnsi="Times New Roman" w:eastAsia="楷体_GB2312" w:cs="Times New Roman"/>
      <w:sz w:val="18"/>
      <w:szCs w:val="20"/>
    </w:rPr>
  </w:style>
  <w:style w:type="paragraph" w:styleId="1025">
    <w:name w:val="页眉"/>
    <w:basedOn w:val="964"/>
    <w:next w:val="1025"/>
    <w:link w:val="1026"/>
    <w:uiPriority w:val="99"/>
    <w:qFormat/>
    <w:pPr>
      <w:jc w:val="center"/>
      <w:tabs>
        <w:tab w:val="center" w:pos="4153" w:leader="none"/>
        <w:tab w:val="right" w:pos="8306" w:leader="none"/>
      </w:tabs>
      <w:pBdr>
        <w:bottom w:val="single" w:color="000000" w:sz="6" w:space="1"/>
      </w:pBdr>
    </w:pPr>
    <w:rPr>
      <w:sz w:val="18"/>
    </w:rPr>
  </w:style>
  <w:style w:type="character" w:styleId="1026">
    <w:name w:val="页眉 字符"/>
    <w:next w:val="1026"/>
    <w:link w:val="1025"/>
    <w:uiPriority w:val="99"/>
    <w:qFormat/>
    <w:rPr>
      <w:rFonts w:ascii="Times New Roman" w:hAnsi="Times New Roman" w:eastAsia="楷体_GB2312" w:cs="Times New Roman"/>
      <w:sz w:val="18"/>
      <w:szCs w:val="20"/>
    </w:rPr>
  </w:style>
  <w:style w:type="paragraph" w:styleId="1027">
    <w:name w:val="目录 1"/>
    <w:basedOn w:val="964"/>
    <w:next w:val="964"/>
    <w:link w:val="964"/>
    <w:qFormat/>
    <w:pPr>
      <w:jc w:val="left"/>
    </w:pPr>
    <w:rPr>
      <w:sz w:val="24"/>
    </w:rPr>
  </w:style>
  <w:style w:type="paragraph" w:styleId="1028">
    <w:name w:val="目录 4"/>
    <w:basedOn w:val="964"/>
    <w:next w:val="964"/>
    <w:link w:val="964"/>
    <w:uiPriority w:val="39"/>
    <w:qFormat/>
    <w:pPr>
      <w:ind w:left="1260"/>
    </w:pPr>
  </w:style>
  <w:style w:type="paragraph" w:styleId="1029">
    <w:name w:val="索引标题"/>
    <w:basedOn w:val="964"/>
    <w:next w:val="1030"/>
    <w:link w:val="964"/>
    <w:semiHidden/>
    <w:qFormat/>
  </w:style>
  <w:style w:type="paragraph" w:styleId="1030">
    <w:name w:val="索引 1"/>
    <w:basedOn w:val="964"/>
    <w:next w:val="964"/>
    <w:link w:val="964"/>
    <w:semiHidden/>
    <w:qFormat/>
  </w:style>
  <w:style w:type="paragraph" w:styleId="1031">
    <w:name w:val="副标题"/>
    <w:basedOn w:val="964"/>
    <w:next w:val="964"/>
    <w:link w:val="1032"/>
    <w:qFormat/>
    <w:pPr>
      <w:jc w:val="center"/>
      <w:spacing w:before="240" w:after="60" w:line="312" w:lineRule="auto"/>
      <w:outlineLvl w:val="1"/>
    </w:pPr>
    <w:rPr>
      <w:rFonts w:ascii="Cambria" w:hAnsi="Cambria" w:eastAsia="宋体"/>
      <w:b/>
      <w:bCs/>
      <w:sz w:val="32"/>
      <w:szCs w:val="32"/>
    </w:rPr>
  </w:style>
  <w:style w:type="character" w:styleId="1032">
    <w:name w:val="副标题 字符"/>
    <w:next w:val="1032"/>
    <w:link w:val="1031"/>
    <w:qFormat/>
    <w:rPr>
      <w:rFonts w:ascii="Cambria" w:hAnsi="Cambria" w:eastAsia="宋体" w:cs="Times New Roman"/>
      <w:b/>
      <w:bCs/>
      <w:sz w:val="32"/>
      <w:szCs w:val="32"/>
    </w:rPr>
  </w:style>
  <w:style w:type="paragraph" w:styleId="1033">
    <w:name w:val="列表"/>
    <w:basedOn w:val="964"/>
    <w:next w:val="1033"/>
    <w:link w:val="964"/>
    <w:qFormat/>
    <w:pPr>
      <w:ind w:left="420" w:hanging="420"/>
    </w:pPr>
    <w:rPr>
      <w:rFonts w:eastAsia="宋体"/>
      <w:sz w:val="21"/>
      <w:szCs w:val="24"/>
    </w:rPr>
  </w:style>
  <w:style w:type="paragraph" w:styleId="1034">
    <w:name w:val="脚注文本"/>
    <w:basedOn w:val="964"/>
    <w:next w:val="1034"/>
    <w:link w:val="1035"/>
    <w:qFormat/>
    <w:pPr>
      <w:jc w:val="left"/>
    </w:pPr>
    <w:rPr>
      <w:sz w:val="18"/>
    </w:rPr>
  </w:style>
  <w:style w:type="character" w:styleId="1035">
    <w:name w:val="脚注文本 字符"/>
    <w:next w:val="1035"/>
    <w:link w:val="1034"/>
    <w:qFormat/>
    <w:rPr>
      <w:rFonts w:ascii="Times New Roman" w:hAnsi="Times New Roman" w:eastAsia="楷体_GB2312" w:cs="Times New Roman"/>
      <w:sz w:val="18"/>
      <w:szCs w:val="20"/>
    </w:rPr>
  </w:style>
  <w:style w:type="paragraph" w:styleId="1036">
    <w:name w:val="目录 6"/>
    <w:basedOn w:val="964"/>
    <w:next w:val="964"/>
    <w:link w:val="964"/>
    <w:uiPriority w:val="39"/>
    <w:qFormat/>
    <w:pPr>
      <w:ind w:left="2100"/>
    </w:pPr>
  </w:style>
  <w:style w:type="paragraph" w:styleId="1037">
    <w:name w:val="正文文本缩进 3"/>
    <w:basedOn w:val="964"/>
    <w:next w:val="1037"/>
    <w:link w:val="1038"/>
    <w:qFormat/>
    <w:pPr>
      <w:ind w:firstLine="617"/>
      <w:spacing w:line="360" w:lineRule="auto"/>
    </w:pPr>
    <w:rPr>
      <w:rFonts w:eastAsia="宋体"/>
      <w:sz w:val="24"/>
      <w:szCs w:val="24"/>
    </w:rPr>
  </w:style>
  <w:style w:type="character" w:styleId="1038">
    <w:name w:val="正文文本缩进 3 字符"/>
    <w:next w:val="1038"/>
    <w:link w:val="1037"/>
    <w:qFormat/>
    <w:rPr>
      <w:rFonts w:ascii="Times New Roman" w:hAnsi="Times New Roman" w:eastAsia="宋体" w:cs="Times New Roman"/>
      <w:sz w:val="24"/>
      <w:szCs w:val="24"/>
    </w:rPr>
  </w:style>
  <w:style w:type="paragraph" w:styleId="1039">
    <w:name w:val="索引 7"/>
    <w:basedOn w:val="964"/>
    <w:next w:val="964"/>
    <w:link w:val="964"/>
    <w:semiHidden/>
    <w:qFormat/>
    <w:pPr>
      <w:ind w:left="2520"/>
    </w:pPr>
  </w:style>
  <w:style w:type="paragraph" w:styleId="1040">
    <w:name w:val="索引 9"/>
    <w:basedOn w:val="964"/>
    <w:next w:val="964"/>
    <w:link w:val="964"/>
    <w:semiHidden/>
    <w:qFormat/>
    <w:pPr>
      <w:ind w:left="3360"/>
    </w:pPr>
  </w:style>
  <w:style w:type="paragraph" w:styleId="1041">
    <w:name w:val="图表目录"/>
    <w:basedOn w:val="964"/>
    <w:next w:val="964"/>
    <w:link w:val="964"/>
    <w:semiHidden/>
    <w:qFormat/>
    <w:pPr>
      <w:ind w:left="420" w:hanging="420"/>
      <w:jc w:val="left"/>
    </w:pPr>
    <w:rPr>
      <w:smallCaps/>
      <w:sz w:val="24"/>
    </w:rPr>
  </w:style>
  <w:style w:type="paragraph" w:styleId="1042">
    <w:name w:val="目录 2"/>
    <w:basedOn w:val="964"/>
    <w:next w:val="964"/>
    <w:link w:val="964"/>
    <w:uiPriority w:val="39"/>
    <w:qFormat/>
    <w:pPr>
      <w:ind w:left="420"/>
    </w:pPr>
  </w:style>
  <w:style w:type="paragraph" w:styleId="1043">
    <w:name w:val="目录 9"/>
    <w:basedOn w:val="964"/>
    <w:next w:val="964"/>
    <w:link w:val="964"/>
    <w:uiPriority w:val="39"/>
    <w:qFormat/>
    <w:pPr>
      <w:ind w:left="3360"/>
    </w:pPr>
  </w:style>
  <w:style w:type="paragraph" w:styleId="1044">
    <w:name w:val="正文文本 2"/>
    <w:basedOn w:val="965"/>
    <w:next w:val="994"/>
    <w:link w:val="1045"/>
    <w:qFormat/>
    <w:pPr>
      <w:spacing w:after="120" w:line="480" w:lineRule="auto"/>
    </w:pPr>
  </w:style>
  <w:style w:type="character" w:styleId="1045">
    <w:name w:val="正文文本 2 字符"/>
    <w:next w:val="1045"/>
    <w:link w:val="1044"/>
    <w:qFormat/>
    <w:rPr>
      <w:rFonts w:ascii="Times New Roman" w:hAnsi="Times New Roman" w:eastAsia="楷体_GB2312" w:cs="Times New Roman"/>
      <w:sz w:val="26"/>
      <w:szCs w:val="20"/>
    </w:rPr>
  </w:style>
  <w:style w:type="paragraph" w:styleId="1046">
    <w:name w:val="HTML 预设格式"/>
    <w:basedOn w:val="964"/>
    <w:next w:val="1046"/>
    <w:link w:val="104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1"/>
      <w:szCs w:val="22"/>
    </w:rPr>
  </w:style>
  <w:style w:type="character" w:styleId="1047">
    <w:name w:val="HTML 预设格式 字符"/>
    <w:next w:val="1047"/>
    <w:link w:val="1046"/>
    <w:uiPriority w:val="99"/>
    <w:qFormat/>
    <w:rPr>
      <w:rFonts w:ascii="黑体" w:hAnsi="Courier New" w:eastAsia="黑体" w:cs="楷体_GB2312"/>
    </w:rPr>
  </w:style>
  <w:style w:type="paragraph" w:styleId="1048">
    <w:name w:val="普通(网站)"/>
    <w:basedOn w:val="964"/>
    <w:next w:val="1048"/>
    <w:link w:val="964"/>
    <w:qFormat/>
    <w:pPr>
      <w:jc w:val="left"/>
      <w:spacing w:before="100" w:beforeAutospacing="1" w:after="100" w:afterAutospacing="1"/>
      <w:widowControl/>
    </w:pPr>
    <w:rPr>
      <w:rFonts w:ascii="宋体" w:hAnsi="宋体" w:eastAsia="宋体" w:cs="宋体"/>
      <w:sz w:val="24"/>
      <w:szCs w:val="24"/>
    </w:rPr>
  </w:style>
  <w:style w:type="paragraph" w:styleId="1049">
    <w:name w:val="索引 2"/>
    <w:basedOn w:val="964"/>
    <w:next w:val="964"/>
    <w:link w:val="964"/>
    <w:semiHidden/>
    <w:qFormat/>
    <w:pPr>
      <w:ind w:left="420"/>
    </w:pPr>
  </w:style>
  <w:style w:type="paragraph" w:styleId="1050">
    <w:name w:val="标题"/>
    <w:basedOn w:val="964"/>
    <w:next w:val="1050"/>
    <w:link w:val="1051"/>
    <w:qFormat/>
    <w:pPr>
      <w:numPr>
        <w:ilvl w:val="3"/>
        <w:numId w:val="2"/>
      </w:numPr>
      <w:jc w:val="center"/>
      <w:spacing w:before="240" w:after="60" w:line="360" w:lineRule="atLeast"/>
      <w:tabs>
        <w:tab w:val="left" w:pos="851" w:leader="none"/>
        <w:tab w:val="left" w:pos="2560" w:leader="none"/>
      </w:tabs>
      <w:outlineLvl w:val="0"/>
    </w:pPr>
    <w:rPr>
      <w:rFonts w:ascii="Arial" w:hAnsi="Arial" w:eastAsia="宋体" w:cs="Times New Roman"/>
      <w:b/>
      <w:sz w:val="32"/>
      <w:szCs w:val="22"/>
    </w:rPr>
  </w:style>
  <w:style w:type="character" w:styleId="1051">
    <w:name w:val="标题 字符"/>
    <w:next w:val="1051"/>
    <w:link w:val="1050"/>
    <w:qFormat/>
    <w:rPr>
      <w:rFonts w:ascii="Arial" w:hAnsi="Arial"/>
      <w:b/>
      <w:sz w:val="32"/>
    </w:rPr>
  </w:style>
  <w:style w:type="paragraph" w:styleId="1052">
    <w:name w:val="批注主题"/>
    <w:basedOn w:val="997"/>
    <w:next w:val="997"/>
    <w:link w:val="1053"/>
    <w:qFormat/>
    <w:rPr>
      <w:b/>
      <w:bCs/>
    </w:rPr>
  </w:style>
  <w:style w:type="character" w:styleId="1053">
    <w:name w:val="批注主题 字符"/>
    <w:next w:val="1053"/>
    <w:link w:val="1052"/>
    <w:qFormat/>
    <w:rPr>
      <w:rFonts w:ascii="Times New Roman" w:hAnsi="Times New Roman" w:eastAsia="楷体_GB2312" w:cs="Times New Roman"/>
      <w:b/>
      <w:bCs/>
      <w:sz w:val="26"/>
      <w:szCs w:val="20"/>
    </w:rPr>
  </w:style>
  <w:style w:type="paragraph" w:styleId="1054">
    <w:name w:val="正文首行缩进"/>
    <w:basedOn w:val="1002"/>
    <w:next w:val="1054"/>
    <w:link w:val="1055"/>
    <w:qFormat/>
    <w:pPr>
      <w:ind w:firstLine="420"/>
      <w:spacing w:after="120" w:line="240" w:lineRule="auto"/>
    </w:pPr>
    <w:rPr>
      <w:rFonts w:ascii="Times New Roman"/>
      <w:sz w:val="26"/>
    </w:rPr>
  </w:style>
  <w:style w:type="character" w:styleId="1055">
    <w:name w:val="正文首行缩进 字符"/>
    <w:next w:val="1055"/>
    <w:link w:val="1054"/>
    <w:qFormat/>
    <w:rPr>
      <w:rFonts w:ascii="Times New Roman" w:hAnsi="Times New Roman" w:eastAsia="楷体_GB2312" w:cs="Times New Roman"/>
      <w:sz w:val="26"/>
      <w:szCs w:val="20"/>
    </w:rPr>
  </w:style>
  <w:style w:type="paragraph" w:styleId="1056">
    <w:name w:val="正文首行缩进 2"/>
    <w:basedOn w:val="1004"/>
    <w:next w:val="964"/>
    <w:link w:val="1057"/>
    <w:qFormat/>
    <w:pPr>
      <w:ind w:left="0" w:firstLine="420"/>
      <w:spacing w:after="120" w:line="240" w:lineRule="auto"/>
    </w:pPr>
    <w:rPr>
      <w:rFonts w:ascii="Times New Roman" w:hAnsi="Times New Roman" w:eastAsia="宋体" w:cs="Times New Roman"/>
      <w:sz w:val="20"/>
      <w:szCs w:val="20"/>
    </w:rPr>
  </w:style>
  <w:style w:type="character" w:styleId="1057">
    <w:name w:val="正文首行缩进 2 字符"/>
    <w:next w:val="1057"/>
    <w:link w:val="1056"/>
    <w:qFormat/>
  </w:style>
  <w:style w:type="table" w:styleId="1058">
    <w:name w:val="网格型"/>
    <w:basedOn w:val="975"/>
    <w:next w:val="1058"/>
    <w:link w:val="964"/>
    <w:unhideWhenUsed/>
    <w:qFormat/>
    <w:tblPr/>
  </w:style>
  <w:style w:type="character" w:styleId="1059">
    <w:name w:val="要点"/>
    <w:next w:val="1059"/>
    <w:link w:val="964"/>
    <w:qFormat/>
    <w:rPr>
      <w:b/>
      <w:bCs/>
    </w:rPr>
  </w:style>
  <w:style w:type="character" w:styleId="1060">
    <w:name w:val="页码"/>
    <w:next w:val="1060"/>
    <w:link w:val="964"/>
    <w:qFormat/>
  </w:style>
  <w:style w:type="character" w:styleId="1061">
    <w:name w:val="已访问的超链接"/>
    <w:next w:val="1061"/>
    <w:link w:val="964"/>
    <w:uiPriority w:val="99"/>
    <w:unhideWhenUsed/>
    <w:qFormat/>
    <w:rPr>
      <w:color w:val="333333"/>
      <w:u w:val="none"/>
    </w:rPr>
  </w:style>
  <w:style w:type="character" w:styleId="1062">
    <w:name w:val="强调"/>
    <w:next w:val="1062"/>
    <w:link w:val="964"/>
    <w:qFormat/>
    <w:rPr>
      <w:color w:val="cc0000"/>
    </w:rPr>
  </w:style>
  <w:style w:type="character" w:styleId="1063">
    <w:name w:val="超链接"/>
    <w:next w:val="1063"/>
    <w:link w:val="964"/>
    <w:uiPriority w:val="99"/>
    <w:qFormat/>
    <w:rPr>
      <w:color w:val="333333"/>
      <w:u w:val="none"/>
    </w:rPr>
  </w:style>
  <w:style w:type="character" w:styleId="1064">
    <w:name w:val="批注引用"/>
    <w:next w:val="1064"/>
    <w:link w:val="964"/>
    <w:uiPriority w:val="99"/>
    <w:qFormat/>
    <w:rPr>
      <w:sz w:val="21"/>
      <w:szCs w:val="21"/>
    </w:rPr>
  </w:style>
  <w:style w:type="character" w:styleId="1065">
    <w:name w:val="脚注引用"/>
    <w:next w:val="1065"/>
    <w:link w:val="964"/>
    <w:semiHidden/>
    <w:qFormat/>
    <w:rPr>
      <w:vertAlign w:val="superscript"/>
    </w:rPr>
  </w:style>
  <w:style w:type="paragraph" w:styleId="1066">
    <w:name w:val="目录 51"/>
    <w:next w:val="964"/>
    <w:link w:val="964"/>
    <w:qFormat/>
    <w:pPr>
      <w:ind w:left="1275"/>
      <w:jc w:val="both"/>
    </w:pPr>
    <w:rPr>
      <w:sz w:val="21"/>
      <w:lang w:val="en-US" w:eastAsia="zh-CN" w:bidi="ar-SA"/>
    </w:rPr>
  </w:style>
  <w:style w:type="paragraph" w:styleId="1067">
    <w:name w:val="段"/>
    <w:next w:val="1068"/>
    <w:link w:val="964"/>
    <w:qFormat/>
    <w:pPr>
      <w:ind w:firstLine="200"/>
      <w:jc w:val="both"/>
    </w:pPr>
    <w:rPr>
      <w:rFonts w:ascii="宋体"/>
      <w:sz w:val="21"/>
      <w:lang w:val="en-US" w:eastAsia="zh-CN" w:bidi="ar-SA"/>
    </w:rPr>
  </w:style>
  <w:style w:type="paragraph" w:styleId="1068">
    <w:name w:val="正文_1_0"/>
    <w:next w:val="1067"/>
    <w:link w:val="964"/>
    <w:qFormat/>
    <w:pPr>
      <w:jc w:val="both"/>
      <w:widowControl w:val="off"/>
    </w:pPr>
    <w:rPr>
      <w:sz w:val="21"/>
      <w:szCs w:val="22"/>
      <w:lang w:val="en-US" w:eastAsia="zh-CN" w:bidi="ar-SA"/>
    </w:rPr>
  </w:style>
  <w:style w:type="paragraph" w:styleId="1069">
    <w:name w:val="正文文本1"/>
    <w:basedOn w:val="964"/>
    <w:next w:val="1069"/>
    <w:link w:val="964"/>
    <w:qFormat/>
    <w:pPr>
      <w:jc w:val="center"/>
    </w:pPr>
    <w:rPr>
      <w:rFonts w:ascii="方正大黑简体" w:hAnsi="Tahoma" w:eastAsia="方正大黑简体" w:cs="Times New Roman"/>
      <w:position w:val="6"/>
      <w:sz w:val="30"/>
      <w:szCs w:val="20"/>
      <w:lang w:eastAsia="en-US"/>
    </w:rPr>
  </w:style>
  <w:style w:type="character" w:styleId="1070">
    <w:name w:val="正文文本 Char1"/>
    <w:next w:val="1070"/>
    <w:link w:val="964"/>
    <w:qFormat/>
    <w:rPr>
      <w:rFonts w:ascii="Times New Roman" w:hAnsi="Times New Roman" w:eastAsia="楷体_GB2312" w:cs="Times New Roman"/>
      <w:sz w:val="26"/>
      <w:szCs w:val="20"/>
    </w:rPr>
  </w:style>
  <w:style w:type="paragraph" w:styleId="1071">
    <w:name w:val="Default"/>
    <w:next w:val="1071"/>
    <w:link w:val="964"/>
    <w:qFormat/>
    <w:pPr>
      <w:widowControl w:val="off"/>
    </w:pPr>
    <w:rPr>
      <w:rFonts w:ascii="宋体" w:hAnsi="Calibri" w:cs="宋体"/>
      <w:color w:val="000000"/>
      <w:sz w:val="24"/>
      <w:szCs w:val="24"/>
      <w:lang w:val="en-US" w:eastAsia="zh-CN" w:bidi="ar-SA"/>
    </w:rPr>
  </w:style>
  <w:style w:type="paragraph" w:styleId="1072">
    <w:name w:val="_Style 21"/>
    <w:next w:val="1072"/>
    <w:link w:val="964"/>
    <w:qFormat/>
    <w:pPr>
      <w:jc w:val="both"/>
      <w:widowControl w:val="off"/>
    </w:pPr>
    <w:rPr>
      <w:rFonts w:eastAsia="楷体_GB2312"/>
      <w:sz w:val="26"/>
      <w:lang w:val="en-US" w:eastAsia="zh-CN" w:bidi="ar-SA"/>
    </w:rPr>
  </w:style>
  <w:style w:type="character" w:styleId="1073">
    <w:name w:val="样式 首行缩进:  2 字符 Char"/>
    <w:next w:val="1073"/>
    <w:link w:val="1074"/>
    <w:qFormat/>
    <w:rPr>
      <w:rFonts w:eastAsia="仿宋_GB2312"/>
      <w:sz w:val="24"/>
    </w:rPr>
  </w:style>
  <w:style w:type="paragraph" w:styleId="1074">
    <w:name w:val="样式 首行缩进:  2 字符"/>
    <w:basedOn w:val="964"/>
    <w:next w:val="1074"/>
    <w:link w:val="1073"/>
    <w:qFormat/>
    <w:pPr>
      <w:ind w:firstLine="560"/>
      <w:spacing w:line="360" w:lineRule="auto"/>
    </w:pPr>
    <w:rPr>
      <w:rFonts w:ascii="Calibri" w:hAnsi="Calibri" w:eastAsia="仿宋_GB2312" w:cs="Times New Roman"/>
      <w:sz w:val="24"/>
      <w:szCs w:val="22"/>
    </w:rPr>
  </w:style>
  <w:style w:type="character" w:styleId="1075">
    <w:name w:val="批注文字 Char"/>
    <w:next w:val="1075"/>
    <w:link w:val="964"/>
    <w:qFormat/>
    <w:rPr>
      <w:rFonts w:eastAsia="楷体_GB2312"/>
      <w:sz w:val="26"/>
    </w:rPr>
  </w:style>
  <w:style w:type="character" w:styleId="1076">
    <w:name w:val="列出段落 Char"/>
    <w:next w:val="1076"/>
    <w:link w:val="1077"/>
    <w:uiPriority w:val="99"/>
    <w:qFormat/>
    <w:rPr>
      <w:rFonts w:eastAsia="楷体_GB2312"/>
      <w:sz w:val="26"/>
    </w:rPr>
  </w:style>
  <w:style w:type="paragraph" w:styleId="1077">
    <w:name w:val="列出段落1"/>
    <w:basedOn w:val="964"/>
    <w:next w:val="1077"/>
    <w:link w:val="1076"/>
    <w:uiPriority w:val="34"/>
    <w:qFormat/>
    <w:pPr>
      <w:ind w:firstLine="420"/>
    </w:pPr>
    <w:rPr>
      <w:rFonts w:ascii="Calibri" w:hAnsi="Calibri" w:cs="Times New Roman"/>
      <w:szCs w:val="22"/>
    </w:rPr>
  </w:style>
  <w:style w:type="character" w:styleId="1078">
    <w:name w:val="ca-221"/>
    <w:next w:val="1078"/>
    <w:link w:val="964"/>
    <w:qFormat/>
    <w:rPr>
      <w:rFonts w:hint="eastAsia" w:ascii="宋体" w:hAnsi="宋体" w:eastAsia="宋体"/>
      <w:color w:val="ff0000"/>
      <w:sz w:val="24"/>
      <w:szCs w:val="24"/>
    </w:rPr>
  </w:style>
  <w:style w:type="character" w:styleId="1079">
    <w:name w:val="正文首行缩进 Char Char"/>
    <w:next w:val="1079"/>
    <w:link w:val="1080"/>
    <w:qFormat/>
    <w:rPr>
      <w:szCs w:val="24"/>
    </w:rPr>
  </w:style>
  <w:style w:type="paragraph" w:styleId="1080">
    <w:name w:val="正文首行缩进1"/>
    <w:basedOn w:val="1002"/>
    <w:next w:val="1080"/>
    <w:link w:val="1079"/>
    <w:qFormat/>
    <w:pPr>
      <w:ind w:firstLine="420"/>
      <w:spacing w:after="120" w:line="240" w:lineRule="auto"/>
    </w:pPr>
    <w:rPr>
      <w:rFonts w:ascii="Calibri" w:eastAsia="宋体"/>
      <w:sz w:val="21"/>
      <w:szCs w:val="24"/>
    </w:rPr>
  </w:style>
  <w:style w:type="character" w:styleId="1081">
    <w:name w:val="普通文字 Char Char"/>
    <w:next w:val="1081"/>
    <w:link w:val="964"/>
    <w:qFormat/>
    <w:rPr>
      <w:rFonts w:ascii="宋体" w:hAnsi="Courier New" w:eastAsia="楷体_GB2312"/>
      <w:sz w:val="26"/>
      <w:lang w:val="en-US" w:eastAsia="zh-CN" w:bidi="ar-SA"/>
    </w:rPr>
  </w:style>
  <w:style w:type="character" w:styleId="1082">
    <w:name w:val="正文文本缩进 Char1"/>
    <w:next w:val="1082"/>
    <w:link w:val="964"/>
    <w:qFormat/>
    <w:rPr>
      <w:rFonts w:ascii="Times New Roman" w:hAnsi="Times New Roman" w:eastAsia="楷体_GB2312" w:cs="Times New Roman"/>
      <w:sz w:val="26"/>
      <w:szCs w:val="20"/>
    </w:rPr>
  </w:style>
  <w:style w:type="character" w:styleId="1083">
    <w:name w:val="正文文本缩进 2 Char1"/>
    <w:next w:val="1083"/>
    <w:link w:val="964"/>
    <w:uiPriority w:val="99"/>
    <w:semiHidden/>
    <w:qFormat/>
    <w:rPr>
      <w:rFonts w:ascii="Times New Roman" w:hAnsi="Times New Roman" w:eastAsia="楷体_GB2312" w:cs="Times New Roman"/>
      <w:sz w:val="26"/>
      <w:szCs w:val="20"/>
    </w:rPr>
  </w:style>
  <w:style w:type="character" w:styleId="1084">
    <w:name w:val="纯文本 Char1"/>
    <w:next w:val="1084"/>
    <w:link w:val="964"/>
    <w:qFormat/>
    <w:rPr>
      <w:rFonts w:ascii="宋体" w:hAnsi="Courier New" w:eastAsia="宋体" w:cs="Courier New"/>
      <w:szCs w:val="21"/>
    </w:rPr>
  </w:style>
  <w:style w:type="character" w:styleId="1085">
    <w:name w:val="HTML 预设格式 Char1"/>
    <w:next w:val="1085"/>
    <w:link w:val="964"/>
    <w:uiPriority w:val="99"/>
    <w:semiHidden/>
    <w:qFormat/>
    <w:rPr>
      <w:rFonts w:ascii="Courier New" w:hAnsi="Courier New" w:eastAsia="楷体_GB2312" w:cs="Courier New"/>
      <w:sz w:val="20"/>
      <w:szCs w:val="20"/>
    </w:rPr>
  </w:style>
  <w:style w:type="paragraph" w:styleId="1086">
    <w:name w:val="Char Char3 Char Char Char Char Char Char Char Char Char Char Char Char Char Char Char Char"/>
    <w:basedOn w:val="964"/>
    <w:next w:val="1086"/>
    <w:link w:val="964"/>
    <w:qFormat/>
    <w:pPr>
      <w:ind w:firstLine="200"/>
      <w:jc w:val="left"/>
      <w:spacing w:after="160" w:line="360" w:lineRule="auto"/>
      <w:widowControl/>
    </w:pPr>
    <w:rPr>
      <w:rFonts w:ascii="宋体" w:hAnsi="宋体" w:eastAsia="宋体"/>
      <w:sz w:val="24"/>
    </w:rPr>
  </w:style>
  <w:style w:type="paragraph" w:styleId="1087">
    <w:name w:val="xl62"/>
    <w:basedOn w:val="964"/>
    <w:next w:val="1087"/>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88">
    <w:name w:val="xl45"/>
    <w:basedOn w:val="964"/>
    <w:next w:val="1088"/>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9">
    <w:name w:val="xl47"/>
    <w:basedOn w:val="964"/>
    <w:next w:val="1089"/>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90">
    <w:name w:val="xl66"/>
    <w:basedOn w:val="964"/>
    <w:next w:val="1090"/>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1">
    <w:name w:val="xl46"/>
    <w:basedOn w:val="964"/>
    <w:next w:val="1091"/>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2">
    <w:name w:val="xl61"/>
    <w:basedOn w:val="964"/>
    <w:next w:val="1092"/>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93">
    <w:name w:val="xl48"/>
    <w:basedOn w:val="964"/>
    <w:next w:val="1093"/>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94">
    <w:name w:val="Char Char Char"/>
    <w:basedOn w:val="964"/>
    <w:next w:val="1094"/>
    <w:link w:val="964"/>
    <w:qFormat/>
    <w:rPr>
      <w:rFonts w:ascii="Tahoma" w:hAnsi="Tahoma" w:eastAsia="宋体"/>
      <w:sz w:val="24"/>
    </w:rPr>
  </w:style>
  <w:style w:type="paragraph" w:styleId="1095">
    <w:name w:val="cardlist-value"/>
    <w:basedOn w:val="964"/>
    <w:next w:val="1095"/>
    <w:link w:val="964"/>
    <w:qFormat/>
    <w:pPr>
      <w:jc w:val="left"/>
      <w:spacing w:before="100" w:beforeAutospacing="1" w:after="100" w:afterAutospacing="1"/>
      <w:widowControl/>
    </w:pPr>
    <w:rPr>
      <w:rFonts w:ascii="宋体" w:hAnsi="宋体" w:eastAsia="宋体" w:cs="宋体"/>
      <w:sz w:val="24"/>
      <w:szCs w:val="24"/>
    </w:rPr>
  </w:style>
  <w:style w:type="paragraph" w:styleId="1096">
    <w:name w:val="Char"/>
    <w:basedOn w:val="964"/>
    <w:next w:val="1096"/>
    <w:link w:val="964"/>
    <w:qFormat/>
    <w:pPr>
      <w:jc w:val="left"/>
      <w:spacing w:after="160" w:line="240" w:lineRule="exact"/>
      <w:widowControl/>
    </w:pPr>
    <w:rPr>
      <w:rFonts w:ascii="Verdana" w:hAnsi="Verdana" w:eastAsia="仿宋_GB2312"/>
      <w:sz w:val="24"/>
      <w:lang w:eastAsia="en-US"/>
    </w:rPr>
  </w:style>
  <w:style w:type="paragraph" w:styleId="1097">
    <w:name w:val="Default Paragraph Font Para Char"/>
    <w:basedOn w:val="964"/>
    <w:next w:val="1097"/>
    <w:link w:val="964"/>
    <w:semiHidden/>
    <w:qFormat/>
    <w:pPr>
      <w:jc w:val="left"/>
      <w:spacing w:after="160" w:line="240" w:lineRule="exact"/>
      <w:widowControl/>
    </w:pPr>
    <w:rPr>
      <w:rFonts w:ascii="Verdana" w:hAnsi="Verdana" w:eastAsia="宋体"/>
      <w:sz w:val="20"/>
      <w:lang w:eastAsia="en-US"/>
    </w:rPr>
  </w:style>
  <w:style w:type="paragraph" w:styleId="1098">
    <w:name w:val="小四 段落 宋体 Char Char Char Char Char Char"/>
    <w:basedOn w:val="1099"/>
    <w:next w:val="1098"/>
    <w:link w:val="964"/>
    <w:qFormat/>
    <w:pPr>
      <w:ind w:firstLine="480"/>
    </w:pPr>
    <w:rPr>
      <w:rFonts w:ascii="宋体" w:hAnsi="宋体"/>
    </w:rPr>
  </w:style>
  <w:style w:type="paragraph" w:styleId="1099">
    <w:name w:val="小四 段落 宋体 Char Char Char Char Char Char Char"/>
    <w:basedOn w:val="989"/>
    <w:next w:val="1099"/>
    <w:link w:val="964"/>
    <w:semiHidden/>
    <w:qFormat/>
    <w:pPr>
      <w:ind w:left="0" w:right="-33" w:firstLine="545"/>
      <w:jc w:val="left"/>
      <w:spacing w:line="360" w:lineRule="auto"/>
      <w:tabs>
        <w:tab w:val="clear" w:pos="1125" w:leader="none"/>
      </w:tabs>
    </w:pPr>
    <w:rPr>
      <w:sz w:val="24"/>
    </w:rPr>
  </w:style>
  <w:style w:type="paragraph" w:styleId="1100">
    <w:name w:val="Plain Text1"/>
    <w:basedOn w:val="964"/>
    <w:next w:val="1100"/>
    <w:link w:val="964"/>
    <w:qFormat/>
    <w:rPr>
      <w:rFonts w:ascii="宋体" w:hAnsi="Courier New"/>
    </w:rPr>
  </w:style>
  <w:style w:type="paragraph" w:styleId="1101">
    <w:name w:val="xl50"/>
    <w:basedOn w:val="964"/>
    <w:next w:val="1101"/>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02">
    <w:name w:val="xl52"/>
    <w:basedOn w:val="964"/>
    <w:next w:val="1102"/>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3">
    <w:name w:val="font6"/>
    <w:basedOn w:val="964"/>
    <w:next w:val="1103"/>
    <w:link w:val="964"/>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104">
    <w:name w:val="p0"/>
    <w:basedOn w:val="964"/>
    <w:next w:val="1104"/>
    <w:link w:val="964"/>
    <w:qFormat/>
    <w:pPr>
      <w:jc w:val="left"/>
      <w:spacing w:before="100" w:beforeAutospacing="1" w:after="100" w:afterAutospacing="1"/>
      <w:widowControl/>
    </w:pPr>
    <w:rPr>
      <w:rFonts w:ascii="宋体" w:hAnsi="宋体" w:eastAsia="宋体" w:cs="宋体"/>
      <w:sz w:val="24"/>
      <w:szCs w:val="24"/>
    </w:rPr>
  </w:style>
  <w:style w:type="paragraph" w:styleId="1105">
    <w:name w:val="Char1"/>
    <w:basedOn w:val="964"/>
    <w:next w:val="1105"/>
    <w:link w:val="964"/>
    <w:qFormat/>
    <w:rPr>
      <w:rFonts w:ascii="Tahoma" w:hAnsi="Tahoma" w:eastAsia="宋体"/>
      <w:sz w:val="24"/>
    </w:rPr>
  </w:style>
  <w:style w:type="paragraph" w:styleId="1106">
    <w:name w:val="xl53"/>
    <w:basedOn w:val="964"/>
    <w:next w:val="1106"/>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7">
    <w:name w:val="xl57"/>
    <w:basedOn w:val="964"/>
    <w:next w:val="1107"/>
    <w:link w:val="9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8">
    <w:name w:val="xl59"/>
    <w:basedOn w:val="964"/>
    <w:next w:val="1108"/>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9">
    <w:name w:val="xl65"/>
    <w:basedOn w:val="964"/>
    <w:next w:val="1109"/>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0">
    <w:name w:val="font5"/>
    <w:basedOn w:val="964"/>
    <w:next w:val="1110"/>
    <w:link w:val="964"/>
    <w:qFormat/>
    <w:pPr>
      <w:jc w:val="left"/>
      <w:spacing w:before="100" w:beforeAutospacing="1" w:after="100" w:afterAutospacing="1"/>
      <w:widowControl/>
    </w:pPr>
    <w:rPr>
      <w:rFonts w:hint="eastAsia" w:ascii="宋体" w:hAnsi="宋体" w:eastAsia="宋体"/>
      <w:sz w:val="18"/>
      <w:szCs w:val="18"/>
    </w:rPr>
  </w:style>
  <w:style w:type="paragraph" w:styleId="1111">
    <w:name w:val="小四 段落 宋体 Char"/>
    <w:basedOn w:val="989"/>
    <w:next w:val="1111"/>
    <w:link w:val="964"/>
    <w:qFormat/>
    <w:pPr>
      <w:ind w:left="0" w:right="-33" w:firstLine="480"/>
      <w:jc w:val="left"/>
      <w:spacing w:line="360" w:lineRule="auto"/>
      <w:tabs>
        <w:tab w:val="clear" w:pos="1125" w:leader="none"/>
      </w:tabs>
    </w:pPr>
    <w:rPr>
      <w:sz w:val="24"/>
    </w:rPr>
  </w:style>
  <w:style w:type="paragraph" w:styleId="1112">
    <w:name w:val="xl58"/>
    <w:basedOn w:val="964"/>
    <w:next w:val="1112"/>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3">
    <w:name w:val="xl49"/>
    <w:basedOn w:val="964"/>
    <w:next w:val="1113"/>
    <w:link w:val="964"/>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14">
    <w:name w:val="纯文本1"/>
    <w:basedOn w:val="964"/>
    <w:next w:val="1114"/>
    <w:link w:val="964"/>
    <w:qFormat/>
    <w:rPr>
      <w:rFonts w:ascii="宋体" w:hAnsi="Courier New"/>
    </w:rPr>
  </w:style>
  <w:style w:type="paragraph" w:styleId="1115">
    <w:name w:val="Char Char"/>
    <w:basedOn w:val="964"/>
    <w:next w:val="1115"/>
    <w:link w:val="964"/>
    <w:qFormat/>
    <w:rPr>
      <w:rFonts w:eastAsia="宋体"/>
      <w:sz w:val="21"/>
      <w:szCs w:val="24"/>
    </w:rPr>
  </w:style>
  <w:style w:type="paragraph" w:styleId="1116">
    <w:name w:val="Char Char Char1 Char Char Char Char"/>
    <w:basedOn w:val="964"/>
    <w:next w:val="1116"/>
    <w:link w:val="964"/>
    <w:qFormat/>
    <w:pPr>
      <w:jc w:val="left"/>
      <w:spacing w:after="160" w:line="240" w:lineRule="exact"/>
      <w:widowControl/>
    </w:pPr>
    <w:rPr>
      <w:rFonts w:eastAsia="宋体"/>
      <w:sz w:val="24"/>
      <w:szCs w:val="24"/>
    </w:rPr>
  </w:style>
  <w:style w:type="paragraph" w:styleId="1117">
    <w:name w:val="xl51"/>
    <w:basedOn w:val="964"/>
    <w:next w:val="1117"/>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18">
    <w:name w:val="font7"/>
    <w:basedOn w:val="964"/>
    <w:next w:val="1118"/>
    <w:link w:val="964"/>
    <w:qFormat/>
    <w:pPr>
      <w:jc w:val="left"/>
      <w:spacing w:before="100" w:beforeAutospacing="1" w:after="100" w:afterAutospacing="1"/>
      <w:widowControl/>
    </w:pPr>
    <w:rPr>
      <w:rFonts w:eastAsia="宋体"/>
      <w:sz w:val="20"/>
    </w:rPr>
  </w:style>
  <w:style w:type="paragraph" w:styleId="1119">
    <w:name w:val="xl54"/>
    <w:basedOn w:val="964"/>
    <w:next w:val="1119"/>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20">
    <w:name w:val="xl55"/>
    <w:basedOn w:val="964"/>
    <w:next w:val="1120"/>
    <w:link w:val="96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21">
    <w:name w:val="xl56"/>
    <w:basedOn w:val="964"/>
    <w:next w:val="1121"/>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22">
    <w:name w:val="xl60"/>
    <w:basedOn w:val="964"/>
    <w:next w:val="1122"/>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23">
    <w:name w:val="xl63"/>
    <w:basedOn w:val="964"/>
    <w:next w:val="1123"/>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24">
    <w:name w:val="xl64"/>
    <w:basedOn w:val="964"/>
    <w:next w:val="1124"/>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character" w:styleId="1125">
    <w:name w:val="标题 Char1"/>
    <w:next w:val="1125"/>
    <w:link w:val="964"/>
    <w:uiPriority w:val="10"/>
    <w:qFormat/>
    <w:rPr>
      <w:rFonts w:ascii="Cambria" w:hAnsi="Cambria" w:eastAsia="宋体" w:cs="Times New Roman"/>
      <w:b/>
      <w:bCs/>
      <w:sz w:val="32"/>
      <w:szCs w:val="32"/>
    </w:rPr>
  </w:style>
  <w:style w:type="paragraph" w:styleId="1126">
    <w:name w:val="图"/>
    <w:basedOn w:val="964"/>
    <w:next w:val="1126"/>
    <w:link w:val="964"/>
    <w:qFormat/>
    <w:pPr>
      <w:jc w:val="center"/>
      <w:keepNext/>
      <w:spacing w:before="60" w:after="60" w:line="300" w:lineRule="auto"/>
    </w:pPr>
    <w:rPr>
      <w:rFonts w:eastAsia="宋体"/>
      <w:spacing w:val="20"/>
      <w:sz w:val="24"/>
    </w:rPr>
  </w:style>
  <w:style w:type="paragraph" w:styleId="1127">
    <w:name w:val="纯文本2"/>
    <w:next w:val="1127"/>
    <w:link w:val="964"/>
    <w:qFormat/>
    <w:pPr>
      <w:jc w:val="both"/>
      <w:widowControl w:val="off"/>
    </w:pPr>
    <w:rPr>
      <w:rFonts w:ascii="宋体" w:hAnsi="宋体" w:cs="宋体"/>
      <w:color w:val="000000"/>
      <w:sz w:val="26"/>
      <w:szCs w:val="26"/>
      <w:lang w:val="en-US" w:eastAsia="zh-CN" w:bidi="ar-SA"/>
    </w:rPr>
  </w:style>
  <w:style w:type="paragraph" w:styleId="1128">
    <w:name w:val="正文_9"/>
    <w:next w:val="1128"/>
    <w:link w:val="964"/>
    <w:qFormat/>
    <w:pPr>
      <w:jc w:val="both"/>
      <w:widowControl w:val="off"/>
    </w:pPr>
    <w:rPr>
      <w:rFonts w:ascii="Calibri" w:hAnsi="Calibri"/>
      <w:lang w:val="en-US" w:eastAsia="zh-CN" w:bidi="ar-SA"/>
    </w:rPr>
  </w:style>
  <w:style w:type="paragraph" w:styleId="1129">
    <w:name w:val="Normal_14"/>
    <w:next w:val="1129"/>
    <w:link w:val="964"/>
    <w:qFormat/>
    <w:pPr>
      <w:jc w:val="both"/>
      <w:widowControl w:val="off"/>
    </w:pPr>
    <w:rPr>
      <w:rFonts w:eastAsia="Times New Roman"/>
      <w:lang w:val="en-US" w:eastAsia="zh-CN" w:bidi="ar-SA"/>
    </w:rPr>
  </w:style>
  <w:style w:type="paragraph" w:styleId="1130">
    <w:name w:val="正文_6"/>
    <w:next w:val="1130"/>
    <w:link w:val="964"/>
    <w:qFormat/>
    <w:pPr>
      <w:jc w:val="both"/>
      <w:widowControl w:val="off"/>
    </w:pPr>
    <w:rPr>
      <w:rFonts w:ascii="Calibri" w:hAnsi="Calibri"/>
      <w:lang w:val="en-US" w:eastAsia="zh-CN" w:bidi="ar-SA"/>
    </w:rPr>
  </w:style>
  <w:style w:type="character" w:styleId="1131">
    <w:name w:val="Char Char20"/>
    <w:next w:val="1131"/>
    <w:link w:val="964"/>
    <w:qFormat/>
    <w:rPr>
      <w:rFonts w:ascii="Arial" w:hAnsi="Arial" w:eastAsia="黑体"/>
      <w:sz w:val="24"/>
      <w:szCs w:val="24"/>
      <w:lang w:val="en-US" w:eastAsia="zh-CN" w:bidi="ar-SA"/>
    </w:rPr>
  </w:style>
  <w:style w:type="character" w:styleId="1132">
    <w:name w:val="apple-style-span"/>
    <w:next w:val="1132"/>
    <w:link w:val="964"/>
    <w:qFormat/>
  </w:style>
  <w:style w:type="paragraph" w:styleId="1133">
    <w:name w:val="正文2"/>
    <w:basedOn w:val="964"/>
    <w:next w:val="1133"/>
    <w:link w:val="964"/>
    <w:qFormat/>
    <w:pPr>
      <w:ind w:firstLine="420"/>
      <w:jc w:val="left"/>
      <w:spacing w:line="360" w:lineRule="auto"/>
      <w:widowControl/>
    </w:pPr>
    <w:rPr>
      <w:rFonts w:eastAsia="宋体"/>
      <w:sz w:val="28"/>
    </w:rPr>
  </w:style>
  <w:style w:type="character" w:styleId="1134">
    <w:name w:val="Andy_正文 Char"/>
    <w:next w:val="1134"/>
    <w:link w:val="1135"/>
    <w:qFormat/>
    <w:rPr>
      <w:rFonts w:ascii="Calibri" w:hAnsi="Calibri" w:cs="Calibri"/>
      <w:sz w:val="24"/>
      <w:szCs w:val="24"/>
    </w:rPr>
  </w:style>
  <w:style w:type="paragraph" w:styleId="1135">
    <w:name w:val="Andy_正文"/>
    <w:basedOn w:val="964"/>
    <w:next w:val="1135"/>
    <w:link w:val="1134"/>
    <w:qFormat/>
    <w:pPr>
      <w:ind w:firstLine="480"/>
      <w:spacing w:line="360" w:lineRule="auto"/>
    </w:pPr>
    <w:rPr>
      <w:rFonts w:ascii="Calibri" w:hAnsi="Calibri" w:eastAsia="宋体" w:cs="Calibri"/>
      <w:sz w:val="24"/>
      <w:szCs w:val="24"/>
    </w:rPr>
  </w:style>
  <w:style w:type="paragraph" w:styleId="1136">
    <w:name w:val="列出段落2"/>
    <w:basedOn w:val="964"/>
    <w:next w:val="1136"/>
    <w:link w:val="964"/>
    <w:uiPriority w:val="99"/>
    <w:qFormat/>
    <w:pPr>
      <w:ind w:firstLine="420"/>
    </w:pPr>
    <w:rPr>
      <w:rFonts w:ascii="Calibri" w:hAnsi="Calibri" w:eastAsia="宋体"/>
      <w:sz w:val="21"/>
      <w:szCs w:val="22"/>
    </w:rPr>
  </w:style>
  <w:style w:type="paragraph" w:styleId="1137">
    <w:name w:val="表格文字"/>
    <w:next w:val="964"/>
    <w:link w:val="964"/>
    <w:qFormat/>
    <w:rPr>
      <w:sz w:val="21"/>
      <w:lang w:val="en-US" w:eastAsia="zh-CN" w:bidi="ar-SA"/>
    </w:rPr>
  </w:style>
  <w:style w:type="paragraph" w:styleId="1138">
    <w:name w:val="Char Char Char Char Char Char"/>
    <w:basedOn w:val="964"/>
    <w:next w:val="1138"/>
    <w:link w:val="964"/>
    <w:qFormat/>
    <w:pPr>
      <w:ind w:firstLine="200"/>
      <w:spacing w:line="360" w:lineRule="auto"/>
    </w:pPr>
    <w:rPr>
      <w:rFonts w:eastAsia="宋体"/>
      <w:sz w:val="21"/>
      <w:szCs w:val="24"/>
    </w:rPr>
  </w:style>
  <w:style w:type="character" w:styleId="1139">
    <w:name w:val="引用 字符"/>
    <w:next w:val="1139"/>
    <w:link w:val="1140"/>
    <w:qFormat/>
    <w:rPr>
      <w:rFonts w:ascii="Calibri" w:hAnsi="Calibri"/>
      <w:i/>
      <w:iCs/>
      <w:color w:val="000000"/>
    </w:rPr>
  </w:style>
  <w:style w:type="paragraph" w:styleId="1140">
    <w:name w:val="引用"/>
    <w:basedOn w:val="964"/>
    <w:next w:val="964"/>
    <w:link w:val="1139"/>
    <w:qFormat/>
    <w:rPr>
      <w:rFonts w:ascii="Calibri" w:hAnsi="Calibri" w:eastAsia="宋体" w:cs="Times New Roman"/>
      <w:i/>
      <w:iCs/>
      <w:color w:val="000000"/>
      <w:sz w:val="21"/>
      <w:szCs w:val="22"/>
    </w:rPr>
  </w:style>
  <w:style w:type="character" w:styleId="1141">
    <w:name w:val="引用 Char1"/>
    <w:next w:val="1141"/>
    <w:link w:val="964"/>
    <w:uiPriority w:val="29"/>
    <w:qFormat/>
    <w:rPr>
      <w:rFonts w:ascii="Times New Roman" w:hAnsi="Times New Roman" w:eastAsia="楷体_GB2312" w:cs="Times New Roman"/>
      <w:i/>
      <w:iCs/>
      <w:color w:val="000000"/>
      <w:sz w:val="26"/>
      <w:szCs w:val="20"/>
    </w:rPr>
  </w:style>
  <w:style w:type="character" w:styleId="1142">
    <w:name w:val="日期 Char1"/>
    <w:next w:val="1142"/>
    <w:link w:val="964"/>
    <w:qFormat/>
    <w:rPr>
      <w:sz w:val="21"/>
      <w:szCs w:val="24"/>
    </w:rPr>
  </w:style>
  <w:style w:type="character" w:styleId="1143">
    <w:name w:val="c lh15"/>
    <w:next w:val="1143"/>
    <w:link w:val="964"/>
    <w:qFormat/>
  </w:style>
  <w:style w:type="character" w:styleId="1144">
    <w:name w:val="副标题 Char1"/>
    <w:next w:val="1144"/>
    <w:link w:val="964"/>
    <w:uiPriority w:val="11"/>
    <w:qFormat/>
    <w:rPr>
      <w:rFonts w:ascii="Cambria" w:hAnsi="Cambria" w:cs="Times New Roman"/>
      <w:b/>
      <w:bCs/>
      <w:sz w:val="32"/>
      <w:szCs w:val="32"/>
    </w:rPr>
  </w:style>
  <w:style w:type="character" w:styleId="1145">
    <w:name w:val="批注主题 Char1"/>
    <w:next w:val="1145"/>
    <w:link w:val="964"/>
    <w:qFormat/>
    <w:rPr>
      <w:b/>
      <w:bCs/>
      <w:sz w:val="21"/>
      <w:szCs w:val="24"/>
    </w:rPr>
  </w:style>
  <w:style w:type="character" w:styleId="1146">
    <w:name w:val="明显引用 字符"/>
    <w:next w:val="1146"/>
    <w:link w:val="1147"/>
    <w:qFormat/>
    <w:rPr>
      <w:rFonts w:ascii="Calibri" w:hAnsi="Calibri"/>
      <w:b/>
      <w:bCs/>
      <w:i/>
      <w:iCs/>
      <w:color w:val="4f81bd"/>
    </w:rPr>
  </w:style>
  <w:style w:type="paragraph" w:styleId="1147">
    <w:name w:val="明显引用"/>
    <w:basedOn w:val="964"/>
    <w:next w:val="964"/>
    <w:link w:val="1146"/>
    <w:qFormat/>
    <w:pPr>
      <w:ind w:left="936" w:right="936"/>
      <w:spacing w:before="200" w:after="280"/>
      <w:pBdr>
        <w:bottom w:val="single" w:color="4F81BD" w:sz="4" w:space="4"/>
      </w:pBdr>
    </w:pPr>
    <w:rPr>
      <w:rFonts w:ascii="Calibri" w:hAnsi="Calibri" w:eastAsia="宋体" w:cs="Times New Roman"/>
      <w:b/>
      <w:bCs/>
      <w:i/>
      <w:iCs/>
      <w:color w:val="4f81bd"/>
      <w:sz w:val="21"/>
      <w:szCs w:val="22"/>
    </w:rPr>
  </w:style>
  <w:style w:type="character" w:styleId="1148">
    <w:name w:val="明显引用 Char1"/>
    <w:next w:val="1148"/>
    <w:link w:val="964"/>
    <w:uiPriority w:val="30"/>
    <w:qFormat/>
    <w:rPr>
      <w:rFonts w:ascii="Times New Roman" w:hAnsi="Times New Roman" w:eastAsia="楷体_GB2312" w:cs="Times New Roman"/>
      <w:b/>
      <w:bCs/>
      <w:i/>
      <w:iCs/>
      <w:color w:val="4f81bd"/>
      <w:sz w:val="26"/>
      <w:szCs w:val="20"/>
    </w:rPr>
  </w:style>
  <w:style w:type="character" w:styleId="1149">
    <w:name w:val="标题4 Char Char"/>
    <w:next w:val="1149"/>
    <w:link w:val="1150"/>
    <w:qFormat/>
    <w:rPr>
      <w:rFonts w:ascii="Arial" w:hAnsi="Arial" w:cs="Arial"/>
      <w:b/>
      <w:bCs/>
      <w:sz w:val="24"/>
      <w:szCs w:val="32"/>
    </w:rPr>
  </w:style>
  <w:style w:type="paragraph" w:styleId="1150">
    <w:name w:val="标题4"/>
    <w:basedOn w:val="966"/>
    <w:next w:val="1010"/>
    <w:link w:val="1149"/>
    <w:qFormat/>
    <w:pPr>
      <w:jc w:val="both"/>
      <w:spacing w:before="260" w:after="260" w:line="412" w:lineRule="auto"/>
    </w:pPr>
    <w:rPr>
      <w:rFonts w:ascii="Arial" w:hAnsi="Arial" w:eastAsia="宋体" w:cs="Arial"/>
      <w:bCs/>
      <w:sz w:val="24"/>
      <w:szCs w:val="32"/>
    </w:rPr>
  </w:style>
  <w:style w:type="character" w:styleId="1151">
    <w:name w:val="标题5 Char Char"/>
    <w:next w:val="1151"/>
    <w:link w:val="1152"/>
    <w:qFormat/>
    <w:rPr>
      <w:rFonts w:ascii="Arial" w:hAnsi="Arial" w:cs="Arial"/>
      <w:b/>
      <w:bCs/>
      <w:sz w:val="24"/>
      <w:szCs w:val="32"/>
    </w:rPr>
  </w:style>
  <w:style w:type="paragraph" w:styleId="1152">
    <w:name w:val="标题5"/>
    <w:basedOn w:val="967"/>
    <w:next w:val="1152"/>
    <w:link w:val="1151"/>
    <w:qFormat/>
    <w:pPr>
      <w:jc w:val="both"/>
      <w:spacing w:before="260" w:after="260" w:line="412" w:lineRule="auto"/>
    </w:pPr>
    <w:rPr>
      <w:rFonts w:ascii="Arial" w:hAnsi="Arial" w:eastAsia="宋体" w:cs="Arial"/>
      <w:bCs/>
      <w:sz w:val="24"/>
      <w:szCs w:val="32"/>
    </w:rPr>
  </w:style>
  <w:style w:type="character" w:styleId="1153">
    <w:name w:val="标题 Char2"/>
    <w:next w:val="1153"/>
    <w:link w:val="964"/>
    <w:qFormat/>
    <w:rPr>
      <w:rFonts w:ascii="Cambria" w:hAnsi="Cambria" w:eastAsia="宋体" w:cs="Times New Roman"/>
      <w:b/>
      <w:bCs/>
      <w:sz w:val="32"/>
      <w:szCs w:val="32"/>
    </w:rPr>
  </w:style>
  <w:style w:type="character" w:styleId="1154">
    <w:name w:val="副标题 Char2"/>
    <w:next w:val="1154"/>
    <w:link w:val="964"/>
    <w:uiPriority w:val="11"/>
    <w:qFormat/>
    <w:rPr>
      <w:rFonts w:ascii="Cambria" w:hAnsi="Cambria" w:eastAsia="宋体" w:cs="Times New Roman"/>
      <w:b/>
      <w:bCs/>
      <w:sz w:val="32"/>
      <w:szCs w:val="32"/>
    </w:rPr>
  </w:style>
  <w:style w:type="paragraph" w:styleId="1155">
    <w:name w:val="Char1 Char Char Char"/>
    <w:basedOn w:val="964"/>
    <w:next w:val="1155"/>
    <w:link w:val="964"/>
    <w:qFormat/>
    <w:rPr>
      <w:rFonts w:ascii="Tahoma" w:hAnsi="Tahoma" w:eastAsia="宋体"/>
      <w:sz w:val="24"/>
    </w:rPr>
  </w:style>
  <w:style w:type="paragraph" w:styleId="1156">
    <w:name w:val="_Style 10"/>
    <w:basedOn w:val="964"/>
    <w:next w:val="1156"/>
    <w:link w:val="964"/>
    <w:qFormat/>
    <w:pPr>
      <w:ind w:left="420" w:hanging="420"/>
      <w:tabs>
        <w:tab w:val="left" w:pos="420" w:leader="none"/>
      </w:tabs>
    </w:pPr>
    <w:rPr>
      <w:rFonts w:eastAsia="宋体"/>
      <w:sz w:val="24"/>
      <w:szCs w:val="24"/>
    </w:rPr>
  </w:style>
  <w:style w:type="character" w:styleId="1157">
    <w:name w:val="引用 Char2"/>
    <w:next w:val="1157"/>
    <w:link w:val="964"/>
    <w:uiPriority w:val="29"/>
    <w:qFormat/>
    <w:rPr>
      <w:rFonts w:ascii="Calibri" w:hAnsi="Calibri" w:eastAsia="宋体" w:cs="Times New Roman"/>
      <w:i/>
      <w:iCs/>
      <w:color w:val="000000"/>
    </w:rPr>
  </w:style>
  <w:style w:type="paragraph" w:styleId="1158">
    <w:name w:val="Char Char Char Char"/>
    <w:basedOn w:val="995"/>
    <w:next w:val="1158"/>
    <w:link w:val="964"/>
    <w:qFormat/>
    <w:pPr>
      <w:spacing w:line="360" w:lineRule="auto"/>
    </w:pPr>
    <w:rPr>
      <w:rFonts w:ascii="Calibri" w:hAnsi="Calibri"/>
      <w:sz w:val="24"/>
    </w:rPr>
  </w:style>
  <w:style w:type="paragraph" w:styleId="1159">
    <w:name w:val="_Style 14"/>
    <w:basedOn w:val="964"/>
    <w:next w:val="1159"/>
    <w:link w:val="964"/>
    <w:qFormat/>
    <w:rPr>
      <w:rFonts w:eastAsia="宋体"/>
      <w:sz w:val="21"/>
      <w:szCs w:val="24"/>
    </w:rPr>
  </w:style>
  <w:style w:type="paragraph" w:styleId="1160">
    <w:name w:val="Char Char Char Char Char Char Char Char Char1 Char"/>
    <w:basedOn w:val="995"/>
    <w:next w:val="1160"/>
    <w:link w:val="964"/>
    <w:qFormat/>
    <w:pPr>
      <w:spacing w:line="360" w:lineRule="auto"/>
    </w:pPr>
    <w:rPr>
      <w:rFonts w:ascii="Tahoma" w:hAnsi="Tahoma"/>
      <w:sz w:val="24"/>
      <w:szCs w:val="24"/>
    </w:rPr>
  </w:style>
  <w:style w:type="character" w:styleId="1161">
    <w:name w:val="明显引用 Char2"/>
    <w:next w:val="1161"/>
    <w:link w:val="964"/>
    <w:uiPriority w:val="30"/>
    <w:qFormat/>
    <w:rPr>
      <w:rFonts w:ascii="Calibri" w:hAnsi="Calibri" w:eastAsia="宋体" w:cs="Times New Roman"/>
      <w:b/>
      <w:bCs/>
      <w:i/>
      <w:iCs/>
      <w:color w:val="4f81bd"/>
    </w:rPr>
  </w:style>
  <w:style w:type="paragraph" w:styleId="1162">
    <w:name w:val="纯文本21"/>
    <w:basedOn w:val="964"/>
    <w:next w:val="1162"/>
    <w:link w:val="964"/>
    <w:qFormat/>
    <w:rPr>
      <w:rFonts w:ascii="宋体" w:hAnsi="Courier New"/>
      <w:sz w:val="28"/>
    </w:rPr>
  </w:style>
  <w:style w:type="paragraph" w:styleId="1163">
    <w:name w:val="Char Char Char1"/>
    <w:basedOn w:val="964"/>
    <w:next w:val="1163"/>
    <w:link w:val="964"/>
    <w:qFormat/>
    <w:pPr>
      <w:ind w:left="840" w:hanging="360"/>
      <w:tabs>
        <w:tab w:val="left" w:pos="360" w:leader="none"/>
        <w:tab w:val="left" w:pos="840" w:leader="none"/>
      </w:tabs>
    </w:pPr>
    <w:rPr>
      <w:rFonts w:eastAsia="宋体"/>
      <w:sz w:val="21"/>
      <w:szCs w:val="24"/>
    </w:rPr>
  </w:style>
  <w:style w:type="paragraph" w:styleId="1164">
    <w:name w:val="Char Char Char Char Char Char Char Char Char1 Char Char Char Char"/>
    <w:basedOn w:val="995"/>
    <w:next w:val="1164"/>
    <w:link w:val="964"/>
    <w:qFormat/>
    <w:pPr>
      <w:spacing w:line="360" w:lineRule="auto"/>
    </w:pPr>
    <w:rPr>
      <w:rFonts w:ascii="Calibri" w:hAnsi="Calibri" w:eastAsia="楷体_GB2312"/>
      <w:sz w:val="26"/>
    </w:rPr>
  </w:style>
  <w:style w:type="paragraph" w:styleId="1165">
    <w:name w:val="默认段落字体 Para Char Char Char Char Char Char Char Char Char1 Char Char Char Char"/>
    <w:basedOn w:val="964"/>
    <w:next w:val="1165"/>
    <w:link w:val="964"/>
    <w:qFormat/>
    <w:rPr>
      <w:rFonts w:eastAsia="宋体"/>
      <w:sz w:val="21"/>
    </w:rPr>
  </w:style>
  <w:style w:type="paragraph" w:styleId="1166">
    <w:name w:val="列出段落"/>
    <w:basedOn w:val="964"/>
    <w:next w:val="1166"/>
    <w:link w:val="964"/>
    <w:uiPriority w:val="34"/>
    <w:qFormat/>
    <w:pPr>
      <w:ind w:firstLine="420"/>
    </w:pPr>
  </w:style>
  <w:style w:type="paragraph" w:styleId="1167">
    <w:name w:val="xl91"/>
    <w:basedOn w:val="965"/>
    <w:next w:val="1168"/>
    <w:link w:val="964"/>
    <w:qFormat/>
    <w:pPr>
      <w:ind w:firstLine="3584"/>
      <w:spacing w:before="280" w:after="280" w:line="240" w:lineRule="auto"/>
    </w:pPr>
  </w:style>
  <w:style w:type="paragraph" w:styleId="1168">
    <w:name w:val="xl76"/>
    <w:basedOn w:val="965"/>
    <w:next w:val="1044"/>
    <w:link w:val="964"/>
    <w:qFormat/>
    <w:pPr>
      <w:ind w:firstLine="3584"/>
      <w:jc w:val="center"/>
      <w:spacing w:before="280" w:after="280" w:line="240" w:lineRule="auto"/>
    </w:pPr>
  </w:style>
  <w:style w:type="character" w:styleId="1169">
    <w:name w:val="正文缩进 Char2"/>
    <w:next w:val="1169"/>
    <w:link w:val="964"/>
    <w:qFormat/>
    <w:rPr>
      <w:rFonts w:eastAsia="楷体_GB2312"/>
      <w:sz w:val="24"/>
    </w:rPr>
  </w:style>
  <w:style w:type="character" w:styleId="1170">
    <w:name w:val="正文1"/>
    <w:next w:val="1170"/>
    <w:link w:val="964"/>
    <w:qFormat/>
  </w:style>
  <w:style w:type="character" w:styleId="1171">
    <w:name w:val="正文文本缩进 Char3"/>
    <w:next w:val="1171"/>
    <w:link w:val="964"/>
    <w:qFormat/>
    <w:rPr>
      <w:rFonts w:eastAsia="方正书宋简体"/>
      <w:sz w:val="24"/>
    </w:rPr>
  </w:style>
  <w:style w:type="character" w:styleId="1172">
    <w:name w:val="CITE"/>
    <w:next w:val="1172"/>
    <w:link w:val="964"/>
    <w:qFormat/>
    <w:rPr>
      <w:i/>
    </w:rPr>
  </w:style>
  <w:style w:type="character" w:styleId="1173">
    <w:name w:val="Heading 4 Char"/>
    <w:next w:val="1173"/>
    <w:link w:val="964"/>
    <w:qFormat/>
    <w:rPr>
      <w:rFonts w:ascii="Arial" w:hAnsi="Arial" w:eastAsia="宋体"/>
      <w:b/>
      <w:bCs/>
      <w:sz w:val="21"/>
      <w:szCs w:val="28"/>
      <w:lang w:val="en-US" w:eastAsia="zh-CN" w:bidi="ar-SA"/>
    </w:rPr>
  </w:style>
  <w:style w:type="character" w:styleId="1174">
    <w:name w:val="Char Char9"/>
    <w:next w:val="1174"/>
    <w:link w:val="964"/>
    <w:qFormat/>
    <w:rPr>
      <w:rFonts w:eastAsia="宋体"/>
      <w:b/>
      <w:bCs/>
      <w:sz w:val="32"/>
      <w:szCs w:val="44"/>
      <w:lang w:val="en-US" w:eastAsia="zh-CN" w:bidi="ar-SA"/>
    </w:rPr>
  </w:style>
  <w:style w:type="character" w:styleId="1175">
    <w:name w:val="Footer Char"/>
    <w:next w:val="1175"/>
    <w:link w:val="964"/>
    <w:qFormat/>
    <w:rPr>
      <w:rFonts w:eastAsia="宋体"/>
      <w:sz w:val="18"/>
      <w:szCs w:val="18"/>
      <w:lang w:val="en-US" w:eastAsia="zh-CN" w:bidi="ar-SA"/>
    </w:rPr>
  </w:style>
  <w:style w:type="character" w:styleId="1176">
    <w:name w:val="Char Char4"/>
    <w:next w:val="1176"/>
    <w:link w:val="964"/>
    <w:qFormat/>
    <w:rPr>
      <w:rFonts w:ascii="宋体" w:hAnsi="宋体" w:eastAsia="黑体" w:cs="Arial"/>
      <w:b/>
      <w:sz w:val="28"/>
      <w:szCs w:val="32"/>
      <w:lang w:val="en-US" w:eastAsia="zh-CN" w:bidi="ar-SA"/>
    </w:rPr>
  </w:style>
  <w:style w:type="character" w:styleId="1177">
    <w:name w:val="Heading 2 Char"/>
    <w:next w:val="1177"/>
    <w:link w:val="964"/>
    <w:qFormat/>
    <w:rPr>
      <w:rFonts w:ascii="Arial" w:hAnsi="Arial" w:eastAsia="黑体"/>
      <w:b/>
      <w:bCs/>
      <w:sz w:val="32"/>
      <w:szCs w:val="32"/>
      <w:lang w:val="en-US" w:eastAsia="zh-CN" w:bidi="ar-SA"/>
    </w:rPr>
  </w:style>
  <w:style w:type="character" w:styleId="1178">
    <w:name w:val="Body Text Indent Char"/>
    <w:next w:val="1178"/>
    <w:link w:val="964"/>
    <w:qFormat/>
    <w:rPr>
      <w:rFonts w:ascii="宋体" w:hAnsi="宋体" w:eastAsia="宋体"/>
      <w:sz w:val="21"/>
      <w:lang w:val="en-US" w:eastAsia="zh-CN" w:bidi="ar-SA"/>
    </w:rPr>
  </w:style>
  <w:style w:type="character" w:styleId="1179">
    <w:name w:val="批注文字 Char Char"/>
    <w:next w:val="1179"/>
    <w:link w:val="964"/>
    <w:qFormat/>
    <w:rPr>
      <w:rFonts w:ascii="宋体" w:hAnsi="Times New Roman" w:eastAsia="宋体" w:cs="Times New Roman"/>
      <w:sz w:val="28"/>
      <w:szCs w:val="20"/>
    </w:rPr>
  </w:style>
  <w:style w:type="character" w:styleId="1180">
    <w:name w:val="Body Text Indent 2 Char"/>
    <w:next w:val="1180"/>
    <w:link w:val="964"/>
    <w:qFormat/>
    <w:rPr>
      <w:rFonts w:eastAsia="宋体"/>
      <w:sz w:val="21"/>
      <w:szCs w:val="24"/>
      <w:lang w:val="en-US" w:eastAsia="zh-CN" w:bidi="ar-SA"/>
    </w:rPr>
  </w:style>
  <w:style w:type="character" w:styleId="1181">
    <w:name w:val="textcontents"/>
    <w:next w:val="1181"/>
    <w:link w:val="964"/>
    <w:qFormat/>
    <w:rPr>
      <w:rFonts w:cs="Times New Roman"/>
    </w:rPr>
  </w:style>
  <w:style w:type="character" w:styleId="1182">
    <w:name w:val="Char Char24"/>
    <w:next w:val="1182"/>
    <w:link w:val="964"/>
    <w:qFormat/>
    <w:rPr>
      <w:rFonts w:eastAsia="宋体"/>
      <w:b/>
      <w:bCs/>
      <w:sz w:val="32"/>
      <w:szCs w:val="44"/>
      <w:lang w:val="en-US" w:eastAsia="zh-CN" w:bidi="ar-SA"/>
    </w:rPr>
  </w:style>
  <w:style w:type="character" w:styleId="1183">
    <w:name w:val="正文11"/>
    <w:next w:val="1183"/>
    <w:link w:val="964"/>
    <w:qFormat/>
  </w:style>
  <w:style w:type="character" w:styleId="1184">
    <w:name w:val="Date Char"/>
    <w:next w:val="1184"/>
    <w:link w:val="964"/>
    <w:qFormat/>
    <w:rPr>
      <w:rFonts w:eastAsia="宋体"/>
      <w:sz w:val="21"/>
      <w:szCs w:val="24"/>
      <w:lang w:val="en-US" w:eastAsia="zh-CN" w:bidi="ar-SA"/>
    </w:rPr>
  </w:style>
  <w:style w:type="character" w:styleId="1185">
    <w:name w:val="Char Char91"/>
    <w:next w:val="1185"/>
    <w:link w:val="964"/>
    <w:qFormat/>
    <w:rPr>
      <w:rFonts w:eastAsia="宋体"/>
      <w:b/>
      <w:bCs/>
      <w:sz w:val="32"/>
      <w:szCs w:val="44"/>
      <w:lang w:val="en-US" w:eastAsia="zh-CN" w:bidi="ar-SA"/>
    </w:rPr>
  </w:style>
  <w:style w:type="character" w:styleId="1186">
    <w:name w:val="Char Char181"/>
    <w:next w:val="1186"/>
    <w:link w:val="964"/>
    <w:qFormat/>
    <w:rPr>
      <w:b/>
      <w:bCs/>
      <w:sz w:val="44"/>
      <w:szCs w:val="44"/>
    </w:rPr>
  </w:style>
  <w:style w:type="character" w:styleId="1187">
    <w:name w:val="标题 Char_0"/>
    <w:next w:val="1187"/>
    <w:link w:val="1188"/>
    <w:qFormat/>
    <w:rPr>
      <w:rFonts w:ascii="黑体" w:hAnsi="Arial" w:eastAsia="黑体"/>
      <w:b/>
      <w:bCs/>
      <w:sz w:val="32"/>
      <w:szCs w:val="32"/>
    </w:rPr>
  </w:style>
  <w:style w:type="paragraph" w:styleId="1188">
    <w:name w:val="标题_0"/>
    <w:basedOn w:val="1189"/>
    <w:next w:val="1188"/>
    <w:link w:val="1187"/>
    <w:qFormat/>
    <w:pPr>
      <w:jc w:val="center"/>
      <w:spacing w:before="120" w:after="120" w:line="360" w:lineRule="auto"/>
      <w:outlineLvl w:val="0"/>
    </w:pPr>
    <w:rPr>
      <w:rFonts w:ascii="黑体" w:hAnsi="Arial" w:eastAsia="黑体"/>
      <w:b/>
      <w:bCs/>
      <w:sz w:val="32"/>
      <w:szCs w:val="32"/>
    </w:rPr>
  </w:style>
  <w:style w:type="paragraph" w:styleId="1189">
    <w:name w:val="正文_1"/>
    <w:next w:val="1067"/>
    <w:link w:val="964"/>
    <w:qFormat/>
    <w:rPr>
      <w:sz w:val="21"/>
      <w:szCs w:val="22"/>
      <w:lang w:val="en-US" w:eastAsia="zh-CN" w:bidi="ar-SA"/>
    </w:rPr>
  </w:style>
  <w:style w:type="character" w:styleId="1190">
    <w:name w:val="批注文字 Char3"/>
    <w:next w:val="1190"/>
    <w:link w:val="964"/>
    <w:qFormat/>
    <w:rPr>
      <w:sz w:val="21"/>
      <w:szCs w:val="24"/>
    </w:rPr>
  </w:style>
  <w:style w:type="character" w:styleId="1191">
    <w:name w:val="不明显参考1"/>
    <w:next w:val="1191"/>
    <w:link w:val="964"/>
    <w:qFormat/>
    <w:rPr>
      <w:smallCaps/>
      <w:color w:val="c0504d"/>
      <w:u w:val="single"/>
    </w:rPr>
  </w:style>
  <w:style w:type="character" w:styleId="1192">
    <w:name w:val="Char Char26"/>
    <w:next w:val="1192"/>
    <w:link w:val="964"/>
    <w:qFormat/>
    <w:rPr>
      <w:rFonts w:ascii="宋体" w:hAnsi="Arial" w:eastAsia="宋体" w:cs="Arial"/>
      <w:b/>
      <w:sz w:val="24"/>
      <w:szCs w:val="44"/>
      <w:lang w:val="en-US" w:eastAsia="zh-CN" w:bidi="ar-SA"/>
    </w:rPr>
  </w:style>
  <w:style w:type="character" w:styleId="1193">
    <w:name w:val="书籍标题1"/>
    <w:next w:val="1193"/>
    <w:link w:val="964"/>
    <w:qFormat/>
    <w:rPr>
      <w:b/>
      <w:bCs/>
      <w:smallCaps/>
      <w:spacing w:val="5"/>
    </w:rPr>
  </w:style>
  <w:style w:type="character" w:styleId="1194">
    <w:name w:val="明显强调1"/>
    <w:next w:val="1194"/>
    <w:link w:val="964"/>
    <w:qFormat/>
    <w:rPr>
      <w:b/>
      <w:bCs/>
      <w:i/>
      <w:iCs/>
      <w:color w:val="4f81bd"/>
    </w:rPr>
  </w:style>
  <w:style w:type="character" w:styleId="1195">
    <w:name w:val="Heading 5 Char"/>
    <w:next w:val="1195"/>
    <w:link w:val="964"/>
    <w:qFormat/>
    <w:rPr>
      <w:rFonts w:eastAsia="宋体"/>
      <w:b/>
      <w:bCs/>
      <w:sz w:val="28"/>
      <w:szCs w:val="28"/>
      <w:lang w:val="en-US" w:eastAsia="zh-CN" w:bidi="ar-SA"/>
    </w:rPr>
  </w:style>
  <w:style w:type="character" w:styleId="1196">
    <w:name w:val="Sample"/>
    <w:next w:val="1196"/>
    <w:link w:val="964"/>
    <w:qFormat/>
    <w:rPr>
      <w:rFonts w:ascii="Courier New" w:hAnsi="Courier New"/>
    </w:rPr>
  </w:style>
  <w:style w:type="character" w:styleId="1197">
    <w:name w:val="Comment"/>
    <w:next w:val="1197"/>
    <w:link w:val="964"/>
    <w:qFormat/>
    <w:rPr>
      <w:vanish/>
    </w:rPr>
  </w:style>
  <w:style w:type="character" w:styleId="1198">
    <w:name w:val="样式 Char"/>
    <w:next w:val="1198"/>
    <w:link w:val="1199"/>
    <w:qFormat/>
    <w:rPr>
      <w:rFonts w:ascii="宋体" w:hAnsi="宋体" w:cs="宋体"/>
      <w:sz w:val="24"/>
      <w:szCs w:val="24"/>
    </w:rPr>
  </w:style>
  <w:style w:type="paragraph" w:styleId="1199">
    <w:name w:val="样式"/>
    <w:next w:val="1199"/>
    <w:link w:val="1198"/>
    <w:qFormat/>
    <w:pPr>
      <w:widowControl w:val="off"/>
    </w:pPr>
    <w:rPr>
      <w:rFonts w:ascii="宋体" w:hAnsi="宋体" w:cs="宋体"/>
      <w:sz w:val="24"/>
      <w:szCs w:val="24"/>
      <w:lang w:val="en-US" w:eastAsia="zh-CN" w:bidi="ar-SA"/>
    </w:rPr>
  </w:style>
  <w:style w:type="character" w:styleId="1200">
    <w:name w:val="content1"/>
    <w:next w:val="1200"/>
    <w:link w:val="964"/>
    <w:qFormat/>
    <w:rPr>
      <w:rFonts w:ascii="Tahoma" w:hAnsi="Tahoma" w:cs="Tahoma"/>
      <w:sz w:val="21"/>
      <w:szCs w:val="21"/>
    </w:rPr>
  </w:style>
  <w:style w:type="character" w:styleId="1201">
    <w:name w:val="明显参考1"/>
    <w:next w:val="1201"/>
    <w:link w:val="964"/>
    <w:qFormat/>
    <w:rPr>
      <w:b/>
      <w:bCs/>
      <w:smallCaps/>
      <w:color w:val="c0504d"/>
      <w:spacing w:val="5"/>
      <w:u w:val="single"/>
    </w:rPr>
  </w:style>
  <w:style w:type="character" w:styleId="1202">
    <w:name w:val="标题 Char_1"/>
    <w:next w:val="1202"/>
    <w:link w:val="1203"/>
    <w:qFormat/>
    <w:rPr>
      <w:rFonts w:ascii="Cambria" w:hAnsi="Cambria"/>
      <w:b/>
      <w:bCs/>
      <w:sz w:val="32"/>
      <w:szCs w:val="32"/>
    </w:rPr>
  </w:style>
  <w:style w:type="paragraph" w:styleId="1203">
    <w:name w:val="标题_1"/>
    <w:basedOn w:val="1204"/>
    <w:next w:val="1204"/>
    <w:link w:val="1202"/>
    <w:qFormat/>
    <w:pPr>
      <w:jc w:val="center"/>
      <w:spacing w:before="240" w:after="60"/>
      <w:outlineLvl w:val="0"/>
    </w:pPr>
    <w:rPr>
      <w:rFonts w:ascii="Cambria" w:hAnsi="Cambria"/>
      <w:b/>
      <w:bCs/>
      <w:sz w:val="32"/>
      <w:szCs w:val="32"/>
    </w:rPr>
  </w:style>
  <w:style w:type="paragraph" w:styleId="1204">
    <w:name w:val="正文_2"/>
    <w:next w:val="1204"/>
    <w:link w:val="964"/>
    <w:qFormat/>
    <w:pPr>
      <w:jc w:val="both"/>
      <w:widowControl w:val="off"/>
    </w:pPr>
    <w:rPr>
      <w:rFonts w:ascii="Calibri" w:hAnsi="Calibri"/>
      <w:sz w:val="21"/>
      <w:szCs w:val="22"/>
      <w:lang w:val="en-US" w:eastAsia="zh-CN" w:bidi="ar-SA"/>
    </w:rPr>
  </w:style>
  <w:style w:type="character" w:styleId="1205">
    <w:name w:val="Balloon Text Char"/>
    <w:next w:val="1205"/>
    <w:link w:val="964"/>
    <w:qFormat/>
    <w:rPr>
      <w:sz w:val="18"/>
      <w:lang w:bidi="ar-SA"/>
    </w:rPr>
  </w:style>
  <w:style w:type="character" w:styleId="1206">
    <w:name w:val="HTML Markup"/>
    <w:next w:val="1206"/>
    <w:link w:val="964"/>
    <w:qFormat/>
    <w:rPr>
      <w:vanish/>
      <w:color w:val="ff0000"/>
    </w:rPr>
  </w:style>
  <w:style w:type="character" w:styleId="1207">
    <w:name w:val="标题 2 Char1"/>
    <w:next w:val="1207"/>
    <w:link w:val="964"/>
    <w:qFormat/>
    <w:rPr>
      <w:rFonts w:ascii="Arial" w:hAnsi="Arial" w:eastAsia="黑体" w:cs="Calibri"/>
      <w:b/>
      <w:sz w:val="32"/>
      <w:szCs w:val="20"/>
    </w:rPr>
  </w:style>
  <w:style w:type="character" w:styleId="1208">
    <w:name w:val="Char Char18"/>
    <w:next w:val="1208"/>
    <w:link w:val="964"/>
    <w:qFormat/>
    <w:rPr>
      <w:rFonts w:ascii="Times New Roman" w:hAnsi="Times New Roman" w:eastAsia="宋体" w:cs="Times New Roman"/>
      <w:b/>
      <w:bCs/>
      <w:sz w:val="28"/>
      <w:szCs w:val="28"/>
    </w:rPr>
  </w:style>
  <w:style w:type="character" w:styleId="1209">
    <w:name w:val="Variable"/>
    <w:next w:val="1209"/>
    <w:link w:val="964"/>
    <w:qFormat/>
    <w:rPr>
      <w:i/>
    </w:rPr>
  </w:style>
  <w:style w:type="character" w:styleId="1210">
    <w:name w:val="Typewriter"/>
    <w:next w:val="1210"/>
    <w:link w:val="964"/>
    <w:qFormat/>
    <w:rPr>
      <w:rFonts w:ascii="Courier New" w:hAnsi="Courier New"/>
      <w:sz w:val="20"/>
    </w:rPr>
  </w:style>
  <w:style w:type="character" w:styleId="1211">
    <w:name w:val="超链接_0"/>
    <w:next w:val="1211"/>
    <w:link w:val="964"/>
    <w:uiPriority w:val="99"/>
    <w:qFormat/>
    <w:rPr>
      <w:rFonts w:ascii="Calibri" w:hAnsi="Calibri" w:cs="Times New Roman"/>
      <w:color w:val="0000ff"/>
      <w:u w:val="single"/>
    </w:rPr>
  </w:style>
  <w:style w:type="character" w:styleId="1212">
    <w:name w:val="Char Char3"/>
    <w:next w:val="1212"/>
    <w:link w:val="964"/>
    <w:qFormat/>
    <w:rPr>
      <w:rFonts w:ascii="黑体" w:hAnsi="宋体" w:eastAsia="黑体" w:cs="Arial"/>
      <w:b/>
      <w:bCs/>
      <w:sz w:val="24"/>
      <w:szCs w:val="24"/>
      <w:lang w:val="en-US" w:eastAsia="zh-CN" w:bidi="ar-SA"/>
    </w:rPr>
  </w:style>
  <w:style w:type="character" w:styleId="1213">
    <w:name w:val="标题 2 Char_1"/>
    <w:next w:val="1213"/>
    <w:link w:val="1214"/>
    <w:qFormat/>
    <w:rPr>
      <w:rFonts w:ascii="黑体" w:hAnsi="宋体" w:eastAsia="黑体"/>
      <w:b/>
      <w:bCs/>
      <w:sz w:val="30"/>
      <w:szCs w:val="30"/>
    </w:rPr>
  </w:style>
  <w:style w:type="paragraph" w:styleId="1214">
    <w:name w:val="标题 2_1"/>
    <w:basedOn w:val="1203"/>
    <w:next w:val="1204"/>
    <w:link w:val="1213"/>
    <w:unhideWhenUsed/>
    <w:qFormat/>
    <w:pPr>
      <w:keepLines/>
      <w:keepNext/>
      <w:spacing w:before="120" w:after="120" w:line="360" w:lineRule="auto"/>
      <w:outlineLvl w:val="1"/>
    </w:pPr>
    <w:rPr>
      <w:rFonts w:ascii="黑体" w:hAnsi="宋体" w:eastAsia="黑体"/>
      <w:sz w:val="30"/>
      <w:szCs w:val="30"/>
    </w:rPr>
  </w:style>
  <w:style w:type="character" w:styleId="1215">
    <w:name w:val="脚注文本 Char1"/>
    <w:next w:val="1215"/>
    <w:link w:val="964"/>
    <w:qFormat/>
    <w:rPr>
      <w:sz w:val="18"/>
      <w:szCs w:val="18"/>
    </w:rPr>
  </w:style>
  <w:style w:type="character" w:styleId="1216">
    <w:name w:val="Comment Text Char1"/>
    <w:next w:val="1216"/>
    <w:link w:val="964"/>
    <w:qFormat/>
    <w:rPr>
      <w:sz w:val="24"/>
      <w:lang w:bidi="ar-SA"/>
    </w:rPr>
  </w:style>
  <w:style w:type="character" w:styleId="1217">
    <w:name w:val="不明显强调1"/>
    <w:next w:val="1217"/>
    <w:link w:val="964"/>
    <w:qFormat/>
    <w:rPr>
      <w:i/>
      <w:iCs/>
      <w:color w:val="808080"/>
    </w:rPr>
  </w:style>
  <w:style w:type="character" w:styleId="1218">
    <w:name w:val="正文文本 Char2"/>
    <w:next w:val="1218"/>
    <w:link w:val="964"/>
    <w:qFormat/>
    <w:rPr>
      <w:sz w:val="21"/>
      <w:szCs w:val="24"/>
    </w:rPr>
  </w:style>
  <w:style w:type="character" w:styleId="1219">
    <w:name w:val="Comment Text Char"/>
    <w:next w:val="1219"/>
    <w:link w:val="964"/>
    <w:qFormat/>
    <w:rPr>
      <w:rFonts w:cs="Times New Roman"/>
      <w:sz w:val="24"/>
      <w:szCs w:val="24"/>
    </w:rPr>
  </w:style>
  <w:style w:type="character" w:styleId="1220">
    <w:name w:val="批注框文本 Char1"/>
    <w:next w:val="1220"/>
    <w:link w:val="964"/>
    <w:qFormat/>
    <w:rPr>
      <w:rFonts w:ascii="Times New Roman" w:hAnsi="Times New Roman" w:eastAsia="宋体" w:cs="Times New Roman"/>
      <w:sz w:val="18"/>
      <w:szCs w:val="18"/>
    </w:rPr>
  </w:style>
  <w:style w:type="character" w:styleId="1221">
    <w:name w:val="Char Char21"/>
    <w:next w:val="1221"/>
    <w:link w:val="964"/>
    <w:qFormat/>
    <w:rPr>
      <w:rFonts w:ascii="Arial" w:hAnsi="Arial" w:eastAsia="黑体" w:cs="Times New Roman"/>
      <w:b/>
      <w:bCs/>
      <w:sz w:val="32"/>
      <w:szCs w:val="32"/>
    </w:rPr>
  </w:style>
  <w:style w:type="character" w:styleId="1222">
    <w:name w:val="CODE"/>
    <w:next w:val="1222"/>
    <w:link w:val="964"/>
    <w:qFormat/>
    <w:rPr>
      <w:rFonts w:ascii="Courier New" w:hAnsi="Courier New"/>
      <w:sz w:val="20"/>
    </w:rPr>
  </w:style>
  <w:style w:type="character" w:styleId="1223">
    <w:name w:val="纯文本 Char2"/>
    <w:next w:val="1223"/>
    <w:link w:val="964"/>
    <w:qFormat/>
    <w:rPr>
      <w:rFonts w:ascii="宋体" w:hAnsi="Courier New" w:cs="Courier New"/>
      <w:sz w:val="21"/>
      <w:szCs w:val="21"/>
    </w:rPr>
  </w:style>
  <w:style w:type="character" w:styleId="1224">
    <w:name w:val="Footnote Text Char"/>
    <w:next w:val="1224"/>
    <w:link w:val="964"/>
    <w:qFormat/>
    <w:rPr>
      <w:rFonts w:eastAsia="宋体"/>
      <w:sz w:val="18"/>
      <w:lang w:val="en-US" w:eastAsia="zh-CN" w:bidi="ar-SA"/>
    </w:rPr>
  </w:style>
  <w:style w:type="character" w:styleId="1225">
    <w:name w:val="样式 标题 3 + (中文) 黑体 小四 非加粗 段前: 7.8 磅 段后: 0 磅 行距: 固定值 20 磅 Char"/>
    <w:next w:val="1225"/>
    <w:link w:val="964"/>
    <w:qFormat/>
    <w:rPr>
      <w:rFonts w:ascii="黑体" w:hAnsi="宋体" w:eastAsia="黑体" w:cs="宋体"/>
      <w:b/>
      <w:bCs/>
      <w:sz w:val="24"/>
      <w:lang w:val="en-US" w:eastAsia="zh-CN" w:bidi="ar-SA"/>
    </w:rPr>
  </w:style>
  <w:style w:type="character" w:styleId="1226">
    <w:name w:val="Char Char1"/>
    <w:next w:val="1226"/>
    <w:link w:val="964"/>
    <w:qFormat/>
    <w:rPr>
      <w:rFonts w:ascii="黑体" w:hAnsi="Arial" w:eastAsia="黑体" w:cs="Arial"/>
      <w:b/>
      <w:bCs/>
      <w:sz w:val="32"/>
      <w:szCs w:val="32"/>
      <w:lang w:val="en-US" w:eastAsia="zh-CN" w:bidi="ar-SA"/>
    </w:rPr>
  </w:style>
  <w:style w:type="character" w:styleId="1227">
    <w:name w:val="Heading 3 Char"/>
    <w:next w:val="1227"/>
    <w:link w:val="964"/>
    <w:qFormat/>
    <w:rPr>
      <w:rFonts w:cs="Times New Roman"/>
      <w:b/>
      <w:bCs/>
      <w:sz w:val="32"/>
      <w:szCs w:val="32"/>
    </w:rPr>
  </w:style>
  <w:style w:type="character" w:styleId="1228">
    <w:name w:val="Char Char22"/>
    <w:next w:val="1228"/>
    <w:link w:val="964"/>
    <w:qFormat/>
    <w:rPr>
      <w:rFonts w:ascii="Times New Roman" w:hAnsi="Times New Roman" w:eastAsia="宋体" w:cs="Times New Roman"/>
      <w:b/>
      <w:bCs/>
      <w:sz w:val="32"/>
      <w:szCs w:val="44"/>
    </w:rPr>
  </w:style>
  <w:style w:type="character" w:styleId="1229">
    <w:name w:val="Heading 1 Char"/>
    <w:next w:val="1229"/>
    <w:link w:val="964"/>
    <w:qFormat/>
    <w:rPr>
      <w:rFonts w:eastAsia="宋体"/>
      <w:b/>
      <w:bCs/>
      <w:sz w:val="32"/>
      <w:szCs w:val="44"/>
      <w:lang w:val="en-US" w:eastAsia="zh-CN" w:bidi="ar-SA"/>
    </w:rPr>
  </w:style>
  <w:style w:type="character" w:styleId="1230">
    <w:name w:val="正文缩进 Char1"/>
    <w:next w:val="1230"/>
    <w:link w:val="964"/>
    <w:qFormat/>
    <w:rPr>
      <w:rFonts w:eastAsia="楷体_GB2312"/>
      <w:sz w:val="24"/>
    </w:rPr>
  </w:style>
  <w:style w:type="character" w:styleId="1231">
    <w:name w:val="Document Map Char"/>
    <w:next w:val="1231"/>
    <w:link w:val="964"/>
    <w:qFormat/>
    <w:rPr>
      <w:rFonts w:eastAsia="宋体"/>
      <w:sz w:val="21"/>
      <w:szCs w:val="24"/>
      <w:lang w:val="en-US" w:eastAsia="zh-CN" w:bidi="ar-SA"/>
    </w:rPr>
  </w:style>
  <w:style w:type="character" w:styleId="1232">
    <w:name w:val="批注主题 Char2"/>
    <w:next w:val="1232"/>
    <w:link w:val="964"/>
    <w:qFormat/>
    <w:rPr>
      <w:b/>
      <w:bCs/>
      <w:szCs w:val="24"/>
    </w:rPr>
  </w:style>
  <w:style w:type="character" w:styleId="1233">
    <w:name w:val="Char Char6"/>
    <w:next w:val="1233"/>
    <w:link w:val="964"/>
    <w:qFormat/>
    <w:rPr>
      <w:rFonts w:eastAsia="宋体"/>
      <w:b/>
      <w:bCs/>
      <w:sz w:val="32"/>
      <w:szCs w:val="44"/>
      <w:lang w:val="en-US" w:eastAsia="zh-CN" w:bidi="ar-SA"/>
    </w:rPr>
  </w:style>
  <w:style w:type="character" w:styleId="1234">
    <w:name w:val="Char Char19"/>
    <w:next w:val="1234"/>
    <w:link w:val="964"/>
    <w:qFormat/>
    <w:rPr>
      <w:rFonts w:ascii="Arial" w:hAnsi="Arial" w:eastAsia="宋体" w:cs="Times New Roman"/>
      <w:b/>
      <w:bCs/>
      <w:szCs w:val="28"/>
    </w:rPr>
  </w:style>
  <w:style w:type="character" w:styleId="1235">
    <w:name w:val="Plain Text Char"/>
    <w:next w:val="1235"/>
    <w:link w:val="964"/>
    <w:qFormat/>
    <w:rPr>
      <w:rFonts w:ascii="宋体" w:hAnsi="Courier New" w:eastAsia="宋体"/>
      <w:sz w:val="24"/>
      <w:lang w:bidi="ar-SA"/>
    </w:rPr>
  </w:style>
  <w:style w:type="character" w:styleId="1236">
    <w:name w:val="无间隔 字符"/>
    <w:next w:val="1236"/>
    <w:link w:val="1237"/>
    <w:qFormat/>
    <w:rPr>
      <w:szCs w:val="24"/>
    </w:rPr>
  </w:style>
  <w:style w:type="paragraph" w:styleId="1237">
    <w:name w:val="无间隔"/>
    <w:next w:val="1237"/>
    <w:link w:val="1236"/>
    <w:qFormat/>
    <w:pPr>
      <w:jc w:val="both"/>
      <w:widowControl w:val="off"/>
    </w:pPr>
    <w:rPr>
      <w:szCs w:val="24"/>
      <w:lang w:val="en-US" w:eastAsia="zh-CN" w:bidi="ar-SA"/>
    </w:rPr>
  </w:style>
  <w:style w:type="character" w:styleId="1238">
    <w:name w:val="标题 Char3"/>
    <w:next w:val="1238"/>
    <w:link w:val="964"/>
    <w:qFormat/>
    <w:rPr>
      <w:rFonts w:ascii="Cambria" w:hAnsi="Cambria" w:cs="Times New Roman"/>
      <w:b/>
      <w:bCs/>
      <w:sz w:val="32"/>
      <w:szCs w:val="32"/>
    </w:rPr>
  </w:style>
  <w:style w:type="character" w:styleId="1239">
    <w:name w:val="批注文字 Char2"/>
    <w:next w:val="1239"/>
    <w:link w:val="964"/>
    <w:qFormat/>
    <w:rPr>
      <w:rFonts w:eastAsia="宋体"/>
      <w:sz w:val="21"/>
      <w:szCs w:val="24"/>
      <w:lang w:val="en-US" w:eastAsia="zh-CN" w:bidi="ar-SA"/>
    </w:rPr>
  </w:style>
  <w:style w:type="character" w:styleId="1240">
    <w:name w:val="正文文本 3 Char1"/>
    <w:next w:val="1240"/>
    <w:link w:val="964"/>
    <w:uiPriority w:val="99"/>
    <w:qFormat/>
    <w:rPr>
      <w:rFonts w:eastAsia="楷体_GB2312"/>
      <w:sz w:val="16"/>
      <w:szCs w:val="16"/>
    </w:rPr>
  </w:style>
  <w:style w:type="character" w:styleId="1241">
    <w:name w:val="Char Char23"/>
    <w:next w:val="1241"/>
    <w:link w:val="964"/>
    <w:qFormat/>
    <w:rPr>
      <w:rFonts w:eastAsia="宋体"/>
      <w:b/>
      <w:bCs/>
      <w:sz w:val="32"/>
      <w:szCs w:val="44"/>
      <w:lang w:val="en-US" w:eastAsia="zh-CN" w:bidi="ar-SA"/>
    </w:rPr>
  </w:style>
  <w:style w:type="character" w:styleId="1242">
    <w:name w:val="标题 1 Char1"/>
    <w:next w:val="1242"/>
    <w:link w:val="964"/>
    <w:qFormat/>
    <w:rPr>
      <w:rFonts w:ascii="Calibri" w:hAnsi="Calibri" w:eastAsia="宋体" w:cs="Arial"/>
      <w:b/>
      <w:sz w:val="44"/>
      <w:szCs w:val="20"/>
    </w:rPr>
  </w:style>
  <w:style w:type="character" w:styleId="1243">
    <w:name w:val="文档结构图 Char1"/>
    <w:next w:val="1243"/>
    <w:link w:val="964"/>
    <w:qFormat/>
    <w:rPr>
      <w:rFonts w:ascii="宋体"/>
      <w:sz w:val="18"/>
      <w:szCs w:val="18"/>
    </w:rPr>
  </w:style>
  <w:style w:type="character" w:styleId="1244">
    <w:name w:val="正文首行缩进 2 Char1"/>
    <w:next w:val="1244"/>
    <w:link w:val="964"/>
    <w:uiPriority w:val="99"/>
    <w:qFormat/>
    <w:rPr>
      <w:rFonts w:ascii="方正仿宋简体" w:hAnsi="创艺简仿宋" w:eastAsia="楷体_GB2312"/>
      <w:sz w:val="26"/>
    </w:rPr>
  </w:style>
  <w:style w:type="character" w:styleId="1245">
    <w:name w:val="Comment Subject Char"/>
    <w:next w:val="1245"/>
    <w:link w:val="964"/>
    <w:qFormat/>
    <w:rPr>
      <w:b/>
      <w:sz w:val="24"/>
      <w:lang w:bidi="ar-SA"/>
    </w:rPr>
  </w:style>
  <w:style w:type="character" w:styleId="1246">
    <w:name w:val="Definition"/>
    <w:next w:val="1246"/>
    <w:link w:val="964"/>
    <w:qFormat/>
    <w:rPr>
      <w:i/>
    </w:rPr>
  </w:style>
  <w:style w:type="character" w:styleId="1247">
    <w:name w:val="Title Char"/>
    <w:next w:val="1247"/>
    <w:link w:val="964"/>
    <w:qFormat/>
    <w:rPr>
      <w:rFonts w:ascii="Cambria" w:hAnsi="Cambria"/>
      <w:b/>
      <w:sz w:val="32"/>
      <w:lang w:bidi="ar-SA"/>
    </w:rPr>
  </w:style>
  <w:style w:type="character" w:styleId="1248">
    <w:name w:val="标题 2 Char_0"/>
    <w:next w:val="1248"/>
    <w:link w:val="1249"/>
    <w:qFormat/>
    <w:rPr>
      <w:rFonts w:ascii="Calibri" w:hAnsi="Calibri"/>
    </w:rPr>
  </w:style>
  <w:style w:type="paragraph" w:styleId="1249">
    <w:name w:val="标题 2_0"/>
    <w:basedOn w:val="964"/>
    <w:next w:val="1249"/>
    <w:link w:val="1248"/>
    <w:qFormat/>
    <w:rPr>
      <w:rFonts w:ascii="Calibri" w:hAnsi="Calibri" w:eastAsia="宋体"/>
      <w:sz w:val="20"/>
    </w:rPr>
  </w:style>
  <w:style w:type="character" w:styleId="1250">
    <w:name w:val="Header Char"/>
    <w:next w:val="1250"/>
    <w:link w:val="964"/>
    <w:qFormat/>
    <w:rPr>
      <w:rFonts w:eastAsia="宋体"/>
      <w:sz w:val="18"/>
      <w:szCs w:val="18"/>
      <w:lang w:val="en-US" w:eastAsia="zh-CN" w:bidi="ar-SA"/>
    </w:rPr>
  </w:style>
  <w:style w:type="character" w:styleId="1251">
    <w:name w:val="Keyboard"/>
    <w:next w:val="1251"/>
    <w:link w:val="964"/>
    <w:qFormat/>
    <w:rPr>
      <w:rFonts w:ascii="Courier New" w:hAnsi="Courier New"/>
      <w:b/>
      <w:sz w:val="20"/>
    </w:rPr>
  </w:style>
  <w:style w:type="character" w:styleId="1252">
    <w:name w:val="标题 3 Char1"/>
    <w:next w:val="1252"/>
    <w:link w:val="964"/>
    <w:qFormat/>
    <w:rPr>
      <w:rFonts w:ascii="Calibri" w:hAnsi="Calibri" w:eastAsia="宋体" w:cs="Arial"/>
      <w:b/>
      <w:sz w:val="32"/>
      <w:szCs w:val="20"/>
    </w:rPr>
  </w:style>
  <w:style w:type="character" w:styleId="1253">
    <w:name w:val="Heading 3 Char1"/>
    <w:next w:val="1253"/>
    <w:link w:val="964"/>
    <w:qFormat/>
    <w:rPr>
      <w:rFonts w:eastAsia="宋体"/>
      <w:b/>
      <w:bCs/>
      <w:sz w:val="24"/>
      <w:szCs w:val="32"/>
      <w:lang w:val="en-US" w:eastAsia="zh-CN" w:bidi="ar-SA"/>
    </w:rPr>
  </w:style>
  <w:style w:type="paragraph" w:styleId="1254">
    <w:name w:val="正文_0"/>
    <w:next w:val="1254"/>
    <w:link w:val="964"/>
    <w:qFormat/>
    <w:pPr>
      <w:jc w:val="both"/>
      <w:widowControl w:val="off"/>
    </w:pPr>
    <w:rPr>
      <w:rFonts w:ascii="Calibri" w:hAnsi="Calibri"/>
      <w:sz w:val="21"/>
      <w:szCs w:val="22"/>
      <w:lang w:val="en-US" w:eastAsia="zh-CN" w:bidi="ar-SA"/>
    </w:rPr>
  </w:style>
  <w:style w:type="character" w:styleId="1255">
    <w:name w:val="正文文本 Char3"/>
    <w:next w:val="1255"/>
    <w:link w:val="964"/>
    <w:uiPriority w:val="99"/>
    <w:qFormat/>
    <w:rPr>
      <w:sz w:val="21"/>
      <w:szCs w:val="24"/>
    </w:rPr>
  </w:style>
  <w:style w:type="character" w:styleId="1256">
    <w:name w:val="批注文字 Char4"/>
    <w:next w:val="1256"/>
    <w:link w:val="964"/>
    <w:uiPriority w:val="99"/>
    <w:semiHidden/>
    <w:qFormat/>
    <w:rPr>
      <w:rFonts w:ascii="Times New Roman" w:hAnsi="Times New Roman" w:eastAsia="宋体" w:cs="Times New Roman"/>
      <w:szCs w:val="24"/>
    </w:rPr>
  </w:style>
  <w:style w:type="character" w:styleId="1257">
    <w:name w:val="标题 Char4"/>
    <w:next w:val="1257"/>
    <w:link w:val="964"/>
    <w:uiPriority w:val="10"/>
    <w:qFormat/>
    <w:rPr>
      <w:rFonts w:ascii="Cambria" w:hAnsi="Cambria" w:cs="Times New Roman"/>
      <w:b/>
      <w:bCs/>
      <w:sz w:val="32"/>
      <w:szCs w:val="32"/>
    </w:rPr>
  </w:style>
  <w:style w:type="character" w:styleId="1258">
    <w:name w:val="文档结构图 Char2"/>
    <w:next w:val="1258"/>
    <w:link w:val="964"/>
    <w:uiPriority w:val="99"/>
    <w:qFormat/>
    <w:rPr>
      <w:rFonts w:ascii="宋体"/>
      <w:sz w:val="18"/>
      <w:szCs w:val="18"/>
    </w:rPr>
  </w:style>
  <w:style w:type="character" w:styleId="1259">
    <w:name w:val="脚注文本 Char2"/>
    <w:next w:val="1259"/>
    <w:link w:val="964"/>
    <w:uiPriority w:val="99"/>
    <w:qFormat/>
    <w:rPr>
      <w:sz w:val="18"/>
      <w:szCs w:val="18"/>
    </w:rPr>
  </w:style>
  <w:style w:type="paragraph" w:styleId="1260">
    <w:name w:val="z-Top of Form"/>
    <w:next w:val="964"/>
    <w:link w:val="964"/>
    <w:qFormat/>
    <w:pPr>
      <w:jc w:val="center"/>
      <w:widowControl w:val="off"/>
      <w:pBdr>
        <w:bottom w:val="single" w:color="000000" w:sz="2" w:space="0"/>
      </w:pBdr>
    </w:pPr>
    <w:rPr>
      <w:rFonts w:ascii="Arial" w:hAnsi="Arial"/>
      <w:vanish/>
      <w:sz w:val="16"/>
      <w:lang w:val="en-US" w:eastAsia="zh-CN" w:bidi="ar-SA"/>
    </w:rPr>
  </w:style>
  <w:style w:type="paragraph" w:styleId="1261">
    <w:name w:val="样式1"/>
    <w:basedOn w:val="964"/>
    <w:next w:val="968"/>
    <w:link w:val="964"/>
    <w:qFormat/>
    <w:pPr>
      <w:ind w:firstLine="420"/>
      <w:spacing w:line="360" w:lineRule="auto"/>
    </w:pPr>
    <w:rPr>
      <w:rFonts w:ascii="宋体" w:hAnsi="宋体" w:eastAsia="宋体"/>
      <w:sz w:val="21"/>
      <w:szCs w:val="21"/>
    </w:rPr>
  </w:style>
  <w:style w:type="paragraph" w:styleId="1262">
    <w:name w:val="TOC 标题_0"/>
    <w:basedOn w:val="1263"/>
    <w:next w:val="1254"/>
    <w:link w:val="964"/>
    <w:qFormat/>
    <w:pPr>
      <w:outlineLvl w:val="9"/>
    </w:pPr>
    <w:rPr>
      <w:rFonts w:ascii="Calibri" w:hAnsi="Calibri"/>
    </w:rPr>
  </w:style>
  <w:style w:type="paragraph" w:styleId="1263">
    <w:name w:val="标题 1_0"/>
    <w:basedOn w:val="1254"/>
    <w:next w:val="1264"/>
    <w:link w:val="964"/>
    <w:qFormat/>
    <w:pPr>
      <w:keepLines/>
      <w:keepNext/>
      <w:spacing w:before="340" w:after="330" w:line="576" w:lineRule="auto"/>
      <w:outlineLvl w:val="0"/>
    </w:pPr>
    <w:rPr>
      <w:rFonts w:ascii="Times New Roman" w:hAnsi="Times New Roman"/>
      <w:b/>
      <w:bCs/>
      <w:sz w:val="44"/>
      <w:szCs w:val="44"/>
    </w:rPr>
  </w:style>
  <w:style w:type="paragraph" w:styleId="1264">
    <w:name w:val="正文_1_0_0"/>
    <w:next w:val="1264"/>
    <w:link w:val="964"/>
    <w:uiPriority w:val="99"/>
    <w:qFormat/>
    <w:pPr>
      <w:jc w:val="both"/>
      <w:widowControl w:val="off"/>
    </w:pPr>
    <w:rPr>
      <w:sz w:val="21"/>
      <w:szCs w:val="22"/>
      <w:lang w:val="en-US" w:eastAsia="zh-CN" w:bidi="ar-SA"/>
    </w:rPr>
  </w:style>
  <w:style w:type="paragraph" w:styleId="1265">
    <w:name w:val="样式 标题 3 + (中文) 黑体 小四 非加粗 段前: 7.8 磅 段后: 0 磅 行距: 固定值 20 磅"/>
    <w:basedOn w:val="967"/>
    <w:next w:val="1265"/>
    <w:link w:val="964"/>
    <w:qFormat/>
    <w:pPr>
      <w:jc w:val="both"/>
      <w:spacing w:line="400" w:lineRule="exact"/>
    </w:pPr>
    <w:rPr>
      <w:rFonts w:eastAsia="黑体" w:cs="宋体"/>
      <w:b w:val="0"/>
      <w:sz w:val="21"/>
    </w:rPr>
  </w:style>
  <w:style w:type="character" w:styleId="1266">
    <w:name w:val="正文文本 2 Char1"/>
    <w:next w:val="1266"/>
    <w:link w:val="964"/>
    <w:uiPriority w:val="99"/>
    <w:qFormat/>
    <w:rPr>
      <w:sz w:val="21"/>
      <w:szCs w:val="24"/>
    </w:rPr>
  </w:style>
  <w:style w:type="paragraph" w:styleId="1267">
    <w:name w:val="Blockquote"/>
    <w:basedOn w:val="964"/>
    <w:next w:val="1267"/>
    <w:link w:val="964"/>
    <w:qFormat/>
    <w:pPr>
      <w:ind w:left="360" w:right="360"/>
      <w:jc w:val="left"/>
      <w:spacing w:before="100" w:after="100"/>
    </w:pPr>
    <w:rPr>
      <w:rFonts w:ascii="Calibri" w:hAnsi="Calibri" w:eastAsia="宋体"/>
      <w:sz w:val="24"/>
    </w:rPr>
  </w:style>
  <w:style w:type="paragraph" w:styleId="1268">
    <w:name w:val="标题 3_0"/>
    <w:basedOn w:val="1254"/>
    <w:next w:val="1254"/>
    <w:link w:val="964"/>
    <w:qFormat/>
    <w:pPr>
      <w:keepLines/>
      <w:keepNext/>
      <w:spacing w:before="260" w:after="260" w:line="413" w:lineRule="auto"/>
      <w:outlineLvl w:val="2"/>
    </w:pPr>
    <w:rPr>
      <w:rFonts w:ascii="Times New Roman" w:hAnsi="Times New Roman"/>
      <w:b/>
      <w:bCs/>
      <w:sz w:val="32"/>
      <w:szCs w:val="32"/>
    </w:rPr>
  </w:style>
  <w:style w:type="paragraph" w:styleId="1269">
    <w:name w:val="表格"/>
    <w:basedOn w:val="964"/>
    <w:next w:val="1269"/>
    <w:link w:val="964"/>
    <w:qFormat/>
    <w:pPr>
      <w:jc w:val="center"/>
    </w:pPr>
    <w:rPr>
      <w:rFonts w:ascii="华文细黑" w:hAnsi="华文细黑" w:eastAsia="宋体"/>
      <w:sz w:val="21"/>
    </w:rPr>
  </w:style>
  <w:style w:type="character" w:styleId="1270">
    <w:name w:val="明显引用 Char3"/>
    <w:next w:val="1270"/>
    <w:link w:val="964"/>
    <w:uiPriority w:val="30"/>
    <w:qFormat/>
    <w:rPr>
      <w:b/>
      <w:bCs/>
      <w:i/>
      <w:iCs/>
      <w:color w:val="4f81bd"/>
      <w:sz w:val="21"/>
      <w:szCs w:val="24"/>
    </w:rPr>
  </w:style>
  <w:style w:type="paragraph" w:styleId="1271">
    <w:name w:val="Definition List"/>
    <w:basedOn w:val="964"/>
    <w:next w:val="1272"/>
    <w:link w:val="964"/>
    <w:qFormat/>
    <w:pPr>
      <w:ind w:left="360"/>
      <w:jc w:val="left"/>
    </w:pPr>
    <w:rPr>
      <w:rFonts w:ascii="Calibri" w:hAnsi="Calibri" w:eastAsia="宋体"/>
      <w:sz w:val="24"/>
    </w:rPr>
  </w:style>
  <w:style w:type="paragraph" w:styleId="1272">
    <w:name w:val="Definition Term"/>
    <w:basedOn w:val="964"/>
    <w:next w:val="1271"/>
    <w:link w:val="964"/>
    <w:qFormat/>
    <w:pPr>
      <w:jc w:val="left"/>
    </w:pPr>
    <w:rPr>
      <w:rFonts w:ascii="Calibri" w:hAnsi="Calibri" w:eastAsia="宋体"/>
      <w:sz w:val="24"/>
    </w:rPr>
  </w:style>
  <w:style w:type="paragraph" w:styleId="1273">
    <w:name w:val="st4.5"/>
    <w:next w:val="1273"/>
    <w:link w:val="964"/>
    <w:uiPriority w:val="99"/>
    <w:qFormat/>
    <w:pPr>
      <w:ind w:firstLine="426"/>
      <w:jc w:val="both"/>
      <w:spacing w:line="360" w:lineRule="auto"/>
      <w:widowControl w:val="off"/>
    </w:pPr>
    <w:rPr>
      <w:rFonts w:ascii="仿宋_GB2312" w:eastAsia="仿宋_GB2312" w:cs="仿宋_GB2312"/>
      <w:sz w:val="28"/>
      <w:szCs w:val="28"/>
      <w:lang w:val="en-US" w:eastAsia="zh-CN" w:bidi="ar-SA"/>
    </w:rPr>
  </w:style>
  <w:style w:type="paragraph" w:styleId="1274">
    <w:name w:val="1"/>
    <w:basedOn w:val="964"/>
    <w:next w:val="964"/>
    <w:link w:val="964"/>
    <w:qFormat/>
    <w:rPr>
      <w:rFonts w:eastAsia="宋体"/>
      <w:sz w:val="21"/>
      <w:szCs w:val="24"/>
    </w:rPr>
  </w:style>
  <w:style w:type="paragraph" w:styleId="1275">
    <w:name w:val="样式 (西文) 仿宋_GB2312 居中 行距: 1.5 倍行距"/>
    <w:basedOn w:val="964"/>
    <w:next w:val="1275"/>
    <w:link w:val="964"/>
    <w:qFormat/>
    <w:pPr>
      <w:jc w:val="center"/>
      <w:spacing w:line="360" w:lineRule="auto"/>
    </w:pPr>
    <w:rPr>
      <w:rFonts w:ascii="宋体" w:hAnsi="宋体" w:eastAsia="宋体" w:cs="宋体"/>
      <w:sz w:val="21"/>
    </w:rPr>
  </w:style>
  <w:style w:type="paragraph" w:styleId="1276">
    <w:name w:val="正文缩进_0"/>
    <w:basedOn w:val="1189"/>
    <w:next w:val="1276"/>
    <w:link w:val="964"/>
    <w:qFormat/>
    <w:pPr>
      <w:ind w:firstLine="420"/>
      <w:jc w:val="both"/>
      <w:widowControl w:val="off"/>
    </w:pPr>
    <w:rPr>
      <w:u w:val="single"/>
    </w:rPr>
  </w:style>
  <w:style w:type="paragraph" w:styleId="1277">
    <w:name w:val="标题 4_0"/>
    <w:basedOn w:val="1264"/>
    <w:next w:val="1264"/>
    <w:link w:val="964"/>
    <w:qFormat/>
    <w:pPr>
      <w:keepLines/>
      <w:keepNext/>
      <w:spacing w:before="280" w:after="290" w:line="372" w:lineRule="auto"/>
      <w:outlineLvl w:val="3"/>
    </w:pPr>
    <w:rPr>
      <w:rFonts w:ascii="Cambria" w:hAnsi="Cambria"/>
      <w:b/>
      <w:bCs/>
      <w:sz w:val="28"/>
      <w:szCs w:val="28"/>
    </w:rPr>
  </w:style>
  <w:style w:type="paragraph" w:styleId="1278">
    <w:name w:val="H2"/>
    <w:basedOn w:val="964"/>
    <w:next w:val="964"/>
    <w:link w:val="964"/>
    <w:qFormat/>
    <w:pPr>
      <w:jc w:val="left"/>
      <w:keepNext/>
      <w:spacing w:before="100" w:after="100"/>
      <w:outlineLvl w:val="2"/>
    </w:pPr>
    <w:rPr>
      <w:rFonts w:ascii="Calibri" w:hAnsi="Calibri" w:eastAsia="宋体"/>
      <w:b/>
      <w:sz w:val="36"/>
    </w:rPr>
  </w:style>
  <w:style w:type="paragraph" w:styleId="1279">
    <w:name w:val="flNote"/>
    <w:basedOn w:val="964"/>
    <w:next w:val="1279"/>
    <w:link w:val="964"/>
    <w:qFormat/>
    <w:pPr>
      <w:jc w:val="center"/>
      <w:spacing w:before="320" w:after="160" w:line="360" w:lineRule="atLeast"/>
    </w:pPr>
    <w:rPr>
      <w:rFonts w:ascii="Arial" w:eastAsia="黑体"/>
      <w:sz w:val="30"/>
    </w:rPr>
  </w:style>
  <w:style w:type="paragraph" w:styleId="1280">
    <w:name w:val="修订1"/>
    <w:next w:val="1280"/>
    <w:link w:val="964"/>
    <w:qFormat/>
    <w:rPr>
      <w:sz w:val="21"/>
      <w:szCs w:val="24"/>
      <w:lang w:val="en-US" w:eastAsia="zh-CN" w:bidi="ar-SA"/>
    </w:rPr>
  </w:style>
  <w:style w:type="paragraph" w:styleId="1281">
    <w:name w:val="H6"/>
    <w:basedOn w:val="964"/>
    <w:next w:val="964"/>
    <w:link w:val="964"/>
    <w:qFormat/>
    <w:pPr>
      <w:jc w:val="left"/>
      <w:keepNext/>
      <w:spacing w:before="100" w:after="100"/>
      <w:outlineLvl w:val="6"/>
    </w:pPr>
    <w:rPr>
      <w:rFonts w:ascii="Calibri" w:hAnsi="Calibri" w:eastAsia="宋体"/>
      <w:b/>
      <w:sz w:val="16"/>
    </w:rPr>
  </w:style>
  <w:style w:type="paragraph" w:styleId="1282">
    <w:name w:val="无间隔1"/>
    <w:next w:val="1282"/>
    <w:link w:val="964"/>
    <w:qFormat/>
    <w:pPr>
      <w:jc w:val="both"/>
      <w:widowControl w:val="off"/>
    </w:pPr>
    <w:rPr>
      <w:sz w:val="21"/>
      <w:szCs w:val="24"/>
      <w:lang w:val="en-US" w:eastAsia="zh-CN" w:bidi="ar-SA"/>
    </w:rPr>
  </w:style>
  <w:style w:type="paragraph" w:styleId="1283">
    <w:name w:val="reader-word-layer"/>
    <w:basedOn w:val="964"/>
    <w:next w:val="1283"/>
    <w:link w:val="964"/>
    <w:qFormat/>
    <w:pPr>
      <w:jc w:val="left"/>
      <w:spacing w:before="100" w:beforeAutospacing="1" w:after="100" w:afterAutospacing="1"/>
      <w:widowControl/>
    </w:pPr>
    <w:rPr>
      <w:rFonts w:ascii="宋体" w:hAnsi="宋体" w:eastAsia="宋体" w:cs="宋体"/>
      <w:sz w:val="24"/>
      <w:szCs w:val="24"/>
    </w:rPr>
  </w:style>
  <w:style w:type="paragraph" w:styleId="1284">
    <w:name w:val="TOC 标题1"/>
    <w:basedOn w:val="965"/>
    <w:next w:val="964"/>
    <w:link w:val="964"/>
    <w:qFormat/>
    <w:pPr>
      <w:spacing w:line="576" w:lineRule="auto"/>
      <w:outlineLvl w:val="9"/>
    </w:pPr>
    <w:rPr>
      <w:rFonts w:ascii="Calibri" w:hAnsi="Calibri" w:eastAsia="黑体"/>
      <w:bCs/>
      <w:szCs w:val="44"/>
    </w:rPr>
  </w:style>
  <w:style w:type="paragraph" w:styleId="1285">
    <w:name w:val="正文文本_0"/>
    <w:basedOn w:val="1254"/>
    <w:next w:val="1285"/>
    <w:link w:val="964"/>
    <w:qFormat/>
    <w:pPr>
      <w:ind w:left="72" w:right="30"/>
      <w:jc w:val="center"/>
      <w:spacing w:after="60" w:line="360" w:lineRule="atLeast"/>
    </w:pPr>
    <w:rPr>
      <w:rFonts w:ascii="Times New Roman" w:hAnsi="Times New Roman"/>
      <w:sz w:val="20"/>
      <w:szCs w:val="20"/>
    </w:rPr>
  </w:style>
  <w:style w:type="paragraph" w:styleId="1286">
    <w:name w:val="Char Char Char Char Char Char Char"/>
    <w:basedOn w:val="964"/>
    <w:next w:val="1286"/>
    <w:link w:val="964"/>
    <w:qFormat/>
    <w:pPr>
      <w:jc w:val="left"/>
      <w:spacing w:after="160" w:line="240" w:lineRule="exact"/>
      <w:widowControl/>
    </w:pPr>
    <w:rPr>
      <w:rFonts w:eastAsia="宋体"/>
      <w:sz w:val="21"/>
      <w:szCs w:val="24"/>
    </w:rPr>
  </w:style>
  <w:style w:type="paragraph" w:styleId="1287">
    <w:name w:val="_Style 37"/>
    <w:basedOn w:val="964"/>
    <w:next w:val="964"/>
    <w:link w:val="964"/>
    <w:qFormat/>
    <w:rPr>
      <w:rFonts w:eastAsia="宋体"/>
      <w:sz w:val="21"/>
      <w:szCs w:val="24"/>
    </w:rPr>
  </w:style>
  <w:style w:type="paragraph" w:styleId="1288">
    <w:name w:val="样式 标题 2 + Times New Roman 四号 非加粗 段前: 5 磅 段后: 0 磅 行距: 固定值 20..."/>
    <w:basedOn w:val="966"/>
    <w:next w:val="1288"/>
    <w:link w:val="964"/>
    <w:qFormat/>
    <w:pPr>
      <w:jc w:val="both"/>
      <w:spacing w:before="100" w:line="400" w:lineRule="exact"/>
    </w:pPr>
    <w:rPr>
      <w:rFonts w:ascii="Times New Roman" w:hAnsi="Times New Roman" w:eastAsia="黑体" w:cs="宋体"/>
      <w:b w:val="0"/>
      <w:sz w:val="28"/>
    </w:rPr>
  </w:style>
  <w:style w:type="paragraph" w:styleId="1289">
    <w:name w:val="H3"/>
    <w:basedOn w:val="964"/>
    <w:next w:val="964"/>
    <w:link w:val="964"/>
    <w:qFormat/>
    <w:pPr>
      <w:jc w:val="left"/>
      <w:keepNext/>
      <w:spacing w:before="100" w:after="100"/>
      <w:outlineLvl w:val="3"/>
    </w:pPr>
    <w:rPr>
      <w:rFonts w:ascii="Calibri" w:hAnsi="Calibri" w:eastAsia="宋体"/>
      <w:b/>
      <w:sz w:val="28"/>
    </w:rPr>
  </w:style>
  <w:style w:type="paragraph" w:styleId="1290">
    <w:name w:val="2-2ji"/>
    <w:basedOn w:val="966"/>
    <w:next w:val="1290"/>
    <w:link w:val="964"/>
    <w:qFormat/>
    <w:pPr>
      <w:jc w:val="center"/>
      <w:spacing w:line="360" w:lineRule="auto"/>
    </w:pPr>
    <w:rPr>
      <w:rFonts w:eastAsia="宋体"/>
      <w:bCs/>
      <w:sz w:val="36"/>
      <w:szCs w:val="24"/>
    </w:rPr>
  </w:style>
  <w:style w:type="paragraph" w:styleId="1291">
    <w:name w:val="空半行"/>
    <w:basedOn w:val="964"/>
    <w:next w:val="1291"/>
    <w:link w:val="964"/>
    <w:qFormat/>
    <w:pPr>
      <w:spacing w:line="120" w:lineRule="exact"/>
    </w:pPr>
    <w:rPr>
      <w:rFonts w:eastAsia="仿宋_GB2312"/>
      <w:color w:val="ffffff"/>
      <w:sz w:val="30"/>
    </w:rPr>
  </w:style>
  <w:style w:type="paragraph" w:styleId="1292">
    <w:name w:val="正文_3"/>
    <w:next w:val="1292"/>
    <w:link w:val="964"/>
    <w:qFormat/>
    <w:pPr>
      <w:jc w:val="both"/>
      <w:widowControl w:val="off"/>
    </w:pPr>
    <w:rPr>
      <w:rFonts w:ascii="Calibri" w:hAnsi="Calibri"/>
      <w:sz w:val="21"/>
      <w:szCs w:val="22"/>
      <w:lang w:val="en-US" w:eastAsia="zh-CN" w:bidi="ar-SA"/>
    </w:rPr>
  </w:style>
  <w:style w:type="paragraph" w:styleId="1293">
    <w:name w:val="样式 标题 1 + 黑体 三号 非加粗 居中 段前: 6 磅 段后: 6 磅 行距: 固定值 20 磅"/>
    <w:basedOn w:val="965"/>
    <w:next w:val="1293"/>
    <w:link w:val="964"/>
    <w:qFormat/>
    <w:pPr>
      <w:spacing w:line="400" w:lineRule="exact"/>
    </w:pPr>
    <w:rPr>
      <w:rFonts w:hAnsi="黑体" w:eastAsia="宋体" w:cs="宋体"/>
      <w:b w:val="0"/>
      <w:bCs/>
      <w:sz w:val="32"/>
    </w:rPr>
  </w:style>
  <w:style w:type="paragraph" w:styleId="1294">
    <w:name w:val="默认段落字体 Para Char Char Char Char Char Char Char"/>
    <w:basedOn w:val="964"/>
    <w:next w:val="1294"/>
    <w:link w:val="964"/>
    <w:qFormat/>
    <w:rPr>
      <w:rFonts w:ascii="Tahoma" w:hAnsi="Tahoma" w:eastAsia="宋体"/>
      <w:sz w:val="24"/>
    </w:rPr>
  </w:style>
  <w:style w:type="paragraph" w:styleId="1295">
    <w:name w:val="H1"/>
    <w:basedOn w:val="964"/>
    <w:next w:val="964"/>
    <w:link w:val="964"/>
    <w:qFormat/>
    <w:pPr>
      <w:jc w:val="left"/>
      <w:keepNext/>
      <w:spacing w:before="100" w:after="100"/>
      <w:outlineLvl w:val="1"/>
    </w:pPr>
    <w:rPr>
      <w:rFonts w:ascii="Calibri" w:hAnsi="Calibri" w:eastAsia="宋体"/>
      <w:b/>
      <w:sz w:val="48"/>
    </w:rPr>
  </w:style>
  <w:style w:type="paragraph" w:styleId="1296">
    <w:name w:val="H4"/>
    <w:basedOn w:val="964"/>
    <w:next w:val="964"/>
    <w:link w:val="964"/>
    <w:qFormat/>
    <w:pPr>
      <w:jc w:val="left"/>
      <w:keepNext/>
      <w:spacing w:before="100" w:after="100"/>
      <w:outlineLvl w:val="4"/>
    </w:pPr>
    <w:rPr>
      <w:rFonts w:ascii="Calibri" w:hAnsi="Calibri" w:eastAsia="宋体"/>
      <w:b/>
      <w:sz w:val="24"/>
    </w:rPr>
  </w:style>
  <w:style w:type="paragraph" w:styleId="1297">
    <w:name w:val="H5"/>
    <w:basedOn w:val="964"/>
    <w:next w:val="964"/>
    <w:link w:val="964"/>
    <w:qFormat/>
    <w:pPr>
      <w:jc w:val="left"/>
      <w:keepNext/>
      <w:spacing w:before="100" w:after="100"/>
      <w:outlineLvl w:val="5"/>
    </w:pPr>
    <w:rPr>
      <w:rFonts w:ascii="Calibri" w:hAnsi="Calibri" w:eastAsia="宋体"/>
      <w:b/>
      <w:sz w:val="20"/>
    </w:rPr>
  </w:style>
  <w:style w:type="paragraph" w:styleId="1298">
    <w:name w:val="Address"/>
    <w:basedOn w:val="964"/>
    <w:next w:val="964"/>
    <w:link w:val="964"/>
    <w:qFormat/>
    <w:pPr>
      <w:jc w:val="left"/>
    </w:pPr>
    <w:rPr>
      <w:rFonts w:ascii="Calibri" w:hAnsi="Calibri" w:eastAsia="宋体"/>
      <w:i/>
      <w:sz w:val="24"/>
    </w:rPr>
  </w:style>
  <w:style w:type="paragraph" w:styleId="1299">
    <w:name w:val="Preformatted"/>
    <w:basedOn w:val="964"/>
    <w:next w:val="1299"/>
    <w:link w:val="964"/>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rPr>
  </w:style>
  <w:style w:type="paragraph" w:styleId="1300">
    <w:name w:val="z-Bottom of Form"/>
    <w:next w:val="964"/>
    <w:link w:val="964"/>
    <w:qFormat/>
    <w:pPr>
      <w:jc w:val="center"/>
      <w:widowControl w:val="off"/>
      <w:pBdr>
        <w:top w:val="single" w:color="000000" w:sz="2" w:space="0"/>
      </w:pBdr>
    </w:pPr>
    <w:rPr>
      <w:rFonts w:ascii="Arial" w:hAnsi="Arial"/>
      <w:vanish/>
      <w:sz w:val="16"/>
      <w:lang w:val="en-US" w:eastAsia="zh-CN" w:bidi="ar-SA"/>
    </w:rPr>
  </w:style>
  <w:style w:type="paragraph" w:styleId="1301">
    <w:name w:val="_Style 325"/>
    <w:next w:val="1301"/>
    <w:link w:val="964"/>
    <w:uiPriority w:val="99"/>
    <w:unhideWhenUsed/>
    <w:qFormat/>
    <w:pPr>
      <w:jc w:val="both"/>
      <w:widowControl w:val="off"/>
    </w:pPr>
    <w:rPr>
      <w:rFonts w:eastAsia="楷体_GB2312"/>
      <w:sz w:val="26"/>
      <w:lang w:val="en-US" w:eastAsia="zh-CN" w:bidi="ar-SA"/>
    </w:rPr>
  </w:style>
  <w:style w:type="paragraph" w:styleId="1302">
    <w:name w:val="正文(其它)"/>
    <w:basedOn w:val="964"/>
    <w:next w:val="1302"/>
    <w:link w:val="964"/>
    <w:qFormat/>
    <w:pPr>
      <w:jc w:val="center"/>
      <w:spacing w:line="312" w:lineRule="auto"/>
    </w:pPr>
    <w:rPr>
      <w:rFonts w:ascii="黑体" w:eastAsia="黑体"/>
      <w:sz w:val="32"/>
      <w:szCs w:val="32"/>
    </w:rPr>
  </w:style>
  <w:style w:type="paragraph" w:styleId="1303">
    <w:name w:val="06正文"/>
    <w:basedOn w:val="964"/>
    <w:next w:val="1303"/>
    <w:link w:val="964"/>
    <w:qFormat/>
    <w:pPr>
      <w:ind w:firstLine="420"/>
      <w:spacing w:line="360" w:lineRule="auto"/>
      <w:widowControl/>
    </w:pPr>
    <w:rPr>
      <w:rFonts w:ascii="宋体" w:hAnsi="宋体"/>
      <w:szCs w:val="21"/>
    </w:rPr>
  </w:style>
  <w:style w:type="paragraph" w:styleId="1304">
    <w:name w:val="首行缩进"/>
    <w:basedOn w:val="964"/>
    <w:next w:val="1304"/>
    <w:link w:val="964"/>
    <w:qFormat/>
    <w:pPr>
      <w:ind w:firstLine="480"/>
    </w:pPr>
    <w:rPr>
      <w:rFonts w:ascii="Calibri" w:hAnsi="Calibri"/>
      <w:lang w:val="zh-CN"/>
    </w:rPr>
  </w:style>
  <w:style w:type="paragraph" w:styleId="1305">
    <w:name w:val="列表段落1"/>
    <w:basedOn w:val="964"/>
    <w:next w:val="1305"/>
    <w:link w:val="964"/>
    <w:uiPriority w:val="34"/>
    <w:qFormat/>
    <w:pPr>
      <w:ind w:firstLine="420"/>
    </w:pPr>
  </w:style>
  <w:style w:type="paragraph" w:styleId="1306">
    <w:name w:val="_正文段落"/>
    <w:basedOn w:val="964"/>
    <w:next w:val="1306"/>
    <w:link w:val="964"/>
    <w:qFormat/>
    <w:pPr>
      <w:ind w:firstLine="480"/>
      <w:spacing w:line="360" w:lineRule="auto"/>
    </w:pPr>
    <w:rPr>
      <w:rFonts w:ascii="宋体" w:hAnsi="宋体" w:eastAsia="宋体"/>
      <w:sz w:val="24"/>
      <w:szCs w:val="24"/>
    </w:rPr>
  </w:style>
  <w:style w:type="paragraph" w:styleId="1307">
    <w:name w:val="WPSOffice手动目录 1"/>
    <w:next w:val="1307"/>
    <w:link w:val="964"/>
    <w:rPr>
      <w:lang w:val="en-US" w:eastAsia="zh-CN" w:bidi="ar-SA"/>
    </w:rPr>
  </w:style>
  <w:style w:type="paragraph" w:styleId="1308">
    <w:name w:val="Normal1"/>
    <w:next w:val="1308"/>
    <w:link w:val="964"/>
    <w:qFormat/>
    <w:pPr>
      <w:jc w:val="both"/>
      <w:widowControl w:val="off"/>
    </w:pPr>
    <w:rPr>
      <w:sz w:val="21"/>
      <w:szCs w:val="22"/>
      <w:lang w:val="en-US" w:eastAsia="zh-CN" w:bidi="ar-SA"/>
    </w:rPr>
  </w:style>
  <w:style w:type="paragraph" w:styleId="1309">
    <w:name w:val="Heading 1_0"/>
    <w:next w:val="1309"/>
    <w:link w:val="964"/>
    <w:uiPriority w:val="99"/>
    <w:qFormat/>
    <w:pPr>
      <w:keepLines/>
      <w:keepNext/>
      <w:spacing w:before="340" w:after="330" w:line="576" w:lineRule="auto"/>
      <w:outlineLvl w:val="0"/>
    </w:pPr>
    <w:rPr>
      <w:rFonts w:cs="等线"/>
      <w:b/>
      <w:sz w:val="44"/>
      <w:lang w:val="en-US" w:eastAsia="zh-CN" w:bidi="ar-SA"/>
    </w:rPr>
  </w:style>
  <w:style w:type="paragraph" w:styleId="1310">
    <w:name w:val="Heading 41"/>
    <w:next w:val="1310"/>
    <w:link w:val="964"/>
    <w:uiPriority w:val="99"/>
    <w:qFormat/>
    <w:pPr>
      <w:keepLines/>
      <w:keepNext/>
      <w:spacing w:before="280" w:after="290" w:line="376" w:lineRule="auto"/>
      <w:outlineLvl w:val="3"/>
    </w:pPr>
    <w:rPr>
      <w:rFonts w:ascii="Arial" w:hAnsi="Arial" w:eastAsia="黑体" w:cs="等线"/>
      <w:b/>
      <w:bCs/>
      <w:sz w:val="28"/>
      <w:szCs w:val="28"/>
      <w:lang w:val="en-US" w:eastAsia="zh-CN" w:bidi="ar-SA"/>
    </w:rPr>
  </w:style>
  <w:style w:type="paragraph" w:styleId="1311">
    <w:name w:val="正文3"/>
    <w:next w:val="1311"/>
    <w:link w:val="964"/>
    <w:uiPriority w:val="99"/>
    <w:qFormat/>
    <w:pPr>
      <w:jc w:val="both"/>
      <w:widowControl w:val="off"/>
    </w:pPr>
    <w:rPr>
      <w:sz w:val="21"/>
      <w:szCs w:val="22"/>
      <w:lang w:val="en-US" w:eastAsia="zh-CN" w:bidi="ar-SA"/>
    </w:rPr>
  </w:style>
  <w:style w:type="paragraph" w:styleId="1312">
    <w:name w:val="正文_1_0_0_0"/>
    <w:next w:val="1312"/>
    <w:link w:val="964"/>
    <w:uiPriority w:val="99"/>
    <w:qFormat/>
    <w:pPr>
      <w:jc w:val="both"/>
      <w:widowControl w:val="off"/>
    </w:pPr>
    <w:rPr>
      <w:rFonts w:ascii="宋体"/>
      <w:sz w:val="21"/>
      <w:szCs w:val="24"/>
      <w:lang w:val="en-US" w:eastAsia="zh-CN" w:bidi="ar-SA"/>
    </w:rPr>
  </w:style>
  <w:style w:type="paragraph" w:styleId="1313">
    <w:name w:val="正文_0_0"/>
    <w:next w:val="1313"/>
    <w:link w:val="964"/>
    <w:uiPriority w:val="99"/>
    <w:qFormat/>
    <w:pPr>
      <w:jc w:val="both"/>
      <w:widowControl w:val="off"/>
    </w:pPr>
    <w:rPr>
      <w:sz w:val="21"/>
      <w:szCs w:val="22"/>
      <w:lang w:val="en-US" w:eastAsia="zh-CN" w:bidi="ar-SA"/>
    </w:rPr>
  </w:style>
  <w:style w:type="paragraph" w:styleId="1314">
    <w:name w:val="标题 2_0_0"/>
    <w:basedOn w:val="1315"/>
    <w:next w:val="1313"/>
    <w:link w:val="964"/>
    <w:uiPriority w:val="99"/>
    <w:qFormat/>
    <w:pPr>
      <w:keepLines/>
      <w:keepNext/>
      <w:spacing w:before="120" w:after="120" w:line="360" w:lineRule="auto"/>
      <w:outlineLvl w:val="1"/>
    </w:pPr>
    <w:rPr>
      <w:rFonts w:ascii="黑体" w:hAnsi="宋体" w:eastAsia="黑体" w:cs="等线"/>
      <w:sz w:val="30"/>
      <w:szCs w:val="30"/>
    </w:rPr>
  </w:style>
  <w:style w:type="paragraph" w:styleId="1315">
    <w:name w:val="标题_0_0"/>
    <w:basedOn w:val="1313"/>
    <w:next w:val="1313"/>
    <w:link w:val="964"/>
    <w:qFormat/>
    <w:pPr>
      <w:jc w:val="center"/>
      <w:spacing w:before="240" w:after="60"/>
      <w:outlineLvl w:val="0"/>
    </w:pPr>
    <w:rPr>
      <w:rFonts w:ascii="Cambria" w:hAnsi="Cambria"/>
      <w:b/>
      <w:bCs/>
      <w:sz w:val="32"/>
      <w:szCs w:val="32"/>
    </w:rPr>
  </w:style>
  <w:style w:type="character" w:styleId="1316" w:default="1">
    <w:name w:val="Default Paragraph Font"/>
    <w:uiPriority w:val="1"/>
    <w:semiHidden/>
    <w:unhideWhenUsed/>
  </w:style>
  <w:style w:type="numbering" w:styleId="1317" w:default="1">
    <w:name w:val="No List"/>
    <w:uiPriority w:val="99"/>
    <w:semiHidden/>
    <w:unhideWhenUsed/>
  </w:style>
  <w:style w:type="table" w:styleId="13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26"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4214"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1223"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7" TargetMode="External"/><Relationship Id="rId1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7013" TargetMode="External"/><Relationship Id="rId2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956" TargetMode="External"/><Relationship Id="rId2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9740" TargetMode="External"/><Relationship Id="rId22" Type="http://schemas.openxmlformats.org/officeDocument/2006/relationships/hyperlink" Target="http://www.szweikang.xn--com-6y3ba7cbgc4097e4kax19cqoerohxod7w1bva254sga6035lg4sc/"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俞莉</cp:lastModifiedBy>
  <cp:revision>7</cp:revision>
  <dcterms:created xsi:type="dcterms:W3CDTF">2024-02-27T08:52:00Z</dcterms:created>
  <dcterms:modified xsi:type="dcterms:W3CDTF">2026-08-20T09:00:52Z</dcterms:modified>
</cp:coreProperties>
</file>