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00" w:lineRule="exact"/>
        <w:rPr>
          <w:rFonts w:hint="eastAsia" w:ascii="宋体" w:hAnsi="宋体" w:eastAsia="宋体" w:cs="宋体"/>
          <w:b/>
          <w:color w:val="auto"/>
          <w:spacing w:val="20"/>
          <w:sz w:val="44"/>
          <w:szCs w:val="44"/>
          <w:highlight w:val="none"/>
          <w:lang w:eastAsia="zh-CN"/>
        </w:rPr>
      </w:pPr>
      <w:r/>
      <w:bookmarkStart w:id="56" w:name="_GoBack"/>
      <w:r/>
      <w:bookmarkEnd w:id="56"/>
      <w:r>
        <w:rPr>
          <w:rFonts w:hint="eastAsia" w:ascii="宋体" w:hAnsi="宋体" w:eastAsia="宋体" w:cs="宋体"/>
          <w:b/>
          <w:color w:val="auto"/>
          <w:spacing w:val="20"/>
          <w:sz w:val="44"/>
          <w:szCs w:val="44"/>
          <w:highlight w:val="none"/>
          <w:lang w:eastAsia="zh-CN"/>
        </w:rPr>
        <w:t xml:space="preserve">南通市市属国有企业202</w:t>
      </w:r>
      <w:r>
        <w:rPr>
          <w:rFonts w:hint="eastAsia" w:ascii="宋体" w:hAnsi="宋体" w:cs="宋体"/>
          <w:b/>
          <w:color w:val="auto"/>
          <w:spacing w:val="20"/>
          <w:sz w:val="44"/>
          <w:szCs w:val="44"/>
          <w:highlight w:val="none"/>
          <w:lang w:val="en-US" w:eastAsia="zh-CN"/>
        </w:rPr>
        <w:t xml:space="preserve">6-2028</w:t>
      </w:r>
      <w:r>
        <w:rPr>
          <w:rFonts w:hint="eastAsia" w:ascii="宋体" w:hAnsi="宋体" w:eastAsia="宋体" w:cs="宋体"/>
          <w:b/>
          <w:color w:val="auto"/>
          <w:spacing w:val="20"/>
          <w:sz w:val="44"/>
          <w:szCs w:val="44"/>
          <w:highlight w:val="none"/>
          <w:lang w:eastAsia="zh-CN"/>
        </w:rPr>
        <w:t xml:space="preserve">年度</w:t>
      </w:r>
      <w:r/>
    </w:p>
    <w:p>
      <w:pPr>
        <w:jc w:val="center"/>
        <w:spacing w:line="1000" w:lineRule="exact"/>
        <w:rPr>
          <w:rFonts w:hint="eastAsia" w:ascii="宋体" w:hAnsi="宋体" w:eastAsia="宋体" w:cs="宋体"/>
          <w:b/>
          <w:color w:val="auto"/>
          <w:spacing w:val="20"/>
          <w:sz w:val="44"/>
          <w:szCs w:val="44"/>
          <w:highlight w:val="none"/>
          <w:lang w:val="en-US" w:eastAsia="zh-CN"/>
        </w:rPr>
      </w:pPr>
      <w:r>
        <w:rPr>
          <w:rFonts w:hint="eastAsia" w:ascii="宋体" w:hAnsi="宋体" w:eastAsia="宋体" w:cs="宋体"/>
          <w:b/>
          <w:color w:val="auto"/>
          <w:spacing w:val="20"/>
          <w:sz w:val="44"/>
          <w:szCs w:val="44"/>
          <w:highlight w:val="none"/>
          <w:lang w:eastAsia="zh-CN"/>
        </w:rPr>
        <w:t xml:space="preserve">财务报表审计项目</w:t>
      </w:r>
      <w:r/>
    </w:p>
    <w:p>
      <w:pPr>
        <w:jc w:val="center"/>
        <w:spacing w:line="1000" w:lineRule="exact"/>
        <w:rPr>
          <w:rFonts w:hint="eastAsia" w:ascii="宋体" w:hAnsi="宋体" w:eastAsia="宋体" w:cs="宋体"/>
          <w:bCs/>
          <w:color w:val="auto"/>
          <w:sz w:val="100"/>
          <w:szCs w:val="100"/>
          <w:highlight w:val="none"/>
        </w:rPr>
      </w:pPr>
      <w:r>
        <w:rPr>
          <w:rFonts w:hint="eastAsia" w:ascii="宋体" w:hAnsi="宋体" w:eastAsia="宋体" w:cs="宋体"/>
          <w:bCs/>
          <w:color w:val="auto"/>
          <w:sz w:val="100"/>
          <w:szCs w:val="100"/>
          <w:highlight w:val="none"/>
        </w:rPr>
      </w:r>
      <w:r/>
    </w:p>
    <w:p>
      <w:pPr>
        <w:jc w:val="center"/>
        <w:spacing w:line="1000" w:lineRule="exact"/>
        <w:rPr>
          <w:rFonts w:hint="eastAsia" w:ascii="宋体" w:hAnsi="宋体" w:eastAsia="宋体" w:cs="宋体"/>
          <w:bCs/>
          <w:color w:val="auto"/>
          <w:sz w:val="100"/>
          <w:szCs w:val="100"/>
          <w:highlight w:val="none"/>
        </w:rPr>
      </w:pPr>
      <w:r>
        <w:rPr>
          <w:rFonts w:hint="eastAsia" w:ascii="宋体" w:hAnsi="宋体" w:eastAsia="宋体" w:cs="宋体"/>
          <w:bCs/>
          <w:color w:val="auto"/>
          <w:sz w:val="100"/>
          <w:szCs w:val="100"/>
          <w:highlight w:val="none"/>
        </w:rPr>
        <w:t xml:space="preserve">政府采购招标文件</w:t>
      </w:r>
      <w:r/>
    </w:p>
    <w:p>
      <w:pPr>
        <w:spacing w:line="10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1000" w:lineRule="exact"/>
        <w:rPr>
          <w:rFonts w:hint="default" w:ascii="宋体" w:hAnsi="宋体" w:eastAsia="宋体" w:cs="宋体"/>
          <w:bCs/>
          <w:color w:val="auto"/>
          <w:sz w:val="36"/>
          <w:szCs w:val="36"/>
          <w:highlight w:val="yellow"/>
          <w:lang w:val="en-US" w:eastAsia="zh-CN"/>
        </w:rPr>
      </w:pPr>
      <w:r>
        <w:rPr>
          <w:rFonts w:hint="eastAsia" w:ascii="宋体" w:hAnsi="宋体" w:eastAsia="宋体" w:cs="宋体"/>
          <w:bCs/>
          <w:color w:val="auto"/>
          <w:sz w:val="36"/>
          <w:szCs w:val="36"/>
          <w:highlight w:val="none"/>
        </w:rPr>
        <w:t xml:space="preserve">招标文件编号：</w:t>
      </w:r>
      <w:r>
        <w:rPr>
          <w:rFonts w:hint="eastAsia" w:ascii="宋体" w:hAnsi="宋体" w:cs="宋体"/>
          <w:bCs/>
          <w:color w:val="auto"/>
          <w:sz w:val="36"/>
          <w:szCs w:val="36"/>
          <w:highlight w:val="none"/>
          <w:lang w:eastAsia="zh-CN"/>
        </w:rPr>
        <w:t xml:space="preserve">JSZC-320600-ZRJS-G2026-0024</w:t>
      </w:r>
      <w:r/>
    </w:p>
    <w:p>
      <w:pPr>
        <w:jc w:val="center"/>
        <w:spacing w:line="10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10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5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1152"/>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152"/>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152"/>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152"/>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1152"/>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left="-2" w:right="120"/>
        <w:jc w:val="center"/>
        <w:spacing w:before="120" w:after="120" w:line="460" w:lineRule="exac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南通市人民政府国有资产监督管理委员会</w:t>
      </w:r>
      <w:r/>
    </w:p>
    <w:p>
      <w:pPr>
        <w:ind w:left="-2" w:right="120"/>
        <w:jc w:val="center"/>
        <w:spacing w:before="120" w:after="120" w:line="4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8</w:t>
      </w:r>
      <w:r>
        <w:rPr>
          <w:rFonts w:hint="eastAsia" w:ascii="宋体" w:hAnsi="宋体" w:eastAsia="宋体" w:cs="宋体"/>
          <w:b/>
          <w:bCs/>
          <w:color w:val="auto"/>
          <w:sz w:val="32"/>
          <w:szCs w:val="32"/>
          <w:highlight w:val="none"/>
        </w:rPr>
        <w:t xml:space="preserve">月</w:t>
      </w:r>
      <w:r/>
    </w:p>
    <w:p>
      <w:pPr>
        <w:jc w:val="center"/>
        <w:spacing w:line="100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rPr>
          <w:rFonts w:hint="eastAsia" w:ascii="宋体" w:hAnsi="宋体" w:eastAsia="宋体" w:cs="宋体"/>
          <w:color w:val="auto"/>
          <w:sz w:val="44"/>
          <w:szCs w:val="44"/>
          <w:highlight w:val="none"/>
        </w:rPr>
        <w:t xml:space="preserve">目 录</w:t>
      </w:r>
      <w:r/>
    </w:p>
    <w:p>
      <w:pPr>
        <w:ind w:firstLine="640"/>
        <w:spacing w:line="1000" w:lineRule="exact"/>
        <w:tabs>
          <w:tab w:val="left" w:pos="7740" w:leader="none"/>
        </w:tabs>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第一部分  投标邀请</w:t>
      </w:r>
      <w:r/>
    </w:p>
    <w:p>
      <w:pPr>
        <w:ind w:firstLine="640"/>
        <w:spacing w:line="1000" w:lineRule="exact"/>
        <w:tabs>
          <w:tab w:val="left" w:pos="7740" w:leader="none"/>
        </w:tabs>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第二部分  投标须知</w:t>
      </w:r>
      <w:r/>
    </w:p>
    <w:p>
      <w:pPr>
        <w:ind w:firstLine="640"/>
        <w:spacing w:line="1000" w:lineRule="exact"/>
        <w:tabs>
          <w:tab w:val="left" w:pos="7740" w:leader="none"/>
        </w:tabs>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第三部分  项目需求</w:t>
      </w:r>
      <w:r/>
    </w:p>
    <w:p>
      <w:pPr>
        <w:ind w:firstLine="640"/>
        <w:spacing w:line="1000" w:lineRule="exact"/>
        <w:tabs>
          <w:tab w:val="left" w:pos="774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第四部分  </w:t>
      </w:r>
      <w:r>
        <w:rPr>
          <w:rFonts w:hint="eastAsia" w:ascii="宋体" w:hAnsi="宋体" w:eastAsia="宋体" w:cs="宋体"/>
          <w:bCs/>
          <w:color w:val="auto"/>
          <w:sz w:val="32"/>
          <w:szCs w:val="32"/>
          <w:highlight w:val="none"/>
        </w:rPr>
        <w:t xml:space="preserve">开标和评标</w:t>
      </w:r>
      <w:r/>
    </w:p>
    <w:p>
      <w:pPr>
        <w:ind w:firstLine="640"/>
        <w:spacing w:line="1000" w:lineRule="exact"/>
        <w:tabs>
          <w:tab w:val="left" w:pos="7740" w:leader="none"/>
        </w:tabs>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第五部分  投标文件组成</w:t>
      </w:r>
      <w:r/>
    </w:p>
    <w:p>
      <w:pP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00" w:lineRule="exact"/>
        <w:tabs>
          <w:tab w:val="left" w:pos="7740" w:leader="none"/>
        </w:tabs>
        <w:rPr>
          <w:rFonts w:hint="eastAsia" w:ascii="宋体" w:hAnsi="宋体" w:eastAsia="宋体" w:cs="宋体"/>
          <w:b/>
          <w:color w:val="auto"/>
          <w:spacing w:val="2"/>
          <w:sz w:val="32"/>
          <w:szCs w:val="32"/>
          <w:highlight w:val="none"/>
        </w:rPr>
      </w:pPr>
      <w:r>
        <w:rPr>
          <w:rFonts w:hint="eastAsia" w:ascii="宋体" w:hAnsi="宋体" w:eastAsia="宋体" w:cs="宋体"/>
          <w:b/>
          <w:color w:val="auto"/>
          <w:spacing w:val="2"/>
          <w:sz w:val="32"/>
          <w:szCs w:val="32"/>
          <w:highlight w:val="none"/>
        </w:rPr>
      </w:r>
      <w:r/>
    </w:p>
    <w:p>
      <w:pPr>
        <w:spacing w:line="500" w:lineRule="exact"/>
        <w:tabs>
          <w:tab w:val="left" w:pos="7740" w:leader="none"/>
        </w:tabs>
        <w:rPr>
          <w:rFonts w:hint="eastAsia" w:ascii="宋体" w:hAnsi="宋体" w:eastAsia="宋体" w:cs="宋体"/>
          <w:b/>
          <w:color w:val="auto"/>
          <w:spacing w:val="2"/>
          <w:sz w:val="32"/>
          <w:szCs w:val="32"/>
          <w:highlight w:val="none"/>
        </w:rPr>
      </w:pPr>
      <w:r>
        <w:rPr>
          <w:rFonts w:hint="eastAsia" w:ascii="宋体" w:hAnsi="宋体" w:eastAsia="宋体" w:cs="宋体"/>
          <w:b/>
          <w:color w:val="auto"/>
          <w:spacing w:val="2"/>
          <w:sz w:val="32"/>
          <w:szCs w:val="32"/>
          <w:highlight w:val="none"/>
        </w:rPr>
      </w:r>
      <w:r/>
    </w:p>
    <w:p>
      <w:pPr>
        <w:spacing w:line="500" w:lineRule="exact"/>
        <w:tabs>
          <w:tab w:val="left" w:pos="774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50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spacing w:line="50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1105"/>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br w:type="page" w:clear="all"/>
      </w:r>
      <w:r>
        <w:rPr>
          <w:rFonts w:hint="eastAsia" w:ascii="宋体" w:hAnsi="宋体" w:eastAsia="宋体" w:cs="宋体"/>
          <w:b/>
          <w:bCs w:val="0"/>
          <w:color w:val="auto"/>
          <w:sz w:val="36"/>
          <w:szCs w:val="36"/>
          <w:highlight w:val="none"/>
        </w:rPr>
        <w:t xml:space="preserve">第一部分  投标邀请</w:t>
      </w:r>
      <w:r/>
    </w:p>
    <w:p>
      <w:pPr>
        <w:ind w:firstLine="56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受[</w:t>
      </w:r>
      <w:r>
        <w:rPr>
          <w:rFonts w:hint="eastAsia" w:ascii="宋体" w:hAnsi="宋体" w:eastAsia="宋体" w:cs="宋体"/>
          <w:color w:val="auto"/>
          <w:sz w:val="28"/>
          <w:szCs w:val="28"/>
          <w:highlight w:val="none"/>
          <w:lang w:eastAsia="zh-CN"/>
        </w:rPr>
        <w:t xml:space="preserve">南通市人民政府国有资产监督管理委员会</w:t>
      </w:r>
      <w:r>
        <w:rPr>
          <w:rFonts w:hint="eastAsia" w:ascii="宋体" w:hAnsi="宋体" w:eastAsia="宋体" w:cs="宋体"/>
          <w:color w:val="auto"/>
          <w:sz w:val="28"/>
          <w:szCs w:val="28"/>
          <w:highlight w:val="none"/>
        </w:rPr>
        <w:t xml:space="preserve">]的委托，江苏中润工程建设咨询有限公司就[</w:t>
      </w:r>
      <w:r>
        <w:rPr>
          <w:rFonts w:hint="eastAsia" w:ascii="宋体" w:hAnsi="宋体" w:eastAsia="宋体" w:cs="宋体"/>
          <w:color w:val="auto"/>
          <w:sz w:val="28"/>
          <w:szCs w:val="28"/>
          <w:highlight w:val="none"/>
          <w:lang w:eastAsia="zh-CN"/>
        </w:rPr>
        <w:t xml:space="preserve">南通市市属国有企业202</w:t>
      </w:r>
      <w:r>
        <w:rPr>
          <w:rFonts w:hint="eastAsia" w:ascii="宋体" w:hAnsi="宋体" w:cs="宋体"/>
          <w:color w:val="auto"/>
          <w:sz w:val="28"/>
          <w:szCs w:val="28"/>
          <w:highlight w:val="none"/>
          <w:lang w:val="en-US" w:eastAsia="zh-CN"/>
        </w:rPr>
        <w:t xml:space="preserve">6-2028</w:t>
      </w:r>
      <w:r>
        <w:rPr>
          <w:rFonts w:hint="eastAsia" w:ascii="宋体" w:hAnsi="宋体" w:eastAsia="宋体" w:cs="宋体"/>
          <w:color w:val="auto"/>
          <w:sz w:val="28"/>
          <w:szCs w:val="28"/>
          <w:highlight w:val="none"/>
          <w:lang w:eastAsia="zh-CN"/>
        </w:rPr>
        <w:t xml:space="preserve">年度财务报表审计项目</w:t>
      </w:r>
      <w:r>
        <w:rPr>
          <w:rFonts w:hint="eastAsia" w:ascii="宋体" w:hAnsi="宋体" w:eastAsia="宋体" w:cs="宋体"/>
          <w:color w:val="auto"/>
          <w:sz w:val="28"/>
          <w:szCs w:val="28"/>
          <w:highlight w:val="none"/>
        </w:rPr>
        <w:t xml:space="preserve">](项目编号: </w:t>
      </w:r>
      <w:r>
        <w:rPr>
          <w:rFonts w:hint="eastAsia" w:ascii="宋体" w:hAnsi="宋体" w:cs="宋体"/>
          <w:color w:val="auto"/>
          <w:sz w:val="28"/>
          <w:szCs w:val="28"/>
          <w:highlight w:val="none"/>
          <w:lang w:eastAsia="zh-CN"/>
        </w:rPr>
        <w:t xml:space="preserve">JSZC-320600-ZRJS-G2026-0024</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)进行公开招标采购，欢迎符合条件的供应商投标。</w:t>
      </w:r>
      <w:r/>
    </w:p>
    <w:p>
      <w:pPr>
        <w:keepLines w:val="0"/>
        <w:keepNext w:val="0"/>
        <w:pageBreakBefore w:val="0"/>
        <w:spacing w:line="500" w:lineRule="exact"/>
        <w:widowControl w:val="off"/>
        <w:rPr>
          <w:rFonts w:hint="eastAsia" w:ascii="宋体" w:hAnsi="宋体" w:eastAsia="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8"/>
          <w:szCs w:val="28"/>
          <w:highlight w:val="none"/>
        </w:rPr>
        <w:t xml:space="preserve">项目概况</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8"/>
          <w:szCs w:val="28"/>
          <w:highlight w:val="none"/>
        </w:rPr>
        <w:t xml:space="preserve"> (南通市市属国有企业202</w:t>
      </w:r>
      <w:r>
        <w:rPr>
          <w:rFonts w:hint="eastAsia" w:ascii="宋体" w:hAnsi="宋体" w:cs="宋体"/>
          <w:color w:val="auto"/>
          <w:sz w:val="28"/>
          <w:szCs w:val="28"/>
          <w:highlight w:val="none"/>
          <w:lang w:val="en-US" w:eastAsia="zh-CN"/>
        </w:rPr>
        <w:t xml:space="preserve">6-2028</w:t>
      </w:r>
      <w:r>
        <w:rPr>
          <w:rFonts w:hint="eastAsia" w:ascii="宋体" w:hAnsi="宋体" w:eastAsia="宋体" w:cs="宋体"/>
          <w:color w:val="auto"/>
          <w:sz w:val="28"/>
          <w:szCs w:val="28"/>
          <w:highlight w:val="none"/>
        </w:rPr>
        <w:t xml:space="preserve">年度财务报表审计）招标项目的潜在投标人应在（苏采云系统内免费）获取招标文件，并于202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日</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点</w:t>
      </w:r>
      <w:r>
        <w:rPr>
          <w:rFonts w:hint="eastAsia" w:ascii="宋体" w:hAnsi="宋体" w:eastAsia="宋体" w:cs="宋体"/>
          <w:color w:val="auto"/>
          <w:sz w:val="28"/>
          <w:szCs w:val="28"/>
          <w:highlight w:val="none"/>
          <w:lang w:val="en-US" w:eastAsia="zh-CN"/>
        </w:rPr>
        <w:t xml:space="preserve">00</w:t>
      </w:r>
      <w:r>
        <w:rPr>
          <w:rFonts w:hint="eastAsia" w:ascii="宋体" w:hAnsi="宋体" w:eastAsia="宋体" w:cs="宋体"/>
          <w:color w:val="auto"/>
          <w:sz w:val="28"/>
          <w:szCs w:val="28"/>
          <w:highlight w:val="none"/>
        </w:rPr>
        <w:t xml:space="preserve">分（北京时间）前递交投标文件。</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一、项目基本情况</w:t>
      </w:r>
      <w:r/>
    </w:p>
    <w:p>
      <w:pPr>
        <w:ind w:firstLine="560"/>
        <w:keepLines w:val="0"/>
        <w:keepNext w:val="0"/>
        <w:pageBreakBefore w:val="0"/>
        <w:spacing w:line="500" w:lineRule="exact"/>
        <w:widowControl w:val="off"/>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1.项目编号：</w:t>
      </w:r>
      <w:r>
        <w:rPr>
          <w:rFonts w:hint="eastAsia" w:ascii="宋体" w:hAnsi="宋体" w:cs="宋体"/>
          <w:color w:val="auto"/>
          <w:sz w:val="28"/>
          <w:szCs w:val="28"/>
          <w:highlight w:val="none"/>
          <w:lang w:eastAsia="zh-CN"/>
        </w:rPr>
        <w:t xml:space="preserve">JSZC-320600-ZRJS-G2026-0024</w:t>
      </w:r>
      <w:r>
        <w:rPr>
          <w:rFonts w:hint="eastAsia" w:ascii="宋体" w:hAnsi="宋体" w:cs="宋体"/>
          <w:color w:val="auto"/>
          <w:sz w:val="28"/>
          <w:szCs w:val="28"/>
          <w:highlight w:val="none"/>
          <w:lang w:val="en-US" w:eastAsia="zh-CN"/>
        </w:rPr>
        <w:t xml:space="preserve"> </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2.项目名称：</w:t>
      </w:r>
      <w:r>
        <w:rPr>
          <w:rFonts w:hint="eastAsia" w:ascii="宋体" w:hAnsi="宋体" w:eastAsia="宋体" w:cs="宋体"/>
          <w:color w:val="auto"/>
          <w:sz w:val="28"/>
          <w:szCs w:val="28"/>
          <w:highlight w:val="none"/>
          <w:lang w:eastAsia="zh-CN"/>
        </w:rPr>
        <w:t xml:space="preserve">南通市市属国有企业202</w:t>
      </w:r>
      <w:r>
        <w:rPr>
          <w:rFonts w:hint="eastAsia" w:ascii="宋体" w:hAnsi="宋体" w:cs="宋体"/>
          <w:color w:val="auto"/>
          <w:sz w:val="28"/>
          <w:szCs w:val="28"/>
          <w:highlight w:val="none"/>
          <w:lang w:val="en-US" w:eastAsia="zh-CN"/>
        </w:rPr>
        <w:t xml:space="preserve">6-2028</w:t>
      </w:r>
      <w:r>
        <w:rPr>
          <w:rFonts w:hint="eastAsia" w:ascii="宋体" w:hAnsi="宋体" w:eastAsia="宋体" w:cs="宋体"/>
          <w:color w:val="auto"/>
          <w:sz w:val="28"/>
          <w:szCs w:val="28"/>
          <w:highlight w:val="none"/>
          <w:lang w:eastAsia="zh-CN"/>
        </w:rPr>
        <w:t xml:space="preserve">年度财务报表审计项目</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3.项目类型：服务</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4.所属行业：租赁和商务服务业</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5.预算金额：</w:t>
      </w:r>
      <w:r>
        <w:rPr>
          <w:rFonts w:hint="eastAsia" w:ascii="宋体" w:hAnsi="宋体" w:cs="宋体"/>
          <w:color w:val="auto"/>
          <w:sz w:val="28"/>
          <w:szCs w:val="28"/>
          <w:highlight w:val="none"/>
          <w:lang w:val="en-US" w:eastAsia="zh-CN"/>
        </w:rPr>
        <w:t xml:space="preserve">818.32</w:t>
      </w:r>
      <w:r>
        <w:rPr>
          <w:rFonts w:hint="eastAsia" w:ascii="宋体" w:hAnsi="宋体" w:eastAsia="宋体" w:cs="宋体"/>
          <w:color w:val="auto"/>
          <w:sz w:val="28"/>
          <w:szCs w:val="28"/>
          <w:highlight w:val="none"/>
          <w:lang w:val="en-US" w:eastAsia="zh-CN"/>
        </w:rPr>
        <w:t xml:space="preserve">万元</w:t>
      </w:r>
      <w:r>
        <w:rPr>
          <w:rFonts w:hint="eastAsia" w:ascii="宋体" w:hAnsi="宋体" w:cs="宋体"/>
          <w:color w:val="auto"/>
          <w:sz w:val="28"/>
          <w:szCs w:val="28"/>
          <w:highlight w:val="none"/>
          <w:lang w:val="en-US" w:eastAsia="zh-CN"/>
        </w:rPr>
        <w:t xml:space="preserve">/年</w:t>
      </w:r>
      <w:r>
        <w:rPr>
          <w:rFonts w:hint="eastAsia" w:ascii="宋体" w:hAnsi="宋体" w:eastAsia="宋体" w:cs="宋体"/>
          <w:color w:val="auto"/>
          <w:sz w:val="28"/>
          <w:szCs w:val="28"/>
          <w:highlight w:val="none"/>
          <w:lang w:val="en-US" w:eastAsia="zh-CN"/>
        </w:rPr>
        <w:t xml:space="preserve">，共分</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个包。详见《各标包招标预算及最高限价明细表》；</w:t>
      </w:r>
      <w:r/>
    </w:p>
    <w:p>
      <w:pPr>
        <w:ind w:firstLine="560"/>
        <w:keepLines w:val="0"/>
        <w:keepNext w:val="0"/>
        <w:pageBreakBefore w:val="0"/>
        <w:spacing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8"/>
          <w:szCs w:val="28"/>
          <w:highlight w:val="none"/>
          <w:lang w:val="en-US" w:eastAsia="zh-CN"/>
        </w:rPr>
        <w:t xml:space="preserve">6.最高限价：</w:t>
      </w:r>
      <w:r>
        <w:rPr>
          <w:rFonts w:hint="eastAsia" w:ascii="宋体" w:hAnsi="宋体" w:cs="宋体"/>
          <w:color w:val="auto"/>
          <w:sz w:val="28"/>
          <w:szCs w:val="28"/>
          <w:highlight w:val="none"/>
          <w:lang w:val="en-US" w:eastAsia="zh-CN"/>
        </w:rPr>
        <w:t xml:space="preserve">818.32</w:t>
      </w:r>
      <w:r>
        <w:rPr>
          <w:rFonts w:hint="eastAsia" w:ascii="宋体" w:hAnsi="宋体" w:eastAsia="宋体" w:cs="宋体"/>
          <w:color w:val="auto"/>
          <w:sz w:val="28"/>
          <w:szCs w:val="28"/>
          <w:highlight w:val="none"/>
          <w:lang w:val="en-US" w:eastAsia="zh-CN"/>
        </w:rPr>
        <w:t xml:space="preserve">万元</w:t>
      </w:r>
      <w:r>
        <w:rPr>
          <w:rFonts w:hint="eastAsia" w:ascii="宋体" w:hAnsi="宋体" w:cs="宋体"/>
          <w:color w:val="auto"/>
          <w:sz w:val="28"/>
          <w:szCs w:val="28"/>
          <w:highlight w:val="none"/>
          <w:lang w:val="en-US" w:eastAsia="zh-CN"/>
        </w:rPr>
        <w:t xml:space="preserve">/年</w:t>
      </w:r>
      <w:r>
        <w:rPr>
          <w:rFonts w:hint="eastAsia" w:ascii="宋体" w:hAnsi="宋体" w:eastAsia="宋体" w:cs="宋体"/>
          <w:color w:val="auto"/>
          <w:sz w:val="28"/>
          <w:szCs w:val="28"/>
          <w:highlight w:val="none"/>
          <w:lang w:val="en-US" w:eastAsia="zh-CN"/>
        </w:rPr>
        <w:t xml:space="preserve">，共分</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个包。详见《各标包招标预算及最高限价明细表》；各个标包投标报价超过该标包最高限价的，按无效标处理。</w:t>
      </w:r>
      <w:r>
        <w:rPr>
          <w:rFonts w:hint="eastAsia" w:ascii="宋体" w:hAnsi="宋体" w:eastAsia="宋体" w:cs="宋体"/>
          <w:color w:val="auto"/>
          <w:highlight w:val="none"/>
          <w:lang w:val="en-US" w:eastAsia="zh-CN"/>
        </w:rPr>
        <w:t xml:space="preserve">   </w:t>
      </w:r>
      <w:r/>
    </w:p>
    <w:p>
      <w:pPr>
        <w:ind w:firstLine="560"/>
        <w:keepLines w:val="0"/>
        <w:keepNext w:val="0"/>
        <w:pageBreakBefore w:val="0"/>
        <w:spacing w:line="50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color w:val="auto"/>
          <w:highlight w:val="none"/>
          <w:lang w:val="en-US" w:eastAsia="zh-CN"/>
        </w:rPr>
        <w:t xml:space="preserve">       </w:t>
      </w:r>
      <w:r/>
    </w:p>
    <w:p>
      <w:pPr>
        <w:pStyle w:val="932"/>
        <w:jc w:val="center"/>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 xml:space="preserve">各标包招标预算及最高限价明细表</w:t>
      </w:r>
      <w:r/>
    </w:p>
    <w:p>
      <w:pPr>
        <w:pStyle w:val="932"/>
        <w:jc w:val="righ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单位：万元</w:t>
      </w:r>
      <w:r/>
    </w:p>
    <w:tbl>
      <w:tblPr>
        <w:tblStyle w:val="926"/>
        <w:tblW w:w="8636" w:type="dxa"/>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3928"/>
        <w:gridCol w:w="1144"/>
        <w:gridCol w:w="1387"/>
        <w:gridCol w:w="1409"/>
      </w:tblGrid>
      <w:tr>
        <w:trPr/>
        <w:tc>
          <w:tcPr>
            <w:tcW w:w="768" w:type="dxa"/>
            <w:vAlign w:val="center"/>
            <w:textDirection w:val="lrTb"/>
            <w:noWrap w:val="false"/>
          </w:tcPr>
          <w:p>
            <w:pPr>
              <w:jc w:val="center"/>
              <w:keepLines w:val="0"/>
              <w:keepNext w:val="0"/>
              <w:pageBreakBefore w:val="0"/>
              <w:spacing w:line="440" w:lineRule="atLeast"/>
              <w:widowControl w:val="off"/>
              <w:rPr>
                <w:rFonts w:hint="eastAsia" w:ascii="宋体" w:hAnsi="宋体" w:eastAsia="宋体" w:cs="宋体"/>
                <w:b/>
                <w:bCs/>
                <w:color w:val="auto"/>
                <w:sz w:val="22"/>
                <w:szCs w:val="22"/>
                <w:highlight w:val="none"/>
                <w:vertAlign w:val="baseline"/>
                <w:lang w:val="en-US" w:eastAsia="zh-CN"/>
              </w:rPr>
            </w:pPr>
            <w:r>
              <w:rPr>
                <w:rFonts w:hint="eastAsia" w:ascii="宋体" w:hAnsi="宋体" w:eastAsia="宋体" w:cs="宋体"/>
                <w:b/>
                <w:bCs/>
                <w:color w:val="auto"/>
                <w:sz w:val="22"/>
                <w:szCs w:val="22"/>
                <w:highlight w:val="none"/>
                <w:vertAlign w:val="baseline"/>
                <w:lang w:val="en-US" w:eastAsia="zh-CN"/>
              </w:rPr>
              <w:t xml:space="preserve">包号</w:t>
            </w:r>
            <w:r/>
          </w:p>
        </w:tc>
        <w:tc>
          <w:tcPr>
            <w:tcW w:w="3928" w:type="dxa"/>
            <w:vAlign w:val="center"/>
            <w:textDirection w:val="lrTb"/>
            <w:noWrap w:val="false"/>
          </w:tcPr>
          <w:p>
            <w:pPr>
              <w:jc w:val="center"/>
              <w:keepLines w:val="0"/>
              <w:keepNext w:val="0"/>
              <w:pageBreakBefore w:val="0"/>
              <w:spacing w:line="440" w:lineRule="atLeast"/>
              <w:widowControl w:val="off"/>
              <w:rPr>
                <w:rFonts w:hint="eastAsia" w:ascii="宋体" w:hAnsi="宋体" w:eastAsia="宋体" w:cs="宋体"/>
                <w:b/>
                <w:bCs/>
                <w:color w:val="auto"/>
                <w:sz w:val="22"/>
                <w:szCs w:val="22"/>
                <w:highlight w:val="none"/>
                <w:vertAlign w:val="baseline"/>
                <w:lang w:val="en-US" w:eastAsia="zh-CN"/>
              </w:rPr>
            </w:pPr>
            <w:r>
              <w:rPr>
                <w:rFonts w:hint="eastAsia" w:ascii="宋体" w:hAnsi="宋体" w:eastAsia="宋体" w:cs="宋体"/>
                <w:b/>
                <w:bCs/>
                <w:color w:val="auto"/>
                <w:sz w:val="22"/>
                <w:szCs w:val="22"/>
                <w:highlight w:val="none"/>
                <w:vertAlign w:val="baseline"/>
                <w:lang w:val="en-US" w:eastAsia="zh-CN"/>
              </w:rPr>
              <w:t xml:space="preserve">被审计对象</w:t>
            </w:r>
            <w:r/>
          </w:p>
        </w:tc>
        <w:tc>
          <w:tcPr>
            <w:tcW w:w="1144" w:type="dxa"/>
            <w:vAlign w:val="center"/>
            <w:textDirection w:val="lrTb"/>
            <w:noWrap w:val="false"/>
          </w:tcPr>
          <w:p>
            <w:pPr>
              <w:jc w:val="center"/>
              <w:keepLines w:val="0"/>
              <w:keepNext w:val="0"/>
              <w:pageBreakBefore w:val="0"/>
              <w:spacing w:line="440" w:lineRule="atLeast"/>
              <w:widowControl w:val="off"/>
              <w:rPr>
                <w:rFonts w:hint="eastAsia" w:ascii="宋体" w:hAnsi="宋体" w:eastAsia="宋体" w:cs="宋体"/>
                <w:b/>
                <w:bCs/>
                <w:color w:val="auto"/>
                <w:sz w:val="22"/>
                <w:szCs w:val="22"/>
                <w:highlight w:val="none"/>
                <w:vertAlign w:val="baseline"/>
                <w:lang w:val="en-US" w:eastAsia="zh-CN"/>
              </w:rPr>
            </w:pPr>
            <w:r>
              <w:rPr>
                <w:rFonts w:hint="eastAsia" w:ascii="宋体" w:hAnsi="宋体" w:eastAsia="宋体" w:cs="宋体"/>
                <w:b/>
                <w:bCs/>
                <w:color w:val="auto"/>
                <w:sz w:val="22"/>
                <w:szCs w:val="22"/>
                <w:highlight w:val="none"/>
                <w:vertAlign w:val="baseline"/>
                <w:lang w:val="en-US" w:eastAsia="zh-CN"/>
              </w:rPr>
              <w:t xml:space="preserve">采购预算</w:t>
            </w:r>
            <w:r/>
          </w:p>
        </w:tc>
        <w:tc>
          <w:tcPr>
            <w:tcW w:w="1387" w:type="dxa"/>
            <w:vAlign w:val="center"/>
            <w:textDirection w:val="lrTb"/>
            <w:noWrap w:val="false"/>
          </w:tcPr>
          <w:p>
            <w:pPr>
              <w:jc w:val="center"/>
              <w:keepLines w:val="0"/>
              <w:keepNext w:val="0"/>
              <w:pageBreakBefore w:val="0"/>
              <w:spacing w:line="440" w:lineRule="atLeast"/>
              <w:widowControl w:val="off"/>
              <w:rPr>
                <w:rFonts w:hint="eastAsia" w:ascii="宋体" w:hAnsi="宋体" w:eastAsia="宋体" w:cs="宋体"/>
                <w:b/>
                <w:bCs/>
                <w:color w:val="auto"/>
                <w:sz w:val="22"/>
                <w:szCs w:val="22"/>
                <w:highlight w:val="none"/>
                <w:vertAlign w:val="baseline"/>
                <w:lang w:val="en-US" w:eastAsia="zh-CN"/>
              </w:rPr>
            </w:pPr>
            <w:r>
              <w:rPr>
                <w:rFonts w:hint="eastAsia" w:ascii="宋体" w:hAnsi="宋体" w:cs="宋体"/>
                <w:b/>
                <w:bCs/>
                <w:color w:val="auto"/>
                <w:sz w:val="22"/>
                <w:szCs w:val="22"/>
                <w:highlight w:val="none"/>
                <w:vertAlign w:val="baseline"/>
                <w:lang w:val="en-US" w:eastAsia="zh-CN"/>
              </w:rPr>
              <w:t xml:space="preserve">采购人</w:t>
            </w:r>
            <w:r>
              <w:rPr>
                <w:rFonts w:hint="eastAsia" w:ascii="宋体" w:hAnsi="宋体" w:eastAsia="宋体" w:cs="宋体"/>
                <w:b/>
                <w:bCs/>
                <w:color w:val="auto"/>
                <w:sz w:val="22"/>
                <w:szCs w:val="22"/>
                <w:highlight w:val="none"/>
                <w:vertAlign w:val="baseline"/>
                <w:lang w:val="en-US" w:eastAsia="zh-CN"/>
              </w:rPr>
              <w:t xml:space="preserve">承担费用限额</w:t>
            </w:r>
            <w:r/>
          </w:p>
        </w:tc>
        <w:tc>
          <w:tcPr>
            <w:tcW w:w="1409" w:type="dxa"/>
            <w:vAlign w:val="center"/>
            <w:textDirection w:val="lrTb"/>
            <w:noWrap w:val="false"/>
          </w:tcPr>
          <w:p>
            <w:pPr>
              <w:jc w:val="center"/>
              <w:keepLines w:val="0"/>
              <w:keepNext w:val="0"/>
              <w:pageBreakBefore w:val="0"/>
              <w:spacing w:line="440" w:lineRule="atLeast"/>
              <w:widowControl w:val="off"/>
              <w:rPr>
                <w:rFonts w:hint="eastAsia" w:ascii="宋体" w:hAnsi="宋体" w:eastAsia="宋体" w:cs="宋体"/>
                <w:b/>
                <w:bCs/>
                <w:color w:val="auto"/>
                <w:sz w:val="22"/>
                <w:szCs w:val="22"/>
                <w:highlight w:val="none"/>
                <w:vertAlign w:val="baseline"/>
                <w:lang w:val="en-US" w:eastAsia="zh-CN"/>
              </w:rPr>
            </w:pPr>
            <w:r>
              <w:rPr>
                <w:rFonts w:hint="eastAsia" w:ascii="宋体" w:hAnsi="宋体" w:eastAsia="宋体" w:cs="宋体"/>
                <w:b/>
                <w:bCs/>
                <w:color w:val="auto"/>
                <w:sz w:val="22"/>
                <w:szCs w:val="22"/>
                <w:highlight w:val="none"/>
                <w:vertAlign w:val="baseline"/>
                <w:lang w:val="en-US" w:eastAsia="zh-CN"/>
              </w:rPr>
              <w:t xml:space="preserve">投标限价</w:t>
            </w:r>
            <w:r/>
          </w:p>
        </w:tc>
      </w:tr>
      <w:tr>
        <w:trPr/>
        <w:tc>
          <w:tcPr>
            <w:tcW w:w="768" w:type="dxa"/>
            <w:vAlign w:val="center"/>
            <w:textDirection w:val="lrTb"/>
            <w:noWrap w:val="false"/>
          </w:tcPr>
          <w:p>
            <w:pPr>
              <w:jc w:val="center"/>
              <w:keepLines w:val="0"/>
              <w:keepNext w:val="0"/>
              <w:pageBreakBefore w:val="0"/>
              <w:spacing w:line="440" w:lineRule="atLeast"/>
              <w:widowControl w:val="off"/>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1</w:t>
            </w:r>
            <w:r/>
          </w:p>
        </w:tc>
        <w:tc>
          <w:tcPr>
            <w:tcW w:w="3928" w:type="dxa"/>
            <w:textDirection w:val="lrTb"/>
            <w:noWrap w:val="false"/>
          </w:tcPr>
          <w:p>
            <w:pPr>
              <w:jc w:val="left"/>
              <w:keepLines w:val="0"/>
              <w:keepNext w:val="0"/>
              <w:pageBreakBefore w:val="0"/>
              <w:spacing w:line="440" w:lineRule="atLeast"/>
              <w:widowControl w:val="off"/>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南通城市建设集团有限公司</w:t>
            </w:r>
            <w:r>
              <w:rPr>
                <w:rFonts w:hint="eastAsia" w:ascii="宋体" w:hAnsi="宋体" w:cs="宋体"/>
                <w:b w:val="0"/>
                <w:bCs w:val="0"/>
                <w:color w:val="auto"/>
                <w:sz w:val="22"/>
                <w:szCs w:val="22"/>
                <w:highlight w:val="none"/>
                <w:vertAlign w:val="baseline"/>
                <w:lang w:val="en-US" w:eastAsia="zh-CN"/>
              </w:rPr>
              <w:t xml:space="preserve">（</w:t>
            </w:r>
            <w:r>
              <w:rPr>
                <w:rFonts w:hint="eastAsia" w:ascii="宋体" w:hAnsi="宋体" w:eastAsia="宋体" w:cs="宋体"/>
                <w:b w:val="0"/>
                <w:bCs w:val="0"/>
                <w:color w:val="auto"/>
                <w:sz w:val="22"/>
                <w:szCs w:val="22"/>
                <w:highlight w:val="none"/>
                <w:vertAlign w:val="baseline"/>
                <w:lang w:val="en-US" w:eastAsia="zh-CN"/>
              </w:rPr>
              <w:t xml:space="preserve">南通市保障房建设投资集团有限公司</w:t>
            </w:r>
            <w:r>
              <w:rPr>
                <w:rFonts w:hint="eastAsia" w:ascii="宋体" w:hAnsi="宋体" w:cs="宋体"/>
                <w:b w:val="0"/>
                <w:bCs w:val="0"/>
                <w:color w:val="auto"/>
                <w:sz w:val="22"/>
                <w:szCs w:val="22"/>
                <w:highlight w:val="none"/>
                <w:vertAlign w:val="baseline"/>
                <w:lang w:val="en-US" w:eastAsia="zh-CN"/>
              </w:rPr>
              <w:t xml:space="preserve">）</w:t>
            </w:r>
            <w:r/>
          </w:p>
        </w:tc>
        <w:tc>
          <w:tcPr>
            <w:tcW w:w="1144"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213.00</w:t>
            </w:r>
            <w:r/>
          </w:p>
        </w:tc>
        <w:tc>
          <w:tcPr>
            <w:tcW w:w="1387"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115.50</w:t>
            </w:r>
            <w:r/>
          </w:p>
        </w:tc>
        <w:tc>
          <w:tcPr>
            <w:tcW w:w="1409"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213.00</w:t>
            </w:r>
            <w:r/>
          </w:p>
        </w:tc>
      </w:tr>
      <w:tr>
        <w:trPr/>
        <w:tc>
          <w:tcPr>
            <w:shd w:val="clear" w:color="auto" w:fill="auto"/>
            <w:tcW w:w="768" w:type="dxa"/>
            <w:vAlign w:val="center"/>
            <w:textDirection w:val="lrTb"/>
            <w:noWrap w:val="false"/>
          </w:tcPr>
          <w:p>
            <w:pPr>
              <w:jc w:val="center"/>
              <w:keepLines w:val="0"/>
              <w:keepNext w:val="0"/>
              <w:pageBreakBefore w:val="0"/>
              <w:spacing w:line="440" w:lineRule="atLeast"/>
              <w:widowControl w:val="off"/>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rPr>
              <w:t xml:space="preserve">2</w:t>
            </w:r>
            <w:r/>
          </w:p>
        </w:tc>
        <w:tc>
          <w:tcPr>
            <w:shd w:val="clear" w:color="auto" w:fill="auto"/>
            <w:tcW w:w="3928" w:type="dxa"/>
            <w:vAlign w:val="top"/>
            <w:textDirection w:val="lrTb"/>
            <w:noWrap w:val="false"/>
          </w:tcPr>
          <w:p>
            <w:pPr>
              <w:jc w:val="left"/>
              <w:keepLines w:val="0"/>
              <w:keepNext w:val="0"/>
              <w:pageBreakBefore w:val="0"/>
              <w:spacing w:line="440" w:lineRule="atLeast"/>
              <w:widowControl w:val="off"/>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rPr>
              <w:t xml:space="preserve">南通沿海开发集团有限公司、南通文化旅游产业发展集团有限公司、南通交通建设投资集团有限责任公司</w:t>
            </w:r>
            <w:r/>
          </w:p>
        </w:tc>
        <w:tc>
          <w:tcPr>
            <w:shd w:val="clear" w:color="auto" w:fill="auto"/>
            <w:tcW w:w="1144"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cs="宋体"/>
                <w:b w:val="0"/>
                <w:bCs w:val="0"/>
                <w:color w:val="auto"/>
                <w:sz w:val="22"/>
                <w:szCs w:val="22"/>
                <w:highlight w:val="none"/>
                <w:vertAlign w:val="baseline"/>
                <w:lang w:val="en-US" w:eastAsia="zh-CN" w:bidi="ar-SA"/>
              </w:rPr>
              <w:t xml:space="preserve">191.20</w:t>
            </w:r>
            <w:r/>
          </w:p>
        </w:tc>
        <w:tc>
          <w:tcPr>
            <w:shd w:val="clear" w:color="auto" w:fill="auto"/>
            <w:tcW w:w="1387"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cs="宋体"/>
                <w:b w:val="0"/>
                <w:bCs w:val="0"/>
                <w:color w:val="auto"/>
                <w:sz w:val="22"/>
                <w:szCs w:val="22"/>
                <w:highlight w:val="none"/>
                <w:vertAlign w:val="baseline"/>
                <w:lang w:val="en-US" w:eastAsia="zh-CN" w:bidi="ar-SA"/>
              </w:rPr>
              <w:t xml:space="preserve">116.20</w:t>
            </w:r>
            <w:r/>
          </w:p>
        </w:tc>
        <w:tc>
          <w:tcPr>
            <w:shd w:val="clear" w:color="auto" w:fill="auto"/>
            <w:tcW w:w="1409"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cs="宋体"/>
                <w:b w:val="0"/>
                <w:bCs w:val="0"/>
                <w:color w:val="auto"/>
                <w:sz w:val="22"/>
                <w:szCs w:val="22"/>
                <w:highlight w:val="none"/>
                <w:vertAlign w:val="baseline"/>
                <w:lang w:val="en-US" w:eastAsia="zh-CN" w:bidi="ar-SA"/>
              </w:rPr>
              <w:t xml:space="preserve">191.20</w:t>
            </w:r>
            <w:r/>
          </w:p>
        </w:tc>
      </w:tr>
      <w:tr>
        <w:trPr/>
        <w:tc>
          <w:tcPr>
            <w:tcW w:w="768" w:type="dxa"/>
            <w:vAlign w:val="center"/>
            <w:textDirection w:val="lrTb"/>
            <w:noWrap w:val="false"/>
          </w:tcPr>
          <w:p>
            <w:pPr>
              <w:jc w:val="center"/>
              <w:keepLines w:val="0"/>
              <w:keepNext w:val="0"/>
              <w:pageBreakBefore w:val="0"/>
              <w:spacing w:line="440" w:lineRule="atLeast"/>
              <w:widowControl w:val="off"/>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3</w:t>
            </w:r>
            <w:r/>
          </w:p>
        </w:tc>
        <w:tc>
          <w:tcPr>
            <w:tcW w:w="3928" w:type="dxa"/>
            <w:textDirection w:val="lrTb"/>
            <w:noWrap w:val="false"/>
          </w:tcPr>
          <w:p>
            <w:pPr>
              <w:jc w:val="left"/>
              <w:keepLines w:val="0"/>
              <w:keepNext w:val="0"/>
              <w:pageBreakBefore w:val="0"/>
              <w:spacing w:line="440" w:lineRule="atLeast"/>
              <w:widowControl w:val="off"/>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南通产业控股集团有限公司、南通对外贸易集团有限公司</w:t>
            </w:r>
            <w:r/>
          </w:p>
        </w:tc>
        <w:tc>
          <w:tcPr>
            <w:tcW w:w="1144"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167.88</w:t>
            </w:r>
            <w:r/>
          </w:p>
        </w:tc>
        <w:tc>
          <w:tcPr>
            <w:tcW w:w="1387"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85.38</w:t>
            </w:r>
            <w:r/>
          </w:p>
        </w:tc>
        <w:tc>
          <w:tcPr>
            <w:tcW w:w="1409"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167.88</w:t>
            </w:r>
            <w:r/>
          </w:p>
        </w:tc>
      </w:tr>
      <w:tr>
        <w:trPr/>
        <w:tc>
          <w:tcPr>
            <w:shd w:val="clear" w:color="auto" w:fill="auto"/>
            <w:tcW w:w="768" w:type="dxa"/>
            <w:vAlign w:val="center"/>
            <w:textDirection w:val="lrTb"/>
            <w:noWrap w:val="false"/>
          </w:tcPr>
          <w:p>
            <w:pPr>
              <w:jc w:val="center"/>
              <w:keepLines w:val="0"/>
              <w:keepNext w:val="0"/>
              <w:pageBreakBefore w:val="0"/>
              <w:spacing w:line="440" w:lineRule="atLeast"/>
              <w:widowControl w:val="off"/>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rPr>
              <w:t xml:space="preserve">4</w:t>
            </w:r>
            <w:r/>
          </w:p>
        </w:tc>
        <w:tc>
          <w:tcPr>
            <w:shd w:val="clear" w:color="auto" w:fill="auto"/>
            <w:tcW w:w="3928" w:type="dxa"/>
            <w:vAlign w:val="top"/>
            <w:textDirection w:val="lrTb"/>
            <w:noWrap w:val="false"/>
          </w:tcPr>
          <w:p>
            <w:pPr>
              <w:jc w:val="left"/>
              <w:keepLines w:val="0"/>
              <w:keepNext w:val="0"/>
              <w:pageBreakBefore w:val="0"/>
              <w:spacing w:line="440" w:lineRule="atLeast"/>
              <w:widowControl w:val="off"/>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rPr>
              <w:t xml:space="preserve">南通港口集团有限公司（南通港集团有限公司）</w:t>
            </w:r>
            <w:r/>
          </w:p>
        </w:tc>
        <w:tc>
          <w:tcPr>
            <w:shd w:val="clear" w:color="auto" w:fill="auto"/>
            <w:tcW w:w="1144"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cs="宋体"/>
                <w:b w:val="0"/>
                <w:bCs w:val="0"/>
                <w:color w:val="auto"/>
                <w:sz w:val="22"/>
                <w:szCs w:val="22"/>
                <w:highlight w:val="none"/>
                <w:vertAlign w:val="baseline"/>
                <w:lang w:val="en-US" w:eastAsia="zh-CN" w:bidi="ar-SA"/>
              </w:rPr>
              <w:t xml:space="preserve">64.35</w:t>
            </w:r>
            <w:r/>
          </w:p>
        </w:tc>
        <w:tc>
          <w:tcPr>
            <w:shd w:val="clear" w:color="auto" w:fill="auto"/>
            <w:tcW w:w="1387"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cs="宋体"/>
                <w:b w:val="0"/>
                <w:bCs w:val="0"/>
                <w:color w:val="auto"/>
                <w:sz w:val="22"/>
                <w:szCs w:val="22"/>
                <w:highlight w:val="none"/>
                <w:vertAlign w:val="baseline"/>
                <w:lang w:val="en-US" w:eastAsia="zh-CN" w:bidi="ar-SA"/>
              </w:rPr>
              <w:t xml:space="preserve">39.35</w:t>
            </w:r>
            <w:r/>
          </w:p>
        </w:tc>
        <w:tc>
          <w:tcPr>
            <w:shd w:val="clear" w:color="auto" w:fill="auto"/>
            <w:tcW w:w="1409"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cs="宋体"/>
                <w:b w:val="0"/>
                <w:bCs w:val="0"/>
                <w:color w:val="auto"/>
                <w:sz w:val="22"/>
                <w:szCs w:val="22"/>
                <w:highlight w:val="none"/>
                <w:vertAlign w:val="baseline"/>
                <w:lang w:val="en-US" w:eastAsia="zh-CN" w:bidi="ar-SA"/>
              </w:rPr>
              <w:t xml:space="preserve">64.35</w:t>
            </w:r>
            <w:r/>
          </w:p>
        </w:tc>
      </w:tr>
      <w:tr>
        <w:trPr/>
        <w:tc>
          <w:tcPr>
            <w:shd w:val="clear" w:color="auto" w:fill="auto"/>
            <w:tcW w:w="768" w:type="dxa"/>
            <w:vAlign w:val="center"/>
            <w:textDirection w:val="lrTb"/>
            <w:noWrap w:val="false"/>
          </w:tcPr>
          <w:p>
            <w:pPr>
              <w:jc w:val="center"/>
              <w:keepLines w:val="0"/>
              <w:keepNext w:val="0"/>
              <w:pageBreakBefore w:val="0"/>
              <w:spacing w:line="440" w:lineRule="atLeast"/>
              <w:widowControl w:val="off"/>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rPr>
              <w:t xml:space="preserve">5</w:t>
            </w:r>
            <w:r/>
          </w:p>
        </w:tc>
        <w:tc>
          <w:tcPr>
            <w:shd w:val="clear" w:color="auto" w:fill="auto"/>
            <w:tcW w:w="3928" w:type="dxa"/>
            <w:vAlign w:val="top"/>
            <w:textDirection w:val="lrTb"/>
            <w:noWrap w:val="false"/>
          </w:tcPr>
          <w:p>
            <w:pPr>
              <w:jc w:val="left"/>
              <w:keepLines w:val="0"/>
              <w:keepNext w:val="0"/>
              <w:pageBreakBefore w:val="0"/>
              <w:spacing w:line="440" w:lineRule="atLeast"/>
              <w:widowControl w:val="off"/>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rPr>
              <w:t xml:space="preserve">南通水务集团有限公司</w:t>
            </w:r>
            <w:r/>
          </w:p>
        </w:tc>
        <w:tc>
          <w:tcPr>
            <w:shd w:val="clear" w:color="auto" w:fill="auto"/>
            <w:tcW w:w="1144"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cs="宋体"/>
                <w:b w:val="0"/>
                <w:bCs w:val="0"/>
                <w:color w:val="auto"/>
                <w:sz w:val="22"/>
                <w:szCs w:val="22"/>
                <w:highlight w:val="none"/>
                <w:vertAlign w:val="baseline"/>
                <w:lang w:val="en-US" w:eastAsia="zh-CN" w:bidi="ar-SA"/>
              </w:rPr>
              <w:t xml:space="preserve">51.85</w:t>
            </w:r>
            <w:r/>
          </w:p>
        </w:tc>
        <w:tc>
          <w:tcPr>
            <w:shd w:val="clear" w:color="auto" w:fill="auto"/>
            <w:tcW w:w="1387"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cs="宋体"/>
                <w:b w:val="0"/>
                <w:bCs w:val="0"/>
                <w:color w:val="auto"/>
                <w:sz w:val="22"/>
                <w:szCs w:val="22"/>
                <w:highlight w:val="none"/>
                <w:vertAlign w:val="baseline"/>
                <w:lang w:val="en-US" w:eastAsia="zh-CN" w:bidi="ar-SA"/>
              </w:rPr>
              <w:t xml:space="preserve">31.85</w:t>
            </w:r>
            <w:r/>
          </w:p>
        </w:tc>
        <w:tc>
          <w:tcPr>
            <w:shd w:val="clear" w:color="auto" w:fill="auto"/>
            <w:tcW w:w="1409"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cs="宋体"/>
                <w:b w:val="0"/>
                <w:bCs w:val="0"/>
                <w:color w:val="auto"/>
                <w:sz w:val="22"/>
                <w:szCs w:val="22"/>
                <w:highlight w:val="none"/>
                <w:vertAlign w:val="baseline"/>
                <w:lang w:val="en-US" w:eastAsia="zh-CN" w:bidi="ar-SA"/>
              </w:rPr>
              <w:t xml:space="preserve">51.85</w:t>
            </w:r>
            <w:r/>
          </w:p>
        </w:tc>
      </w:tr>
      <w:tr>
        <w:trPr/>
        <w:tc>
          <w:tcPr>
            <w:shd w:val="clear" w:color="auto" w:fill="auto"/>
            <w:tcW w:w="768" w:type="dxa"/>
            <w:vAlign w:val="center"/>
            <w:textDirection w:val="lrTb"/>
            <w:noWrap w:val="false"/>
          </w:tcPr>
          <w:p>
            <w:pPr>
              <w:jc w:val="center"/>
              <w:keepLines w:val="0"/>
              <w:keepNext w:val="0"/>
              <w:pageBreakBefore w:val="0"/>
              <w:spacing w:line="440" w:lineRule="atLeast"/>
              <w:widowControl w:val="off"/>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rPr>
              <w:t xml:space="preserve">6</w:t>
            </w:r>
            <w:r/>
          </w:p>
        </w:tc>
        <w:tc>
          <w:tcPr>
            <w:shd w:val="clear" w:color="auto" w:fill="auto"/>
            <w:tcW w:w="3928" w:type="dxa"/>
            <w:vAlign w:val="top"/>
            <w:textDirection w:val="lrTb"/>
            <w:noWrap w:val="false"/>
          </w:tcPr>
          <w:p>
            <w:pPr>
              <w:jc w:val="left"/>
              <w:keepLines w:val="0"/>
              <w:keepNext w:val="0"/>
              <w:pageBreakBefore w:val="0"/>
              <w:spacing w:line="440" w:lineRule="atLeast"/>
              <w:widowControl w:val="off"/>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rPr>
              <w:t xml:space="preserve">南通轨道交通集团有限公司</w:t>
            </w:r>
            <w:r/>
          </w:p>
        </w:tc>
        <w:tc>
          <w:tcPr>
            <w:shd w:val="clear" w:color="auto" w:fill="auto"/>
            <w:tcW w:w="1144"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cs="宋体"/>
                <w:b w:val="0"/>
                <w:bCs w:val="0"/>
                <w:color w:val="auto"/>
                <w:sz w:val="22"/>
                <w:szCs w:val="22"/>
                <w:highlight w:val="none"/>
                <w:vertAlign w:val="baseline"/>
                <w:lang w:val="en-US" w:eastAsia="zh-CN" w:bidi="ar-SA"/>
              </w:rPr>
              <w:t xml:space="preserve">45.13</w:t>
            </w:r>
            <w:r/>
          </w:p>
        </w:tc>
        <w:tc>
          <w:tcPr>
            <w:shd w:val="clear" w:color="auto" w:fill="auto"/>
            <w:tcW w:w="1387"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cs="宋体"/>
                <w:b w:val="0"/>
                <w:bCs w:val="0"/>
                <w:color w:val="auto"/>
                <w:sz w:val="22"/>
                <w:szCs w:val="22"/>
                <w:highlight w:val="none"/>
                <w:vertAlign w:val="baseline"/>
                <w:lang w:val="en-US" w:eastAsia="zh-CN" w:bidi="ar-SA"/>
              </w:rPr>
              <w:t xml:space="preserve">22.63</w:t>
            </w:r>
            <w:r/>
          </w:p>
        </w:tc>
        <w:tc>
          <w:tcPr>
            <w:shd w:val="clear" w:color="auto" w:fill="auto"/>
            <w:tcW w:w="1409"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cs="宋体"/>
                <w:b w:val="0"/>
                <w:bCs w:val="0"/>
                <w:color w:val="auto"/>
                <w:sz w:val="22"/>
                <w:szCs w:val="22"/>
                <w:highlight w:val="none"/>
                <w:vertAlign w:val="baseline"/>
                <w:lang w:val="en-US" w:eastAsia="zh-CN" w:bidi="ar-SA"/>
              </w:rPr>
              <w:t xml:space="preserve">45.13</w:t>
            </w:r>
            <w:r/>
          </w:p>
        </w:tc>
      </w:tr>
      <w:tr>
        <w:trPr/>
        <w:tc>
          <w:tcPr>
            <w:shd w:val="clear" w:color="auto" w:fill="auto"/>
            <w:tcW w:w="768" w:type="dxa"/>
            <w:vAlign w:val="center"/>
            <w:textDirection w:val="lrTb"/>
            <w:noWrap w:val="false"/>
          </w:tcPr>
          <w:p>
            <w:pPr>
              <w:jc w:val="center"/>
              <w:keepLines w:val="0"/>
              <w:keepNext w:val="0"/>
              <w:pageBreakBefore w:val="0"/>
              <w:spacing w:line="440" w:lineRule="atLeast"/>
              <w:widowControl w:val="off"/>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7</w:t>
            </w:r>
            <w:r/>
          </w:p>
        </w:tc>
        <w:tc>
          <w:tcPr>
            <w:shd w:val="clear" w:color="auto" w:fill="auto"/>
            <w:tcW w:w="3928" w:type="dxa"/>
            <w:vAlign w:val="top"/>
            <w:textDirection w:val="lrTb"/>
            <w:noWrap w:val="false"/>
          </w:tcPr>
          <w:p>
            <w:pPr>
              <w:jc w:val="left"/>
              <w:keepLines w:val="0"/>
              <w:keepNext w:val="0"/>
              <w:pageBreakBefore w:val="0"/>
              <w:spacing w:line="440" w:lineRule="atLeast"/>
              <w:widowControl w:val="off"/>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val="en-US" w:eastAsia="zh-CN"/>
              </w:rPr>
              <w:t xml:space="preserve">南通科创投资集团有限公司</w:t>
            </w:r>
            <w:r/>
          </w:p>
        </w:tc>
        <w:tc>
          <w:tcPr>
            <w:shd w:val="clear" w:color="auto" w:fill="auto"/>
            <w:tcW w:w="1144"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23.70</w:t>
            </w:r>
            <w:r/>
          </w:p>
        </w:tc>
        <w:tc>
          <w:tcPr>
            <w:shd w:val="clear" w:color="auto" w:fill="auto"/>
            <w:tcW w:w="1387"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15.70</w:t>
            </w:r>
            <w:r/>
          </w:p>
        </w:tc>
        <w:tc>
          <w:tcPr>
            <w:shd w:val="clear" w:color="auto" w:fill="auto"/>
            <w:tcW w:w="1409"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rPr>
            </w:pPr>
            <w:r>
              <w:rPr>
                <w:rFonts w:hint="eastAsia" w:ascii="宋体" w:hAnsi="宋体" w:cs="宋体"/>
                <w:b w:val="0"/>
                <w:bCs w:val="0"/>
                <w:color w:val="auto"/>
                <w:sz w:val="22"/>
                <w:szCs w:val="22"/>
                <w:highlight w:val="none"/>
                <w:vertAlign w:val="baseline"/>
                <w:lang w:val="en-US" w:eastAsia="zh-CN"/>
              </w:rPr>
              <w:t xml:space="preserve">23.70</w:t>
            </w:r>
            <w:r/>
          </w:p>
        </w:tc>
      </w:tr>
      <w:tr>
        <w:trPr/>
        <w:tc>
          <w:tcPr>
            <w:shd w:val="clear" w:color="auto" w:fill="auto"/>
            <w:tcW w:w="768" w:type="dxa"/>
            <w:vAlign w:val="center"/>
            <w:textDirection w:val="lrTb"/>
            <w:noWrap w:val="false"/>
          </w:tcPr>
          <w:p>
            <w:pPr>
              <w:jc w:val="center"/>
              <w:keepLines w:val="0"/>
              <w:keepNext w:val="0"/>
              <w:pageBreakBefore w:val="0"/>
              <w:spacing w:line="440" w:lineRule="atLeast"/>
              <w:widowControl w:val="off"/>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rPr>
              <w:t xml:space="preserve">8</w:t>
            </w:r>
            <w:r/>
          </w:p>
        </w:tc>
        <w:tc>
          <w:tcPr>
            <w:shd w:val="clear" w:color="auto" w:fill="auto"/>
            <w:tcW w:w="3928" w:type="dxa"/>
            <w:vAlign w:val="top"/>
            <w:textDirection w:val="lrTb"/>
            <w:noWrap w:val="false"/>
          </w:tcPr>
          <w:p>
            <w:pPr>
              <w:jc w:val="left"/>
              <w:keepLines w:val="0"/>
              <w:keepNext w:val="0"/>
              <w:pageBreakBefore w:val="0"/>
              <w:spacing w:line="440" w:lineRule="atLeast"/>
              <w:widowControl w:val="off"/>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rPr>
              <w:t xml:space="preserve">江苏大生集团有限公司</w:t>
            </w:r>
            <w:r/>
          </w:p>
        </w:tc>
        <w:tc>
          <w:tcPr>
            <w:shd w:val="clear" w:color="auto" w:fill="auto"/>
            <w:tcW w:w="1144"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cs="宋体"/>
                <w:b w:val="0"/>
                <w:bCs w:val="0"/>
                <w:color w:val="auto"/>
                <w:sz w:val="22"/>
                <w:szCs w:val="22"/>
                <w:highlight w:val="none"/>
                <w:vertAlign w:val="baseline"/>
                <w:lang w:val="en-US" w:eastAsia="zh-CN" w:bidi="ar-SA"/>
              </w:rPr>
              <w:t xml:space="preserve">31.38</w:t>
            </w:r>
            <w:r/>
          </w:p>
        </w:tc>
        <w:tc>
          <w:tcPr>
            <w:shd w:val="clear" w:color="auto" w:fill="auto"/>
            <w:tcW w:w="1387"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cs="宋体"/>
                <w:b w:val="0"/>
                <w:bCs w:val="0"/>
                <w:color w:val="auto"/>
                <w:sz w:val="22"/>
                <w:szCs w:val="22"/>
                <w:highlight w:val="none"/>
                <w:vertAlign w:val="baseline"/>
                <w:lang w:val="en-US" w:eastAsia="zh-CN" w:bidi="ar-SA"/>
              </w:rPr>
              <w:t xml:space="preserve">31.38</w:t>
            </w:r>
            <w:r/>
          </w:p>
        </w:tc>
        <w:tc>
          <w:tcPr>
            <w:shd w:val="clear" w:color="auto" w:fill="auto"/>
            <w:tcW w:w="1409"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cs="宋体"/>
                <w:b w:val="0"/>
                <w:bCs w:val="0"/>
                <w:color w:val="auto"/>
                <w:sz w:val="22"/>
                <w:szCs w:val="22"/>
                <w:highlight w:val="none"/>
                <w:vertAlign w:val="baseline"/>
                <w:lang w:val="en-US" w:eastAsia="zh-CN" w:bidi="ar-SA"/>
              </w:rPr>
              <w:t xml:space="preserve">31.38</w:t>
            </w:r>
            <w:r/>
          </w:p>
        </w:tc>
      </w:tr>
      <w:tr>
        <w:trPr/>
        <w:tc>
          <w:tcPr>
            <w:shd w:val="clear" w:color="auto" w:fill="auto"/>
            <w:tcW w:w="768" w:type="dxa"/>
            <w:vAlign w:val="center"/>
            <w:textDirection w:val="lrTb"/>
            <w:noWrap w:val="false"/>
          </w:tcPr>
          <w:p>
            <w:pPr>
              <w:jc w:val="center"/>
              <w:keepLines w:val="0"/>
              <w:keepNext w:val="0"/>
              <w:pageBreakBefore w:val="0"/>
              <w:spacing w:line="440" w:lineRule="atLeast"/>
              <w:widowControl w:val="off"/>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rPr>
              <w:t xml:space="preserve">9</w:t>
            </w:r>
            <w:r/>
          </w:p>
        </w:tc>
        <w:tc>
          <w:tcPr>
            <w:shd w:val="clear" w:color="auto" w:fill="auto"/>
            <w:tcW w:w="3928" w:type="dxa"/>
            <w:vAlign w:val="top"/>
            <w:textDirection w:val="lrTb"/>
            <w:noWrap w:val="false"/>
          </w:tcPr>
          <w:p>
            <w:pPr>
              <w:jc w:val="left"/>
              <w:keepLines w:val="0"/>
              <w:keepNext w:val="0"/>
              <w:pageBreakBefore w:val="0"/>
              <w:spacing w:line="440" w:lineRule="atLeast"/>
              <w:widowControl w:val="off"/>
              <w:rPr>
                <w:rFonts w:hint="eastAsia" w:ascii="宋体" w:hAnsi="宋体" w:eastAsia="宋体" w:cs="宋体"/>
                <w:b w:val="0"/>
                <w:bCs w:val="0"/>
                <w:color w:val="auto"/>
                <w:sz w:val="22"/>
                <w:szCs w:val="22"/>
                <w:highlight w:val="none"/>
                <w:vertAlign w:val="baseline"/>
                <w:lang w:val="en-US" w:eastAsia="zh-CN" w:bidi="ar-SA"/>
              </w:rPr>
            </w:pPr>
            <w:r>
              <w:rPr>
                <w:rFonts w:hint="eastAsia" w:ascii="宋体" w:hAnsi="宋体" w:eastAsia="宋体" w:cs="宋体"/>
                <w:b w:val="0"/>
                <w:bCs w:val="0"/>
                <w:color w:val="auto"/>
                <w:sz w:val="22"/>
                <w:szCs w:val="22"/>
                <w:highlight w:val="none"/>
                <w:vertAlign w:val="baseline"/>
                <w:lang w:val="en-US" w:eastAsia="zh-CN"/>
              </w:rPr>
              <w:t xml:space="preserve">南通机场集团有限公司</w:t>
            </w:r>
            <w:r>
              <w:rPr>
                <w:rFonts w:hint="eastAsia" w:ascii="宋体" w:hAnsi="宋体" w:cs="宋体"/>
                <w:b w:val="0"/>
                <w:bCs w:val="0"/>
                <w:color w:val="auto"/>
                <w:sz w:val="22"/>
                <w:szCs w:val="22"/>
                <w:highlight w:val="none"/>
                <w:vertAlign w:val="baseline"/>
                <w:lang w:val="en-US" w:eastAsia="zh-CN"/>
              </w:rPr>
              <w:t xml:space="preserve">、</w:t>
            </w:r>
            <w:r>
              <w:rPr>
                <w:rFonts w:hint="eastAsia" w:ascii="宋体" w:hAnsi="宋体" w:eastAsia="宋体" w:cs="宋体"/>
                <w:b w:val="0"/>
                <w:bCs w:val="0"/>
                <w:color w:val="auto"/>
                <w:sz w:val="22"/>
                <w:szCs w:val="22"/>
                <w:highlight w:val="none"/>
                <w:vertAlign w:val="baseline"/>
                <w:lang w:val="en-US" w:eastAsia="zh-CN"/>
              </w:rPr>
              <w:t xml:space="preserve">南通市大数据发展集团有限公司</w:t>
            </w:r>
            <w:r/>
          </w:p>
        </w:tc>
        <w:tc>
          <w:tcPr>
            <w:shd w:val="clear" w:color="auto" w:fill="auto"/>
            <w:tcW w:w="1144"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cs="宋体"/>
                <w:b w:val="0"/>
                <w:bCs w:val="0"/>
                <w:color w:val="auto"/>
                <w:sz w:val="22"/>
                <w:szCs w:val="22"/>
                <w:highlight w:val="none"/>
                <w:vertAlign w:val="baseline"/>
                <w:lang w:val="en-US" w:eastAsia="zh-CN" w:bidi="ar-SA"/>
              </w:rPr>
              <w:t xml:space="preserve">29.83</w:t>
            </w:r>
            <w:r/>
          </w:p>
        </w:tc>
        <w:tc>
          <w:tcPr>
            <w:shd w:val="clear" w:color="auto" w:fill="auto"/>
            <w:tcW w:w="1387"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cs="宋体"/>
                <w:b w:val="0"/>
                <w:bCs w:val="0"/>
                <w:color w:val="auto"/>
                <w:sz w:val="22"/>
                <w:szCs w:val="22"/>
                <w:highlight w:val="none"/>
                <w:vertAlign w:val="baseline"/>
                <w:lang w:val="en-US" w:eastAsia="zh-CN" w:bidi="ar-SA"/>
              </w:rPr>
              <w:t xml:space="preserve">29.83</w:t>
            </w:r>
            <w:r/>
          </w:p>
        </w:tc>
        <w:tc>
          <w:tcPr>
            <w:shd w:val="clear" w:color="auto" w:fill="auto"/>
            <w:tcW w:w="1409"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val="0"/>
                <w:bCs w:val="0"/>
                <w:color w:val="auto"/>
                <w:sz w:val="22"/>
                <w:szCs w:val="22"/>
                <w:highlight w:val="none"/>
                <w:vertAlign w:val="baseline"/>
                <w:lang w:val="en-US" w:eastAsia="zh-CN" w:bidi="ar-SA"/>
              </w:rPr>
            </w:pPr>
            <w:r>
              <w:rPr>
                <w:rFonts w:hint="eastAsia" w:ascii="宋体" w:hAnsi="宋体" w:cs="宋体"/>
                <w:b w:val="0"/>
                <w:bCs w:val="0"/>
                <w:color w:val="auto"/>
                <w:sz w:val="22"/>
                <w:szCs w:val="22"/>
                <w:highlight w:val="none"/>
                <w:vertAlign w:val="baseline"/>
                <w:lang w:val="en-US" w:eastAsia="zh-CN" w:bidi="ar-SA"/>
              </w:rPr>
              <w:t xml:space="preserve">29.83</w:t>
            </w:r>
            <w:r/>
          </w:p>
        </w:tc>
      </w:tr>
      <w:tr>
        <w:trPr/>
        <w:tc>
          <w:tcPr>
            <w:gridSpan w:val="2"/>
            <w:tcW w:w="4696" w:type="dxa"/>
            <w:vAlign w:val="center"/>
            <w:textDirection w:val="lrTb"/>
            <w:noWrap w:val="false"/>
          </w:tcPr>
          <w:p>
            <w:pPr>
              <w:jc w:val="center"/>
              <w:keepLines w:val="0"/>
              <w:keepNext w:val="0"/>
              <w:pageBreakBefore w:val="0"/>
              <w:spacing w:line="440" w:lineRule="atLeast"/>
              <w:widowControl w:val="off"/>
              <w:rPr>
                <w:rFonts w:hint="eastAsia" w:ascii="宋体" w:hAnsi="宋体" w:eastAsia="宋体" w:cs="宋体"/>
                <w:b/>
                <w:bCs/>
                <w:color w:val="auto"/>
                <w:sz w:val="22"/>
                <w:szCs w:val="22"/>
                <w:highlight w:val="none"/>
                <w:vertAlign w:val="baseline"/>
                <w:lang w:val="en-US" w:eastAsia="zh-CN"/>
              </w:rPr>
            </w:pPr>
            <w:r>
              <w:rPr>
                <w:rFonts w:hint="eastAsia" w:ascii="宋体" w:hAnsi="宋体" w:eastAsia="宋体" w:cs="宋体"/>
                <w:b/>
                <w:bCs/>
                <w:color w:val="auto"/>
                <w:sz w:val="22"/>
                <w:szCs w:val="22"/>
                <w:highlight w:val="none"/>
                <w:vertAlign w:val="baseline"/>
                <w:lang w:val="en-US" w:eastAsia="zh-CN"/>
              </w:rPr>
              <w:t xml:space="preserve">合计</w:t>
            </w:r>
            <w:r/>
          </w:p>
        </w:tc>
        <w:tc>
          <w:tcPr>
            <w:tcW w:w="1144"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bCs/>
                <w:color w:val="auto"/>
                <w:sz w:val="22"/>
                <w:szCs w:val="22"/>
                <w:highlight w:val="none"/>
                <w:vertAlign w:val="baseline"/>
                <w:lang w:val="en-US" w:eastAsia="zh-CN"/>
              </w:rPr>
            </w:pPr>
            <w:r>
              <w:rPr>
                <w:rFonts w:hint="eastAsia" w:ascii="宋体" w:hAnsi="宋体" w:cs="宋体"/>
                <w:b/>
                <w:bCs/>
                <w:color w:val="auto"/>
                <w:sz w:val="22"/>
                <w:szCs w:val="22"/>
                <w:highlight w:val="none"/>
                <w:vertAlign w:val="baseline"/>
                <w:lang w:val="en-US" w:eastAsia="zh-CN"/>
              </w:rPr>
              <w:t xml:space="preserve">818.32</w:t>
            </w:r>
            <w:r/>
          </w:p>
        </w:tc>
        <w:tc>
          <w:tcPr>
            <w:tcW w:w="1387"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bCs/>
                <w:color w:val="auto"/>
                <w:sz w:val="22"/>
                <w:szCs w:val="22"/>
                <w:highlight w:val="none"/>
                <w:vertAlign w:val="baseline"/>
                <w:lang w:val="en-US" w:eastAsia="zh-CN"/>
              </w:rPr>
            </w:pPr>
            <w:r>
              <w:rPr>
                <w:rFonts w:hint="eastAsia" w:ascii="宋体" w:hAnsi="宋体" w:cs="宋体"/>
                <w:b/>
                <w:bCs/>
                <w:color w:val="auto"/>
                <w:sz w:val="22"/>
                <w:szCs w:val="22"/>
                <w:highlight w:val="none"/>
                <w:vertAlign w:val="baseline"/>
                <w:lang w:val="en-US" w:eastAsia="zh-CN"/>
              </w:rPr>
              <w:t xml:space="preserve">487.82</w:t>
            </w:r>
            <w:r/>
          </w:p>
        </w:tc>
        <w:tc>
          <w:tcPr>
            <w:tcW w:w="1409" w:type="dxa"/>
            <w:vAlign w:val="center"/>
            <w:textDirection w:val="lrTb"/>
            <w:noWrap w:val="false"/>
          </w:tcPr>
          <w:p>
            <w:pPr>
              <w:jc w:val="center"/>
              <w:keepLines w:val="0"/>
              <w:keepNext w:val="0"/>
              <w:pageBreakBefore w:val="0"/>
              <w:spacing w:line="440" w:lineRule="atLeast"/>
              <w:widowControl w:val="off"/>
              <w:rPr>
                <w:rFonts w:hint="default" w:ascii="宋体" w:hAnsi="宋体" w:eastAsia="宋体" w:cs="宋体"/>
                <w:b/>
                <w:bCs/>
                <w:color w:val="auto"/>
                <w:sz w:val="22"/>
                <w:szCs w:val="22"/>
                <w:highlight w:val="none"/>
                <w:vertAlign w:val="baseline"/>
                <w:lang w:val="en-US" w:eastAsia="zh-CN"/>
              </w:rPr>
            </w:pPr>
            <w:r>
              <w:rPr>
                <w:rFonts w:hint="eastAsia" w:ascii="宋体" w:hAnsi="宋体" w:cs="宋体"/>
                <w:b/>
                <w:bCs/>
                <w:color w:val="auto"/>
                <w:sz w:val="22"/>
                <w:szCs w:val="22"/>
                <w:highlight w:val="none"/>
                <w:vertAlign w:val="baseline"/>
                <w:lang w:val="en-US" w:eastAsia="zh-CN"/>
              </w:rPr>
              <w:t xml:space="preserve">818.32</w:t>
            </w:r>
            <w:r/>
          </w:p>
        </w:tc>
      </w:tr>
    </w:tbl>
    <w:p>
      <w:pPr>
        <w:ind w:firstLine="442"/>
        <w:keepLines w:val="0"/>
        <w:keepNext w:val="0"/>
        <w:pageBreakBefore w:val="0"/>
        <w:spacing w:line="50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注：</w:t>
      </w:r>
      <w:r/>
    </w:p>
    <w:p>
      <w:pPr>
        <w:ind w:firstLine="442"/>
        <w:keepLines w:val="0"/>
        <w:keepNext w:val="0"/>
        <w:pageBreakBefore w:val="0"/>
        <w:spacing w:line="500" w:lineRule="exact"/>
        <w:widowControl w:val="off"/>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①</w:t>
      </w:r>
      <w:r>
        <w:rPr>
          <w:rFonts w:hint="eastAsia" w:ascii="宋体" w:hAnsi="宋体" w:cs="宋体"/>
          <w:b/>
          <w:bCs/>
          <w:color w:val="auto"/>
          <w:sz w:val="22"/>
          <w:szCs w:val="22"/>
          <w:highlight w:val="none"/>
          <w:lang w:val="en-US" w:eastAsia="zh-CN"/>
        </w:rPr>
        <w:t xml:space="preserve">采购人</w:t>
      </w:r>
      <w:r>
        <w:rPr>
          <w:rFonts w:hint="eastAsia" w:ascii="宋体" w:hAnsi="宋体" w:eastAsia="宋体" w:cs="宋体"/>
          <w:b/>
          <w:bCs/>
          <w:color w:val="auto"/>
          <w:sz w:val="22"/>
          <w:szCs w:val="22"/>
          <w:highlight w:val="none"/>
          <w:lang w:val="en-US" w:eastAsia="zh-CN"/>
        </w:rPr>
        <w:t xml:space="preserve">承担费用限额是指该标包中，由南通市人民政府国有资产监督管理委员会承担的审计费用的最高限额，实际费用超过国资委承担限额的，剩余部分由该标包被审计对象（企业）承担支付。</w:t>
      </w:r>
      <w:r/>
    </w:p>
    <w:p>
      <w:pPr>
        <w:ind w:firstLine="442"/>
        <w:keepLines w:val="0"/>
        <w:keepNext w:val="0"/>
        <w:pageBreakBefore w:val="0"/>
        <w:spacing w:line="500" w:lineRule="exact"/>
        <w:widowControl w:val="off"/>
        <w:tabs>
          <w:tab w:val="left" w:pos="5040" w:leader="none"/>
        </w:tabs>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②以上表内金额为每一个会计年度的费用标准（预算或限额）。</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7.采购需求：详见招标文件，请仔细研究。</w:t>
      </w:r>
      <w:r/>
    </w:p>
    <w:p>
      <w:pPr>
        <w:ind w:firstLine="560"/>
        <w:keepLines w:val="0"/>
        <w:keepNext w:val="0"/>
        <w:pageBreakBefore w:val="0"/>
        <w:spacing w:line="500" w:lineRule="exact"/>
        <w:widowControl w:val="off"/>
        <w:rPr>
          <w:rFonts w:hint="eastAsia"/>
          <w:highlight w:val="none"/>
          <w:lang w:val="en-US" w:eastAsia="zh-CN"/>
        </w:rPr>
      </w:pPr>
      <w:r>
        <w:rPr>
          <w:rFonts w:hint="eastAsia" w:ascii="宋体" w:hAnsi="宋体" w:eastAsia="宋体" w:cs="宋体"/>
          <w:color w:val="auto"/>
          <w:sz w:val="28"/>
          <w:szCs w:val="28"/>
          <w:highlight w:val="none"/>
        </w:rPr>
        <w:t xml:space="preserve">8.合同履行期限：</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市国资委</w:t>
      </w:r>
      <w:r>
        <w:rPr>
          <w:rFonts w:hint="eastAsia" w:ascii="宋体" w:hAnsi="宋体" w:eastAsia="宋体" w:cs="宋体"/>
          <w:color w:val="auto"/>
          <w:sz w:val="28"/>
          <w:szCs w:val="28"/>
          <w:highlight w:val="none"/>
          <w:lang w:val="en-US" w:eastAsia="zh-CN"/>
        </w:rPr>
        <w:t xml:space="preserve">每年对</w:t>
      </w:r>
      <w:r>
        <w:rPr>
          <w:rFonts w:hint="eastAsia" w:ascii="宋体" w:hAnsi="宋体" w:cs="宋体"/>
          <w:color w:val="auto"/>
          <w:sz w:val="28"/>
          <w:szCs w:val="28"/>
          <w:highlight w:val="none"/>
          <w:lang w:val="en-US" w:eastAsia="zh-CN"/>
        </w:rPr>
        <w:t xml:space="preserve">审计中介机构</w:t>
      </w:r>
      <w:r>
        <w:rPr>
          <w:rFonts w:hint="eastAsia" w:ascii="宋体" w:hAnsi="宋体" w:eastAsia="宋体" w:cs="宋体"/>
          <w:color w:val="auto"/>
          <w:sz w:val="28"/>
          <w:szCs w:val="28"/>
          <w:highlight w:val="none"/>
          <w:lang w:val="en-US" w:eastAsia="zh-CN"/>
        </w:rPr>
        <w:t xml:space="preserve">上一年度审计服务质量开展后评价，审计后评价不合格的，即时终止审计服务合作</w:t>
      </w:r>
      <w:r>
        <w:rPr>
          <w:rFonts w:hint="eastAsia" w:ascii="宋体" w:hAnsi="宋体" w:cs="宋体"/>
          <w:color w:val="auto"/>
          <w:sz w:val="28"/>
          <w:szCs w:val="28"/>
          <w:highlight w:val="none"/>
          <w:lang w:val="en-US" w:eastAsia="zh-CN"/>
        </w:rPr>
        <w:t xml:space="preserve">并解除合同</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同时</w:t>
      </w:r>
      <w:r>
        <w:rPr>
          <w:rFonts w:hint="eastAsia" w:ascii="宋体" w:hAnsi="宋体" w:eastAsia="宋体" w:cs="宋体"/>
          <w:color w:val="auto"/>
          <w:sz w:val="28"/>
          <w:szCs w:val="28"/>
          <w:highlight w:val="none"/>
          <w:lang w:val="en-US" w:eastAsia="zh-CN"/>
        </w:rPr>
        <w:t xml:space="preserve">严格按照政府采购相关规定，另行</w:t>
      </w:r>
      <w:r>
        <w:rPr>
          <w:rFonts w:hint="eastAsia" w:ascii="宋体" w:hAnsi="宋体" w:cs="宋体"/>
          <w:color w:val="auto"/>
          <w:sz w:val="28"/>
          <w:szCs w:val="28"/>
          <w:highlight w:val="none"/>
          <w:lang w:val="en-US" w:eastAsia="zh-CN"/>
        </w:rPr>
        <w:t xml:space="preserve">选聘</w:t>
      </w:r>
      <w:r>
        <w:rPr>
          <w:rFonts w:hint="eastAsia" w:ascii="宋体" w:hAnsi="宋体" w:eastAsia="宋体" w:cs="宋体"/>
          <w:color w:val="auto"/>
          <w:sz w:val="28"/>
          <w:szCs w:val="28"/>
          <w:highlight w:val="none"/>
          <w:lang w:val="en-US" w:eastAsia="zh-CN"/>
        </w:rPr>
        <w:t xml:space="preserve">审计机构。</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本项目是否接受</w:t>
      </w:r>
      <w:r>
        <w:rPr>
          <w:rFonts w:hint="eastAsia" w:ascii="宋体" w:hAnsi="宋体" w:eastAsia="宋体" w:cs="宋体"/>
          <w:color w:val="auto"/>
          <w:sz w:val="28"/>
          <w:szCs w:val="28"/>
          <w:highlight w:val="none"/>
          <w:lang w:val="en-US" w:eastAsia="zh-CN"/>
        </w:rPr>
        <w:t xml:space="preserve">分包</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否</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本项目是否接受联合体投标：</w:t>
      </w:r>
      <w:r>
        <w:rPr>
          <w:rFonts w:hint="eastAsia" w:ascii="宋体" w:hAnsi="宋体" w:eastAsia="宋体" w:cs="宋体"/>
          <w:color w:val="auto"/>
          <w:sz w:val="28"/>
          <w:szCs w:val="28"/>
          <w:highlight w:val="none"/>
          <w:lang w:val="en-US" w:eastAsia="zh-CN"/>
        </w:rPr>
        <w:t xml:space="preserve">否</w:t>
      </w:r>
      <w:r>
        <w:rPr>
          <w:rFonts w:hint="eastAsia" w:ascii="宋体" w:hAnsi="宋体" w:eastAsia="宋体" w:cs="宋体"/>
          <w:color w:val="auto"/>
          <w:sz w:val="28"/>
          <w:szCs w:val="28"/>
          <w:highlight w:val="none"/>
        </w:rPr>
        <w:t xml:space="preserve">。</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二、申请人的资格要求：</w:t>
      </w:r>
      <w:r/>
    </w:p>
    <w:p>
      <w:pPr>
        <w:ind w:firstLine="562"/>
        <w:keepLines w:val="0"/>
        <w:keepNext w:val="0"/>
        <w:pageBreakBefore w:val="0"/>
        <w:spacing w:line="500" w:lineRule="exact"/>
        <w:widowControl w:val="off"/>
        <w:rPr>
          <w:rFonts w:hint="eastAsia" w:ascii="宋体" w:hAnsi="宋体" w:eastAsia="宋体" w:cs="宋体"/>
          <w:b/>
          <w:bCs w:val="0"/>
          <w:color w:val="auto"/>
          <w:sz w:val="28"/>
          <w:szCs w:val="28"/>
          <w:highlight w:val="none"/>
          <w:lang w:eastAsia="zh-CN"/>
        </w:rPr>
      </w:pPr>
      <w:r>
        <w:rPr>
          <w:rFonts w:hint="eastAsia" w:ascii="宋体" w:hAnsi="宋体" w:eastAsia="宋体" w:cs="宋体"/>
          <w:b/>
          <w:bCs w:val="0"/>
          <w:color w:val="auto"/>
          <w:sz w:val="28"/>
          <w:szCs w:val="28"/>
          <w:highlight w:val="none"/>
        </w:rPr>
        <w:t xml:space="preserve">包</w:t>
      </w:r>
      <w:r>
        <w:rPr>
          <w:rFonts w:hint="eastAsia" w:ascii="宋体" w:hAnsi="宋体" w:eastAsia="宋体" w:cs="宋体"/>
          <w:b/>
          <w:bCs w:val="0"/>
          <w:color w:val="auto"/>
          <w:sz w:val="28"/>
          <w:szCs w:val="28"/>
          <w:highlight w:val="none"/>
          <w:lang w:val="en-US" w:eastAsia="zh-CN"/>
        </w:rPr>
        <w:t xml:space="preserve">一、</w:t>
      </w:r>
      <w:r>
        <w:rPr>
          <w:rFonts w:hint="eastAsia" w:ascii="宋体" w:hAnsi="宋体" w:eastAsia="宋体" w:cs="宋体"/>
          <w:b/>
          <w:bCs w:val="0"/>
          <w:color w:val="auto"/>
          <w:sz w:val="28"/>
          <w:szCs w:val="28"/>
          <w:highlight w:val="none"/>
        </w:rPr>
        <w:t xml:space="preserve">包</w:t>
      </w:r>
      <w:r>
        <w:rPr>
          <w:rFonts w:hint="eastAsia" w:ascii="宋体" w:hAnsi="宋体" w:eastAsia="宋体" w:cs="宋体"/>
          <w:b/>
          <w:bCs w:val="0"/>
          <w:color w:val="auto"/>
          <w:sz w:val="28"/>
          <w:szCs w:val="28"/>
          <w:highlight w:val="none"/>
          <w:lang w:val="en-US" w:eastAsia="zh-CN"/>
        </w:rPr>
        <w:t xml:space="preserve">二</w:t>
      </w:r>
      <w:r>
        <w:rPr>
          <w:rFonts w:hint="eastAsia" w:ascii="宋体" w:hAnsi="宋体" w:eastAsia="宋体" w:cs="宋体"/>
          <w:b/>
          <w:bCs w:val="0"/>
          <w:color w:val="auto"/>
          <w:sz w:val="28"/>
          <w:szCs w:val="28"/>
          <w:highlight w:val="none"/>
        </w:rPr>
        <w:t xml:space="preserve">、包</w:t>
      </w:r>
      <w:r>
        <w:rPr>
          <w:rFonts w:hint="eastAsia" w:ascii="宋体" w:hAnsi="宋体" w:eastAsia="宋体" w:cs="宋体"/>
          <w:b/>
          <w:bCs w:val="0"/>
          <w:color w:val="auto"/>
          <w:sz w:val="28"/>
          <w:szCs w:val="28"/>
          <w:highlight w:val="none"/>
          <w:lang w:val="en-US" w:eastAsia="zh-CN"/>
        </w:rPr>
        <w:t xml:space="preserve">三</w:t>
      </w:r>
      <w:r>
        <w:rPr>
          <w:rFonts w:hint="eastAsia" w:ascii="宋体" w:hAnsi="宋体" w:eastAsia="宋体" w:cs="宋体"/>
          <w:b/>
          <w:bCs w:val="0"/>
          <w:color w:val="auto"/>
          <w:sz w:val="28"/>
          <w:szCs w:val="28"/>
          <w:highlight w:val="none"/>
        </w:rPr>
        <w:t xml:space="preserve">、包</w:t>
      </w:r>
      <w:r>
        <w:rPr>
          <w:rFonts w:hint="eastAsia" w:ascii="宋体" w:hAnsi="宋体" w:eastAsia="宋体" w:cs="宋体"/>
          <w:b/>
          <w:bCs w:val="0"/>
          <w:color w:val="auto"/>
          <w:sz w:val="28"/>
          <w:szCs w:val="28"/>
          <w:highlight w:val="none"/>
          <w:lang w:val="en-US" w:eastAsia="zh-CN"/>
        </w:rPr>
        <w:t xml:space="preserve">四</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包</w:t>
      </w:r>
      <w:r>
        <w:rPr>
          <w:rFonts w:hint="eastAsia" w:ascii="宋体" w:hAnsi="宋体" w:eastAsia="宋体" w:cs="宋体"/>
          <w:b/>
          <w:bCs w:val="0"/>
          <w:color w:val="auto"/>
          <w:sz w:val="28"/>
          <w:szCs w:val="28"/>
          <w:highlight w:val="none"/>
          <w:lang w:val="en-US" w:eastAsia="zh-CN"/>
        </w:rPr>
        <w:t xml:space="preserve">五、</w:t>
      </w:r>
      <w:r>
        <w:rPr>
          <w:rFonts w:hint="eastAsia" w:ascii="宋体" w:hAnsi="宋体" w:eastAsia="宋体" w:cs="宋体"/>
          <w:b/>
          <w:bCs w:val="0"/>
          <w:color w:val="auto"/>
          <w:sz w:val="28"/>
          <w:szCs w:val="28"/>
          <w:highlight w:val="none"/>
        </w:rPr>
        <w:t xml:space="preserve">包</w:t>
      </w:r>
      <w:r>
        <w:rPr>
          <w:rFonts w:hint="eastAsia" w:ascii="宋体" w:hAnsi="宋体" w:eastAsia="宋体" w:cs="宋体"/>
          <w:b/>
          <w:bCs w:val="0"/>
          <w:color w:val="auto"/>
          <w:sz w:val="28"/>
          <w:szCs w:val="28"/>
          <w:highlight w:val="none"/>
          <w:lang w:val="en-US" w:eastAsia="zh-CN"/>
        </w:rPr>
        <w:t xml:space="preserve">六、包七的</w:t>
      </w:r>
      <w:r>
        <w:rPr>
          <w:rFonts w:hint="eastAsia" w:ascii="宋体" w:hAnsi="宋体" w:eastAsia="宋体" w:cs="宋体"/>
          <w:b/>
          <w:bCs w:val="0"/>
          <w:color w:val="auto"/>
          <w:sz w:val="28"/>
          <w:szCs w:val="28"/>
          <w:highlight w:val="none"/>
        </w:rPr>
        <w:t xml:space="preserve">资格要求</w:t>
      </w:r>
      <w:r>
        <w:rPr>
          <w:rFonts w:hint="eastAsia" w:ascii="宋体" w:hAnsi="宋体" w:eastAsia="宋体" w:cs="宋体"/>
          <w:b/>
          <w:bCs w:val="0"/>
          <w:color w:val="auto"/>
          <w:sz w:val="28"/>
          <w:szCs w:val="28"/>
          <w:highlight w:val="none"/>
          <w:lang w:eastAsia="zh-CN"/>
        </w:rPr>
        <w:t xml:space="preserve">：</w:t>
      </w:r>
      <w:r/>
    </w:p>
    <w:p>
      <w:pPr>
        <w:numPr>
          <w:ilvl w:val="0"/>
          <w:numId w:val="0"/>
        </w:numPr>
        <w:ind w:firstLine="560"/>
        <w:keepLines w:val="0"/>
        <w:keepNext w:val="0"/>
        <w:pageBreakBefore w:val="0"/>
        <w:spacing w:line="500" w:lineRule="exact"/>
        <w:widowControl w:val="off"/>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lang w:val="en-US" w:eastAsia="zh-CN" w:bidi="ar-SA"/>
        </w:rPr>
        <w:t xml:space="preserve">1.</w:t>
      </w:r>
      <w:r>
        <w:rPr>
          <w:rFonts w:hint="eastAsia" w:ascii="宋体" w:hAnsi="宋体" w:eastAsia="宋体" w:cs="宋体"/>
          <w:b w:val="0"/>
          <w:bCs/>
          <w:color w:val="auto"/>
          <w:sz w:val="28"/>
          <w:szCs w:val="28"/>
          <w:highlight w:val="none"/>
          <w:lang w:val="en-US" w:eastAsia="zh-CN"/>
        </w:rPr>
        <w:t xml:space="preserve">满足《中华人民共和国政府采购法》第二十二条规定；</w:t>
      </w:r>
      <w:r/>
    </w:p>
    <w:p>
      <w:pPr>
        <w:ind w:firstLine="560"/>
        <w:keepLines w:val="0"/>
        <w:keepNext w:val="0"/>
        <w:pageBreakBefore w:val="0"/>
        <w:spacing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b w:val="0"/>
          <w:bCs/>
          <w:color w:val="auto"/>
          <w:sz w:val="28"/>
          <w:szCs w:val="28"/>
          <w:highlight w:val="none"/>
          <w:lang w:val="en-US" w:eastAsia="zh-CN"/>
        </w:rPr>
        <w:t xml:space="preserve">2.落实政府采购政策需满足的资格要求：无；</w:t>
      </w:r>
      <w:r/>
    </w:p>
    <w:p>
      <w:pPr>
        <w:ind w:firstLine="560"/>
        <w:keepLines w:val="0"/>
        <w:keepNext w:val="0"/>
        <w:pageBreakBefore w:val="0"/>
        <w:spacing w:line="500" w:lineRule="exact"/>
        <w:widowControl w:val="off"/>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3.未被“信用中国”网站（www.creditchina.gov.cn）列入失信被执行人、重大税收违法案件当事人名单、政府采购严重失信行为记录名单</w:t>
      </w:r>
      <w:r>
        <w:rPr>
          <w:rFonts w:ascii="SimSun" w:hAnsi="SimSun" w:eastAsia="SimSun" w:cs="SimSun"/>
          <w:color w:val="000000"/>
          <w:sz w:val="28"/>
        </w:rPr>
        <w:t xml:space="preserve">（投标人无需提供，由采购代理机构在开标现场查询并记录）</w:t>
      </w:r>
      <w:r>
        <w:rPr>
          <w:rFonts w:hint="eastAsia" w:ascii="宋体" w:hAnsi="宋体" w:eastAsia="宋体" w:cs="宋体"/>
          <w:b w:val="0"/>
          <w:bCs/>
          <w:color w:val="auto"/>
          <w:sz w:val="28"/>
          <w:szCs w:val="28"/>
          <w:highlight w:val="none"/>
          <w:lang w:val="en-US" w:eastAsia="zh-CN"/>
        </w:rPr>
        <w:t xml:space="preserve">；</w:t>
      </w:r>
      <w:r/>
    </w:p>
    <w:p>
      <w:pPr>
        <w:ind w:firstLine="560"/>
        <w:keepLines w:val="0"/>
        <w:keepNext w:val="0"/>
        <w:pageBreakBefore w:val="0"/>
        <w:spacing w:line="500" w:lineRule="exact"/>
        <w:widowControl w:val="off"/>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.提供法定代表人（负责人）身份证明书及法人（负责人）身份证复印件盖公章；非法定代表人（负责人）参加的，另须提供法定代表人（负责人）签名或盖章的授权委托书及投标代表本人身份证复印件盖公章；</w:t>
      </w:r>
      <w:r/>
    </w:p>
    <w:p>
      <w:pPr>
        <w:ind w:firstLine="560"/>
        <w:keepLines w:val="0"/>
        <w:keepNext w:val="0"/>
        <w:pageBreakBefore w:val="0"/>
        <w:spacing w:line="500" w:lineRule="exact"/>
        <w:widowControl w:val="off"/>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5</w:t>
      </w:r>
      <w:r>
        <w:rPr>
          <w:rFonts w:hint="eastAsia" w:ascii="宋体" w:hAnsi="宋体" w:eastAsia="宋体" w:cs="宋体"/>
          <w:b w:val="0"/>
          <w:bCs/>
          <w:color w:val="auto"/>
          <w:sz w:val="28"/>
          <w:szCs w:val="28"/>
          <w:highlight w:val="none"/>
          <w:lang w:val="en-US" w:eastAsia="zh-CN"/>
        </w:rPr>
        <w:t xml:space="preserve">.提供有效的营业执照副本复印件加盖公章；</w:t>
      </w:r>
      <w:r/>
    </w:p>
    <w:p>
      <w:pPr>
        <w:ind w:firstLine="560"/>
        <w:keepLines w:val="0"/>
        <w:keepNext w:val="0"/>
        <w:pageBreakBefore w:val="0"/>
        <w:spacing w:line="500" w:lineRule="exact"/>
        <w:widowControl w:val="off"/>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lang w:val="en-US" w:eastAsia="zh-CN"/>
        </w:rPr>
        <w:t xml:space="preserve">.本项目的特定资格要求：</w:t>
      </w:r>
      <w:r/>
    </w:p>
    <w:p>
      <w:pPr>
        <w:ind w:firstLine="560"/>
        <w:keepLines w:val="0"/>
        <w:keepNext w:val="0"/>
        <w:pageBreakBefore w:val="0"/>
        <w:spacing w:line="500" w:lineRule="exact"/>
        <w:widowControl w:val="off"/>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（1）投标人持有财政部门颁发的有效的会计师事务所执业证书；</w:t>
      </w:r>
      <w:r/>
    </w:p>
    <w:p>
      <w:pPr>
        <w:ind w:firstLine="560"/>
        <w:keepLines w:val="0"/>
        <w:keepNext w:val="0"/>
        <w:pageBreakBefore w:val="0"/>
        <w:spacing w:line="500" w:lineRule="exact"/>
        <w:widowControl w:val="off"/>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2）投标人可以是具备相应资质的独立法人，也可以是具备相应资质的独立法人依法设立的非法人分支机构（如分所、分公司等）。若投标人以‘独立法人设立的非法人分支机构’名义参与投标，须提供其所属独立法人出具的唯一授权书（原件），授权书需明确：①同意该分支机构参与本项目投标；②对分支机构投标行为及合同履行过程中产生的法律责任、经济责任承担连带责任。投标时请按前述要求提供相应内容的授权书原件；</w:t>
      </w:r>
      <w:r/>
    </w:p>
    <w:p>
      <w:pPr>
        <w:ind w:firstLine="560"/>
        <w:keepLines w:val="0"/>
        <w:keepNext w:val="0"/>
        <w:pageBreakBefore w:val="0"/>
        <w:spacing w:line="500" w:lineRule="exact"/>
        <w:widowControl w:val="off"/>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3）请拟投标人提供承诺书，承诺：中标后签订合同前须提供投标人（“独立法人”或“独立法人设立的非法人分支机构”）的营业执照副本原件、会计师事务所执业证书原件、资产负债表、利润表、现金流量表、所有者权益变动表及其附注原件供</w:t>
      </w:r>
      <w:r>
        <w:rPr>
          <w:rFonts w:hint="eastAsia" w:ascii="宋体" w:hAnsi="宋体" w:cs="宋体"/>
          <w:b w:val="0"/>
          <w:bCs/>
          <w:color w:val="auto"/>
          <w:sz w:val="28"/>
          <w:szCs w:val="28"/>
          <w:highlight w:val="none"/>
          <w:lang w:val="en-US" w:eastAsia="zh-CN"/>
        </w:rPr>
        <w:t xml:space="preserve">采购人</w:t>
      </w:r>
      <w:r>
        <w:rPr>
          <w:rFonts w:hint="eastAsia" w:ascii="宋体" w:hAnsi="宋体" w:eastAsia="宋体" w:cs="宋体"/>
          <w:b w:val="0"/>
          <w:bCs/>
          <w:color w:val="auto"/>
          <w:sz w:val="28"/>
          <w:szCs w:val="28"/>
          <w:highlight w:val="none"/>
          <w:lang w:val="en-US" w:eastAsia="zh-CN"/>
        </w:rPr>
        <w:t xml:space="preserve">查验（投标时提供该项内容承诺书）；</w:t>
      </w:r>
      <w:r/>
    </w:p>
    <w:p>
      <w:pPr>
        <w:ind w:firstLine="560"/>
        <w:keepLines w:val="0"/>
        <w:keepNext w:val="0"/>
        <w:pageBreakBefore w:val="0"/>
        <w:spacing w:line="500" w:lineRule="exact"/>
        <w:widowControl w:val="off"/>
        <w:rPr>
          <w:rFonts w:hint="eastAsia" w:ascii="宋体" w:hAnsi="宋体" w:eastAsia="宋体" w:cs="宋体"/>
          <w:b w:val="0"/>
          <w:bCs/>
          <w:color w:val="auto"/>
          <w:sz w:val="28"/>
          <w:szCs w:val="28"/>
          <w:highlight w:val="yellow"/>
          <w:lang w:val="en-US" w:eastAsia="zh-CN"/>
        </w:rPr>
      </w:pPr>
      <w:r>
        <w:rPr>
          <w:rFonts w:hint="eastAsia" w:ascii="宋体" w:hAnsi="宋体" w:eastAsia="宋体" w:cs="宋体"/>
          <w:b w:val="0"/>
          <w:bCs/>
          <w:color w:val="auto"/>
          <w:sz w:val="28"/>
          <w:szCs w:val="28"/>
          <w:highlight w:val="none"/>
          <w:lang w:val="en-US" w:eastAsia="zh-CN"/>
        </w:rPr>
        <w:t xml:space="preserve">（4）投标人必须是具有普通合伙或者特殊普通合伙性质，取得财政部和中国证监会从事证券备案文件的会计师事务所。近三年没有被南通市国资委限制审计业务、没有发生重大违规行为，参与项目审计人员无行业惩戒等不良从业记录。提供承诺函。</w:t>
      </w:r>
      <w:r/>
    </w:p>
    <w:p>
      <w:pPr>
        <w:ind w:firstLine="562"/>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包</w:t>
      </w:r>
      <w:r>
        <w:rPr>
          <w:rFonts w:hint="eastAsia" w:ascii="宋体" w:hAnsi="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lang w:val="en-US" w:eastAsia="zh-CN"/>
        </w:rPr>
        <w:t xml:space="preserve">、包</w:t>
      </w:r>
      <w:r>
        <w:rPr>
          <w:rFonts w:hint="eastAsia" w:ascii="宋体" w:hAnsi="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lang w:val="en-US" w:eastAsia="zh-CN"/>
        </w:rPr>
        <w:t xml:space="preserve">的</w:t>
      </w:r>
      <w:r>
        <w:rPr>
          <w:rFonts w:hint="eastAsia" w:ascii="宋体" w:hAnsi="宋体" w:eastAsia="宋体" w:cs="宋体"/>
          <w:b/>
          <w:color w:val="auto"/>
          <w:sz w:val="28"/>
          <w:szCs w:val="28"/>
          <w:highlight w:val="none"/>
        </w:rPr>
        <w:t xml:space="preserve">资格要求</w:t>
      </w:r>
      <w:r>
        <w:rPr>
          <w:rFonts w:hint="eastAsia" w:ascii="宋体" w:hAnsi="宋体" w:eastAsia="宋体" w:cs="宋体"/>
          <w:b/>
          <w:color w:val="auto"/>
          <w:sz w:val="28"/>
          <w:szCs w:val="28"/>
          <w:highlight w:val="none"/>
          <w:lang w:eastAsia="zh-CN"/>
        </w:rPr>
        <w:t xml:space="preserve">：</w:t>
      </w:r>
      <w:r/>
    </w:p>
    <w:p>
      <w:pPr>
        <w:numPr>
          <w:ilvl w:val="0"/>
          <w:numId w:val="0"/>
        </w:numPr>
        <w:ind w:firstLine="560"/>
        <w:keepLines w:val="0"/>
        <w:keepNext w:val="0"/>
        <w:pageBreakBefore w:val="0"/>
        <w:spacing w:line="500" w:lineRule="exact"/>
        <w:widowControl w:val="off"/>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1.满足《中华人民共和国政府采购法》第二十二条规定；</w:t>
      </w:r>
      <w:r/>
    </w:p>
    <w:p>
      <w:pPr>
        <w:ind w:firstLine="560"/>
        <w:keepLines w:val="0"/>
        <w:keepNext w:val="0"/>
        <w:pageBreakBefore w:val="0"/>
        <w:spacing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b w:val="0"/>
          <w:bCs/>
          <w:color w:val="auto"/>
          <w:sz w:val="28"/>
          <w:szCs w:val="28"/>
          <w:highlight w:val="none"/>
          <w:lang w:val="en-US" w:eastAsia="zh-CN"/>
        </w:rPr>
        <w:t xml:space="preserve">2.落实政府采购政策需满足的资格要求：无；</w:t>
      </w:r>
      <w:r/>
    </w:p>
    <w:p>
      <w:pPr>
        <w:ind w:firstLine="560"/>
        <w:keepLines w:val="0"/>
        <w:keepNext w:val="0"/>
        <w:pageBreakBefore w:val="0"/>
        <w:spacing w:line="500" w:lineRule="exact"/>
        <w:widowControl w:val="off"/>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3.未被“信用中国”网站（www.creditchina.gov.cn）列入失信被执行人、重大税收违法案件当事人名单、政府采购严重失信行为记录名单</w:t>
      </w:r>
      <w:r>
        <w:rPr>
          <w:rFonts w:ascii="SimSun" w:hAnsi="SimSun" w:eastAsia="SimSun" w:cs="SimSun"/>
          <w:color w:val="000000"/>
          <w:sz w:val="28"/>
        </w:rPr>
        <w:t xml:space="preserve">（投标人无需提供，由采购代理机构在开标现场查询并记录）</w:t>
      </w:r>
      <w:r>
        <w:rPr>
          <w:rFonts w:hint="eastAsia" w:ascii="宋体" w:hAnsi="宋体" w:eastAsia="宋体" w:cs="宋体"/>
          <w:b w:val="0"/>
          <w:bCs/>
          <w:color w:val="auto"/>
          <w:sz w:val="28"/>
          <w:szCs w:val="28"/>
          <w:highlight w:val="none"/>
          <w:lang w:val="en-US" w:eastAsia="zh-CN"/>
        </w:rPr>
        <w:t xml:space="preserve">；</w:t>
      </w:r>
      <w:r/>
    </w:p>
    <w:p>
      <w:pPr>
        <w:ind w:firstLine="560"/>
        <w:keepLines w:val="0"/>
        <w:keepNext w:val="0"/>
        <w:pageBreakBefore w:val="0"/>
        <w:spacing w:line="500" w:lineRule="exact"/>
        <w:widowControl w:val="off"/>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4</w:t>
      </w:r>
      <w:r>
        <w:rPr>
          <w:rFonts w:hint="eastAsia" w:ascii="宋体" w:hAnsi="宋体" w:eastAsia="宋体" w:cs="宋体"/>
          <w:b w:val="0"/>
          <w:bCs/>
          <w:color w:val="auto"/>
          <w:sz w:val="28"/>
          <w:szCs w:val="28"/>
          <w:highlight w:val="none"/>
          <w:lang w:val="en-US" w:eastAsia="zh-CN"/>
        </w:rPr>
        <w:t xml:space="preserve">.提供法定代表人（负责人）身份证明书及法人（负责人）身份证复印件盖公章；非法定代表人（负责人）参加的，另须提供法定代表人（负责人）签名或盖章的授权委托书及投标代表本人身份证复印件盖公章；</w:t>
      </w:r>
      <w:r/>
    </w:p>
    <w:p>
      <w:pPr>
        <w:ind w:firstLine="560"/>
        <w:keepLines w:val="0"/>
        <w:keepNext w:val="0"/>
        <w:pageBreakBefore w:val="0"/>
        <w:spacing w:line="500" w:lineRule="exact"/>
        <w:widowControl w:val="off"/>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5</w:t>
      </w:r>
      <w:r>
        <w:rPr>
          <w:rFonts w:hint="eastAsia" w:ascii="宋体" w:hAnsi="宋体" w:eastAsia="宋体" w:cs="宋体"/>
          <w:b w:val="0"/>
          <w:bCs/>
          <w:color w:val="auto"/>
          <w:sz w:val="28"/>
          <w:szCs w:val="28"/>
          <w:highlight w:val="none"/>
          <w:lang w:val="en-US" w:eastAsia="zh-CN"/>
        </w:rPr>
        <w:t xml:space="preserve">.提供有效的营业执照副本复印件加盖公章；</w:t>
      </w:r>
      <w:r/>
    </w:p>
    <w:p>
      <w:pPr>
        <w:ind w:firstLine="560"/>
        <w:keepLines w:val="0"/>
        <w:keepNext w:val="0"/>
        <w:pageBreakBefore w:val="0"/>
        <w:spacing w:line="500" w:lineRule="exact"/>
        <w:widowControl w:val="off"/>
        <w:rPr>
          <w:rFonts w:hint="eastAsia" w:ascii="宋体" w:hAnsi="宋体" w:eastAsia="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 xml:space="preserve">6</w:t>
      </w:r>
      <w:r>
        <w:rPr>
          <w:rFonts w:hint="eastAsia" w:ascii="宋体" w:hAnsi="宋体" w:eastAsia="宋体" w:cs="宋体"/>
          <w:b w:val="0"/>
          <w:bCs/>
          <w:color w:val="auto"/>
          <w:sz w:val="28"/>
          <w:szCs w:val="28"/>
          <w:highlight w:val="none"/>
          <w:lang w:val="en-US" w:eastAsia="zh-CN"/>
        </w:rPr>
        <w:t xml:space="preserve">.本项目的特定资格要求：</w:t>
      </w:r>
      <w:r/>
    </w:p>
    <w:p>
      <w:pPr>
        <w:ind w:firstLine="560"/>
        <w:keepLines w:val="0"/>
        <w:keepNext w:val="0"/>
        <w:pageBreakBefore w:val="0"/>
        <w:spacing w:line="500" w:lineRule="exact"/>
        <w:widowControl w:val="off"/>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（1）投标人持有财政部门颁发的有效的会计师事务所执业证书；</w:t>
      </w:r>
      <w:r/>
    </w:p>
    <w:p>
      <w:pPr>
        <w:ind w:firstLine="560"/>
        <w:keepLines w:val="0"/>
        <w:keepNext w:val="0"/>
        <w:pageBreakBefore w:val="0"/>
        <w:spacing w:line="500" w:lineRule="exact"/>
        <w:widowControl w:val="off"/>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2）投标人可以是具备相应资质的独立法人，也可以是具备相应资质的独立法人依法设立的非法人分支机构（如分所、分公司等）。若投标人以‘独立法人设立的非法人分支机构’名义参与投标，须提供其所属独立法人出具的唯一授权书（原件），授权书需明确：①同意该分支机构参与本项目投标；②对分支机构投标行为及合同履行过程中产生的法律责任、经济责任承担连带责任。投标时请按前述要求提供相应内容的授权书原件；</w:t>
      </w:r>
      <w:r/>
    </w:p>
    <w:p>
      <w:pPr>
        <w:ind w:firstLine="560"/>
        <w:keepLines w:val="0"/>
        <w:keepNext w:val="0"/>
        <w:pageBreakBefore w:val="0"/>
        <w:spacing w:line="500" w:lineRule="exact"/>
        <w:widowControl w:val="off"/>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3）请拟投标人提供承诺书，承诺：中标后签订合同前须提供投标人（“独立法人”或“独立法人设立的非法人分支机构”）的营业执照副本原件、会计师事务所执业证书原件、资产负债表、利润表、现金流量表、所有者权益变动表及其附注原件供</w:t>
      </w:r>
      <w:r>
        <w:rPr>
          <w:rFonts w:hint="eastAsia" w:ascii="宋体" w:hAnsi="宋体" w:cs="宋体"/>
          <w:b w:val="0"/>
          <w:bCs/>
          <w:color w:val="auto"/>
          <w:sz w:val="28"/>
          <w:szCs w:val="28"/>
          <w:highlight w:val="none"/>
          <w:lang w:val="en-US" w:eastAsia="zh-CN"/>
        </w:rPr>
        <w:t xml:space="preserve">采购人</w:t>
      </w:r>
      <w:r>
        <w:rPr>
          <w:rFonts w:hint="eastAsia" w:ascii="宋体" w:hAnsi="宋体" w:eastAsia="宋体" w:cs="宋体"/>
          <w:b w:val="0"/>
          <w:bCs/>
          <w:color w:val="auto"/>
          <w:sz w:val="28"/>
          <w:szCs w:val="28"/>
          <w:highlight w:val="none"/>
          <w:lang w:val="en-US" w:eastAsia="zh-CN"/>
        </w:rPr>
        <w:t xml:space="preserve">查验（投标时提供该项内容承诺书）。</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三、获取招标文件</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1.时间：自招标文件公告发布之日起5个工作日；</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2.地点：系统内免费下载</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3.获取方式：本项目采用网上注册登记方式。</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3.1潜在供应商访问电子招标响应交易平台的网络地址和方法：</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3.2潜在供应商访问“苏采云”系统的网络地址和方法：“苏采云”系统的网址：http://jszfcg.jsczt.cn/。</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3.3“CA数字证书”的获取：</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响应供应商需办理“CA 数字证书”，CA办理指南及“苏采云”操作手册可至</w:t>
      </w:r>
      <w:r>
        <w:rPr>
          <w:rFonts w:hint="eastAsia" w:ascii="宋体" w:hAnsi="宋体" w:cs="宋体"/>
          <w:color w:val="auto"/>
          <w:sz w:val="28"/>
          <w:szCs w:val="28"/>
          <w:highlight w:val="none"/>
          <w:lang w:eastAsia="zh-CN"/>
        </w:rPr>
        <w:t xml:space="preserve">江苏政府采购网</w:t>
      </w:r>
      <w:r>
        <w:rPr>
          <w:rFonts w:hint="eastAsia" w:ascii="宋体" w:hAnsi="宋体" w:eastAsia="宋体" w:cs="宋体"/>
          <w:color w:val="auto"/>
          <w:sz w:val="28"/>
          <w:szCs w:val="28"/>
          <w:highlight w:val="none"/>
        </w:rPr>
        <w:t xml:space="preserve">―办事指南-资料下载中心下载。</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通过苏采云系统首页（</w:t>
      </w:r>
      <w:r>
        <w:rPr>
          <w:rFonts w:hint="eastAsia" w:ascii="宋体" w:hAnsi="宋体" w:cs="宋体"/>
          <w:color w:val="auto"/>
          <w:sz w:val="28"/>
          <w:szCs w:val="28"/>
          <w:highlight w:val="none"/>
          <w:lang w:eastAsia="zh-CN"/>
        </w:rPr>
        <w:t xml:space="preserve">http://jszfcg.jsczt.cn/</w:t>
      </w:r>
      <w:r>
        <w:rPr>
          <w:rFonts w:hint="eastAsia" w:ascii="宋体" w:hAnsi="宋体" w:eastAsia="宋体" w:cs="宋体"/>
          <w:color w:val="auto"/>
          <w:sz w:val="28"/>
          <w:szCs w:val="28"/>
          <w:highlight w:val="none"/>
        </w:rPr>
        <w:t xml:space="preserve">）的“苏采云控件驱动下载”，选择“政务CA、方正签章控件驱动安装包及安装说明”下载安装，具体安装方法详见下载文件内的《安装说明》。</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3.4招标文件（后缀名为“.kedt”）、供应商操作手册及政府采购客户端工具可通过“苏采云”系统--已报名项目--报名详情页面内相应链接进行下载。</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或采购代理机构将数据电文形式的招标文件加载至“苏采云”系统，供潜在供应商下载或者查阅。</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3.6请潜在供应商提前安装相应的控件（详见《江苏省政府采购管理交易系统（苏采云）供应商操作手册》）并使用谷歌浏览器登录“苏采云”系统参与不见面开评标。</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3.7开评标</w:t>
      </w:r>
      <w:r>
        <w:rPr>
          <w:rFonts w:hint="eastAsia" w:ascii="宋体" w:hAnsi="宋体" w:eastAsia="宋体" w:cs="宋体"/>
          <w:color w:val="auto"/>
          <w:sz w:val="28"/>
          <w:szCs w:val="28"/>
          <w:highlight w:val="none"/>
        </w:rPr>
        <w:t xml:space="preserve">全过程中，投标供应商一端参与交互的人员将均被视为是投标供应商的授权委托人或法定代表人，投标供应商不得以不承认交互人员的资格或身份等为借口抵赖推脱，投标供应商自行承担随意更换人员所导致的一切后果。为顺利实现本项目开评标的远程交互，建议投标供应商配置的硬件设施有：电脑或手机、高速稳定的网络、电源（不间断）、音视频设备（话筒、耳麦、高清摄像头、音响）等。为保证交互效果，建议投标供应商选择封闭安静的地点参与远程交互。因投标供应商自身软硬件问题而导致在交互过程中出现不稳定或中断等情况的，由投标供应商自身承担一切后果。</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注：如潜在供应商未按上述要求操作，将自行承担所产生的风险。</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四、提交投标文件截止时间、开标时间和地点</w:t>
      </w:r>
      <w:r/>
    </w:p>
    <w:p>
      <w:pPr>
        <w:ind w:firstLine="420"/>
        <w:keepLines w:val="0"/>
        <w:keepNext w:val="0"/>
        <w:pageBreakBefore w:val="0"/>
        <w:spacing w:line="500" w:lineRule="exact"/>
        <w:widowControl w:val="off"/>
        <w:rPr>
          <w:rStyle w:val="1211"/>
          <w:rFonts w:hint="eastAsia" w:ascii="宋体" w:hAnsi="宋体" w:eastAsia="宋体" w:cs="宋体"/>
          <w:color w:val="auto"/>
          <w:sz w:val="28"/>
          <w:szCs w:val="28"/>
          <w:highlight w:val="none"/>
        </w:rPr>
      </w:pPr>
      <w:r>
        <w:rPr>
          <w:rStyle w:val="1211"/>
          <w:rFonts w:hint="eastAsia" w:ascii="宋体" w:hAnsi="宋体" w:eastAsia="宋体" w:cs="宋体"/>
          <w:color w:val="auto"/>
          <w:sz w:val="28"/>
          <w:szCs w:val="28"/>
          <w:highlight w:val="none"/>
        </w:rPr>
        <w:t xml:space="preserve">1.投标文件接收截止及开标时间：</w:t>
      </w:r>
      <w:r>
        <w:rPr>
          <w:rStyle w:val="1211"/>
          <w:rFonts w:hint="eastAsia" w:ascii="宋体" w:hAnsi="宋体" w:eastAsia="宋体" w:cs="宋体"/>
          <w:b/>
          <w:bCs/>
          <w:color w:val="auto"/>
          <w:sz w:val="28"/>
          <w:szCs w:val="28"/>
          <w:highlight w:val="none"/>
        </w:rPr>
        <w:t xml:space="preserve">202</w:t>
      </w:r>
      <w:r>
        <w:rPr>
          <w:rStyle w:val="1211"/>
          <w:rFonts w:hint="eastAsia" w:ascii="宋体" w:hAnsi="宋体" w:cs="宋体"/>
          <w:b/>
          <w:bCs/>
          <w:color w:val="auto"/>
          <w:sz w:val="28"/>
          <w:szCs w:val="28"/>
          <w:highlight w:val="none"/>
          <w:lang w:val="en-US" w:eastAsia="zh-CN"/>
        </w:rPr>
        <w:t xml:space="preserve">6</w:t>
      </w:r>
      <w:r>
        <w:rPr>
          <w:rStyle w:val="1211"/>
          <w:rFonts w:hint="eastAsia" w:ascii="宋体" w:hAnsi="宋体" w:eastAsia="宋体" w:cs="宋体"/>
          <w:b/>
          <w:bCs/>
          <w:color w:val="auto"/>
          <w:sz w:val="28"/>
          <w:szCs w:val="28"/>
          <w:highlight w:val="none"/>
        </w:rPr>
        <w:t xml:space="preserve">年</w:t>
      </w:r>
      <w:r>
        <w:rPr>
          <w:rStyle w:val="1211"/>
          <w:rFonts w:hint="eastAsia" w:ascii="宋体" w:hAnsi="宋体" w:cs="宋体"/>
          <w:b/>
          <w:bCs/>
          <w:color w:val="auto"/>
          <w:sz w:val="28"/>
          <w:szCs w:val="28"/>
          <w:highlight w:val="none"/>
          <w:lang w:val="en-US" w:eastAsia="zh-CN"/>
        </w:rPr>
        <w:t xml:space="preserve">9</w:t>
      </w:r>
      <w:r>
        <w:rPr>
          <w:rStyle w:val="1211"/>
          <w:rFonts w:hint="eastAsia" w:ascii="宋体" w:hAnsi="宋体" w:eastAsia="宋体" w:cs="宋体"/>
          <w:b/>
          <w:bCs/>
          <w:color w:val="auto"/>
          <w:sz w:val="28"/>
          <w:szCs w:val="28"/>
          <w:highlight w:val="none"/>
        </w:rPr>
        <w:t xml:space="preserve">月</w:t>
      </w:r>
      <w:r>
        <w:rPr>
          <w:rStyle w:val="1211"/>
          <w:rFonts w:hint="eastAsia" w:ascii="宋体" w:hAnsi="宋体" w:cs="宋体"/>
          <w:b/>
          <w:bCs/>
          <w:color w:val="auto"/>
          <w:sz w:val="28"/>
          <w:szCs w:val="28"/>
          <w:highlight w:val="none"/>
          <w:lang w:val="en-US" w:eastAsia="zh-CN"/>
        </w:rPr>
        <w:t xml:space="preserve">10</w:t>
      </w:r>
      <w:r>
        <w:rPr>
          <w:rStyle w:val="1211"/>
          <w:rFonts w:hint="eastAsia" w:ascii="宋体" w:hAnsi="宋体" w:eastAsia="宋体" w:cs="宋体"/>
          <w:b/>
          <w:bCs/>
          <w:color w:val="auto"/>
          <w:sz w:val="28"/>
          <w:szCs w:val="28"/>
          <w:highlight w:val="none"/>
        </w:rPr>
        <w:t xml:space="preserve">日</w:t>
      </w:r>
      <w:r>
        <w:rPr>
          <w:rStyle w:val="1211"/>
          <w:rFonts w:hint="eastAsia" w:ascii="宋体" w:hAnsi="宋体" w:eastAsia="宋体" w:cs="宋体"/>
          <w:b/>
          <w:bCs/>
          <w:color w:val="auto"/>
          <w:sz w:val="28"/>
          <w:szCs w:val="28"/>
          <w:highlight w:val="none"/>
          <w:lang w:val="en-US" w:eastAsia="zh-CN"/>
        </w:rPr>
        <w:t xml:space="preserve">8</w:t>
      </w:r>
      <w:r>
        <w:rPr>
          <w:rStyle w:val="1211"/>
          <w:rFonts w:hint="eastAsia" w:ascii="宋体" w:hAnsi="宋体" w:eastAsia="宋体" w:cs="宋体"/>
          <w:b/>
          <w:bCs/>
          <w:color w:val="auto"/>
          <w:sz w:val="28"/>
          <w:szCs w:val="28"/>
          <w:highlight w:val="none"/>
        </w:rPr>
        <w:t xml:space="preserve">点</w:t>
      </w:r>
      <w:r>
        <w:rPr>
          <w:rStyle w:val="1211"/>
          <w:rFonts w:hint="eastAsia" w:ascii="宋体" w:hAnsi="宋体" w:eastAsia="宋体" w:cs="宋体"/>
          <w:b/>
          <w:bCs/>
          <w:color w:val="auto"/>
          <w:sz w:val="28"/>
          <w:szCs w:val="28"/>
          <w:highlight w:val="none"/>
          <w:lang w:val="en-US" w:eastAsia="zh-CN"/>
        </w:rPr>
        <w:t xml:space="preserve">00</w:t>
      </w:r>
      <w:r>
        <w:rPr>
          <w:rStyle w:val="1211"/>
          <w:rFonts w:hint="eastAsia" w:ascii="宋体" w:hAnsi="宋体" w:eastAsia="宋体" w:cs="宋体"/>
          <w:b/>
          <w:bCs/>
          <w:color w:val="auto"/>
          <w:sz w:val="28"/>
          <w:szCs w:val="28"/>
          <w:highlight w:val="none"/>
        </w:rPr>
        <w:t xml:space="preserve">分（北京时间）</w:t>
      </w:r>
      <w:r>
        <w:rPr>
          <w:rStyle w:val="1211"/>
          <w:rFonts w:hint="eastAsia" w:ascii="宋体" w:hAnsi="宋体" w:eastAsia="宋体" w:cs="宋体"/>
          <w:color w:val="auto"/>
          <w:sz w:val="28"/>
          <w:szCs w:val="28"/>
          <w:highlight w:val="none"/>
        </w:rPr>
        <w:t xml:space="preserve">，逾时“苏采云”系统将拒绝接受上传投标文件电子文档。</w:t>
      </w:r>
      <w:r/>
    </w:p>
    <w:p>
      <w:pPr>
        <w:ind w:firstLine="420"/>
        <w:keepLines w:val="0"/>
        <w:keepNext w:val="0"/>
        <w:pageBreakBefore w:val="0"/>
        <w:spacing w:line="500" w:lineRule="exact"/>
        <w:widowControl w:val="off"/>
        <w:rPr>
          <w:rStyle w:val="1211"/>
          <w:rFonts w:hint="eastAsia" w:ascii="宋体" w:hAnsi="宋体" w:eastAsia="宋体" w:cs="宋体"/>
          <w:color w:val="auto"/>
          <w:sz w:val="28"/>
          <w:szCs w:val="28"/>
          <w:highlight w:val="none"/>
          <w:lang w:eastAsia="en-US"/>
        </w:rPr>
      </w:pPr>
      <w:r>
        <w:rPr>
          <w:rStyle w:val="1211"/>
          <w:rFonts w:hint="eastAsia" w:ascii="宋体" w:hAnsi="宋体" w:eastAsia="宋体" w:cs="宋体"/>
          <w:color w:val="auto"/>
          <w:sz w:val="28"/>
          <w:szCs w:val="28"/>
          <w:highlight w:val="none"/>
          <w:lang w:eastAsia="en-US"/>
        </w:rPr>
        <w:t xml:space="preserve">2.地点：“苏采云”系统（网址：http://jszfcg.jsczt.cn/）</w:t>
      </w:r>
      <w:r/>
    </w:p>
    <w:p>
      <w:pPr>
        <w:ind w:firstLine="420"/>
        <w:keepLines w:val="0"/>
        <w:keepNext w:val="0"/>
        <w:pageBreakBefore w:val="0"/>
        <w:spacing w:line="500" w:lineRule="exact"/>
        <w:widowControl w:val="off"/>
        <w:rPr>
          <w:rStyle w:val="1211"/>
          <w:rFonts w:hint="eastAsia" w:ascii="宋体" w:hAnsi="宋体" w:eastAsia="宋体" w:cs="宋体"/>
          <w:color w:val="auto"/>
          <w:sz w:val="28"/>
          <w:szCs w:val="28"/>
          <w:highlight w:val="none"/>
        </w:rPr>
      </w:pPr>
      <w:r>
        <w:rPr>
          <w:rStyle w:val="1211"/>
          <w:rFonts w:hint="eastAsia" w:ascii="宋体" w:hAnsi="宋体" w:eastAsia="宋体" w:cs="宋体"/>
          <w:color w:val="auto"/>
          <w:sz w:val="28"/>
          <w:szCs w:val="28"/>
          <w:highlight w:val="none"/>
        </w:rPr>
        <w:t xml:space="preserve">3.投标文件的解密：开标当天各供应商及时登录不见面开标大厅，投标文件接收截止时间后，</w:t>
      </w:r>
      <w:r>
        <w:rPr>
          <w:rStyle w:val="1211"/>
          <w:rFonts w:hint="eastAsia" w:ascii="宋体" w:hAnsi="宋体" w:cs="宋体"/>
          <w:color w:val="auto"/>
          <w:sz w:val="28"/>
          <w:szCs w:val="28"/>
          <w:highlight w:val="none"/>
          <w:lang w:eastAsia="zh-CN"/>
        </w:rPr>
        <w:t xml:space="preserve">采购人</w:t>
      </w:r>
      <w:r>
        <w:rPr>
          <w:rStyle w:val="1211"/>
          <w:rFonts w:hint="eastAsia" w:ascii="宋体" w:hAnsi="宋体" w:eastAsia="宋体" w:cs="宋体"/>
          <w:color w:val="auto"/>
          <w:sz w:val="28"/>
          <w:szCs w:val="28"/>
          <w:highlight w:val="none"/>
        </w:rPr>
        <w:t xml:space="preserve">将在系统内公布供应商名单，然后通过开标会议区发出投标文件解密的指令，投标人在开标室按规定时间自行实施远程解密，</w:t>
      </w:r>
      <w:r>
        <w:rPr>
          <w:rStyle w:val="1211"/>
          <w:rFonts w:hint="eastAsia" w:ascii="宋体" w:hAnsi="宋体" w:eastAsia="宋体" w:cs="宋体"/>
          <w:b/>
          <w:bCs/>
          <w:color w:val="auto"/>
          <w:sz w:val="28"/>
          <w:szCs w:val="28"/>
          <w:highlight w:val="none"/>
        </w:rPr>
        <w:t xml:space="preserve">投标人解密限定在开标后30分钟之内完成</w:t>
      </w:r>
      <w:r>
        <w:rPr>
          <w:rStyle w:val="1211"/>
          <w:rFonts w:hint="eastAsia" w:ascii="宋体" w:hAnsi="宋体" w:eastAsia="宋体" w:cs="宋体"/>
          <w:color w:val="auto"/>
          <w:sz w:val="28"/>
          <w:szCs w:val="28"/>
          <w:highlight w:val="none"/>
        </w:rPr>
        <w:t xml:space="preserve">。</w:t>
      </w:r>
      <w:r>
        <w:rPr>
          <w:rStyle w:val="1211"/>
          <w:rFonts w:hint="eastAsia" w:ascii="宋体" w:hAnsi="宋体" w:eastAsia="宋体" w:cs="宋体"/>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w:t>
      </w:r>
      <w:r>
        <w:rPr>
          <w:rStyle w:val="1211"/>
          <w:rFonts w:hint="eastAsia" w:ascii="宋体" w:hAnsi="宋体" w:cs="宋体"/>
          <w:color w:val="auto"/>
          <w:sz w:val="28"/>
          <w:szCs w:val="28"/>
          <w:highlight w:val="none"/>
          <w:u w:val="single"/>
          <w:lang w:eastAsia="zh-CN"/>
        </w:rPr>
        <w:t xml:space="preserve">采购人</w:t>
      </w:r>
      <w:r>
        <w:rPr>
          <w:rStyle w:val="1211"/>
          <w:rFonts w:hint="eastAsia" w:ascii="宋体" w:hAnsi="宋体" w:eastAsia="宋体" w:cs="宋体"/>
          <w:color w:val="auto"/>
          <w:sz w:val="28"/>
          <w:szCs w:val="28"/>
          <w:highlight w:val="none"/>
          <w:u w:val="single"/>
        </w:rPr>
        <w:t xml:space="preserve">（或</w:t>
      </w:r>
      <w:r>
        <w:rPr>
          <w:rStyle w:val="1211"/>
          <w:rFonts w:hint="eastAsia" w:ascii="宋体" w:hAnsi="宋体" w:cs="宋体"/>
          <w:color w:val="auto"/>
          <w:sz w:val="28"/>
          <w:szCs w:val="28"/>
          <w:highlight w:val="none"/>
          <w:u w:val="single"/>
          <w:lang w:eastAsia="zh-CN"/>
        </w:rPr>
        <w:t xml:space="preserve">采购代理机构</w:t>
      </w:r>
      <w:r>
        <w:rPr>
          <w:rStyle w:val="1211"/>
          <w:rFonts w:hint="eastAsia" w:ascii="宋体" w:hAnsi="宋体" w:eastAsia="宋体" w:cs="宋体"/>
          <w:color w:val="auto"/>
          <w:sz w:val="28"/>
          <w:szCs w:val="28"/>
          <w:highlight w:val="none"/>
          <w:u w:val="single"/>
        </w:rPr>
        <w:t xml:space="preserve">）原因或网上招投标平台发生故障，导致无法按时完成投标文件解密或开、评标工作无法进行的，可根据实际情况相应延迟解密时间或调整开、评标时间。</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五、公告期限</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自本公告发布之日起5个工作日。</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六、其他补充事宜</w:t>
      </w:r>
      <w:r/>
    </w:p>
    <w:p>
      <w:pPr>
        <w:ind w:firstLine="567"/>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1.投标保证金：免收</w:t>
      </w:r>
      <w:r/>
    </w:p>
    <w:p>
      <w:pPr>
        <w:ind w:firstLine="567"/>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2.项目开标活动模式：</w:t>
      </w:r>
      <w:r>
        <w:rPr>
          <w:rFonts w:hint="eastAsia" w:ascii="宋体" w:hAnsi="宋体" w:eastAsia="宋体" w:cs="宋体"/>
          <w:color w:val="auto"/>
          <w:sz w:val="28"/>
          <w:szCs w:val="28"/>
          <w:highlight w:val="none"/>
          <w:lang w:val="en-US" w:eastAsia="zh-CN"/>
        </w:rPr>
        <w:t xml:space="preserve">采取</w:t>
      </w:r>
      <w:r>
        <w:rPr>
          <w:rFonts w:hint="eastAsia" w:ascii="宋体" w:hAnsi="宋体" w:eastAsia="宋体" w:cs="宋体"/>
          <w:color w:val="auto"/>
          <w:sz w:val="28"/>
          <w:szCs w:val="28"/>
          <w:highlight w:val="none"/>
        </w:rPr>
        <w:t xml:space="preserve">不见面远程开标模式，供应商在各自地点通过不见面交易系统参加开标会。</w:t>
      </w:r>
      <w:r/>
    </w:p>
    <w:p>
      <w:pPr>
        <w:ind w:firstLine="567"/>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3.项目演示：无。</w:t>
      </w:r>
      <w:r/>
    </w:p>
    <w:p>
      <w:pPr>
        <w:ind w:firstLine="567"/>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4.对采购方式、招标文件中项目需求、供应商资格条件、评标方法和评标标准、资格审查结果等应当由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负责答复。供应商对其他事项的质疑，请向代理机构提出，由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或代理机构负责答复。</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5.供应商应依照规定提交各类声明函、承诺函，不再同时</w:t>
      </w:r>
      <w:r>
        <w:rPr>
          <w:rFonts w:hint="eastAsia" w:ascii="宋体" w:hAnsi="宋体" w:eastAsia="宋体" w:cs="宋体"/>
          <w:color w:val="auto"/>
          <w:sz w:val="28"/>
          <w:szCs w:val="28"/>
          <w:highlight w:val="none"/>
          <w:lang w:val="en-US" w:eastAsia="zh-CN"/>
        </w:rPr>
        <w:t xml:space="preserve">提供原</w:t>
      </w:r>
      <w:r>
        <w:rPr>
          <w:rFonts w:hint="eastAsia" w:ascii="宋体" w:hAnsi="宋体" w:eastAsia="宋体" w:cs="宋体"/>
          <w:color w:val="auto"/>
          <w:sz w:val="28"/>
          <w:szCs w:val="28"/>
          <w:highlight w:val="none"/>
        </w:rPr>
        <w:t xml:space="preserve">件备查或提供有关部门出具的相关证明文件。但成交供应商应做好提交声明函、承诺函、认</w:t>
      </w:r>
      <w:r>
        <w:rPr>
          <w:rFonts w:hint="eastAsia" w:ascii="宋体" w:hAnsi="宋体" w:eastAsia="宋体" w:cs="宋体"/>
          <w:color w:val="auto"/>
          <w:sz w:val="28"/>
          <w:szCs w:val="28"/>
          <w:highlight w:val="none"/>
          <w:lang w:val="en-US" w:eastAsia="zh-CN"/>
        </w:rPr>
        <w:t xml:space="preserve">证</w:t>
      </w:r>
      <w:r>
        <w:rPr>
          <w:rFonts w:hint="eastAsia" w:ascii="宋体" w:hAnsi="宋体" w:eastAsia="宋体" w:cs="宋体"/>
          <w:color w:val="auto"/>
          <w:sz w:val="28"/>
          <w:szCs w:val="28"/>
          <w:highlight w:val="none"/>
        </w:rPr>
        <w:t xml:space="preserve">、业绩等相应原件的核查准备；核查后发现虚假或违背承诺的，依照相关法律法规规定处理。</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七、对本次招标提出询问，请按以下方式联系。</w:t>
      </w:r>
      <w:r/>
    </w:p>
    <w:p>
      <w:pPr>
        <w:ind w:firstLine="567"/>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1.</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lang w:eastAsia="zh-CN"/>
        </w:rPr>
        <w:t xml:space="preserve">信息</w:t>
      </w:r>
      <w:r/>
    </w:p>
    <w:p>
      <w:pPr>
        <w:ind w:firstLine="567"/>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名称：南通市人民政府国有资产监督管理委员会　　</w:t>
      </w:r>
      <w:r/>
    </w:p>
    <w:p>
      <w:pPr>
        <w:ind w:firstLine="567"/>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地址：江苏省南通市崇川区崇文路1号</w:t>
      </w:r>
      <w:r/>
    </w:p>
    <w:p>
      <w:pPr>
        <w:ind w:firstLine="567"/>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联系人:蒋先生</w:t>
      </w:r>
      <w:r/>
    </w:p>
    <w:p>
      <w:pPr>
        <w:ind w:firstLine="567"/>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联系方式:18260598413</w:t>
      </w:r>
      <w:r/>
    </w:p>
    <w:p>
      <w:pPr>
        <w:ind w:firstLine="567"/>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2.</w:t>
      </w:r>
      <w:r>
        <w:rPr>
          <w:rFonts w:hint="eastAsia" w:ascii="宋体" w:hAnsi="宋体" w:cs="宋体"/>
          <w:color w:val="auto"/>
          <w:sz w:val="28"/>
          <w:szCs w:val="28"/>
          <w:highlight w:val="none"/>
          <w:lang w:eastAsia="zh-CN"/>
        </w:rPr>
        <w:t xml:space="preserve">采购代理机构</w:t>
      </w:r>
      <w:r>
        <w:rPr>
          <w:rFonts w:hint="eastAsia" w:ascii="宋体" w:hAnsi="宋体" w:eastAsia="宋体" w:cs="宋体"/>
          <w:color w:val="auto"/>
          <w:sz w:val="28"/>
          <w:szCs w:val="28"/>
          <w:highlight w:val="none"/>
          <w:lang w:eastAsia="zh-CN"/>
        </w:rPr>
        <w:t xml:space="preserve">信息</w:t>
      </w:r>
      <w:r/>
    </w:p>
    <w:p>
      <w:pPr>
        <w:ind w:firstLine="567"/>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名称：江苏中润工程建设咨询有限公司</w:t>
      </w:r>
      <w:r/>
    </w:p>
    <w:p>
      <w:pPr>
        <w:ind w:firstLine="567"/>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地址：南通市崇川路58号南通产业技术研究院9号楼1004室</w:t>
      </w:r>
      <w:r/>
    </w:p>
    <w:p>
      <w:pPr>
        <w:ind w:firstLine="567"/>
        <w:keepLines w:val="0"/>
        <w:keepNext w:val="0"/>
        <w:pageBreakBefore w:val="0"/>
        <w:spacing w:line="50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联系方式：肖俊菁  </w:t>
      </w:r>
      <w:r>
        <w:rPr>
          <w:rFonts w:hint="eastAsia" w:ascii="宋体" w:hAnsi="宋体" w:eastAsia="宋体" w:cs="宋体"/>
          <w:color w:val="auto"/>
          <w:sz w:val="28"/>
          <w:szCs w:val="28"/>
          <w:highlight w:val="none"/>
          <w:lang w:val="en-US" w:eastAsia="zh-CN"/>
        </w:rPr>
        <w:t xml:space="preserve">051355887688  </w:t>
      </w:r>
      <w:r>
        <w:rPr>
          <w:rFonts w:hint="eastAsia" w:ascii="宋体" w:hAnsi="宋体" w:eastAsia="宋体" w:cs="宋体"/>
          <w:color w:val="auto"/>
          <w:sz w:val="28"/>
          <w:szCs w:val="28"/>
          <w:highlight w:val="none"/>
          <w:lang w:eastAsia="zh-CN"/>
        </w:rPr>
        <w:t xml:space="preserve">18106299008  </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邮箱：</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"mailto:279366603@qq.com" \o "mailto:279366603@qq.com" </w:instrText>
      </w:r>
      <w:r>
        <w:rPr>
          <w:rFonts w:hint="eastAsia" w:ascii="宋体" w:hAnsi="宋体" w:eastAsia="宋体" w:cs="宋体"/>
          <w:color w:val="auto"/>
          <w:highlight w:val="none"/>
        </w:rPr>
        <w:fldChar w:fldCharType="separate"/>
      </w:r>
      <w:r>
        <w:rPr>
          <w:rStyle w:val="1148"/>
          <w:rFonts w:hint="eastAsia" w:ascii="宋体" w:hAnsi="宋体" w:eastAsia="宋体" w:cs="宋体"/>
          <w:color w:val="auto"/>
          <w:sz w:val="28"/>
          <w:szCs w:val="28"/>
          <w:highlight w:val="none"/>
        </w:rPr>
        <w:t xml:space="preserve">279366603@qq.com</w:t>
      </w:r>
      <w:r>
        <w:rPr>
          <w:rStyle w:val="1148"/>
          <w:rFonts w:hint="eastAsia" w:ascii="宋体" w:hAnsi="宋体" w:eastAsia="宋体" w:cs="宋体"/>
          <w:color w:val="auto"/>
          <w:sz w:val="28"/>
          <w:szCs w:val="28"/>
          <w:highlight w:val="none"/>
        </w:rPr>
        <w:fldChar w:fldCharType="end"/>
      </w:r>
      <w:r/>
    </w:p>
    <w:p>
      <w:pPr>
        <w:ind w:firstLine="588"/>
        <w:keepLines w:val="0"/>
        <w:keepNext w:val="0"/>
        <w:pageBreakBefore w:val="0"/>
        <w:spacing w:line="500" w:lineRule="exact"/>
        <w:shd w:val="clear" w:color="auto" w:fill="ffffff"/>
        <w:widowControl w:val="off"/>
        <w:rPr>
          <w:rFonts w:hint="eastAsia" w:ascii="宋体" w:hAnsi="宋体" w:eastAsia="宋体" w:cs="宋体"/>
          <w:color w:val="auto"/>
          <w:spacing w:val="7"/>
          <w:sz w:val="28"/>
          <w:szCs w:val="28"/>
          <w:highlight w:val="none"/>
        </w:rPr>
      </w:pPr>
      <w:r>
        <w:rPr>
          <w:rFonts w:hint="eastAsia" w:ascii="宋体" w:hAnsi="宋体" w:eastAsia="宋体" w:cs="宋体"/>
          <w:color w:val="auto"/>
          <w:spacing w:val="7"/>
          <w:sz w:val="28"/>
          <w:szCs w:val="28"/>
          <w:highlight w:val="none"/>
        </w:rPr>
        <w:t xml:space="preserve">附件:</w:t>
      </w:r>
      <w:r/>
    </w:p>
    <w:p>
      <w:pPr>
        <w:ind w:firstLine="588"/>
        <w:keepLines w:val="0"/>
        <w:keepNext w:val="0"/>
        <w:pageBreakBefore w:val="0"/>
        <w:spacing w:line="500" w:lineRule="exact"/>
        <w:shd w:val="clear" w:color="auto" w:fill="ffffff"/>
        <w:widowControl w:val="off"/>
        <w:rPr>
          <w:rFonts w:hint="eastAsia" w:ascii="宋体" w:hAnsi="宋体" w:eastAsia="宋体" w:cs="宋体"/>
          <w:color w:val="auto"/>
          <w:spacing w:val="7"/>
          <w:sz w:val="28"/>
          <w:szCs w:val="28"/>
          <w:highlight w:val="none"/>
        </w:rPr>
      </w:pPr>
      <w:r>
        <w:rPr>
          <w:rFonts w:hint="eastAsia" w:ascii="宋体" w:hAnsi="宋体" w:eastAsia="宋体" w:cs="宋体"/>
          <w:color w:val="auto"/>
          <w:spacing w:val="7"/>
          <w:sz w:val="28"/>
          <w:szCs w:val="28"/>
          <w:highlight w:val="none"/>
        </w:rPr>
        <w:t xml:space="preserve">1.公开招标文件</w:t>
      </w:r>
      <w:r/>
    </w:p>
    <w:p>
      <w:pPr>
        <w:ind w:firstLine="588"/>
        <w:keepLines w:val="0"/>
        <w:keepNext w:val="0"/>
        <w:pageBreakBefore w:val="0"/>
        <w:spacing w:line="500" w:lineRule="exact"/>
        <w:shd w:val="clear" w:color="auto" w:fill="ffffff"/>
        <w:widowControl w:val="off"/>
        <w:rPr>
          <w:rFonts w:hint="eastAsia" w:ascii="宋体" w:hAnsi="宋体" w:eastAsia="宋体" w:cs="宋体"/>
          <w:color w:val="auto"/>
          <w:spacing w:val="7"/>
          <w:sz w:val="28"/>
          <w:szCs w:val="28"/>
          <w:highlight w:val="none"/>
        </w:rPr>
      </w:pPr>
      <w:r>
        <w:rPr>
          <w:rFonts w:hint="eastAsia" w:ascii="宋体" w:hAnsi="宋体" w:eastAsia="宋体" w:cs="宋体"/>
          <w:color w:val="auto"/>
          <w:spacing w:val="7"/>
          <w:sz w:val="28"/>
          <w:szCs w:val="28"/>
          <w:highlight w:val="none"/>
        </w:rPr>
        <w:t xml:space="preserve">2.</w:t>
      </w:r>
      <w:r>
        <w:rPr>
          <w:rFonts w:hint="eastAsia" w:ascii="宋体" w:hAnsi="宋体" w:cs="宋体"/>
          <w:color w:val="auto"/>
          <w:spacing w:val="7"/>
          <w:sz w:val="28"/>
          <w:szCs w:val="28"/>
          <w:highlight w:val="none"/>
          <w:lang w:eastAsia="zh-CN"/>
        </w:rPr>
        <w:t xml:space="preserve">采购人</w:t>
      </w:r>
      <w:r>
        <w:rPr>
          <w:rFonts w:hint="eastAsia" w:ascii="宋体" w:hAnsi="宋体" w:eastAsia="宋体" w:cs="宋体"/>
          <w:color w:val="auto"/>
          <w:spacing w:val="7"/>
          <w:sz w:val="28"/>
          <w:szCs w:val="28"/>
          <w:highlight w:val="none"/>
        </w:rPr>
        <w:t xml:space="preserve">信用承诺书</w:t>
      </w:r>
      <w:r/>
    </w:p>
    <w:p>
      <w:pPr>
        <w:ind w:firstLine="588"/>
        <w:keepLines w:val="0"/>
        <w:keepNext w:val="0"/>
        <w:pageBreakBefore w:val="0"/>
        <w:spacing w:line="500" w:lineRule="exact"/>
        <w:shd w:val="clear" w:color="auto" w:fill="ffffff"/>
        <w:widowControl w:val="off"/>
        <w:rPr>
          <w:rFonts w:hint="eastAsia" w:ascii="宋体" w:hAnsi="宋体" w:eastAsia="宋体" w:cs="宋体"/>
          <w:color w:val="auto"/>
          <w:spacing w:val="7"/>
          <w:sz w:val="28"/>
          <w:szCs w:val="28"/>
          <w:highlight w:val="none"/>
        </w:rPr>
      </w:pPr>
      <w:r>
        <w:rPr>
          <w:rFonts w:hint="eastAsia" w:ascii="宋体" w:hAnsi="宋体" w:eastAsia="宋体" w:cs="宋体"/>
          <w:color w:val="auto"/>
          <w:spacing w:val="7"/>
          <w:sz w:val="28"/>
          <w:szCs w:val="28"/>
          <w:highlight w:val="none"/>
        </w:rPr>
        <w:t xml:space="preserve">3.公平竞争审查二维码</w:t>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br w:type="page" w:clear="all"/>
      </w:r>
      <w:r>
        <w:rPr>
          <w:rFonts w:hint="eastAsia" w:ascii="宋体" w:hAnsi="宋体" w:eastAsia="宋体" w:cs="宋体"/>
          <w:b/>
          <w:bCs w:val="0"/>
          <w:color w:val="auto"/>
          <w:sz w:val="36"/>
          <w:szCs w:val="36"/>
          <w:highlight w:val="none"/>
        </w:rPr>
        <w:t xml:space="preserve">第二部分  投标须知</w:t>
      </w:r>
      <w:r/>
    </w:p>
    <w:p>
      <w:pPr>
        <w:pStyle w:val="1084"/>
        <w:ind w:firstLine="562"/>
        <w:pageBreakBefore w:val="0"/>
        <w:spacing w:before="0" w:after="0" w:line="500" w:lineRule="exact"/>
        <w:widowControl w:val="off"/>
        <w:rPr>
          <w:rFonts w:hint="eastAsia" w:ascii="宋体" w:hAnsi="宋体" w:eastAsia="宋体" w:cs="宋体"/>
          <w:color w:val="auto"/>
          <w:sz w:val="28"/>
          <w:szCs w:val="28"/>
          <w:highlight w:val="none"/>
        </w:rPr>
      </w:pPr>
      <w:r/>
      <w:bookmarkStart w:id="0" w:name="_Toc16938519"/>
      <w:r/>
      <w:bookmarkEnd w:id="0"/>
      <w:r/>
      <w:bookmarkStart w:id="1" w:name="_Toc20823275"/>
      <w:r/>
      <w:bookmarkEnd w:id="1"/>
      <w:r/>
      <w:bookmarkStart w:id="2" w:name="_Toc513029203"/>
      <w:r/>
      <w:bookmarkEnd w:id="2"/>
      <w:r/>
      <w:bookmarkStart w:id="3" w:name="_Toc120614214"/>
      <w:r/>
      <w:bookmarkEnd w:id="3"/>
      <w:r>
        <w:rPr>
          <w:rFonts w:hint="eastAsia" w:ascii="宋体" w:hAnsi="宋体" w:eastAsia="宋体" w:cs="宋体"/>
          <w:color w:val="auto"/>
          <w:sz w:val="28"/>
          <w:szCs w:val="28"/>
          <w:highlight w:val="none"/>
        </w:rPr>
        <w:t xml:space="preserve">一、总则</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4" w:name="_Hlt16619475"/>
      <w:r/>
      <w:bookmarkEnd w:id="4"/>
      <w:r/>
      <w:bookmarkStart w:id="5" w:name="_Toc513029204"/>
      <w:r/>
      <w:bookmarkEnd w:id="5"/>
      <w:r/>
      <w:bookmarkStart w:id="6" w:name="_Toc458694821"/>
      <w:r/>
      <w:bookmarkEnd w:id="6"/>
      <w:r/>
      <w:bookmarkStart w:id="7" w:name="_Toc16938520"/>
      <w:r/>
      <w:bookmarkEnd w:id="7"/>
      <w:r/>
      <w:bookmarkStart w:id="8" w:name="_Toc20823276"/>
      <w:r/>
      <w:bookmarkEnd w:id="8"/>
      <w:r>
        <w:rPr>
          <w:rFonts w:hint="eastAsia" w:ascii="宋体" w:hAnsi="宋体" w:eastAsia="宋体" w:cs="宋体"/>
          <w:color w:val="auto"/>
          <w:sz w:val="28"/>
          <w:szCs w:val="28"/>
          <w:highlight w:val="none"/>
        </w:rPr>
        <w:t xml:space="preserve">1.招标方式</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 本次招标采取公开招标方式，本招标文件仅适用于招标公告中所述项目。</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9" w:name="_Toc20823277"/>
      <w:r/>
      <w:bookmarkEnd w:id="9"/>
      <w:r/>
      <w:bookmarkStart w:id="10" w:name="_Toc513029205"/>
      <w:r/>
      <w:bookmarkEnd w:id="10"/>
      <w:r/>
      <w:bookmarkStart w:id="11" w:name="_Toc16938521"/>
      <w:r/>
      <w:bookmarkEnd w:id="11"/>
      <w:r>
        <w:rPr>
          <w:rFonts w:hint="eastAsia" w:ascii="宋体" w:hAnsi="宋体" w:eastAsia="宋体" w:cs="宋体"/>
          <w:color w:val="auto"/>
          <w:sz w:val="28"/>
          <w:szCs w:val="28"/>
          <w:highlight w:val="none"/>
        </w:rPr>
        <w:t xml:space="preserve">2.合格的投标人</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2.1满足招标公告中供应商的资格要求的规定。</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 满足本文件实质性条款的规定。</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12" w:name="_Toc513029206"/>
      <w:r/>
      <w:bookmarkEnd w:id="12"/>
      <w:r/>
      <w:bookmarkStart w:id="13" w:name="_Toc20823278"/>
      <w:r/>
      <w:bookmarkEnd w:id="13"/>
      <w:r/>
      <w:bookmarkStart w:id="14" w:name="_Toc16938522"/>
      <w:r/>
      <w:bookmarkEnd w:id="14"/>
      <w:r>
        <w:rPr>
          <w:rFonts w:hint="eastAsia" w:ascii="宋体" w:hAnsi="宋体" w:eastAsia="宋体" w:cs="宋体"/>
          <w:color w:val="auto"/>
          <w:sz w:val="28"/>
          <w:szCs w:val="28"/>
          <w:highlight w:val="none"/>
        </w:rPr>
        <w:t xml:space="preserve">3.适用法律</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3.1本次招标及由此产生的合同受中华人民共和国有关的法律法规制约和保护。</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15" w:name="_Toc462564067"/>
      <w:r/>
      <w:bookmarkEnd w:id="15"/>
      <w:r/>
      <w:bookmarkStart w:id="16" w:name="_Toc513029207"/>
      <w:r/>
      <w:bookmarkEnd w:id="16"/>
      <w:r/>
      <w:bookmarkStart w:id="17" w:name="_Toc20823279"/>
      <w:r/>
      <w:bookmarkEnd w:id="17"/>
      <w:r/>
      <w:bookmarkStart w:id="18" w:name="_Toc16938523"/>
      <w:r/>
      <w:bookmarkEnd w:id="18"/>
      <w:r>
        <w:rPr>
          <w:rFonts w:hint="eastAsia" w:ascii="宋体" w:hAnsi="宋体" w:eastAsia="宋体" w:cs="宋体"/>
          <w:color w:val="auto"/>
          <w:sz w:val="28"/>
          <w:szCs w:val="28"/>
          <w:highlight w:val="none"/>
        </w:rPr>
        <w:t xml:space="preserve">4.投标费用</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4.1</w:t>
      </w:r>
      <w:r>
        <w:rPr>
          <w:rFonts w:hint="eastAsia" w:ascii="宋体" w:hAnsi="宋体" w:eastAsia="宋体" w:cs="宋体"/>
          <w:color w:val="auto"/>
          <w:sz w:val="28"/>
          <w:szCs w:val="28"/>
          <w:highlight w:val="none"/>
        </w:rPr>
        <w:t xml:space="preserve">投标人应自行承担所有与参加投标有关的费用，无论投标过程中的做法和结果如何，江苏中润工程建设咨询有限公司（以下简称</w:t>
      </w:r>
      <w:r>
        <w:rPr>
          <w:rFonts w:hint="eastAsia" w:ascii="宋体" w:hAnsi="宋体" w:cs="宋体"/>
          <w:color w:val="auto"/>
          <w:sz w:val="28"/>
          <w:szCs w:val="28"/>
          <w:highlight w:val="none"/>
          <w:lang w:eastAsia="zh-CN"/>
        </w:rPr>
        <w:t xml:space="preserve">采购代理机构</w:t>
      </w:r>
      <w:r>
        <w:rPr>
          <w:rFonts w:hint="eastAsia" w:ascii="宋体" w:hAnsi="宋体" w:eastAsia="宋体" w:cs="宋体"/>
          <w:color w:val="auto"/>
          <w:sz w:val="28"/>
          <w:szCs w:val="28"/>
          <w:highlight w:val="none"/>
        </w:rPr>
        <w:t xml:space="preserve">）在任何情况下均无义务和责任承担这些费用。</w:t>
      </w:r>
      <w:r/>
    </w:p>
    <w:p>
      <w:pPr>
        <w:ind w:firstLine="560"/>
        <w:pageBreakBefore w:val="0"/>
        <w:spacing w:line="500" w:lineRule="exact"/>
        <w:widowControl w:val="off"/>
        <w:rPr>
          <w:rFonts w:hint="default" w:ascii="宋体" w:hAnsi="宋体" w:eastAsia="宋体" w:cs="宋体"/>
          <w:color w:val="auto"/>
          <w:sz w:val="28"/>
          <w:szCs w:val="28"/>
          <w:highlight w:val="none"/>
          <w:lang w:val="en-US"/>
        </w:rPr>
      </w:pPr>
      <w:r>
        <w:rPr>
          <w:rFonts w:hint="eastAsia" w:ascii="宋体" w:hAnsi="宋体" w:cs="宋体"/>
          <w:color w:val="auto"/>
          <w:sz w:val="28"/>
          <w:szCs w:val="28"/>
          <w:highlight w:val="none"/>
          <w:lang w:val="en-US" w:eastAsia="zh-CN"/>
        </w:rPr>
        <w:t xml:space="preserve">4.2</w:t>
      </w:r>
      <w:r>
        <w:rPr>
          <w:rFonts w:hint="eastAsia" w:ascii="宋体" w:hAnsi="宋体" w:eastAsia="宋体" w:cs="宋体"/>
          <w:color w:val="auto"/>
          <w:sz w:val="28"/>
          <w:szCs w:val="28"/>
          <w:highlight w:val="none"/>
          <w:lang w:val="en-US" w:eastAsia="zh-CN"/>
        </w:rPr>
        <w:t xml:space="preserve">根据江苏省财政厅《关于进一步规范政府采购活动相关费用管理的通知》（苏财规〔2026〕1号）文件</w:t>
      </w:r>
      <w:r>
        <w:rPr>
          <w:rFonts w:hint="eastAsia" w:ascii="宋体" w:hAnsi="宋体" w:cs="宋体"/>
          <w:color w:val="auto"/>
          <w:sz w:val="28"/>
          <w:szCs w:val="28"/>
          <w:highlight w:val="none"/>
          <w:lang w:val="en-US" w:eastAsia="zh-CN"/>
        </w:rPr>
        <w:t xml:space="preserve">相关</w:t>
      </w:r>
      <w:r>
        <w:rPr>
          <w:rFonts w:hint="eastAsia" w:ascii="宋体" w:hAnsi="宋体" w:eastAsia="宋体" w:cs="宋体"/>
          <w:color w:val="auto"/>
          <w:sz w:val="28"/>
          <w:szCs w:val="28"/>
          <w:highlight w:val="none"/>
          <w:lang w:val="en-US" w:eastAsia="zh-CN"/>
        </w:rPr>
        <w:t xml:space="preserve">规定，本项目招标代理费由中标人承担，专家评审费由</w:t>
      </w:r>
      <w:r>
        <w:rPr>
          <w:rFonts w:hint="eastAsia" w:ascii="宋体" w:hAnsi="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lang w:val="en-US" w:eastAsia="zh-CN"/>
        </w:rPr>
        <w:t xml:space="preserve">承担。</w:t>
      </w:r>
      <w:r/>
    </w:p>
    <w:p>
      <w:pPr>
        <w:ind w:firstLine="56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本项目</w:t>
      </w:r>
      <w:r>
        <w:rPr>
          <w:rFonts w:hint="eastAsia" w:ascii="宋体" w:hAnsi="宋体" w:cs="宋体"/>
          <w:color w:val="auto"/>
          <w:sz w:val="28"/>
          <w:szCs w:val="28"/>
          <w:highlight w:val="none"/>
          <w:lang w:val="en-US" w:eastAsia="zh-CN"/>
        </w:rPr>
        <w:t xml:space="preserve">由</w:t>
      </w:r>
      <w:r>
        <w:rPr>
          <w:rFonts w:hint="eastAsia" w:ascii="宋体" w:hAnsi="宋体" w:eastAsia="宋体" w:cs="宋体"/>
          <w:color w:val="auto"/>
          <w:sz w:val="28"/>
          <w:szCs w:val="28"/>
          <w:highlight w:val="none"/>
          <w:lang w:val="en-US" w:eastAsia="zh-CN"/>
        </w:rPr>
        <w:t xml:space="preserve">中标人</w:t>
      </w:r>
      <w:r>
        <w:rPr>
          <w:rFonts w:hint="eastAsia" w:ascii="宋体" w:hAnsi="宋体" w:cs="宋体"/>
          <w:color w:val="auto"/>
          <w:sz w:val="28"/>
          <w:szCs w:val="28"/>
          <w:highlight w:val="none"/>
          <w:lang w:val="en-US" w:eastAsia="zh-CN"/>
        </w:rPr>
        <w:t xml:space="preserve">承担的</w:t>
      </w:r>
      <w:r>
        <w:rPr>
          <w:rFonts w:hint="eastAsia" w:ascii="宋体" w:hAnsi="宋体" w:eastAsia="宋体" w:cs="宋体"/>
          <w:color w:val="auto"/>
          <w:sz w:val="28"/>
          <w:szCs w:val="28"/>
          <w:highlight w:val="none"/>
          <w:lang w:val="en-US" w:eastAsia="zh-CN"/>
        </w:rPr>
        <w:t xml:space="preserve">招标代理费</w:t>
      </w:r>
      <w:r>
        <w:rPr>
          <w:rFonts w:hint="eastAsia" w:ascii="宋体" w:hAnsi="宋体" w:cs="宋体"/>
          <w:color w:val="auto"/>
          <w:sz w:val="28"/>
          <w:szCs w:val="28"/>
          <w:highlight w:val="none"/>
          <w:lang w:val="en-US" w:eastAsia="zh-CN"/>
        </w:rPr>
        <w:t xml:space="preserve">包括</w:t>
      </w:r>
      <w:r>
        <w:rPr>
          <w:rFonts w:hint="eastAsia" w:ascii="宋体" w:hAnsi="宋体" w:eastAsia="宋体" w:cs="宋体"/>
          <w:color w:val="auto"/>
          <w:sz w:val="28"/>
          <w:szCs w:val="28"/>
          <w:highlight w:val="none"/>
          <w:lang w:val="en-US" w:eastAsia="zh-CN"/>
        </w:rPr>
        <w:t xml:space="preserve">：代理服务费1</w:t>
      </w:r>
      <w:r>
        <w:rPr>
          <w:rFonts w:hint="eastAsia" w:ascii="宋体" w:hAnsi="宋体" w:cs="宋体"/>
          <w:color w:val="auto"/>
          <w:sz w:val="28"/>
          <w:szCs w:val="28"/>
          <w:highlight w:val="none"/>
          <w:lang w:val="en-US" w:eastAsia="zh-CN"/>
        </w:rPr>
        <w:t xml:space="preserve">万</w:t>
      </w:r>
      <w:r>
        <w:rPr>
          <w:rFonts w:hint="eastAsia" w:ascii="宋体" w:hAnsi="宋体" w:eastAsia="宋体" w:cs="宋体"/>
          <w:color w:val="auto"/>
          <w:sz w:val="28"/>
          <w:szCs w:val="28"/>
          <w:highlight w:val="none"/>
          <w:lang w:val="en-US" w:eastAsia="zh-CN"/>
        </w:rPr>
        <w:t xml:space="preserve">元</w:t>
      </w:r>
      <w:r>
        <w:rPr>
          <w:rFonts w:hint="eastAsia" w:ascii="宋体" w:hAnsi="宋体" w:cs="宋体"/>
          <w:color w:val="auto"/>
          <w:sz w:val="28"/>
          <w:szCs w:val="28"/>
          <w:highlight w:val="none"/>
          <w:lang w:val="en-US" w:eastAsia="zh-CN"/>
        </w:rPr>
        <w:t xml:space="preserve">及按照财政相关规定</w:t>
      </w:r>
      <w:r>
        <w:rPr>
          <w:rFonts w:hint="eastAsia" w:ascii="宋体" w:hAnsi="宋体" w:eastAsia="宋体" w:cs="宋体"/>
          <w:color w:val="auto"/>
          <w:sz w:val="28"/>
          <w:szCs w:val="28"/>
          <w:highlight w:val="none"/>
          <w:lang w:val="en-US" w:eastAsia="zh-CN"/>
        </w:rPr>
        <w:t xml:space="preserve">据实列支</w:t>
      </w:r>
      <w:r>
        <w:rPr>
          <w:rFonts w:hint="eastAsia" w:ascii="宋体" w:hAnsi="宋体" w:cs="宋体"/>
          <w:color w:val="auto"/>
          <w:sz w:val="28"/>
          <w:szCs w:val="28"/>
          <w:highlight w:val="none"/>
          <w:lang w:val="en-US" w:eastAsia="zh-CN"/>
        </w:rPr>
        <w:t xml:space="preserve">的专家</w:t>
      </w:r>
      <w:r>
        <w:rPr>
          <w:rFonts w:hint="eastAsia" w:ascii="宋体" w:hAnsi="宋体" w:eastAsia="宋体" w:cs="宋体"/>
          <w:color w:val="auto"/>
          <w:sz w:val="28"/>
          <w:szCs w:val="28"/>
          <w:highlight w:val="none"/>
          <w:lang w:val="en-US" w:eastAsia="zh-CN"/>
        </w:rPr>
        <w:t xml:space="preserve">住宿及快餐费用。以上费用由各中标单位按对应标包分摊</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由中标人在领取中标通知书时支付给代理机构。因质疑、投诉或投标人自身原因等改变中标结果的，费用不予退还。</w:t>
      </w:r>
      <w:r/>
    </w:p>
    <w:p>
      <w:pPr>
        <w:ind w:firstLine="56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lang w:val="en-US" w:eastAsia="zh-CN"/>
        </w:rPr>
        <w:t xml:space="preserve">各标包投标报价需包含招标代理费，相关费用由投标人纳入报价统筹考虑。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5.招标文件的约束力</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w:t>
      </w:r>
      <w:r>
        <w:rPr>
          <w:rFonts w:hint="eastAsia" w:ascii="宋体" w:hAnsi="宋体" w:eastAsia="宋体" w:cs="宋体"/>
          <w:color w:val="auto"/>
          <w:sz w:val="28"/>
          <w:szCs w:val="28"/>
          <w:highlight w:val="none"/>
        </w:rPr>
        <w:t xml:space="preserve"> 投标人一旦参加本项目采购活动，即被认为接受了本招标文件的规定和约束。</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6.招标文件的解释</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eastAsia="宋体" w:cs="宋体"/>
          <w:color w:val="auto"/>
          <w:sz w:val="28"/>
          <w:szCs w:val="28"/>
          <w:highlight w:val="none"/>
        </w:rPr>
        <w:t xml:space="preserve">招标文件需求部分（供应商资格要求、项目需求、商务技术评分标准）由</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解释，其它部分由代理机构解释。</w:t>
      </w:r>
      <w:r/>
    </w:p>
    <w:p>
      <w:pPr>
        <w:pStyle w:val="1084"/>
        <w:ind w:firstLine="562"/>
        <w:pageBreakBefore w:val="0"/>
        <w:spacing w:before="0" w:after="0" w:line="500" w:lineRule="exact"/>
        <w:widowControl w:val="off"/>
        <w:rPr>
          <w:rFonts w:hint="eastAsia" w:ascii="宋体" w:hAnsi="宋体" w:eastAsia="宋体" w:cs="宋体"/>
          <w:color w:val="auto"/>
          <w:sz w:val="28"/>
          <w:szCs w:val="28"/>
          <w:highlight w:val="none"/>
        </w:rPr>
      </w:pPr>
      <w:r/>
      <w:bookmarkStart w:id="19" w:name="_Toc120614215"/>
      <w:r/>
      <w:bookmarkEnd w:id="19"/>
      <w:r/>
      <w:bookmarkStart w:id="20" w:name="_Toc16938525"/>
      <w:r/>
      <w:bookmarkEnd w:id="20"/>
      <w:r/>
      <w:bookmarkStart w:id="21" w:name="_Toc513029209"/>
      <w:r/>
      <w:bookmarkEnd w:id="21"/>
      <w:r/>
      <w:bookmarkStart w:id="22" w:name="_Toc20823281"/>
      <w:r/>
      <w:bookmarkEnd w:id="22"/>
      <w:r>
        <w:rPr>
          <w:rFonts w:hint="eastAsia" w:ascii="宋体" w:hAnsi="宋体" w:eastAsia="宋体" w:cs="宋体"/>
          <w:color w:val="auto"/>
          <w:sz w:val="28"/>
          <w:szCs w:val="28"/>
          <w:highlight w:val="none"/>
        </w:rPr>
        <w:t xml:space="preserve">二、招标文件</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23" w:name="_Toc20823282"/>
      <w:r/>
      <w:bookmarkEnd w:id="23"/>
      <w:r/>
      <w:bookmarkStart w:id="24" w:name="_Toc513029210"/>
      <w:r/>
      <w:bookmarkEnd w:id="24"/>
      <w:r/>
      <w:bookmarkStart w:id="25" w:name="_Toc16938526"/>
      <w:r/>
      <w:bookmarkEnd w:id="25"/>
      <w:r>
        <w:rPr>
          <w:rFonts w:hint="eastAsia" w:ascii="宋体" w:hAnsi="宋体" w:eastAsia="宋体" w:cs="宋体"/>
          <w:color w:val="auto"/>
          <w:sz w:val="28"/>
          <w:szCs w:val="28"/>
          <w:highlight w:val="none"/>
        </w:rPr>
        <w:t xml:space="preserve">1.招标文件构成</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 招标文件由以下部分组成：</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（1）招标邀请</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（2）投标须知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（4）开标和评标</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（5）投标文件组成</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（6）附件（如有）</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请仔细检查招标文件是否齐全，如有缺漏请立即与代理机构联系解决。</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26" w:name="_Toc16938527"/>
      <w:r/>
      <w:bookmarkEnd w:id="26"/>
      <w:r/>
      <w:bookmarkStart w:id="27" w:name="_Toc462564070"/>
      <w:r/>
      <w:bookmarkEnd w:id="27"/>
      <w:r/>
      <w:bookmarkStart w:id="28" w:name="_Toc20823283"/>
      <w:r/>
      <w:bookmarkEnd w:id="28"/>
      <w:r/>
      <w:bookmarkStart w:id="29" w:name="_Toc513029211"/>
      <w:r/>
      <w:bookmarkEnd w:id="29"/>
      <w:r>
        <w:rPr>
          <w:rFonts w:hint="eastAsia" w:ascii="宋体" w:hAnsi="宋体" w:eastAsia="宋体" w:cs="宋体"/>
          <w:color w:val="auto"/>
          <w:sz w:val="28"/>
          <w:szCs w:val="28"/>
          <w:highlight w:val="none"/>
        </w:rPr>
        <w:t xml:space="preserve">2.招标文件的澄清</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 任何要求对招标文件进行澄清的投标人，应在投标截止期十日前按招标公告中的通讯地址，以书面形式通知</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有权对发出的招标文件进行必要的澄清或修改</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视情组织答疑会</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30" w:name="_Toc513029212"/>
      <w:r/>
      <w:bookmarkEnd w:id="30"/>
      <w:r/>
      <w:bookmarkStart w:id="31" w:name="_Toc462564071"/>
      <w:r/>
      <w:bookmarkEnd w:id="31"/>
      <w:r/>
      <w:bookmarkStart w:id="32" w:name="_Toc20823284"/>
      <w:r/>
      <w:bookmarkEnd w:id="32"/>
      <w:r/>
      <w:bookmarkStart w:id="33" w:name="_Toc16938528"/>
      <w:r/>
      <w:bookmarkEnd w:id="33"/>
      <w:r>
        <w:rPr>
          <w:rFonts w:hint="eastAsia" w:ascii="宋体" w:hAnsi="宋体" w:eastAsia="宋体" w:cs="宋体"/>
          <w:color w:val="auto"/>
          <w:sz w:val="28"/>
          <w:szCs w:val="28"/>
          <w:highlight w:val="none"/>
        </w:rPr>
        <w:t xml:space="preserve">3.招标文件的修改</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 在投标截止时间前，代理机构可以对招标文件进行修改。</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3.2 </w:t>
      </w:r>
      <w:r>
        <w:rPr>
          <w:rFonts w:hint="eastAsia" w:ascii="宋体" w:hAnsi="宋体" w:eastAsia="宋体" w:cs="宋体"/>
          <w:color w:val="auto"/>
          <w:sz w:val="28"/>
          <w:szCs w:val="28"/>
          <w:highlight w:val="none"/>
        </w:rPr>
        <w:t xml:space="preserve">代理机构有权按照法定的要求推迟投标截止日期和开标日期。</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3.3 </w:t>
      </w:r>
      <w:r>
        <w:rPr>
          <w:rFonts w:hint="eastAsia" w:ascii="宋体" w:hAnsi="宋体" w:eastAsia="宋体" w:cs="宋体"/>
          <w:color w:val="auto"/>
          <w:sz w:val="28"/>
          <w:szCs w:val="28"/>
          <w:highlight w:val="none"/>
        </w:rPr>
        <w:t xml:space="preserve">招标文件的修改将在</w:t>
      </w:r>
      <w:r>
        <w:rPr>
          <w:rFonts w:hint="eastAsia" w:ascii="宋体" w:hAnsi="宋体" w:cs="宋体"/>
          <w:color w:val="auto"/>
          <w:sz w:val="28"/>
          <w:szCs w:val="28"/>
          <w:highlight w:val="none"/>
          <w:lang w:eastAsia="zh-CN"/>
        </w:rPr>
        <w:t xml:space="preserve">江苏政府采购网</w:t>
      </w:r>
      <w:r>
        <w:rPr>
          <w:rFonts w:hint="eastAsia" w:ascii="宋体" w:hAnsi="宋体" w:eastAsia="宋体" w:cs="宋体"/>
          <w:color w:val="auto"/>
          <w:sz w:val="28"/>
          <w:szCs w:val="28"/>
          <w:highlight w:val="none"/>
        </w:rPr>
        <w:t xml:space="preserve">公布，补充文件将作为招标文件的组成部分，并对投标人具有约束力。</w:t>
      </w:r>
      <w:r/>
    </w:p>
    <w:p>
      <w:pPr>
        <w:ind w:firstLine="482"/>
        <w:pageBreakBefore w:val="0"/>
        <w:spacing w:line="500" w:lineRule="exact"/>
        <w:widowControl w:val="off"/>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u w:val="single"/>
        </w:rPr>
        <w:t xml:space="preserve">4.在投标文件提交截止日期，</w:t>
      </w:r>
      <w:r>
        <w:rPr>
          <w:rFonts w:hint="eastAsia" w:ascii="宋体" w:hAnsi="宋体" w:cs="宋体"/>
          <w:b/>
          <w:bCs/>
          <w:color w:val="auto"/>
          <w:sz w:val="28"/>
          <w:szCs w:val="28"/>
          <w:highlight w:val="none"/>
          <w:u w:val="single"/>
          <w:lang w:eastAsia="zh-CN"/>
        </w:rPr>
        <w:t xml:space="preserve">采购人</w:t>
      </w:r>
      <w:r>
        <w:rPr>
          <w:rFonts w:hint="eastAsia" w:ascii="宋体" w:hAnsi="宋体" w:eastAsia="宋体" w:cs="宋体"/>
          <w:b/>
          <w:bCs/>
          <w:color w:val="auto"/>
          <w:sz w:val="28"/>
          <w:szCs w:val="28"/>
          <w:highlight w:val="none"/>
          <w:u w:val="single"/>
        </w:rPr>
        <w:t xml:space="preserve">对招标文件进行澄清或者修改的，通过“苏采云”系统发布澄清公告或者修改的内容。澄清或者修改的内容以所发布的本项目的“更正（澄清）公告”的形式通知所有获取招标文件的潜在投标人。发布本项目的“更正（澄清）公告”后</w:t>
      </w:r>
      <w:r>
        <w:rPr>
          <w:rFonts w:hint="eastAsia" w:ascii="宋体" w:hAnsi="宋体" w:cs="宋体"/>
          <w:b/>
          <w:bCs/>
          <w:color w:val="auto"/>
          <w:sz w:val="28"/>
          <w:szCs w:val="28"/>
          <w:highlight w:val="none"/>
          <w:u w:val="single"/>
          <w:lang w:eastAsia="zh-CN"/>
        </w:rPr>
        <w:t xml:space="preserve">采购代理机构</w:t>
      </w:r>
      <w:r>
        <w:rPr>
          <w:rFonts w:hint="eastAsia" w:ascii="宋体" w:hAnsi="宋体" w:eastAsia="宋体" w:cs="宋体"/>
          <w:b/>
          <w:bCs/>
          <w:color w:val="auto"/>
          <w:sz w:val="28"/>
          <w:szCs w:val="28"/>
          <w:highlight w:val="none"/>
          <w:u w:val="single"/>
        </w:rPr>
        <w:t xml:space="preserve">已尽通知义务。敬请各潜在投标人关注本项目的“更正（澄清）公告”，并通过“苏采云”系统重新下载更正（澄清）后的招标文件（后缀名为“.kedt”），离线编制投标文件，否则，将自行承担相应的风险。</w:t>
      </w:r>
      <w:r/>
    </w:p>
    <w:p>
      <w:pPr>
        <w:ind w:firstLine="482"/>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5.投标人对</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提供的招标文件所做出的推论、解释和结论，</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概不负责。投标人由于对招标文件的任何推论和误解以及</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对有关问题的口头解释所造成的后果，均由各潜在投标人自负。</w:t>
      </w:r>
      <w:r/>
    </w:p>
    <w:p>
      <w:pPr>
        <w:pStyle w:val="1084"/>
        <w:ind w:firstLine="562"/>
        <w:pageBreakBefore w:val="0"/>
        <w:spacing w:before="0" w:after="0"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三、投标文件的编制</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34" w:name="_Toc20823286"/>
      <w:r/>
      <w:bookmarkEnd w:id="34"/>
      <w:r/>
      <w:bookmarkStart w:id="35" w:name="_Toc462564073"/>
      <w:r/>
      <w:bookmarkEnd w:id="35"/>
      <w:r/>
      <w:bookmarkStart w:id="36" w:name="_Toc513029214"/>
      <w:r/>
      <w:bookmarkEnd w:id="36"/>
      <w:r/>
      <w:bookmarkStart w:id="37" w:name="_Toc16938530"/>
      <w:r/>
      <w:bookmarkEnd w:id="37"/>
      <w:r>
        <w:rPr>
          <w:rFonts w:hint="eastAsia" w:ascii="宋体" w:hAnsi="宋体" w:eastAsia="宋体" w:cs="宋体"/>
          <w:color w:val="auto"/>
          <w:sz w:val="28"/>
          <w:szCs w:val="28"/>
          <w:highlight w:val="none"/>
        </w:rPr>
        <w:t xml:space="preserve">1.投标文件的语言及度量衡单位</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 投标人提交的投标文件以及投标人与代理机构就有关投标的所有来往通知、函件和文件均应使用</w:t>
      </w:r>
      <w:r>
        <w:rPr>
          <w:rFonts w:hint="eastAsia" w:ascii="宋体" w:hAnsi="宋体" w:eastAsia="宋体" w:cs="宋体"/>
          <w:bCs/>
          <w:color w:val="auto"/>
          <w:sz w:val="28"/>
          <w:szCs w:val="28"/>
          <w:highlight w:val="none"/>
        </w:rPr>
        <w:t xml:space="preserve">简体中文</w:t>
      </w:r>
      <w:r>
        <w:rPr>
          <w:rFonts w:hint="eastAsia" w:ascii="宋体" w:hAnsi="宋体" w:eastAsia="宋体" w:cs="宋体"/>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 除技术性能另有规定外，投标文件所使用的度量衡单位，均须采用国家法定计量单位。</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38" w:name="_Toc20823287"/>
      <w:r/>
      <w:bookmarkEnd w:id="38"/>
      <w:r/>
      <w:bookmarkStart w:id="39" w:name="_Toc513029215"/>
      <w:r/>
      <w:bookmarkEnd w:id="39"/>
      <w:r/>
      <w:bookmarkStart w:id="40" w:name="_Toc462564074"/>
      <w:r/>
      <w:bookmarkEnd w:id="40"/>
      <w:r/>
      <w:bookmarkStart w:id="41" w:name="_Toc16938531"/>
      <w:r/>
      <w:bookmarkEnd w:id="41"/>
      <w:r>
        <w:rPr>
          <w:rFonts w:hint="eastAsia" w:ascii="宋体" w:hAnsi="宋体" w:eastAsia="宋体" w:cs="宋体"/>
          <w:color w:val="auto"/>
          <w:sz w:val="28"/>
          <w:szCs w:val="28"/>
          <w:highlight w:val="none"/>
        </w:rPr>
        <w:t xml:space="preserve">2.投标文件构成</w:t>
      </w:r>
      <w:r/>
    </w:p>
    <w:p>
      <w:pPr>
        <w:ind w:firstLine="560"/>
        <w:pageBreakBefore w:val="0"/>
        <w:spacing w:line="500" w:lineRule="exact"/>
        <w:widowControl w:val="off"/>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 投标人编写的投标文件应包括资格审查证明材料文件、商务技术标文件、价格标文件。供应商按“第五部分 投标文件组成”要求编写投标文件</w:t>
      </w:r>
      <w:r>
        <w:rPr>
          <w:rFonts w:hint="eastAsia" w:ascii="宋体" w:hAnsi="宋体" w:eastAsia="宋体" w:cs="宋体"/>
          <w:color w:val="auto"/>
          <w:sz w:val="28"/>
          <w:szCs w:val="28"/>
          <w:highlight w:val="none"/>
          <w:lang w:eastAsia="zh-CN"/>
        </w:rPr>
        <w:t xml:space="preserve">。</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42" w:name="_Hlt26668975"/>
      <w:r/>
      <w:bookmarkEnd w:id="42"/>
      <w:r/>
      <w:bookmarkStart w:id="43" w:name="_Hlt26670360"/>
      <w:r/>
      <w:bookmarkEnd w:id="43"/>
      <w:r/>
      <w:bookmarkStart w:id="44" w:name="_Toc14577360"/>
      <w:r/>
      <w:bookmarkEnd w:id="44"/>
      <w:r/>
      <w:bookmarkStart w:id="45" w:name="_Toc49090511"/>
      <w:r/>
      <w:bookmarkEnd w:id="45"/>
      <w:r/>
      <w:bookmarkStart w:id="46" w:name="_Hlt26954838"/>
      <w:r/>
      <w:bookmarkEnd w:id="46"/>
      <w:r>
        <w:rPr>
          <w:rFonts w:hint="eastAsia" w:ascii="宋体" w:hAnsi="宋体" w:eastAsia="宋体" w:cs="宋体"/>
          <w:color w:val="auto"/>
          <w:sz w:val="28"/>
          <w:szCs w:val="28"/>
          <w:highlight w:val="none"/>
        </w:rPr>
        <w:t xml:space="preserve">3.投标有效期</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3.1投标有效期为代理机构规定的开标之日后</w:t>
      </w:r>
      <w:r>
        <w:rPr>
          <w:rFonts w:hint="eastAsia" w:ascii="宋体" w:hAnsi="宋体" w:eastAsia="宋体" w:cs="宋体"/>
          <w:b/>
          <w:color w:val="auto"/>
          <w:sz w:val="28"/>
          <w:szCs w:val="28"/>
          <w:highlight w:val="none"/>
          <w:u w:val="single"/>
        </w:rPr>
        <w:t xml:space="preserve">六十（60）天</w:t>
      </w:r>
      <w:r>
        <w:rPr>
          <w:rFonts w:hint="eastAsia" w:ascii="宋体" w:hAnsi="宋体" w:eastAsia="宋体" w:cs="宋体"/>
          <w:bCs/>
          <w:color w:val="auto"/>
          <w:sz w:val="28"/>
          <w:szCs w:val="28"/>
          <w:highlight w:val="none"/>
        </w:rPr>
        <w:t xml:space="preserve">。投标有效期比规定短的将被视为非响应性投标而予以拒绝。</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4.投标有效期的延长</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宋体"/>
          <w:color w:val="auto"/>
          <w:sz w:val="28"/>
          <w:szCs w:val="28"/>
          <w:highlight w:val="none"/>
        </w:rPr>
        <w:t xml:space="preserve">受投标有效期约束的所有权利与义务均延长至新的有效期</w:t>
      </w:r>
      <w:r>
        <w:rPr>
          <w:rFonts w:hint="eastAsia" w:ascii="宋体" w:hAnsi="宋体" w:eastAsia="宋体" w:cs="宋体"/>
          <w:bCs/>
          <w:color w:val="auto"/>
          <w:sz w:val="28"/>
          <w:szCs w:val="28"/>
          <w:highlight w:val="none"/>
        </w:rPr>
        <w:t xml:space="preserve">。</w:t>
      </w:r>
      <w:r/>
    </w:p>
    <w:p>
      <w:pPr>
        <w:ind w:firstLine="560"/>
        <w:pageBreakBefore w:val="0"/>
        <w:spacing w:line="500" w:lineRule="exact"/>
        <w:widowControl w:val="off"/>
        <w:rPr>
          <w:rFonts w:hint="eastAsia" w:ascii="宋体" w:hAnsi="宋体" w:eastAsia="宋体" w:cs="宋体"/>
          <w:bCs/>
          <w:color w:val="auto"/>
          <w:sz w:val="28"/>
          <w:szCs w:val="28"/>
          <w:highlight w:val="none"/>
        </w:rPr>
      </w:pPr>
      <w:r/>
      <w:bookmarkStart w:id="47" w:name="_Hlt26954852"/>
      <w:r/>
      <w:bookmarkEnd w:id="47"/>
      <w:r/>
      <w:bookmarkStart w:id="48" w:name="_Hlt26954739"/>
      <w:r/>
      <w:bookmarkEnd w:id="48"/>
      <w:r>
        <w:rPr>
          <w:rFonts w:hint="eastAsia" w:ascii="宋体" w:hAnsi="宋体" w:eastAsia="宋体" w:cs="宋体"/>
          <w:bCs/>
          <w:color w:val="auto"/>
          <w:sz w:val="28"/>
          <w:szCs w:val="28"/>
          <w:highlight w:val="none"/>
        </w:rPr>
        <w:t xml:space="preserve">5.电子投标文件其他要求</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5.1电子招标投标交易平台（即“苏采云”系统）相关要求是本招标文件的组成部分。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5.2投标人应对CA证书妥善保管，如被他人盗用投标，因此带来的结果均由投标人自行承担。</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5.3投标人应当对招标文件提出的实质性要求和条件作出实质性响应，并在电子投标系统逐条应答。</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6.投标人应当在招标文件要求提交投标文件的截止时间前，将投标文件提交至“苏采云”系统，逾期提交的投标文件，“苏采云”系统将自动拒收。各投标人应在规定时间内凭CA证书进行网上解密。</w:t>
      </w:r>
      <w:r/>
    </w:p>
    <w:p>
      <w:pPr>
        <w:pStyle w:val="1084"/>
        <w:ind w:firstLine="562"/>
        <w:pageBreakBefore w:val="0"/>
        <w:spacing w:before="0" w:after="0"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四、投标文件的递交</w:t>
      </w:r>
      <w:r/>
    </w:p>
    <w:p>
      <w:pPr>
        <w:ind w:firstLine="560"/>
        <w:pageBreakBefore w:val="0"/>
        <w:spacing w:line="500" w:lineRule="exact"/>
        <w:widowControl w:val="off"/>
        <w:rPr>
          <w:rFonts w:hint="eastAsia" w:ascii="宋体" w:hAnsi="宋体" w:eastAsia="宋体" w:cs="宋体"/>
          <w:bCs/>
          <w:color w:val="auto"/>
          <w:sz w:val="28"/>
          <w:szCs w:val="28"/>
          <w:highlight w:val="none"/>
        </w:rPr>
      </w:pPr>
      <w:r/>
      <w:bookmarkStart w:id="49" w:name="_Toc20823297"/>
      <w:r/>
      <w:bookmarkEnd w:id="49"/>
      <w:r/>
      <w:bookmarkStart w:id="50" w:name="_Toc513029225"/>
      <w:r/>
      <w:bookmarkEnd w:id="50"/>
      <w:r/>
      <w:bookmarkStart w:id="51" w:name="_Toc16938541"/>
      <w:r/>
      <w:bookmarkEnd w:id="51"/>
      <w:r/>
      <w:bookmarkStart w:id="52" w:name="_Toc462564084"/>
      <w:r/>
      <w:bookmarkEnd w:id="52"/>
      <w:r>
        <w:rPr>
          <w:rFonts w:hint="eastAsia" w:ascii="宋体" w:hAnsi="宋体" w:eastAsia="宋体" w:cs="宋体"/>
          <w:bCs/>
          <w:color w:val="auto"/>
          <w:sz w:val="28"/>
          <w:szCs w:val="28"/>
          <w:highlight w:val="none"/>
        </w:rPr>
        <w:t xml:space="preserve">1.投标文件的提交</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1.1线上提交与接收地点：投标人应当通过“苏采云”系统提交数据电文形式的投标文件（即电子投标），“苏采云”系统自动接收。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2.提交投标文件截止日期</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2.1 投标人上传电子投标文件的时间不得迟于公开招标公告中规定的投标文件提交截止时间。</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2.2 </w:t>
      </w:r>
      <w:r>
        <w:rPr>
          <w:rFonts w:hint="eastAsia" w:ascii="宋体" w:hAnsi="宋体" w:cs="宋体"/>
          <w:bCs/>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采购代理机构</w:t>
      </w:r>
      <w:r>
        <w:rPr>
          <w:rFonts w:hint="eastAsia" w:ascii="宋体" w:hAnsi="宋体" w:eastAsia="宋体" w:cs="宋体"/>
          <w:bCs/>
          <w:color w:val="auto"/>
          <w:sz w:val="28"/>
          <w:szCs w:val="28"/>
          <w:highlight w:val="none"/>
        </w:rPr>
        <w:t xml:space="preserve">可以按照规定，通过修改投标文件酌情延长投标文件提交截止日期，在此情况下，投标人的所有权利和义务以及投标人受制的截止日期均应以延长后新的截止日期为准。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3.投标文件的密封（加密）要求：</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3.2投标人须通过“苏采云”系统提供的政府采购客户端工具（使用“CA数字证书”）加盖电子签章。</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说明：投标人应在用CA数字证书以及自备的能够登录“苏采云”系统的电脑，在达到开标时间后，使用CA数字证书解密各自投标文件。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3.3投标人未按规定加密的投标文件，“苏采云”系统将拒收并提示。</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4.投标文件的拒收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4.1 </w:t>
      </w:r>
      <w:r>
        <w:rPr>
          <w:rFonts w:hint="eastAsia" w:ascii="宋体" w:hAnsi="宋体" w:cs="宋体"/>
          <w:bCs/>
          <w:color w:val="auto"/>
          <w:sz w:val="28"/>
          <w:szCs w:val="28"/>
          <w:highlight w:val="none"/>
          <w:lang w:eastAsia="zh-CN"/>
        </w:rPr>
        <w:t xml:space="preserve">采购代理机构</w:t>
      </w:r>
      <w:r>
        <w:rPr>
          <w:rFonts w:hint="eastAsia" w:ascii="宋体" w:hAnsi="宋体" w:eastAsia="宋体" w:cs="宋体"/>
          <w:bCs/>
          <w:color w:val="auto"/>
          <w:sz w:val="28"/>
          <w:szCs w:val="28"/>
          <w:highlight w:val="none"/>
        </w:rPr>
        <w:t xml:space="preserve">拒绝接收在其规定的投标文件提交截止时间后上传的任何投标文件。</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 投标文件的撤回和修改</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 投标文件的撤回</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5.1.1 电子投标文件的撤回</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投标人可在投标文件提交截止时间前，撤回其电子投标文件，具体操作方法见“苏采云”系统供应商操作手册。</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5.1.2 投标人撤回电子投标文件，则认为其不再参与本项目投标活动。</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5.2 投标文件的修改</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投标人可在投标文件提交截止时间前，对其电子投标文件进行修改。具体操作方法见“苏采云”系统供应商操作手册。</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5.3 在投标文件提交截止时间之后，投标人不得对其电子投标文件作任何修改。</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5.4 在投标文件提交截止时间至招标文件中规定的投标有效期满之间的这段时间内，投标人不得撤回其投标文件。</w:t>
      </w:r>
      <w:r/>
    </w:p>
    <w:p>
      <w:pPr>
        <w:pStyle w:val="1084"/>
        <w:ind w:firstLine="562"/>
        <w:pageBreakBefore w:val="0"/>
        <w:spacing w:before="0" w:after="0"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五、开标与评标</w:t>
      </w:r>
      <w:r/>
    </w:p>
    <w:p>
      <w:pPr>
        <w:ind w:firstLine="3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1.开标</w:t>
      </w:r>
      <w:r/>
    </w:p>
    <w:p>
      <w:pPr>
        <w:ind w:firstLine="482"/>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1.1开标当天各投标人及时登录不见面开标大厅，响应文件提交截止时间后，</w:t>
      </w:r>
      <w:r>
        <w:rPr>
          <w:rFonts w:hint="eastAsia" w:ascii="宋体" w:hAnsi="宋体" w:cs="宋体"/>
          <w:b/>
          <w:color w:val="auto"/>
          <w:sz w:val="28"/>
          <w:szCs w:val="28"/>
          <w:highlight w:val="none"/>
          <w:lang w:eastAsia="zh-CN"/>
        </w:rPr>
        <w:t xml:space="preserve">采购代理机构</w:t>
      </w:r>
      <w:r>
        <w:rPr>
          <w:rFonts w:hint="eastAsia" w:ascii="宋体" w:hAnsi="宋体" w:eastAsia="宋体" w:cs="宋体"/>
          <w:b/>
          <w:color w:val="auto"/>
          <w:sz w:val="28"/>
          <w:szCs w:val="28"/>
          <w:highlight w:val="none"/>
        </w:rPr>
        <w:t xml:space="preserve">将在系统内公布投标人名单，然后通过开标会议区发出响应文件解密的指令，投标人按规定时间自行实施远程解密，投标人解密限定在开标后</w:t>
      </w:r>
      <w:r>
        <w:rPr>
          <w:rFonts w:hint="eastAsia" w:ascii="宋体" w:hAnsi="宋体" w:eastAsia="宋体" w:cs="宋体"/>
          <w:b/>
          <w:color w:val="auto"/>
          <w:sz w:val="28"/>
          <w:szCs w:val="28"/>
          <w:highlight w:val="none"/>
          <w:u w:val="single"/>
        </w:rPr>
        <w:t xml:space="preserve">30分钟之内</w:t>
      </w:r>
      <w:r>
        <w:rPr>
          <w:rFonts w:hint="eastAsia" w:ascii="宋体" w:hAnsi="宋体" w:eastAsia="宋体" w:cs="宋体"/>
          <w:b/>
          <w:color w:val="auto"/>
          <w:sz w:val="28"/>
          <w:szCs w:val="28"/>
          <w:highlight w:val="none"/>
        </w:rPr>
        <w:t xml:space="preserve">完成。</w:t>
      </w:r>
      <w:r/>
    </w:p>
    <w:p>
      <w:pPr>
        <w:ind w:firstLine="482"/>
        <w:pageBreakBefore w:val="0"/>
        <w:spacing w:line="500" w:lineRule="exact"/>
        <w:widowControl w:val="off"/>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eastAsia="宋体" w:cs="宋体"/>
          <w:b/>
          <w:color w:val="auto"/>
          <w:sz w:val="28"/>
          <w:szCs w:val="28"/>
          <w:highlight w:val="none"/>
        </w:rPr>
        <w:t xml:space="preserve">因</w:t>
      </w:r>
      <w:r>
        <w:rPr>
          <w:rFonts w:hint="eastAsia" w:ascii="宋体" w:hAnsi="宋体" w:cs="宋体"/>
          <w:b/>
          <w:color w:val="auto"/>
          <w:sz w:val="28"/>
          <w:szCs w:val="28"/>
          <w:highlight w:val="none"/>
          <w:lang w:eastAsia="zh-CN"/>
        </w:rPr>
        <w:t xml:space="preserve">采购人</w:t>
      </w:r>
      <w:r>
        <w:rPr>
          <w:rFonts w:hint="eastAsia" w:ascii="宋体" w:hAnsi="宋体" w:eastAsia="宋体" w:cs="宋体"/>
          <w:b/>
          <w:color w:val="auto"/>
          <w:sz w:val="28"/>
          <w:szCs w:val="28"/>
          <w:highlight w:val="none"/>
        </w:rPr>
        <w:t xml:space="preserve">（或</w:t>
      </w:r>
      <w:r>
        <w:rPr>
          <w:rFonts w:hint="eastAsia" w:ascii="宋体" w:hAnsi="宋体" w:cs="宋体"/>
          <w:b/>
          <w:color w:val="auto"/>
          <w:sz w:val="28"/>
          <w:szCs w:val="28"/>
          <w:highlight w:val="none"/>
          <w:lang w:eastAsia="zh-CN"/>
        </w:rPr>
        <w:t xml:space="preserve">采购代理机构</w:t>
      </w:r>
      <w:r>
        <w:rPr>
          <w:rFonts w:hint="eastAsia" w:ascii="宋体" w:hAnsi="宋体" w:eastAsia="宋体" w:cs="宋体"/>
          <w:b/>
          <w:color w:val="auto"/>
          <w:sz w:val="28"/>
          <w:szCs w:val="28"/>
          <w:highlight w:val="none"/>
        </w:rPr>
        <w:t xml:space="preserve">）原因或网上招投标平台发生故障，导致无法按时完成投标文件解密或开、评标工作无法进行的，可根据实际情况相应延迟解密时间或调整开、评标时间。</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开标仪式由</w:t>
      </w:r>
      <w:r>
        <w:rPr>
          <w:rFonts w:hint="eastAsia" w:ascii="宋体" w:hAnsi="宋体" w:cs="宋体"/>
          <w:bCs/>
          <w:color w:val="auto"/>
          <w:sz w:val="28"/>
          <w:szCs w:val="28"/>
          <w:highlight w:val="none"/>
          <w:lang w:eastAsia="zh-CN"/>
        </w:rPr>
        <w:t xml:space="preserve">采购代理机构</w:t>
      </w:r>
      <w:r>
        <w:rPr>
          <w:rFonts w:hint="eastAsia" w:ascii="宋体" w:hAnsi="宋体" w:eastAsia="宋体" w:cs="宋体"/>
          <w:color w:val="auto"/>
          <w:sz w:val="28"/>
          <w:szCs w:val="28"/>
          <w:highlight w:val="none"/>
        </w:rPr>
        <w:t xml:space="preserve">组织。苏采云系统将自动对项目进行开标，并宣布各投标人名称和投标价格。</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1.3投标人在开标过程中涉及到的投标文件解密、开标结果确认等工作，应按照“苏采云”系统供应商操作手册规定执行。</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1.4投标人如果对开标过程和开标记录有疑义，应当根据</w:t>
      </w:r>
      <w:r>
        <w:rPr>
          <w:rFonts w:hint="eastAsia" w:ascii="宋体" w:hAnsi="宋体" w:eastAsia="宋体" w:cs="宋体"/>
          <w:bCs/>
          <w:color w:val="auto"/>
          <w:sz w:val="28"/>
          <w:szCs w:val="28"/>
          <w:highlight w:val="none"/>
        </w:rPr>
        <w:t xml:space="preserve">“苏采云”系统供应商操作手册</w:t>
      </w:r>
      <w:r>
        <w:rPr>
          <w:rFonts w:hint="eastAsia" w:ascii="宋体" w:hAnsi="宋体" w:eastAsia="宋体" w:cs="宋体"/>
          <w:color w:val="auto"/>
          <w:sz w:val="28"/>
          <w:szCs w:val="28"/>
          <w:highlight w:val="none"/>
        </w:rPr>
        <w:t xml:space="preserve">规定提出，如苏采云系统中《开标记录表》宣布后5分钟内未提出的，视同认可开标结果。</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2.评标委员会</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2.1开标后，</w:t>
      </w:r>
      <w:r>
        <w:rPr>
          <w:rFonts w:hint="eastAsia" w:ascii="宋体" w:hAnsi="宋体" w:cs="宋体"/>
          <w:bCs/>
          <w:color w:val="auto"/>
          <w:sz w:val="28"/>
          <w:szCs w:val="28"/>
          <w:highlight w:val="none"/>
          <w:lang w:eastAsia="zh-CN"/>
        </w:rPr>
        <w:t xml:space="preserve">采购代理机构</w:t>
      </w:r>
      <w:r>
        <w:rPr>
          <w:rFonts w:hint="eastAsia" w:ascii="宋体" w:hAnsi="宋体" w:eastAsia="宋体" w:cs="宋体"/>
          <w:bCs/>
          <w:color w:val="auto"/>
          <w:sz w:val="28"/>
          <w:szCs w:val="28"/>
          <w:highlight w:val="none"/>
        </w:rPr>
        <w:t xml:space="preserve">将立即组织评标委员会（以下简称评委会）进行评审。</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2.2评委会由</w:t>
      </w:r>
      <w:r>
        <w:rPr>
          <w:rFonts w:hint="eastAsia" w:ascii="宋体" w:hAnsi="宋体" w:cs="宋体"/>
          <w:bCs/>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代表和有关技术、经济等方面的专家组成，且人员构成符合政府采购有关规定。</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2.3评标委员会独立工作，负责评审所有投标文件并确定中标候选人。</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 评审过程的保密与公正</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3.1评标委员会、</w:t>
      </w:r>
      <w:r>
        <w:rPr>
          <w:rFonts w:hint="eastAsia" w:ascii="宋体" w:hAnsi="宋体" w:cs="宋体"/>
          <w:bCs/>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采购代理机构</w:t>
      </w:r>
      <w:r>
        <w:rPr>
          <w:rFonts w:hint="eastAsia" w:ascii="宋体" w:hAnsi="宋体" w:eastAsia="宋体" w:cs="宋体"/>
          <w:bCs/>
          <w:color w:val="auto"/>
          <w:sz w:val="28"/>
          <w:szCs w:val="28"/>
          <w:highlight w:val="none"/>
        </w:rPr>
        <w:t xml:space="preserve">、相关监督人员等与评审工作有关的人员，对评审情况以及在评审过程中获悉的国家秘密、商业秘密负有保密责任。</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3.2在评审过程中，投标人不得以任何行为影响评审过程，否则其投标文件将被作为无效投标文件。</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3.4凡是与审查、澄清、评价和比较投标的有关资料以及授标建议等，</w:t>
      </w:r>
      <w:r>
        <w:rPr>
          <w:rFonts w:hint="eastAsia" w:ascii="宋体" w:hAnsi="宋体" w:cs="宋体"/>
          <w:bCs/>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、评标委员会、</w:t>
      </w:r>
      <w:r>
        <w:rPr>
          <w:rFonts w:hint="eastAsia" w:ascii="宋体" w:hAnsi="宋体" w:cs="宋体"/>
          <w:bCs/>
          <w:color w:val="auto"/>
          <w:sz w:val="28"/>
          <w:szCs w:val="28"/>
          <w:highlight w:val="none"/>
          <w:lang w:eastAsia="zh-CN"/>
        </w:rPr>
        <w:t xml:space="preserve">采购代理机构</w:t>
      </w:r>
      <w:r>
        <w:rPr>
          <w:rFonts w:hint="eastAsia" w:ascii="宋体" w:hAnsi="宋体" w:eastAsia="宋体" w:cs="宋体"/>
          <w:bCs/>
          <w:color w:val="auto"/>
          <w:sz w:val="28"/>
          <w:szCs w:val="28"/>
          <w:highlight w:val="none"/>
        </w:rPr>
        <w:t xml:space="preserve">均不得向投标人或与评标无关的其他人员透露。</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3.5在评审期间，</w:t>
      </w:r>
      <w:r>
        <w:rPr>
          <w:rFonts w:hint="eastAsia" w:ascii="宋体" w:hAnsi="宋体" w:cs="宋体"/>
          <w:bCs/>
          <w:color w:val="auto"/>
          <w:sz w:val="28"/>
          <w:szCs w:val="28"/>
          <w:highlight w:val="none"/>
          <w:lang w:eastAsia="zh-CN"/>
        </w:rPr>
        <w:t xml:space="preserve">采购代理机构</w:t>
      </w:r>
      <w:r>
        <w:rPr>
          <w:rFonts w:hint="eastAsia" w:ascii="宋体" w:hAnsi="宋体" w:eastAsia="宋体" w:cs="宋体"/>
          <w:bCs/>
          <w:color w:val="auto"/>
          <w:sz w:val="28"/>
          <w:szCs w:val="28"/>
          <w:highlight w:val="none"/>
        </w:rPr>
        <w:t xml:space="preserve">将设专门人员与投标人联系。</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3.6</w:t>
      </w:r>
      <w:r>
        <w:rPr>
          <w:rFonts w:hint="eastAsia" w:ascii="宋体" w:hAnsi="宋体" w:cs="宋体"/>
          <w:bCs/>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w:t>
      </w:r>
      <w:r>
        <w:rPr>
          <w:rFonts w:hint="eastAsia" w:ascii="宋体" w:hAnsi="宋体" w:cs="宋体"/>
          <w:bCs/>
          <w:color w:val="auto"/>
          <w:sz w:val="28"/>
          <w:szCs w:val="28"/>
          <w:highlight w:val="none"/>
          <w:lang w:eastAsia="zh-CN"/>
        </w:rPr>
        <w:t xml:space="preserve">采购代理机构</w:t>
      </w:r>
      <w:r>
        <w:rPr>
          <w:rFonts w:hint="eastAsia" w:ascii="宋体" w:hAnsi="宋体" w:eastAsia="宋体" w:cs="宋体"/>
          <w:bCs/>
          <w:color w:val="auto"/>
          <w:sz w:val="28"/>
          <w:szCs w:val="28"/>
          <w:highlight w:val="none"/>
        </w:rPr>
        <w:t xml:space="preserve">和评标委员会不向未中标的投标人解释未中标原因，也不公布评审过程中的相关细节。</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3.7 采用综合评分法的项目，未中标的投标人可于中标结果公告期限届满之日起通过苏采云系统查看自己的评审得分及排序情况。</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4.投标文件的澄清</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4.3 接到评标委员会澄清、说明和更正要求的投标人如未按规定做出澄清、说明和更正，其风险由投标人自行承担。</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5.对投标文件的审查</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5.1投标文件初审分为资格性审查和符合性审查。</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5.1.1资格性检查：依据法律法规和招标文件的规定，由</w:t>
      </w:r>
      <w:r>
        <w:rPr>
          <w:rFonts w:hint="eastAsia" w:ascii="宋体" w:hAnsi="宋体" w:cs="宋体"/>
          <w:bCs/>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对投标文件中的资格证明文件进行审查。资格审查的结论，</w:t>
      </w:r>
      <w:r>
        <w:rPr>
          <w:rFonts w:hint="eastAsia" w:ascii="宋体" w:hAnsi="宋体" w:cs="宋体"/>
          <w:bCs/>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以书面形式向评委会进行反馈。</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在进行资格性审查的同时，将在“信用中国”网站（www.creditchina.gov.cn）查询投标人的信用记录，以确定投标人是否具备投标资格,查询结果留存并归档。</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接受联合体的项目，两个以上的自然人、法人或者其他组织组成一个联合体，以一个投标人的身份共同参加政府采购活动的,联合体成员中任何一方存在不良信用记录的，视同联合体存在</w:t>
      </w:r>
      <w:r>
        <w:rPr>
          <w:rFonts w:hint="eastAsia" w:ascii="宋体" w:hAnsi="宋体" w:cs="宋体"/>
          <w:bCs/>
          <w:color w:val="auto"/>
          <w:sz w:val="28"/>
          <w:szCs w:val="28"/>
          <w:highlight w:val="none"/>
          <w:lang w:eastAsia="zh-CN"/>
        </w:rPr>
        <w:t xml:space="preserve">不良信用记录</w:t>
      </w:r>
      <w:r>
        <w:rPr>
          <w:rFonts w:hint="eastAsia" w:ascii="宋体" w:hAnsi="宋体" w:eastAsia="宋体" w:cs="宋体"/>
          <w:bCs/>
          <w:color w:val="auto"/>
          <w:sz w:val="28"/>
          <w:szCs w:val="28"/>
          <w:highlight w:val="none"/>
        </w:rPr>
        <w:t xml:space="preserve">。</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5.1.2符合性审查：依据招标文件的规定，由评标委员会从投标文件的有效性、完整性和对招标文件的响应程度进行审查，以确定是否对招标文件的实质性要求作出响应。</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5.1.3未通过资格审查或符合性审查的投标人，</w:t>
      </w:r>
      <w:r>
        <w:rPr>
          <w:rFonts w:hint="eastAsia" w:ascii="宋体" w:hAnsi="宋体" w:cs="宋体"/>
          <w:bCs/>
          <w:color w:val="auto"/>
          <w:sz w:val="28"/>
          <w:szCs w:val="28"/>
          <w:highlight w:val="none"/>
          <w:lang w:eastAsia="zh-CN"/>
        </w:rPr>
        <w:t xml:space="preserve">采购代理机构</w:t>
      </w:r>
      <w:r>
        <w:rPr>
          <w:rFonts w:hint="eastAsia" w:ascii="宋体" w:hAnsi="宋体" w:eastAsia="宋体" w:cs="宋体"/>
          <w:bCs/>
          <w:color w:val="auto"/>
          <w:sz w:val="28"/>
          <w:szCs w:val="28"/>
          <w:highlight w:val="none"/>
        </w:rPr>
        <w:t xml:space="preserve">将在苏采云系统中告知未通过资格审查或符合性审查的原因，评审结束后，</w:t>
      </w:r>
      <w:r>
        <w:rPr>
          <w:rFonts w:hint="eastAsia" w:ascii="宋体" w:hAnsi="宋体" w:cs="宋体"/>
          <w:bCs/>
          <w:color w:val="auto"/>
          <w:sz w:val="28"/>
          <w:szCs w:val="28"/>
          <w:highlight w:val="none"/>
          <w:lang w:eastAsia="zh-CN"/>
        </w:rPr>
        <w:t xml:space="preserve">采购代理机构</w:t>
      </w:r>
      <w:r>
        <w:rPr>
          <w:rFonts w:hint="eastAsia" w:ascii="宋体" w:hAnsi="宋体" w:eastAsia="宋体" w:cs="宋体"/>
          <w:bCs/>
          <w:color w:val="auto"/>
          <w:sz w:val="28"/>
          <w:szCs w:val="28"/>
          <w:highlight w:val="none"/>
        </w:rPr>
        <w:t xml:space="preserve">将不再告知未通过资格审查或符合性审查的原因。</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5.2在详细评审之前，评标委员会将首先审查每份投标文件是否实质性响应了招标文件的要求。实质性响应的投标文件应该是与招标文件要求的全部条款、条件和规格相符，没有重大负偏离或保留。</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5.3如果投标文件实质上没有响应招标文件的要求，评标委员会将予以拒绝，投标人不得通过修改或撤销不合要求的偏离或保留而使其投标文件成为实质性响应的文件。</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5.4评标委员会将对确定为实质性响应的文件进行进一步审核，看其是否有计算上或累加上的算术错误，修正错误的原则如下：</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（1）投标文件中开标一览表内容与投标文件中相应内容不一致的，以开标一览表为准。</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（2）大写金额和小写金额不一致的，以大写金额为准。</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（3）单价金额小数点或者百分比有明显错位的，以开标一览表的总价为准，并修改单价。</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（4）总价金额与按单价汇总金额不一致的，以单价金额计算结果为准。</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同时出现两种以上错误的，按照前款规定的顺序修正。</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5.5评标委员会将按上述修正错误的方法调整投标文件中的报价，通过“苏采云系统”告知投标人，调整后的价格应对投标人具有约束力。如果投标人不接受修正后的价格，则其投标文件将被拒绝。</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5.6评标委员会将允许修正投标文件中不构成重大偏离的、微小的、非正规的、不一致的或不规则的地方，但这些修改不能影响任何投标人相应的名次排列。</w:t>
      </w:r>
      <w:r/>
    </w:p>
    <w:p>
      <w:pPr>
        <w:ind w:firstLine="560"/>
        <w:pageBreakBefore w:val="0"/>
        <w:spacing w:line="500" w:lineRule="exact"/>
        <w:shd w:val="clear" w:color="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5.7</w:t>
      </w:r>
      <w:r>
        <w:rPr>
          <w:rFonts w:hint="eastAsia" w:ascii="宋体" w:hAnsi="宋体" w:eastAsia="宋体" w:cs="宋体"/>
          <w:bCs/>
          <w:color w:val="auto"/>
          <w:sz w:val="28"/>
          <w:szCs w:val="28"/>
          <w:highlight w:val="none"/>
        </w:rPr>
        <w:t xml:space="preserve">异常低价审查</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（1）政府采购评审中出现下列情形之一的，评审委员会应当启动异常低价投标（响应）审查程序</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本条所指报价均为投标人原始总报价，不包含中小企业、本国产品价格扣除后的评审价</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②投标（响应）报价低于通过符合性审查的次低报价供应商投标（响应）报价50%的，即投标（响应）报价&lt;通过符合性审查的次低报价供应商投标（响应）报价×50%；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③投标（响应）报价低于采购项目最高限价45%的，即投标（响应）报价&lt;采购项目最高限价×45%；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④评审委员会基于专业判断，认为供应商报价过低，有可能影响产品质量或者不能诚信履约的其他情形。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③项情形，投标人已随投标（响应）文件一并提交相关书面说明及必要的证明材料的，在评审现场可不再重复提交。</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采购人、采购代理机构应当为评审小组在评审现场及时获取同类项目中标（中标）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（5）异常低价投标审查的启动原因、审查意见和审查结果应当在评审报告中记录，并随供应商提供的相关书面说明及证明材料，以及评审小组有关互联网浏览、查询历史一并归档。</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w:t>
      </w:r>
      <w:r>
        <w:rPr>
          <w:rFonts w:hint="eastAsia" w:ascii="宋体" w:hAnsi="宋体" w:eastAsia="宋体" w:cs="宋体"/>
          <w:bCs/>
          <w:color w:val="auto"/>
          <w:sz w:val="28"/>
          <w:szCs w:val="28"/>
          <w:highlight w:val="none"/>
          <w:lang w:val="en-US" w:eastAsia="zh-CN"/>
        </w:rPr>
        <w:t xml:space="preserve">8</w:t>
      </w:r>
      <w:r>
        <w:rPr>
          <w:rFonts w:hint="eastAsia" w:ascii="宋体" w:hAnsi="宋体" w:eastAsia="宋体" w:cs="宋体"/>
          <w:bCs/>
          <w:color w:val="auto"/>
          <w:sz w:val="28"/>
          <w:szCs w:val="28"/>
          <w:highlight w:val="none"/>
        </w:rPr>
        <w:t xml:space="preserve">投标人在开、评标全过程中应保持通讯畅通，及时登录苏采云系统查阅、答复相关信息，并安排专人与</w:t>
      </w:r>
      <w:r>
        <w:rPr>
          <w:rFonts w:hint="eastAsia" w:ascii="宋体" w:hAnsi="宋体" w:cs="宋体"/>
          <w:bCs/>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采购代理机构</w:t>
      </w:r>
      <w:r>
        <w:rPr>
          <w:rFonts w:hint="eastAsia" w:ascii="宋体" w:hAnsi="宋体" w:eastAsia="宋体" w:cs="宋体"/>
          <w:bCs/>
          <w:color w:val="auto"/>
          <w:sz w:val="28"/>
          <w:szCs w:val="28"/>
          <w:highlight w:val="none"/>
        </w:rPr>
        <w:t xml:space="preserve">及评标委员会联系。</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 投标文件线上格式要求</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6.1投标人应当通过“苏采云”系统提交数据电文形式的投标文件（即电子投标）。</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 通过“苏采云”系统提交政府采购客户端工具导出加密的投标文件（后缀名为zip）。投标文件不得超过150M！</w:t>
      </w:r>
      <w:r/>
    </w:p>
    <w:p>
      <w:pPr>
        <w:ind w:firstLine="48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 本项目采用线上投标，即投标人投标文件从政府采购客户端工具制作通过“苏采云”系统提交，未提供线上投标文件的，投标无效。</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7.无效投标条款和废标条款</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7.1无效投标条款</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7.1.1 同一投标人提交两个（含两个）以上不同的投标报价的。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7.1.2投标人不具备招标文件中规定资格要求的。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7.1.3投标人的报价超过了采购预算或最高限价的。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7.1.4未通过符合性检查的。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7.1.5不符合招标文件中规定的其他实质性要求和条件的。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7.1.6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7.1.7投标文件含有</w:t>
      </w:r>
      <w:r>
        <w:rPr>
          <w:rFonts w:hint="eastAsia" w:ascii="宋体" w:hAnsi="宋体" w:cs="宋体"/>
          <w:bCs/>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不能接受的附加条件的 。</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7.1.8 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7.1.9</w:t>
      </w:r>
      <w:r>
        <w:rPr>
          <w:rFonts w:hint="eastAsia" w:ascii="宋体" w:hAnsi="宋体" w:eastAsia="宋体" w:cs="宋体"/>
          <w:bCs/>
          <w:color w:val="auto"/>
          <w:sz w:val="28"/>
          <w:szCs w:val="28"/>
          <w:highlight w:val="none"/>
          <w:lang w:val="en-US" w:eastAsia="zh-CN"/>
        </w:rPr>
        <w:t xml:space="preserve">电子</w:t>
      </w:r>
      <w:r>
        <w:rPr>
          <w:rFonts w:hint="eastAsia" w:ascii="宋体" w:hAnsi="宋体" w:eastAsia="宋体" w:cs="宋体"/>
          <w:bCs/>
          <w:color w:val="auto"/>
          <w:sz w:val="28"/>
          <w:szCs w:val="28"/>
          <w:highlight w:val="none"/>
        </w:rPr>
        <w:t xml:space="preserve">投标文件未按照招标文件要求加盖CA电子公章的。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7.1.10投标人的商务技术部分得分相差悬殊，评标委员会认为得分畸低者没有实质性响应的。</w:t>
      </w:r>
      <w:r/>
    </w:p>
    <w:p>
      <w:pPr>
        <w:ind w:firstLine="560"/>
        <w:pageBreakBefore w:val="0"/>
        <w:spacing w:line="500" w:lineRule="exact"/>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7.1.11启动异常低价响应审查后，投标人不提供书面说明、证明材料，或者提供的书面说明、证明材料不能证明其报价合理性的。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7.1.12</w:t>
      </w:r>
      <w:r>
        <w:rPr>
          <w:rFonts w:hint="eastAsia" w:ascii="宋体" w:hAnsi="宋体" w:eastAsia="宋体" w:cs="宋体"/>
          <w:bCs/>
          <w:color w:val="auto"/>
          <w:sz w:val="28"/>
          <w:szCs w:val="28"/>
          <w:highlight w:val="none"/>
        </w:rPr>
        <w:t xml:space="preserve">其他法律、法规及本招标文件规定的属无效投标的情形。</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7.2废标条款：</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7.2.1</w:t>
      </w:r>
      <w:r>
        <w:rPr>
          <w:rFonts w:hint="eastAsia" w:ascii="宋体" w:hAnsi="宋体" w:eastAsia="宋体" w:cs="宋体"/>
          <w:bCs/>
          <w:color w:val="auto"/>
          <w:sz w:val="28"/>
          <w:szCs w:val="28"/>
          <w:highlight w:val="none"/>
          <w:lang w:val="en-US" w:eastAsia="zh-CN"/>
        </w:rPr>
        <w:t xml:space="preserve">某标包</w:t>
      </w:r>
      <w:r>
        <w:rPr>
          <w:rFonts w:hint="eastAsia" w:ascii="宋体" w:hAnsi="宋体" w:eastAsia="宋体" w:cs="宋体"/>
          <w:bCs/>
          <w:color w:val="auto"/>
          <w:sz w:val="28"/>
          <w:szCs w:val="28"/>
          <w:highlight w:val="none"/>
        </w:rPr>
        <w:t xml:space="preserve">符合专业条件的供应商或者对招标文件作实质响应的供应商不足三家的。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7.2.2出现影响采购公正的违法、违规行为的。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7.2.3因重大变故，采购任务取消的。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7.2.4评标委员会认定招标文件存在歧义、重大缺陷导致评审工作无法进行。</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7.2.5 因苏采云系统故障原因造成开标不成功的。</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7.3 投标截止时间结束后参加投标的供应商不足三家的处理：</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7.3.1如出现投标截止时间结束后参加投标的供应商或者在评标期间对招标文件做出实质响应的供应商不足三家情况，按政府采购相关规定执行。</w:t>
      </w:r>
      <w:r/>
    </w:p>
    <w:p>
      <w:pPr>
        <w:pStyle w:val="1084"/>
        <w:ind w:firstLine="562"/>
        <w:pageBreakBefore w:val="0"/>
        <w:spacing w:before="0" w:after="0" w:line="500" w:lineRule="exact"/>
        <w:widowControl w:val="off"/>
        <w:rPr>
          <w:rFonts w:hint="eastAsia" w:ascii="宋体" w:hAnsi="宋体" w:eastAsia="宋体" w:cs="宋体"/>
          <w:color w:val="auto"/>
          <w:sz w:val="28"/>
          <w:szCs w:val="28"/>
          <w:highlight w:val="none"/>
        </w:rPr>
      </w:pPr>
      <w:r/>
      <w:bookmarkStart w:id="53" w:name="_Toc120614219"/>
      <w:r/>
      <w:bookmarkEnd w:id="53"/>
      <w:r>
        <w:rPr>
          <w:rFonts w:hint="eastAsia" w:ascii="宋体" w:hAnsi="宋体" w:eastAsia="宋体" w:cs="宋体"/>
          <w:color w:val="auto"/>
          <w:sz w:val="28"/>
          <w:szCs w:val="28"/>
          <w:highlight w:val="none"/>
        </w:rPr>
        <w:t xml:space="preserve">六、定标</w:t>
      </w:r>
      <w:r/>
    </w:p>
    <w:p>
      <w:pPr>
        <w:ind w:firstLine="560"/>
        <w:pageBreakBefore w:val="0"/>
        <w:spacing w:line="500" w:lineRule="exact"/>
        <w:widowControl w:val="off"/>
        <w:rPr>
          <w:rFonts w:hint="eastAsia" w:ascii="宋体" w:hAnsi="宋体" w:eastAsia="宋体" w:cs="宋体"/>
          <w:color w:val="auto"/>
          <w:sz w:val="28"/>
          <w:szCs w:val="28"/>
          <w:highlight w:val="none"/>
        </w:rPr>
      </w:pPr>
      <w:r/>
      <w:bookmarkStart w:id="54" w:name="_Toc16938554"/>
      <w:r/>
      <w:bookmarkEnd w:id="54"/>
      <w:r/>
      <w:bookmarkStart w:id="55" w:name="_Toc20823310"/>
      <w:r/>
      <w:bookmarkEnd w:id="55"/>
      <w:r>
        <w:rPr>
          <w:rFonts w:hint="eastAsia" w:ascii="宋体" w:hAnsi="宋体" w:eastAsia="宋体" w:cs="宋体"/>
          <w:color w:val="auto"/>
          <w:sz w:val="28"/>
          <w:szCs w:val="28"/>
          <w:highlight w:val="none"/>
        </w:rPr>
        <w:t xml:space="preserve">1.确定中标单位</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1.1中标候选人的选取原则和数量见招标文件第四部分规定。 </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cs="宋体"/>
          <w:bCs/>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授权评委会在中标候选人中直接确定中标人。</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1.3</w:t>
      </w:r>
      <w:r>
        <w:rPr>
          <w:rFonts w:hint="eastAsia" w:ascii="宋体" w:hAnsi="宋体" w:eastAsia="宋体" w:cs="宋体"/>
          <w:color w:val="auto"/>
          <w:sz w:val="28"/>
          <w:szCs w:val="28"/>
          <w:highlight w:val="none"/>
        </w:rPr>
        <w:t xml:space="preserve">代</w:t>
      </w:r>
      <w:r>
        <w:rPr>
          <w:rFonts w:hint="eastAsia" w:ascii="宋体" w:hAnsi="宋体" w:eastAsia="宋体" w:cs="宋体"/>
          <w:bCs/>
          <w:color w:val="auto"/>
          <w:sz w:val="28"/>
          <w:szCs w:val="28"/>
          <w:highlight w:val="none"/>
        </w:rPr>
        <w:t xml:space="preserve">理机构将在“</w:t>
      </w:r>
      <w:r>
        <w:rPr>
          <w:rFonts w:hint="eastAsia" w:ascii="宋体" w:hAnsi="宋体" w:cs="宋体"/>
          <w:bCs/>
          <w:color w:val="auto"/>
          <w:sz w:val="28"/>
          <w:szCs w:val="28"/>
          <w:highlight w:val="none"/>
          <w:lang w:eastAsia="zh-CN"/>
        </w:rPr>
        <w:t xml:space="preserve">江苏政府采购网</w:t>
      </w:r>
      <w:r>
        <w:rPr>
          <w:rFonts w:hint="eastAsia" w:ascii="宋体" w:hAnsi="宋体" w:eastAsia="宋体" w:cs="宋体"/>
          <w:bCs/>
          <w:color w:val="auto"/>
          <w:sz w:val="28"/>
          <w:szCs w:val="28"/>
          <w:highlight w:val="none"/>
        </w:rPr>
        <w:t xml:space="preserve">”发布中</w:t>
      </w:r>
      <w:r>
        <w:rPr>
          <w:rFonts w:hint="eastAsia" w:ascii="宋体" w:hAnsi="宋体" w:eastAsia="宋体" w:cs="宋体"/>
          <w:color w:val="auto"/>
          <w:sz w:val="28"/>
          <w:szCs w:val="28"/>
          <w:highlight w:val="none"/>
        </w:rPr>
        <w:t xml:space="preserve">标公告，公告期限为1个工作日。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1.4若有充分证据证明，中标人出现下列情况之一的，一经查实，将被取消中标资格：</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1.4.1提供虚假材料谋取中标的。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1.4.2向</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、代理机构行贿或者提供其他不正当利益的。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1.4.3恶意竞争，投标总报价明显低于其自身合理成本且又无法提供证明的。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1.4.4属于本文件规定的无效条件，但在评标过程中又未被评委会发现的。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1.4.5与</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或者其他供应商恶意串通的。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1.4.6采取不正当手段诋毁、排挤其他供应商的。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1.5.有下列情形之一的，视为投标人串通投标，投标无效：</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1.5.1不同投标人的投标文件由同一单位或者个人编制；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1.5.2不同投标人委托同一单位或者个人办理投标事宜；</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1.5.3不同投标人的投标文件载明的项目管理成员或者联系人员为同一人；</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1.5.4不同投标人的投标文件异常一致或者投标报价呈规律性差异；</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2.质疑处理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 提出质疑的供应商应当是参与所质疑项目采购活动的供应商。潜在供应商依法获取其可质疑的招标文件的，可以对招标文件提出质疑。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2.2供应商认为招标文件、采购过程和采购结果使自己的权益受到损害的，可以在知道或应知其权益受到损害之日起七个工作日内，以书面形式向代理机构或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提出质疑。上述应知其权益受到损害之日，是指：</w:t>
      </w:r>
      <w:r/>
    </w:p>
    <w:p>
      <w:pPr>
        <w:ind w:firstLine="562"/>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2.2.1对可以质疑的招标文件提出质疑的，为收到招标文件之日或者招标文件公告期限届满之日；</w:t>
      </w:r>
      <w:r/>
    </w:p>
    <w:p>
      <w:pPr>
        <w:ind w:firstLine="562"/>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2.2.2对采购过程提出质疑的，为各采购程序环节结束之日；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2.2.3对中标或者成交结果提出质疑的，为中标或者成交结果公告期限届满之日。</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2.3质疑函必须按照本招标文件中《质疑函范本》要求的格式和内容进行填写。</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2.4对采购方式、招标文件中项目需求、供应商资格条件、评标方法和评标标准、资格审查结果等应当由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负责答复。供应商对其他事项的质疑，请向代理机构提出，由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或代理机构负责答复。</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供应商提起质疑采取书面形式，可以现场送达，也可以邮寄。</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及代理机构质疑接收人及联系方式，见招标文件第一部分。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 以下情形的质疑不予受理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 内容不符合《政府采购质疑和投诉办法》第十二条规定的质疑。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 超出政府采购法定期限的质疑。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 未参加投标活动的供应商或在投标活动中自身权益未受到损害的供应商所提出的质疑。</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3.中标通知书</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3.l中标结果确定后，</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或者</w:t>
      </w:r>
      <w:r>
        <w:rPr>
          <w:rFonts w:hint="eastAsia" w:ascii="宋体" w:hAnsi="宋体" w:cs="宋体"/>
          <w:color w:val="auto"/>
          <w:sz w:val="28"/>
          <w:szCs w:val="28"/>
          <w:highlight w:val="none"/>
          <w:lang w:eastAsia="zh-CN"/>
        </w:rPr>
        <w:t xml:space="preserve">采购代理机构</w:t>
      </w:r>
      <w:r>
        <w:rPr>
          <w:rFonts w:hint="eastAsia" w:ascii="宋体" w:hAnsi="宋体" w:eastAsia="宋体" w:cs="宋体"/>
          <w:color w:val="auto"/>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3.2中标通知书将是合同的一个组成部分。对</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和中标供应商均具有法律效力。中标通知书发出后，</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改变中标结果的，或者中标供应商放弃中标项目的，应当依法承担法律责任。</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84"/>
        <w:ind w:firstLine="562"/>
        <w:pageBreakBefore w:val="0"/>
        <w:spacing w:before="0" w:after="0"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特别说明：中标人在下载中标通知书后须</w:t>
      </w:r>
      <w:r>
        <w:rPr>
          <w:rFonts w:hint="eastAsia" w:ascii="宋体" w:hAnsi="宋体" w:eastAsia="宋体" w:cs="宋体"/>
          <w:color w:val="auto"/>
          <w:sz w:val="28"/>
          <w:szCs w:val="28"/>
          <w:highlight w:val="none"/>
          <w:lang w:val="en-US" w:eastAsia="zh-CN"/>
        </w:rPr>
        <w:t xml:space="preserve">再</w:t>
      </w:r>
      <w:r>
        <w:rPr>
          <w:rFonts w:hint="eastAsia" w:ascii="宋体" w:hAnsi="宋体" w:eastAsia="宋体" w:cs="宋体"/>
          <w:color w:val="auto"/>
          <w:sz w:val="28"/>
          <w:szCs w:val="28"/>
          <w:highlight w:val="none"/>
        </w:rPr>
        <w:t xml:space="preserve">提供</w:t>
      </w:r>
      <w:r>
        <w:rPr>
          <w:rFonts w:hint="eastAsia" w:ascii="宋体" w:hAnsi="宋体" w:eastAsia="宋体" w:cs="宋体"/>
          <w:color w:val="auto"/>
          <w:sz w:val="28"/>
          <w:szCs w:val="28"/>
          <w:highlight w:val="none"/>
          <w:u w:val="single"/>
        </w:rPr>
        <w:t xml:space="preserve">2套</w:t>
      </w:r>
      <w:r>
        <w:rPr>
          <w:rFonts w:hint="eastAsia" w:ascii="宋体" w:hAnsi="宋体" w:eastAsia="宋体" w:cs="宋体"/>
          <w:color w:val="auto"/>
          <w:sz w:val="28"/>
          <w:szCs w:val="28"/>
          <w:highlight w:val="none"/>
        </w:rPr>
        <w:t xml:space="preserve">加盖红章的系统内打印的纸质响应文件给</w:t>
      </w:r>
      <w:r>
        <w:rPr>
          <w:rFonts w:hint="eastAsia" w:ascii="宋体" w:hAnsi="宋体" w:eastAsia="宋体" w:cs="宋体"/>
          <w:color w:val="auto"/>
          <w:sz w:val="28"/>
          <w:szCs w:val="28"/>
          <w:highlight w:val="none"/>
          <w:lang w:eastAsia="zh-CN"/>
        </w:rPr>
        <w:t xml:space="preserve">采购代理机构</w:t>
      </w:r>
      <w:r>
        <w:rPr>
          <w:rFonts w:hint="eastAsia" w:ascii="宋体" w:hAnsi="宋体" w:eastAsia="宋体" w:cs="宋体"/>
          <w:color w:val="auto"/>
          <w:sz w:val="28"/>
          <w:szCs w:val="28"/>
          <w:highlight w:val="none"/>
        </w:rPr>
        <w:t xml:space="preserve">。</w:t>
      </w:r>
      <w:r/>
    </w:p>
    <w:p>
      <w:pPr>
        <w:pStyle w:val="1084"/>
        <w:ind w:firstLine="562"/>
        <w:pageBreakBefore w:val="0"/>
        <w:spacing w:before="0" w:after="0"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七、授予合同</w:t>
      </w:r>
      <w:r/>
    </w:p>
    <w:p>
      <w:pPr>
        <w:ind w:firstLine="560"/>
        <w:keepNext/>
        <w:pageBreakBefore w:val="0"/>
        <w:spacing w:line="50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1.签订合同</w:t>
      </w:r>
      <w:r/>
    </w:p>
    <w:p>
      <w:pPr>
        <w:ind w:firstLine="56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color w:val="auto"/>
          <w:sz w:val="28"/>
          <w:szCs w:val="28"/>
          <w:highlight w:val="none"/>
        </w:rPr>
        <w:t xml:space="preserve">.l中标人应当在成交通知书发出之日起三十日内，按照招标文件确定的事项与</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签订政府采购合同。</w:t>
      </w:r>
      <w:r/>
    </w:p>
    <w:p>
      <w:pPr>
        <w:ind w:firstLine="422"/>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1.2招标文件、中标人的响应文件及开标过程中有关澄清、承诺文件均应作为合同附件。</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1.3签订合同后，中标人不得将货物及其他相关服务进行转包。未经</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同意，中标人也不得采用分包的形式履行合同，否则</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有权终止合同，中标人的履约保证金将不予退还。政府采购合同分包履行的，中标人就采购项目和分包项目向</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负责，分包供应商就分包项目承担责任。转包或分包造成</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损失的，中标人应承担相应赔偿责任。</w:t>
      </w:r>
      <w:r/>
    </w:p>
    <w:p>
      <w:pPr>
        <w:ind w:firstLine="560"/>
        <w:keepNext/>
        <w:pageBreakBefore w:val="0"/>
        <w:spacing w:line="500" w:lineRule="exact"/>
        <w:widowControl w:val="off"/>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2.货物和服务的追加、减少和添购。</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2.1政府采购合同履行中，</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需追加与合同标的相同的货物和服务的，在不改变合同其他条款的前提下，可以与中标人协商签订补充合同，但所有补充合同的采购金额不超过原合同金额10%。</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2.2采购结束后，</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若由于各种客观原因，必须对采购项目所牵涉的货物和服务进行适当的减少时，在双方协商一致的前提下，可以按照采购时的价格水平做相应的调减，并据此签订补充合同。</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3.政府采购履约保证资金、合同信用融资扶持政策</w:t>
      </w:r>
      <w:r/>
    </w:p>
    <w:p>
      <w:pPr>
        <w:ind w:firstLine="56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根据《关于深入开展南通市政府采购线上合同信用融资工作的通知》（通财购〔2022〕68号），对政府采购中标人提出“政采贷”融资申请的，</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w:t>
      </w:r>
      <w:r>
        <w:rPr>
          <w:rFonts w:hint="eastAsia" w:ascii="宋体" w:hAnsi="宋体" w:cs="宋体"/>
          <w:color w:val="auto"/>
          <w:sz w:val="28"/>
          <w:szCs w:val="28"/>
          <w:highlight w:val="none"/>
          <w:lang w:eastAsia="zh-CN"/>
        </w:rPr>
        <w:t xml:space="preserve">江苏政府采购网</w:t>
      </w:r>
      <w:r>
        <w:rPr>
          <w:rFonts w:hint="eastAsia" w:ascii="宋体" w:hAnsi="宋体" w:eastAsia="宋体" w:cs="宋体"/>
          <w:color w:val="auto"/>
          <w:sz w:val="28"/>
          <w:szCs w:val="28"/>
          <w:highlight w:val="none"/>
        </w:rPr>
        <w:t xml:space="preserve">-政采贷专栏。</w:t>
      </w:r>
      <w:r/>
    </w:p>
    <w:p>
      <w:pPr>
        <w:ind w:firstLine="562"/>
        <w:keepLines/>
        <w:keepNext/>
        <w:pageBreakBefore w:val="0"/>
        <w:spacing w:line="500" w:lineRule="exact"/>
        <w:widowControl w:val="off"/>
        <w:rPr>
          <w:rFonts w:hint="eastAsia" w:ascii="宋体" w:hAnsi="宋体" w:eastAsia="宋体" w:cs="宋体"/>
          <w:b/>
          <w:bCs/>
          <w:color w:val="auto"/>
          <w:sz w:val="28"/>
          <w:szCs w:val="28"/>
          <w:highlight w:val="none"/>
        </w:rPr>
        <w:outlineLvl w:val="2"/>
      </w:pPr>
      <w:r>
        <w:rPr>
          <w:rFonts w:hint="eastAsia" w:ascii="宋体" w:hAnsi="宋体" w:eastAsia="宋体" w:cs="宋体"/>
          <w:b/>
          <w:bCs/>
          <w:color w:val="auto"/>
          <w:sz w:val="28"/>
          <w:szCs w:val="28"/>
          <w:highlight w:val="none"/>
        </w:rPr>
        <w:t xml:space="preserve">八、电子招标投标交易平台</w:t>
      </w:r>
      <w:r/>
    </w:p>
    <w:p>
      <w:pPr>
        <w:ind w:firstLine="560"/>
        <w:jc w:val="left"/>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电子招标投标交易平台（即“苏采云”系统，网址：http://jszfcg.jsczt.cn/）相关要求是本招标文件的组成部分。</w:t>
      </w:r>
      <w:r/>
    </w:p>
    <w:p>
      <w:pPr>
        <w:jc w:val="center"/>
        <w:spacing w:line="460" w:lineRule="exact"/>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rPr>
          <w:rFonts w:hint="eastAsia" w:ascii="宋体" w:hAnsi="宋体" w:eastAsia="宋体" w:cs="宋体"/>
          <w:b/>
          <w:bCs w:val="0"/>
          <w:color w:val="auto"/>
          <w:sz w:val="36"/>
          <w:szCs w:val="36"/>
          <w:highlight w:val="none"/>
        </w:rPr>
        <w:t xml:space="preserve">第三部分  项目需求</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一、采购标的需实现的功能或者目标, 以及为落实政府采购政策需满足的要求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为进一步加强国有资产监督管理，有效履行出资人职责，提高企业会计信息质量，规范国资委所出资企业财务</w:t>
      </w:r>
      <w:r>
        <w:rPr>
          <w:rFonts w:hint="eastAsia" w:ascii="宋体" w:hAnsi="宋体" w:eastAsia="宋体" w:cs="宋体"/>
          <w:color w:val="auto"/>
          <w:sz w:val="28"/>
          <w:szCs w:val="28"/>
          <w:highlight w:val="none"/>
          <w:lang w:eastAsia="zh-CN"/>
        </w:rPr>
        <w:t xml:space="preserve">报表</w:t>
      </w:r>
      <w:r>
        <w:rPr>
          <w:rFonts w:hint="eastAsia" w:ascii="宋体" w:hAnsi="宋体" w:eastAsia="宋体" w:cs="宋体"/>
          <w:color w:val="auto"/>
          <w:sz w:val="28"/>
          <w:szCs w:val="28"/>
          <w:highlight w:val="none"/>
        </w:rPr>
        <w:t xml:space="preserve">审计等工作，市国资委决定对</w:t>
      </w:r>
      <w:r>
        <w:rPr>
          <w:rFonts w:hint="eastAsia" w:ascii="宋体" w:hAnsi="宋体" w:cs="宋体"/>
          <w:color w:val="auto"/>
          <w:sz w:val="28"/>
          <w:szCs w:val="28"/>
          <w:highlight w:val="none"/>
          <w:lang w:val="en-US" w:eastAsia="zh-CN"/>
        </w:rPr>
        <w:t xml:space="preserve">13</w:t>
      </w:r>
      <w:r>
        <w:rPr>
          <w:rFonts w:hint="eastAsia" w:ascii="宋体" w:hAnsi="宋体" w:eastAsia="宋体" w:cs="宋体"/>
          <w:color w:val="auto"/>
          <w:sz w:val="28"/>
          <w:szCs w:val="28"/>
          <w:highlight w:val="none"/>
        </w:rPr>
        <w:t xml:space="preserve">家市属企业共分</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个标包，通过公开招标择优选聘会计师事务所完成市属企业202</w:t>
      </w:r>
      <w:r>
        <w:rPr>
          <w:rFonts w:hint="eastAsia" w:ascii="宋体" w:hAnsi="宋体" w:cs="宋体"/>
          <w:color w:val="auto"/>
          <w:sz w:val="28"/>
          <w:szCs w:val="28"/>
          <w:highlight w:val="none"/>
          <w:lang w:val="en-US" w:eastAsia="zh-CN"/>
        </w:rPr>
        <w:t xml:space="preserve">6-2028</w:t>
      </w:r>
      <w:r>
        <w:rPr>
          <w:rFonts w:hint="eastAsia" w:ascii="宋体" w:hAnsi="宋体" w:eastAsia="宋体" w:cs="宋体"/>
          <w:color w:val="auto"/>
          <w:sz w:val="28"/>
          <w:szCs w:val="28"/>
          <w:highlight w:val="none"/>
        </w:rPr>
        <w:t xml:space="preserve">年度财务</w:t>
      </w:r>
      <w:r>
        <w:rPr>
          <w:rFonts w:hint="eastAsia" w:ascii="宋体" w:hAnsi="宋体" w:eastAsia="宋体" w:cs="宋体"/>
          <w:color w:val="auto"/>
          <w:sz w:val="28"/>
          <w:szCs w:val="28"/>
          <w:highlight w:val="none"/>
          <w:lang w:eastAsia="zh-CN"/>
        </w:rPr>
        <w:t xml:space="preserve">报表</w:t>
      </w:r>
      <w:r>
        <w:rPr>
          <w:rFonts w:hint="eastAsia" w:ascii="宋体" w:hAnsi="宋体" w:eastAsia="宋体" w:cs="宋体"/>
          <w:color w:val="auto"/>
          <w:sz w:val="28"/>
          <w:szCs w:val="28"/>
          <w:highlight w:val="none"/>
        </w:rPr>
        <w:t xml:space="preserve">审计等工作。</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二、采购标的需执行的国家相关标准、行业标准、地方标准或者其他标准、规范</w:t>
      </w:r>
      <w:r/>
    </w:p>
    <w:p>
      <w:pPr>
        <w:ind w:firstLine="560"/>
        <w:keepLines w:val="0"/>
        <w:keepNext w:val="0"/>
        <w:pageBreakBefore w:val="0"/>
        <w:spacing w:line="500" w:lineRule="exact"/>
        <w:widowControl w:val="off"/>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按国家现行相关法律法规和行业标准执行。</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bidi="ar-SA"/>
        </w:rPr>
        <w:t xml:space="preserve">三、采购标的需满足的质量、安全、技术规格、物理特性等要求</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审计服务内容</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（一）年度财务报表审计</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对各市属国有企业提供的年度财务报表进行审计。对企业的年度财务报表是否按照《企业会计准则》和相关会计制度规定编制、是否在重大方面公允反映被审计单位的财务状况、经营成果和现金流量等发表审计意见，按照有关规定出具分户、合并年度财务报表审计报告（含财务数据分析和母公司本部报表及附注）。具体内容见附件。</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（二）专项审计</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在年度财务报表审计的基础上，对企业编制的年度国有资产统计报表进行审计（包括封面代码、主附表、附报文档等，具体格式参照国有资产统计报表软件）。</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按国资委考核口径编制专项合并审计报表。对照企业年度经营目标任务对审计年度经营业绩、薪酬发放与工资总额管理、企业资产盘活处置、财务核销、对外捐赠事项、企业国有资本收益缴纳情况、当年对外投资（含重大投资项目落实情况）、对外担保和出借资金、重大风险事项和突出问题、以前年度审计发现问题整改情况、财务收支情况等分别进行审计以及市国资委要求的其他专项审计内容，按照规定出具专项审计报告。 </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（三）管理建议书</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重点披露内部控制或风险管理方面的重大缺陷和建议。对内控制度和企业风险管理体系的建立与执行情况进行评价。</w:t>
      </w:r>
      <w:r/>
    </w:p>
    <w:p>
      <w:pPr>
        <w:numPr>
          <w:ilvl w:val="0"/>
          <w:numId w:val="2"/>
        </w:num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其他审计服务</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对有发债需求的市属企业出具发债报告，包括但不限于提供季度及半年度合并报表、审计咨询服务等。</w:t>
      </w:r>
      <w:r/>
    </w:p>
    <w:p>
      <w:pPr>
        <w:numPr>
          <w:ilvl w:val="0"/>
          <w:numId w:val="2"/>
        </w:numPr>
        <w:ind w:left="0"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各标包审计范围</w:t>
      </w:r>
      <w:r>
        <w:rPr>
          <w:rFonts w:hint="eastAsia" w:ascii="宋体" w:hAnsi="宋体" w:eastAsia="宋体" w:cs="宋体"/>
          <w:color w:val="auto"/>
          <w:sz w:val="28"/>
          <w:szCs w:val="28"/>
          <w:highlight w:val="none"/>
          <w:lang w:val="en-US" w:eastAsia="zh-CN"/>
        </w:rPr>
        <w:t xml:space="preserve">及内容</w:t>
      </w:r>
      <w:r>
        <w:rPr>
          <w:rFonts w:hint="eastAsia" w:ascii="宋体" w:hAnsi="宋体" w:eastAsia="宋体" w:cs="宋体"/>
          <w:color w:val="auto"/>
          <w:sz w:val="28"/>
          <w:szCs w:val="28"/>
          <w:highlight w:val="none"/>
        </w:rPr>
        <w:t xml:space="preserve">详见附件《审计主体涵盖范围一览表》。</w:t>
      </w:r>
      <w:r>
        <w:rPr>
          <w:rFonts w:hint="eastAsia" w:ascii="宋体" w:hAnsi="宋体" w:eastAsia="宋体" w:cs="宋体"/>
          <w:color w:val="auto"/>
          <w:sz w:val="28"/>
          <w:szCs w:val="28"/>
          <w:highlight w:val="none"/>
          <w:lang w:val="en-US" w:eastAsia="zh-CN"/>
        </w:rPr>
        <w:t xml:space="preserve">请各投标人仔细研究、合理报价。</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工作要求</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（一）总体要求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1.根据审计范围出具被审计单位每户企业的年度财务报表审计报告和合并报表审计报告；</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2.按要求出具符合规定的专项审计报告；</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3.按要求出具符合规定的年度管理建议书；</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4.按要求出具符合规定的发债审计报告，并基于公开市场业务进行披露资料的整理；按需求提供其他合理的审计服务等。</w:t>
      </w:r>
      <w:r/>
    </w:p>
    <w:p>
      <w:pPr>
        <w:ind w:firstLine="562"/>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（二）人员配置</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b/>
          <w:bCs/>
          <w:color w:val="auto"/>
          <w:sz w:val="28"/>
          <w:szCs w:val="28"/>
          <w:highlight w:val="none"/>
        </w:rPr>
        <w:t xml:space="preserve">包一、包二、包三、包四、包五、包六</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包七</w:t>
      </w:r>
      <w:r>
        <w:rPr>
          <w:rFonts w:hint="eastAsia" w:ascii="宋体" w:hAnsi="宋体" w:eastAsia="宋体" w:cs="宋体"/>
          <w:color w:val="auto"/>
          <w:sz w:val="28"/>
          <w:szCs w:val="28"/>
          <w:highlight w:val="none"/>
        </w:rPr>
        <w:t xml:space="preserve">项目配备的持有注册会计师执业资质的驻点工作人员人数（含项目组长）必须达到5人及以上，且项目组长连续执业5年及以上，其他人员至少有3年以上事务所工作经历。执业期间无重大工作失误、违纪、违法和违法执业道德的记录【近一年没有被国家发改委、中国银行间市场交易商协会及中国证监会基于公开市场业务的行政处罚决定书（处于罚款及以上的处罚决定）】，项目组长须全程负责并跟进本项目。项目组长不得随意更换，确需更换的，须取得</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同意。</w:t>
      </w:r>
      <w:r/>
    </w:p>
    <w:p>
      <w:pPr>
        <w:ind w:firstLine="560"/>
        <w:keepLines w:val="0"/>
        <w:keepNext w:val="0"/>
        <w:pageBreakBefore w:val="0"/>
        <w:spacing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8"/>
          <w:szCs w:val="28"/>
          <w:highlight w:val="none"/>
        </w:rPr>
        <w:t xml:space="preserve">2.</w:t>
      </w:r>
      <w:r>
        <w:rPr>
          <w:rFonts w:hint="eastAsia" w:ascii="宋体" w:hAnsi="宋体" w:eastAsia="宋体" w:cs="宋体"/>
          <w:b/>
          <w:bCs/>
          <w:color w:val="auto"/>
          <w:sz w:val="28"/>
          <w:szCs w:val="28"/>
          <w:highlight w:val="none"/>
        </w:rPr>
        <w:t xml:space="preserve">标包</w:t>
      </w:r>
      <w:r>
        <w:rPr>
          <w:rFonts w:hint="eastAsia" w:ascii="宋体" w:hAnsi="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、标包</w:t>
      </w:r>
      <w:r>
        <w:rPr>
          <w:rFonts w:hint="eastAsia" w:ascii="宋体" w:hAnsi="宋体" w:cs="宋体"/>
          <w:b/>
          <w:bCs/>
          <w:color w:val="auto"/>
          <w:sz w:val="28"/>
          <w:szCs w:val="28"/>
          <w:highlight w:val="none"/>
          <w:lang w:val="en-US" w:eastAsia="zh-CN"/>
        </w:rPr>
        <w:t xml:space="preserve">九</w:t>
      </w:r>
      <w:r>
        <w:rPr>
          <w:rFonts w:hint="eastAsia" w:ascii="宋体" w:hAnsi="宋体" w:eastAsia="宋体" w:cs="宋体"/>
          <w:color w:val="auto"/>
          <w:sz w:val="28"/>
          <w:szCs w:val="28"/>
          <w:highlight w:val="none"/>
        </w:rPr>
        <w:t xml:space="preserve">项目配备的持有注册会计师执业资质的驻点工作人员人数（含项目组长）必须3人及以上，且项目组长连续执业5年及以上，执业期间无重大工作失误、违纪、违法和违法执业道德的记录，项目组长须全程负责并跟进本项目。项目组长不得随意更换，确需更换的，须取得</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同意。</w:t>
      </w:r>
      <w:r/>
    </w:p>
    <w:p>
      <w:pPr>
        <w:pStyle w:val="907"/>
        <w:numPr>
          <w:ilvl w:val="0"/>
          <w:numId w:val="0"/>
        </w:numPr>
        <w:ind w:firstLine="562"/>
        <w:keepLines w:val="0"/>
        <w:keepNext w:val="0"/>
        <w:pageBreakBefore w:val="0"/>
        <w:spacing w:beforeAutospacing="0" w:afterAutospacing="0" w:line="500" w:lineRule="exact"/>
        <w:widowControl w:val="off"/>
        <w:tabs>
          <w:tab w:val="left" w:pos="0" w:leader="none"/>
        </w:tabs>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四、采购标的数量、采购项目交付或者实施的时间和地点</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本项目分</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个包，采购总预算</w:t>
      </w:r>
      <w:r>
        <w:rPr>
          <w:rFonts w:hint="eastAsia" w:ascii="宋体" w:hAnsi="宋体" w:cs="宋体"/>
          <w:color w:val="auto"/>
          <w:sz w:val="28"/>
          <w:szCs w:val="28"/>
          <w:highlight w:val="none"/>
          <w:lang w:val="en-US" w:eastAsia="zh-CN"/>
        </w:rPr>
        <w:t xml:space="preserve">818.32</w:t>
      </w:r>
      <w:r>
        <w:rPr>
          <w:rFonts w:hint="eastAsia" w:ascii="宋体" w:hAnsi="宋体" w:eastAsia="宋体" w:cs="宋体"/>
          <w:color w:val="auto"/>
          <w:sz w:val="28"/>
          <w:szCs w:val="28"/>
          <w:highlight w:val="none"/>
        </w:rPr>
        <w:t xml:space="preserve">万元</w:t>
      </w:r>
      <w:r>
        <w:rPr>
          <w:rFonts w:hint="eastAsia" w:ascii="宋体" w:hAnsi="宋体" w:eastAsia="宋体" w:cs="宋体"/>
          <w:color w:val="auto"/>
          <w:sz w:val="28"/>
          <w:szCs w:val="28"/>
          <w:highlight w:val="none"/>
          <w:lang w:val="en-US" w:eastAsia="zh-CN"/>
        </w:rPr>
        <w:t xml:space="preserve">/年</w:t>
      </w:r>
      <w:r>
        <w:rPr>
          <w:rFonts w:hint="eastAsia" w:ascii="宋体" w:hAnsi="宋体" w:eastAsia="宋体" w:cs="宋体"/>
          <w:color w:val="auto"/>
          <w:sz w:val="28"/>
          <w:szCs w:val="28"/>
          <w:highlight w:val="none"/>
        </w:rPr>
        <w:t xml:space="preserve">。具体每个</w:t>
      </w:r>
      <w:r>
        <w:rPr>
          <w:rFonts w:hint="eastAsia" w:ascii="宋体" w:hAnsi="宋体" w:eastAsia="宋体" w:cs="宋体"/>
          <w:color w:val="auto"/>
          <w:sz w:val="28"/>
          <w:szCs w:val="28"/>
          <w:highlight w:val="none"/>
          <w:lang w:val="en-US" w:eastAsia="zh-CN"/>
        </w:rPr>
        <w:t xml:space="preserve">标</w:t>
      </w:r>
      <w:r>
        <w:rPr>
          <w:rFonts w:hint="eastAsia" w:ascii="宋体" w:hAnsi="宋体" w:eastAsia="宋体" w:cs="宋体"/>
          <w:color w:val="auto"/>
          <w:sz w:val="28"/>
          <w:szCs w:val="28"/>
          <w:highlight w:val="none"/>
        </w:rPr>
        <w:t xml:space="preserve">包对应的企业及设定的最高限价如下（投标报价超过最高限价的为无效投标）。投标人报价应充分考虑接受委托提供审计服务所有可能发生的全部费用，包括不限于人工费、办公费、差旅费、通讯费，管理费、税金等所有费用。其中被审计对象：</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包</w:t>
      </w:r>
      <w:r>
        <w:rPr>
          <w:rFonts w:hint="eastAsia" w:ascii="宋体" w:hAnsi="宋体" w:cs="宋体"/>
          <w:color w:val="auto"/>
          <w:sz w:val="28"/>
          <w:szCs w:val="28"/>
          <w:highlight w:val="none"/>
          <w:lang w:val="en-US" w:eastAsia="zh-CN"/>
        </w:rPr>
        <w:t xml:space="preserve">一</w:t>
      </w:r>
      <w:r>
        <w:rPr>
          <w:rFonts w:hint="eastAsia" w:ascii="宋体" w:hAnsi="宋体" w:eastAsia="宋体" w:cs="宋体"/>
          <w:color w:val="auto"/>
          <w:sz w:val="28"/>
          <w:szCs w:val="28"/>
          <w:highlight w:val="none"/>
        </w:rPr>
        <w:t xml:space="preserve">：南通城市建设集团有限公司</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南通市保障房建设投资集团有限公司</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。预算</w:t>
      </w:r>
      <w:r>
        <w:rPr>
          <w:rFonts w:hint="eastAsia" w:ascii="宋体" w:hAnsi="宋体" w:cs="宋体"/>
          <w:color w:val="auto"/>
          <w:sz w:val="28"/>
          <w:szCs w:val="28"/>
          <w:highlight w:val="none"/>
          <w:lang w:val="en-US" w:eastAsia="zh-CN"/>
        </w:rPr>
        <w:t xml:space="preserve">213.00</w:t>
      </w:r>
      <w:r>
        <w:rPr>
          <w:rFonts w:hint="eastAsia" w:ascii="宋体" w:hAnsi="宋体" w:eastAsia="宋体" w:cs="宋体"/>
          <w:color w:val="auto"/>
          <w:sz w:val="28"/>
          <w:szCs w:val="28"/>
          <w:highlight w:val="none"/>
        </w:rPr>
        <w:t xml:space="preserve">万元，其中市国资委承担预算不超过</w:t>
      </w:r>
      <w:r>
        <w:rPr>
          <w:rFonts w:hint="eastAsia" w:ascii="宋体" w:hAnsi="宋体" w:cs="宋体"/>
          <w:color w:val="auto"/>
          <w:sz w:val="28"/>
          <w:szCs w:val="28"/>
          <w:highlight w:val="none"/>
          <w:lang w:val="en-US" w:eastAsia="zh-CN"/>
        </w:rPr>
        <w:t xml:space="preserve">115.50</w:t>
      </w:r>
      <w:r>
        <w:rPr>
          <w:rFonts w:hint="eastAsia" w:ascii="宋体" w:hAnsi="宋体" w:eastAsia="宋体" w:cs="宋体"/>
          <w:color w:val="auto"/>
          <w:sz w:val="28"/>
          <w:szCs w:val="28"/>
          <w:highlight w:val="none"/>
        </w:rPr>
        <w:t xml:space="preserve">万元，其余由企业承担。最高限价</w:t>
      </w:r>
      <w:r>
        <w:rPr>
          <w:rFonts w:hint="eastAsia" w:ascii="宋体" w:hAnsi="宋体" w:cs="宋体"/>
          <w:color w:val="auto"/>
          <w:sz w:val="28"/>
          <w:szCs w:val="28"/>
          <w:highlight w:val="none"/>
          <w:lang w:val="en-US" w:eastAsia="zh-CN"/>
        </w:rPr>
        <w:t xml:space="preserve">213.00</w:t>
      </w:r>
      <w:r>
        <w:rPr>
          <w:rFonts w:hint="eastAsia" w:ascii="宋体" w:hAnsi="宋体" w:eastAsia="宋体" w:cs="宋体"/>
          <w:color w:val="auto"/>
          <w:sz w:val="28"/>
          <w:szCs w:val="28"/>
          <w:highlight w:val="none"/>
        </w:rPr>
        <w:t xml:space="preserve">万元。</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包</w:t>
      </w:r>
      <w:r>
        <w:rPr>
          <w:rFonts w:hint="eastAsia" w:ascii="宋体" w:hAnsi="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南通沿海开发集团有限公司、</w:t>
      </w:r>
      <w:r>
        <w:rPr>
          <w:rFonts w:hint="eastAsia" w:ascii="宋体" w:hAnsi="宋体" w:eastAsia="宋体" w:cs="宋体"/>
          <w:color w:val="auto"/>
          <w:sz w:val="28"/>
          <w:szCs w:val="28"/>
          <w:highlight w:val="none"/>
          <w:lang w:eastAsia="zh-CN"/>
        </w:rPr>
        <w:t xml:space="preserve">南通文化旅游产业发展集团有限公司、</w:t>
      </w:r>
      <w:r>
        <w:rPr>
          <w:rFonts w:hint="eastAsia" w:ascii="宋体" w:hAnsi="宋体" w:eastAsia="宋体" w:cs="宋体"/>
          <w:color w:val="auto"/>
          <w:sz w:val="28"/>
          <w:szCs w:val="28"/>
          <w:highlight w:val="none"/>
        </w:rPr>
        <w:t xml:space="preserve">南通交通建设投资集团有限责任公司。预算</w:t>
      </w:r>
      <w:r>
        <w:rPr>
          <w:rFonts w:hint="eastAsia" w:ascii="宋体" w:hAnsi="宋体" w:cs="宋体"/>
          <w:color w:val="auto"/>
          <w:sz w:val="28"/>
          <w:szCs w:val="28"/>
          <w:highlight w:val="none"/>
          <w:lang w:val="en-US" w:eastAsia="zh-CN"/>
        </w:rPr>
        <w:t xml:space="preserve">191.20</w:t>
      </w:r>
      <w:r>
        <w:rPr>
          <w:rFonts w:hint="eastAsia" w:ascii="宋体" w:hAnsi="宋体" w:eastAsia="宋体" w:cs="宋体"/>
          <w:color w:val="auto"/>
          <w:sz w:val="28"/>
          <w:szCs w:val="28"/>
          <w:highlight w:val="none"/>
        </w:rPr>
        <w:t xml:space="preserve">万元，其中市国资委承担预算不超过</w:t>
      </w:r>
      <w:r>
        <w:rPr>
          <w:rFonts w:hint="eastAsia" w:ascii="宋体" w:hAnsi="宋体" w:cs="宋体"/>
          <w:color w:val="auto"/>
          <w:sz w:val="28"/>
          <w:szCs w:val="28"/>
          <w:highlight w:val="none"/>
          <w:lang w:val="en-US" w:eastAsia="zh-CN"/>
        </w:rPr>
        <w:t xml:space="preserve">116.20</w:t>
      </w:r>
      <w:r>
        <w:rPr>
          <w:rFonts w:hint="eastAsia" w:ascii="宋体" w:hAnsi="宋体" w:eastAsia="宋体" w:cs="宋体"/>
          <w:color w:val="auto"/>
          <w:sz w:val="28"/>
          <w:szCs w:val="28"/>
          <w:highlight w:val="none"/>
        </w:rPr>
        <w:t xml:space="preserve">万元，其余由企业承担。最高限价</w:t>
      </w:r>
      <w:r>
        <w:rPr>
          <w:rFonts w:hint="eastAsia" w:ascii="宋体" w:hAnsi="宋体" w:cs="宋体"/>
          <w:color w:val="auto"/>
          <w:sz w:val="28"/>
          <w:szCs w:val="28"/>
          <w:highlight w:val="none"/>
          <w:lang w:val="en-US" w:eastAsia="zh-CN"/>
        </w:rPr>
        <w:t xml:space="preserve">191.20</w:t>
      </w:r>
      <w:r>
        <w:rPr>
          <w:rFonts w:hint="eastAsia" w:ascii="宋体" w:hAnsi="宋体" w:eastAsia="宋体" w:cs="宋体"/>
          <w:color w:val="auto"/>
          <w:sz w:val="28"/>
          <w:szCs w:val="28"/>
          <w:highlight w:val="none"/>
        </w:rPr>
        <w:t xml:space="preserve">万元。</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包</w:t>
      </w:r>
      <w:r>
        <w:rPr>
          <w:rFonts w:hint="eastAsia" w:ascii="宋体" w:hAnsi="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：南通产业控股集团有限公司</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南通对外贸易集团有限公司</w:t>
      </w:r>
      <w:r>
        <w:rPr>
          <w:rFonts w:hint="eastAsia" w:ascii="宋体" w:hAnsi="宋体" w:eastAsia="宋体" w:cs="宋体"/>
          <w:color w:val="auto"/>
          <w:sz w:val="28"/>
          <w:szCs w:val="28"/>
          <w:highlight w:val="none"/>
        </w:rPr>
        <w:t xml:space="preserve">。预算</w:t>
      </w:r>
      <w:r>
        <w:rPr>
          <w:rFonts w:hint="eastAsia" w:ascii="宋体" w:hAnsi="宋体" w:cs="宋体"/>
          <w:color w:val="auto"/>
          <w:sz w:val="28"/>
          <w:szCs w:val="28"/>
          <w:highlight w:val="none"/>
          <w:lang w:val="en-US" w:eastAsia="zh-CN"/>
        </w:rPr>
        <w:t xml:space="preserve">167.88</w:t>
      </w:r>
      <w:r>
        <w:rPr>
          <w:rFonts w:hint="eastAsia" w:ascii="宋体" w:hAnsi="宋体" w:eastAsia="宋体" w:cs="宋体"/>
          <w:color w:val="auto"/>
          <w:sz w:val="28"/>
          <w:szCs w:val="28"/>
          <w:highlight w:val="none"/>
        </w:rPr>
        <w:t xml:space="preserve">万元，其中市国资委承担预算不超过</w:t>
      </w:r>
      <w:r>
        <w:rPr>
          <w:rFonts w:hint="eastAsia" w:ascii="宋体" w:hAnsi="宋体" w:cs="宋体"/>
          <w:color w:val="auto"/>
          <w:sz w:val="28"/>
          <w:szCs w:val="28"/>
          <w:highlight w:val="none"/>
          <w:lang w:val="en-US" w:eastAsia="zh-CN"/>
        </w:rPr>
        <w:t xml:space="preserve">85.38</w:t>
      </w:r>
      <w:r>
        <w:rPr>
          <w:rFonts w:hint="eastAsia" w:ascii="宋体" w:hAnsi="宋体" w:eastAsia="宋体" w:cs="宋体"/>
          <w:color w:val="auto"/>
          <w:sz w:val="28"/>
          <w:szCs w:val="28"/>
          <w:highlight w:val="none"/>
        </w:rPr>
        <w:t xml:space="preserve">万元，其余由企业承担。最高限价</w:t>
      </w:r>
      <w:r>
        <w:rPr>
          <w:rFonts w:hint="eastAsia" w:ascii="宋体" w:hAnsi="宋体" w:cs="宋体"/>
          <w:color w:val="auto"/>
          <w:sz w:val="28"/>
          <w:szCs w:val="28"/>
          <w:highlight w:val="none"/>
          <w:lang w:val="en-US" w:eastAsia="zh-CN"/>
        </w:rPr>
        <w:t xml:space="preserve">167.88</w:t>
      </w:r>
      <w:r>
        <w:rPr>
          <w:rFonts w:hint="eastAsia" w:ascii="宋体" w:hAnsi="宋体" w:eastAsia="宋体" w:cs="宋体"/>
          <w:color w:val="auto"/>
          <w:sz w:val="28"/>
          <w:szCs w:val="28"/>
          <w:highlight w:val="none"/>
        </w:rPr>
        <w:t xml:space="preserve">万元。</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包</w:t>
      </w:r>
      <w:r>
        <w:rPr>
          <w:rFonts w:hint="eastAsia" w:ascii="宋体" w:hAnsi="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：南通港口集团有限公司（南通港集团有限公司），预算</w:t>
      </w:r>
      <w:r>
        <w:rPr>
          <w:rFonts w:hint="eastAsia" w:ascii="宋体" w:hAnsi="宋体" w:cs="宋体"/>
          <w:color w:val="auto"/>
          <w:sz w:val="28"/>
          <w:szCs w:val="28"/>
          <w:highlight w:val="none"/>
          <w:lang w:val="en-US" w:eastAsia="zh-CN"/>
        </w:rPr>
        <w:t xml:space="preserve">64.35</w:t>
      </w:r>
      <w:r>
        <w:rPr>
          <w:rFonts w:hint="eastAsia" w:ascii="宋体" w:hAnsi="宋体" w:eastAsia="宋体" w:cs="宋体"/>
          <w:color w:val="auto"/>
          <w:sz w:val="28"/>
          <w:szCs w:val="28"/>
          <w:highlight w:val="none"/>
        </w:rPr>
        <w:t xml:space="preserve">万元，其中市国资委承担预算不超过</w:t>
      </w:r>
      <w:r>
        <w:rPr>
          <w:rFonts w:hint="eastAsia" w:ascii="宋体" w:hAnsi="宋体" w:cs="宋体"/>
          <w:color w:val="auto"/>
          <w:sz w:val="28"/>
          <w:szCs w:val="28"/>
          <w:highlight w:val="none"/>
          <w:lang w:val="en-US" w:eastAsia="zh-CN"/>
        </w:rPr>
        <w:t xml:space="preserve">39.35</w:t>
      </w:r>
      <w:r>
        <w:rPr>
          <w:rFonts w:hint="eastAsia" w:ascii="宋体" w:hAnsi="宋体" w:eastAsia="宋体" w:cs="宋体"/>
          <w:color w:val="auto"/>
          <w:sz w:val="28"/>
          <w:szCs w:val="28"/>
          <w:highlight w:val="none"/>
        </w:rPr>
        <w:t xml:space="preserve">万元，其余由企业承担。最高限价</w:t>
      </w:r>
      <w:r>
        <w:rPr>
          <w:rFonts w:hint="eastAsia" w:ascii="宋体" w:hAnsi="宋体" w:cs="宋体"/>
          <w:color w:val="auto"/>
          <w:sz w:val="28"/>
          <w:szCs w:val="28"/>
          <w:highlight w:val="none"/>
          <w:lang w:val="en-US" w:eastAsia="zh-CN"/>
        </w:rPr>
        <w:t xml:space="preserve">64.35</w:t>
      </w:r>
      <w:r>
        <w:rPr>
          <w:rFonts w:hint="eastAsia" w:ascii="宋体" w:hAnsi="宋体" w:eastAsia="宋体" w:cs="宋体"/>
          <w:color w:val="auto"/>
          <w:sz w:val="28"/>
          <w:szCs w:val="28"/>
          <w:highlight w:val="none"/>
        </w:rPr>
        <w:t xml:space="preserve">万元。</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包</w:t>
      </w:r>
      <w:r>
        <w:rPr>
          <w:rFonts w:hint="eastAsia" w:ascii="宋体" w:hAnsi="宋体" w:cs="宋体"/>
          <w:color w:val="auto"/>
          <w:sz w:val="28"/>
          <w:szCs w:val="28"/>
          <w:highlight w:val="none"/>
          <w:lang w:val="en-US" w:eastAsia="zh-CN"/>
        </w:rPr>
        <w:t xml:space="preserve">五</w:t>
      </w:r>
      <w:r>
        <w:rPr>
          <w:rFonts w:hint="eastAsia" w:ascii="宋体" w:hAnsi="宋体" w:eastAsia="宋体" w:cs="宋体"/>
          <w:color w:val="auto"/>
          <w:sz w:val="28"/>
          <w:szCs w:val="28"/>
          <w:highlight w:val="none"/>
        </w:rPr>
        <w:t xml:space="preserve">：南通水务集团有限公司。预算</w:t>
      </w:r>
      <w:r>
        <w:rPr>
          <w:rFonts w:hint="eastAsia" w:ascii="宋体" w:hAnsi="宋体" w:cs="宋体"/>
          <w:color w:val="auto"/>
          <w:sz w:val="28"/>
          <w:szCs w:val="28"/>
          <w:highlight w:val="none"/>
          <w:lang w:val="en-US" w:eastAsia="zh-CN"/>
        </w:rPr>
        <w:t xml:space="preserve">51.85</w:t>
      </w:r>
      <w:r>
        <w:rPr>
          <w:rFonts w:hint="eastAsia" w:ascii="宋体" w:hAnsi="宋体" w:eastAsia="宋体" w:cs="宋体"/>
          <w:color w:val="auto"/>
          <w:sz w:val="28"/>
          <w:szCs w:val="28"/>
          <w:highlight w:val="none"/>
        </w:rPr>
        <w:t xml:space="preserve">万元，其中市国资委承担预算不超过</w:t>
      </w:r>
      <w:r>
        <w:rPr>
          <w:rFonts w:hint="eastAsia" w:ascii="宋体" w:hAnsi="宋体" w:cs="宋体"/>
          <w:color w:val="auto"/>
          <w:sz w:val="28"/>
          <w:szCs w:val="28"/>
          <w:highlight w:val="none"/>
          <w:lang w:val="en-US" w:eastAsia="zh-CN"/>
        </w:rPr>
        <w:t xml:space="preserve">31.85</w:t>
      </w:r>
      <w:r>
        <w:rPr>
          <w:rFonts w:hint="eastAsia" w:ascii="宋体" w:hAnsi="宋体" w:eastAsia="宋体" w:cs="宋体"/>
          <w:color w:val="auto"/>
          <w:sz w:val="28"/>
          <w:szCs w:val="28"/>
          <w:highlight w:val="none"/>
        </w:rPr>
        <w:t xml:space="preserve">万元，其余由企业承担。最高限价</w:t>
      </w:r>
      <w:r>
        <w:rPr>
          <w:rFonts w:hint="eastAsia" w:ascii="宋体" w:hAnsi="宋体" w:cs="宋体"/>
          <w:color w:val="auto"/>
          <w:sz w:val="28"/>
          <w:szCs w:val="28"/>
          <w:highlight w:val="none"/>
          <w:lang w:val="en-US" w:eastAsia="zh-CN"/>
        </w:rPr>
        <w:t xml:space="preserve">51.85</w:t>
      </w:r>
      <w:r>
        <w:rPr>
          <w:rFonts w:hint="eastAsia" w:ascii="宋体" w:hAnsi="宋体" w:eastAsia="宋体" w:cs="宋体"/>
          <w:color w:val="auto"/>
          <w:sz w:val="28"/>
          <w:szCs w:val="28"/>
          <w:highlight w:val="none"/>
        </w:rPr>
        <w:t xml:space="preserve">万元。</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包六：</w:t>
      </w:r>
      <w:r>
        <w:rPr>
          <w:rFonts w:hint="eastAsia" w:ascii="宋体" w:hAnsi="宋体" w:eastAsia="宋体" w:cs="宋体"/>
          <w:color w:val="auto"/>
          <w:sz w:val="28"/>
          <w:szCs w:val="28"/>
          <w:highlight w:val="none"/>
        </w:rPr>
        <w:t xml:space="preserve">南通轨道交通集团有限公司。预算</w:t>
      </w:r>
      <w:r>
        <w:rPr>
          <w:rFonts w:hint="eastAsia" w:ascii="宋体" w:hAnsi="宋体" w:cs="宋体"/>
          <w:color w:val="auto"/>
          <w:sz w:val="28"/>
          <w:szCs w:val="28"/>
          <w:highlight w:val="none"/>
          <w:lang w:val="en-US" w:eastAsia="zh-CN"/>
        </w:rPr>
        <w:t xml:space="preserve">45.13</w:t>
      </w:r>
      <w:r>
        <w:rPr>
          <w:rFonts w:hint="eastAsia" w:ascii="宋体" w:hAnsi="宋体" w:eastAsia="宋体" w:cs="宋体"/>
          <w:color w:val="auto"/>
          <w:sz w:val="28"/>
          <w:szCs w:val="28"/>
          <w:highlight w:val="none"/>
        </w:rPr>
        <w:t xml:space="preserve">万元，其中市国资委承担预算不超过</w:t>
      </w:r>
      <w:r>
        <w:rPr>
          <w:rFonts w:hint="eastAsia" w:ascii="宋体" w:hAnsi="宋体" w:cs="宋体"/>
          <w:color w:val="auto"/>
          <w:sz w:val="28"/>
          <w:szCs w:val="28"/>
          <w:highlight w:val="none"/>
          <w:lang w:val="en-US" w:eastAsia="zh-CN"/>
        </w:rPr>
        <w:t xml:space="preserve">22.63</w:t>
      </w:r>
      <w:r>
        <w:rPr>
          <w:rFonts w:hint="eastAsia" w:ascii="宋体" w:hAnsi="宋体" w:eastAsia="宋体" w:cs="宋体"/>
          <w:color w:val="auto"/>
          <w:sz w:val="28"/>
          <w:szCs w:val="28"/>
          <w:highlight w:val="none"/>
        </w:rPr>
        <w:t xml:space="preserve">万元，其余由企业承担。最高限价</w:t>
      </w:r>
      <w:r>
        <w:rPr>
          <w:rFonts w:hint="eastAsia" w:ascii="宋体" w:hAnsi="宋体" w:cs="宋体"/>
          <w:color w:val="auto"/>
          <w:sz w:val="28"/>
          <w:szCs w:val="28"/>
          <w:highlight w:val="none"/>
          <w:lang w:val="en-US" w:eastAsia="zh-CN"/>
        </w:rPr>
        <w:t xml:space="preserve">45.13</w:t>
      </w:r>
      <w:r>
        <w:rPr>
          <w:rFonts w:hint="eastAsia" w:ascii="宋体" w:hAnsi="宋体" w:eastAsia="宋体" w:cs="宋体"/>
          <w:color w:val="auto"/>
          <w:sz w:val="28"/>
          <w:szCs w:val="28"/>
          <w:highlight w:val="none"/>
        </w:rPr>
        <w:t xml:space="preserve">万元。</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包</w:t>
      </w:r>
      <w:r>
        <w:rPr>
          <w:rFonts w:hint="eastAsia" w:ascii="宋体" w:hAnsi="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南通科创投资集团有限公司</w:t>
      </w:r>
      <w:r>
        <w:rPr>
          <w:rFonts w:hint="eastAsia" w:ascii="宋体" w:hAnsi="宋体" w:eastAsia="宋体" w:cs="宋体"/>
          <w:color w:val="auto"/>
          <w:sz w:val="28"/>
          <w:szCs w:val="28"/>
          <w:highlight w:val="none"/>
        </w:rPr>
        <w:t xml:space="preserve">。预算</w:t>
      </w:r>
      <w:r>
        <w:rPr>
          <w:rFonts w:hint="eastAsia" w:ascii="宋体" w:hAnsi="宋体" w:cs="宋体"/>
          <w:color w:val="auto"/>
          <w:sz w:val="28"/>
          <w:szCs w:val="28"/>
          <w:highlight w:val="none"/>
          <w:lang w:val="en-US" w:eastAsia="zh-CN"/>
        </w:rPr>
        <w:t xml:space="preserve">23.70</w:t>
      </w:r>
      <w:r>
        <w:rPr>
          <w:rFonts w:hint="eastAsia" w:ascii="宋体" w:hAnsi="宋体" w:eastAsia="宋体" w:cs="宋体"/>
          <w:color w:val="auto"/>
          <w:sz w:val="28"/>
          <w:szCs w:val="28"/>
          <w:highlight w:val="none"/>
        </w:rPr>
        <w:t xml:space="preserve">万元，其中市国资委承担预算不超过</w:t>
      </w:r>
      <w:r>
        <w:rPr>
          <w:rFonts w:hint="eastAsia" w:ascii="宋体" w:hAnsi="宋体" w:cs="宋体"/>
          <w:color w:val="auto"/>
          <w:sz w:val="28"/>
          <w:szCs w:val="28"/>
          <w:highlight w:val="none"/>
          <w:lang w:val="en-US" w:eastAsia="zh-CN"/>
        </w:rPr>
        <w:t xml:space="preserve">15.70</w:t>
      </w:r>
      <w:r>
        <w:rPr>
          <w:rFonts w:hint="eastAsia" w:ascii="宋体" w:hAnsi="宋体" w:eastAsia="宋体" w:cs="宋体"/>
          <w:color w:val="auto"/>
          <w:sz w:val="28"/>
          <w:szCs w:val="28"/>
          <w:highlight w:val="none"/>
        </w:rPr>
        <w:t xml:space="preserve">万元，其余由企业承担。最高限价</w:t>
      </w:r>
      <w:r>
        <w:rPr>
          <w:rFonts w:hint="eastAsia" w:ascii="宋体" w:hAnsi="宋体" w:cs="宋体"/>
          <w:color w:val="auto"/>
          <w:sz w:val="28"/>
          <w:szCs w:val="28"/>
          <w:highlight w:val="none"/>
          <w:lang w:val="en-US" w:eastAsia="zh-CN"/>
        </w:rPr>
        <w:t xml:space="preserve">23.70</w:t>
      </w:r>
      <w:r>
        <w:rPr>
          <w:rFonts w:hint="eastAsia" w:ascii="宋体" w:hAnsi="宋体" w:eastAsia="宋体" w:cs="宋体"/>
          <w:color w:val="auto"/>
          <w:sz w:val="28"/>
          <w:szCs w:val="28"/>
          <w:highlight w:val="none"/>
        </w:rPr>
        <w:t xml:space="preserve">万元。</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包</w:t>
      </w:r>
      <w:r>
        <w:rPr>
          <w:rFonts w:hint="eastAsia" w:ascii="宋体" w:hAnsi="宋体" w:cs="宋体"/>
          <w:color w:val="auto"/>
          <w:sz w:val="28"/>
          <w:szCs w:val="28"/>
          <w:highlight w:val="none"/>
          <w:lang w:val="en-US" w:eastAsia="zh-CN"/>
        </w:rPr>
        <w:t xml:space="preserve">八</w:t>
      </w:r>
      <w:r>
        <w:rPr>
          <w:rFonts w:hint="eastAsia" w:ascii="宋体" w:hAnsi="宋体" w:eastAsia="宋体" w:cs="宋体"/>
          <w:color w:val="auto"/>
          <w:sz w:val="28"/>
          <w:szCs w:val="28"/>
          <w:highlight w:val="none"/>
        </w:rPr>
        <w:t xml:space="preserve">：江苏大生集团有限公司。预算</w:t>
      </w:r>
      <w:r>
        <w:rPr>
          <w:rFonts w:hint="eastAsia" w:ascii="宋体" w:hAnsi="宋体" w:cs="宋体"/>
          <w:color w:val="auto"/>
          <w:sz w:val="28"/>
          <w:szCs w:val="28"/>
          <w:highlight w:val="none"/>
          <w:lang w:val="en-US" w:eastAsia="zh-CN"/>
        </w:rPr>
        <w:t xml:space="preserve">31.38</w:t>
      </w:r>
      <w:r>
        <w:rPr>
          <w:rFonts w:hint="eastAsia" w:ascii="宋体" w:hAnsi="宋体" w:eastAsia="宋体" w:cs="宋体"/>
          <w:color w:val="auto"/>
          <w:sz w:val="28"/>
          <w:szCs w:val="28"/>
          <w:highlight w:val="none"/>
        </w:rPr>
        <w:t xml:space="preserve">万元，由市国资委承担。最高限价</w:t>
      </w:r>
      <w:r>
        <w:rPr>
          <w:rFonts w:hint="eastAsia" w:ascii="宋体" w:hAnsi="宋体" w:cs="宋体"/>
          <w:color w:val="auto"/>
          <w:sz w:val="28"/>
          <w:szCs w:val="28"/>
          <w:highlight w:val="none"/>
          <w:lang w:val="en-US" w:eastAsia="zh-CN"/>
        </w:rPr>
        <w:t xml:space="preserve">31.38</w:t>
      </w:r>
      <w:r>
        <w:rPr>
          <w:rFonts w:hint="eastAsia" w:ascii="宋体" w:hAnsi="宋体" w:eastAsia="宋体" w:cs="宋体"/>
          <w:color w:val="auto"/>
          <w:sz w:val="28"/>
          <w:szCs w:val="28"/>
          <w:highlight w:val="none"/>
        </w:rPr>
        <w:t xml:space="preserve">万元。</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包</w:t>
      </w:r>
      <w:r>
        <w:rPr>
          <w:rFonts w:hint="eastAsia" w:ascii="宋体" w:hAnsi="宋体" w:cs="宋体"/>
          <w:color w:val="auto"/>
          <w:sz w:val="28"/>
          <w:szCs w:val="28"/>
          <w:highlight w:val="none"/>
          <w:lang w:val="en-US" w:eastAsia="zh-CN"/>
        </w:rPr>
        <w:t xml:space="preserve">九</w:t>
      </w:r>
      <w:r>
        <w:rPr>
          <w:rFonts w:hint="eastAsia" w:ascii="宋体" w:hAnsi="宋体" w:eastAsia="宋体" w:cs="宋体"/>
          <w:color w:val="auto"/>
          <w:sz w:val="28"/>
          <w:szCs w:val="28"/>
          <w:highlight w:val="none"/>
        </w:rPr>
        <w:t xml:space="preserve">：南通机场集团有限公司</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南通市大数据发展集团有限公司。预算</w:t>
      </w:r>
      <w:r>
        <w:rPr>
          <w:rFonts w:hint="eastAsia" w:ascii="宋体" w:hAnsi="宋体" w:cs="宋体"/>
          <w:color w:val="auto"/>
          <w:sz w:val="28"/>
          <w:szCs w:val="28"/>
          <w:highlight w:val="none"/>
          <w:lang w:val="en-US" w:eastAsia="zh-CN"/>
        </w:rPr>
        <w:t xml:space="preserve">29.83</w:t>
      </w:r>
      <w:r>
        <w:rPr>
          <w:rFonts w:hint="eastAsia" w:ascii="宋体" w:hAnsi="宋体" w:eastAsia="宋体" w:cs="宋体"/>
          <w:color w:val="auto"/>
          <w:sz w:val="28"/>
          <w:szCs w:val="28"/>
          <w:highlight w:val="none"/>
        </w:rPr>
        <w:t xml:space="preserve">万元，由市国资委承担。最高限价</w:t>
      </w:r>
      <w:r>
        <w:rPr>
          <w:rFonts w:hint="eastAsia" w:ascii="宋体" w:hAnsi="宋体" w:cs="宋体"/>
          <w:color w:val="auto"/>
          <w:sz w:val="28"/>
          <w:szCs w:val="28"/>
          <w:highlight w:val="none"/>
          <w:lang w:val="en-US" w:eastAsia="zh-CN"/>
        </w:rPr>
        <w:t xml:space="preserve">29.83</w:t>
      </w:r>
      <w:r>
        <w:rPr>
          <w:rFonts w:hint="eastAsia" w:ascii="宋体" w:hAnsi="宋体" w:eastAsia="宋体" w:cs="宋体"/>
          <w:color w:val="auto"/>
          <w:sz w:val="28"/>
          <w:szCs w:val="28"/>
          <w:highlight w:val="none"/>
        </w:rPr>
        <w:t xml:space="preserve">万元。</w:t>
      </w:r>
      <w:r/>
    </w:p>
    <w:p>
      <w:pPr>
        <w:pStyle w:val="907"/>
        <w:numPr>
          <w:ilvl w:val="0"/>
          <w:numId w:val="0"/>
        </w:numPr>
        <w:ind w:firstLine="562"/>
        <w:keepLines w:val="0"/>
        <w:keepNext w:val="0"/>
        <w:pageBreakBefore w:val="0"/>
        <w:spacing w:beforeAutospacing="0" w:afterAutospacing="0" w:line="500" w:lineRule="exact"/>
        <w:widowControl w:val="off"/>
        <w:tabs>
          <w:tab w:val="left" w:pos="0" w:leader="none"/>
        </w:tabs>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五、采购标的需满足的服务标准、期限、效率等要求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收到</w:t>
      </w:r>
      <w:r>
        <w:rPr>
          <w:rFonts w:hint="eastAsia" w:ascii="宋体" w:hAnsi="宋体" w:eastAsia="宋体" w:cs="宋体"/>
          <w:color w:val="auto"/>
          <w:sz w:val="28"/>
          <w:szCs w:val="28"/>
          <w:highlight w:val="none"/>
          <w:lang w:val="en-US" w:eastAsia="zh-CN"/>
        </w:rPr>
        <w:t xml:space="preserve">中标</w:t>
      </w:r>
      <w:r>
        <w:rPr>
          <w:rFonts w:hint="eastAsia" w:ascii="宋体" w:hAnsi="宋体" w:eastAsia="宋体" w:cs="宋体"/>
          <w:color w:val="auto"/>
          <w:sz w:val="28"/>
          <w:szCs w:val="28"/>
          <w:highlight w:val="none"/>
        </w:rPr>
        <w:t xml:space="preserve">通知书</w:t>
      </w:r>
      <w:r>
        <w:rPr>
          <w:rFonts w:hint="eastAsia" w:ascii="宋体" w:hAnsi="宋体" w:eastAsia="宋体" w:cs="宋体"/>
          <w:color w:val="auto"/>
          <w:sz w:val="28"/>
          <w:szCs w:val="28"/>
          <w:highlight w:val="none"/>
          <w:lang w:val="en-US" w:eastAsia="zh-CN"/>
        </w:rPr>
        <w:t xml:space="preserve">并</w:t>
      </w:r>
      <w:r>
        <w:rPr>
          <w:rFonts w:hint="eastAsia" w:ascii="宋体" w:hAnsi="宋体" w:eastAsia="宋体" w:cs="宋体"/>
          <w:color w:val="auto"/>
          <w:sz w:val="28"/>
          <w:szCs w:val="28"/>
          <w:highlight w:val="none"/>
        </w:rPr>
        <w:t xml:space="preserve">签订合同后</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于202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val="en-US" w:eastAsia="zh-CN"/>
        </w:rPr>
        <w:t xml:space="preserve">年12月初</w:t>
      </w:r>
      <w:r>
        <w:rPr>
          <w:rFonts w:hint="eastAsia" w:ascii="宋体" w:hAnsi="宋体" w:eastAsia="宋体" w:cs="宋体"/>
          <w:color w:val="auto"/>
          <w:sz w:val="28"/>
          <w:szCs w:val="28"/>
          <w:highlight w:val="none"/>
        </w:rPr>
        <w:t xml:space="preserve">安排进场实施202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年度财务审计预审工作，202</w:t>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年3月5日前出具符合规定的年度财务报表审计报告，202</w:t>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年3月15日前出具专项审计报告和管理建议书。</w:t>
      </w:r>
      <w:r/>
    </w:p>
    <w:p>
      <w:pPr>
        <w:pStyle w:val="907"/>
        <w:numPr>
          <w:ilvl w:val="0"/>
          <w:numId w:val="0"/>
        </w:numPr>
        <w:ind w:firstLine="562"/>
        <w:keepLines w:val="0"/>
        <w:keepNext w:val="0"/>
        <w:pageBreakBefore w:val="0"/>
        <w:spacing w:beforeAutospacing="0" w:afterAutospacing="0" w:line="500" w:lineRule="exact"/>
        <w:widowControl w:val="off"/>
        <w:tabs>
          <w:tab w:val="left" w:pos="0" w:leader="none"/>
        </w:tabs>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六、采购标的其他技术、服务等要求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1.中标人在年度终前实施必要的预审程序。</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2.中标人出具的审计报告的审计结论及意见应当准确恰当，审计结论与审计证据对应关系应当适当、严密，审计披露的信息应当全面完整。</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3.中标人严格按照上述服务内容的要求，在规定时间内将审计报告、财务报告专项说明、管理建议书等业务书约定的事项（包括</w:t>
      </w:r>
      <w:r>
        <w:rPr>
          <w:rFonts w:hint="eastAsia" w:ascii="宋体" w:hAnsi="宋体" w:eastAsia="宋体" w:cs="宋体"/>
          <w:color w:val="auto"/>
          <w:sz w:val="28"/>
          <w:szCs w:val="28"/>
          <w:highlight w:val="none"/>
          <w:lang w:val="en-US" w:eastAsia="zh-CN"/>
        </w:rPr>
        <w:t xml:space="preserve">两份</w:t>
      </w:r>
      <w:r>
        <w:rPr>
          <w:rFonts w:hint="eastAsia" w:ascii="宋体" w:hAnsi="宋体" w:eastAsia="宋体" w:cs="宋体"/>
          <w:color w:val="auto"/>
          <w:sz w:val="28"/>
          <w:szCs w:val="28"/>
          <w:highlight w:val="none"/>
        </w:rPr>
        <w:t xml:space="preserve">纸质文件和电子文档）及时报送国资委。</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4.中标人严格按照投标文件的人员资质及配置方案派出审计人员，不得擅自更换项目组长和其他参审人员，若更换需经</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同意，未经同意擅自更换项目组长和其他参审人员的，</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在审计费用总额中进行不低于5%扣减，并有权解除合同且要求中标人退还</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已支付款项并按照同期中国人民银行贷款利率计付利息，同时赔偿</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因此而造成的损失。</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5.中标人应当按照国家有关规定，妥善保管好年度财务决算审计工作底稿及相关材料，并做好归档管理工作，以备查用。</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6.在项目服务结束后，</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将对中标人服务质量进行评价。考核标准由</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制定，中标人应积极配合向</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提供开展服务质量评价所需的审计工作底稿等各类材料。</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7.遵守国家相关法律法规和采购单位相关工作要求。</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8.遵守职业道德和审计工作纪律规定，不接受被审计单位宴请，不收受礼物等有价物资，遵守被审计单位相关工作制度要求。</w:t>
      </w:r>
      <w:r/>
    </w:p>
    <w:p>
      <w:pPr>
        <w:ind w:firstLine="560"/>
        <w:jc w:val="both"/>
        <w:keepLines w:val="0"/>
        <w:keepNext w:val="0"/>
        <w:pageBreakBefore w:val="0"/>
        <w:spacing w:beforeAutospacing="0" w:afterAutospacing="0" w:line="50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9.</w:t>
      </w:r>
      <w:r>
        <w:rPr>
          <w:rFonts w:hint="eastAsia" w:ascii="宋体" w:hAnsi="宋体" w:eastAsia="宋体" w:cs="宋体"/>
          <w:b w:val="0"/>
          <w:bCs w:val="0"/>
          <w:color w:val="auto"/>
          <w:sz w:val="28"/>
          <w:szCs w:val="28"/>
          <w:highlight w:val="none"/>
          <w:lang w:val="en-US" w:eastAsia="zh-CN"/>
        </w:rPr>
        <w:t xml:space="preserve">中标人须</w:t>
      </w:r>
      <w:r>
        <w:rPr>
          <w:rFonts w:hint="eastAsia" w:ascii="宋体" w:hAnsi="宋体" w:eastAsia="宋体" w:cs="宋体"/>
          <w:b w:val="0"/>
          <w:bCs w:val="0"/>
          <w:color w:val="auto"/>
          <w:sz w:val="28"/>
          <w:szCs w:val="28"/>
          <w:highlight w:val="none"/>
        </w:rPr>
        <w:t xml:space="preserve">在中标公告发布后的5日内，携带所有投标响应文件对应的原件至</w:t>
      </w:r>
      <w:r>
        <w:rPr>
          <w:rFonts w:hint="eastAsia" w:ascii="宋体" w:hAnsi="宋体" w:cs="宋体"/>
          <w:b w:val="0"/>
          <w:bCs w:val="0"/>
          <w:color w:val="auto"/>
          <w:sz w:val="28"/>
          <w:szCs w:val="28"/>
          <w:highlight w:val="none"/>
          <w:lang w:val="en-US" w:eastAsia="zh-CN"/>
        </w:rPr>
        <w:t xml:space="preserve">采购人</w:t>
      </w:r>
      <w:r>
        <w:rPr>
          <w:rFonts w:hint="eastAsia" w:ascii="宋体" w:hAnsi="宋体" w:eastAsia="宋体" w:cs="宋体"/>
          <w:b w:val="0"/>
          <w:bCs w:val="0"/>
          <w:color w:val="auto"/>
          <w:sz w:val="28"/>
          <w:szCs w:val="28"/>
          <w:highlight w:val="none"/>
        </w:rPr>
        <w:t xml:space="preserve">处核查，不以任何理由推诿或拒绝。如未能在规定期限内及时提供相关原件，</w:t>
      </w:r>
      <w:r>
        <w:rPr>
          <w:rFonts w:hint="eastAsia" w:ascii="宋体" w:hAnsi="宋体" w:cs="宋体"/>
          <w:b w:val="0"/>
          <w:bCs w:val="0"/>
          <w:color w:val="auto"/>
          <w:sz w:val="28"/>
          <w:szCs w:val="28"/>
          <w:highlight w:val="none"/>
          <w:lang w:val="en-US" w:eastAsia="zh-CN"/>
        </w:rPr>
        <w:t xml:space="preserve">采购人</w:t>
      </w:r>
      <w:r>
        <w:rPr>
          <w:rFonts w:hint="eastAsia" w:ascii="宋体" w:hAnsi="宋体" w:eastAsia="宋体" w:cs="宋体"/>
          <w:b w:val="0"/>
          <w:bCs w:val="0"/>
          <w:color w:val="auto"/>
          <w:sz w:val="28"/>
          <w:szCs w:val="28"/>
          <w:highlight w:val="none"/>
        </w:rPr>
        <w:t xml:space="preserve">有权拒签合同；并且视同投标人提供虚假材料谋取中标，并愿意接受南通市财政局处理。</w:t>
      </w:r>
      <w:r/>
    </w:p>
    <w:p>
      <w:pPr>
        <w:pStyle w:val="907"/>
        <w:numPr>
          <w:ilvl w:val="0"/>
          <w:numId w:val="0"/>
        </w:numPr>
        <w:ind w:firstLine="562"/>
        <w:keepLines w:val="0"/>
        <w:keepNext w:val="0"/>
        <w:pageBreakBefore w:val="0"/>
        <w:spacing w:beforeAutospacing="0" w:afterAutospacing="0" w:line="500" w:lineRule="exact"/>
        <w:widowControl w:val="off"/>
        <w:tabs>
          <w:tab w:val="left" w:pos="0" w:leader="none"/>
        </w:tabs>
        <w:rPr>
          <w:rFonts w:hint="eastAsia" w:ascii="宋体" w:hAnsi="宋体" w:eastAsia="宋体" w:cs="宋体"/>
          <w:b/>
          <w:bCs/>
          <w:color w:val="auto"/>
          <w:sz w:val="28"/>
          <w:szCs w:val="28"/>
          <w:highlight w:val="none"/>
          <w:lang w:val="en-US" w:eastAsia="zh-CN" w:bidi="ar-SA"/>
        </w:rPr>
      </w:pPr>
      <w:r>
        <w:rPr>
          <w:rFonts w:hint="eastAsia" w:hAnsi="宋体" w:cs="宋体"/>
          <w:b/>
          <w:bCs/>
          <w:color w:val="auto"/>
          <w:sz w:val="28"/>
          <w:szCs w:val="28"/>
          <w:highlight w:val="none"/>
          <w:lang w:val="en-US" w:eastAsia="zh-CN" w:bidi="ar-SA"/>
        </w:rPr>
        <w:t xml:space="preserve">七</w:t>
      </w:r>
      <w:r>
        <w:rPr>
          <w:rFonts w:hint="eastAsia" w:ascii="宋体" w:hAnsi="宋体" w:eastAsia="宋体" w:cs="宋体"/>
          <w:b/>
          <w:bCs/>
          <w:color w:val="auto"/>
          <w:sz w:val="28"/>
          <w:szCs w:val="28"/>
          <w:highlight w:val="none"/>
          <w:lang w:val="en-US" w:eastAsia="zh-CN" w:bidi="ar-SA"/>
        </w:rPr>
        <w:t xml:space="preserve">、采购需求中必须满足的实质性要求</w:t>
      </w:r>
      <w:r/>
    </w:p>
    <w:p>
      <w:pPr>
        <w:ind w:firstLine="560"/>
        <w:keepLines w:val="0"/>
        <w:keepNext w:val="0"/>
        <w:pageBreakBefore w:val="0"/>
        <w:spacing w:line="500" w:lineRule="exact"/>
        <w:widowControl w:val="off"/>
        <w:rPr>
          <w:rFonts w:hint="eastAsia" w:ascii="宋体" w:hAnsi="宋体" w:eastAsia="宋体" w:cs="宋体"/>
          <w:b/>
          <w:bCs/>
          <w:i/>
          <w:iCs/>
          <w:color w:val="auto"/>
          <w:sz w:val="28"/>
          <w:szCs w:val="28"/>
          <w:highlight w:val="none"/>
          <w:u w:val="single"/>
        </w:rPr>
      </w:pPr>
      <w:r>
        <w:rPr>
          <w:rFonts w:hint="eastAsia" w:ascii="宋体" w:hAnsi="宋体" w:eastAsia="宋体" w:cs="宋体"/>
          <w:i/>
          <w:iCs/>
          <w:color w:val="auto"/>
          <w:sz w:val="28"/>
          <w:szCs w:val="28"/>
          <w:highlight w:val="none"/>
          <w:u w:val="single"/>
          <w:lang w:val="en-US" w:eastAsia="zh-CN"/>
        </w:rPr>
        <w:t xml:space="preserve">1.</w:t>
      </w:r>
      <w:r>
        <w:rPr>
          <w:rFonts w:hint="eastAsia" w:ascii="宋体" w:hAnsi="宋体" w:eastAsia="宋体" w:cs="宋体"/>
          <w:b/>
          <w:bCs/>
          <w:i/>
          <w:iCs/>
          <w:color w:val="auto"/>
          <w:sz w:val="28"/>
          <w:szCs w:val="28"/>
          <w:highlight w:val="none"/>
          <w:u w:val="single"/>
        </w:rPr>
        <w:t xml:space="preserve">人员配置</w:t>
      </w:r>
      <w:r/>
    </w:p>
    <w:p>
      <w:pPr>
        <w:ind w:firstLine="560"/>
        <w:keepLines w:val="0"/>
        <w:keepNext w:val="0"/>
        <w:pageBreakBefore w:val="0"/>
        <w:spacing w:line="500" w:lineRule="exact"/>
        <w:widowControl w:val="off"/>
        <w:rPr>
          <w:rFonts w:hint="eastAsia" w:ascii="宋体" w:hAnsi="宋体" w:eastAsia="宋体" w:cs="宋体"/>
          <w:i/>
          <w:iCs/>
          <w:color w:val="auto"/>
          <w:sz w:val="28"/>
          <w:szCs w:val="28"/>
          <w:highlight w:val="none"/>
          <w:u w:val="single"/>
        </w:rPr>
      </w:pPr>
      <w:r>
        <w:rPr>
          <w:rFonts w:hint="eastAsia" w:ascii="宋体" w:hAnsi="宋体" w:eastAsia="宋体" w:cs="宋体"/>
          <w:i/>
          <w:iCs/>
          <w:color w:val="auto"/>
          <w:sz w:val="28"/>
          <w:szCs w:val="28"/>
          <w:highlight w:val="none"/>
          <w:u w:val="single"/>
        </w:rPr>
        <w:t xml:space="preserve">1.</w:t>
      </w:r>
      <w:r>
        <w:rPr>
          <w:rFonts w:hint="eastAsia" w:ascii="宋体" w:hAnsi="宋体" w:eastAsia="宋体" w:cs="宋体"/>
          <w:i/>
          <w:iCs/>
          <w:color w:val="auto"/>
          <w:sz w:val="28"/>
          <w:szCs w:val="28"/>
          <w:highlight w:val="none"/>
          <w:u w:val="single"/>
          <w:lang w:val="en-US" w:eastAsia="zh-CN"/>
        </w:rPr>
        <w:t xml:space="preserve">1</w:t>
      </w:r>
      <w:r>
        <w:rPr>
          <w:rFonts w:hint="eastAsia" w:ascii="宋体" w:hAnsi="宋体" w:eastAsia="宋体" w:cs="宋体"/>
          <w:b/>
          <w:bCs/>
          <w:i/>
          <w:iCs/>
          <w:color w:val="auto"/>
          <w:sz w:val="28"/>
          <w:szCs w:val="28"/>
          <w:highlight w:val="none"/>
          <w:u w:val="single"/>
        </w:rPr>
        <w:t xml:space="preserve">包一、包二、包三、包四、包五、包六</w:t>
      </w:r>
      <w:r>
        <w:rPr>
          <w:rFonts w:hint="eastAsia" w:ascii="宋体" w:hAnsi="宋体" w:eastAsia="宋体" w:cs="宋体"/>
          <w:b/>
          <w:bCs/>
          <w:i/>
          <w:iCs/>
          <w:color w:val="auto"/>
          <w:sz w:val="28"/>
          <w:szCs w:val="28"/>
          <w:highlight w:val="none"/>
          <w:u w:val="single"/>
          <w:lang w:eastAsia="zh-CN"/>
        </w:rPr>
        <w:t xml:space="preserve">、</w:t>
      </w:r>
      <w:r>
        <w:rPr>
          <w:rFonts w:hint="eastAsia" w:ascii="宋体" w:hAnsi="宋体" w:eastAsia="宋体" w:cs="宋体"/>
          <w:b/>
          <w:bCs/>
          <w:i/>
          <w:iCs/>
          <w:color w:val="auto"/>
          <w:sz w:val="28"/>
          <w:szCs w:val="28"/>
          <w:highlight w:val="none"/>
          <w:u w:val="single"/>
          <w:lang w:val="en-US" w:eastAsia="zh-CN"/>
        </w:rPr>
        <w:t xml:space="preserve">包七</w:t>
      </w:r>
      <w:r>
        <w:rPr>
          <w:rFonts w:hint="eastAsia" w:ascii="宋体" w:hAnsi="宋体" w:eastAsia="宋体" w:cs="宋体"/>
          <w:i/>
          <w:iCs/>
          <w:color w:val="auto"/>
          <w:sz w:val="28"/>
          <w:szCs w:val="28"/>
          <w:highlight w:val="none"/>
          <w:u w:val="single"/>
        </w:rPr>
        <w:t xml:space="preserve">项目配备的持有注册会计师执业资质的驻点工作人员人数（含项目组长）必须达到5人及以上，且项目组长连续执业5年及以上，其他人员至少有3年以上事务所工作经历。执业期间无重大工作失误、违纪、违法和违法执业道德的记录【近一年没有被国家发改委、中国银行间市场交易商协会及中国证监会基于公开市场业务的行政处罚决定书（处于罚款及以上的处罚决定）】，项目组长须全程负责并跟进本项目。项目组长不得随意更换，确需更换的，须取得</w:t>
      </w:r>
      <w:r>
        <w:rPr>
          <w:rFonts w:hint="eastAsia" w:ascii="宋体" w:hAnsi="宋体" w:cs="宋体"/>
          <w:i/>
          <w:iCs/>
          <w:color w:val="auto"/>
          <w:sz w:val="28"/>
          <w:szCs w:val="28"/>
          <w:highlight w:val="none"/>
          <w:u w:val="single"/>
          <w:lang w:eastAsia="zh-CN"/>
        </w:rPr>
        <w:t xml:space="preserve">采购人</w:t>
      </w:r>
      <w:r>
        <w:rPr>
          <w:rFonts w:hint="eastAsia" w:ascii="宋体" w:hAnsi="宋体" w:eastAsia="宋体" w:cs="宋体"/>
          <w:i/>
          <w:iCs/>
          <w:color w:val="auto"/>
          <w:sz w:val="28"/>
          <w:szCs w:val="28"/>
          <w:highlight w:val="none"/>
          <w:u w:val="single"/>
        </w:rPr>
        <w:t xml:space="preserve">同意。</w:t>
      </w:r>
      <w:r/>
    </w:p>
    <w:p>
      <w:pPr>
        <w:ind w:firstLine="560"/>
        <w:keepLines w:val="0"/>
        <w:keepNext w:val="0"/>
        <w:pageBreakBefore w:val="0"/>
        <w:spacing w:line="500" w:lineRule="exact"/>
        <w:widowControl w:val="off"/>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sz w:val="28"/>
          <w:szCs w:val="28"/>
          <w:highlight w:val="none"/>
          <w:u w:val="single"/>
          <w:lang w:val="en-US" w:eastAsia="zh-CN"/>
        </w:rPr>
        <w:t xml:space="preserve">1.2</w:t>
      </w:r>
      <w:r>
        <w:rPr>
          <w:rFonts w:hint="eastAsia" w:ascii="宋体" w:hAnsi="宋体" w:eastAsia="宋体" w:cs="宋体"/>
          <w:b/>
          <w:bCs/>
          <w:i/>
          <w:iCs/>
          <w:color w:val="auto"/>
          <w:sz w:val="28"/>
          <w:szCs w:val="28"/>
          <w:highlight w:val="none"/>
          <w:u w:val="single"/>
        </w:rPr>
        <w:t xml:space="preserve">标包</w:t>
      </w:r>
      <w:r>
        <w:rPr>
          <w:rFonts w:hint="eastAsia" w:ascii="宋体" w:hAnsi="宋体" w:cs="宋体"/>
          <w:b/>
          <w:bCs/>
          <w:i/>
          <w:iCs/>
          <w:color w:val="auto"/>
          <w:sz w:val="28"/>
          <w:szCs w:val="28"/>
          <w:highlight w:val="none"/>
          <w:u w:val="single"/>
          <w:lang w:val="en-US" w:eastAsia="zh-CN"/>
        </w:rPr>
        <w:t xml:space="preserve">八</w:t>
      </w:r>
      <w:r>
        <w:rPr>
          <w:rFonts w:hint="eastAsia" w:ascii="宋体" w:hAnsi="宋体" w:eastAsia="宋体" w:cs="宋体"/>
          <w:b/>
          <w:bCs/>
          <w:i/>
          <w:iCs/>
          <w:color w:val="auto"/>
          <w:sz w:val="28"/>
          <w:szCs w:val="28"/>
          <w:highlight w:val="none"/>
          <w:u w:val="single"/>
        </w:rPr>
        <w:t xml:space="preserve">、标包</w:t>
      </w:r>
      <w:r>
        <w:rPr>
          <w:rFonts w:hint="eastAsia" w:ascii="宋体" w:hAnsi="宋体" w:cs="宋体"/>
          <w:b/>
          <w:bCs/>
          <w:i/>
          <w:iCs/>
          <w:color w:val="auto"/>
          <w:sz w:val="28"/>
          <w:szCs w:val="28"/>
          <w:highlight w:val="none"/>
          <w:u w:val="single"/>
          <w:lang w:val="en-US" w:eastAsia="zh-CN"/>
        </w:rPr>
        <w:t xml:space="preserve">九</w:t>
      </w:r>
      <w:r>
        <w:rPr>
          <w:rFonts w:hint="eastAsia" w:ascii="宋体" w:hAnsi="宋体" w:eastAsia="宋体" w:cs="宋体"/>
          <w:i/>
          <w:iCs/>
          <w:color w:val="auto"/>
          <w:sz w:val="28"/>
          <w:szCs w:val="28"/>
          <w:highlight w:val="none"/>
          <w:u w:val="single"/>
        </w:rPr>
        <w:t xml:space="preserve">项目配备的持有注册会计师执业资质的驻点工作人员人数（含项目组长）必须3人及以上，且项目组长连续执业5年及以上，执业期间无重大工作失误、违纪、违法和违法执业道德的记录，项目组长须全程负责并跟进本项目。项目组长不得随意更换，确需更换的，须取得</w:t>
      </w:r>
      <w:r>
        <w:rPr>
          <w:rFonts w:hint="eastAsia" w:ascii="宋体" w:hAnsi="宋体" w:cs="宋体"/>
          <w:i/>
          <w:iCs/>
          <w:color w:val="auto"/>
          <w:sz w:val="28"/>
          <w:szCs w:val="28"/>
          <w:highlight w:val="none"/>
          <w:u w:val="single"/>
          <w:lang w:eastAsia="zh-CN"/>
        </w:rPr>
        <w:t xml:space="preserve">采购人</w:t>
      </w:r>
      <w:r>
        <w:rPr>
          <w:rFonts w:hint="eastAsia" w:ascii="宋体" w:hAnsi="宋体" w:eastAsia="宋体" w:cs="宋体"/>
          <w:i/>
          <w:iCs/>
          <w:color w:val="auto"/>
          <w:sz w:val="28"/>
          <w:szCs w:val="28"/>
          <w:highlight w:val="none"/>
          <w:u w:val="single"/>
        </w:rPr>
        <w:t xml:space="preserve">同意。</w:t>
      </w:r>
      <w:r/>
    </w:p>
    <w:p>
      <w:pPr>
        <w:ind w:firstLine="562"/>
        <w:jc w:val="left"/>
        <w:keepLines w:val="0"/>
        <w:keepNext w:val="0"/>
        <w:pageBreakBefore w:val="0"/>
        <w:spacing w:line="500" w:lineRule="exact"/>
        <w:shd w:val="clear" w:color="auto"/>
        <w:widowControl w:val="off"/>
        <w:rPr>
          <w:rFonts w:hint="eastAsia" w:ascii="宋体" w:hAnsi="宋体" w:eastAsia="宋体" w:cs="宋体"/>
          <w:color w:val="auto"/>
          <w:sz w:val="28"/>
          <w:szCs w:val="28"/>
          <w:highlight w:val="none"/>
          <w:lang w:val="en-US" w:eastAsia="zh-CN"/>
        </w:rPr>
        <w:outlineLvl w:val="1"/>
      </w:pPr>
      <w:r>
        <w:rPr>
          <w:rFonts w:hint="eastAsia" w:ascii="宋体" w:hAnsi="宋体" w:eastAsia="宋体" w:cs="宋体"/>
          <w:b/>
          <w:bCs/>
          <w:i/>
          <w:iCs/>
          <w:color w:val="auto"/>
          <w:sz w:val="28"/>
          <w:szCs w:val="28"/>
          <w:highlight w:val="none"/>
          <w:u w:val="single"/>
          <w:lang w:val="en-US" w:eastAsia="zh-CN"/>
        </w:rPr>
        <w:t xml:space="preserve">以上内容投标时提供承诺函（承诺函格式自拟）。</w:t>
      </w:r>
      <w:r/>
    </w:p>
    <w:p>
      <w:pPr>
        <w:ind w:firstLine="562"/>
        <w:jc w:val="left"/>
        <w:keepLines w:val="0"/>
        <w:keepNext w:val="0"/>
        <w:pageBreakBefore w:val="0"/>
        <w:spacing w:line="500" w:lineRule="exact"/>
        <w:shd w:val="clear" w:color="auto"/>
        <w:widowControl w:val="off"/>
        <w:rPr>
          <w:rFonts w:hint="eastAsia" w:ascii="宋体" w:hAnsi="宋体" w:eastAsia="宋体" w:cs="宋体"/>
          <w:color w:val="auto"/>
          <w:sz w:val="28"/>
          <w:szCs w:val="28"/>
          <w:highlight w:val="none"/>
          <w:lang w:val="en-US" w:eastAsia="zh-CN"/>
        </w:rPr>
        <w:outlineLvl w:val="1"/>
      </w:pPr>
      <w:r>
        <w:rPr>
          <w:rFonts w:hint="eastAsia" w:ascii="宋体" w:hAnsi="宋体" w:eastAsia="宋体" w:cs="宋体"/>
          <w:b/>
          <w:bCs/>
          <w:i/>
          <w:iCs/>
          <w:color w:val="auto"/>
          <w:sz w:val="28"/>
          <w:szCs w:val="28"/>
          <w:highlight w:val="none"/>
          <w:u w:val="single"/>
          <w:lang w:val="en-US" w:eastAsia="zh-CN"/>
        </w:rPr>
        <w:t xml:space="preserve">2.每个标包投标报价不得超过本项目每个标包对应的最高限价，投标时提供承诺函或报价材料（承诺函格式自拟）。</w:t>
      </w:r>
      <w:r/>
    </w:p>
    <w:p>
      <w:pPr>
        <w:ind w:firstLine="562"/>
        <w:keepLines w:val="0"/>
        <w:keepNext w:val="0"/>
        <w:pageBreakBefore w:val="0"/>
        <w:spacing w:line="500" w:lineRule="exact"/>
        <w:widowControl w:val="off"/>
        <w:rPr>
          <w:rFonts w:hint="eastAsia" w:ascii="宋体" w:hAnsi="宋体" w:eastAsia="宋体" w:cs="宋体"/>
          <w:b/>
          <w:bCs/>
          <w:i/>
          <w:iCs/>
          <w:color w:val="auto"/>
          <w:sz w:val="28"/>
          <w:szCs w:val="28"/>
          <w:highlight w:val="none"/>
          <w:u w:val="single"/>
        </w:rPr>
      </w:pPr>
      <w:r>
        <w:rPr>
          <w:rFonts w:hint="eastAsia" w:ascii="宋体" w:hAnsi="宋体" w:eastAsia="宋体" w:cs="宋体"/>
          <w:b/>
          <w:bCs/>
          <w:i/>
          <w:iCs/>
          <w:color w:val="auto"/>
          <w:sz w:val="28"/>
          <w:szCs w:val="28"/>
          <w:highlight w:val="none"/>
          <w:u w:val="single"/>
          <w:lang w:val="en-US" w:eastAsia="zh-CN"/>
        </w:rPr>
        <w:t xml:space="preserve">3</w:t>
      </w:r>
      <w:r>
        <w:rPr>
          <w:rFonts w:hint="eastAsia" w:ascii="宋体" w:hAnsi="宋体" w:eastAsia="宋体" w:cs="宋体"/>
          <w:b/>
          <w:bCs/>
          <w:i/>
          <w:iCs/>
          <w:color w:val="auto"/>
          <w:sz w:val="28"/>
          <w:szCs w:val="28"/>
          <w:highlight w:val="none"/>
          <w:u w:val="single"/>
        </w:rPr>
        <w:t xml:space="preserve">投标人可以选择对任意一个或多个标包同时进行投标，但必须对同一个标包内的全部内容进行投标【投标响应需涵盖招标文件和《审计主体涵盖范围一览表》中约定的所有事项，请各投标人仔细研究】</w:t>
      </w:r>
      <w:r>
        <w:rPr>
          <w:rFonts w:hint="eastAsia" w:ascii="宋体" w:hAnsi="宋体" w:eastAsia="宋体" w:cs="宋体"/>
          <w:b/>
          <w:bCs/>
          <w:i/>
          <w:iCs/>
          <w:color w:val="auto"/>
          <w:sz w:val="28"/>
          <w:szCs w:val="28"/>
          <w:highlight w:val="none"/>
          <w:u w:val="single"/>
          <w:lang w:val="en-US" w:eastAsia="zh-CN"/>
        </w:rPr>
        <w:t xml:space="preserve">并提供承诺函（承诺函格式自拟）</w:t>
      </w:r>
      <w:r>
        <w:rPr>
          <w:rFonts w:hint="eastAsia" w:ascii="宋体" w:hAnsi="宋体" w:eastAsia="宋体" w:cs="宋体"/>
          <w:b/>
          <w:bCs/>
          <w:i/>
          <w:iCs/>
          <w:color w:val="auto"/>
          <w:sz w:val="28"/>
          <w:szCs w:val="28"/>
          <w:highlight w:val="none"/>
          <w:u w:val="single"/>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sectPr>
          <w:headerReference w:type="default" r:id="rId9"/>
          <w:headerReference w:type="even" r:id="rId10"/>
          <w:headerReference w:type="first" r:id="rId11"/>
          <w:footerReference w:type="default" r:id="rId17"/>
          <w:footerReference w:type="even" r:id="rId18"/>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b w:val="0"/>
          <w:bCs w:val="0"/>
          <w:color w:val="auto"/>
          <w:sz w:val="28"/>
          <w:szCs w:val="28"/>
          <w:highlight w:val="none"/>
        </w:rPr>
        <w:t xml:space="preserve"> </w:t>
      </w:r>
      <w:r>
        <w:rPr>
          <w:rFonts w:hint="eastAsia" w:ascii="宋体" w:hAnsi="宋体" w:eastAsia="宋体" w:cs="宋体"/>
          <w:color w:val="auto"/>
          <w:sz w:val="28"/>
          <w:szCs w:val="28"/>
          <w:highlight w:val="none"/>
        </w:rPr>
        <w:t xml:space="preserve">具体见下表</w:t>
      </w:r>
      <w:r/>
    </w:p>
    <w:p>
      <w:pPr>
        <w:pStyle w:val="924"/>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414"/>
        <w:gridCol w:w="1016"/>
        <w:gridCol w:w="4001"/>
        <w:gridCol w:w="1569"/>
        <w:gridCol w:w="5273"/>
        <w:gridCol w:w="867"/>
        <w:gridCol w:w="422"/>
      </w:tblGrid>
      <w:tr>
        <w:trPr>
          <w:trHeight w:val="480"/>
        </w:trPr>
        <w:tc>
          <w:tcPr>
            <w:gridSpan w:val="8"/>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rPr>
              <w:suppressLineNumbers w:val="0"/>
            </w:pPr>
            <w:r>
              <w:rPr>
                <w:rFonts w:hint="eastAsia" w:ascii="宋体" w:hAnsi="宋体" w:eastAsia="宋体" w:cs="宋体"/>
                <w:b/>
                <w:bCs/>
                <w:i w:val="0"/>
                <w:iCs w:val="0"/>
                <w:color w:val="auto"/>
                <w:sz w:val="32"/>
                <w:szCs w:val="32"/>
                <w:highlight w:val="none"/>
              </w:rPr>
              <w:t xml:space="preserve">市属企业审计主体涵盖范围一览表</w:t>
            </w:r>
            <w:r/>
          </w:p>
        </w:tc>
      </w:tr>
      <w:tr>
        <w:trPr>
          <w:trHeight w:val="759"/>
        </w:trPr>
        <w:tc>
          <w:tcPr>
            <w:tcW w:w="21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序号</w:t>
            </w:r>
            <w:r/>
          </w:p>
        </w:tc>
        <w:tc>
          <w:tcPr>
            <w:tcW w:w="14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包号</w:t>
            </w:r>
            <w:r/>
          </w:p>
        </w:tc>
        <w:tc>
          <w:tcPr>
            <w:tcW w:w="35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企业名称</w:t>
            </w:r>
            <w:r/>
          </w:p>
        </w:tc>
        <w:tc>
          <w:tcPr>
            <w:tcW w:w="141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体量（截止202</w:t>
            </w:r>
            <w:r>
              <w:rPr>
                <w:rFonts w:hint="eastAsia" w:ascii="宋体" w:hAnsi="宋体" w:cs="宋体"/>
                <w:i w:val="0"/>
                <w:iCs w:val="0"/>
                <w:color w:val="auto"/>
                <w:sz w:val="20"/>
                <w:szCs w:val="20"/>
                <w:highlight w:val="none"/>
                <w:lang w:val="en-US" w:eastAsia="zh-CN"/>
              </w:rPr>
              <w:t xml:space="preserve">5</w:t>
            </w:r>
            <w:r>
              <w:rPr>
                <w:rFonts w:hint="eastAsia" w:ascii="宋体" w:hAnsi="宋体" w:eastAsia="宋体" w:cs="宋体"/>
                <w:i w:val="0"/>
                <w:iCs w:val="0"/>
                <w:color w:val="auto"/>
                <w:sz w:val="20"/>
                <w:szCs w:val="20"/>
                <w:highlight w:val="none"/>
              </w:rPr>
              <w:t xml:space="preserve">年末）</w:t>
            </w:r>
            <w:r/>
          </w:p>
        </w:tc>
        <w:tc>
          <w:tcPr>
            <w:tcW w:w="55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审计需求</w:t>
            </w:r>
            <w:r/>
          </w:p>
        </w:tc>
        <w:tc>
          <w:tcPr>
            <w:tcW w:w="186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其他审计需求</w:t>
            </w:r>
            <w:r/>
          </w:p>
        </w:tc>
        <w:tc>
          <w:tcPr>
            <w:tcW w:w="30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预算金额（单位：万元）</w:t>
            </w:r>
            <w:r/>
          </w:p>
        </w:tc>
        <w:tc>
          <w:tcPr>
            <w:tcW w:w="14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备注</w:t>
            </w:r>
            <w:r/>
          </w:p>
        </w:tc>
      </w:tr>
      <w:tr>
        <w:trPr>
          <w:trHeight w:val="1993"/>
        </w:trPr>
        <w:tc>
          <w:tcPr>
            <w:tcW w:w="21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1</w:t>
            </w:r>
            <w:r/>
          </w:p>
        </w:tc>
        <w:tc>
          <w:tcPr>
            <w:tcW w:w="14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一</w:t>
            </w:r>
            <w:r/>
          </w:p>
        </w:tc>
        <w:tc>
          <w:tcPr>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南通城市建设集团有限公司（南通市保障房建设投资集团有限公司）</w:t>
            </w:r>
            <w:r/>
          </w:p>
        </w:tc>
        <w:tc>
          <w:tcPr>
            <w:tcW w:w="14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城建集团：                                                                                                                                                                                                      1.需审计集团及下属企业合并口径资产总额约845亿元。                  </w:t>
            </w:r>
            <w:r>
              <w:rPr>
                <w:rFonts w:hint="eastAsia" w:ascii="宋体" w:hAnsi="宋体" w:eastAsia="宋体" w:cs="宋体"/>
                <w:i w:val="0"/>
                <w:iCs w:val="0"/>
                <w:color w:val="auto"/>
                <w:sz w:val="20"/>
                <w:szCs w:val="20"/>
                <w:highlight w:val="none"/>
              </w:rPr>
              <w:t xml:space="preserve">                                                                                          2.需审计集团及下属企业共46家，其中二级企业17家、三级企业23家、四级企业5家。                                                                                                                            </w:t>
            </w:r>
            <w:r>
              <w:rPr>
                <w:rFonts w:hint="eastAsia" w:ascii="宋体" w:hAnsi="宋体" w:eastAsia="宋体" w:cs="宋体"/>
                <w:i w:val="0"/>
                <w:iCs w:val="0"/>
                <w:color w:val="auto"/>
                <w:sz w:val="20"/>
                <w:szCs w:val="20"/>
                <w:highlight w:val="none"/>
              </w:rPr>
              <w:t xml:space="preserve">                                                  3.以上不含港口集团、轨道集团、水务集团、南通汽运实业集团有限公司、城市照明管理处、通安汽修、通安后勤、新通安投资，编制合并报表时纳入合并范围。                                                                                                            房投集团：                     </w:t>
            </w:r>
            <w:r>
              <w:rPr>
                <w:rFonts w:hint="eastAsia" w:ascii="宋体" w:hAnsi="宋体" w:eastAsia="宋体" w:cs="宋体"/>
                <w:i w:val="0"/>
                <w:iCs w:val="0"/>
                <w:color w:val="auto"/>
                <w:sz w:val="20"/>
                <w:szCs w:val="20"/>
                <w:highlight w:val="none"/>
              </w:rPr>
              <w:t xml:space="preserve">                                                            1.需审计集团及下属企业合并口径资产总额约190亿元。                                                                                                                                       2.需审计集团及下属企业共23家，其中二级企业10家、三级企业12家</w:t>
            </w:r>
            <w:r>
              <w:rPr>
                <w:rFonts w:hint="eastAsia" w:ascii="宋体" w:hAnsi="宋体" w:cs="宋体"/>
                <w:i w:val="0"/>
                <w:iCs w:val="0"/>
                <w:color w:val="auto"/>
                <w:sz w:val="20"/>
                <w:szCs w:val="20"/>
                <w:highlight w:val="none"/>
                <w:lang w:eastAsia="zh-CN"/>
              </w:rPr>
              <w:t xml:space="preserve">。</w:t>
            </w:r>
            <w:r>
              <w:rPr>
                <w:rFonts w:hint="eastAsia" w:ascii="宋体" w:hAnsi="宋体" w:eastAsia="宋体" w:cs="宋体"/>
                <w:i w:val="0"/>
                <w:iCs w:val="0"/>
                <w:color w:val="auto"/>
                <w:sz w:val="20"/>
                <w:szCs w:val="20"/>
                <w:highlight w:val="none"/>
              </w:rPr>
              <w:t xml:space="preserve">                                                                                                                                                                           3.以上不含集团出资的非实控区属10家保障房公司及子企业，编制合并报表时纳入合并范围。                             </w:t>
            </w:r>
            <w:r>
              <w:rPr>
                <w:rFonts w:hint="eastAsia" w:ascii="宋体" w:hAnsi="宋体" w:eastAsia="宋体" w:cs="宋体"/>
                <w:i w:val="0"/>
                <w:iCs w:val="0"/>
                <w:color w:val="auto"/>
                <w:sz w:val="20"/>
                <w:szCs w:val="20"/>
                <w:highlight w:val="none"/>
              </w:rPr>
              <w:t xml:space="preserve">                                                                                                                                                                                                                                                                </w:t>
            </w:r>
            <w:r/>
          </w:p>
        </w:tc>
        <w:tc>
          <w:tcPr>
            <w:tcW w:w="553" w:type="pct"/>
            <w:vAlign w:val="top"/>
            <w:vMerge w:val="restart"/>
            <w:textDirection w:val="lrTb"/>
            <w:noWrap w:val="false"/>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（一）年度财务报表审计</w:t>
            </w:r>
            <w:r>
              <w:rPr>
                <w:rFonts w:hint="eastAsia" w:ascii="宋体" w:hAnsi="宋体" w:eastAsia="宋体" w:cs="宋体"/>
                <w:i w:val="0"/>
                <w:iCs w:val="0"/>
                <w:color w:val="auto"/>
                <w:sz w:val="20"/>
                <w:szCs w:val="20"/>
                <w:highlight w:val="none"/>
              </w:rPr>
              <w:br/>
            </w:r>
            <w:r>
              <w:rPr>
                <w:rFonts w:hint="eastAsia" w:ascii="宋体" w:hAnsi="宋体" w:eastAsia="宋体" w:cs="宋体"/>
                <w:i w:val="0"/>
                <w:iCs w:val="0"/>
                <w:color w:val="auto"/>
                <w:sz w:val="20"/>
                <w:szCs w:val="20"/>
                <w:highlight w:val="none"/>
              </w:rPr>
              <w:t xml:space="preserve">对各市属国有企业提供的年度财务报表进行审计。对企业的年度财务报表是否按照《企业会计准则》和相关会计制度规定编制、是否在重大方面公允反映被审计单位的财务状况、经营成果和现金流量等发表审计意见，按照有关规定出具分户、合并年度财务报表审计报告（含财务数据分析和母公司本部报表及附注）。具体内容见附件。</w:t>
            </w:r>
            <w:r>
              <w:rPr>
                <w:rFonts w:hint="eastAsia" w:ascii="宋体" w:hAnsi="宋体" w:eastAsia="宋体" w:cs="宋体"/>
                <w:i w:val="0"/>
                <w:iCs w:val="0"/>
                <w:color w:val="auto"/>
                <w:sz w:val="20"/>
                <w:szCs w:val="20"/>
                <w:highlight w:val="none"/>
              </w:rPr>
              <w:br/>
            </w:r>
            <w:r>
              <w:rPr>
                <w:rFonts w:hint="eastAsia" w:ascii="宋体" w:hAnsi="宋体" w:eastAsia="宋体" w:cs="宋体"/>
                <w:i w:val="0"/>
                <w:iCs w:val="0"/>
                <w:color w:val="auto"/>
                <w:sz w:val="20"/>
                <w:szCs w:val="20"/>
                <w:highlight w:val="none"/>
              </w:rPr>
              <w:t xml:space="preserve">（二）专项审计</w:t>
            </w:r>
            <w:r>
              <w:rPr>
                <w:rFonts w:hint="eastAsia" w:ascii="宋体" w:hAnsi="宋体" w:eastAsia="宋体" w:cs="宋体"/>
                <w:i w:val="0"/>
                <w:iCs w:val="0"/>
                <w:color w:val="auto"/>
                <w:sz w:val="20"/>
                <w:szCs w:val="20"/>
                <w:highlight w:val="none"/>
              </w:rPr>
              <w:br/>
            </w:r>
            <w:r>
              <w:rPr>
                <w:rFonts w:hint="eastAsia" w:ascii="宋体" w:hAnsi="宋体" w:eastAsia="宋体" w:cs="宋体"/>
                <w:i w:val="0"/>
                <w:iCs w:val="0"/>
                <w:color w:val="auto"/>
                <w:sz w:val="20"/>
                <w:szCs w:val="20"/>
                <w:highlight w:val="none"/>
              </w:rPr>
              <w:t xml:space="preserve">1、在年度财务报表审计的基础上，对企业编制的年度国有资产统计报表进行审计（包括封面代码、主附表、附报文档等，具体格式参照国有资产统计报表软件）。</w:t>
            </w:r>
            <w:r>
              <w:rPr>
                <w:rFonts w:hint="eastAsia" w:ascii="宋体" w:hAnsi="宋体" w:eastAsia="宋体" w:cs="宋体"/>
                <w:i w:val="0"/>
                <w:iCs w:val="0"/>
                <w:color w:val="auto"/>
                <w:sz w:val="20"/>
                <w:szCs w:val="20"/>
                <w:highlight w:val="none"/>
              </w:rPr>
              <w:br/>
            </w:r>
            <w:r>
              <w:rPr>
                <w:rFonts w:hint="eastAsia" w:ascii="宋体" w:hAnsi="宋体" w:eastAsia="宋体" w:cs="宋体"/>
                <w:i w:val="0"/>
                <w:iCs w:val="0"/>
                <w:color w:val="auto"/>
                <w:sz w:val="20"/>
                <w:szCs w:val="20"/>
                <w:highlight w:val="none"/>
              </w:rPr>
              <w:t xml:space="preserve">2、按国资委考核口径编制专项合并审计报表。对照企业年度经营目标任务对审计年度经营业绩、薪酬发放与工资总额管理、企业资产盘活处置、财务核销、对外捐赠事项、企业国有资本收益缴纳情况、当年对外投资（含重大投资项目落实情况）、对外担保和出借资金、重大风险事项和突出问题、以前年度审计发现问题整改情况、财务收支情况等分别进行审计以及市国资委要求的其他专项审计内容，按照规定出具专项审计报告。 </w:t>
            </w:r>
            <w:r>
              <w:rPr>
                <w:rFonts w:hint="eastAsia" w:ascii="宋体" w:hAnsi="宋体" w:eastAsia="宋体" w:cs="宋体"/>
                <w:i w:val="0"/>
                <w:iCs w:val="0"/>
                <w:color w:val="auto"/>
                <w:sz w:val="20"/>
                <w:szCs w:val="20"/>
                <w:highlight w:val="none"/>
              </w:rPr>
              <w:br/>
            </w:r>
            <w:r>
              <w:rPr>
                <w:rFonts w:hint="eastAsia" w:ascii="宋体" w:hAnsi="宋体" w:eastAsia="宋体" w:cs="宋体"/>
                <w:i w:val="0"/>
                <w:iCs w:val="0"/>
                <w:color w:val="auto"/>
                <w:sz w:val="20"/>
                <w:szCs w:val="20"/>
                <w:highlight w:val="none"/>
              </w:rPr>
              <w:t xml:space="preserve">（三）管理建议书</w:t>
            </w:r>
            <w:r>
              <w:rPr>
                <w:rFonts w:hint="eastAsia" w:ascii="宋体" w:hAnsi="宋体" w:eastAsia="宋体" w:cs="宋体"/>
                <w:i w:val="0"/>
                <w:iCs w:val="0"/>
                <w:color w:val="auto"/>
                <w:sz w:val="20"/>
                <w:szCs w:val="20"/>
                <w:highlight w:val="none"/>
              </w:rPr>
              <w:br/>
            </w:r>
            <w:r>
              <w:rPr>
                <w:rFonts w:hint="eastAsia" w:ascii="宋体" w:hAnsi="宋体" w:eastAsia="宋体" w:cs="宋体"/>
                <w:i w:val="0"/>
                <w:iCs w:val="0"/>
                <w:color w:val="auto"/>
                <w:sz w:val="20"/>
                <w:szCs w:val="20"/>
                <w:highlight w:val="none"/>
              </w:rPr>
              <w:t xml:space="preserve">重点披露内部控制或风险管理方面的重大缺陷和建议。对内控制度和企业风险管理体系的建立与执行情况进行评价。</w:t>
            </w:r>
            <w:r/>
          </w:p>
        </w:tc>
        <w:tc>
          <w:tcPr>
            <w:tcW w:w="186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1.出具城建、房投合并范围内各级公司合并及单体（包含年度新设子公</w:t>
            </w:r>
            <w:r>
              <w:rPr>
                <w:rFonts w:hint="eastAsia" w:ascii="宋体" w:hAnsi="宋体" w:eastAsia="宋体" w:cs="宋体"/>
                <w:i w:val="0"/>
                <w:iCs w:val="0"/>
                <w:color w:val="auto"/>
                <w:sz w:val="20"/>
                <w:szCs w:val="20"/>
                <w:highlight w:val="none"/>
              </w:rPr>
              <w:t xml:space="preserve">司）年度财务审计报告（报表及附注），不含仅合并报表单位，用于公开市场信息披露。                                                                                                                                  2.城建集团（含国投公司）、房投集团对外披露口径，合并及单体季度报表编制，半年报需提供报表附注，用于公开市场信息披露；基于公开市场业务（包含所有各类存续债券）所需披露的资料，</w:t>
            </w:r>
            <w:r>
              <w:rPr>
                <w:rFonts w:hint="eastAsia" w:ascii="宋体" w:hAnsi="宋体" w:eastAsia="宋体" w:cs="宋体"/>
                <w:i w:val="0"/>
                <w:iCs w:val="0"/>
                <w:color w:val="auto"/>
                <w:sz w:val="20"/>
                <w:szCs w:val="20"/>
                <w:highlight w:val="none"/>
              </w:rPr>
              <w:t xml:space="preserve">包括但不限于：报表附注和财务数据分析（如往来占比账龄分析、收入成本占比账龄分析、受限资产分析等）。披露资料的信息质量，应满足银行间市场交易商协会、证监会等机构的要求。                                                                                                                                                                        3.集团（</w:t>
            </w:r>
            <w:r>
              <w:rPr>
                <w:rFonts w:hint="eastAsia" w:ascii="宋体" w:hAnsi="宋体" w:eastAsia="宋体" w:cs="宋体"/>
                <w:i w:val="0"/>
                <w:iCs w:val="0"/>
                <w:color w:val="auto"/>
                <w:sz w:val="20"/>
                <w:szCs w:val="20"/>
                <w:highlight w:val="none"/>
              </w:rPr>
              <w:t xml:space="preserve">含国投公司、房投集团）管理合并口径，季度报表编制。                                                                                                                                        4.集团（含国投公司）、房投集团基于公开市场业务所需披露的资料，当年如有新增债券，需出具专项报告的，费用由双方在以下金额范围内协商确定：专项报告（含盖章页及其他需披露数据的整理）金额不超过捌</w:t>
            </w:r>
            <w:r>
              <w:rPr>
                <w:rFonts w:hint="eastAsia" w:ascii="宋体" w:hAnsi="宋体" w:eastAsia="宋体" w:cs="宋体"/>
                <w:i w:val="0"/>
                <w:iCs w:val="0"/>
                <w:color w:val="auto"/>
                <w:sz w:val="20"/>
                <w:szCs w:val="20"/>
                <w:highlight w:val="none"/>
              </w:rPr>
              <w:t xml:space="preserve">万元；如只需出具盖章页，金额不超过叁万元。                                                                                                                                            5.会计师事务所应针对年报审计过程中发现的财务核算问题、集团所涉行业会计政策的变更事项、集团在经营过程中可能面临的风险点等，每年至少组织一次集团范围内的培训，以提高财务条线人员的专业化水平。</w:t>
            </w:r>
            <w:r/>
          </w:p>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6.城建集团、房投集团及各子公司财政年报和国资年报系统填报及问题反馈。</w:t>
            </w:r>
            <w:r/>
          </w:p>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7.国资委要求出具的各专项审计报告。                                  </w:t>
            </w:r>
            <w:r>
              <w:rPr>
                <w:rFonts w:hint="eastAsia" w:ascii="宋体" w:hAnsi="宋体" w:eastAsia="宋体" w:cs="宋体"/>
                <w:i w:val="0"/>
                <w:iCs w:val="0"/>
                <w:color w:val="auto"/>
                <w:sz w:val="20"/>
                <w:szCs w:val="20"/>
                <w:highlight w:val="none"/>
              </w:rPr>
              <w:t xml:space="preserve">                                                                                                                                           其他说明：                                                                                                                </w:t>
            </w:r>
            <w:r>
              <w:rPr>
                <w:rFonts w:hint="eastAsia" w:ascii="宋体" w:hAnsi="宋体" w:eastAsia="宋体" w:cs="宋体"/>
                <w:i w:val="0"/>
                <w:iCs w:val="0"/>
                <w:color w:val="auto"/>
                <w:sz w:val="20"/>
                <w:szCs w:val="20"/>
                <w:highlight w:val="none"/>
              </w:rPr>
              <w:t xml:space="preserve">                                                                           1.本表不包含轨道集团、水务集团、港口集团，这三大集团由市国资委单独委托审计，编制城建集团、国投公司合并报表时需将他们纳入合并范围。                                                                                                                   </w:t>
            </w:r>
            <w:r>
              <w:rPr>
                <w:rFonts w:hint="eastAsia" w:ascii="宋体" w:hAnsi="宋体" w:eastAsia="宋体" w:cs="宋体"/>
                <w:i w:val="0"/>
                <w:iCs w:val="0"/>
                <w:color w:val="auto"/>
                <w:sz w:val="20"/>
                <w:szCs w:val="20"/>
                <w:highlight w:val="none"/>
              </w:rPr>
              <w:t xml:space="preserve">                    2.本表不包含南通汽运集团公司、城市照明管理处、通安三家（通安汽修、通安后勤和新通安投资） 编制城建集团、国投公司合并报表时需将他们纳入合并范围。                                                                                                                                                                   </w:t>
            </w:r>
            <w:r/>
          </w:p>
        </w:tc>
        <w:tc>
          <w:tcPr>
            <w:tcW w:w="305"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213.00</w:t>
            </w:r>
            <w:r/>
          </w:p>
        </w:tc>
        <w:tc>
          <w:tcPr>
            <w:tcW w:w="148" w:type="pct"/>
            <w:vAlign w:val="center"/>
            <w:textDirection w:val="lrTb"/>
            <w:noWrap w:val="false"/>
          </w:tcPr>
          <w:p>
            <w:pPr>
              <w:jc w:val="center"/>
              <w:rPr>
                <w:rFonts w:hint="eastAsia" w:ascii="宋体" w:hAnsi="宋体" w:eastAsia="宋体" w:cs="宋体"/>
                <w:i w:val="0"/>
                <w:iCs w:val="0"/>
                <w:color w:val="auto"/>
                <w:sz w:val="20"/>
                <w:szCs w:val="20"/>
                <w:highlight w:val="none"/>
              </w:rPr>
            </w:pPr>
            <w:r>
              <w:rPr>
                <w:rFonts w:hint="eastAsia" w:ascii="宋体" w:hAnsi="宋体" w:eastAsia="宋体" w:cs="宋体"/>
                <w:i w:val="0"/>
                <w:iCs w:val="0"/>
                <w:color w:val="auto"/>
                <w:sz w:val="20"/>
                <w:szCs w:val="20"/>
                <w:highlight w:val="none"/>
              </w:rPr>
              <w:t xml:space="preserve"> </w:t>
            </w:r>
            <w:r/>
          </w:p>
        </w:tc>
      </w:tr>
      <w:tr>
        <w:trPr>
          <w:trHeight w:val="4988"/>
        </w:trPr>
        <w:tc>
          <w:tcPr>
            <w:tcW w:w="21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lang w:eastAsia="zh-CN"/>
              </w:rPr>
              <w:suppressLineNumbers w:val="0"/>
            </w:pPr>
            <w:r>
              <w:rPr>
                <w:rFonts w:hint="eastAsia" w:ascii="宋体" w:hAnsi="宋体" w:cs="宋体"/>
                <w:i w:val="0"/>
                <w:iCs w:val="0"/>
                <w:color w:val="auto"/>
                <w:sz w:val="20"/>
                <w:szCs w:val="20"/>
                <w:highlight w:val="none"/>
                <w:lang w:val="en-US" w:eastAsia="zh-CN"/>
              </w:rPr>
              <w:t xml:space="preserve">2</w:t>
            </w:r>
            <w:r/>
          </w:p>
        </w:tc>
        <w:tc>
          <w:tcPr>
            <w:tcW w:w="14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二</w:t>
            </w:r>
            <w:r/>
          </w:p>
        </w:tc>
        <w:tc>
          <w:tcPr>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南通沿海开发集团有限公司</w:t>
            </w:r>
            <w:r/>
          </w:p>
        </w:tc>
        <w:tc>
          <w:tcPr>
            <w:tcW w:w="14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1.需审计集团及下属企业合并口径资产总额约530亿元。                                                                                                      2.需审计集团及下属企业共61家，其中二级企业2</w:t>
            </w:r>
            <w:r>
              <w:rPr>
                <w:rFonts w:hint="eastAsia" w:ascii="宋体" w:hAnsi="宋体" w:cs="宋体"/>
                <w:i w:val="0"/>
                <w:iCs w:val="0"/>
                <w:color w:val="auto"/>
                <w:sz w:val="20"/>
                <w:szCs w:val="20"/>
                <w:highlight w:val="none"/>
                <w:lang w:val="en-US" w:eastAsia="zh-CN"/>
              </w:rPr>
              <w:t xml:space="preserve">0</w:t>
            </w:r>
            <w:r>
              <w:rPr>
                <w:rFonts w:hint="eastAsia" w:ascii="宋体" w:hAnsi="宋体" w:eastAsia="宋体" w:cs="宋体"/>
                <w:i w:val="0"/>
                <w:iCs w:val="0"/>
                <w:color w:val="auto"/>
                <w:sz w:val="20"/>
                <w:szCs w:val="20"/>
                <w:highlight w:val="none"/>
              </w:rPr>
              <w:t xml:space="preserve">家、三级企业39家、四级企业1家。（不含通州湾控股、通州湾投资、文旅集团、交投集团）。                                                                             </w:t>
            </w:r>
            <w:r>
              <w:rPr>
                <w:rFonts w:hint="eastAsia" w:ascii="宋体" w:hAnsi="宋体" w:eastAsia="宋体" w:cs="宋体"/>
                <w:i w:val="0"/>
                <w:iCs w:val="0"/>
                <w:color w:val="auto"/>
                <w:sz w:val="20"/>
                <w:szCs w:val="20"/>
                <w:highlight w:val="none"/>
              </w:rPr>
              <w:t xml:space="preserve">                                                                3.需审计参股企业南通洋吕铁路开发建设有限公司，资产总额约100亿元。                                                                                                                                                             </w:t>
            </w:r>
            <w:r>
              <w:rPr>
                <w:rFonts w:hint="eastAsia" w:ascii="宋体" w:hAnsi="宋体" w:cs="宋体"/>
                <w:i w:val="0"/>
                <w:iCs w:val="0"/>
                <w:color w:val="auto"/>
                <w:sz w:val="20"/>
                <w:szCs w:val="20"/>
                <w:highlight w:val="none"/>
                <w:lang w:val="en-US" w:eastAsia="zh-CN"/>
              </w:rPr>
              <w:t xml:space="preserve">4</w:t>
            </w:r>
            <w:r>
              <w:rPr>
                <w:rFonts w:hint="eastAsia" w:ascii="宋体" w:hAnsi="宋体" w:eastAsia="宋体" w:cs="宋体"/>
                <w:i w:val="0"/>
                <w:iCs w:val="0"/>
                <w:color w:val="auto"/>
                <w:sz w:val="20"/>
                <w:szCs w:val="20"/>
                <w:highlight w:val="none"/>
              </w:rPr>
              <w:t xml:space="preserve">.需审计通州湾示范区板块下属2家企业</w:t>
            </w:r>
            <w:r>
              <w:rPr>
                <w:rFonts w:hint="eastAsia" w:ascii="宋体" w:hAnsi="宋体" w:cs="宋体"/>
                <w:i w:val="0"/>
                <w:iCs w:val="0"/>
                <w:color w:val="auto"/>
                <w:sz w:val="20"/>
                <w:szCs w:val="20"/>
                <w:highlight w:val="none"/>
                <w:lang w:eastAsia="zh-CN"/>
              </w:rPr>
              <w:t xml:space="preserve">（通州湾融资租赁（江苏）有限公司、南通通湾旅游开发有限公司金石国际大酒店分公司）</w:t>
            </w:r>
            <w:r>
              <w:rPr>
                <w:rFonts w:hint="eastAsia" w:ascii="宋体" w:hAnsi="宋体" w:eastAsia="宋体" w:cs="宋体"/>
                <w:i w:val="0"/>
                <w:iCs w:val="0"/>
                <w:color w:val="auto"/>
                <w:sz w:val="20"/>
                <w:szCs w:val="20"/>
                <w:highlight w:val="none"/>
              </w:rPr>
              <w:t xml:space="preserve">，资产总额约10亿元。                                                                                                                 </w:t>
            </w:r>
            <w:r>
              <w:rPr>
                <w:rFonts w:hint="eastAsia" w:ascii="宋体" w:hAnsi="宋体" w:eastAsia="宋体" w:cs="宋体"/>
                <w:i w:val="0"/>
                <w:iCs w:val="0"/>
                <w:color w:val="auto"/>
                <w:sz w:val="20"/>
                <w:szCs w:val="20"/>
                <w:highlight w:val="none"/>
              </w:rPr>
              <w:t xml:space="preserve">                                                                                                                                                                                                                                                                </w:t>
            </w:r>
            <w:r/>
          </w:p>
        </w:tc>
        <w:tc>
          <w:tcPr>
            <w:tcW w:w="553" w:type="pct"/>
            <w:vAlign w:val="top"/>
            <w:vMerge w:val="continue"/>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186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1.提供集团合并及海汇合并的季报审计服务，包含合并报表和附注。（通州湾控股、通州湾投资、文旅集团、交投集团纳入合并范围）</w:t>
            </w:r>
            <w:r>
              <w:rPr>
                <w:rFonts w:hint="eastAsia" w:ascii="宋体" w:hAnsi="宋体" w:cs="宋体"/>
                <w:i w:val="0"/>
                <w:iCs w:val="0"/>
                <w:color w:val="auto"/>
                <w:sz w:val="20"/>
                <w:szCs w:val="20"/>
                <w:highlight w:val="none"/>
                <w:lang w:eastAsia="zh-CN"/>
              </w:rPr>
              <w:t xml:space="preserve">。</w:t>
            </w:r>
            <w:r>
              <w:rPr>
                <w:rFonts w:hint="eastAsia" w:ascii="宋体" w:hAnsi="宋体" w:eastAsia="宋体" w:cs="宋体"/>
                <w:i w:val="0"/>
                <w:iCs w:val="0"/>
                <w:color w:val="auto"/>
                <w:sz w:val="20"/>
                <w:szCs w:val="20"/>
                <w:highlight w:val="none"/>
              </w:rPr>
              <w:t xml:space="preserve">                                                                                                                                             2.配合发债工作提供相关材料。                                                                                                    </w:t>
            </w:r>
            <w:r>
              <w:rPr>
                <w:rFonts w:hint="eastAsia" w:ascii="宋体" w:hAnsi="宋体" w:eastAsia="宋体" w:cs="宋体"/>
                <w:i w:val="0"/>
                <w:iCs w:val="0"/>
                <w:color w:val="auto"/>
                <w:sz w:val="20"/>
                <w:szCs w:val="20"/>
                <w:highlight w:val="none"/>
              </w:rPr>
              <w:t xml:space="preserve">                                                                        3.集团管理子公司年度考核专项审计报告。                                                                                                                                         4.具有证券资格的审计事务所。            </w:t>
            </w:r>
            <w:r>
              <w:rPr>
                <w:rFonts w:hint="eastAsia" w:ascii="宋体" w:hAnsi="宋体" w:eastAsia="宋体" w:cs="宋体"/>
                <w:i w:val="0"/>
                <w:iCs w:val="0"/>
                <w:color w:val="auto"/>
                <w:sz w:val="20"/>
                <w:szCs w:val="20"/>
                <w:highlight w:val="none"/>
              </w:rPr>
              <w:t xml:space="preserve">                                                                                                                                                                                    5.发行债券需出具募集申明等盖章材料，费用由承销商承担，金额由双方在以下范围协商确定：需盖章并提供数据的金额不超过10万元；如只需盖章，金额不超过3万元</w:t>
            </w:r>
            <w:r>
              <w:rPr>
                <w:rFonts w:hint="eastAsia" w:ascii="宋体" w:hAnsi="宋体" w:cs="宋体"/>
                <w:i w:val="0"/>
                <w:iCs w:val="0"/>
                <w:color w:val="auto"/>
                <w:sz w:val="20"/>
                <w:szCs w:val="20"/>
                <w:highlight w:val="none"/>
                <w:lang w:eastAsia="zh-CN"/>
              </w:rPr>
              <w:t xml:space="preserve">。</w:t>
            </w:r>
            <w:r>
              <w:rPr>
                <w:rFonts w:hint="eastAsia" w:ascii="宋体" w:hAnsi="宋体" w:eastAsia="宋体" w:cs="宋体"/>
                <w:i w:val="0"/>
                <w:iCs w:val="0"/>
                <w:color w:val="auto"/>
                <w:sz w:val="20"/>
                <w:szCs w:val="20"/>
                <w:highlight w:val="none"/>
              </w:rPr>
              <w:t xml:space="preserve"> </w:t>
            </w:r>
            <w:r>
              <w:rPr>
                <w:rFonts w:hint="eastAsia" w:ascii="宋体" w:hAnsi="宋体" w:eastAsia="宋体" w:cs="宋体"/>
                <w:i w:val="0"/>
                <w:iCs w:val="0"/>
                <w:color w:val="auto"/>
                <w:sz w:val="20"/>
                <w:szCs w:val="20"/>
                <w:highlight w:val="none"/>
              </w:rPr>
              <w:t xml:space="preserve">                                                         其他说明：                                                                                                                                                                             1.通州湾控股和通州湾投资两个体系的年报由</w:t>
            </w:r>
            <w:r>
              <w:rPr>
                <w:rFonts w:hint="eastAsia" w:ascii="宋体" w:hAnsi="宋体" w:cs="宋体"/>
                <w:i w:val="0"/>
                <w:iCs w:val="0"/>
                <w:color w:val="auto"/>
                <w:sz w:val="20"/>
                <w:szCs w:val="20"/>
                <w:highlight w:val="none"/>
                <w:lang w:val="en-US" w:eastAsia="zh-CN"/>
              </w:rPr>
              <w:t xml:space="preserve">沿海集团委托其他会计事务所</w:t>
            </w:r>
            <w:r>
              <w:rPr>
                <w:rFonts w:hint="eastAsia" w:ascii="宋体" w:hAnsi="宋体" w:eastAsia="宋体" w:cs="宋体"/>
                <w:i w:val="0"/>
                <w:iCs w:val="0"/>
                <w:color w:val="auto"/>
                <w:sz w:val="20"/>
                <w:szCs w:val="20"/>
                <w:highlight w:val="none"/>
              </w:rPr>
              <w:t xml:space="preserve">出具，认可通州湾控股和通州湾投资公司的其他会计事务所出具</w:t>
            </w:r>
            <w:r>
              <w:rPr>
                <w:rFonts w:hint="eastAsia" w:ascii="宋体" w:hAnsi="宋体" w:cs="宋体"/>
                <w:i w:val="0"/>
                <w:iCs w:val="0"/>
                <w:color w:val="auto"/>
                <w:sz w:val="20"/>
                <w:szCs w:val="20"/>
                <w:highlight w:val="none"/>
                <w:lang w:val="en-US" w:eastAsia="zh-CN"/>
              </w:rPr>
              <w:t xml:space="preserve">的</w:t>
            </w:r>
            <w:r>
              <w:rPr>
                <w:rFonts w:hint="eastAsia" w:ascii="宋体" w:hAnsi="宋体" w:eastAsia="宋体" w:cs="宋体"/>
                <w:i w:val="0"/>
                <w:iCs w:val="0"/>
                <w:color w:val="auto"/>
                <w:sz w:val="20"/>
                <w:szCs w:val="20"/>
                <w:highlight w:val="none"/>
              </w:rPr>
              <w:t xml:space="preserve">报告。文</w:t>
            </w:r>
            <w:r>
              <w:rPr>
                <w:rFonts w:hint="eastAsia" w:ascii="宋体" w:hAnsi="宋体" w:eastAsia="宋体" w:cs="宋体"/>
                <w:i w:val="0"/>
                <w:iCs w:val="0"/>
                <w:color w:val="auto"/>
                <w:sz w:val="20"/>
                <w:szCs w:val="20"/>
                <w:highlight w:val="none"/>
              </w:rPr>
              <w:t xml:space="preserve">旅集团、交投集团由市国资委单独委托审计。                                                                                                                                                           2.年报审计将通州湾控股、通州湾投资、文旅集团、交投集团四家单位（含全资和控股子公司）的已审计报告纳入合并范围。                         </w:t>
            </w:r>
            <w:r>
              <w:rPr>
                <w:rFonts w:hint="eastAsia" w:ascii="宋体" w:hAnsi="宋体" w:eastAsia="宋体" w:cs="宋体"/>
                <w:i w:val="0"/>
                <w:iCs w:val="0"/>
                <w:color w:val="auto"/>
                <w:sz w:val="20"/>
                <w:szCs w:val="20"/>
                <w:highlight w:val="none"/>
              </w:rPr>
              <w:t xml:space="preserve">                                                                                                                                                                                                                                                                </w:t>
            </w:r>
            <w:r/>
          </w:p>
        </w:tc>
        <w:tc>
          <w:tcPr>
            <w:tcW w:w="305" w:type="pct"/>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191.20</w:t>
            </w:r>
            <w:r/>
          </w:p>
        </w:tc>
        <w:tc>
          <w:tcPr>
            <w:tcW w:w="148" w:type="pct"/>
            <w:vAlign w:val="center"/>
            <w:vMerge w:val="restart"/>
            <w:textDirection w:val="lrTb"/>
            <w:noWrap w:val="false"/>
          </w:tcPr>
          <w:p>
            <w:pPr>
              <w:jc w:val="center"/>
              <w:rPr>
                <w:rFonts w:hint="eastAsia" w:ascii="宋体" w:hAnsi="宋体" w:eastAsia="宋体" w:cs="宋体"/>
                <w:i w:val="0"/>
                <w:iCs w:val="0"/>
                <w:color w:val="auto"/>
                <w:sz w:val="20"/>
                <w:szCs w:val="20"/>
                <w:highlight w:val="none"/>
              </w:rPr>
            </w:pPr>
            <w:r>
              <w:rPr>
                <w:rFonts w:hint="eastAsia" w:ascii="宋体" w:hAnsi="宋体" w:eastAsia="宋体" w:cs="宋体"/>
                <w:i w:val="0"/>
                <w:iCs w:val="0"/>
                <w:color w:val="auto"/>
                <w:sz w:val="20"/>
                <w:szCs w:val="20"/>
                <w:highlight w:val="none"/>
              </w:rPr>
              <w:t xml:space="preserve"> </w:t>
            </w:r>
            <w:r/>
          </w:p>
        </w:tc>
      </w:tr>
      <w:tr>
        <w:trPr>
          <w:trHeight w:val="1982"/>
        </w:trPr>
        <w:tc>
          <w:tcPr>
            <w:tcW w:w="21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3</w:t>
            </w:r>
            <w:r/>
          </w:p>
        </w:tc>
        <w:tc>
          <w:tcPr>
            <w:tcW w:w="146" w:type="pct"/>
            <w:vAlign w:val="center"/>
            <w:vMerge w:val="continue"/>
            <w:textDirection w:val="lrTb"/>
            <w:noWrap/>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lang w:val="en-US" w:eastAsia="zh-CN"/>
              </w:rPr>
              <w:t xml:space="preserve">南通文化旅游产业发展集团有限公司</w:t>
            </w:r>
            <w:r/>
          </w:p>
        </w:tc>
        <w:tc>
          <w:tcPr>
            <w:tcW w:w="14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1.集团及下属企业合并口径资产总额约55亿元。                                                                                                                                                          2.集团及下属企业共18家，其中二级企业10家、三级企业7家</w:t>
            </w:r>
            <w:r>
              <w:rPr>
                <w:rFonts w:hint="eastAsia" w:ascii="宋体" w:hAnsi="宋体" w:cs="宋体"/>
                <w:i w:val="0"/>
                <w:iCs w:val="0"/>
                <w:color w:val="auto"/>
                <w:sz w:val="20"/>
                <w:szCs w:val="20"/>
                <w:highlight w:val="none"/>
                <w:lang w:eastAsia="zh-CN"/>
              </w:rPr>
              <w:t xml:space="preserve">。</w:t>
            </w:r>
            <w:r>
              <w:rPr>
                <w:rFonts w:hint="eastAsia" w:ascii="宋体" w:hAnsi="宋体" w:eastAsia="宋体" w:cs="宋体"/>
                <w:i w:val="0"/>
                <w:iCs w:val="0"/>
                <w:color w:val="auto"/>
                <w:sz w:val="20"/>
                <w:szCs w:val="20"/>
                <w:highlight w:val="none"/>
              </w:rPr>
              <w:t xml:space="preserve">                                                                                                                                                       3.南通滨江酒店管理有限公司为文旅集团实际管理企业，资产总额0.51亿元，需纳入审计范围。</w:t>
            </w:r>
            <w:r/>
          </w:p>
        </w:tc>
        <w:tc>
          <w:tcPr>
            <w:tcW w:w="553" w:type="pct"/>
            <w:vAlign w:val="top"/>
            <w:vMerge w:val="continue"/>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186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无特殊要求</w:t>
            </w:r>
            <w:r/>
          </w:p>
        </w:tc>
        <w:tc>
          <w:tcPr>
            <w:tcW w:w="305" w:type="pct"/>
            <w:vAlign w:val="center"/>
            <w:vMerge w:val="continue"/>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148" w:type="pct"/>
            <w:vAlign w:val="center"/>
            <w:vMerge w:val="continue"/>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385"/>
        </w:trPr>
        <w:tc>
          <w:tcPr>
            <w:tcW w:w="21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lang w:eastAsia="zh-CN"/>
              </w:rPr>
              <w:suppressLineNumbers w:val="0"/>
            </w:pPr>
            <w:r>
              <w:rPr>
                <w:rFonts w:hint="eastAsia" w:ascii="宋体" w:hAnsi="宋体" w:cs="宋体"/>
                <w:i w:val="0"/>
                <w:iCs w:val="0"/>
                <w:color w:val="auto"/>
                <w:sz w:val="20"/>
                <w:szCs w:val="20"/>
                <w:highlight w:val="none"/>
                <w:lang w:val="en-US" w:eastAsia="zh-CN"/>
              </w:rPr>
              <w:t xml:space="preserve">4</w:t>
            </w:r>
            <w:r/>
          </w:p>
        </w:tc>
        <w:tc>
          <w:tcPr>
            <w:tcW w:w="146" w:type="pct"/>
            <w:vAlign w:val="center"/>
            <w:vMerge w:val="continue"/>
            <w:textDirection w:val="lrTb"/>
            <w:noWrap/>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南通交通建设投资集团有限责任公司</w:t>
            </w:r>
            <w:r/>
          </w:p>
        </w:tc>
        <w:tc>
          <w:tcPr>
            <w:tcW w:w="14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1.集团及下属企业合并口径资产总额约115亿元。                                                                                                           </w:t>
            </w:r>
            <w:r>
              <w:rPr>
                <w:rFonts w:hint="eastAsia" w:ascii="宋体" w:hAnsi="宋体" w:eastAsia="宋体" w:cs="宋体"/>
                <w:i w:val="0"/>
                <w:iCs w:val="0"/>
                <w:color w:val="auto"/>
                <w:sz w:val="20"/>
                <w:szCs w:val="20"/>
                <w:highlight w:val="none"/>
              </w:rPr>
              <w:t xml:space="preserve">                                               2.集团及下属企业共13家，其中二级企业4家、三级企业6家、四级企业2家。                                                                                                                                                                            </w:t>
            </w:r>
            <w:r/>
          </w:p>
        </w:tc>
        <w:tc>
          <w:tcPr>
            <w:tcW w:w="553" w:type="pct"/>
            <w:vAlign w:val="top"/>
            <w:vMerge w:val="continue"/>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186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无特殊要求</w:t>
            </w:r>
            <w:r/>
          </w:p>
        </w:tc>
        <w:tc>
          <w:tcPr>
            <w:tcW w:w="305" w:type="pct"/>
            <w:vAlign w:val="center"/>
            <w:vMerge w:val="continue"/>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148" w:type="pct"/>
            <w:vAlign w:val="center"/>
            <w:vMerge w:val="continue"/>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3466"/>
        </w:trPr>
        <w:tc>
          <w:tcPr>
            <w:tcW w:w="21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lang w:eastAsia="zh-CN"/>
              </w:rPr>
              <w:suppressLineNumbers w:val="0"/>
            </w:pPr>
            <w:r>
              <w:rPr>
                <w:rFonts w:hint="eastAsia" w:ascii="宋体" w:hAnsi="宋体" w:cs="宋体"/>
                <w:i w:val="0"/>
                <w:iCs w:val="0"/>
                <w:color w:val="auto"/>
                <w:sz w:val="20"/>
                <w:szCs w:val="20"/>
                <w:highlight w:val="none"/>
                <w:lang w:val="en-US" w:eastAsia="zh-CN"/>
              </w:rPr>
              <w:t xml:space="preserve">5</w:t>
            </w:r>
            <w:r/>
          </w:p>
        </w:tc>
        <w:tc>
          <w:tcPr>
            <w:tcW w:w="14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lang w:eastAsia="zh-CN"/>
              </w:rPr>
              <w:suppressLineNumbers w:val="0"/>
            </w:pPr>
            <w:r>
              <w:rPr>
                <w:rFonts w:hint="eastAsia" w:ascii="宋体" w:hAnsi="宋体" w:cs="宋体"/>
                <w:i w:val="0"/>
                <w:iCs w:val="0"/>
                <w:color w:val="auto"/>
                <w:sz w:val="20"/>
                <w:szCs w:val="20"/>
                <w:highlight w:val="none"/>
                <w:lang w:val="en-US" w:eastAsia="zh-CN"/>
              </w:rPr>
              <w:t xml:space="preserve">三</w:t>
            </w:r>
            <w:r/>
          </w:p>
        </w:tc>
        <w:tc>
          <w:tcPr>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南通产业控股集团有限公司</w:t>
            </w:r>
            <w:r/>
          </w:p>
        </w:tc>
        <w:tc>
          <w:tcPr>
            <w:tcW w:w="14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1.需审计集团及下属企业资产总额约385亿元。                                                            </w:t>
            </w:r>
            <w:r>
              <w:rPr>
                <w:rFonts w:hint="eastAsia" w:ascii="宋体" w:hAnsi="宋体" w:eastAsia="宋体" w:cs="宋体"/>
                <w:i w:val="0"/>
                <w:iCs w:val="0"/>
                <w:color w:val="auto"/>
                <w:sz w:val="20"/>
                <w:szCs w:val="20"/>
                <w:highlight w:val="none"/>
              </w:rPr>
              <w:t xml:space="preserve">                                                                                 2.需审计集团及下属企业共19家，其中二级企业10家、三级企业8家。                                                                                                                                             </w:t>
            </w:r>
            <w:r>
              <w:rPr>
                <w:rFonts w:hint="eastAsia" w:ascii="宋体" w:hAnsi="宋体" w:eastAsia="宋体" w:cs="宋体"/>
                <w:i w:val="0"/>
                <w:iCs w:val="0"/>
                <w:color w:val="auto"/>
                <w:sz w:val="20"/>
                <w:szCs w:val="20"/>
                <w:highlight w:val="none"/>
              </w:rPr>
              <w:t xml:space="preserve">                  3.以上不含外贸集团、上市公司（精华制药、江山股份、江天化学）、苏锡通公司、扬子碳素公司，编制合并报表时纳入合并范围。                                                                                                                                                                                   </w:t>
            </w:r>
            <w:r/>
          </w:p>
        </w:tc>
        <w:tc>
          <w:tcPr>
            <w:tcW w:w="553" w:type="pct"/>
            <w:vAlign w:val="top"/>
            <w:vMerge w:val="continue"/>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186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1.与产控集团及关联企业存在利益冲突的审计机构，不得参与产控集团投标。                                                                                                                                                                                     </w:t>
            </w:r>
            <w:r>
              <w:rPr>
                <w:rFonts w:hint="eastAsia" w:ascii="宋体" w:hAnsi="宋体" w:eastAsia="宋体" w:cs="宋体"/>
                <w:i w:val="0"/>
                <w:iCs w:val="0"/>
                <w:color w:val="auto"/>
                <w:sz w:val="20"/>
                <w:szCs w:val="20"/>
                <w:highlight w:val="none"/>
              </w:rPr>
              <w:t xml:space="preserve">                        2.产控集团需单独出具发债年度报告审计，季报、半年报审阅。                                                                                                                                                   3.配合年度融资服务（包括但不限于发债、中票、短融等融资服务的数据整理和审核）。                </w:t>
            </w:r>
            <w:r>
              <w:rPr>
                <w:rFonts w:hint="eastAsia" w:ascii="宋体" w:hAnsi="宋体" w:eastAsia="宋体" w:cs="宋体"/>
                <w:i w:val="0"/>
                <w:iCs w:val="0"/>
                <w:color w:val="auto"/>
                <w:sz w:val="20"/>
                <w:szCs w:val="20"/>
                <w:highlight w:val="none"/>
              </w:rPr>
              <w:t xml:space="preserve">                                                                                                                                                              4.国润融资租赁公司需单独出具资产证券化需要披露的审计报告。                                                                    </w:t>
            </w:r>
            <w:r>
              <w:rPr>
                <w:rFonts w:hint="eastAsia" w:ascii="宋体" w:hAnsi="宋体" w:eastAsia="宋体" w:cs="宋体"/>
                <w:i w:val="0"/>
                <w:iCs w:val="0"/>
                <w:color w:val="auto"/>
                <w:sz w:val="20"/>
                <w:szCs w:val="20"/>
                <w:highlight w:val="none"/>
              </w:rPr>
              <w:t xml:space="preserve">                                                                            5.南通投资管理有限公司需单独出具发债报告。                                                                                                                                                              </w:t>
            </w:r>
            <w:r>
              <w:rPr>
                <w:rFonts w:hint="eastAsia" w:ascii="宋体" w:hAnsi="宋体" w:eastAsia="宋体" w:cs="宋体"/>
                <w:i w:val="0"/>
                <w:iCs w:val="0"/>
                <w:color w:val="auto"/>
                <w:sz w:val="20"/>
                <w:szCs w:val="20"/>
                <w:highlight w:val="none"/>
              </w:rPr>
              <w:t xml:space="preserve">                     其他说明：                                                                                                                                                                                        1.产控集团下属的上市公司、苏锡通、扬子碳素由单位自行委托审计，外贸集团由市国资委另行委托审</w:t>
            </w:r>
            <w:r>
              <w:rPr>
                <w:rFonts w:hint="eastAsia" w:ascii="宋体" w:hAnsi="宋体" w:eastAsia="宋体" w:cs="宋体"/>
                <w:i w:val="0"/>
                <w:iCs w:val="0"/>
                <w:color w:val="auto"/>
                <w:sz w:val="20"/>
                <w:szCs w:val="20"/>
                <w:highlight w:val="none"/>
              </w:rPr>
              <w:t xml:space="preserve">计，但编制产控集团合并报表时，将它们纳入合并范围。                                                                                                                                                                                                                                       </w:t>
            </w:r>
            <w:r>
              <w:rPr>
                <w:rFonts w:hint="eastAsia" w:ascii="宋体" w:hAnsi="宋体" w:eastAsia="宋体" w:cs="宋体"/>
                <w:i w:val="0"/>
                <w:iCs w:val="0"/>
                <w:color w:val="auto"/>
                <w:sz w:val="20"/>
                <w:szCs w:val="20"/>
                <w:highlight w:val="none"/>
              </w:rPr>
              <w:t xml:space="preserve">                                                                                                                                                                                                                                                                </w:t>
            </w:r>
            <w:r/>
          </w:p>
        </w:tc>
        <w:tc>
          <w:tcPr>
            <w:tcW w:w="305"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167.88</w:t>
            </w:r>
            <w:r/>
          </w:p>
        </w:tc>
        <w:tc>
          <w:tcPr>
            <w:tcW w:w="148" w:type="pct"/>
            <w:vAlign w:val="center"/>
            <w:textDirection w:val="lrTb"/>
            <w:noWrap w:val="false"/>
          </w:tcPr>
          <w:p>
            <w:pPr>
              <w:jc w:val="center"/>
              <w:rPr>
                <w:rFonts w:hint="eastAsia" w:ascii="宋体" w:hAnsi="宋体" w:eastAsia="宋体" w:cs="宋体"/>
                <w:i w:val="0"/>
                <w:iCs w:val="0"/>
                <w:color w:val="auto"/>
                <w:sz w:val="20"/>
                <w:szCs w:val="20"/>
                <w:highlight w:val="none"/>
              </w:rPr>
            </w:pPr>
            <w:r>
              <w:rPr>
                <w:rFonts w:hint="eastAsia" w:ascii="宋体" w:hAnsi="宋体" w:eastAsia="宋体" w:cs="宋体"/>
                <w:i w:val="0"/>
                <w:iCs w:val="0"/>
                <w:color w:val="auto"/>
                <w:sz w:val="20"/>
                <w:szCs w:val="20"/>
                <w:highlight w:val="none"/>
              </w:rPr>
              <w:t xml:space="preserve"> </w:t>
            </w:r>
            <w:r/>
          </w:p>
        </w:tc>
      </w:tr>
      <w:tr>
        <w:trPr>
          <w:trHeight w:val="1536"/>
        </w:trPr>
        <w:tc>
          <w:tcPr>
            <w:tcW w:w="215" w:type="pct"/>
            <w:vAlign w:val="center"/>
            <w:textDirection w:val="lrTb"/>
            <w:noWrap/>
          </w:tcPr>
          <w:p>
            <w:pPr>
              <w:jc w:val="center"/>
              <w:keepLines w:val="0"/>
              <w:keepNext w:val="0"/>
              <w:widowControl/>
              <w:rPr>
                <w:rFonts w:hint="default" w:ascii="宋体" w:hAnsi="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6</w:t>
            </w:r>
            <w:r/>
          </w:p>
        </w:tc>
        <w:tc>
          <w:tcPr>
            <w:tcW w:w="146" w:type="pct"/>
            <w:vAlign w:val="center"/>
            <w:textDirection w:val="lrTb"/>
            <w:noWrap/>
          </w:tcPr>
          <w:p>
            <w:pPr>
              <w:jc w:val="center"/>
              <w:keepLines w:val="0"/>
              <w:keepNext w:val="0"/>
              <w:widowControl/>
              <w:rPr>
                <w:rFonts w:hint="eastAsia" w:ascii="宋体" w:hAnsi="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r>
            <w:r/>
          </w:p>
        </w:tc>
        <w:tc>
          <w:tcPr>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南通对外贸易集团有限公司</w:t>
            </w:r>
            <w:r/>
          </w:p>
        </w:tc>
        <w:tc>
          <w:tcPr>
            <w:tcW w:w="14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1.需审计集团及下属企业合并口径资产总额约13亿元。                                                                                                                                             2.需审计集团及下属企业共11家，其中二级企业5家、三级企业5家。</w:t>
            </w:r>
            <w:r/>
          </w:p>
        </w:tc>
        <w:tc>
          <w:tcPr>
            <w:tcW w:w="553" w:type="pct"/>
            <w:vAlign w:val="top"/>
            <w:vMerge w:val="continue"/>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186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无特殊要求</w:t>
            </w:r>
            <w:r/>
          </w:p>
        </w:tc>
        <w:tc>
          <w:tcPr>
            <w:tcW w:w="30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lang w:val="en-US" w:eastAsia="zh-CN"/>
              </w:rPr>
              <w:suppressLineNumbers w:val="0"/>
            </w:pPr>
            <w:r>
              <w:rPr>
                <w:rFonts w:hint="eastAsia" w:ascii="宋体" w:hAnsi="宋体" w:eastAsia="宋体" w:cs="宋体"/>
                <w:i w:val="0"/>
                <w:iCs w:val="0"/>
                <w:color w:val="auto"/>
                <w:sz w:val="20"/>
                <w:szCs w:val="20"/>
                <w:highlight w:val="none"/>
                <w:lang w:val="en-US" w:eastAsia="zh-CN"/>
              </w:rPr>
            </w:r>
            <w:r/>
          </w:p>
        </w:tc>
        <w:tc>
          <w:tcPr>
            <w:tcW w:w="148" w:type="pct"/>
            <w:vAlign w:val="center"/>
            <w:textDirection w:val="lrTb"/>
            <w:noWrap w:val="false"/>
          </w:tcPr>
          <w:p>
            <w:pPr>
              <w:jc w:val="center"/>
              <w:rPr>
                <w:rFonts w:hint="eastAsia" w:ascii="宋体" w:hAnsi="宋体" w:eastAsia="宋体" w:cs="宋体"/>
                <w:i w:val="0"/>
                <w:iCs w:val="0"/>
                <w:color w:val="auto"/>
                <w:sz w:val="20"/>
                <w:szCs w:val="20"/>
                <w:highlight w:val="none"/>
              </w:rPr>
            </w:pPr>
            <w:r>
              <w:rPr>
                <w:rFonts w:hint="eastAsia" w:ascii="宋体" w:hAnsi="宋体" w:eastAsia="宋体" w:cs="宋体"/>
                <w:i w:val="0"/>
                <w:iCs w:val="0"/>
                <w:color w:val="auto"/>
                <w:sz w:val="20"/>
                <w:szCs w:val="20"/>
                <w:highlight w:val="none"/>
              </w:rPr>
            </w:r>
            <w:r/>
          </w:p>
        </w:tc>
      </w:tr>
      <w:tr>
        <w:trPr>
          <w:trHeight w:val="6101"/>
        </w:trPr>
        <w:tc>
          <w:tcPr>
            <w:tcW w:w="21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7</w:t>
            </w:r>
            <w:r/>
          </w:p>
        </w:tc>
        <w:tc>
          <w:tcPr>
            <w:tcW w:w="14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lang w:eastAsia="zh-CN"/>
              </w:rPr>
              <w:suppressLineNumbers w:val="0"/>
            </w:pPr>
            <w:r>
              <w:rPr>
                <w:rFonts w:hint="eastAsia" w:ascii="宋体" w:hAnsi="宋体" w:cs="宋体"/>
                <w:i w:val="0"/>
                <w:iCs w:val="0"/>
                <w:color w:val="auto"/>
                <w:sz w:val="20"/>
                <w:szCs w:val="20"/>
                <w:highlight w:val="none"/>
                <w:lang w:val="en-US" w:eastAsia="zh-CN"/>
              </w:rPr>
              <w:t xml:space="preserve">四</w:t>
            </w:r>
            <w:r/>
          </w:p>
        </w:tc>
        <w:tc>
          <w:tcPr>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南通港口集团有限公司  （南通港集团有限公司）</w:t>
            </w:r>
            <w:r/>
          </w:p>
        </w:tc>
        <w:tc>
          <w:tcPr>
            <w:tcW w:w="14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1.南通港口集团及下属企业合并口径资产约72亿元（集团及下属企业共15家，其中二级企业10家、三级企业4家 ）。                                             </w:t>
            </w:r>
            <w:r>
              <w:rPr>
                <w:rFonts w:hint="eastAsia" w:ascii="宋体" w:hAnsi="宋体" w:eastAsia="宋体" w:cs="宋体"/>
                <w:i w:val="0"/>
                <w:iCs w:val="0"/>
                <w:color w:val="auto"/>
                <w:sz w:val="20"/>
                <w:szCs w:val="20"/>
                <w:highlight w:val="none"/>
              </w:rPr>
              <w:t xml:space="preserve">                                                                           2.南通港集团及下属企业合并口径资产总额约90亿元（集团及下属企业共6家，其中二级企业1家、三级企业4家 ）。                                                                                                 3.参股企业江苏通州湾港口发展有限公司资产总额约23亿元。</w:t>
            </w:r>
            <w:r/>
          </w:p>
        </w:tc>
        <w:tc>
          <w:tcPr>
            <w:tcW w:w="553" w:type="pct"/>
            <w:vAlign w:val="top"/>
            <w:vMerge w:val="continue"/>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186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1.南通港集团、南通港口集团均已获AA+评级，集团拟择机发行企业债券，明确要求为年报提供审计服务的会计师事务所须具备证券业务资格。                                                                                         2.出具合并范围内各级公司合并及</w:t>
            </w:r>
            <w:r>
              <w:rPr>
                <w:rFonts w:hint="eastAsia" w:ascii="宋体" w:hAnsi="宋体" w:eastAsia="宋体" w:cs="宋体"/>
                <w:i w:val="0"/>
                <w:iCs w:val="0"/>
                <w:color w:val="auto"/>
                <w:sz w:val="20"/>
                <w:szCs w:val="20"/>
                <w:highlight w:val="none"/>
              </w:rPr>
              <w:t xml:space="preserve">单体年度财务审计报告（报表及附注），用于公开市场信息披露。                                                                                                                                  3.集团对外披露口径，合并及单体半年度报表编制，需提供报表附注，用于公开市场信息披露。集团基于公开市场业务（包含所有各类存续债券）所需披露的资料，包括但不限于：报表附注和财务数据分析（如往来占比</w:t>
            </w:r>
            <w:r>
              <w:rPr>
                <w:rFonts w:hint="eastAsia" w:ascii="宋体" w:hAnsi="宋体" w:eastAsia="宋体" w:cs="宋体"/>
                <w:i w:val="0"/>
                <w:iCs w:val="0"/>
                <w:color w:val="auto"/>
                <w:sz w:val="20"/>
                <w:szCs w:val="20"/>
                <w:highlight w:val="none"/>
              </w:rPr>
              <w:t xml:space="preserve">账龄分析、收入成本占比账龄分析、受限资产分析等）。披露资料的信息质量，应满足银行间市场交易商协会、证监会等机构的要求。                                                                                                                   4.集团基于公开市场业务所需披露的资料当年如有新增债券，需出具专项报告的，费用由双方在以下金额范围内协商确定：专项报告（含盖章页及其他需披露数据的整理）金额不超过捌</w:t>
            </w:r>
            <w:r>
              <w:rPr>
                <w:rFonts w:hint="eastAsia" w:ascii="宋体" w:hAnsi="宋体" w:eastAsia="宋体" w:cs="宋体"/>
                <w:i w:val="0"/>
                <w:iCs w:val="0"/>
                <w:color w:val="auto"/>
                <w:sz w:val="20"/>
                <w:szCs w:val="20"/>
                <w:highlight w:val="none"/>
              </w:rPr>
              <w:t xml:space="preserve">万元；如只需出具盖章页，金额不超过叁万元。                                                                                                                                            5.会计师事务所应针对年报审计过程中发现的财务核算问题、集团所涉行业会计政策的变更事项、集团在经营过程中可能面临的风险点等，每年至少组织一次集团范围内的培训，以提高财务条线人员的专业化水平。</w:t>
            </w:r>
            <w:r/>
          </w:p>
        </w:tc>
        <w:tc>
          <w:tcPr>
            <w:tcW w:w="305"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64.35</w:t>
            </w:r>
            <w:r/>
          </w:p>
        </w:tc>
        <w:tc>
          <w:tcPr>
            <w:tcW w:w="148" w:type="pct"/>
            <w:vAlign w:val="center"/>
            <w:textDirection w:val="lrTb"/>
            <w:noWrap w:val="false"/>
          </w:tcPr>
          <w:p>
            <w:pPr>
              <w:jc w:val="center"/>
              <w:rPr>
                <w:rFonts w:hint="eastAsia" w:ascii="宋体" w:hAnsi="宋体" w:eastAsia="宋体" w:cs="宋体"/>
                <w:i w:val="0"/>
                <w:iCs w:val="0"/>
                <w:color w:val="auto"/>
                <w:sz w:val="20"/>
                <w:szCs w:val="20"/>
                <w:highlight w:val="none"/>
              </w:rPr>
            </w:pPr>
            <w:r>
              <w:rPr>
                <w:rFonts w:hint="eastAsia" w:ascii="宋体" w:hAnsi="宋体" w:eastAsia="宋体" w:cs="宋体"/>
                <w:i w:val="0"/>
                <w:iCs w:val="0"/>
                <w:color w:val="auto"/>
                <w:sz w:val="20"/>
                <w:szCs w:val="20"/>
                <w:highlight w:val="none"/>
              </w:rPr>
            </w:r>
            <w:r/>
          </w:p>
        </w:tc>
      </w:tr>
      <w:tr>
        <w:trPr>
          <w:trHeight w:val="1642"/>
        </w:trPr>
        <w:tc>
          <w:tcPr>
            <w:tcW w:w="21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8</w:t>
            </w:r>
            <w:r/>
          </w:p>
        </w:tc>
        <w:tc>
          <w:tcPr>
            <w:tcW w:w="14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五</w:t>
            </w:r>
            <w:r/>
          </w:p>
        </w:tc>
        <w:tc>
          <w:tcPr>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南通水务集团有限公司</w:t>
            </w:r>
            <w:r/>
          </w:p>
        </w:tc>
        <w:tc>
          <w:tcPr>
            <w:tcW w:w="14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1.集团及下属企业合并口径资产总额约115亿元。                                                               </w:t>
            </w:r>
            <w:r>
              <w:rPr>
                <w:rFonts w:hint="eastAsia" w:ascii="宋体" w:hAnsi="宋体" w:eastAsia="宋体" w:cs="宋体"/>
                <w:i w:val="0"/>
                <w:iCs w:val="0"/>
                <w:color w:val="auto"/>
                <w:sz w:val="20"/>
                <w:szCs w:val="20"/>
                <w:highlight w:val="none"/>
              </w:rPr>
              <w:t xml:space="preserve">                                                                              2.集团及下属企业共15家，其中二级企业14家。                                                                                                                                                          </w:t>
            </w:r>
            <w:r/>
          </w:p>
        </w:tc>
        <w:tc>
          <w:tcPr>
            <w:tcW w:w="553" w:type="pct"/>
            <w:vAlign w:val="top"/>
            <w:vMerge w:val="continue"/>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186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1.审计机构需具有发债资格，配合水务集团发债需提供的相关数</w:t>
            </w:r>
            <w:r>
              <w:rPr>
                <w:rFonts w:hint="eastAsia" w:ascii="宋体" w:hAnsi="宋体" w:eastAsia="宋体" w:cs="宋体"/>
                <w:i w:val="0"/>
                <w:iCs w:val="0"/>
                <w:color w:val="auto"/>
                <w:sz w:val="20"/>
                <w:szCs w:val="20"/>
                <w:highlight w:val="none"/>
              </w:rPr>
              <w:t xml:space="preserve">据及报告。                                                                                                                                                                                                                                                           </w:t>
            </w:r>
            <w:r>
              <w:rPr>
                <w:rFonts w:hint="eastAsia" w:ascii="宋体" w:hAnsi="宋体" w:eastAsia="宋体" w:cs="宋体"/>
                <w:i w:val="0"/>
                <w:iCs w:val="0"/>
                <w:color w:val="auto"/>
                <w:sz w:val="20"/>
                <w:szCs w:val="20"/>
                <w:highlight w:val="none"/>
              </w:rPr>
              <w:t xml:space="preserve">                              2.配合做好季报合并报表工作。                                                                                                                                                                3.财务情况说明书（包括财务状况分析、企业经济效益分析、现金流量分析、重大事项分析说明）。      </w:t>
            </w:r>
            <w:r/>
          </w:p>
        </w:tc>
        <w:tc>
          <w:tcPr>
            <w:tcW w:w="305"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51.85</w:t>
            </w:r>
            <w:r/>
          </w:p>
        </w:tc>
        <w:tc>
          <w:tcPr>
            <w:tcW w:w="148" w:type="pct"/>
            <w:vAlign w:val="center"/>
            <w:textDirection w:val="lrTb"/>
            <w:noWrap w:val="false"/>
          </w:tcPr>
          <w:p>
            <w:pPr>
              <w:jc w:val="center"/>
              <w:rPr>
                <w:rFonts w:hint="eastAsia" w:ascii="宋体" w:hAnsi="宋体" w:eastAsia="宋体" w:cs="宋体"/>
                <w:i w:val="0"/>
                <w:iCs w:val="0"/>
                <w:color w:val="auto"/>
                <w:sz w:val="20"/>
                <w:szCs w:val="20"/>
                <w:highlight w:val="none"/>
              </w:rPr>
            </w:pPr>
            <w:r>
              <w:rPr>
                <w:rFonts w:hint="eastAsia" w:ascii="宋体" w:hAnsi="宋体" w:eastAsia="宋体" w:cs="宋体"/>
                <w:i w:val="0"/>
                <w:iCs w:val="0"/>
                <w:color w:val="auto"/>
                <w:sz w:val="20"/>
                <w:szCs w:val="20"/>
                <w:highlight w:val="none"/>
              </w:rPr>
            </w:r>
            <w:r/>
          </w:p>
        </w:tc>
      </w:tr>
      <w:tr>
        <w:trPr>
          <w:trHeight w:val="608"/>
        </w:trPr>
        <w:tc>
          <w:tcPr>
            <w:tcW w:w="21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9</w:t>
            </w:r>
            <w:r/>
          </w:p>
        </w:tc>
        <w:tc>
          <w:tcPr>
            <w:tcW w:w="14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六</w:t>
            </w:r>
            <w:r/>
          </w:p>
        </w:tc>
        <w:tc>
          <w:tcPr>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南通轨道交通集团有限公司</w:t>
            </w:r>
            <w:r/>
          </w:p>
        </w:tc>
        <w:tc>
          <w:tcPr>
            <w:tcW w:w="14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1.集团及下属企业合并口径资产总额约515亿元。                                                                                           </w:t>
            </w:r>
            <w:r>
              <w:rPr>
                <w:rFonts w:hint="eastAsia" w:ascii="宋体" w:hAnsi="宋体" w:eastAsia="宋体" w:cs="宋体"/>
                <w:i w:val="0"/>
                <w:iCs w:val="0"/>
                <w:color w:val="auto"/>
                <w:sz w:val="20"/>
                <w:szCs w:val="20"/>
                <w:highlight w:val="none"/>
              </w:rPr>
              <w:t xml:space="preserve">                                                 2.集团及下属企业共17家，其中二级企业6家、三级企业9家，四级企业1家。                                                                                                                                                                          </w:t>
            </w:r>
            <w:r/>
          </w:p>
        </w:tc>
        <w:tc>
          <w:tcPr>
            <w:tcW w:w="553" w:type="pct"/>
            <w:vAlign w:val="top"/>
            <w:vMerge w:val="continue"/>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186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                                                                                                                                                                                                           </w:t>
            </w:r>
            <w:r>
              <w:rPr>
                <w:rFonts w:hint="eastAsia" w:ascii="宋体" w:hAnsi="宋体" w:cs="宋体"/>
                <w:i w:val="0"/>
                <w:iCs w:val="0"/>
                <w:color w:val="auto"/>
                <w:sz w:val="20"/>
                <w:szCs w:val="20"/>
                <w:highlight w:val="none"/>
                <w:lang w:val="en-US" w:eastAsia="zh-CN"/>
              </w:rPr>
              <w:t xml:space="preserve">1</w:t>
            </w:r>
            <w:r>
              <w:rPr>
                <w:rFonts w:hint="eastAsia" w:ascii="宋体" w:hAnsi="宋体" w:eastAsia="宋体" w:cs="宋体"/>
                <w:i w:val="0"/>
                <w:iCs w:val="0"/>
                <w:color w:val="auto"/>
                <w:sz w:val="20"/>
                <w:szCs w:val="20"/>
                <w:highlight w:val="none"/>
              </w:rPr>
              <w:t xml:space="preserve">.下一年4月30日之前出具上一年度合并范围内各级公司合并及单体年度财务审计报告（报表及附注），用于公开市场信息披露。                                                                                                                                  </w:t>
            </w:r>
            <w:r>
              <w:rPr>
                <w:rFonts w:hint="eastAsia" w:ascii="宋体" w:hAnsi="宋体" w:cs="宋体"/>
                <w:i w:val="0"/>
                <w:iCs w:val="0"/>
                <w:color w:val="auto"/>
                <w:sz w:val="20"/>
                <w:szCs w:val="20"/>
                <w:highlight w:val="none"/>
                <w:lang w:val="en-US" w:eastAsia="zh-CN"/>
              </w:rPr>
              <w:t xml:space="preserve">2</w:t>
            </w:r>
            <w:r>
              <w:rPr>
                <w:rFonts w:hint="eastAsia" w:ascii="宋体" w:hAnsi="宋体" w:eastAsia="宋体" w:cs="宋体"/>
                <w:i w:val="0"/>
                <w:iCs w:val="0"/>
                <w:color w:val="auto"/>
                <w:sz w:val="20"/>
                <w:szCs w:val="20"/>
                <w:highlight w:val="none"/>
              </w:rPr>
              <w:t xml:space="preserve">.集团对外披露口径，编制合并及单体季度报表（半年度报告在当年8月30日之前出具），并提供报表附注，用于公开市场信息披露。</w:t>
            </w:r>
            <w:r/>
          </w:p>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集团发行债券时，需配合集团和其他中介机构提供相关材料，根据债券主管机关要求出具除审计报告和专项报告外的其他相关签字盖章材料。</w:t>
            </w:r>
            <w:r/>
          </w:p>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集团基于公开市场业务所需披露的资料，包括但不限于：报表附注和财务数据分析（如往来占比账龄分析、收入成本占比账龄分析、受限资产分析等）。披露资料的信息质量，应满足银行间市场交易商协会、证监会、证券交易所等机构等的要求。                                              </w:t>
            </w:r>
            <w:r>
              <w:rPr>
                <w:rFonts w:hint="eastAsia" w:ascii="宋体" w:hAnsi="宋体" w:eastAsia="宋体" w:cs="宋体"/>
                <w:i w:val="0"/>
                <w:iCs w:val="0"/>
                <w:color w:val="auto"/>
                <w:sz w:val="20"/>
                <w:szCs w:val="20"/>
                <w:highlight w:val="none"/>
              </w:rPr>
              <w:t xml:space="preserve">                                                                                                                                                                                                                                                                </w:t>
            </w:r>
            <w:r>
              <w:rPr>
                <w:rFonts w:hint="eastAsia" w:ascii="宋体" w:hAnsi="宋体" w:cs="宋体"/>
                <w:i w:val="0"/>
                <w:iCs w:val="0"/>
                <w:color w:val="auto"/>
                <w:sz w:val="20"/>
                <w:szCs w:val="20"/>
                <w:highlight w:val="none"/>
                <w:lang w:val="en-US" w:eastAsia="zh-CN"/>
              </w:rPr>
              <w:t xml:space="preserve">3</w:t>
            </w:r>
            <w:r>
              <w:rPr>
                <w:rFonts w:hint="eastAsia" w:ascii="宋体" w:hAnsi="宋体" w:eastAsia="宋体" w:cs="宋体"/>
                <w:i w:val="0"/>
                <w:iCs w:val="0"/>
                <w:color w:val="auto"/>
                <w:sz w:val="20"/>
                <w:szCs w:val="20"/>
                <w:highlight w:val="none"/>
              </w:rPr>
              <w:t xml:space="preserve">.集团基于公开市场业务所需披露的资料，当年需出具专项报告的，费用由双方在以下金额范围内协商确定：专项报告（含盖章页及其他需披露数据的整理）金额不超过伍万元；如只需出具盖章页，金额不超过贰万元。                                                                                                                                            </w:t>
            </w:r>
            <w:r>
              <w:rPr>
                <w:rFonts w:hint="eastAsia" w:ascii="宋体" w:hAnsi="宋体" w:cs="宋体"/>
                <w:i w:val="0"/>
                <w:iCs w:val="0"/>
                <w:color w:val="auto"/>
                <w:sz w:val="20"/>
                <w:szCs w:val="20"/>
                <w:highlight w:val="none"/>
                <w:lang w:val="en-US" w:eastAsia="zh-CN"/>
              </w:rPr>
              <w:t xml:space="preserve">4</w:t>
            </w:r>
            <w:r>
              <w:rPr>
                <w:rFonts w:hint="eastAsia" w:ascii="宋体" w:hAnsi="宋体" w:eastAsia="宋体" w:cs="宋体"/>
                <w:i w:val="0"/>
                <w:iCs w:val="0"/>
                <w:color w:val="auto"/>
                <w:sz w:val="20"/>
                <w:szCs w:val="20"/>
                <w:highlight w:val="none"/>
              </w:rPr>
              <w:t xml:space="preserve">.会计师事务所应针对年报审计过程中发现的财务核算问题、集团所涉行业会计政策的变更事项、集团在经营过程中可能面临的风险点等，每年至少组织一次集团范围内的培训，以提高财务条线人员的专业化水平。</w:t>
            </w:r>
            <w:r/>
          </w:p>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cs="宋体"/>
                <w:i w:val="0"/>
                <w:iCs w:val="0"/>
                <w:color w:val="auto"/>
                <w:sz w:val="20"/>
                <w:szCs w:val="20"/>
                <w:highlight w:val="none"/>
                <w:lang w:val="en-US" w:eastAsia="zh-CN"/>
              </w:rPr>
              <w:t xml:space="preserve">5</w:t>
            </w:r>
            <w:r>
              <w:rPr>
                <w:rFonts w:hint="eastAsia" w:ascii="宋体" w:hAnsi="宋体" w:eastAsia="宋体" w:cs="宋体"/>
                <w:i w:val="0"/>
                <w:iCs w:val="0"/>
                <w:color w:val="auto"/>
                <w:sz w:val="20"/>
                <w:szCs w:val="20"/>
                <w:highlight w:val="none"/>
              </w:rPr>
              <w:t xml:space="preserve">.集团及子公司财政年报和国资年报系统填报。</w:t>
            </w:r>
            <w:r/>
          </w:p>
        </w:tc>
        <w:tc>
          <w:tcPr>
            <w:tcW w:w="305"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45.13</w:t>
            </w:r>
            <w:r/>
          </w:p>
        </w:tc>
        <w:tc>
          <w:tcPr>
            <w:tcW w:w="148" w:type="pct"/>
            <w:vAlign w:val="center"/>
            <w:textDirection w:val="lrTb"/>
            <w:noWrap w:val="false"/>
          </w:tcPr>
          <w:p>
            <w:pPr>
              <w:jc w:val="center"/>
              <w:rPr>
                <w:rFonts w:hint="eastAsia" w:ascii="宋体" w:hAnsi="宋体" w:eastAsia="宋体" w:cs="宋体"/>
                <w:i w:val="0"/>
                <w:iCs w:val="0"/>
                <w:color w:val="auto"/>
                <w:sz w:val="20"/>
                <w:szCs w:val="20"/>
                <w:highlight w:val="none"/>
              </w:rPr>
            </w:pPr>
            <w:r>
              <w:rPr>
                <w:rFonts w:hint="eastAsia" w:ascii="宋体" w:hAnsi="宋体" w:eastAsia="宋体" w:cs="宋体"/>
                <w:i w:val="0"/>
                <w:iCs w:val="0"/>
                <w:color w:val="auto"/>
                <w:sz w:val="20"/>
                <w:szCs w:val="20"/>
                <w:highlight w:val="none"/>
              </w:rPr>
            </w:r>
            <w:r/>
          </w:p>
        </w:tc>
      </w:tr>
      <w:tr>
        <w:trPr>
          <w:trHeight w:val="2182"/>
        </w:trPr>
        <w:tc>
          <w:tcPr>
            <w:tcW w:w="215"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10</w:t>
            </w:r>
            <w:r/>
          </w:p>
        </w:tc>
        <w:tc>
          <w:tcPr>
            <w:tcW w:w="14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七</w:t>
            </w:r>
            <w:r/>
          </w:p>
        </w:tc>
        <w:tc>
          <w:tcPr>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南通科创投资集团有限公司</w:t>
            </w:r>
            <w:r/>
          </w:p>
        </w:tc>
        <w:tc>
          <w:tcPr>
            <w:tcW w:w="14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lang w:eastAsia="zh-CN"/>
              </w:rPr>
              <w:suppressLineNumbers w:val="0"/>
            </w:pPr>
            <w:r>
              <w:rPr>
                <w:rFonts w:hint="eastAsia" w:ascii="宋体" w:hAnsi="宋体" w:eastAsia="宋体" w:cs="宋体"/>
                <w:i w:val="0"/>
                <w:iCs w:val="0"/>
                <w:color w:val="auto"/>
                <w:sz w:val="20"/>
                <w:szCs w:val="20"/>
                <w:highlight w:val="none"/>
              </w:rPr>
              <w:t xml:space="preserve">1.集团及下属企业合并口径资产总额约35亿元。                                                                                     2.集团及下属企业共12家，其中二级企业5家，三级企业5家 ，四级企业1家。</w:t>
            </w:r>
            <w:r/>
          </w:p>
        </w:tc>
        <w:tc>
          <w:tcPr>
            <w:tcW w:w="553" w:type="pct"/>
            <w:vAlign w:val="top"/>
            <w:vMerge w:val="continue"/>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186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1.审计机构需具备证券期货机构审计业务资格。                                                                                                                 </w:t>
            </w:r>
            <w:r>
              <w:rPr>
                <w:rFonts w:hint="eastAsia" w:ascii="宋体" w:hAnsi="宋体" w:eastAsia="宋体" w:cs="宋体"/>
                <w:i w:val="0"/>
                <w:iCs w:val="0"/>
                <w:color w:val="auto"/>
                <w:sz w:val="20"/>
                <w:szCs w:val="20"/>
                <w:highlight w:val="none"/>
              </w:rPr>
              <w:t xml:space="preserve">                                                                    2.按要求出具合并范围内各级公司合并及单体年度财务审计报告(报表及附注)。                                                                                                                                                    3.配</w:t>
            </w:r>
            <w:r>
              <w:rPr>
                <w:rFonts w:hint="eastAsia" w:ascii="宋体" w:hAnsi="宋体" w:eastAsia="宋体" w:cs="宋体"/>
                <w:i w:val="0"/>
                <w:iCs w:val="0"/>
                <w:color w:val="auto"/>
                <w:sz w:val="20"/>
                <w:szCs w:val="20"/>
                <w:highlight w:val="none"/>
              </w:rPr>
              <w:t xml:space="preserve">合年度发债等融资服务的数据整理和审核，进行合并及单体季度、半年度报表编制，半年报需要根据融资要求提供适用于公开披露的附注内容。                                                                                                                                                  4.有丰富的私募投资基金审计经验，能够提供专业、客观的金融资产（尤其是公允价值部分）审计方案。</w:t>
            </w:r>
            <w:r/>
          </w:p>
        </w:tc>
        <w:tc>
          <w:tcPr>
            <w:tcW w:w="305"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23.70</w:t>
            </w:r>
            <w:r/>
          </w:p>
        </w:tc>
        <w:tc>
          <w:tcPr>
            <w:tcW w:w="148" w:type="pct"/>
            <w:vAlign w:val="center"/>
            <w:textDirection w:val="lrTb"/>
            <w:noWrap/>
          </w:tcPr>
          <w:p>
            <w:pPr>
              <w:jc w:val="center"/>
              <w:rPr>
                <w:rFonts w:hint="eastAsia" w:ascii="宋体" w:hAnsi="宋体" w:eastAsia="宋体" w:cs="宋体"/>
                <w:i w:val="0"/>
                <w:iCs w:val="0"/>
                <w:color w:val="auto"/>
                <w:sz w:val="20"/>
                <w:szCs w:val="20"/>
                <w:highlight w:val="none"/>
              </w:rPr>
            </w:pPr>
            <w:r>
              <w:rPr>
                <w:rFonts w:hint="eastAsia" w:ascii="宋体" w:hAnsi="宋体" w:eastAsia="宋体" w:cs="宋体"/>
                <w:i w:val="0"/>
                <w:iCs w:val="0"/>
                <w:color w:val="auto"/>
                <w:sz w:val="20"/>
                <w:szCs w:val="20"/>
                <w:highlight w:val="none"/>
              </w:rPr>
            </w:r>
            <w:r/>
          </w:p>
        </w:tc>
      </w:tr>
      <w:tr>
        <w:trPr>
          <w:trHeight w:val="1865"/>
        </w:trPr>
        <w:tc>
          <w:tcPr>
            <w:tcW w:w="215"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11</w:t>
            </w:r>
            <w:r/>
          </w:p>
        </w:tc>
        <w:tc>
          <w:tcPr>
            <w:tcW w:w="14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八</w:t>
            </w:r>
            <w:r/>
          </w:p>
        </w:tc>
        <w:tc>
          <w:tcPr>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江苏大生集团有限公司</w:t>
            </w:r>
            <w:r/>
          </w:p>
        </w:tc>
        <w:tc>
          <w:tcPr>
            <w:tcW w:w="14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1.集团及下属企业合并口径资产总额约25亿元。                                                             </w:t>
            </w:r>
            <w:r>
              <w:rPr>
                <w:rFonts w:hint="eastAsia" w:ascii="宋体" w:hAnsi="宋体" w:eastAsia="宋体" w:cs="宋体"/>
                <w:i w:val="0"/>
                <w:iCs w:val="0"/>
                <w:color w:val="auto"/>
                <w:sz w:val="20"/>
                <w:szCs w:val="20"/>
                <w:highlight w:val="none"/>
              </w:rPr>
              <w:t xml:space="preserve">                                                                          2.集团及下属企业共22家，其中二级企业15家，三级企业6家。                                                                                                                                                       </w:t>
            </w:r>
            <w:r>
              <w:rPr>
                <w:rFonts w:hint="eastAsia" w:ascii="宋体" w:hAnsi="宋体" w:eastAsia="宋体" w:cs="宋体"/>
                <w:i w:val="0"/>
                <w:iCs w:val="0"/>
                <w:color w:val="auto"/>
                <w:sz w:val="20"/>
                <w:szCs w:val="20"/>
                <w:highlight w:val="none"/>
              </w:rPr>
              <w:t xml:space="preserve">                 3.滨州大生纺织有限公司、 聊城大生纺织有限公司、 大生纺织（合肥）有限公司为外地企业，需开展异地审计。                                                                                                                                                                                           </w:t>
            </w:r>
            <w:r/>
          </w:p>
        </w:tc>
        <w:tc>
          <w:tcPr>
            <w:tcW w:w="553" w:type="pct"/>
            <w:vAlign w:val="top"/>
            <w:vMerge w:val="continue"/>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186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无特殊要求</w:t>
            </w:r>
            <w:r/>
          </w:p>
        </w:tc>
        <w:tc>
          <w:tcPr>
            <w:tcW w:w="305"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31.38</w:t>
            </w:r>
            <w:r/>
          </w:p>
        </w:tc>
        <w:tc>
          <w:tcPr>
            <w:tcW w:w="148" w:type="pct"/>
            <w:vAlign w:val="center"/>
            <w:textDirection w:val="lrTb"/>
            <w:noWrap/>
          </w:tcPr>
          <w:p>
            <w:pPr>
              <w:jc w:val="center"/>
              <w:rPr>
                <w:rFonts w:hint="eastAsia" w:ascii="宋体" w:hAnsi="宋体" w:eastAsia="宋体" w:cs="宋体"/>
                <w:i w:val="0"/>
                <w:iCs w:val="0"/>
                <w:color w:val="auto"/>
                <w:sz w:val="20"/>
                <w:szCs w:val="20"/>
                <w:highlight w:val="none"/>
              </w:rPr>
            </w:pPr>
            <w:r>
              <w:rPr>
                <w:rFonts w:hint="eastAsia" w:ascii="宋体" w:hAnsi="宋体" w:eastAsia="宋体" w:cs="宋体"/>
                <w:i w:val="0"/>
                <w:iCs w:val="0"/>
                <w:color w:val="auto"/>
                <w:sz w:val="20"/>
                <w:szCs w:val="20"/>
                <w:highlight w:val="none"/>
              </w:rPr>
            </w:r>
            <w:r/>
          </w:p>
        </w:tc>
      </w:tr>
      <w:tr>
        <w:trPr>
          <w:trHeight w:val="1183"/>
        </w:trPr>
        <w:tc>
          <w:tcPr>
            <w:tcW w:w="215"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12</w:t>
            </w:r>
            <w:r/>
          </w:p>
        </w:tc>
        <w:tc>
          <w:tcPr>
            <w:tcW w:w="146" w:type="pct"/>
            <w:vAlign w:val="center"/>
            <w:vMerge w:val="restart"/>
            <w:textDirection w:val="lrTb"/>
            <w:noWrap/>
          </w:tcPr>
          <w:p>
            <w:pP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九</w:t>
            </w:r>
            <w:r/>
          </w:p>
        </w:tc>
        <w:tc>
          <w:tcPr>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南通机场集团有限公司</w:t>
            </w:r>
            <w:r/>
          </w:p>
        </w:tc>
        <w:tc>
          <w:tcPr>
            <w:tcW w:w="14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1.集团及下属企业合并口径资产总额约25亿元。                                                                                                </w:t>
            </w:r>
            <w:r>
              <w:rPr>
                <w:rFonts w:hint="eastAsia" w:ascii="宋体" w:hAnsi="宋体" w:eastAsia="宋体" w:cs="宋体"/>
                <w:i w:val="0"/>
                <w:iCs w:val="0"/>
                <w:color w:val="auto"/>
                <w:sz w:val="20"/>
                <w:szCs w:val="20"/>
                <w:highlight w:val="none"/>
              </w:rPr>
              <w:t xml:space="preserve">                                             2.集团及下属企业共4家，其中二级企业3家。                                                                                                                                                                                             </w:t>
            </w:r>
            <w:r/>
          </w:p>
        </w:tc>
        <w:tc>
          <w:tcPr>
            <w:tcW w:w="553" w:type="pct"/>
            <w:vAlign w:val="top"/>
            <w:vMerge w:val="continue"/>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1860"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无特殊要求                                                                                                               </w:t>
            </w:r>
            <w:r>
              <w:rPr>
                <w:rFonts w:hint="eastAsia" w:ascii="宋体" w:hAnsi="宋体" w:eastAsia="宋体" w:cs="宋体"/>
                <w:i w:val="0"/>
                <w:iCs w:val="0"/>
                <w:color w:val="auto"/>
                <w:sz w:val="20"/>
                <w:szCs w:val="20"/>
                <w:highlight w:val="none"/>
              </w:rPr>
              <w:t xml:space="preserve">                                                                                                                                                                                                                                                                </w:t>
            </w:r>
            <w:r/>
          </w:p>
        </w:tc>
        <w:tc>
          <w:tcPr>
            <w:tcW w:w="305" w:type="pct"/>
            <w:vAlign w:val="center"/>
            <w:vMerge w:val="restart"/>
            <w:textDirection w:val="lrTb"/>
            <w:noWrap w:val="false"/>
          </w:tcPr>
          <w:p>
            <w:pPr>
              <w:jc w:val="center"/>
              <w:keepLines w:val="0"/>
              <w:keepNext w:val="0"/>
              <w:widowControl/>
              <w:rPr>
                <w:rFonts w:hint="default" w:ascii="宋体" w:hAnsi="宋体" w:eastAsia="宋体" w:cs="宋体"/>
                <w:color w:val="auto"/>
                <w:sz w:val="20"/>
                <w:szCs w:val="20"/>
                <w:highlight w:val="none"/>
                <w:lang w:val="en-US" w:eastAsia="zh-CN"/>
              </w:rPr>
              <w:suppressLineNumbers w:val="0"/>
            </w:pPr>
            <w:r>
              <w:rPr>
                <w:rFonts w:hint="eastAsia" w:ascii="宋体" w:hAnsi="宋体" w:cs="宋体"/>
                <w:color w:val="auto"/>
                <w:sz w:val="20"/>
                <w:szCs w:val="20"/>
                <w:highlight w:val="none"/>
                <w:lang w:val="en-US" w:eastAsia="zh-CN"/>
              </w:rPr>
              <w:t xml:space="preserve">29.83</w:t>
            </w:r>
            <w:r/>
          </w:p>
        </w:tc>
        <w:tc>
          <w:tcPr>
            <w:tcW w:w="148" w:type="pct"/>
            <w:vAlign w:val="center"/>
            <w:vMerge w:val="restart"/>
            <w:textDirection w:val="lrTb"/>
            <w:noWrap/>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272"/>
        </w:trPr>
        <w:tc>
          <w:tcPr>
            <w:tcW w:w="215"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13</w:t>
            </w:r>
            <w:r/>
          </w:p>
        </w:tc>
        <w:tc>
          <w:tcPr>
            <w:tcW w:w="146" w:type="pct"/>
            <w:vAlign w:val="center"/>
            <w:vMerge w:val="continue"/>
            <w:textDirection w:val="lrTb"/>
            <w:noWrap/>
          </w:tcPr>
          <w:p>
            <w:pP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r>
            <w:r/>
          </w:p>
        </w:tc>
        <w:tc>
          <w:tcPr>
            <w:shd w:val="clear" w:color="auto" w:fill="auto"/>
            <w:tcW w:w="3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rPr>
              <w:t xml:space="preserve">南通市大数据发展集团有限公司</w:t>
            </w:r>
            <w:r/>
          </w:p>
        </w:tc>
        <w:tc>
          <w:tcPr>
            <w:shd w:val="clear" w:color="auto" w:fill="auto"/>
            <w:tcW w:w="1411"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rPr>
              <w:t xml:space="preserve">1.集团及下属企业合并口径资</w:t>
            </w:r>
            <w:r>
              <w:rPr>
                <w:rFonts w:hint="eastAsia" w:ascii="宋体" w:hAnsi="宋体" w:eastAsia="宋体" w:cs="宋体"/>
                <w:i w:val="0"/>
                <w:iCs w:val="0"/>
                <w:color w:val="auto"/>
                <w:sz w:val="20"/>
                <w:szCs w:val="20"/>
                <w:highlight w:val="none"/>
              </w:rPr>
              <w:t xml:space="preserve">产总额约5亿元。                                                                                                                                              2.集团及下属企业共10家，其中二级企业7家、三级企业2家。                                                                            </w:t>
            </w:r>
            <w:r>
              <w:rPr>
                <w:rFonts w:hint="eastAsia" w:ascii="宋体" w:hAnsi="宋体" w:eastAsia="宋体" w:cs="宋体"/>
                <w:i w:val="0"/>
                <w:iCs w:val="0"/>
                <w:color w:val="auto"/>
                <w:sz w:val="20"/>
                <w:szCs w:val="20"/>
                <w:highlight w:val="none"/>
              </w:rPr>
              <w:t xml:space="preserve">                                                                                                                                                                                                                                                                </w:t>
            </w:r>
            <w:r/>
          </w:p>
        </w:tc>
        <w:tc>
          <w:tcPr>
            <w:tcW w:w="553" w:type="pct"/>
            <w:vAlign w:val="top"/>
            <w:vMerge w:val="continue"/>
            <w:textDirection w:val="lrTb"/>
            <w:noWrap w:val="false"/>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186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无特殊要求</w:t>
            </w:r>
            <w:r/>
          </w:p>
        </w:tc>
        <w:tc>
          <w:tcPr>
            <w:tcW w:w="305" w:type="pct"/>
            <w:vAlign w:val="center"/>
            <w:vMerge w:val="continue"/>
            <w:textDirection w:val="lrTb"/>
            <w:noWrap w:val="false"/>
          </w:tcPr>
          <w:p>
            <w:pPr>
              <w:jc w:val="center"/>
              <w:keepLines w:val="0"/>
              <w:keepNext w:val="0"/>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color w:val="auto"/>
                <w:sz w:val="20"/>
                <w:szCs w:val="20"/>
                <w:highlight w:val="none"/>
                <w:lang w:val="en-US" w:eastAsia="zh-CN"/>
              </w:rPr>
            </w:r>
            <w:r/>
          </w:p>
        </w:tc>
        <w:tc>
          <w:tcPr>
            <w:tcW w:w="148" w:type="pct"/>
            <w:vAlign w:val="center"/>
            <w:vMerge w:val="continue"/>
            <w:textDirection w:val="lrTb"/>
            <w:noWrap/>
          </w:tcPr>
          <w:p>
            <w:pP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473"/>
        </w:trPr>
        <w:tc>
          <w:tcPr>
            <w:gridSpan w:val="3"/>
            <w:tcW w:w="7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rPr>
              <w:suppressLineNumbers w:val="0"/>
            </w:pPr>
            <w:r>
              <w:rPr>
                <w:rFonts w:hint="eastAsia" w:ascii="宋体" w:hAnsi="宋体" w:eastAsia="宋体" w:cs="宋体"/>
                <w:i w:val="0"/>
                <w:iCs w:val="0"/>
                <w:color w:val="auto"/>
                <w:sz w:val="20"/>
                <w:szCs w:val="20"/>
                <w:highlight w:val="none"/>
              </w:rPr>
              <w:t xml:space="preserve">合计</w:t>
            </w:r>
            <w:r/>
          </w:p>
        </w:tc>
        <w:tc>
          <w:tcPr>
            <w:tcW w:w="1411" w:type="pct"/>
            <w:vAlign w:val="center"/>
            <w:textDirection w:val="lrTb"/>
            <w:noWrap/>
          </w:tcPr>
          <w:p>
            <w:pP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w:t>
            </w:r>
            <w:r/>
          </w:p>
        </w:tc>
        <w:tc>
          <w:tcPr>
            <w:tcW w:w="553" w:type="pct"/>
            <w:vAlign w:val="center"/>
            <w:textDirection w:val="lrTb"/>
            <w:noWrap/>
          </w:tcPr>
          <w:p>
            <w:pP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w:t>
            </w:r>
            <w:r/>
          </w:p>
        </w:tc>
        <w:tc>
          <w:tcPr>
            <w:tcW w:w="1860" w:type="pct"/>
            <w:vAlign w:val="center"/>
            <w:textDirection w:val="lrTb"/>
            <w:noWrap/>
          </w:tcPr>
          <w:p>
            <w:pP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w:t>
            </w:r>
            <w:r/>
          </w:p>
        </w:tc>
        <w:tc>
          <w:tcPr>
            <w:tcW w:w="305"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lang w:val="en-US" w:eastAsia="zh-CN"/>
              </w:rPr>
              <w:suppressLineNumbers w:val="0"/>
            </w:pPr>
            <w:r>
              <w:rPr>
                <w:rFonts w:hint="eastAsia" w:ascii="宋体" w:hAnsi="宋体" w:cs="宋体"/>
                <w:i w:val="0"/>
                <w:iCs w:val="0"/>
                <w:color w:val="auto"/>
                <w:sz w:val="20"/>
                <w:szCs w:val="20"/>
                <w:highlight w:val="none"/>
                <w:lang w:val="en-US" w:eastAsia="zh-CN"/>
              </w:rPr>
              <w:t xml:space="preserve">818.32</w:t>
            </w:r>
            <w:r/>
          </w:p>
        </w:tc>
        <w:tc>
          <w:tcPr>
            <w:tcW w:w="148" w:type="pct"/>
            <w:vAlign w:val="center"/>
            <w:textDirection w:val="lrTb"/>
            <w:noWrap/>
          </w:tcPr>
          <w:p>
            <w:pPr>
              <w:jc w:val="center"/>
              <w:rPr>
                <w:rFonts w:hint="eastAsia" w:ascii="宋体" w:hAnsi="宋体" w:eastAsia="宋体" w:cs="宋体"/>
                <w:i w:val="0"/>
                <w:iCs w:val="0"/>
                <w:color w:val="auto"/>
                <w:sz w:val="20"/>
                <w:szCs w:val="20"/>
                <w:highlight w:val="none"/>
              </w:rPr>
            </w:pPr>
            <w:r>
              <w:rPr>
                <w:rFonts w:hint="eastAsia" w:ascii="宋体" w:hAnsi="宋体" w:eastAsia="宋体" w:cs="宋体"/>
                <w:i w:val="0"/>
                <w:iCs w:val="0"/>
                <w:color w:val="auto"/>
                <w:sz w:val="20"/>
                <w:szCs w:val="20"/>
                <w:highlight w:val="none"/>
              </w:rPr>
              <w:t xml:space="preserve"> </w:t>
            </w:r>
            <w:r/>
          </w:p>
        </w:tc>
      </w:tr>
      <w:tr>
        <w:trPr>
          <w:trHeight w:val="570"/>
        </w:trPr>
        <w:tc>
          <w:tcPr>
            <w:gridSpan w:val="8"/>
            <w:tcW w:w="5000" w:type="pct"/>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rPr>
              <w:suppressLineNumbers w:val="0"/>
            </w:pPr>
            <w:r>
              <w:rPr>
                <w:rFonts w:hint="eastAsia" w:ascii="宋体" w:hAnsi="宋体" w:eastAsia="宋体" w:cs="宋体"/>
                <w:i w:val="0"/>
                <w:iCs w:val="0"/>
                <w:color w:val="auto"/>
                <w:sz w:val="24"/>
                <w:szCs w:val="24"/>
                <w:highlight w:val="none"/>
              </w:rPr>
              <w:t xml:space="preserve">其他说明：若审计期间内新增合并单体，纳入审计范围，原则上不额外增加审计费用。</w:t>
            </w:r>
            <w:r/>
          </w:p>
        </w:tc>
      </w:tr>
    </w:tbl>
    <w:p>
      <w:pPr>
        <w:pStyle w:val="924"/>
        <w:rPr>
          <w:rFonts w:hint="eastAsia" w:ascii="宋体" w:hAnsi="宋体" w:eastAsia="宋体" w:cs="宋体"/>
          <w:color w:val="auto"/>
          <w:highlight w:val="none"/>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eastAsia="宋体" w:cs="宋体"/>
          <w:color w:val="auto"/>
          <w:highlight w:val="none"/>
        </w:rPr>
      </w:r>
      <w:r/>
    </w:p>
    <w:p>
      <w:pPr>
        <w:pStyle w:val="907"/>
        <w:numPr>
          <w:ilvl w:val="0"/>
          <w:numId w:val="0"/>
        </w:numPr>
        <w:ind w:firstLine="562"/>
        <w:jc w:val="both"/>
        <w:keepLines w:val="0"/>
        <w:keepNext w:val="0"/>
        <w:pageBreakBefore w:val="0"/>
        <w:spacing w:beforeAutospacing="0" w:afterAutospacing="0" w:line="500" w:lineRule="exact"/>
        <w:tabs>
          <w:tab w:val="left" w:pos="0" w:leader="none"/>
        </w:tabs>
        <w:rPr>
          <w:rFonts w:hint="eastAsia" w:ascii="宋体" w:hAnsi="宋体" w:eastAsia="宋体" w:cs="宋体"/>
          <w:b/>
          <w:bCs/>
          <w:color w:val="auto"/>
          <w:sz w:val="28"/>
          <w:szCs w:val="28"/>
          <w:highlight w:val="none"/>
        </w:rPr>
      </w:pPr>
      <w:r>
        <w:rPr>
          <w:rFonts w:hint="eastAsia" w:hAnsi="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付款方式</w:t>
      </w:r>
      <w:r/>
    </w:p>
    <w:p>
      <w:pPr>
        <w:ind w:left="0" w:firstLine="560"/>
        <w:jc w:val="both"/>
        <w:keepLines w:val="0"/>
        <w:keepNext w:val="0"/>
        <w:pageBreakBefore w:val="0"/>
        <w:spacing w:beforeAutospacing="0" w:afterAutospacing="0" w:line="500" w:lineRule="exact"/>
        <w:widowControl w:val="off"/>
        <w:rPr>
          <w:rFonts w:hint="eastAsia" w:ascii="宋体" w:hAnsi="宋体" w:eastAsia="宋体" w:cs="宋体"/>
          <w:b w:val="0"/>
          <w:bCs w:val="0"/>
          <w:color w:val="auto"/>
          <w:sz w:val="28"/>
          <w:szCs w:val="28"/>
          <w:highlight w:val="none"/>
        </w:rPr>
        <w:suppressLineNumbers w:val="0"/>
      </w:pPr>
      <w:r>
        <w:rPr>
          <w:rFonts w:hint="eastAsia" w:ascii="宋体" w:hAnsi="宋体" w:eastAsia="宋体" w:cs="宋体"/>
          <w:b w:val="0"/>
          <w:bCs w:val="0"/>
          <w:color w:val="auto"/>
          <w:sz w:val="28"/>
          <w:szCs w:val="28"/>
          <w:highlight w:val="none"/>
        </w:rPr>
        <w:t xml:space="preserve">由市国资委支付的项目：</w:t>
      </w:r>
      <w:r/>
    </w:p>
    <w:p>
      <w:pPr>
        <w:ind w:left="0" w:firstLine="560"/>
        <w:jc w:val="both"/>
        <w:keepLines w:val="0"/>
        <w:keepNext w:val="0"/>
        <w:pageBreakBefore w:val="0"/>
        <w:spacing w:beforeAutospacing="0" w:afterAutospacing="0" w:line="500" w:lineRule="exact"/>
        <w:widowControl w:val="off"/>
        <w:rPr>
          <w:rFonts w:hint="eastAsia" w:ascii="宋体" w:hAnsi="宋体" w:eastAsia="宋体" w:cs="宋体"/>
          <w:b w:val="0"/>
          <w:bCs w:val="0"/>
          <w:color w:val="auto"/>
          <w:sz w:val="28"/>
          <w:szCs w:val="28"/>
          <w:highlight w:val="none"/>
        </w:rPr>
        <w:suppressLineNumbers w:val="0"/>
      </w:pPr>
      <w:r>
        <w:rPr>
          <w:rFonts w:hint="eastAsia" w:ascii="宋体" w:hAnsi="宋体" w:eastAsia="宋体" w:cs="宋体"/>
          <w:b w:val="0"/>
          <w:bCs w:val="0"/>
          <w:color w:val="auto"/>
          <w:sz w:val="28"/>
          <w:szCs w:val="28"/>
          <w:highlight w:val="none"/>
        </w:rPr>
        <w:t xml:space="preserve">1.合同签订后，预付合同金额（年度审计服务费用）的30</w:t>
      </w:r>
      <w:r>
        <w:rPr>
          <w:rFonts w:hint="eastAsia" w:ascii="宋体" w:hAnsi="宋体" w:eastAsia="宋体" w:cs="宋体"/>
          <w:b w:val="0"/>
          <w:bCs w:val="0"/>
          <w:color w:val="auto"/>
          <w:sz w:val="28"/>
          <w:szCs w:val="28"/>
          <w:highlight w:val="none"/>
          <w:lang w:val="en-US" w:eastAsia="zh-CN"/>
        </w:rPr>
        <w:t xml:space="preserve">%</w:t>
      </w:r>
      <w:r>
        <w:rPr>
          <w:rFonts w:hint="eastAsia" w:ascii="宋体" w:hAnsi="宋体" w:eastAsia="宋体" w:cs="宋体"/>
          <w:b w:val="0"/>
          <w:bCs w:val="0"/>
          <w:color w:val="auto"/>
          <w:sz w:val="28"/>
          <w:szCs w:val="28"/>
          <w:highlight w:val="none"/>
        </w:rPr>
        <w:t xml:space="preserve">；</w:t>
      </w:r>
      <w:r/>
    </w:p>
    <w:p>
      <w:pPr>
        <w:ind w:left="0" w:firstLine="560"/>
        <w:jc w:val="both"/>
        <w:keepLines w:val="0"/>
        <w:keepNext w:val="0"/>
        <w:pageBreakBefore w:val="0"/>
        <w:spacing w:beforeAutospacing="0" w:afterAutospacing="0" w:line="500" w:lineRule="exact"/>
        <w:widowControl w:val="off"/>
        <w:rPr>
          <w:rFonts w:hint="eastAsia" w:ascii="宋体" w:hAnsi="宋体" w:eastAsia="宋体" w:cs="宋体"/>
          <w:b w:val="0"/>
          <w:bCs w:val="0"/>
          <w:color w:val="auto"/>
          <w:sz w:val="28"/>
          <w:szCs w:val="28"/>
          <w:highlight w:val="none"/>
        </w:rPr>
        <w:suppressLineNumbers w:val="0"/>
      </w:pPr>
      <w:r>
        <w:rPr>
          <w:rFonts w:hint="eastAsia" w:ascii="宋体" w:hAnsi="宋体" w:eastAsia="宋体" w:cs="宋体"/>
          <w:b w:val="0"/>
          <w:bCs w:val="0"/>
          <w:color w:val="auto"/>
          <w:sz w:val="28"/>
          <w:szCs w:val="28"/>
          <w:highlight w:val="none"/>
        </w:rPr>
        <w:t xml:space="preserve">2.完成预审总结工作，在出具符合要求的全部审计报告并提交市国资委相关部门审核通过后的一个月内，支付合同金额（年度审计服务费用）60%；</w:t>
      </w:r>
      <w:r/>
    </w:p>
    <w:p>
      <w:pPr>
        <w:ind w:left="0" w:firstLine="560"/>
        <w:jc w:val="both"/>
        <w:keepLines w:val="0"/>
        <w:keepNext w:val="0"/>
        <w:pageBreakBefore w:val="0"/>
        <w:spacing w:beforeAutospacing="0" w:afterAutospacing="0" w:line="500" w:lineRule="exact"/>
        <w:widowControl w:val="off"/>
        <w:rPr>
          <w:rFonts w:hint="eastAsia" w:ascii="宋体" w:hAnsi="宋体" w:eastAsia="宋体" w:cs="宋体"/>
          <w:b w:val="0"/>
          <w:bCs w:val="0"/>
          <w:color w:val="auto"/>
          <w:sz w:val="28"/>
          <w:szCs w:val="28"/>
          <w:highlight w:val="none"/>
        </w:rPr>
        <w:suppressLineNumbers w:val="0"/>
      </w:pPr>
      <w:r>
        <w:rPr>
          <w:rFonts w:hint="eastAsia" w:ascii="宋体" w:hAnsi="宋体" w:eastAsia="宋体" w:cs="宋体"/>
          <w:b w:val="0"/>
          <w:bCs w:val="0"/>
          <w:color w:val="auto"/>
          <w:sz w:val="28"/>
          <w:szCs w:val="28"/>
          <w:highlight w:val="none"/>
        </w:rPr>
        <w:t xml:space="preserve">3.在</w:t>
      </w:r>
      <w:r>
        <w:rPr>
          <w:rFonts w:hint="eastAsia" w:ascii="宋体" w:hAnsi="宋体" w:eastAsia="宋体" w:cs="宋体"/>
          <w:b w:val="0"/>
          <w:bCs w:val="0"/>
          <w:color w:val="auto"/>
          <w:sz w:val="28"/>
          <w:szCs w:val="28"/>
          <w:highlight w:val="none"/>
          <w:lang w:val="en-US" w:eastAsia="zh-CN"/>
        </w:rPr>
        <w:t xml:space="preserve">提</w:t>
      </w:r>
      <w:r>
        <w:rPr>
          <w:rFonts w:hint="eastAsia" w:ascii="宋体" w:hAnsi="宋体" w:eastAsia="宋体" w:cs="宋体"/>
          <w:b w:val="0"/>
          <w:bCs w:val="0"/>
          <w:color w:val="auto"/>
          <w:sz w:val="28"/>
          <w:szCs w:val="28"/>
          <w:highlight w:val="none"/>
        </w:rPr>
        <w:t xml:space="preserve">交正式报告6个月后如未发现重大差错，再支付合同金额（年度审计服务费用）10%剩余款项。</w:t>
      </w:r>
      <w:r/>
    </w:p>
    <w:p>
      <w:pPr>
        <w:ind w:left="0" w:firstLine="560"/>
        <w:jc w:val="both"/>
        <w:keepLines w:val="0"/>
        <w:keepNext w:val="0"/>
        <w:pageBreakBefore w:val="0"/>
        <w:spacing w:beforeAutospacing="0" w:afterAutospacing="0" w:line="500" w:lineRule="exact"/>
        <w:widowControl w:val="off"/>
        <w:rPr>
          <w:rFonts w:hint="eastAsia" w:ascii="宋体" w:hAnsi="宋体" w:eastAsia="宋体" w:cs="宋体"/>
          <w:b w:val="0"/>
          <w:bCs w:val="0"/>
          <w:color w:val="auto"/>
          <w:sz w:val="28"/>
          <w:szCs w:val="28"/>
          <w:highlight w:val="none"/>
        </w:rPr>
        <w:suppressLineNumbers w:val="0"/>
      </w:pPr>
      <w:r>
        <w:rPr>
          <w:rFonts w:hint="eastAsia" w:ascii="宋体" w:hAnsi="宋体" w:eastAsia="宋体" w:cs="宋体"/>
          <w:b w:val="0"/>
          <w:bCs w:val="0"/>
          <w:color w:val="auto"/>
          <w:sz w:val="28"/>
          <w:szCs w:val="28"/>
          <w:highlight w:val="none"/>
        </w:rPr>
        <w:t xml:space="preserve">因</w:t>
      </w:r>
      <w:r>
        <w:rPr>
          <w:rFonts w:hint="eastAsia" w:ascii="宋体" w:hAnsi="宋体" w:cs="宋体"/>
          <w:b w:val="0"/>
          <w:bCs w:val="0"/>
          <w:color w:val="auto"/>
          <w:sz w:val="28"/>
          <w:szCs w:val="28"/>
          <w:highlight w:val="none"/>
          <w:lang w:eastAsia="zh-CN"/>
        </w:rPr>
        <w:t xml:space="preserve">采购人</w:t>
      </w:r>
      <w:r>
        <w:rPr>
          <w:rFonts w:hint="eastAsia" w:ascii="宋体" w:hAnsi="宋体" w:eastAsia="宋体" w:cs="宋体"/>
          <w:b w:val="0"/>
          <w:bCs w:val="0"/>
          <w:color w:val="auto"/>
          <w:sz w:val="28"/>
          <w:szCs w:val="28"/>
          <w:highlight w:val="none"/>
        </w:rPr>
        <w:t xml:space="preserve">（市国资委）使用的是财政资金，</w:t>
      </w:r>
      <w:r>
        <w:rPr>
          <w:rFonts w:hint="eastAsia" w:ascii="宋体" w:hAnsi="宋体" w:cs="宋体"/>
          <w:b w:val="0"/>
          <w:bCs w:val="0"/>
          <w:color w:val="auto"/>
          <w:sz w:val="28"/>
          <w:szCs w:val="28"/>
          <w:highlight w:val="none"/>
          <w:lang w:eastAsia="zh-CN"/>
        </w:rPr>
        <w:t xml:space="preserve">采购人</w:t>
      </w:r>
      <w:r>
        <w:rPr>
          <w:rFonts w:hint="eastAsia" w:ascii="宋体" w:hAnsi="宋体" w:eastAsia="宋体" w:cs="宋体"/>
          <w:b w:val="0"/>
          <w:bCs w:val="0"/>
          <w:color w:val="auto"/>
          <w:sz w:val="28"/>
          <w:szCs w:val="28"/>
          <w:highlight w:val="none"/>
        </w:rPr>
        <w:t xml:space="preserve">在前款规定的付款时间为向财政部门提出办理财政支付申请手续的时间（不含政府财政支付部门审核的时间），在规定时间内提出支付申请手续后即视为</w:t>
      </w:r>
      <w:r>
        <w:rPr>
          <w:rFonts w:hint="eastAsia" w:ascii="宋体" w:hAnsi="宋体" w:cs="宋体"/>
          <w:b w:val="0"/>
          <w:bCs w:val="0"/>
          <w:color w:val="auto"/>
          <w:sz w:val="28"/>
          <w:szCs w:val="28"/>
          <w:highlight w:val="none"/>
          <w:lang w:eastAsia="zh-CN"/>
        </w:rPr>
        <w:t xml:space="preserve">采购人</w:t>
      </w:r>
      <w:r>
        <w:rPr>
          <w:rFonts w:hint="eastAsia" w:ascii="宋体" w:hAnsi="宋体" w:eastAsia="宋体" w:cs="宋体"/>
          <w:b w:val="0"/>
          <w:bCs w:val="0"/>
          <w:color w:val="auto"/>
          <w:sz w:val="28"/>
          <w:szCs w:val="28"/>
          <w:highlight w:val="none"/>
        </w:rPr>
        <w:t xml:space="preserve">已经按期支付。</w:t>
      </w:r>
      <w:r/>
    </w:p>
    <w:p>
      <w:pPr>
        <w:ind w:left="0" w:firstLine="560"/>
        <w:jc w:val="both"/>
        <w:keepLines w:val="0"/>
        <w:keepNext w:val="0"/>
        <w:pageBreakBefore w:val="0"/>
        <w:spacing w:beforeAutospacing="0" w:afterAutospacing="0" w:line="500" w:lineRule="exact"/>
        <w:widowControl w:val="off"/>
        <w:rPr>
          <w:rFonts w:hint="eastAsia" w:ascii="宋体" w:hAnsi="宋体" w:eastAsia="宋体" w:cs="宋体"/>
          <w:b w:val="0"/>
          <w:bCs w:val="0"/>
          <w:color w:val="auto"/>
          <w:sz w:val="28"/>
          <w:szCs w:val="28"/>
          <w:highlight w:val="none"/>
        </w:rPr>
        <w:suppressLineNumbers w:val="0"/>
      </w:pPr>
      <w:r>
        <w:rPr>
          <w:rFonts w:hint="eastAsia" w:ascii="宋体" w:hAnsi="宋体" w:eastAsia="宋体" w:cs="宋体"/>
          <w:b w:val="0"/>
          <w:bCs w:val="0"/>
          <w:color w:val="auto"/>
          <w:sz w:val="28"/>
          <w:szCs w:val="28"/>
          <w:highlight w:val="none"/>
        </w:rPr>
        <w:t xml:space="preserve">请提交以下有效文件作为中标人付款凭据：</w:t>
      </w:r>
      <w:r/>
    </w:p>
    <w:p>
      <w:pPr>
        <w:ind w:left="0" w:firstLine="560"/>
        <w:jc w:val="both"/>
        <w:keepLines w:val="0"/>
        <w:keepNext w:val="0"/>
        <w:pageBreakBefore w:val="0"/>
        <w:spacing w:beforeAutospacing="0" w:afterAutospacing="0" w:line="500" w:lineRule="exact"/>
        <w:widowControl w:val="off"/>
        <w:rPr>
          <w:rFonts w:hint="eastAsia" w:ascii="宋体" w:hAnsi="宋体" w:eastAsia="宋体" w:cs="宋体"/>
          <w:b w:val="0"/>
          <w:bCs w:val="0"/>
          <w:color w:val="auto"/>
          <w:sz w:val="28"/>
          <w:szCs w:val="28"/>
          <w:highlight w:val="none"/>
        </w:rPr>
        <w:suppressLineNumbers w:val="0"/>
      </w:pPr>
      <w:r>
        <w:rPr>
          <w:rFonts w:hint="eastAsia" w:ascii="宋体" w:hAnsi="宋体" w:eastAsia="宋体" w:cs="宋体"/>
          <w:b w:val="0"/>
          <w:bCs w:val="0"/>
          <w:color w:val="auto"/>
          <w:sz w:val="28"/>
          <w:szCs w:val="28"/>
          <w:highlight w:val="none"/>
        </w:rPr>
        <w:t xml:space="preserve">（1）中标通知书；</w:t>
      </w:r>
      <w:r/>
    </w:p>
    <w:p>
      <w:pPr>
        <w:ind w:left="0" w:firstLine="560"/>
        <w:jc w:val="both"/>
        <w:keepLines w:val="0"/>
        <w:keepNext w:val="0"/>
        <w:pageBreakBefore w:val="0"/>
        <w:spacing w:beforeAutospacing="0" w:afterAutospacing="0" w:line="500" w:lineRule="exact"/>
        <w:widowControl w:val="off"/>
        <w:rPr>
          <w:rFonts w:hint="eastAsia" w:ascii="宋体" w:hAnsi="宋体" w:eastAsia="宋体" w:cs="宋体"/>
          <w:b w:val="0"/>
          <w:bCs w:val="0"/>
          <w:color w:val="auto"/>
          <w:sz w:val="28"/>
          <w:szCs w:val="28"/>
          <w:highlight w:val="none"/>
        </w:rPr>
        <w:suppressLineNumbers w:val="0"/>
      </w:pPr>
      <w:r>
        <w:rPr>
          <w:rFonts w:hint="eastAsia" w:ascii="宋体" w:hAnsi="宋体" w:eastAsia="宋体" w:cs="宋体"/>
          <w:b w:val="0"/>
          <w:bCs w:val="0"/>
          <w:color w:val="auto"/>
          <w:sz w:val="28"/>
          <w:szCs w:val="28"/>
          <w:highlight w:val="none"/>
        </w:rPr>
        <w:t xml:space="preserve">（2）合同；</w:t>
      </w:r>
      <w:r/>
    </w:p>
    <w:p>
      <w:pPr>
        <w:ind w:firstLine="560"/>
        <w:jc w:val="both"/>
        <w:keepLines w:val="0"/>
        <w:keepNext w:val="0"/>
        <w:pageBreakBefore w:val="0"/>
        <w:spacing w:beforeAutospacing="0" w:afterAutospacing="0" w:line="500" w:lineRule="exact"/>
        <w:rPr>
          <w:rFonts w:hint="eastAsia" w:ascii="宋体" w:hAnsi="宋体" w:eastAsia="宋体" w:cs="宋体"/>
          <w:b/>
          <w:bCs/>
          <w:color w:val="auto"/>
          <w:sz w:val="28"/>
          <w:szCs w:val="28"/>
          <w:highlight w:val="none"/>
        </w:rPr>
      </w:pPr>
      <w:r>
        <w:rPr>
          <w:rFonts w:hint="eastAsia" w:ascii="宋体" w:hAnsi="宋体" w:eastAsia="宋体" w:cs="宋体"/>
          <w:b w:val="0"/>
          <w:bCs w:val="0"/>
          <w:color w:val="auto"/>
          <w:sz w:val="28"/>
          <w:szCs w:val="28"/>
          <w:highlight w:val="none"/>
        </w:rPr>
        <w:t xml:space="preserve">（3）中标人开具的正式发票。</w:t>
      </w:r>
      <w:r/>
    </w:p>
    <w:p>
      <w:pPr>
        <w:pStyle w:val="907"/>
        <w:numPr>
          <w:ilvl w:val="0"/>
          <w:numId w:val="0"/>
        </w:numPr>
        <w:ind w:left="0" w:firstLine="562"/>
        <w:jc w:val="both"/>
        <w:keepLines w:val="0"/>
        <w:keepNext w:val="0"/>
        <w:pageBreakBefore w:val="0"/>
        <w:spacing w:beforeAutospacing="0" w:afterAutospacing="0" w:line="500" w:lineRule="exact"/>
        <w:tabs>
          <w:tab w:val="left" w:pos="0" w:leader="none"/>
        </w:tabs>
        <w:rPr>
          <w:rFonts w:hint="eastAsia" w:ascii="宋体" w:hAnsi="宋体" w:eastAsia="宋体" w:cs="宋体"/>
          <w:b/>
          <w:bCs/>
          <w:color w:val="auto"/>
          <w:sz w:val="28"/>
          <w:szCs w:val="28"/>
          <w:highlight w:val="none"/>
        </w:rPr>
      </w:pPr>
      <w:r>
        <w:rPr>
          <w:rFonts w:hint="eastAsia" w:hAnsi="宋体" w:cs="宋体"/>
          <w:b/>
          <w:bCs/>
          <w:color w:val="auto"/>
          <w:sz w:val="28"/>
          <w:szCs w:val="28"/>
          <w:highlight w:val="none"/>
          <w:lang w:val="en-US" w:eastAsia="zh-CN" w:bidi="ar-SA"/>
        </w:rPr>
        <w:t xml:space="preserve">九</w:t>
      </w:r>
      <w:r>
        <w:rPr>
          <w:rFonts w:hint="eastAsia" w:ascii="宋体" w:hAnsi="宋体" w:eastAsia="宋体" w:cs="宋体"/>
          <w:b/>
          <w:bCs/>
          <w:color w:val="auto"/>
          <w:sz w:val="28"/>
          <w:szCs w:val="28"/>
          <w:highlight w:val="none"/>
          <w:lang w:val="en-US" w:eastAsia="zh-CN" w:bidi="ar-SA"/>
        </w:rPr>
        <w:t xml:space="preserve">、</w:t>
      </w:r>
      <w:r>
        <w:rPr>
          <w:rFonts w:hint="eastAsia" w:ascii="宋体" w:hAnsi="宋体" w:eastAsia="宋体" w:cs="宋体"/>
          <w:b/>
          <w:bCs/>
          <w:color w:val="auto"/>
          <w:sz w:val="28"/>
          <w:szCs w:val="28"/>
          <w:highlight w:val="none"/>
        </w:rPr>
        <w:t xml:space="preserve">履约保证金</w:t>
      </w:r>
      <w:r/>
    </w:p>
    <w:p>
      <w:pPr>
        <w:pStyle w:val="1243"/>
        <w:ind w:firstLine="560"/>
        <w:jc w:val="both"/>
        <w:keepLines w:val="0"/>
        <w:keepNext w:val="0"/>
        <w:pageBreakBefore w:val="0"/>
        <w:spacing w:before="0" w:beforeAutospacing="0" w:after="0" w:afterAutospacing="0" w:line="500" w:lineRule="exact"/>
        <w:widowControl/>
        <w:rPr>
          <w:rFonts w:hint="eastAsia" w:ascii="宋体" w:hAnsi="宋体" w:eastAsia="宋体" w:cs="宋体"/>
          <w:b/>
          <w:bCs/>
          <w:color w:val="auto"/>
          <w:sz w:val="28"/>
          <w:szCs w:val="28"/>
          <w:highlight w:val="none"/>
        </w:rPr>
        <w:suppressLineNumbers w:val="0"/>
      </w:pPr>
      <w:r>
        <w:rPr>
          <w:rFonts w:hint="eastAsia" w:ascii="宋体" w:hAnsi="宋体" w:eastAsia="宋体" w:cs="宋体"/>
          <w:b w:val="0"/>
          <w:bCs w:val="0"/>
          <w:color w:val="auto"/>
          <w:sz w:val="28"/>
          <w:szCs w:val="28"/>
          <w:highlight w:val="none"/>
        </w:rPr>
        <w:t xml:space="preserve">本项目不收取履约保证金。</w:t>
      </w:r>
      <w:r/>
    </w:p>
    <w:p>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jc w:val="center"/>
        <w:spacing w:line="460" w:lineRule="exact"/>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36"/>
          <w:szCs w:val="36"/>
          <w:highlight w:val="none"/>
        </w:rPr>
        <w:t xml:space="preserve">第四部分  开标和评标</w:t>
      </w:r>
      <w:r/>
    </w:p>
    <w:p>
      <w:pPr>
        <w:pStyle w:val="1156"/>
        <w:ind w:left="0" w:right="0" w:firstLine="562"/>
        <w:jc w:val="left"/>
        <w:spacing w:before="0" w:after="0" w:line="460" w:lineRule="exact"/>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r>
      <w:r/>
    </w:p>
    <w:p>
      <w:pPr>
        <w:pStyle w:val="1156"/>
        <w:ind w:left="0" w:right="0" w:firstLine="562"/>
        <w:jc w:val="left"/>
        <w:keepLines w:val="0"/>
        <w:keepNext w:val="0"/>
        <w:pageBreakBefore w:val="0"/>
        <w:spacing w:before="0" w:after="0"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一、开标</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不见面远程开标模式：开标当天各投标人在各自地点通过苏采云系统及时登录不见面开标大厅，参加投标活动。</w:t>
      </w:r>
      <w:r/>
    </w:p>
    <w:p>
      <w:pPr>
        <w:pStyle w:val="1156"/>
        <w:ind w:left="0" w:right="0" w:firstLine="562"/>
        <w:jc w:val="left"/>
        <w:keepLines w:val="0"/>
        <w:keepNext w:val="0"/>
        <w:pageBreakBefore w:val="0"/>
        <w:spacing w:before="0" w:after="0" w:line="500" w:lineRule="exact"/>
        <w:widowControl w:val="off"/>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二、评标流程和评标标准</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采用综合评分法。分资格审查、商务技术标、价格标三部分评审，总分值为100分，加分和减分因素除外。</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首先由</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w:t>
      </w:r>
      <w:r>
        <w:rPr>
          <w:rFonts w:hint="eastAsia" w:ascii="宋体" w:hAnsi="宋体" w:eastAsia="宋体" w:cs="宋体"/>
          <w:color w:val="auto"/>
          <w:sz w:val="28"/>
          <w:szCs w:val="28"/>
          <w:highlight w:val="none"/>
          <w:lang w:val="en-US" w:eastAsia="zh-CN"/>
        </w:rPr>
        <w:t xml:space="preserve">相应标包</w:t>
      </w:r>
      <w:r>
        <w:rPr>
          <w:rFonts w:hint="eastAsia" w:ascii="宋体" w:hAnsi="宋体" w:eastAsia="宋体" w:cs="宋体"/>
          <w:color w:val="auto"/>
          <w:sz w:val="28"/>
          <w:szCs w:val="28"/>
          <w:highlight w:val="none"/>
        </w:rPr>
        <w:t xml:space="preserve">中标候选人。</w:t>
      </w:r>
      <w:r/>
    </w:p>
    <w:p>
      <w:pPr>
        <w:ind w:left="0" w:firstLine="560"/>
        <w:jc w:val="both"/>
        <w:keepLines w:val="0"/>
        <w:keepNext w:val="0"/>
        <w:pageBreakBefore w:val="0"/>
        <w:spacing w:beforeAutospacing="0" w:afterAutospacing="0" w:line="500" w:lineRule="exact"/>
        <w:widowControl w:val="off"/>
        <w:rPr>
          <w:rFonts w:hint="eastAsia" w:ascii="宋体" w:hAnsi="宋体" w:eastAsia="宋体" w:cs="宋体"/>
          <w:b/>
          <w:bCs/>
          <w:color w:val="auto"/>
          <w:sz w:val="28"/>
          <w:szCs w:val="28"/>
          <w:highlight w:val="none"/>
        </w:rPr>
        <w:suppressLineNumbers w:val="0"/>
      </w:pPr>
      <w:r>
        <w:rPr>
          <w:rFonts w:hint="eastAsia" w:ascii="宋体" w:hAnsi="宋体" w:eastAsia="宋体" w:cs="宋体"/>
          <w:bCs/>
          <w:color w:val="auto"/>
          <w:sz w:val="28"/>
          <w:szCs w:val="28"/>
          <w:highlight w:val="none"/>
          <w:lang w:val="en-US" w:eastAsia="zh-CN"/>
        </w:rPr>
        <w:t xml:space="preserve">本项目共</w:t>
      </w:r>
      <w:r>
        <w:rPr>
          <w:rFonts w:hint="eastAsia" w:ascii="宋体" w:hAnsi="宋体" w:cs="宋体"/>
          <w:bCs/>
          <w:color w:val="auto"/>
          <w:sz w:val="28"/>
          <w:szCs w:val="28"/>
          <w:highlight w:val="none"/>
          <w:lang w:val="en-US" w:eastAsia="zh-CN"/>
        </w:rPr>
        <w:t xml:space="preserve">九</w:t>
      </w:r>
      <w:r>
        <w:rPr>
          <w:rFonts w:hint="eastAsia" w:ascii="宋体" w:hAnsi="宋体" w:eastAsia="宋体" w:cs="宋体"/>
          <w:bCs/>
          <w:color w:val="auto"/>
          <w:sz w:val="28"/>
          <w:szCs w:val="28"/>
          <w:highlight w:val="none"/>
          <w:lang w:val="en-US" w:eastAsia="zh-CN"/>
        </w:rPr>
        <w:t xml:space="preserve">个分包，供应商可响应多个分包，</w:t>
      </w:r>
      <w:r>
        <w:rPr>
          <w:rFonts w:hint="eastAsia" w:ascii="宋体" w:hAnsi="宋体" w:eastAsia="宋体" w:cs="宋体"/>
          <w:b/>
          <w:bCs/>
          <w:color w:val="auto"/>
          <w:sz w:val="28"/>
          <w:szCs w:val="28"/>
          <w:highlight w:val="none"/>
        </w:rPr>
        <w:t xml:space="preserve">最多只能中标两个包。</w:t>
      </w:r>
      <w:r>
        <w:rPr>
          <w:rFonts w:hint="eastAsia" w:ascii="宋体" w:hAnsi="宋体" w:eastAsia="宋体" w:cs="宋体"/>
          <w:bCs/>
          <w:color w:val="auto"/>
          <w:sz w:val="28"/>
          <w:szCs w:val="28"/>
          <w:highlight w:val="none"/>
          <w:lang w:val="en-US" w:eastAsia="zh-CN"/>
        </w:rPr>
        <w:t xml:space="preserve">本项目按包一至包</w:t>
      </w:r>
      <w:r>
        <w:rPr>
          <w:rFonts w:hint="eastAsia" w:ascii="宋体" w:hAnsi="宋体" w:cs="宋体"/>
          <w:bCs/>
          <w:color w:val="auto"/>
          <w:sz w:val="28"/>
          <w:szCs w:val="28"/>
          <w:highlight w:val="none"/>
          <w:lang w:val="en-US" w:eastAsia="zh-CN"/>
        </w:rPr>
        <w:t xml:space="preserve">九</w:t>
      </w:r>
      <w:r>
        <w:rPr>
          <w:rFonts w:hint="eastAsia" w:ascii="宋体" w:hAnsi="宋体" w:eastAsia="宋体" w:cs="宋体"/>
          <w:bCs/>
          <w:color w:val="auto"/>
          <w:sz w:val="28"/>
          <w:szCs w:val="28"/>
          <w:highlight w:val="none"/>
          <w:lang w:val="en-US" w:eastAsia="zh-CN"/>
        </w:rPr>
        <w:t xml:space="preserve">的自然顺序进行，</w:t>
      </w:r>
      <w:r>
        <w:rPr>
          <w:rFonts w:hint="eastAsia" w:ascii="宋体" w:hAnsi="宋体" w:eastAsia="宋体" w:cs="宋体"/>
          <w:b/>
          <w:bCs/>
          <w:color w:val="auto"/>
          <w:sz w:val="28"/>
          <w:szCs w:val="28"/>
          <w:highlight w:val="none"/>
        </w:rPr>
        <w:t xml:space="preserve">投标</w:t>
      </w:r>
      <w:r>
        <w:rPr>
          <w:rFonts w:hint="eastAsia" w:ascii="宋体" w:hAnsi="宋体" w:eastAsia="宋体" w:cs="宋体"/>
          <w:b/>
          <w:bCs/>
          <w:color w:val="auto"/>
          <w:sz w:val="28"/>
          <w:szCs w:val="28"/>
          <w:highlight w:val="none"/>
          <w:lang w:val="en-US" w:eastAsia="zh-CN"/>
        </w:rPr>
        <w:t xml:space="preserve">人</w:t>
      </w:r>
      <w:r>
        <w:rPr>
          <w:rFonts w:hint="eastAsia" w:ascii="宋体" w:hAnsi="宋体" w:eastAsia="宋体" w:cs="宋体"/>
          <w:b/>
          <w:bCs/>
          <w:color w:val="auto"/>
          <w:sz w:val="28"/>
          <w:szCs w:val="28"/>
          <w:highlight w:val="none"/>
        </w:rPr>
        <w:t xml:space="preserve">在包一、包二、包三投标中</w:t>
      </w:r>
      <w:r>
        <w:rPr>
          <w:rFonts w:hint="eastAsia" w:ascii="宋体" w:hAnsi="宋体" w:eastAsia="宋体" w:cs="宋体"/>
          <w:b/>
          <w:bCs/>
          <w:color w:val="auto"/>
          <w:sz w:val="28"/>
          <w:szCs w:val="28"/>
          <w:highlight w:val="none"/>
          <w:lang w:val="en-US" w:eastAsia="zh-CN"/>
        </w:rPr>
        <w:t xml:space="preserve">可以兼投、</w:t>
      </w:r>
      <w:r>
        <w:rPr>
          <w:rFonts w:hint="eastAsia" w:ascii="宋体" w:hAnsi="宋体" w:eastAsia="宋体" w:cs="宋体"/>
          <w:b/>
          <w:bCs/>
          <w:color w:val="auto"/>
          <w:sz w:val="28"/>
          <w:szCs w:val="28"/>
          <w:highlight w:val="none"/>
        </w:rPr>
        <w:t xml:space="preserve">不可以兼中</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包一、包二、包三可以分别与包四、包五、包六、包七、包八、包九兼中</w:t>
      </w:r>
      <w:r>
        <w:rPr>
          <w:rFonts w:hint="eastAsia" w:ascii="宋体" w:hAnsi="宋体" w:eastAsia="宋体" w:cs="宋体"/>
          <w:b w:val="0"/>
          <w:bCs w:val="0"/>
          <w:color w:val="auto"/>
          <w:sz w:val="28"/>
          <w:szCs w:val="28"/>
          <w:highlight w:val="none"/>
        </w:rPr>
        <w:t xml:space="preserve">（即：包一可以与包四、包五、包六、包七、包八、包九兼中；包二可以与包四、包五、包六、包七、包八、包九兼中；包三可以与包四、包五、包六、包七、包八、包九兼中）。</w:t>
      </w:r>
      <w:r>
        <w:rPr>
          <w:rFonts w:hint="eastAsia" w:ascii="宋体" w:hAnsi="宋体" w:eastAsia="宋体" w:cs="宋体"/>
          <w:b/>
          <w:bCs/>
          <w:color w:val="auto"/>
          <w:sz w:val="28"/>
          <w:szCs w:val="28"/>
          <w:highlight w:val="none"/>
        </w:rPr>
        <w:t xml:space="preserve">按上所述，</w:t>
      </w:r>
      <w:r>
        <w:rPr>
          <w:rFonts w:hint="eastAsia" w:ascii="宋体" w:hAnsi="宋体" w:eastAsia="宋体" w:cs="宋体"/>
          <w:b/>
          <w:bCs/>
          <w:color w:val="auto"/>
          <w:sz w:val="28"/>
          <w:szCs w:val="28"/>
          <w:highlight w:val="none"/>
          <w:lang w:val="en-US" w:eastAsia="zh-CN"/>
        </w:rPr>
        <w:t xml:space="preserve">按照标包自然编号顺序，前面</w:t>
      </w:r>
      <w:r>
        <w:rPr>
          <w:rFonts w:hint="eastAsia" w:ascii="宋体" w:hAnsi="宋体" w:eastAsia="宋体" w:cs="宋体"/>
          <w:b/>
          <w:bCs/>
          <w:color w:val="auto"/>
          <w:sz w:val="28"/>
          <w:szCs w:val="28"/>
          <w:highlight w:val="none"/>
        </w:rPr>
        <w:t xml:space="preserve">已经中标的供应商按规定不能兼中的或者中标已达到两个</w:t>
      </w:r>
      <w:r>
        <w:rPr>
          <w:rFonts w:hint="eastAsia" w:ascii="宋体" w:hAnsi="宋体" w:eastAsia="宋体" w:cs="宋体"/>
          <w:b/>
          <w:bCs/>
          <w:color w:val="auto"/>
          <w:sz w:val="28"/>
          <w:szCs w:val="28"/>
          <w:highlight w:val="none"/>
          <w:lang w:val="en-US" w:eastAsia="zh-CN"/>
        </w:rPr>
        <w:t xml:space="preserve">标</w:t>
      </w:r>
      <w:r>
        <w:rPr>
          <w:rFonts w:hint="eastAsia" w:ascii="宋体" w:hAnsi="宋体" w:eastAsia="宋体" w:cs="宋体"/>
          <w:b/>
          <w:bCs/>
          <w:color w:val="auto"/>
          <w:sz w:val="28"/>
          <w:szCs w:val="28"/>
          <w:highlight w:val="none"/>
        </w:rPr>
        <w:t xml:space="preserve">包的，</w:t>
      </w:r>
      <w:r>
        <w:rPr>
          <w:rFonts w:hint="eastAsia" w:ascii="宋体" w:hAnsi="宋体" w:eastAsia="宋体" w:cs="宋体"/>
          <w:b/>
          <w:bCs/>
          <w:color w:val="auto"/>
          <w:sz w:val="28"/>
          <w:szCs w:val="28"/>
          <w:highlight w:val="none"/>
          <w:lang w:val="en-US" w:eastAsia="zh-CN"/>
        </w:rPr>
        <w:t xml:space="preserve">不再参加后面标包的评审。</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评委在认真审阅投标文件的基础上，根据各投标文件的响应程度独立评判，不得统一打分。</w:t>
      </w:r>
      <w:r/>
    </w:p>
    <w:p>
      <w:pPr>
        <w:ind w:firstLine="562"/>
        <w:keepLines w:val="0"/>
        <w:keepNext w:val="0"/>
        <w:pageBreakBefore w:val="0"/>
        <w:spacing w:line="500" w:lineRule="exact"/>
        <w:widowControl w:val="off"/>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（一）</w:t>
      </w:r>
      <w:r>
        <w:rPr>
          <w:rFonts w:hint="eastAsia" w:ascii="宋体" w:hAnsi="宋体" w:cs="宋体"/>
          <w:b/>
          <w:color w:val="auto"/>
          <w:sz w:val="28"/>
          <w:szCs w:val="28"/>
          <w:highlight w:val="none"/>
          <w:lang w:eastAsia="zh-CN"/>
        </w:rPr>
        <w:t xml:space="preserve">采购人</w:t>
      </w:r>
      <w:r>
        <w:rPr>
          <w:rFonts w:hint="eastAsia" w:ascii="宋体" w:hAnsi="宋体" w:eastAsia="宋体" w:cs="宋体"/>
          <w:b/>
          <w:color w:val="auto"/>
          <w:sz w:val="28"/>
          <w:szCs w:val="28"/>
          <w:highlight w:val="none"/>
        </w:rPr>
        <w:t xml:space="preserve">（代表）对投标人资格进行审查。</w:t>
      </w:r>
      <w:r/>
    </w:p>
    <w:p>
      <w:pPr>
        <w:pStyle w:val="1160"/>
        <w:ind w:firstLine="560"/>
        <w:keepLines w:val="0"/>
        <w:keepNext w:val="0"/>
        <w:pageBreakBefore w:val="0"/>
        <w:spacing w:line="50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投标人资格不合格的，其投标文件判定为无效投标文件。</w:t>
      </w:r>
      <w:r/>
    </w:p>
    <w:p>
      <w:pPr>
        <w:ind w:firstLine="562"/>
        <w:jc w:val="left"/>
        <w:keepLines w:val="0"/>
        <w:keepNext w:val="0"/>
        <w:pageBreakBefore w:val="0"/>
        <w:spacing w:line="500" w:lineRule="exact"/>
        <w:widowControl w:val="off"/>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（二）评标委员会对符合资格投标人的投标文件进行符合性审查。</w:t>
      </w:r>
      <w:r/>
    </w:p>
    <w:p>
      <w:pPr>
        <w:pStyle w:val="1160"/>
        <w:ind w:firstLine="560"/>
        <w:keepLines w:val="0"/>
        <w:keepNext w:val="0"/>
        <w:pageBreakBefore w:val="0"/>
        <w:spacing w:line="500" w:lineRule="exact"/>
        <w:widowControl w:val="off"/>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未通过符合性审查的投标文件，将被判为不满足招标文件实质性要求。 </w:t>
      </w:r>
      <w:r/>
    </w:p>
    <w:p>
      <w:pPr>
        <w:ind w:firstLine="562"/>
        <w:jc w:val="left"/>
        <w:keepLines w:val="0"/>
        <w:keepNext w:val="0"/>
        <w:pageBreakBefore w:val="0"/>
        <w:spacing w:line="500" w:lineRule="exact"/>
        <w:widowControl w:val="off"/>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zh-CN"/>
        </w:rPr>
        <w:t xml:space="preserve">三</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zh-CN"/>
        </w:rPr>
        <w:t xml:space="preserve">商务技术分</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85</w:t>
      </w:r>
      <w:r>
        <w:rPr>
          <w:rFonts w:hint="eastAsia" w:ascii="宋体" w:hAnsi="宋体" w:eastAsia="宋体" w:cs="宋体"/>
          <w:color w:val="auto"/>
          <w:sz w:val="28"/>
          <w:szCs w:val="28"/>
          <w:highlight w:val="none"/>
          <w:lang w:val="zh-CN"/>
        </w:rPr>
        <w:t xml:space="preserve">分</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各投标人得分为评委会成员评分的算术平均分，分值保留小数点后两位。</w:t>
      </w:r>
      <w:r/>
    </w:p>
    <w:p>
      <w:pPr>
        <w:ind w:firstLine="56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包一</w:t>
      </w:r>
      <w:r>
        <w:rPr>
          <w:rFonts w:hint="eastAsia" w:ascii="宋体" w:hAnsi="宋体" w:eastAsia="宋体" w:cs="宋体"/>
          <w:b/>
          <w:bCs/>
          <w:color w:val="auto"/>
          <w:sz w:val="28"/>
          <w:szCs w:val="28"/>
          <w:highlight w:val="none"/>
          <w:lang w:val="zh-CN"/>
        </w:rPr>
        <w:t xml:space="preserve">～</w:t>
      </w:r>
      <w:r>
        <w:rPr>
          <w:rFonts w:hint="eastAsia" w:ascii="宋体" w:hAnsi="宋体" w:eastAsia="宋体" w:cs="宋体"/>
          <w:b/>
          <w:bCs/>
          <w:color w:val="auto"/>
          <w:sz w:val="28"/>
          <w:szCs w:val="28"/>
          <w:highlight w:val="none"/>
          <w:lang w:val="en-US" w:eastAsia="zh-CN"/>
        </w:rPr>
        <w:t xml:space="preserve">包</w:t>
      </w:r>
      <w:r>
        <w:rPr>
          <w:rFonts w:hint="eastAsia" w:ascii="宋体" w:hAnsi="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商务技术分</w:t>
      </w:r>
      <w:r/>
    </w:p>
    <w:tbl>
      <w:tblPr>
        <w:tblStyle w:val="897"/>
        <w:tblW w:w="9180" w:type="dxa"/>
        <w:tblInd w:w="-6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55"/>
        <w:gridCol w:w="585"/>
        <w:gridCol w:w="6765"/>
      </w:tblGrid>
      <w:tr>
        <w:trPr>
          <w:trHeight w:val="72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评分点名称</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评分标准</w:t>
            </w:r>
            <w:r/>
          </w:p>
        </w:tc>
      </w:tr>
      <w:tr>
        <w:trPr>
          <w:trHeight w:val="299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资质条件      </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1.投标人202</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年以来在省级及以上会计师事务所综合评价中被评为AAA得2分；被评为AAAA得3分；被评为AAAAA得4分，以综合评价最高等级的档次得分计分，不累计计分，最高得4分</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w:t>
            </w:r>
            <w:r>
              <w:rPr>
                <w:rFonts w:ascii="宋体" w:hAnsi="宋体" w:eastAsia="宋体" w:cs="宋体"/>
                <w:sz w:val="22"/>
                <w:szCs w:val="22"/>
                <w:highlight w:val="none"/>
              </w:rPr>
              <w:t xml:space="preserve">投标人如为分支机构，投标资质以该分支机构资质为准</w:t>
            </w:r>
            <w:r>
              <w:rPr>
                <w:rFonts w:hint="eastAsia" w:ascii="宋体" w:hAnsi="宋体" w:cs="宋体"/>
                <w:sz w:val="22"/>
                <w:szCs w:val="22"/>
                <w:highlight w:val="none"/>
                <w:lang w:eastAsia="zh-CN"/>
              </w:rPr>
              <w:t xml:space="preserve">；</w:t>
            </w:r>
            <w:r>
              <w:rPr>
                <w:rFonts w:ascii="宋体" w:hAnsi="宋体" w:eastAsia="宋体" w:cs="宋体"/>
                <w:sz w:val="22"/>
                <w:szCs w:val="22"/>
                <w:highlight w:val="none"/>
              </w:rPr>
              <w:t xml:space="preserve">投标人为总</w:t>
            </w:r>
            <w:r>
              <w:rPr>
                <w:rFonts w:hint="eastAsia" w:ascii="宋体" w:hAnsi="宋体" w:eastAsia="宋体" w:cs="宋体"/>
                <w:sz w:val="22"/>
                <w:szCs w:val="22"/>
                <w:highlight w:val="none"/>
                <w:lang w:val="en-US" w:eastAsia="zh-CN"/>
              </w:rPr>
              <w:t xml:space="preserve">部</w:t>
            </w:r>
            <w:r>
              <w:rPr>
                <w:rFonts w:ascii="宋体" w:hAnsi="宋体" w:eastAsia="宋体" w:cs="宋体"/>
                <w:sz w:val="22"/>
                <w:szCs w:val="22"/>
                <w:highlight w:val="none"/>
              </w:rPr>
              <w:t xml:space="preserve">机构的，以总</w:t>
            </w:r>
            <w:r>
              <w:rPr>
                <w:rFonts w:hint="eastAsia" w:ascii="宋体" w:hAnsi="宋体" w:eastAsia="宋体" w:cs="宋体"/>
                <w:sz w:val="22"/>
                <w:szCs w:val="22"/>
                <w:highlight w:val="none"/>
                <w:lang w:val="en-US" w:eastAsia="zh-CN"/>
              </w:rPr>
              <w:t xml:space="preserve">部</w:t>
            </w:r>
            <w:r>
              <w:rPr>
                <w:rFonts w:ascii="宋体" w:hAnsi="宋体" w:eastAsia="宋体" w:cs="宋体"/>
                <w:sz w:val="22"/>
                <w:szCs w:val="22"/>
                <w:highlight w:val="none"/>
              </w:rPr>
              <w:t xml:space="preserve">机构资质作为评审依据</w:t>
            </w:r>
            <w:r>
              <w:rPr>
                <w:rFonts w:hint="eastAsia" w:ascii="宋体" w:hAnsi="宋体" w:cs="宋体"/>
                <w:sz w:val="22"/>
                <w:szCs w:val="22"/>
                <w:highlight w:val="none"/>
                <w:lang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投标时须提供证明材料原件扫描件，不提供不得分</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w:t>
            </w:r>
            <w:r/>
          </w:p>
          <w:p>
            <w:pPr>
              <w:numPr>
                <w:ilvl w:val="0"/>
                <w:numId w:val="0"/>
              </w:numPr>
              <w:ind w:left="0" w:firstLine="0"/>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2.投标人202</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年1月1日以来（以表彰时间为准）获得过</w:t>
            </w:r>
            <w:r>
              <w:rPr>
                <w:rFonts w:hint="eastAsia" w:ascii="宋体" w:hAnsi="宋体" w:cs="宋体"/>
                <w:i w:val="0"/>
                <w:iCs w:val="0"/>
                <w:color w:val="auto"/>
                <w:sz w:val="22"/>
                <w:szCs w:val="22"/>
                <w:highlight w:val="none"/>
                <w:u w:val="none"/>
                <w:lang w:val="en-US" w:eastAsia="zh-CN" w:bidi="ar"/>
              </w:rPr>
              <w:t xml:space="preserve">年报审计业务</w:t>
            </w:r>
            <w:r>
              <w:rPr>
                <w:rFonts w:hint="eastAsia" w:ascii="宋体" w:hAnsi="宋体" w:eastAsia="宋体" w:cs="宋体"/>
                <w:i w:val="0"/>
                <w:iCs w:val="0"/>
                <w:color w:val="auto"/>
                <w:sz w:val="22"/>
                <w:szCs w:val="22"/>
                <w:highlight w:val="none"/>
                <w:u w:val="none"/>
                <w:lang w:val="en-US" w:eastAsia="zh-CN" w:bidi="ar"/>
              </w:rPr>
              <w:t xml:space="preserve">的</w:t>
            </w:r>
            <w:r>
              <w:rPr>
                <w:rFonts w:hint="eastAsia" w:ascii="宋体" w:hAnsi="宋体" w:cs="宋体"/>
                <w:i w:val="0"/>
                <w:iCs w:val="0"/>
                <w:color w:val="auto"/>
                <w:sz w:val="22"/>
                <w:szCs w:val="22"/>
                <w:highlight w:val="none"/>
                <w:u w:val="none"/>
                <w:lang w:val="en-US" w:eastAsia="zh-CN" w:bidi="ar"/>
              </w:rPr>
              <w:t xml:space="preserve">地级市及以上国资委</w:t>
            </w:r>
            <w:r>
              <w:rPr>
                <w:rFonts w:hint="eastAsia" w:ascii="宋体" w:hAnsi="宋体" w:eastAsia="宋体" w:cs="宋体"/>
                <w:i w:val="0"/>
                <w:iCs w:val="0"/>
                <w:color w:val="auto"/>
                <w:sz w:val="22"/>
                <w:szCs w:val="22"/>
                <w:highlight w:val="none"/>
                <w:u w:val="none"/>
                <w:lang w:val="en-US" w:eastAsia="zh-CN" w:bidi="ar"/>
              </w:rPr>
              <w:t xml:space="preserve">荣誉表彰的得</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分/个</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本项最高得6分（投标时须提供证书或表彰文件等原件扫描件，不提供不得分）。</w:t>
            </w:r>
            <w:r/>
          </w:p>
        </w:tc>
      </w:tr>
      <w:tr>
        <w:trPr>
          <w:trHeight w:val="9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类似业绩</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所提供业绩的项目组成员（负责人或主要审计人员）需为响应本项目拟派审计人员（负责人或主要审计人员）。拟派项目组负责人或主要审计人员应在业绩中体现（或提供业主单位证明，证明该项目负责人或主要审计人员为项目实际小组成员），未按要求提供的不得分。</w:t>
            </w:r>
            <w:r/>
          </w:p>
        </w:tc>
      </w:tr>
      <w:tr>
        <w:trPr>
          <w:trHeight w:val="9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发行短期融资券、中期票据、公司债项目，或上市公司审计服务经验</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对拟派项目组负责人或主要审计人员202</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年1月1日以来（时间以合同签订日期为准）有成功的发行短期融资券、中期票据、公司债项目的审计案例，或上市公司审计服务经验进行评分，最多得20分。                                                                     ①上述案例或服务对应的被审计单位资产总额≥500亿元且净资产≥200亿元，每提供一个案例得4分；                                ②上述案例或服务对应的被审计单位资产总额&lt;500亿元或净资产&lt;200亿</w:t>
            </w:r>
            <w:r>
              <w:rPr>
                <w:rFonts w:hint="eastAsia" w:ascii="宋体" w:hAnsi="宋体" w:cs="宋体"/>
                <w:i w:val="0"/>
                <w:iCs w:val="0"/>
                <w:color w:val="auto"/>
                <w:sz w:val="22"/>
                <w:szCs w:val="22"/>
                <w:highlight w:val="none"/>
                <w:u w:val="none"/>
                <w:lang w:val="en-US" w:eastAsia="zh-CN" w:bidi="ar"/>
              </w:rPr>
              <w:t xml:space="preserve">元</w:t>
            </w:r>
            <w:r>
              <w:rPr>
                <w:rFonts w:hint="eastAsia" w:ascii="宋体" w:hAnsi="宋体" w:eastAsia="宋体" w:cs="宋体"/>
                <w:i w:val="0"/>
                <w:iCs w:val="0"/>
                <w:color w:val="auto"/>
                <w:sz w:val="22"/>
                <w:szCs w:val="22"/>
                <w:highlight w:val="none"/>
                <w:u w:val="none"/>
                <w:lang w:val="en-US" w:eastAsia="zh-CN" w:bidi="ar"/>
              </w:rPr>
              <w:t xml:space="preserve">，每提供一个案例得1分。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注：投标文件中同时提供审计合同原件扫描件、或债券融资工具发行核准文件的原件扫描件，募集说明书相关章节，审计报告正文等相关佐证材料原件扫描件，否则不得分。</w:t>
            </w:r>
            <w:r/>
          </w:p>
        </w:tc>
      </w:tr>
      <w:tr>
        <w:trPr>
          <w:trHeight w:val="21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企业审计服务经验</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对拟派项目组负责人或主要审计人员202</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年1月1日以来（时间以合同签订日期为准）完成过类似年度财务报表审计或预决算审计或经济责任审计或其他专项审计项目案例进行评分，最多得15分。                                   ①被审计单位为南通市国资委监管企业，每提供一个案例得3分；                                                                         ②被审计单位为省属国有全资及控股企业，每提供一个案例得2分；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③被审计单位为中央所属国有全资及控股企业，每提供一个案例得1分；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注：同一企业不同年度的同一审计业务合并为1个项目计算得分，投标文件中需提供上述项目服务合同原件扫描件、审计报告关键页原件扫描件。</w:t>
            </w:r>
            <w:r/>
          </w:p>
        </w:tc>
      </w:tr>
      <w:tr>
        <w:trPr>
          <w:trHeight w:val="9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质量管理水平</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对服务响应方案、人力资源配置、内控建设、风险承担能力、信息安全管理等进行评审。</w:t>
            </w:r>
            <w:r/>
          </w:p>
        </w:tc>
      </w:tr>
      <w:tr>
        <w:trPr>
          <w:trHeight w:val="2507"/>
        </w:trPr>
        <w:tc>
          <w:tcPr>
            <w:tcBorders>
              <w:top w:val="single" w:color="000000" w:sz="4" w:space="0"/>
              <w:left w:val="single" w:color="000000" w:sz="4" w:space="0"/>
              <w:right w:val="single" w:color="000000" w:sz="4" w:space="0"/>
            </w:tcBorders>
            <w:tcW w:w="6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tcBorders>
              <w:top w:val="single" w:color="000000" w:sz="4" w:space="0"/>
              <w:left w:val="single" w:color="000000" w:sz="4" w:space="0"/>
              <w:right w:val="single" w:color="000000" w:sz="4" w:space="0"/>
            </w:tcBorders>
            <w:tcW w:w="115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服务响应方案</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765" w:type="dxa"/>
            <w:vAlign w:val="top"/>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评委根据投标人针对项目需求特点提出审计工作方案进行综合评分：                                                      ①方案完整、清晰、针对性强，能够充分满足项目需求的，得3分；        </w:t>
            </w:r>
            <w:r>
              <w:rPr>
                <w:rFonts w:hint="eastAsia" w:ascii="宋体" w:hAnsi="宋体" w:eastAsia="宋体" w:cs="宋体"/>
                <w:i w:val="0"/>
                <w:iCs w:val="0"/>
                <w:color w:val="auto"/>
                <w:sz w:val="22"/>
                <w:szCs w:val="22"/>
                <w:highlight w:val="none"/>
                <w:u w:val="none"/>
                <w:lang w:val="en-US" w:eastAsia="zh-CN" w:bidi="ar"/>
              </w:rPr>
              <w:t xml:space="preserve">                                              ②方案比较完整、清晰、针对性较强，较充分满足项目需求的，得2分；                                                                 ③方案基本完整、基本清晰、具有一定的针对性，基本满足项目需求的，得1分；                                                            ④方案不可行或未提供方案的不得分。</w:t>
            </w:r>
            <w:r/>
          </w:p>
        </w:tc>
      </w:tr>
      <w:tr>
        <w:trPr>
          <w:trHeight w:val="621"/>
        </w:trPr>
        <w:tc>
          <w:tcPr>
            <w:tcBorders>
              <w:left w:val="single" w:color="000000" w:sz="4" w:space="0"/>
              <w:right w:val="single" w:color="000000" w:sz="4" w:space="0"/>
            </w:tcBorders>
            <w:tcW w:w="6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right w:val="single" w:color="000000" w:sz="4" w:space="0"/>
            </w:tcBorders>
            <w:tcW w:w="11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评委根据投标人针对项目提供组织人员分工方案进行综合评分：  ①方案完整、清晰、针对性强，能够充分满足项目需求的，得3分；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②方案比较完整、清晰、针对性较强，较充分满足项目需求的，得2分；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③方案基本完整、基本清晰、具有一定的针对性，基本满足项目需求的，得1分；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④方案不可行或未提供方案的不得分。</w:t>
            </w:r>
            <w:r/>
          </w:p>
        </w:tc>
      </w:tr>
      <w:tr>
        <w:trPr>
          <w:trHeight w:val="1095"/>
        </w:trPr>
        <w:tc>
          <w:tcPr>
            <w:tcBorders>
              <w:left w:val="single" w:color="000000" w:sz="4" w:space="0"/>
              <w:right w:val="single" w:color="000000" w:sz="4" w:space="0"/>
            </w:tcBorders>
            <w:tcW w:w="6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right w:val="single" w:color="000000" w:sz="4" w:space="0"/>
            </w:tcBorders>
            <w:tcW w:w="11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评委根据投标人针对项目制定进度计划进行综合评分：</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①进度计划完整、清晰、针对性强，能够充分满足项目需求的，得</w:t>
            </w:r>
            <w:r>
              <w:rPr>
                <w:rFonts w:hint="eastAsia" w:ascii="宋体" w:hAnsi="宋体" w:cs="宋体"/>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分；</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②进度计划比较完整、清晰、针对性较强，较充分满足项目需求的，得2分；</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③进度计划基本完整、基本清晰、具有一定的针对性，基本满足项目需求的，得1分；</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④进度计划不可行或未提供方案的不得分。</w:t>
            </w:r>
            <w:r/>
          </w:p>
        </w:tc>
      </w:tr>
      <w:tr>
        <w:trPr>
          <w:trHeight w:val="945"/>
        </w:trPr>
        <w:tc>
          <w:tcPr>
            <w:tcBorders>
              <w:left w:val="single" w:color="000000" w:sz="4" w:space="0"/>
              <w:right w:val="single" w:color="000000" w:sz="4" w:space="0"/>
            </w:tcBorders>
            <w:tcW w:w="6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right w:val="single" w:color="000000" w:sz="4" w:space="0"/>
            </w:tcBorders>
            <w:tcW w:w="11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考虑投标人对项目管理的便利性。评委就投标人针对本项目服务便利性情况进行评审，提供具体响应时间及相关证明材料。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服务非常便利，服务响应时间小于2小时，得</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分；服务较便利，服务响应时间小于24小时，得</w:t>
            </w:r>
            <w:r>
              <w:rPr>
                <w:rFonts w:hint="eastAsia" w:ascii="宋体" w:hAnsi="宋体" w:cs="宋体"/>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分；其他得0分。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注：投标文件中提供服务便利承诺等相关证明材料原件扫描件。</w:t>
            </w:r>
            <w:r/>
          </w:p>
        </w:tc>
      </w:tr>
      <w:tr>
        <w:trPr>
          <w:trHeight w:val="800"/>
        </w:trPr>
        <w:tc>
          <w:tcPr>
            <w:tcBorders>
              <w:left w:val="single" w:color="000000" w:sz="4" w:space="0"/>
              <w:bottom w:val="single" w:color="000000" w:sz="4" w:space="0"/>
              <w:right w:val="single" w:color="000000" w:sz="4" w:space="0"/>
            </w:tcBorders>
            <w:tcW w:w="67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left w:val="single" w:color="000000" w:sz="4" w:space="0"/>
              <w:bottom w:val="single" w:color="000000" w:sz="4" w:space="0"/>
              <w:right w:val="single" w:color="000000" w:sz="4" w:space="0"/>
            </w:tcBorders>
            <w:tcW w:w="1155"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评委根据投标人针对项目制定进度控制措施进行综合评分：        ①方案完整、清晰、针对性强，能够充分</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满足项目需求的，得3分；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②方案比较完整、清晰、针对性较强，较充分满足项目需求的，得2分；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③方案基本完整、基本清晰、具有一定的针对性，基本满足项目需求的，得1分；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④方案不可行或未提供方案的不得分。</w:t>
            </w:r>
            <w:r/>
          </w:p>
        </w:tc>
      </w:tr>
      <w:tr>
        <w:trPr>
          <w:trHeight w:val="179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人力资源配置</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对拟投入项目组成员（不含组长）专业能力、执业经验等进行对比评审。投标时须提供投标人项目组成员的注册会计师执业证书原件扫描件或中级以上职称等证书原件扫描件（已批准但尚未取得相关证书的须提供批准文件）；须提供投标人项目组成员与投标单位的劳动合同证明材料原件扫描件（如聘用的退休人员，须提供该人员退休证原件扫描件）或者提供投标人通过行业协会年检的相关证明文件原件扫描件。不提供不得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①202</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年1月1日以来为本项目服务的审计业务组成员受到国家级财政部门、注册会计师协会、中国证券会表彰奖励的，1次得1分；受到省级财政部门或注册会计师协会表彰奖励的，1次得0.5分；同一奖项取最高分，不累计计分。此项最高得2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②投标人拟派审计业务组成员中注册会计师在至少5名人员基础上每多1人加0.5分，最多加2分。</w:t>
            </w:r>
            <w:r/>
          </w:p>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③投标人拟派审计业务组除注册会计师以外的成员中，如取得会计师、审计师及以上职称的，每有1名加0.5分，最多得2分（一人多证不累计得分）。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④投标人拟派审计业务组成员中如取得财政部门颁发的会计领军人才证书的，每有1名得2分，最多得4分。</w:t>
            </w:r>
            <w:r/>
          </w:p>
        </w:tc>
      </w:tr>
      <w:tr>
        <w:trPr>
          <w:trHeight w:val="73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审计业务组长从业资历</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审计业务组长</w:t>
            </w:r>
            <w:r>
              <w:rPr>
                <w:rFonts w:hint="eastAsia" w:ascii="宋体" w:hAnsi="宋体" w:cs="宋体"/>
                <w:i w:val="0"/>
                <w:iCs w:val="0"/>
                <w:color w:val="auto"/>
                <w:sz w:val="22"/>
                <w:szCs w:val="22"/>
                <w:highlight w:val="none"/>
                <w:u w:val="none"/>
                <w:lang w:val="en-US" w:eastAsia="zh-CN" w:bidi="ar"/>
              </w:rPr>
              <w:t xml:space="preserve">（项目组负责人）</w:t>
            </w:r>
            <w:r>
              <w:rPr>
                <w:rFonts w:hint="eastAsia" w:ascii="宋体" w:hAnsi="宋体" w:eastAsia="宋体" w:cs="宋体"/>
                <w:i w:val="0"/>
                <w:iCs w:val="0"/>
                <w:color w:val="auto"/>
                <w:sz w:val="22"/>
                <w:szCs w:val="22"/>
                <w:highlight w:val="none"/>
                <w:u w:val="none"/>
                <w:lang w:val="en-US" w:eastAsia="zh-CN" w:bidi="ar"/>
              </w:rPr>
              <w:t xml:space="preserve">是注册10年及以上的注册会计师，且连续在会计师事务所从事企业财务审计工作10年以上的，得</w:t>
            </w:r>
            <w:r>
              <w:rPr>
                <w:rFonts w:hint="eastAsia" w:ascii="宋体" w:hAnsi="宋体" w:cs="宋体"/>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分；是注册8年及以上的注册会计师，且连续在会计师事务所从事企业财务审计工作8年以上的，得</w:t>
            </w:r>
            <w:r>
              <w:rPr>
                <w:rFonts w:hint="eastAsia" w:ascii="宋体" w:hAnsi="宋体" w:cs="宋体"/>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分；是注册5年及以上的注册会计师，且连续在会计师事务所从事企业财务审计工作5年以上的，得</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分；是注册3年及以上的注册会计师，且连续在会计师事务所从事企业财务审计工作3年以上的，得</w:t>
            </w:r>
            <w:r>
              <w:rPr>
                <w:rFonts w:hint="eastAsia" w:ascii="宋体" w:hAnsi="宋体" w:cs="宋体"/>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分；3年以下的不得分（需提供有效注册会计师证书、注册会计师年限、会计师事务所从事审计工作证明材料，证书中的现执业关系应在投标单位处，体现明确的发证日期并通过最新年度年检，需提供证书、身份证及提供202</w:t>
            </w:r>
            <w:r>
              <w:rPr>
                <w:rFonts w:hint="eastAsia" w:ascii="宋体" w:hAnsi="宋体" w:cs="宋体"/>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年1月以来投标人为其缴纳任意一个月社保证明材料的原件扫描件，未完整提供缺少任何一项的均不得分）。</w:t>
            </w:r>
            <w:r/>
          </w:p>
        </w:tc>
      </w:tr>
      <w:tr>
        <w:trPr>
          <w:trHeight w:val="179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审计业务组长业绩</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审计业务组长</w:t>
            </w:r>
            <w:r>
              <w:rPr>
                <w:rFonts w:hint="eastAsia" w:ascii="宋体" w:hAnsi="宋体" w:cs="宋体"/>
                <w:i w:val="0"/>
                <w:iCs w:val="0"/>
                <w:color w:val="auto"/>
                <w:sz w:val="22"/>
                <w:szCs w:val="22"/>
                <w:highlight w:val="none"/>
                <w:u w:val="none"/>
                <w:lang w:val="en-US" w:eastAsia="zh-CN" w:bidi="ar"/>
              </w:rPr>
              <w:t xml:space="preserve">（项目组负责人）</w:t>
            </w:r>
            <w:r>
              <w:rPr>
                <w:rFonts w:hint="eastAsia" w:ascii="宋体" w:hAnsi="宋体" w:eastAsia="宋体" w:cs="宋体"/>
                <w:i w:val="0"/>
                <w:iCs w:val="0"/>
                <w:color w:val="auto"/>
                <w:sz w:val="22"/>
                <w:szCs w:val="22"/>
                <w:highlight w:val="none"/>
                <w:u w:val="none"/>
                <w:lang w:val="en-US" w:eastAsia="zh-CN" w:bidi="ar"/>
              </w:rPr>
              <w:t xml:space="preserve">业绩。审计业务组长202</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年以来（以合同签订日期为准）具有企业财务审计主审经历，提供10份以上（含10份）报告的得</w:t>
            </w:r>
            <w:r>
              <w:rPr>
                <w:rFonts w:hint="eastAsia" w:ascii="宋体" w:hAnsi="宋体" w:cs="宋体"/>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分；提供8份以上（含8份）报告的得</w:t>
            </w:r>
            <w:r>
              <w:rPr>
                <w:rFonts w:hint="eastAsia" w:ascii="宋体" w:hAnsi="宋体" w:cs="宋体"/>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分；提供6份以上（含6份）报告的得</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分；提供3份以上（含3份）报告的得1分（需提供合同、审计报告签字页等证明材料的原件扫描件）。</w:t>
            </w:r>
            <w:r/>
          </w:p>
        </w:tc>
      </w:tr>
      <w:tr>
        <w:trPr>
          <w:trHeight w:val="3884"/>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内控制度建设</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对投标人内部相关咨询制度建设等进行评审。需提供相关制度文件和对应的工作底稿或记录原件扫描件。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①投标人有项目咨询方面的制度得0.5分，提供企业审计项目咨询方面的工作底稿或记录得0.5分，本项最高得1分。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②投标人有意见分歧解决方面的制度得0.5分，提供企业审计意见分歧解决方面的工作底稿或记录得0.5分，本项最高得1分。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③投标人有项目质量复核方面的制度得0.5分，提供企业审计质量复核方面的工作底稿或工作记录得0.5分，本项最高得1分。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④投标人有项目质量检查方面的制度得0.5分，提供企业审计质量检查方面的工作底稿或记录得0.5分，本项最高得1分。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⑤投标人有质量管理缺陷识别与整改方面的制度得0.5分，提供企业审计质量管理缺陷识别与整改方面的工作底稿或记录得0.5分，本项最高得1分。</w:t>
            </w:r>
            <w:r/>
          </w:p>
        </w:tc>
      </w:tr>
      <w:tr>
        <w:trPr>
          <w:trHeight w:val="9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bCs/>
                <w:color w:val="auto"/>
                <w:sz w:val="22"/>
                <w:szCs w:val="22"/>
                <w:highlight w:val="none"/>
              </w:rPr>
              <w:t xml:space="preserve">风险承担能力水平</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根据投标人提供的遇到突发或临时增加服务内容时是否能积极响应并制定全面完善的应急措施（突发事件包括临时增加委托内容、项目组人员变动等情况），内容完整且措施合理、有效的得2分，内容及措施一般的得1分，其他得0分。</w:t>
            </w:r>
            <w:r/>
          </w:p>
        </w:tc>
      </w:tr>
      <w:tr>
        <w:trPr>
          <w:trHeight w:val="872"/>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信息安全管理</w:t>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65"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投标人在投标承诺函中承诺对执行业务过程中知悉的被审计企业商业秘密和资料严加保密，不对外泄露的得1分，未承诺的不得分。</w:t>
            </w:r>
            <w:r/>
          </w:p>
        </w:tc>
      </w:tr>
    </w:tbl>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包</w:t>
      </w:r>
      <w:r>
        <w:rPr>
          <w:rFonts w:hint="eastAsia" w:ascii="宋体" w:hAnsi="宋体" w:cs="宋体"/>
          <w:color w:val="auto"/>
          <w:sz w:val="28"/>
          <w:szCs w:val="28"/>
          <w:highlight w:val="none"/>
          <w:lang w:val="en-US" w:eastAsia="zh-CN"/>
        </w:rPr>
        <w:t xml:space="preserve">八</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包</w:t>
      </w:r>
      <w:r>
        <w:rPr>
          <w:rFonts w:hint="eastAsia" w:ascii="宋体" w:hAnsi="宋体" w:cs="宋体"/>
          <w:color w:val="auto"/>
          <w:sz w:val="28"/>
          <w:szCs w:val="28"/>
          <w:highlight w:val="none"/>
          <w:lang w:val="en-US" w:eastAsia="zh-CN"/>
        </w:rPr>
        <w:t xml:space="preserve">九</w:t>
      </w:r>
      <w:r>
        <w:rPr>
          <w:rFonts w:hint="eastAsia" w:ascii="宋体" w:hAnsi="宋体" w:eastAsia="宋体" w:cs="宋体"/>
          <w:color w:val="auto"/>
          <w:sz w:val="28"/>
          <w:szCs w:val="28"/>
          <w:highlight w:val="none"/>
        </w:rPr>
        <w:t xml:space="preserve">商务技术分</w:t>
      </w:r>
      <w:r/>
    </w:p>
    <w:tbl>
      <w:tblPr>
        <w:tblStyle w:val="897"/>
        <w:tblW w:w="9180" w:type="dxa"/>
        <w:tblInd w:w="-6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55"/>
        <w:gridCol w:w="600"/>
        <w:gridCol w:w="6750"/>
      </w:tblGrid>
      <w:tr>
        <w:trPr>
          <w:trHeight w:val="69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评分点名称</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评分标准</w:t>
            </w:r>
            <w:r/>
          </w:p>
        </w:tc>
      </w:tr>
      <w:tr>
        <w:trPr>
          <w:trHeight w:val="9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资质条件      </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1.投标人202</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年以来在省级及以上会计师事务所综合评价中被评为AAA得2分；被评为AAAA得3分；被评为AAAAA得4分，以综合评价最高等级的档次得分计分，不累计计分，最高得4分</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w:t>
            </w:r>
            <w:r>
              <w:rPr>
                <w:rFonts w:ascii="宋体" w:hAnsi="宋体" w:eastAsia="宋体" w:cs="宋体"/>
                <w:sz w:val="22"/>
                <w:szCs w:val="22"/>
                <w:highlight w:val="none"/>
              </w:rPr>
              <w:t xml:space="preserve">投标人如为分支机构，投标资质以该分支机构资质为准</w:t>
            </w:r>
            <w:r>
              <w:rPr>
                <w:rFonts w:hint="eastAsia" w:ascii="宋体" w:hAnsi="宋体" w:cs="宋体"/>
                <w:sz w:val="22"/>
                <w:szCs w:val="22"/>
                <w:highlight w:val="none"/>
                <w:lang w:eastAsia="zh-CN"/>
              </w:rPr>
              <w:t xml:space="preserve">；</w:t>
            </w:r>
            <w:r>
              <w:rPr>
                <w:rFonts w:ascii="宋体" w:hAnsi="宋体" w:eastAsia="宋体" w:cs="宋体"/>
                <w:sz w:val="22"/>
                <w:szCs w:val="22"/>
                <w:highlight w:val="none"/>
              </w:rPr>
              <w:t xml:space="preserve">投标人为总</w:t>
            </w:r>
            <w:r>
              <w:rPr>
                <w:rFonts w:hint="eastAsia" w:ascii="宋体" w:hAnsi="宋体" w:eastAsia="宋体" w:cs="宋体"/>
                <w:sz w:val="22"/>
                <w:szCs w:val="22"/>
                <w:highlight w:val="none"/>
                <w:lang w:val="en-US" w:eastAsia="zh-CN"/>
              </w:rPr>
              <w:t xml:space="preserve">部</w:t>
            </w:r>
            <w:r>
              <w:rPr>
                <w:rFonts w:ascii="宋体" w:hAnsi="宋体" w:eastAsia="宋体" w:cs="宋体"/>
                <w:sz w:val="22"/>
                <w:szCs w:val="22"/>
                <w:highlight w:val="none"/>
              </w:rPr>
              <w:t xml:space="preserve">机构的，以总</w:t>
            </w:r>
            <w:r>
              <w:rPr>
                <w:rFonts w:hint="eastAsia" w:ascii="宋体" w:hAnsi="宋体" w:eastAsia="宋体" w:cs="宋体"/>
                <w:sz w:val="22"/>
                <w:szCs w:val="22"/>
                <w:highlight w:val="none"/>
                <w:lang w:val="en-US" w:eastAsia="zh-CN"/>
              </w:rPr>
              <w:t xml:space="preserve">部</w:t>
            </w:r>
            <w:r>
              <w:rPr>
                <w:rFonts w:ascii="宋体" w:hAnsi="宋体" w:eastAsia="宋体" w:cs="宋体"/>
                <w:sz w:val="22"/>
                <w:szCs w:val="22"/>
                <w:highlight w:val="none"/>
              </w:rPr>
              <w:t xml:space="preserve">机构资质作为评审依据</w:t>
            </w:r>
            <w:r>
              <w:rPr>
                <w:rFonts w:hint="eastAsia" w:ascii="宋体" w:hAnsi="宋体" w:cs="宋体"/>
                <w:sz w:val="22"/>
                <w:szCs w:val="22"/>
                <w:highlight w:val="none"/>
                <w:lang w:eastAsia="zh-CN"/>
              </w:rPr>
              <w:t xml:space="preserve">。</w:t>
            </w:r>
            <w:r>
              <w:rPr>
                <w:rFonts w:hint="eastAsia" w:ascii="宋体" w:hAnsi="宋体" w:eastAsia="宋体" w:cs="宋体"/>
                <w:i w:val="0"/>
                <w:iCs w:val="0"/>
                <w:color w:val="auto"/>
                <w:sz w:val="22"/>
                <w:szCs w:val="22"/>
                <w:highlight w:val="none"/>
                <w:u w:val="none"/>
                <w:lang w:val="en-US" w:eastAsia="zh-CN" w:bidi="ar"/>
              </w:rPr>
              <w:t xml:space="preserve">投标时须提供证明材料原件扫描件，不提供不得分</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w:t>
            </w:r>
            <w:r/>
          </w:p>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2.投标人202</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年1月1日以来（以表彰时间为准）获得过</w:t>
            </w:r>
            <w:r>
              <w:rPr>
                <w:rFonts w:hint="eastAsia" w:ascii="宋体" w:hAnsi="宋体" w:cs="宋体"/>
                <w:i w:val="0"/>
                <w:iCs w:val="0"/>
                <w:color w:val="auto"/>
                <w:sz w:val="22"/>
                <w:szCs w:val="22"/>
                <w:highlight w:val="none"/>
                <w:u w:val="none"/>
                <w:lang w:val="en-US" w:eastAsia="zh-CN" w:bidi="ar"/>
              </w:rPr>
              <w:t xml:space="preserve">年报审计业务</w:t>
            </w:r>
            <w:r>
              <w:rPr>
                <w:rFonts w:hint="eastAsia" w:ascii="宋体" w:hAnsi="宋体" w:eastAsia="宋体" w:cs="宋体"/>
                <w:i w:val="0"/>
                <w:iCs w:val="0"/>
                <w:color w:val="auto"/>
                <w:sz w:val="22"/>
                <w:szCs w:val="22"/>
                <w:highlight w:val="none"/>
                <w:u w:val="none"/>
                <w:lang w:val="en-US" w:eastAsia="zh-CN" w:bidi="ar"/>
              </w:rPr>
              <w:t xml:space="preserve">的</w:t>
            </w:r>
            <w:r>
              <w:rPr>
                <w:rFonts w:hint="eastAsia" w:ascii="宋体" w:hAnsi="宋体" w:cs="宋体"/>
                <w:i w:val="0"/>
                <w:iCs w:val="0"/>
                <w:color w:val="auto"/>
                <w:sz w:val="22"/>
                <w:szCs w:val="22"/>
                <w:highlight w:val="none"/>
                <w:u w:val="none"/>
                <w:lang w:val="en-US" w:eastAsia="zh-CN" w:bidi="ar"/>
              </w:rPr>
              <w:t xml:space="preserve">地级市及以上国资委</w:t>
            </w:r>
            <w:r>
              <w:rPr>
                <w:rFonts w:hint="eastAsia" w:ascii="宋体" w:hAnsi="宋体" w:eastAsia="宋体" w:cs="宋体"/>
                <w:i w:val="0"/>
                <w:iCs w:val="0"/>
                <w:color w:val="auto"/>
                <w:sz w:val="22"/>
                <w:szCs w:val="22"/>
                <w:highlight w:val="none"/>
                <w:u w:val="none"/>
                <w:lang w:val="en-US" w:eastAsia="zh-CN" w:bidi="ar"/>
              </w:rPr>
              <w:t xml:space="preserve">荣誉表彰的得</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分/个</w:t>
            </w: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本项最高得6分（投标时须提供证书或表彰文件等原件扫描件，不提供不得分）。</w:t>
            </w:r>
            <w:r/>
          </w:p>
        </w:tc>
      </w:tr>
      <w:tr>
        <w:trPr>
          <w:trHeight w:val="99"/>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类似业绩</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所提供业绩的项目组成员（负责人或主要审计人员）需为响应本项目拟派审计人员（负责人或主要审计人员）。拟派项目组负责人或主要审计人员应在业绩中体现（或提供业主单位证明，证明该项目负责人或主要审计人员为项目实际小组成员），对拟派项目组负责人或主要审计人员202</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年1月1日以来（时间以合同签订日期为准）完成过类似年度财务报表审计或预决算审计或经济责任审计或其他专项审计项目案例进行评分，最多得35分。                                   ①被审计单位为南通市国资委监管企业，每提供一个案例得5分；                                                                         ②被审计单位为省属国有全资及控股企业，每提供一个案例得3分；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③被审计单位为中央所属国有全资及控股企业，每提供一个案例得1分；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注：同一企业不同年度的同一审计业务合并为1个项目计算得分，投标文件中需提供上述项目服务合同原件扫描件、审计报告关键页原件扫描件，未按要求提供的不得分。</w:t>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质量管理水平</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对服务响应方案、人力资源配置、内控建设、风险承担能力、信息安全管理等进行评审。</w:t>
            </w:r>
            <w:r/>
          </w:p>
        </w:tc>
      </w:tr>
      <w:tr>
        <w:trPr>
          <w:trHeight w:val="1221"/>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restart"/>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服务响应方案</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pageBreakBefore w:val="0"/>
              <w:spacing w:line="500" w:lineRule="exact"/>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评委根据投标人针对项目需求特点提出审计工作方案进行综合评分：                                                      ①方案完整、清晰、针对性强，能够充分满足项目需求的，得3分；        </w:t>
            </w:r>
            <w:r>
              <w:rPr>
                <w:rFonts w:hint="eastAsia" w:ascii="宋体" w:hAnsi="宋体" w:eastAsia="宋体" w:cs="宋体"/>
                <w:i w:val="0"/>
                <w:iCs w:val="0"/>
                <w:color w:val="auto"/>
                <w:sz w:val="22"/>
                <w:szCs w:val="22"/>
                <w:highlight w:val="none"/>
                <w:u w:val="none"/>
                <w:lang w:val="en-US" w:eastAsia="zh-CN" w:bidi="ar"/>
              </w:rPr>
              <w:t xml:space="preserve">                                              ②方案比较完整、清晰、针对性较强，较充分满足项目需求的，得2分；                                                                 ③方案基本完整、基本清晰、具有一定的针对性，基本满足项目需求的，得1分；                                                            ④方案不可行或未提供方案的不得分。</w:t>
            </w:r>
            <w:r/>
          </w:p>
        </w:tc>
      </w:tr>
      <w:tr>
        <w:trPr>
          <w:trHeight w:val="90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pageBreakBefore w:val="0"/>
              <w:spacing w:line="500" w:lineRule="exact"/>
              <w:widowControl/>
              <w:rPr>
                <w:rFonts w:hint="default" w:ascii="宋体" w:hAnsi="宋体" w:eastAsia="宋体" w:cs="宋体"/>
                <w:i w:val="0"/>
                <w:iCs w:val="0"/>
                <w:color w:val="auto"/>
                <w:sz w:val="22"/>
                <w:szCs w:val="22"/>
                <w:highlight w:val="none"/>
                <w:u w:val="none"/>
                <w:lang w:val="en-US" w:eastAsia="zh-CN" w:bidi="ar-SA"/>
              </w:rPr>
              <w:suppressLineNumbers w:val="0"/>
            </w:pPr>
            <w:r>
              <w:rPr>
                <w:rFonts w:hint="eastAsia" w:ascii="宋体" w:hAnsi="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评委根据投标人针对项目提供组织人员分工方案进行综合评分：  </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①方案完整、清晰、针对性强，能够充分满足项目需求的，得3分；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②方案比较完整、清晰、针对性较强，较充分满足项目需求的，得2分；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③方案基本完整、基本清晰、具有一定的针对性，基本满足项目需求的，得1分；</w:t>
            </w:r>
            <w:r/>
          </w:p>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④方案不可行或未提供方案的不得分。</w:t>
            </w:r>
            <w:r/>
          </w:p>
        </w:tc>
      </w:tr>
      <w:tr>
        <w:trPr>
          <w:trHeight w:val="280"/>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pageBreakBefore w:val="0"/>
              <w:spacing w:line="500" w:lineRule="exact"/>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评委根据投标人针对项目制定进度计划进行综合评分：</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①进度计划完整、清晰、针对性强，能够充分满足项目需求的，得</w:t>
            </w:r>
            <w:r>
              <w:rPr>
                <w:rFonts w:hint="eastAsia" w:ascii="宋体" w:hAnsi="宋体" w:cs="宋体"/>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分；</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②进度计划比较完整、清晰、针对性较强，较充分满足项目需求的，得2分；</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③进度计划基本完整、基本清晰、具有一定的针对性，基本满足项目需求的，得1分；</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④进度计划不可行或未提供方案的不得分。</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考虑投标人对项目管理的便利性。评委就投标人针对本项目服务便利性情况进行评审，提供具体响应时间及相关证明材料。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服务非常便利，服务响应时间小于2小时，得</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分；服务较便利，服务响应时间小于24小时，得</w:t>
            </w:r>
            <w:r>
              <w:rPr>
                <w:rFonts w:hint="eastAsia" w:ascii="宋体" w:hAnsi="宋体" w:cs="宋体"/>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分；其他得0分。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注：投标文件中提供服务便利承诺等相关证明材料原件扫描件。</w:t>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vMerge w:val="continue"/>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pageBreakBefore w:val="0"/>
              <w:spacing w:line="500" w:lineRule="exact"/>
              <w:widowControl/>
              <w:rPr>
                <w:rFonts w:hint="default" w:ascii="宋体" w:hAnsi="宋体" w:eastAsia="宋体" w:cs="宋体"/>
                <w:i w:val="0"/>
                <w:iCs w:val="0"/>
                <w:color w:val="auto"/>
                <w:sz w:val="22"/>
                <w:szCs w:val="22"/>
                <w:highlight w:val="none"/>
                <w:u w:val="none"/>
                <w:lang w:val="en-US" w:eastAsia="zh-CN" w:bidi="ar-SA"/>
              </w:rPr>
              <w:suppressLineNumbers w:val="0"/>
            </w:pPr>
            <w:r>
              <w:rPr>
                <w:rFonts w:hint="eastAsia" w:ascii="宋体" w:hAnsi="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评委根据投标人针对项目制定进度控制措施进行综合评分：       </w:t>
            </w:r>
            <w:r>
              <w:rPr>
                <w:rFonts w:hint="eastAsia" w:ascii="宋体" w:hAnsi="宋体" w:cs="宋体"/>
                <w:i w:val="0"/>
                <w:iCs w:val="0"/>
                <w:color w:val="auto"/>
                <w:sz w:val="22"/>
                <w:szCs w:val="22"/>
                <w:highlight w:val="none"/>
                <w:u w:val="none"/>
                <w:lang w:val="en-US" w:eastAsia="zh-CN" w:bidi="ar"/>
              </w:rPr>
              <w:t xml:space="preserve">                                                </w:t>
            </w:r>
            <w:r>
              <w:rPr>
                <w:rFonts w:hint="eastAsia" w:ascii="宋体" w:hAnsi="宋体" w:eastAsia="宋体" w:cs="宋体"/>
                <w:i w:val="0"/>
                <w:iCs w:val="0"/>
                <w:color w:val="auto"/>
                <w:sz w:val="22"/>
                <w:szCs w:val="22"/>
                <w:highlight w:val="none"/>
                <w:u w:val="none"/>
                <w:lang w:val="en-US" w:eastAsia="zh-CN" w:bidi="ar"/>
              </w:rPr>
              <w:t xml:space="preserve"> ①方案完整、清晰、针对性强，能够充分满足项目需求的，得3分；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②方案比较完整、清晰、针对性较强，较充分满足项目需求的，得2分；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③方案基本完整、基本清晰、具有一定的针对性，基本满足项目需求的，得1分；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④方案不可行或未提供方案的不得分。</w:t>
            </w:r>
            <w:r/>
          </w:p>
        </w:tc>
      </w:tr>
      <w:tr>
        <w:trPr>
          <w:trHeight w:val="5356"/>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人力资源配置</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对拟投入项目组成员（不含组长）专业能力、执业经验等进行对比评审。投标时须提供投标人项目组成员的注册会计师执业证书原件扫描件或中级以上职称等证书原件扫描件（已批准但尚未取得相关证书的须提供批准文件）；须提供投标人项目组成员与投标单位的劳动合同证明材料原件扫描件（如聘用的退休人员，须提供该人员退休证原件扫描件）或者提供投标人通过行业协会年检的相关证明文件原件扫描件。不提供不得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①202</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年1月1日以来为本项目服务的审计业务组成员受到国家级财政部门、注册会计师协会、中国证券会表彰奖励的，1次得1分；受到省级财政部门或注册会计师协会表彰奖励的，1次得0.5分；同一奖项取最高分，不累计计分。此项最高得2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②投标人拟派审计业务组成员中注册会计师在至少3名人员基础上每多1人加0.5分，最多加2分。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③投标人拟派审计业务组除注册会计师以外的成员中，如取得会计师、审计师及以上职称的，每有1名加0.5分，最多得2分（一人多证不累计得分）。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④投标人拟派审计业务组成员中如取得财政部门颁发的会计领军人才证书的，每有1名得2分，最多得4分。</w:t>
            </w:r>
            <w:r/>
          </w:p>
        </w:tc>
      </w:tr>
      <w:tr>
        <w:trPr>
          <w:trHeight w:val="1023"/>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bCs/>
                <w:color w:val="auto"/>
                <w:sz w:val="22"/>
                <w:szCs w:val="22"/>
                <w:highlight w:val="none"/>
                <w:lang w:val="en-US" w:eastAsia="zh-CN"/>
              </w:rPr>
              <w:t xml:space="preserve">审计业务组长从业资历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审计业务组长</w:t>
            </w:r>
            <w:r>
              <w:rPr>
                <w:rFonts w:hint="eastAsia" w:ascii="宋体" w:hAnsi="宋体" w:cs="宋体"/>
                <w:i w:val="0"/>
                <w:iCs w:val="0"/>
                <w:color w:val="auto"/>
                <w:sz w:val="22"/>
                <w:szCs w:val="22"/>
                <w:highlight w:val="none"/>
                <w:u w:val="none"/>
                <w:lang w:val="en-US" w:eastAsia="zh-CN" w:bidi="ar"/>
              </w:rPr>
              <w:t xml:space="preserve">（项目组负责人）</w:t>
            </w:r>
            <w:r>
              <w:rPr>
                <w:rFonts w:hint="eastAsia" w:ascii="宋体" w:hAnsi="宋体" w:eastAsia="宋体" w:cs="宋体"/>
                <w:i w:val="0"/>
                <w:iCs w:val="0"/>
                <w:color w:val="auto"/>
                <w:sz w:val="22"/>
                <w:szCs w:val="22"/>
                <w:highlight w:val="none"/>
                <w:u w:val="none"/>
                <w:lang w:val="en-US" w:eastAsia="zh-CN" w:bidi="ar"/>
              </w:rPr>
              <w:t xml:space="preserve">是注册10年及以上的注册会计师，且连续在会计师事务所从事企业财务审计工作10年以上的，得</w:t>
            </w:r>
            <w:r>
              <w:rPr>
                <w:rFonts w:hint="eastAsia" w:ascii="宋体" w:hAnsi="宋体" w:cs="宋体"/>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分；是注册8年及以上的注册会计师，且连续在会计师事务所从事企业财务审计工作8年以上的，得</w:t>
            </w:r>
            <w:r>
              <w:rPr>
                <w:rFonts w:hint="eastAsia" w:ascii="宋体" w:hAnsi="宋体" w:cs="宋体"/>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分；是注册5年及以上的注册会计师，且连续在会计师事务所从事企业财务审计工作5年以上的，得</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分；是注册3年及以上的注册会计师，且连续在会计师事务所从事企业财务审计工作3年以上的，得</w:t>
            </w:r>
            <w:r>
              <w:rPr>
                <w:rFonts w:hint="eastAsia" w:ascii="宋体" w:hAnsi="宋体" w:cs="宋体"/>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分；3年以下的不得分（需提供有效注册会计师证书、注册会计师年限、会计师事务所从事审计工作证明材料，证书中的现执业关系应在投标单位处，体现明确的发证日期并通过最新年度年检，需提供证书、身份证及提供202</w:t>
            </w:r>
            <w:r>
              <w:rPr>
                <w:rFonts w:hint="eastAsia" w:ascii="宋体" w:hAnsi="宋体" w:cs="宋体"/>
                <w:i w:val="0"/>
                <w:iCs w:val="0"/>
                <w:color w:val="auto"/>
                <w:sz w:val="22"/>
                <w:szCs w:val="22"/>
                <w:highlight w:val="none"/>
                <w:u w:val="none"/>
                <w:lang w:val="en-US" w:eastAsia="zh-CN" w:bidi="ar"/>
              </w:rPr>
              <w:t xml:space="preserve">6</w:t>
            </w:r>
            <w:r>
              <w:rPr>
                <w:rFonts w:hint="eastAsia" w:ascii="宋体" w:hAnsi="宋体" w:eastAsia="宋体" w:cs="宋体"/>
                <w:i w:val="0"/>
                <w:iCs w:val="0"/>
                <w:color w:val="auto"/>
                <w:sz w:val="22"/>
                <w:szCs w:val="22"/>
                <w:highlight w:val="none"/>
                <w:u w:val="none"/>
                <w:lang w:val="en-US" w:eastAsia="zh-CN" w:bidi="ar"/>
              </w:rPr>
              <w:t xml:space="preserve">年1月以来投标人为其缴纳任意一个月社保证明材料的原件扫描件，未完整提供缺少任何一项的均不得分）。</w:t>
            </w:r>
            <w:r/>
          </w:p>
        </w:tc>
      </w:tr>
      <w:tr>
        <w:trPr>
          <w:trHeight w:val="9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bCs/>
                <w:color w:val="auto"/>
                <w:sz w:val="22"/>
                <w:szCs w:val="22"/>
                <w:highlight w:val="none"/>
                <w:lang w:val="en-US" w:eastAsia="zh-CN"/>
              </w:rPr>
              <w:t xml:space="preserve">审计业务组长业绩</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审计业务组长</w:t>
            </w:r>
            <w:r>
              <w:rPr>
                <w:rFonts w:hint="eastAsia" w:ascii="宋体" w:hAnsi="宋体" w:cs="宋体"/>
                <w:i w:val="0"/>
                <w:iCs w:val="0"/>
                <w:color w:val="auto"/>
                <w:sz w:val="22"/>
                <w:szCs w:val="22"/>
                <w:highlight w:val="none"/>
                <w:u w:val="none"/>
                <w:lang w:val="en-US" w:eastAsia="zh-CN" w:bidi="ar"/>
              </w:rPr>
              <w:t xml:space="preserve">（项目组负责人）</w:t>
            </w:r>
            <w:r>
              <w:rPr>
                <w:rFonts w:hint="eastAsia" w:ascii="宋体" w:hAnsi="宋体" w:eastAsia="宋体" w:cs="宋体"/>
                <w:i w:val="0"/>
                <w:iCs w:val="0"/>
                <w:color w:val="auto"/>
                <w:sz w:val="22"/>
                <w:szCs w:val="22"/>
                <w:highlight w:val="none"/>
                <w:u w:val="none"/>
                <w:lang w:val="en-US" w:eastAsia="zh-CN" w:bidi="ar"/>
              </w:rPr>
              <w:t xml:space="preserve">业绩。审计业务组长202</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年以来（以合同签订日期为准）具有企业财务审计主审经历，提供10份以上（含10份）报告的得</w:t>
            </w:r>
            <w:r>
              <w:rPr>
                <w:rFonts w:hint="eastAsia" w:ascii="宋体" w:hAnsi="宋体" w:cs="宋体"/>
                <w:i w:val="0"/>
                <w:iCs w:val="0"/>
                <w:color w:val="auto"/>
                <w:sz w:val="22"/>
                <w:szCs w:val="22"/>
                <w:highlight w:val="none"/>
                <w:u w:val="none"/>
                <w:lang w:val="en-US" w:eastAsia="zh-CN" w:bidi="ar"/>
              </w:rPr>
              <w:t xml:space="preserve">4</w:t>
            </w:r>
            <w:r>
              <w:rPr>
                <w:rFonts w:hint="eastAsia" w:ascii="宋体" w:hAnsi="宋体" w:eastAsia="宋体" w:cs="宋体"/>
                <w:i w:val="0"/>
                <w:iCs w:val="0"/>
                <w:color w:val="auto"/>
                <w:sz w:val="22"/>
                <w:szCs w:val="22"/>
                <w:highlight w:val="none"/>
                <w:u w:val="none"/>
                <w:lang w:val="en-US" w:eastAsia="zh-CN" w:bidi="ar"/>
              </w:rPr>
              <w:t xml:space="preserve">分；提供8份以上（含8份）报告的得</w:t>
            </w:r>
            <w:r>
              <w:rPr>
                <w:rFonts w:hint="eastAsia" w:ascii="宋体" w:hAnsi="宋体" w:cs="宋体"/>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分；提供6份以上（含6份）报告的得</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分；提供3份以上（含3份）报告的得1分。（需提供合同、审计报告签字页等证明材料的原件扫描件）</w:t>
            </w:r>
            <w:r/>
          </w:p>
        </w:tc>
      </w:tr>
      <w:tr>
        <w:trPr>
          <w:trHeight w:val="74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内控制度建设</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对投标人内部相关咨询制度建设等进行评审。需提供相关制度文件和对应的工作底稿或记录原件扫描件。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①投标人有项目咨询方面的制度得0.5分，提供企业审计项目咨询方面的工作底稿或记录得0.5分，本项最高得1分。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②投标人有意见分歧解决方面的制度得0.5分，提供企业审计意见分歧解决方面的工作底稿或记录得0.5分，本项最高得1分。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③投标人有项目质量复核方面的制度得0.5分，提供企业审计质量复核方面的工作底稿或工作记录得0.5分，本项最高得1分。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④投标人有项目质量检查方面的制度得0.5分，提供企业审计质量检查方面的工作底稿或记录得0.5分，本项最高得1分。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⑤投标人有质量管理缺陷识别与整改方面的制度得0.5分，提供企业审计质量管理缺陷识别与整改方面的工作底稿或记录得0.5分，本项最高得1分。</w:t>
            </w:r>
            <w:r/>
          </w:p>
        </w:tc>
      </w:tr>
      <w:tr>
        <w:trPr>
          <w:trHeight w:val="85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bCs/>
                <w:color w:val="auto"/>
                <w:sz w:val="22"/>
                <w:szCs w:val="22"/>
                <w:highlight w:val="none"/>
                <w:lang w:val="en-US" w:eastAsia="zh-CN"/>
              </w:rPr>
              <w:t xml:space="preserve">风险承担能力水平</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根据投标人提供的遇到突发或临时增加服务内容时是否能积极响应并制定全面完善的应急措施（突发事件包括临时增加委托内容、项目组人员变动等情况），内容完整且措施合理、有效的得2分，内容及措施一般的得1分，其他得0分。</w:t>
            </w:r>
            <w:r/>
          </w:p>
        </w:tc>
      </w:tr>
      <w:tr>
        <w:trPr>
          <w:trHeight w:val="4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rFonts w:hint="eastAsia" w:ascii="宋体" w:hAnsi="宋体" w:cs="宋体"/>
                <w:i w:val="0"/>
                <w:iCs w:val="0"/>
                <w:color w:val="auto"/>
                <w:sz w:val="22"/>
                <w:szCs w:val="22"/>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bCs/>
                <w:color w:val="auto"/>
                <w:sz w:val="22"/>
                <w:szCs w:val="22"/>
                <w:highlight w:val="none"/>
                <w:lang w:val="en-US" w:eastAsia="zh-CN"/>
              </w:rPr>
              <w:t xml:space="preserve">信息安全管理</w:t>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50" w:type="dxa"/>
            <w:vAlign w:val="center"/>
            <w:textDirection w:val="lrTb"/>
            <w:noWrap w:val="false"/>
          </w:tcPr>
          <w:p>
            <w:pPr>
              <w:jc w:val="both"/>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投标人在投标承诺函中承诺对执行业务过程中知悉的被审计企业商业秘密和资料严加保密，不对外泄露的得1分，未承诺的不得分。</w:t>
            </w:r>
            <w:r/>
          </w:p>
        </w:tc>
      </w:tr>
    </w:tbl>
    <w:p>
      <w:pPr>
        <w:ind w:firstLine="562"/>
        <w:keepLines w:val="0"/>
        <w:keepNext w:val="0"/>
        <w:pageBreakBefore w:val="0"/>
        <w:spacing w:line="500" w:lineRule="exact"/>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（四）</w:t>
      </w:r>
      <w:r>
        <w:rPr>
          <w:rFonts w:hint="eastAsia" w:ascii="宋体" w:hAnsi="宋体" w:eastAsia="宋体" w:cs="宋体"/>
          <w:b/>
          <w:color w:val="auto"/>
          <w:sz w:val="28"/>
          <w:szCs w:val="28"/>
          <w:highlight w:val="none"/>
          <w:lang w:val="zh-CN"/>
        </w:rPr>
        <w:t xml:space="preserve">价格分</w:t>
      </w:r>
      <w:r>
        <w:rPr>
          <w:rFonts w:hint="eastAsia" w:ascii="宋体" w:hAnsi="宋体" w:eastAsia="宋体" w:cs="宋体"/>
          <w:b/>
          <w:color w:val="auto"/>
          <w:sz w:val="28"/>
          <w:szCs w:val="28"/>
          <w:highlight w:val="none"/>
        </w:rPr>
        <w:t xml:space="preserve">：15</w:t>
      </w:r>
      <w:r>
        <w:rPr>
          <w:rFonts w:hint="eastAsia" w:ascii="宋体" w:hAnsi="宋体" w:eastAsia="宋体" w:cs="宋体"/>
          <w:color w:val="auto"/>
          <w:sz w:val="28"/>
          <w:szCs w:val="28"/>
          <w:highlight w:val="none"/>
          <w:lang w:val="zh-CN"/>
        </w:rPr>
        <w:t xml:space="preserve">分</w:t>
      </w:r>
      <w:r/>
    </w:p>
    <w:p>
      <w:pPr>
        <w:ind w:firstLine="562"/>
        <w:keepLines w:val="0"/>
        <w:keepNext w:val="0"/>
        <w:pageBreakBefore w:val="0"/>
        <w:spacing w:line="500" w:lineRule="exact"/>
        <w:rPr>
          <w:rFonts w:hint="eastAsia" w:ascii="宋体" w:hAnsi="宋体" w:eastAsia="宋体" w:cs="宋体"/>
          <w:color w:val="auto"/>
          <w:sz w:val="28"/>
          <w:szCs w:val="28"/>
          <w:highlight w:val="none"/>
          <w:lang w:val="zh-CN"/>
        </w:rPr>
        <w:outlineLvl w:val="2"/>
      </w:pPr>
      <w:r>
        <w:rPr>
          <w:rFonts w:hint="eastAsia" w:ascii="宋体" w:hAnsi="宋体" w:eastAsia="宋体" w:cs="宋体"/>
          <w:color w:val="auto"/>
          <w:sz w:val="28"/>
          <w:szCs w:val="28"/>
          <w:highlight w:val="none"/>
          <w:lang w:val="en-US" w:eastAsia="zh-CN"/>
        </w:rPr>
        <w:t xml:space="preserve">各标包</w:t>
      </w:r>
      <w:r>
        <w:rPr>
          <w:rFonts w:hint="eastAsia" w:ascii="宋体" w:hAnsi="宋体" w:eastAsia="宋体" w:cs="宋体"/>
          <w:color w:val="auto"/>
          <w:sz w:val="28"/>
          <w:szCs w:val="28"/>
          <w:highlight w:val="none"/>
          <w:lang w:val="zh-CN"/>
        </w:rPr>
        <w:t xml:space="preserve">价格分统一采用低价优先法计算，即满足招标文件要求且投标价格最低的投标报价为评标基准价，其价格分为满分。其他投标人的价格分统一按照下列公式计算：</w:t>
      </w:r>
      <w:r/>
    </w:p>
    <w:p>
      <w:pPr>
        <w:ind w:firstLine="562"/>
        <w:keepLines w:val="0"/>
        <w:keepNext w:val="0"/>
        <w:pageBreakBefore w:val="0"/>
        <w:spacing w:line="500" w:lineRule="exact"/>
        <w:rPr>
          <w:rFonts w:hint="eastAsia" w:ascii="宋体" w:hAnsi="宋体" w:eastAsia="宋体" w:cs="宋体"/>
          <w:color w:val="auto"/>
          <w:sz w:val="28"/>
          <w:szCs w:val="28"/>
          <w:highlight w:val="none"/>
          <w:lang w:val="en-US" w:eastAsia="zh-CN"/>
        </w:rPr>
        <w:outlineLvl w:val="2"/>
      </w:pPr>
      <w:r>
        <w:rPr>
          <w:rFonts w:hint="eastAsia" w:ascii="宋体" w:hAnsi="宋体" w:eastAsia="宋体" w:cs="宋体"/>
          <w:color w:val="auto"/>
          <w:sz w:val="28"/>
          <w:szCs w:val="28"/>
          <w:highlight w:val="none"/>
          <w:lang w:val="zh-CN"/>
        </w:rPr>
        <w:t xml:space="preserve">投标报价得分=（评标基准价/投标报价）×</w:t>
      </w:r>
      <w:r>
        <w:rPr>
          <w:rFonts w:hint="eastAsia" w:ascii="宋体" w:hAnsi="宋体" w:eastAsia="宋体" w:cs="宋体"/>
          <w:color w:val="auto"/>
          <w:sz w:val="28"/>
          <w:szCs w:val="28"/>
          <w:highlight w:val="none"/>
          <w:lang w:val="en-US" w:eastAsia="zh-CN"/>
        </w:rPr>
        <w:t xml:space="preserve">15</w:t>
      </w:r>
      <w:r/>
    </w:p>
    <w:p>
      <w:pPr>
        <w:ind w:firstLine="562"/>
        <w:keepLines w:val="0"/>
        <w:keepNext w:val="0"/>
        <w:pageBreakBefore w:val="0"/>
        <w:spacing w:line="500" w:lineRule="exact"/>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ind w:firstLine="562"/>
        <w:keepLines w:val="0"/>
        <w:keepNext w:val="0"/>
        <w:pageBreakBefore w:val="0"/>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(五）政府采购政策功能落实</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1、小微型企业价格扣除</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（1）本项目对小型和微型企业服务给予</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0%的扣除价格，用扣除后的价格参与评审。</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（2）供应商需按照采购文件的要求提供相应的《小微企业声明函》。</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（3）企业标准请参照《关于印发中小企业划型标准规定的通知》（工信部联企业[2011]300号）文件规定自行填写。</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2、残疾人福利单位价格扣除</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（1）本项目对残疾人福利性单位视同小型、微型企业，给予</w:t>
      </w:r>
      <w:r>
        <w:rPr>
          <w:rFonts w:hint="eastAsia" w:ascii="宋体" w:hAnsi="宋体" w:eastAsia="宋体" w:cs="宋体"/>
          <w:color w:val="auto"/>
          <w:sz w:val="28"/>
          <w:szCs w:val="28"/>
          <w:highlight w:val="none"/>
          <w:lang w:val="en-US" w:eastAsia="zh-CN"/>
        </w:rPr>
        <w:t xml:space="preserve">20</w:t>
      </w:r>
      <w:r>
        <w:rPr>
          <w:rFonts w:hint="eastAsia" w:ascii="宋体" w:hAnsi="宋体" w:eastAsia="宋体" w:cs="宋体"/>
          <w:color w:val="auto"/>
          <w:sz w:val="28"/>
          <w:szCs w:val="28"/>
          <w:highlight w:val="none"/>
        </w:rPr>
        <w:t xml:space="preserve">%的价格扣除，用扣除后的价格参与评审。</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（2）残疾人福利单位需按照采购文件的要求提供《残疾人福利性单位声明函》。</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（3）残疾人福利单位标准请参照《关于促进残疾人就业政府采购政策的通知》（财库〔2017〕141号）。</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3、监狱和戒毒企业价格扣除</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（1）本项目对监狱和戒毒企业（简称监狱企业）视同小型、微型企业，给予</w:t>
      </w:r>
      <w:r>
        <w:rPr>
          <w:rFonts w:hint="eastAsia" w:ascii="宋体" w:hAnsi="宋体" w:eastAsia="宋体" w:cs="宋体"/>
          <w:color w:val="auto"/>
          <w:sz w:val="28"/>
          <w:szCs w:val="28"/>
          <w:highlight w:val="none"/>
          <w:lang w:val="en-US" w:eastAsia="zh-CN"/>
        </w:rPr>
        <w:t xml:space="preserve">20</w:t>
      </w:r>
      <w:r>
        <w:rPr>
          <w:rFonts w:hint="eastAsia" w:ascii="宋体" w:hAnsi="宋体" w:eastAsia="宋体" w:cs="宋体"/>
          <w:color w:val="auto"/>
          <w:sz w:val="28"/>
          <w:szCs w:val="28"/>
          <w:highlight w:val="none"/>
        </w:rPr>
        <w:t xml:space="preserve">%的价格扣除，用扣除后的价格参与评审。</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（3）监狱企业标准请参照《关于政府采购支持监狱企业发展有关问题的通知》（财库[2014]68号）。</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4、残疾人福利单位、监狱企业属于小型、微型企业的，不重复享受政策。</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6%的价格扣除，用扣除后的价格参与评审。投标人须在联合体各方共同投标协议或分包协议中明确，否则不得享受价格扣除。</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联合体各方均为小型、微型企业的，联合体视同为小型、微型企业按规定享受价格扣除。</w:t>
      </w:r>
      <w:r/>
    </w:p>
    <w:p>
      <w:pPr>
        <w:ind w:firstLine="562"/>
        <w:keepLines w:val="0"/>
        <w:keepNext w:val="0"/>
        <w:pageBreakBefore w:val="0"/>
        <w:spacing w:line="500" w:lineRule="exact"/>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（六）中标人</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评审结果)的确定</w:t>
      </w:r>
      <w:r/>
    </w:p>
    <w:p>
      <w:pPr>
        <w:ind w:firstLine="570"/>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采用综合评分法的，评审结果按评审后得分由高到低顺序排列。得分相同的，按投标报价由低到高顺序排列。得分且投标报价相同的并列。采取随机抽取的方式确定。</w:t>
      </w:r>
      <w:r/>
    </w:p>
    <w:p>
      <w:pPr>
        <w:ind w:firstLine="570"/>
        <w:keepLines w:val="0"/>
        <w:keepNext w:val="0"/>
        <w:pageBreakBefore w:val="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lang w:val="en-US" w:eastAsia="zh-CN"/>
        </w:rPr>
        <w:t xml:space="preserve">采购人</w:t>
      </w:r>
      <w:r>
        <w:rPr>
          <w:rFonts w:hint="eastAsia" w:ascii="宋体" w:hAnsi="宋体" w:eastAsia="宋体" w:cs="宋体"/>
          <w:bCs/>
          <w:color w:val="auto"/>
          <w:sz w:val="28"/>
          <w:szCs w:val="28"/>
          <w:highlight w:val="none"/>
        </w:rPr>
        <w:t xml:space="preserve">委托评标委员会直接确定</w:t>
      </w:r>
      <w:r>
        <w:rPr>
          <w:rFonts w:hint="eastAsia" w:ascii="宋体" w:hAnsi="宋体" w:eastAsia="宋体" w:cs="宋体"/>
          <w:bCs/>
          <w:color w:val="auto"/>
          <w:sz w:val="28"/>
          <w:szCs w:val="28"/>
          <w:highlight w:val="none"/>
          <w:lang w:val="en-US" w:eastAsia="zh-CN"/>
        </w:rPr>
        <w:t xml:space="preserve">每个标包</w:t>
      </w:r>
      <w:r>
        <w:rPr>
          <w:rFonts w:hint="eastAsia" w:ascii="宋体" w:hAnsi="宋体" w:eastAsia="宋体" w:cs="宋体"/>
          <w:bCs/>
          <w:color w:val="auto"/>
          <w:sz w:val="28"/>
          <w:szCs w:val="28"/>
          <w:highlight w:val="none"/>
        </w:rPr>
        <w:t xml:space="preserve">排名第一的中标候选人为</w:t>
      </w:r>
      <w:r>
        <w:rPr>
          <w:rFonts w:hint="eastAsia" w:ascii="宋体" w:hAnsi="宋体" w:eastAsia="宋体" w:cs="宋体"/>
          <w:bCs/>
          <w:color w:val="auto"/>
          <w:sz w:val="28"/>
          <w:szCs w:val="28"/>
          <w:highlight w:val="none"/>
          <w:lang w:val="en-US" w:eastAsia="zh-CN"/>
        </w:rPr>
        <w:t xml:space="preserve">该标包</w:t>
      </w:r>
      <w:r>
        <w:rPr>
          <w:rFonts w:hint="eastAsia" w:ascii="宋体" w:hAnsi="宋体" w:eastAsia="宋体" w:cs="宋体"/>
          <w:bCs/>
          <w:color w:val="auto"/>
          <w:sz w:val="28"/>
          <w:szCs w:val="28"/>
          <w:highlight w:val="none"/>
        </w:rPr>
        <w:t xml:space="preserve">中标人</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已经中标两个标包的，按招标文件规定顺序递补)</w:t>
      </w:r>
      <w:r>
        <w:rPr>
          <w:rFonts w:hint="eastAsia" w:ascii="宋体" w:hAnsi="宋体" w:eastAsia="宋体" w:cs="宋体"/>
          <w:bCs/>
          <w:color w:val="auto"/>
          <w:sz w:val="28"/>
          <w:szCs w:val="28"/>
          <w:highlight w:val="none"/>
          <w:lang w:eastAsia="zh-CN"/>
        </w:rPr>
        <w:t xml:space="preserve">。</w:t>
      </w:r>
      <w:r/>
    </w:p>
    <w:p>
      <w:pPr>
        <w:ind w:firstLine="562"/>
        <w:keepLines w:val="0"/>
        <w:keepNext w:val="0"/>
        <w:pageBreakBefore w:val="0"/>
        <w:spacing w:line="500" w:lineRule="exact"/>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（七）公告中标结果</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自确定中标人之日起2个工作日内，在</w:t>
      </w:r>
      <w:r>
        <w:rPr>
          <w:rFonts w:hint="eastAsia" w:ascii="宋体" w:hAnsi="宋体" w:cs="宋体"/>
          <w:color w:val="auto"/>
          <w:sz w:val="28"/>
          <w:szCs w:val="28"/>
          <w:highlight w:val="none"/>
          <w:lang w:eastAsia="zh-CN"/>
        </w:rPr>
        <w:t xml:space="preserve">江苏政府采购网</w:t>
      </w:r>
      <w:r>
        <w:rPr>
          <w:rFonts w:hint="eastAsia" w:ascii="宋体" w:hAnsi="宋体" w:eastAsia="宋体" w:cs="宋体"/>
          <w:color w:val="auto"/>
          <w:sz w:val="28"/>
          <w:szCs w:val="28"/>
          <w:highlight w:val="none"/>
        </w:rPr>
        <w:t xml:space="preserve">公告中标结果，公告期限为1个工作日。</w:t>
      </w:r>
      <w:r/>
    </w:p>
    <w:p>
      <w:pPr>
        <w:ind w:firstLine="562"/>
        <w:keepLines w:val="0"/>
        <w:keepNext w:val="0"/>
        <w:pageBreakBefore w:val="0"/>
        <w:spacing w:line="500" w:lineRule="exact"/>
        <w:rPr>
          <w:rFonts w:hint="eastAsia" w:ascii="宋体" w:hAnsi="宋体" w:eastAsia="宋体" w:cs="宋体"/>
          <w:b/>
          <w:color w:val="auto"/>
          <w:sz w:val="28"/>
          <w:szCs w:val="28"/>
          <w:highlight w:val="none"/>
        </w:rPr>
        <w:outlineLvl w:val="2"/>
      </w:pP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rPr>
        <w:t xml:space="preserve">）</w:t>
      </w:r>
      <w:r>
        <w:rPr>
          <w:rFonts w:hint="eastAsia" w:ascii="宋体" w:hAnsi="宋体" w:eastAsia="宋体" w:cs="宋体"/>
          <w:b/>
          <w:bCs/>
          <w:color w:val="auto"/>
          <w:sz w:val="28"/>
          <w:szCs w:val="28"/>
          <w:highlight w:val="none"/>
        </w:rPr>
        <w:t xml:space="preserve">发放中标通知书</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公告中标结果的同时，</w:t>
      </w:r>
      <w:r>
        <w:rPr>
          <w:rFonts w:hint="eastAsia" w:ascii="宋体" w:hAnsi="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向中标供应商发放中标通知书。</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中标通知书发出后，</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不得违法改变中标结果，中标供应商无正当理由不得放弃中标。</w:t>
      </w:r>
      <w:r/>
    </w:p>
    <w:p>
      <w:pPr>
        <w:ind w:firstLine="562"/>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）其他</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当中标人无正当理由放弃中标，被查实存在影响成交结果的违法行为等情形，</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有权按照政府采购相关法律法规的规定对其采取惩戒措施，包含但不限于列入采购失信人黑名单等措施。</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当中标人放弃成交、因不可抗力不能履行合同，或者被查实存在影响成交结果的违法行为等情形，不符合成交条件的，</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可以按照评标委员会提出的成交候选人名单排序依次确定其他成交候选人为成交人，也可以重新采购。</w:t>
      </w:r>
      <w:r/>
    </w:p>
    <w:p>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rPr>
          <w:rFonts w:hint="eastAsia" w:ascii="宋体" w:hAnsi="宋体" w:eastAsia="宋体" w:cs="宋体"/>
          <w:b/>
          <w:bCs w:val="0"/>
          <w:color w:val="auto"/>
          <w:sz w:val="36"/>
          <w:szCs w:val="36"/>
          <w:highlight w:val="none"/>
        </w:rPr>
        <w:t xml:space="preserve">第五部分  投标文件组成</w:t>
      </w:r>
      <w:r/>
    </w:p>
    <w:p>
      <w:pPr>
        <w:ind w:left="480"/>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left="480"/>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一、基本目录</w:t>
      </w:r>
      <w:r/>
    </w:p>
    <w:p>
      <w:pPr>
        <w:ind w:firstLine="56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1.开标一览表（苏</w:t>
      </w:r>
      <w:r>
        <w:rPr>
          <w:rFonts w:hint="eastAsia" w:ascii="宋体" w:hAnsi="宋体" w:cs="宋体"/>
          <w:bCs/>
          <w:color w:val="auto"/>
          <w:sz w:val="28"/>
          <w:szCs w:val="28"/>
          <w:highlight w:val="none"/>
          <w:lang w:eastAsia="zh-CN"/>
        </w:rPr>
        <w:t xml:space="preserve">采云</w:t>
      </w:r>
      <w:r>
        <w:rPr>
          <w:rFonts w:hint="eastAsia" w:ascii="宋体" w:hAnsi="宋体" w:eastAsia="宋体" w:cs="宋体"/>
          <w:bCs/>
          <w:color w:val="auto"/>
          <w:sz w:val="28"/>
          <w:szCs w:val="28"/>
          <w:highlight w:val="none"/>
        </w:rPr>
        <w:t xml:space="preserve">系统固定格式）；</w:t>
      </w:r>
      <w:r/>
    </w:p>
    <w:p>
      <w:pPr>
        <w:ind w:firstLine="56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w:t>
      </w:r>
      <w:r>
        <w:rPr>
          <w:rFonts w:hint="eastAsia" w:ascii="宋体" w:hAnsi="宋体" w:eastAsia="宋体" w:cs="宋体"/>
          <w:bCs/>
          <w:color w:val="auto"/>
          <w:sz w:val="28"/>
          <w:szCs w:val="28"/>
          <w:highlight w:val="none"/>
          <w:lang w:val="zh-CN"/>
        </w:rPr>
        <w:t xml:space="preserve">.</w:t>
      </w:r>
      <w:r>
        <w:rPr>
          <w:rFonts w:hint="eastAsia" w:ascii="宋体" w:hAnsi="宋体" w:eastAsia="宋体" w:cs="宋体"/>
          <w:color w:val="auto"/>
          <w:sz w:val="28"/>
          <w:szCs w:val="28"/>
          <w:highlight w:val="none"/>
        </w:rPr>
        <w:t xml:space="preserve">投标分项报价表</w:t>
      </w:r>
      <w:r>
        <w:rPr>
          <w:rFonts w:hint="eastAsia" w:ascii="宋体" w:hAnsi="宋体" w:eastAsia="宋体" w:cs="宋体"/>
          <w:bCs/>
          <w:color w:val="auto"/>
          <w:sz w:val="28"/>
          <w:szCs w:val="28"/>
          <w:highlight w:val="none"/>
          <w:lang w:val="zh-CN"/>
        </w:rPr>
        <w:t xml:space="preserve">（格式见附件</w:t>
      </w: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bCs/>
          <w:color w:val="auto"/>
          <w:sz w:val="28"/>
          <w:szCs w:val="28"/>
          <w:highlight w:val="none"/>
          <w:lang w:val="zh-CN"/>
        </w:rPr>
        <w:t xml:space="preserve">投标人情况一览表</w:t>
      </w:r>
      <w:r>
        <w:rPr>
          <w:rFonts w:hint="eastAsia" w:ascii="宋体" w:hAnsi="宋体" w:eastAsia="宋体" w:cs="宋体"/>
          <w:color w:val="auto"/>
          <w:sz w:val="28"/>
          <w:szCs w:val="28"/>
          <w:highlight w:val="none"/>
        </w:rPr>
        <w:t xml:space="preserve">（格式见附件2）；</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cs="宋体"/>
          <w:color w:val="auto"/>
          <w:sz w:val="28"/>
          <w:szCs w:val="28"/>
          <w:highlight w:val="none"/>
          <w:lang w:val="en-US" w:eastAsia="zh-CN"/>
        </w:rPr>
        <w:t xml:space="preserve">投标人</w:t>
      </w:r>
      <w:r>
        <w:rPr>
          <w:rFonts w:hint="eastAsia" w:ascii="宋体" w:hAnsi="宋体" w:eastAsia="宋体" w:cs="宋体"/>
          <w:color w:val="auto"/>
          <w:sz w:val="28"/>
          <w:szCs w:val="28"/>
          <w:highlight w:val="none"/>
        </w:rPr>
        <w:t xml:space="preserve">信用承诺书（格式见附件3）。</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5.商务部分正负偏离表</w:t>
      </w:r>
      <w:r>
        <w:rPr>
          <w:rFonts w:hint="eastAsia" w:ascii="宋体" w:hAnsi="宋体" w:eastAsia="宋体" w:cs="宋体"/>
          <w:color w:val="auto"/>
          <w:sz w:val="28"/>
          <w:szCs w:val="28"/>
          <w:highlight w:val="none"/>
        </w:rPr>
        <w:t xml:space="preserve">（格式见附件</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6.技术部分正负偏离表</w:t>
      </w:r>
      <w:r>
        <w:rPr>
          <w:rFonts w:hint="eastAsia" w:ascii="宋体" w:hAnsi="宋体" w:eastAsia="宋体" w:cs="宋体"/>
          <w:color w:val="auto"/>
          <w:sz w:val="28"/>
          <w:szCs w:val="28"/>
          <w:highlight w:val="none"/>
        </w:rPr>
        <w:t xml:space="preserve">（格式见附件</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w:t>
      </w:r>
      <w:r/>
    </w:p>
    <w:p>
      <w:pPr>
        <w:ind w:left="480"/>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二、资格审查内容</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w:t>
      </w:r>
      <w:r>
        <w:rPr>
          <w:rFonts w:hint="eastAsia" w:ascii="宋体" w:hAnsi="宋体" w:cs="宋体"/>
          <w:color w:val="auto"/>
          <w:sz w:val="28"/>
          <w:szCs w:val="28"/>
          <w:highlight w:val="none"/>
          <w:lang w:val="en-US" w:eastAsia="zh-CN"/>
        </w:rPr>
        <w:t xml:space="preserve">投标人</w:t>
      </w:r>
      <w:r>
        <w:rPr>
          <w:rFonts w:hint="eastAsia" w:ascii="宋体" w:hAnsi="宋体" w:eastAsia="宋体" w:cs="宋体"/>
          <w:color w:val="auto"/>
          <w:sz w:val="28"/>
          <w:szCs w:val="28"/>
          <w:highlight w:val="none"/>
        </w:rPr>
        <w:t xml:space="preserve">符合《</w:t>
      </w:r>
      <w:r>
        <w:rPr>
          <w:rFonts w:hint="eastAsia" w:ascii="宋体" w:hAnsi="宋体" w:eastAsia="宋体" w:cs="宋体"/>
          <w:bCs/>
          <w:color w:val="auto"/>
          <w:sz w:val="28"/>
          <w:szCs w:val="28"/>
          <w:highlight w:val="none"/>
        </w:rPr>
        <w:t xml:space="preserve">中华人民共和国政府采购法</w:t>
      </w:r>
      <w:r>
        <w:rPr>
          <w:rFonts w:hint="eastAsia" w:ascii="宋体" w:hAnsi="宋体" w:eastAsia="宋体" w:cs="宋体"/>
          <w:color w:val="auto"/>
          <w:sz w:val="28"/>
          <w:szCs w:val="28"/>
          <w:highlight w:val="none"/>
        </w:rPr>
        <w:t xml:space="preserve">》第二十二条规定条件的承诺函</w:t>
      </w:r>
      <w:r>
        <w:rPr>
          <w:rFonts w:hint="eastAsia" w:ascii="宋体" w:hAnsi="宋体" w:eastAsia="宋体" w:cs="宋体"/>
          <w:color w:val="auto"/>
          <w:sz w:val="28"/>
          <w:szCs w:val="28"/>
          <w:highlight w:val="none"/>
          <w:lang w:val="zh-CN"/>
        </w:rPr>
        <w:t xml:space="preserve">（格式见附件</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zh-CN"/>
        </w:rPr>
        <w:t xml:space="preserve">.法定代表人（</w:t>
      </w:r>
      <w:r>
        <w:rPr>
          <w:rFonts w:hint="eastAsia" w:ascii="宋体" w:hAnsi="宋体" w:eastAsia="宋体" w:cs="宋体"/>
          <w:color w:val="auto"/>
          <w:sz w:val="28"/>
          <w:szCs w:val="28"/>
          <w:highlight w:val="none"/>
          <w:lang w:val="en-US" w:eastAsia="zh-CN"/>
        </w:rPr>
        <w:t xml:space="preserve">负责人</w:t>
      </w:r>
      <w:r>
        <w:rPr>
          <w:rFonts w:hint="eastAsia" w:ascii="宋体" w:hAnsi="宋体" w:eastAsia="宋体" w:cs="宋体"/>
          <w:color w:val="auto"/>
          <w:sz w:val="28"/>
          <w:szCs w:val="28"/>
          <w:highlight w:val="none"/>
          <w:lang w:val="zh-CN"/>
        </w:rPr>
        <w:t xml:space="preserve">）身份证明书（格式见附件</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zh-CN"/>
        </w:rPr>
        <w:t xml:space="preserve">.法定代表人（</w:t>
      </w:r>
      <w:r>
        <w:rPr>
          <w:rFonts w:hint="eastAsia" w:ascii="宋体" w:hAnsi="宋体" w:eastAsia="宋体" w:cs="宋体"/>
          <w:color w:val="auto"/>
          <w:sz w:val="28"/>
          <w:szCs w:val="28"/>
          <w:highlight w:val="none"/>
          <w:lang w:val="en-US" w:eastAsia="zh-CN"/>
        </w:rPr>
        <w:t xml:space="preserve">负责人</w:t>
      </w:r>
      <w:r>
        <w:rPr>
          <w:rFonts w:hint="eastAsia" w:ascii="宋体" w:hAnsi="宋体" w:eastAsia="宋体" w:cs="宋体"/>
          <w:color w:val="auto"/>
          <w:sz w:val="28"/>
          <w:szCs w:val="28"/>
          <w:highlight w:val="none"/>
          <w:lang w:val="zh-CN"/>
        </w:rPr>
        <w:t xml:space="preserve">）授权委托书原件，投标代表本人身份证扫描件（格式见附件</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4.提供有效的营业执照</w:t>
      </w:r>
      <w:r>
        <w:rPr>
          <w:rFonts w:hint="eastAsia" w:ascii="宋体" w:hAnsi="宋体" w:eastAsia="宋体" w:cs="宋体"/>
          <w:color w:val="auto"/>
          <w:sz w:val="28"/>
          <w:szCs w:val="28"/>
          <w:highlight w:val="none"/>
          <w:lang w:val="en-US" w:eastAsia="zh-CN"/>
        </w:rPr>
        <w:t xml:space="preserve">副本</w:t>
      </w:r>
      <w:r>
        <w:rPr>
          <w:rFonts w:hint="eastAsia" w:ascii="宋体" w:hAnsi="宋体" w:eastAsia="宋体" w:cs="宋体"/>
          <w:color w:val="auto"/>
          <w:sz w:val="28"/>
          <w:szCs w:val="28"/>
          <w:highlight w:val="none"/>
          <w:lang w:val="zh-CN"/>
        </w:rPr>
        <w:t xml:space="preserve">扫描件加盖公章；</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5.投标人持有财政部门颁发的有效的会计师事务所执业证书</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500" w:lineRule="exact"/>
        <w:widowControl w:val="off"/>
        <w:rPr>
          <w:rFonts w:hint="eastAsia" w:ascii="宋体" w:hAnsi="宋体" w:eastAsia="宋体" w:cs="宋体"/>
          <w:b w:val="0"/>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b w:val="0"/>
          <w:bCs/>
          <w:color w:val="auto"/>
          <w:sz w:val="28"/>
          <w:szCs w:val="28"/>
          <w:highlight w:val="none"/>
          <w:lang w:val="en-US" w:eastAsia="zh-CN"/>
        </w:rPr>
        <w:t xml:space="preserve">投标人可以是具备相应资质的独立法人，也可以是具备相应资质的独立法人依法设立的非法人分支机构（如分所、分公司等）。若投标人以‘独立法人设立的非法人分支机构’名义参与投标，须提供其所属独立法人出具的唯一授权书（原件），授权书需明确：①同意该分支机构参与本项目投标；②对分支机构投标行为及合同履行过程中产生的法律责任、经济责任承担连带责任。投标时请按前述要求提供相应内容的授权书原件；</w:t>
      </w:r>
      <w:r/>
    </w:p>
    <w:p>
      <w:pPr>
        <w:numPr>
          <w:ilvl w:val="0"/>
          <w:numId w:val="0"/>
        </w:numPr>
        <w:ind w:firstLine="560"/>
        <w:keepLines w:val="0"/>
        <w:keepNext w:val="0"/>
        <w:pageBreakBefore w:val="0"/>
        <w:spacing w:line="500" w:lineRule="exact"/>
        <w:widowControl w:val="off"/>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bidi="ar-SA"/>
        </w:rPr>
        <w:t xml:space="preserve">7.</w:t>
      </w:r>
      <w:r>
        <w:rPr>
          <w:rFonts w:hint="eastAsia" w:ascii="宋体" w:hAnsi="宋体" w:eastAsia="宋体" w:cs="宋体"/>
          <w:b w:val="0"/>
          <w:bCs/>
          <w:color w:val="auto"/>
          <w:sz w:val="28"/>
          <w:szCs w:val="28"/>
          <w:highlight w:val="none"/>
          <w:lang w:val="en-US" w:eastAsia="zh-CN"/>
        </w:rPr>
        <w:t xml:space="preserve">投标人提供承诺书，承诺：中标后签订合同前须提供投标人（“独立法人”或“独立法人设立的非法人分支机构”）的营业执照副本原件、会计师事务所执业证书原件、资产负债表、利润表、现金流量表、所有者权益变动表及其附注原件供</w:t>
      </w:r>
      <w:r>
        <w:rPr>
          <w:rFonts w:hint="eastAsia" w:ascii="宋体" w:hAnsi="宋体" w:cs="宋体"/>
          <w:b w:val="0"/>
          <w:bCs/>
          <w:color w:val="auto"/>
          <w:sz w:val="28"/>
          <w:szCs w:val="28"/>
          <w:highlight w:val="none"/>
          <w:lang w:val="en-US" w:eastAsia="zh-CN"/>
        </w:rPr>
        <w:t xml:space="preserve">采购人</w:t>
      </w:r>
      <w:r>
        <w:rPr>
          <w:rFonts w:hint="eastAsia" w:ascii="宋体" w:hAnsi="宋体" w:eastAsia="宋体" w:cs="宋体"/>
          <w:b w:val="0"/>
          <w:bCs/>
          <w:color w:val="auto"/>
          <w:sz w:val="28"/>
          <w:szCs w:val="28"/>
          <w:highlight w:val="none"/>
          <w:lang w:val="en-US" w:eastAsia="zh-CN"/>
        </w:rPr>
        <w:t xml:space="preserve">查验（投标时提供该项内容承诺书）；</w:t>
      </w:r>
      <w:r/>
    </w:p>
    <w:p>
      <w:pPr>
        <w:ind w:firstLine="560"/>
        <w:keepLines w:val="0"/>
        <w:keepNext w:val="0"/>
        <w:pageBreakBefore w:val="0"/>
        <w:spacing w:line="500" w:lineRule="exact"/>
        <w:widowControl w:val="off"/>
        <w:rPr>
          <w:rFonts w:hint="eastAsia" w:ascii="宋体" w:hAnsi="宋体" w:eastAsia="宋体" w:cs="宋体"/>
          <w:b w:val="0"/>
          <w:bCs/>
          <w:color w:val="auto"/>
          <w:sz w:val="28"/>
          <w:szCs w:val="28"/>
          <w:highlight w:val="yellow"/>
          <w:lang w:val="en-US" w:eastAsia="zh-CN"/>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val="en-US" w:eastAsia="zh-CN" w:bidi="ar-SA"/>
        </w:rPr>
        <w:t xml:space="preserve">包一</w:t>
      </w:r>
      <w:r>
        <w:rPr>
          <w:rFonts w:hint="eastAsia" w:ascii="宋体" w:hAnsi="宋体" w:eastAsia="宋体" w:cs="宋体"/>
          <w:color w:val="auto"/>
          <w:sz w:val="28"/>
          <w:szCs w:val="28"/>
          <w:highlight w:val="none"/>
          <w:lang w:val="zh-CN" w:eastAsia="zh-CN" w:bidi="ar-SA"/>
        </w:rPr>
        <w:t xml:space="preserve">～</w:t>
      </w:r>
      <w:r>
        <w:rPr>
          <w:rFonts w:hint="eastAsia" w:ascii="宋体" w:hAnsi="宋体" w:eastAsia="宋体" w:cs="宋体"/>
          <w:color w:val="auto"/>
          <w:sz w:val="28"/>
          <w:szCs w:val="28"/>
          <w:highlight w:val="none"/>
          <w:lang w:val="en-US" w:eastAsia="zh-CN" w:bidi="ar-SA"/>
        </w:rPr>
        <w:t xml:space="preserve">包</w:t>
      </w:r>
      <w:r>
        <w:rPr>
          <w:rFonts w:hint="eastAsia" w:ascii="宋体" w:hAnsi="宋体" w:cs="宋体"/>
          <w:color w:val="auto"/>
          <w:sz w:val="28"/>
          <w:szCs w:val="28"/>
          <w:highlight w:val="none"/>
          <w:lang w:val="en-US" w:eastAsia="zh-CN" w:bidi="ar-SA"/>
        </w:rPr>
        <w:t xml:space="preserve">七</w:t>
      </w:r>
      <w:r>
        <w:rPr>
          <w:rFonts w:hint="eastAsia" w:ascii="宋体" w:hAnsi="宋体" w:eastAsia="宋体" w:cs="宋体"/>
          <w:color w:val="auto"/>
          <w:sz w:val="28"/>
          <w:szCs w:val="28"/>
          <w:highlight w:val="none"/>
          <w:lang w:val="en-US" w:eastAsia="zh-CN" w:bidi="ar-SA"/>
        </w:rPr>
        <w:t xml:space="preserve">投标人必须是具有普通合伙或者特殊普通合伙性质，取得财政部和中国证监会从事证券备案文件的会计师事务所</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b w:val="0"/>
          <w:bCs/>
          <w:color w:val="auto"/>
          <w:sz w:val="28"/>
          <w:szCs w:val="28"/>
          <w:highlight w:val="none"/>
          <w:lang w:val="en-US" w:eastAsia="zh-CN"/>
        </w:rPr>
        <w:t xml:space="preserve">近三年没有被南通市国资委限制审计业务、没有发生重大违规行为，参与项目审计人员无行业惩戒等不良从业记录。提供承诺函。</w:t>
      </w:r>
      <w:r/>
    </w:p>
    <w:p>
      <w:pPr>
        <w:ind w:left="480"/>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三、符合性审查内容</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1.按采购文件第三部分项目需求“</w:t>
      </w:r>
      <w:r>
        <w:rPr>
          <w:rFonts w:hint="eastAsia" w:ascii="宋体" w:hAnsi="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bidi="ar-SA"/>
        </w:rPr>
        <w:t xml:space="preserve">采购需求中必须满足的实质性要求</w:t>
      </w:r>
      <w:r>
        <w:rPr>
          <w:rFonts w:hint="eastAsia" w:ascii="宋体" w:hAnsi="宋体" w:eastAsia="宋体" w:cs="宋体"/>
          <w:color w:val="auto"/>
          <w:sz w:val="28"/>
          <w:szCs w:val="28"/>
          <w:highlight w:val="none"/>
        </w:rPr>
        <w:t xml:space="preserve">”要求提供。</w:t>
      </w:r>
      <w:r/>
    </w:p>
    <w:p>
      <w:pPr>
        <w:ind w:firstLine="562"/>
        <w:jc w:val="left"/>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四、商务技术文件</w:t>
      </w:r>
      <w:r/>
    </w:p>
    <w:p>
      <w:pPr>
        <w:ind w:firstLine="560"/>
        <w:keepLines w:val="0"/>
        <w:keepNext w:val="0"/>
        <w:pageBreakBefore w:val="0"/>
        <w:spacing w:line="500" w:lineRule="exact"/>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val="zh-CN"/>
        </w:rPr>
        <w:t xml:space="preserve">商务技术评分标准中须提供的相关得分佐证材料；</w:t>
      </w:r>
      <w:r/>
    </w:p>
    <w:p>
      <w:pPr>
        <w:contextualSpacing/>
        <w:ind w:firstLine="560"/>
        <w:keepLines w:val="0"/>
        <w:keepNext w:val="0"/>
        <w:pageBreakBefore w:val="0"/>
        <w:spacing w:line="500" w:lineRule="exact"/>
        <w:widowControl w:val="off"/>
        <w:rPr>
          <w:rFonts w:hint="eastAsia" w:ascii="宋体" w:hAnsi="宋体" w:eastAsia="宋体" w:cs="宋体"/>
          <w:bCs/>
          <w:color w:val="auto"/>
          <w:sz w:val="28"/>
          <w:szCs w:val="28"/>
          <w:highlight w:val="none"/>
          <w:lang w:val="zh-CN"/>
        </w:rPr>
      </w:pPr>
      <w:r>
        <w:rPr>
          <w:rFonts w:hint="eastAsia" w:ascii="宋体" w:hAnsi="宋体" w:eastAsia="宋体" w:cs="宋体"/>
          <w:bCs/>
          <w:color w:val="auto"/>
          <w:sz w:val="28"/>
          <w:szCs w:val="28"/>
          <w:highlight w:val="none"/>
        </w:rPr>
        <w:t xml:space="preserve">2.</w:t>
      </w:r>
      <w:r>
        <w:rPr>
          <w:rFonts w:hint="eastAsia" w:ascii="宋体" w:hAnsi="宋体" w:eastAsia="宋体" w:cs="宋体"/>
          <w:bCs/>
          <w:color w:val="auto"/>
          <w:sz w:val="28"/>
          <w:szCs w:val="28"/>
          <w:highlight w:val="none"/>
          <w:lang w:val="zh-CN"/>
        </w:rPr>
        <w:t xml:space="preserve">投标人认为需要提交的其他商务技术材料。</w:t>
      </w:r>
      <w:r/>
    </w:p>
    <w:p>
      <w:pPr>
        <w:ind w:firstLine="562"/>
        <w:jc w:val="left"/>
        <w:keepLines w:val="0"/>
        <w:keepNext w:val="0"/>
        <w:pageBreakBefore w:val="0"/>
        <w:spacing w:line="50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五、企业折扣</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1.小微</w:t>
      </w:r>
      <w:r>
        <w:rPr>
          <w:rFonts w:hint="eastAsia" w:ascii="宋体" w:hAnsi="宋体" w:eastAsia="宋体" w:cs="宋体"/>
          <w:color w:val="auto"/>
          <w:sz w:val="28"/>
          <w:szCs w:val="28"/>
          <w:highlight w:val="none"/>
          <w:lang w:val="zh-CN"/>
        </w:rPr>
        <w:t xml:space="preserve">企业声明函（格式见附件</w:t>
      </w: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zh-CN"/>
        </w:rPr>
        <w:t xml:space="preserve">残疾人福利性单位声明函（格式见附件</w:t>
      </w: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lang w:val="zh-CN"/>
        </w:rPr>
        <w:t xml:space="preserve">）；</w:t>
      </w:r>
      <w:r/>
    </w:p>
    <w:p>
      <w:pPr>
        <w:ind w:firstLine="560"/>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lang w:val="zh-CN"/>
        </w:rPr>
        <w:t xml:space="preserve">监狱和戒毒企业证</w:t>
      </w:r>
      <w:r>
        <w:rPr>
          <w:rFonts w:hint="eastAsia" w:ascii="宋体" w:hAnsi="宋体" w:eastAsia="宋体" w:cs="宋体"/>
          <w:bCs/>
          <w:color w:val="auto"/>
          <w:sz w:val="28"/>
          <w:szCs w:val="28"/>
          <w:highlight w:val="none"/>
        </w:rPr>
        <w:t xml:space="preserve">明材料（格式见附</w:t>
      </w:r>
      <w:r>
        <w:rPr>
          <w:rFonts w:hint="eastAsia" w:ascii="宋体" w:hAnsi="宋体" w:eastAsia="宋体" w:cs="宋体"/>
          <w:color w:val="auto"/>
          <w:sz w:val="28"/>
          <w:szCs w:val="28"/>
          <w:highlight w:val="none"/>
          <w:lang w:val="zh-CN"/>
        </w:rPr>
        <w:t xml:space="preserve">件</w:t>
      </w:r>
      <w:r>
        <w:rPr>
          <w:rFonts w:hint="eastAsia" w:ascii="宋体" w:hAnsi="宋体" w:eastAsia="宋体" w:cs="宋体"/>
          <w:color w:val="auto"/>
          <w:sz w:val="28"/>
          <w:szCs w:val="28"/>
          <w:highlight w:val="none"/>
          <w:lang w:val="en-US" w:eastAsia="zh-CN"/>
        </w:rPr>
        <w:t xml:space="preserve">11</w:t>
      </w:r>
      <w:r>
        <w:rPr>
          <w:rFonts w:hint="eastAsia" w:ascii="宋体" w:hAnsi="宋体" w:eastAsia="宋体" w:cs="宋体"/>
          <w:color w:val="auto"/>
          <w:sz w:val="28"/>
          <w:szCs w:val="28"/>
          <w:highlight w:val="none"/>
          <w:lang w:val="zh-CN"/>
        </w:rPr>
        <w:t xml:space="preserve">）；</w:t>
      </w:r>
      <w:r/>
    </w:p>
    <w:p>
      <w:pPr>
        <w:spacing w:line="300" w:lineRule="auto"/>
        <w:rPr>
          <w:rFonts w:hint="eastAsia" w:ascii="宋体" w:hAnsi="宋体" w:eastAsia="宋体" w:cs="宋体"/>
          <w:color w:val="auto"/>
          <w:sz w:val="32"/>
          <w:szCs w:val="32"/>
          <w:highlight w:val="none"/>
          <w:lang w:val="zh-CN"/>
        </w:rPr>
        <w:sectPr>
          <w:footnotePr/>
          <w:endnotePr/>
          <w:type w:val="nextPage"/>
          <w:pgSz w:w="11907" w:h="16839" w:orient="portrait"/>
          <w:pgMar w:top="1440" w:right="1800" w:bottom="1440" w:left="1800" w:header="720" w:footer="720" w:gutter="0"/>
          <w:cols w:num="1" w:sep="0" w:space="720" w:equalWidth="1"/>
          <w:docGrid w:linePitch="360"/>
        </w:sectPr>
        <w:outlineLvl w:val="0"/>
      </w:pPr>
      <w:r>
        <w:rPr>
          <w:rFonts w:hint="eastAsia" w:ascii="宋体" w:hAnsi="宋体" w:eastAsia="宋体" w:cs="宋体"/>
          <w:color w:val="auto"/>
          <w:sz w:val="32"/>
          <w:szCs w:val="32"/>
          <w:highlight w:val="none"/>
          <w:lang w:val="zh-CN"/>
        </w:rPr>
        <w:br w:type="page" w:clear="all"/>
      </w:r>
      <w:r/>
    </w:p>
    <w:p>
      <w:pPr>
        <w:rPr>
          <w:rFonts w:hint="eastAsia" w:ascii="宋体" w:hAnsi="宋体" w:eastAsia="宋体" w:cs="宋体"/>
          <w:color w:val="auto"/>
          <w:sz w:val="32"/>
          <w:szCs w:val="32"/>
          <w:highlight w:val="none"/>
          <w:lang w:eastAsia="zh-CN"/>
        </w:rPr>
        <w:outlineLvl w:val="1"/>
      </w:pPr>
      <w:r>
        <w:rPr>
          <w:rFonts w:hint="eastAsia" w:ascii="宋体" w:hAnsi="宋体" w:eastAsia="宋体" w:cs="宋体"/>
          <w:color w:val="auto"/>
          <w:sz w:val="32"/>
          <w:szCs w:val="32"/>
          <w:highlight w:val="none"/>
          <w:lang w:val="zh-CN"/>
        </w:rPr>
        <w:t xml:space="preserve">附件</w:t>
      </w:r>
      <w:r>
        <w:rPr>
          <w:rFonts w:hint="eastAsia" w:ascii="宋体" w:hAnsi="宋体" w:eastAsia="宋体" w:cs="宋体"/>
          <w:color w:val="auto"/>
          <w:sz w:val="32"/>
          <w:szCs w:val="32"/>
          <w:highlight w:val="none"/>
          <w:lang w:val="en-US" w:eastAsia="zh-CN"/>
        </w:rPr>
        <w:t xml:space="preserve">1</w:t>
      </w:r>
      <w:r/>
    </w:p>
    <w:p>
      <w:pPr>
        <w:jc w:val="center"/>
        <w:spacing w:before="100" w:beforeAutospacing="1" w:after="100" w:afterAutospacing="1" w:line="500" w:lineRule="atLeas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分项报价明细表（服务类）</w:t>
      </w:r>
      <w:r/>
    </w:p>
    <w:p>
      <w:pPr>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投标人（加盖ca电子公章）：</w:t>
      </w:r>
      <w:r/>
    </w:p>
    <w:tbl>
      <w:tblPr>
        <w:tblStyle w:val="897"/>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919" w:hRule="exact"/>
        </w:trPr>
        <w:tc>
          <w:tcPr>
            <w:tcW w:w="971" w:type="dxa"/>
            <w:vAlign w:val="center"/>
            <w:textDirection w:val="lrTb"/>
            <w:noWrap w:val="false"/>
          </w:tcPr>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序号</w:t>
            </w:r>
            <w:r/>
          </w:p>
        </w:tc>
        <w:tc>
          <w:tcPr>
            <w:tcW w:w="1321" w:type="dxa"/>
            <w:vAlign w:val="center"/>
            <w:textDirection w:val="lrTb"/>
            <w:noWrap w:val="false"/>
          </w:tcPr>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名称</w:t>
            </w:r>
            <w:r/>
          </w:p>
        </w:tc>
        <w:tc>
          <w:tcPr>
            <w:tcW w:w="1417" w:type="dxa"/>
            <w:vAlign w:val="center"/>
            <w:textDirection w:val="lrTb"/>
            <w:noWrap w:val="false"/>
          </w:tcPr>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服务范围</w:t>
            </w:r>
            <w:r/>
          </w:p>
        </w:tc>
        <w:tc>
          <w:tcPr>
            <w:tcW w:w="1418" w:type="dxa"/>
            <w:vAlign w:val="center"/>
            <w:textDirection w:val="lrTb"/>
            <w:noWrap w:val="false"/>
          </w:tcPr>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服务要求</w:t>
            </w:r>
            <w:r/>
          </w:p>
        </w:tc>
        <w:tc>
          <w:tcPr>
            <w:tcW w:w="1275" w:type="dxa"/>
            <w:vAlign w:val="center"/>
            <w:textDirection w:val="lrTb"/>
            <w:noWrap w:val="false"/>
          </w:tcPr>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服务时间</w:t>
            </w:r>
            <w:r/>
          </w:p>
        </w:tc>
        <w:tc>
          <w:tcPr>
            <w:tcW w:w="1276" w:type="dxa"/>
            <w:vAlign w:val="center"/>
            <w:textDirection w:val="lrTb"/>
            <w:noWrap w:val="false"/>
          </w:tcPr>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服务标准</w:t>
            </w:r>
            <w:r/>
          </w:p>
        </w:tc>
        <w:tc>
          <w:tcPr>
            <w:tcW w:w="851" w:type="dxa"/>
            <w:vAlign w:val="center"/>
            <w:textDirection w:val="lrTb"/>
            <w:noWrap w:val="false"/>
          </w:tcPr>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金额</w:t>
            </w:r>
            <w:r/>
          </w:p>
        </w:tc>
        <w:tc>
          <w:tcPr>
            <w:tcW w:w="1151" w:type="dxa"/>
            <w:vAlign w:val="center"/>
            <w:textDirection w:val="lrTb"/>
            <w:noWrap w:val="false"/>
          </w:tcPr>
          <w:p>
            <w:pPr>
              <w:ind w:firstLine="105"/>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备注</w:t>
            </w:r>
            <w:r/>
          </w:p>
        </w:tc>
      </w:tr>
      <w:tr>
        <w:trPr>
          <w:cantSplit/>
          <w:jc w:val="center"/>
          <w:trHeight w:val="479"/>
        </w:trPr>
        <w:tc>
          <w:tcPr>
            <w:tcW w:w="971"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tcW w:w="1321"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17"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18"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5"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151"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jc w:val="center"/>
          <w:trHeight w:val="502"/>
        </w:trPr>
        <w:tc>
          <w:tcPr>
            <w:tcW w:w="971"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tcW w:w="1321"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17"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18"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5"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151"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jc w:val="center"/>
          <w:trHeight w:val="513"/>
        </w:trPr>
        <w:tc>
          <w:tcPr>
            <w:tcW w:w="971"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c>
          <w:tcPr>
            <w:tcW w:w="1321"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17"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18"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5"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151"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jc w:val="center"/>
          <w:trHeight w:val="513"/>
        </w:trPr>
        <w:tc>
          <w:tcPr>
            <w:tcW w:w="971"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p>
        </w:tc>
        <w:tc>
          <w:tcPr>
            <w:tcW w:w="1321"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17"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18"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5"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151"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jc w:val="center"/>
          <w:trHeight w:val="513"/>
        </w:trPr>
        <w:tc>
          <w:tcPr>
            <w:tcW w:w="971"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21"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17"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18"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5"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851"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151"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jc w:val="center"/>
          <w:trHeight w:val="419"/>
        </w:trPr>
        <w:tc>
          <w:tcPr>
            <w:tcW w:w="971"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合计</w:t>
            </w:r>
            <w:r/>
          </w:p>
        </w:tc>
        <w:tc>
          <w:tcPr>
            <w:gridSpan w:val="7"/>
            <w:tcW w:w="8709"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spacing w:line="300" w:lineRule="auto"/>
        <w:rPr>
          <w:rFonts w:hint="eastAsia" w:ascii="宋体" w:hAnsi="宋体" w:eastAsia="宋体" w:cs="宋体"/>
          <w:color w:val="auto"/>
          <w:sz w:val="32"/>
          <w:szCs w:val="32"/>
          <w:highlight w:val="none"/>
        </w:rPr>
        <w:sectPr>
          <w:footnotePr/>
          <w:endnotePr/>
          <w:type w:val="nextPage"/>
          <w:pgSz w:w="11907" w:h="16839" w:orient="portrait"/>
          <w:pgMar w:top="1440" w:right="1800" w:bottom="1440" w:left="1800" w:header="720" w:footer="720" w:gutter="0"/>
          <w:cols w:num="1" w:sep="0" w:space="720" w:equalWidth="1"/>
          <w:docGrid w:linePitch="360"/>
        </w:sectPr>
        <w:outlineLvl w:val="0"/>
      </w:pPr>
      <w:r>
        <w:rPr>
          <w:rFonts w:hint="eastAsia" w:ascii="宋体" w:hAnsi="宋体" w:eastAsia="宋体" w:cs="宋体"/>
          <w:color w:val="auto"/>
          <w:sz w:val="32"/>
          <w:szCs w:val="32"/>
          <w:highlight w:val="none"/>
        </w:rPr>
      </w:r>
      <w:r/>
    </w:p>
    <w:p>
      <w:pPr>
        <w:spacing w:line="300" w:lineRule="auto"/>
        <w:rPr>
          <w:rFonts w:hint="eastAsia" w:ascii="宋体" w:hAnsi="宋体" w:eastAsia="宋体" w:cs="宋体"/>
          <w:color w:val="auto"/>
          <w:sz w:val="32"/>
          <w:szCs w:val="32"/>
          <w:highlight w:val="none"/>
          <w:lang w:val="zh-CN" w:eastAsia="zh-CN"/>
        </w:rPr>
        <w:outlineLvl w:val="0"/>
      </w:pPr>
      <w:r>
        <w:rPr>
          <w:rFonts w:hint="eastAsia" w:ascii="宋体" w:hAnsi="宋体" w:eastAsia="宋体" w:cs="宋体"/>
          <w:color w:val="auto"/>
          <w:sz w:val="32"/>
          <w:szCs w:val="32"/>
          <w:highlight w:val="none"/>
        </w:rPr>
        <w:t xml:space="preserve">附件</w:t>
      </w:r>
      <w:r>
        <w:rPr>
          <w:rFonts w:hint="eastAsia" w:ascii="宋体" w:hAnsi="宋体" w:eastAsia="宋体" w:cs="宋体"/>
          <w:color w:val="auto"/>
          <w:sz w:val="32"/>
          <w:szCs w:val="32"/>
          <w:highlight w:val="none"/>
          <w:lang w:val="en-US" w:eastAsia="zh-CN"/>
        </w:rPr>
        <w:t xml:space="preserve">2</w:t>
      </w:r>
      <w:r/>
    </w:p>
    <w:p>
      <w:pPr>
        <w:contextualSpacing/>
        <w:jc w:val="center"/>
        <w:spacing w:line="300" w:lineRule="auto"/>
        <w:tabs>
          <w:tab w:val="left" w:pos="126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投标人情况一览表</w:t>
      </w:r>
      <w:r/>
    </w:p>
    <w:tbl>
      <w:tblPr>
        <w:tblStyle w:val="897"/>
        <w:tblW w:w="91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95"/>
        <w:gridCol w:w="765"/>
        <w:gridCol w:w="283"/>
        <w:gridCol w:w="1050"/>
        <w:gridCol w:w="567"/>
        <w:gridCol w:w="946"/>
        <w:gridCol w:w="1263"/>
        <w:gridCol w:w="61"/>
        <w:gridCol w:w="1212"/>
        <w:gridCol w:w="168"/>
        <w:gridCol w:w="1438"/>
      </w:tblGrid>
      <w:tr>
        <w:trPr>
          <w:trHeight w:val="397"/>
        </w:trPr>
        <w:tc>
          <w:tcPr>
            <w:gridSpan w:val="2"/>
            <w:tcW w:w="1412" w:type="dxa"/>
            <w:vAlign w:val="center"/>
            <w:textDirection w:val="lrTb"/>
            <w:noWrap w:val="false"/>
          </w:tcPr>
          <w:p>
            <w:pPr>
              <w:jc w:val="cente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p>
        </w:tc>
        <w:tc>
          <w:tcPr>
            <w:gridSpan w:val="10"/>
            <w:tcW w:w="7753"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97"/>
        </w:trPr>
        <w:tc>
          <w:tcPr>
            <w:gridSpan w:val="3"/>
            <w:tcW w:w="2177"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9"/>
            <w:tcW w:w="6988"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397"/>
        </w:trPr>
        <w:tc>
          <w:tcPr>
            <w:tcW w:w="817" w:type="dxa"/>
            <w:vAlign w:val="center"/>
            <w:vMerge w:val="restart"/>
            <w:textDirection w:val="lrTb"/>
            <w:noWrap w:val="false"/>
          </w:tcPr>
          <w:p>
            <w:pPr>
              <w:ind w:left="311" w:hanging="310"/>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p>
            <w:pPr>
              <w:ind w:left="311" w:hanging="310"/>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概况</w:t>
            </w:r>
            <w:r/>
          </w:p>
        </w:tc>
        <w:tc>
          <w:tcPr>
            <w:gridSpan w:val="2"/>
            <w:tcW w:w="1360" w:type="dxa"/>
            <w:vAlign w:val="center"/>
            <w:textDirection w:val="lrTb"/>
            <w:noWrap w:val="false"/>
          </w:tcPr>
          <w:p>
            <w:pPr>
              <w:jc w:val="cente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职工总数</w:t>
            </w:r>
            <w:r/>
          </w:p>
        </w:tc>
        <w:tc>
          <w:tcPr>
            <w:gridSpan w:val="2"/>
            <w:tcW w:w="1333" w:type="dxa"/>
            <w:vAlign w:val="center"/>
            <w:textDirection w:val="lrTb"/>
            <w:noWrap w:val="false"/>
          </w:tcPr>
          <w:p>
            <w:pPr>
              <w:jc w:val="right"/>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w:t>
            </w:r>
            <w:r/>
          </w:p>
        </w:tc>
        <w:tc>
          <w:tcPr>
            <w:tcW w:w="567" w:type="dxa"/>
            <w:vAlign w:val="center"/>
            <w:vMerge w:val="restart"/>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上一年主要经济指标</w:t>
            </w:r>
            <w:r/>
          </w:p>
        </w:tc>
        <w:tc>
          <w:tcPr>
            <w:tcW w:w="946" w:type="dxa"/>
            <w:vAlign w:val="center"/>
            <w:textDirection w:val="lrTb"/>
            <w:noWrap w:val="false"/>
          </w:tcPr>
          <w:p>
            <w:pPr>
              <w:jc w:val="cente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营业额</w:t>
            </w:r>
            <w:r/>
          </w:p>
        </w:tc>
        <w:tc>
          <w:tcPr>
            <w:gridSpan w:val="2"/>
            <w:tcW w:w="1324"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380" w:type="dxa"/>
            <w:vAlign w:val="center"/>
            <w:textDirection w:val="lrTb"/>
            <w:noWrap w:val="false"/>
          </w:tcPr>
          <w:p>
            <w:pPr>
              <w:jc w:val="cente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实现利润</w:t>
            </w:r>
            <w:r/>
          </w:p>
        </w:tc>
        <w:tc>
          <w:tcPr>
            <w:tcW w:w="1438"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397"/>
        </w:trPr>
        <w:tc>
          <w:tcPr>
            <w:tcW w:w="817" w:type="dxa"/>
            <w:vAlign w:val="center"/>
            <w:vMerge w:val="continue"/>
            <w:textDirection w:val="lrTb"/>
            <w:noWrap w:val="false"/>
          </w:tcPr>
          <w:p>
            <w:pPr>
              <w:ind w:left="311" w:hanging="310"/>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360" w:type="dxa"/>
            <w:vAlign w:val="center"/>
            <w:textDirection w:val="lrTb"/>
            <w:noWrap w:val="false"/>
          </w:tcPr>
          <w:p>
            <w:pPr>
              <w:jc w:val="cente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流动资金</w:t>
            </w:r>
            <w:r/>
          </w:p>
        </w:tc>
        <w:tc>
          <w:tcPr>
            <w:gridSpan w:val="2"/>
            <w:tcW w:w="1333" w:type="dxa"/>
            <w:vAlign w:val="center"/>
            <w:textDirection w:val="lrTb"/>
            <w:noWrap w:val="false"/>
          </w:tcPr>
          <w:p>
            <w:pPr>
              <w:jc w:val="right"/>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6" w:type="dxa"/>
            <w:vAlign w:val="center"/>
            <w:vMerge w:val="restart"/>
            <w:textDirection w:val="lrTb"/>
            <w:noWrap w:val="false"/>
          </w:tcPr>
          <w:p>
            <w:pPr>
              <w:jc w:val="cente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w:t>
            </w:r>
            <w:r/>
          </w:p>
          <w:p>
            <w:pPr>
              <w:jc w:val="cente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tc>
        <w:tc>
          <w:tcPr>
            <w:gridSpan w:val="5"/>
            <w:tcW w:w="4142" w:type="dxa"/>
            <w:vAlign w:val="center"/>
            <w:textDirection w:val="lrTb"/>
            <w:noWrap w:val="false"/>
          </w:tcPr>
          <w:p>
            <w:pPr>
              <w:spacing w:before="120" w:after="120"/>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cantSplit/>
          <w:trHeight w:val="1292"/>
        </w:trPr>
        <w:tc>
          <w:tcPr>
            <w:tcW w:w="817" w:type="dxa"/>
            <w:vAlign w:val="center"/>
            <w:vMerge w:val="continue"/>
            <w:textDirection w:val="lrTb"/>
            <w:noWrap w:val="false"/>
          </w:tcPr>
          <w:p>
            <w:pPr>
              <w:ind w:left="311" w:hanging="310"/>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360" w:type="dxa"/>
            <w:vAlign w:val="center"/>
            <w:textDirection w:val="lrTb"/>
            <w:noWrap w:val="false"/>
          </w:tcPr>
          <w:p>
            <w:pPr>
              <w:jc w:val="cente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w:t>
            </w:r>
            <w:r/>
          </w:p>
          <w:p>
            <w:pPr>
              <w:jc w:val="cente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gridSpan w:val="2"/>
            <w:tcW w:w="1333" w:type="dxa"/>
            <w:vAlign w:val="center"/>
            <w:textDirection w:val="lrTb"/>
            <w:noWrap w:val="false"/>
          </w:tcPr>
          <w:p>
            <w:pPr>
              <w:ind w:right="-133" w:hanging="48"/>
              <w:tabs>
                <w:tab w:val="left" w:pos="-48" w:leader="none"/>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原值：</w:t>
            </w:r>
            <w:r/>
          </w:p>
          <w:p>
            <w:pPr>
              <w:ind w:hanging="48"/>
              <w:jc w:val="right"/>
              <w:tabs>
                <w:tab w:val="left" w:pos="-48" w:leader="none"/>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33" w:hanging="48"/>
              <w:tabs>
                <w:tab w:val="left" w:pos="-48" w:leader="none"/>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净值：</w:t>
            </w:r>
            <w:r/>
          </w:p>
          <w:p>
            <w:pPr>
              <w:ind w:hanging="48"/>
              <w:jc w:val="right"/>
              <w:tabs>
                <w:tab w:val="left" w:pos="-48" w:leader="none"/>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5"/>
            <w:tcW w:w="4142"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cantSplit/>
          <w:trHeight w:val="397"/>
        </w:trPr>
        <w:tc>
          <w:tcPr>
            <w:tcW w:w="817" w:type="dxa"/>
            <w:vAlign w:val="center"/>
            <w:vMerge w:val="continue"/>
            <w:textDirection w:val="lrTb"/>
            <w:noWrap w:val="false"/>
          </w:tcPr>
          <w:p>
            <w:pPr>
              <w:ind w:left="311" w:hanging="310"/>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360" w:type="dxa"/>
            <w:vAlign w:val="center"/>
            <w:textDirection w:val="lrTb"/>
            <w:noWrap w:val="false"/>
          </w:tcPr>
          <w:p>
            <w:pPr>
              <w:jc w:val="cente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占地面积</w:t>
            </w:r>
            <w:r/>
          </w:p>
        </w:tc>
        <w:tc>
          <w:tcPr>
            <w:gridSpan w:val="2"/>
            <w:tcW w:w="1333" w:type="dxa"/>
            <w:vAlign w:val="center"/>
            <w:textDirection w:val="lrTb"/>
            <w:noWrap w:val="false"/>
          </w:tcPr>
          <w:p>
            <w:pPr>
              <w:jc w:val="right"/>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w:t>
            </w:r>
            <w:r>
              <w:rPr>
                <w:rFonts w:hint="eastAsia" w:ascii="宋体" w:hAnsi="宋体" w:eastAsia="宋体" w:cs="宋体"/>
                <w:color w:val="auto"/>
                <w:sz w:val="24"/>
                <w:szCs w:val="24"/>
                <w:highlight w:val="none"/>
                <w:vertAlign w:val="superscript"/>
              </w:rPr>
              <w:t xml:space="preserve">2</w:t>
            </w:r>
            <w:r/>
          </w:p>
        </w:tc>
        <w:tc>
          <w:tcPr>
            <w:tcW w:w="567" w:type="dxa"/>
            <w:vAlign w:val="center"/>
            <w:vMerge w:val="continue"/>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5"/>
            <w:tcW w:w="4142" w:type="dxa"/>
            <w:vAlign w:val="center"/>
            <w:textDirection w:val="lrTb"/>
            <w:noWrap w:val="false"/>
          </w:tcPr>
          <w:p>
            <w:pPr>
              <w:spacing w:before="120" w:after="120"/>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r>
      <w:tr>
        <w:trPr>
          <w:cantSplit/>
          <w:trHeight w:val="397"/>
        </w:trPr>
        <w:tc>
          <w:tcPr>
            <w:tcW w:w="817" w:type="dxa"/>
            <w:vAlign w:val="center"/>
            <w:vMerge w:val="restart"/>
            <w:textDirection w:val="lrTb"/>
            <w:noWrap w:val="false"/>
          </w:tcPr>
          <w:p>
            <w:pPr>
              <w:ind w:left="311" w:hanging="310"/>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w:t>
            </w:r>
            <w:r/>
          </w:p>
          <w:p>
            <w:pPr>
              <w:ind w:left="311" w:hanging="310"/>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p>
          <w:p>
            <w:pPr>
              <w:ind w:left="311" w:hanging="310"/>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ind w:left="311" w:hanging="310"/>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本次投标</w:t>
            </w:r>
            <w:r/>
          </w:p>
          <w:p>
            <w:pPr>
              <w:jc w:val="center"/>
              <w:spacing w:before="60" w:after="60"/>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    号</w:t>
            </w:r>
            <w:r/>
          </w:p>
        </w:tc>
        <w:tc>
          <w:tcPr>
            <w:tcW w:w="946"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上年</w:t>
            </w:r>
            <w:r/>
          </w:p>
          <w:p>
            <w:pPr>
              <w:jc w:val="center"/>
              <w:spacing w:before="60" w:after="60"/>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产品技术先进水平</w:t>
            </w:r>
            <w:r/>
          </w:p>
        </w:tc>
        <w:tc>
          <w:tcPr>
            <w:gridSpan w:val="2"/>
            <w:tcW w:w="1273"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曾获何级何种奖励</w:t>
            </w:r>
            <w:r/>
          </w:p>
        </w:tc>
        <w:tc>
          <w:tcPr>
            <w:gridSpan w:val="2"/>
            <w:tcW w:w="1606" w:type="dxa"/>
            <w:vAlign w:val="center"/>
            <w:textDirection w:val="lrTb"/>
            <w:noWrap w:val="false"/>
          </w:tcPr>
          <w:p>
            <w:pPr>
              <w:jc w:val="center"/>
              <w:spacing w:before="60" w:after="60"/>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主要用户</w:t>
            </w:r>
            <w:r/>
          </w:p>
          <w:p>
            <w:pPr>
              <w:jc w:val="center"/>
              <w:spacing w:before="60" w:after="60"/>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r>
      <w:tr>
        <w:trPr>
          <w:cantSplit/>
          <w:trHeight w:val="397"/>
        </w:trPr>
        <w:tc>
          <w:tcPr>
            <w:tcW w:w="817" w:type="dxa"/>
            <w:vAlign w:val="center"/>
            <w:vMerge w:val="continue"/>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1643"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617"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6"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3"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273"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606"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397"/>
        </w:trPr>
        <w:tc>
          <w:tcPr>
            <w:tcW w:w="817" w:type="dxa"/>
            <w:vAlign w:val="center"/>
            <w:vMerge w:val="continue"/>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1643"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617"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6"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3"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273"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606"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397"/>
        </w:trPr>
        <w:tc>
          <w:tcPr>
            <w:tcW w:w="817" w:type="dxa"/>
            <w:vAlign w:val="center"/>
            <w:vMerge w:val="continue"/>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1643"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617"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6"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3"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273"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606"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397"/>
        </w:trPr>
        <w:tc>
          <w:tcPr>
            <w:tcW w:w="817" w:type="dxa"/>
            <w:vAlign w:val="center"/>
            <w:vMerge w:val="continue"/>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tcW w:w="1643"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617"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6"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3"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273"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606"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397"/>
        </w:trPr>
        <w:tc>
          <w:tcPr>
            <w:tcW w:w="817" w:type="dxa"/>
            <w:vAlign w:val="center"/>
            <w:vMerge w:val="restart"/>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其它</w:t>
            </w:r>
            <w:r/>
          </w:p>
        </w:tc>
        <w:tc>
          <w:tcPr>
            <w:gridSpan w:val="6"/>
            <w:tcW w:w="4206" w:type="dxa"/>
            <w:vAlign w:val="center"/>
            <w:textDirection w:val="lrTb"/>
            <w:noWrap w:val="false"/>
          </w:tcPr>
          <w:p>
            <w:pPr>
              <w:spacing w:before="60" w:after="60"/>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近3年完成及正在执行的合同中发生的由于供应商违约或部分违约而引起诉讼和受到索赔的案件具体情况及结果（须如实填写，若对此进行隐瞒，尔后又被</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或采购代理机构发现，或被它人举证成立，其投标资格将被取消）。</w:t>
            </w:r>
            <w:r/>
          </w:p>
        </w:tc>
        <w:tc>
          <w:tcPr>
            <w:gridSpan w:val="5"/>
            <w:tcW w:w="4142" w:type="dxa"/>
            <w:vAlign w:val="center"/>
            <w:textDirection w:val="lrTb"/>
            <w:noWrap w:val="false"/>
          </w:tcPr>
          <w:p>
            <w:pPr>
              <w:spacing w:before="60" w:after="60"/>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095"/>
        </w:trPr>
        <w:tc>
          <w:tcPr>
            <w:tcW w:w="817" w:type="dxa"/>
            <w:vAlign w:val="center"/>
            <w:vMerge w:val="continue"/>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6"/>
            <w:tcW w:w="4206"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5"/>
            <w:tcW w:w="4142" w:type="dxa"/>
            <w:vAlign w:val="center"/>
            <w:textDirection w:val="lrTb"/>
            <w:noWrap w:val="false"/>
          </w:tcPr>
          <w:p>
            <w:pPr>
              <w:tabs>
                <w:tab w:val="left" w:pos="43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color w:val="auto"/>
          <w:sz w:val="32"/>
          <w:szCs w:val="32"/>
          <w:highlight w:val="none"/>
          <w:lang w:val="zh-CN"/>
        </w:rPr>
        <w:sectPr>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eastAsia="宋体" w:cs="宋体"/>
          <w:color w:val="auto"/>
          <w:sz w:val="32"/>
          <w:szCs w:val="32"/>
          <w:highlight w:val="none"/>
        </w:rPr>
        <w:br w:type="page" w:clear="all"/>
      </w:r>
      <w:r/>
    </w:p>
    <w:p>
      <w:pPr>
        <w:contextualSpacing/>
        <w:ind w:firstLine="560"/>
        <w:spacing w:line="460" w:lineRule="exact"/>
        <w:tabs>
          <w:tab w:val="left" w:pos="1260" w:leader="none"/>
        </w:tabs>
        <w:rPr>
          <w:rFonts w:hint="eastAsia" w:ascii="宋体" w:hAnsi="宋体" w:eastAsia="宋体" w:cs="宋体"/>
          <w:bCs/>
          <w:color w:val="auto"/>
          <w:sz w:val="28"/>
          <w:szCs w:val="28"/>
          <w:highlight w:val="none"/>
          <w:lang w:bidi="ar"/>
        </w:rPr>
      </w:pPr>
      <w:r>
        <w:rPr>
          <w:rFonts w:hint="eastAsia" w:ascii="宋体" w:hAnsi="宋体" w:eastAsia="宋体" w:cs="宋体"/>
          <w:bCs/>
          <w:color w:val="auto"/>
          <w:sz w:val="28"/>
          <w:szCs w:val="28"/>
          <w:highlight w:val="none"/>
          <w:lang w:bidi="ar"/>
        </w:rPr>
        <w:t xml:space="preserve">附件3</w:t>
      </w:r>
      <w:r/>
    </w:p>
    <w:p>
      <w:pPr>
        <w:jc w:val="center"/>
        <w:spacing w:before="240" w:line="460" w:lineRule="exact"/>
        <w:rPr>
          <w:rFonts w:hint="eastAsia" w:ascii="宋体" w:hAnsi="宋体" w:eastAsia="宋体" w:cs="宋体"/>
          <w:b/>
          <w:color w:val="auto"/>
          <w:sz w:val="28"/>
          <w:szCs w:val="28"/>
          <w:highlight w:val="none"/>
          <w:lang w:bidi="ar"/>
        </w:rPr>
      </w:pPr>
      <w:r>
        <w:rPr>
          <w:rFonts w:hint="eastAsia" w:ascii="宋体" w:hAnsi="宋体" w:eastAsia="宋体" w:cs="宋体"/>
          <w:b/>
          <w:color w:val="auto"/>
          <w:sz w:val="28"/>
          <w:szCs w:val="28"/>
          <w:highlight w:val="none"/>
          <w:lang w:bidi="ar"/>
        </w:rPr>
        <w:t xml:space="preserve">投标人信用承诺书</w:t>
      </w:r>
      <w:r/>
    </w:p>
    <w:p>
      <w:pPr>
        <w:ind w:firstLine="560"/>
        <w:spacing w:line="460" w:lineRule="exact"/>
        <w:rPr>
          <w:rFonts w:hint="eastAsia" w:ascii="宋体" w:hAnsi="宋体" w:eastAsia="宋体" w:cs="宋体"/>
          <w:color w:val="auto"/>
          <w:sz w:val="28"/>
          <w:szCs w:val="28"/>
          <w:highlight w:val="none"/>
          <w:lang w:val="zh-CN" w:bidi="ar"/>
        </w:rPr>
      </w:pPr>
      <w:r>
        <w:rPr>
          <w:rFonts w:hint="eastAsia" w:ascii="宋体" w:hAnsi="宋体" w:eastAsia="宋体" w:cs="宋体"/>
          <w:color w:val="auto"/>
          <w:sz w:val="28"/>
          <w:szCs w:val="28"/>
          <w:highlight w:val="none"/>
          <w:lang w:val="zh-CN" w:bidi="ar"/>
        </w:rPr>
        <w:t xml:space="preserve">为营造公开、公平、公正的公共资源交易环境，树立诚信守法的供应商形象，本人代表本单位作出以下承诺：</w:t>
      </w:r>
      <w:r/>
    </w:p>
    <w:p>
      <w:pPr>
        <w:ind w:firstLine="560"/>
        <w:spacing w:line="460" w:lineRule="exact"/>
        <w:rPr>
          <w:rFonts w:hint="eastAsia" w:ascii="宋体" w:hAnsi="宋体" w:eastAsia="宋体" w:cs="宋体"/>
          <w:color w:val="auto"/>
          <w:sz w:val="28"/>
          <w:szCs w:val="28"/>
          <w:highlight w:val="none"/>
          <w:lang w:val="zh-CN" w:bidi="ar"/>
        </w:rPr>
      </w:pPr>
      <w:r>
        <w:rPr>
          <w:rFonts w:hint="eastAsia" w:ascii="宋体" w:hAnsi="宋体" w:eastAsia="宋体" w:cs="宋体"/>
          <w:color w:val="auto"/>
          <w:sz w:val="28"/>
          <w:szCs w:val="28"/>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60" w:lineRule="exact"/>
        <w:rPr>
          <w:rFonts w:hint="eastAsia" w:ascii="宋体" w:hAnsi="宋体" w:eastAsia="宋体" w:cs="宋体"/>
          <w:color w:val="auto"/>
          <w:sz w:val="28"/>
          <w:szCs w:val="28"/>
          <w:highlight w:val="none"/>
          <w:lang w:val="zh-CN" w:bidi="ar"/>
        </w:rPr>
      </w:pPr>
      <w:r>
        <w:rPr>
          <w:rFonts w:hint="eastAsia" w:ascii="宋体" w:hAnsi="宋体" w:eastAsia="宋体" w:cs="宋体"/>
          <w:color w:val="auto"/>
          <w:sz w:val="28"/>
          <w:szCs w:val="28"/>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560"/>
        <w:spacing w:line="460" w:lineRule="exact"/>
        <w:rPr>
          <w:rFonts w:hint="eastAsia" w:ascii="宋体" w:hAnsi="宋体" w:eastAsia="宋体" w:cs="宋体"/>
          <w:color w:val="auto"/>
          <w:sz w:val="28"/>
          <w:szCs w:val="28"/>
          <w:highlight w:val="none"/>
          <w:lang w:val="zh-CN" w:bidi="ar"/>
        </w:rPr>
      </w:pPr>
      <w:r>
        <w:rPr>
          <w:rFonts w:hint="eastAsia" w:ascii="宋体" w:hAnsi="宋体" w:eastAsia="宋体" w:cs="宋体"/>
          <w:color w:val="auto"/>
          <w:sz w:val="28"/>
          <w:szCs w:val="28"/>
          <w:highlight w:val="none"/>
          <w:lang w:val="zh-CN" w:bidi="ar"/>
        </w:rPr>
        <w:t xml:space="preserve">三、严格遵守即时信息公示规定，及时更新公共资源交易中心主体信息库中信息；</w:t>
      </w:r>
      <w:r/>
    </w:p>
    <w:p>
      <w:pPr>
        <w:ind w:firstLine="560"/>
        <w:spacing w:line="460" w:lineRule="exact"/>
        <w:rPr>
          <w:rFonts w:hint="eastAsia" w:ascii="宋体" w:hAnsi="宋体" w:eastAsia="宋体" w:cs="宋体"/>
          <w:color w:val="auto"/>
          <w:sz w:val="28"/>
          <w:szCs w:val="28"/>
          <w:highlight w:val="none"/>
          <w:lang w:val="zh-CN" w:bidi="ar"/>
        </w:rPr>
      </w:pPr>
      <w:r>
        <w:rPr>
          <w:rFonts w:hint="eastAsia" w:ascii="宋体" w:hAnsi="宋体" w:eastAsia="宋体" w:cs="宋体"/>
          <w:color w:val="auto"/>
          <w:sz w:val="28"/>
          <w:szCs w:val="28"/>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60" w:lineRule="exact"/>
        <w:rPr>
          <w:rFonts w:hint="eastAsia" w:ascii="宋体" w:hAnsi="宋体" w:eastAsia="宋体" w:cs="宋体"/>
          <w:color w:val="auto"/>
          <w:sz w:val="28"/>
          <w:szCs w:val="28"/>
          <w:highlight w:val="none"/>
          <w:lang w:val="zh-CN" w:bidi="ar"/>
        </w:rPr>
      </w:pPr>
      <w:r>
        <w:rPr>
          <w:rFonts w:hint="eastAsia" w:ascii="宋体" w:hAnsi="宋体" w:eastAsia="宋体" w:cs="宋体"/>
          <w:color w:val="auto"/>
          <w:sz w:val="28"/>
          <w:szCs w:val="28"/>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560"/>
        <w:spacing w:line="460" w:lineRule="exact"/>
        <w:rPr>
          <w:rFonts w:hint="eastAsia" w:ascii="宋体" w:hAnsi="宋体" w:eastAsia="宋体" w:cs="宋体"/>
          <w:color w:val="auto"/>
          <w:sz w:val="28"/>
          <w:szCs w:val="28"/>
          <w:highlight w:val="none"/>
          <w:lang w:val="zh-CN" w:bidi="ar"/>
        </w:rPr>
      </w:pPr>
      <w:r>
        <w:rPr>
          <w:rFonts w:hint="eastAsia" w:ascii="宋体" w:hAnsi="宋体" w:eastAsia="宋体" w:cs="宋体"/>
          <w:color w:val="auto"/>
          <w:sz w:val="28"/>
          <w:szCs w:val="28"/>
          <w:highlight w:val="none"/>
          <w:lang w:val="zh-CN" w:bidi="ar"/>
        </w:rPr>
        <w:t xml:space="preserve">六、自觉接受政府部门、行业组织、社会公众、新闻舆论等监督；</w:t>
      </w:r>
      <w:r/>
    </w:p>
    <w:p>
      <w:pPr>
        <w:ind w:firstLine="560"/>
        <w:spacing w:line="460" w:lineRule="exact"/>
        <w:rPr>
          <w:rFonts w:hint="eastAsia" w:ascii="宋体" w:hAnsi="宋体" w:eastAsia="宋体" w:cs="宋体"/>
          <w:color w:val="auto"/>
          <w:sz w:val="28"/>
          <w:szCs w:val="28"/>
          <w:highlight w:val="none"/>
          <w:lang w:val="zh-CN" w:bidi="ar"/>
        </w:rPr>
      </w:pPr>
      <w:r>
        <w:rPr>
          <w:rFonts w:hint="eastAsia" w:ascii="宋体" w:hAnsi="宋体" w:eastAsia="宋体" w:cs="宋体"/>
          <w:color w:val="auto"/>
          <w:sz w:val="28"/>
          <w:szCs w:val="28"/>
          <w:highlight w:val="none"/>
          <w:lang w:val="zh-CN" w:bidi="ar"/>
        </w:rPr>
        <w:t xml:space="preserve">七、上述承诺已向本单位员工作了宣传教育；</w:t>
      </w:r>
      <w:r/>
    </w:p>
    <w:p>
      <w:pPr>
        <w:ind w:firstLine="562"/>
        <w:spacing w:line="460" w:lineRule="exact"/>
        <w:rPr>
          <w:rFonts w:hint="eastAsia" w:ascii="宋体" w:hAnsi="宋体" w:eastAsia="宋体" w:cs="宋体"/>
          <w:b/>
          <w:color w:val="auto"/>
          <w:sz w:val="28"/>
          <w:szCs w:val="28"/>
          <w:highlight w:val="none"/>
          <w:lang w:val="zh-CN" w:bidi="ar"/>
        </w:rPr>
      </w:pPr>
      <w:r>
        <w:rPr>
          <w:rFonts w:hint="eastAsia" w:ascii="宋体" w:hAnsi="宋体" w:eastAsia="宋体" w:cs="宋体"/>
          <w:b/>
          <w:color w:val="auto"/>
          <w:sz w:val="28"/>
          <w:szCs w:val="28"/>
          <w:highlight w:val="none"/>
          <w:lang w:val="zh-CN" w:bidi="ar"/>
        </w:rPr>
        <w:t xml:space="preserve">如有违反上述承诺的不良行为，本单位同意将其予以上网公示。</w:t>
      </w:r>
      <w:r/>
    </w:p>
    <w:p>
      <w:pPr>
        <w:ind w:firstLine="308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080"/>
        <w:spacing w:line="460" w:lineRule="exact"/>
        <w:rPr>
          <w:rFonts w:hint="eastAsia" w:ascii="宋体" w:hAnsi="宋体" w:eastAsia="宋体" w:cs="宋体"/>
          <w:color w:val="auto"/>
          <w:sz w:val="28"/>
          <w:szCs w:val="28"/>
          <w:highlight w:val="none"/>
          <w:lang w:val="zh-CN" w:bidi="ar"/>
        </w:rPr>
      </w:pPr>
      <w:r>
        <w:rPr>
          <w:rFonts w:hint="eastAsia" w:ascii="宋体" w:hAnsi="宋体" w:cs="宋体"/>
          <w:color w:val="auto"/>
          <w:sz w:val="28"/>
          <w:szCs w:val="28"/>
          <w:highlight w:val="none"/>
          <w:lang w:val="en-US" w:eastAsia="zh-CN"/>
        </w:rPr>
        <w:t xml:space="preserve">投标人</w:t>
      </w:r>
      <w:r>
        <w:rPr>
          <w:rFonts w:hint="eastAsia" w:ascii="宋体" w:hAnsi="宋体" w:eastAsia="宋体" w:cs="宋体"/>
          <w:color w:val="auto"/>
          <w:sz w:val="28"/>
          <w:szCs w:val="28"/>
          <w:highlight w:val="none"/>
          <w:lang w:val="zh-CN" w:bidi="ar"/>
        </w:rPr>
        <w:t xml:space="preserve">全称(</w:t>
      </w:r>
      <w:r>
        <w:rPr>
          <w:rFonts w:hint="eastAsia" w:ascii="宋体" w:hAnsi="宋体" w:eastAsia="宋体" w:cs="宋体"/>
          <w:color w:val="auto"/>
          <w:sz w:val="28"/>
          <w:szCs w:val="28"/>
          <w:highlight w:val="none"/>
        </w:rPr>
        <w:t xml:space="preserve">加盖ca电子公章</w:t>
      </w:r>
      <w:r>
        <w:rPr>
          <w:rFonts w:hint="eastAsia" w:ascii="宋体" w:hAnsi="宋体" w:eastAsia="宋体" w:cs="宋体"/>
          <w:color w:val="auto"/>
          <w:sz w:val="28"/>
          <w:szCs w:val="28"/>
          <w:highlight w:val="none"/>
          <w:lang w:val="zh-CN" w:bidi="ar"/>
        </w:rPr>
        <w:t xml:space="preserve">)：</w:t>
      </w:r>
      <w:r/>
    </w:p>
    <w:p>
      <w:pPr>
        <w:ind w:firstLine="3080"/>
        <w:spacing w:line="460" w:lineRule="exact"/>
        <w:rPr>
          <w:rFonts w:hint="eastAsia" w:ascii="宋体" w:hAnsi="宋体" w:eastAsia="宋体" w:cs="宋体"/>
          <w:color w:val="auto"/>
          <w:sz w:val="28"/>
          <w:szCs w:val="28"/>
          <w:highlight w:val="none"/>
          <w:lang w:val="zh-CN" w:bidi="ar"/>
        </w:rPr>
      </w:pPr>
      <w:r>
        <w:rPr>
          <w:rFonts w:hint="eastAsia" w:ascii="宋体" w:hAnsi="宋体" w:eastAsia="宋体" w:cs="宋体"/>
          <w:color w:val="auto"/>
          <w:sz w:val="28"/>
          <w:szCs w:val="28"/>
          <w:highlight w:val="none"/>
          <w:lang w:val="zh-CN" w:bidi="ar"/>
        </w:rPr>
        <w:t xml:space="preserve">法定代表人（签字或</w:t>
      </w:r>
      <w:r>
        <w:rPr>
          <w:rFonts w:hint="eastAsia" w:ascii="宋体" w:hAnsi="宋体" w:eastAsia="宋体" w:cs="宋体"/>
          <w:color w:val="auto"/>
          <w:sz w:val="28"/>
          <w:szCs w:val="28"/>
          <w:highlight w:val="none"/>
        </w:rPr>
        <w:t xml:space="preserve">加盖ca电子公章</w:t>
      </w:r>
      <w:r>
        <w:rPr>
          <w:rFonts w:hint="eastAsia" w:ascii="宋体" w:hAnsi="宋体" w:eastAsia="宋体" w:cs="宋体"/>
          <w:color w:val="auto"/>
          <w:sz w:val="28"/>
          <w:szCs w:val="28"/>
          <w:highlight w:val="none"/>
          <w:lang w:val="zh-CN" w:bidi="ar"/>
        </w:rPr>
        <w:t xml:space="preserve">）：</w:t>
      </w:r>
      <w:r/>
    </w:p>
    <w:p>
      <w:pPr>
        <w:ind w:firstLine="3080"/>
        <w:spacing w:line="460" w:lineRule="exact"/>
        <w:rPr>
          <w:rFonts w:hint="eastAsia" w:ascii="宋体" w:hAnsi="宋体" w:eastAsia="宋体" w:cs="宋体"/>
          <w:color w:val="auto"/>
          <w:sz w:val="28"/>
          <w:szCs w:val="28"/>
          <w:highlight w:val="none"/>
          <w:lang w:val="zh-CN" w:bidi="ar"/>
        </w:rPr>
      </w:pPr>
      <w:r>
        <w:rPr>
          <w:rFonts w:hint="eastAsia" w:ascii="宋体" w:hAnsi="宋体" w:eastAsia="宋体" w:cs="宋体"/>
          <w:color w:val="auto"/>
          <w:sz w:val="28"/>
          <w:szCs w:val="28"/>
          <w:highlight w:val="none"/>
          <w:lang w:val="zh-CN" w:bidi="ar"/>
        </w:rPr>
        <w:t xml:space="preserve">时间：  年  月   日</w:t>
      </w:r>
      <w:r/>
    </w:p>
    <w:p>
      <w:pPr>
        <w:rPr>
          <w:rFonts w:hint="eastAsia" w:ascii="宋体" w:hAnsi="宋体" w:eastAsia="宋体" w:cs="宋体"/>
          <w:color w:val="auto"/>
          <w:sz w:val="32"/>
          <w:szCs w:val="32"/>
          <w:highlight w:val="none"/>
          <w:lang w:val="zh-CN"/>
        </w:rPr>
        <w:outlineLvl w:val="1"/>
      </w:pPr>
      <w:r>
        <w:rPr>
          <w:rFonts w:hint="eastAsia" w:ascii="宋体" w:hAnsi="宋体" w:eastAsia="宋体" w:cs="宋体"/>
          <w:color w:val="auto"/>
          <w:sz w:val="32"/>
          <w:szCs w:val="32"/>
          <w:highlight w:val="none"/>
          <w:lang w:val="zh-CN"/>
        </w:rPr>
      </w:r>
      <w:r/>
    </w:p>
    <w:p>
      <w:pPr>
        <w:rPr>
          <w:rFonts w:hint="eastAsia" w:ascii="宋体" w:hAnsi="宋体" w:eastAsia="宋体" w:cs="宋体"/>
          <w:color w:val="auto"/>
          <w:sz w:val="32"/>
          <w:szCs w:val="32"/>
          <w:highlight w:val="none"/>
          <w:lang w:val="zh-CN"/>
        </w:rPr>
        <w:outlineLvl w:val="1"/>
      </w:pPr>
      <w:r>
        <w:rPr>
          <w:rFonts w:hint="eastAsia" w:ascii="宋体" w:hAnsi="宋体" w:eastAsia="宋体" w:cs="宋体"/>
          <w:color w:val="auto"/>
          <w:sz w:val="32"/>
          <w:szCs w:val="32"/>
          <w:highlight w:val="none"/>
          <w:lang w:val="zh-CN"/>
        </w:rPr>
      </w:r>
      <w:r/>
    </w:p>
    <w:p>
      <w:pPr>
        <w:contextualSpacing/>
        <w:ind w:firstLine="600"/>
        <w:spacing w:line="460" w:lineRule="exact"/>
        <w:tabs>
          <w:tab w:val="left" w:pos="1260" w:leader="none"/>
        </w:tabs>
        <w:rPr>
          <w:rFonts w:hint="eastAsia" w:ascii="宋体" w:hAnsi="宋体" w:eastAsia="宋体" w:cs="宋体"/>
          <w:bCs/>
          <w:color w:val="auto"/>
          <w:sz w:val="30"/>
          <w:szCs w:val="30"/>
          <w:highlight w:val="none"/>
          <w:lang w:bidi="ar"/>
        </w:rPr>
        <w:sectPr>
          <w:headerReference w:type="default" r:id="rId12"/>
          <w:footerReference w:type="default" r:id="rId19"/>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eastAsia="宋体" w:cs="宋体"/>
          <w:bCs/>
          <w:color w:val="auto"/>
          <w:sz w:val="30"/>
          <w:szCs w:val="30"/>
          <w:highlight w:val="none"/>
          <w:lang w:bidi="ar"/>
        </w:rPr>
        <w:br w:type="page" w:clear="all"/>
      </w:r>
      <w:r/>
    </w:p>
    <w:p>
      <w:pPr>
        <w:contextualSpacing/>
        <w:spacing w:line="400" w:lineRule="exact"/>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附件</w:t>
      </w:r>
      <w:r>
        <w:rPr>
          <w:rFonts w:hint="eastAsia" w:ascii="宋体" w:hAnsi="宋体" w:eastAsia="宋体" w:cs="宋体"/>
          <w:color w:val="auto"/>
          <w:sz w:val="32"/>
          <w:szCs w:val="32"/>
          <w:highlight w:val="none"/>
          <w:lang w:val="en-US" w:eastAsia="zh-CN"/>
        </w:rPr>
        <w:t xml:space="preserve">4</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商务部分正负偏离表</w:t>
      </w:r>
      <w:r/>
    </w:p>
    <w:p>
      <w:pPr>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（由投标人据实填写，表格不够自行添加）</w:t>
      </w:r>
      <w:r/>
    </w:p>
    <w:tbl>
      <w:tblPr>
        <w:tblStyle w:val="89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contextualSpacing/>
        <w:spacing w:line="30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w:t>
      </w:r>
      <w:r/>
    </w:p>
    <w:p>
      <w:pPr>
        <w:contextualSpacing/>
        <w:ind w:firstLine="56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1.投标人提交的投标文件中与招标文件第三部分“项目需求”中的商务部分的要求，应逐条填列在偏离表中。</w:t>
      </w:r>
      <w:r/>
    </w:p>
    <w:p>
      <w:pPr>
        <w:contextualSpacing/>
        <w:ind w:firstLine="56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2.“偏离说明”一栏选择“正偏离”、“无偏离”、“负偏离”进行填写。正偏离、无偏离的确认和负偏离的是否响应招标文件，由评委认定。</w:t>
      </w:r>
      <w:r/>
    </w:p>
    <w:p>
      <w:pPr>
        <w:contextualSpacing/>
        <w:ind w:firstLine="56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3.投标人如果虚假响应，将被暂停参加南通市</w:t>
      </w:r>
      <w:r>
        <w:rPr>
          <w:rFonts w:hint="eastAsia" w:ascii="宋体" w:hAnsi="宋体" w:eastAsia="宋体" w:cs="宋体"/>
          <w:color w:val="auto"/>
          <w:sz w:val="28"/>
          <w:szCs w:val="28"/>
          <w:highlight w:val="none"/>
          <w:lang w:val="en-US" w:eastAsia="zh-CN"/>
        </w:rPr>
        <w:t xml:space="preserve">国资委</w:t>
      </w:r>
      <w:r>
        <w:rPr>
          <w:rFonts w:hint="eastAsia" w:ascii="宋体" w:hAnsi="宋体" w:eastAsia="宋体" w:cs="宋体"/>
          <w:color w:val="auto"/>
          <w:sz w:val="28"/>
          <w:szCs w:val="28"/>
          <w:highlight w:val="none"/>
        </w:rPr>
        <w:t xml:space="preserve">组织政府采购活动。</w:t>
      </w:r>
      <w:r/>
    </w:p>
    <w:p>
      <w:pPr>
        <w:contextualSpacing/>
        <w:ind w:firstLine="560"/>
        <w:spacing w:line="30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4.供应商若提供其他增值服务，可以在表中自行据实填写。</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spacing w:line="400" w:lineRule="exact"/>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 xml:space="preserve">附件</w:t>
      </w:r>
      <w:r>
        <w:rPr>
          <w:rFonts w:hint="eastAsia" w:ascii="宋体" w:hAnsi="宋体" w:eastAsia="宋体" w:cs="宋体"/>
          <w:color w:val="auto"/>
          <w:sz w:val="32"/>
          <w:szCs w:val="32"/>
          <w:highlight w:val="none"/>
          <w:lang w:val="en-US" w:eastAsia="zh-CN"/>
        </w:rPr>
        <w:t xml:space="preserve">5</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技术部分正负偏离表</w:t>
      </w:r>
      <w:r/>
    </w:p>
    <w:p>
      <w:pPr>
        <w:ind w:firstLine="56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（由投标人据实填写，表格不够自行添加）</w:t>
      </w:r>
      <w:r/>
    </w:p>
    <w:tbl>
      <w:tblPr>
        <w:tblStyle w:val="897"/>
        <w:tblW w:w="5242" w:type="pct"/>
        <w:tblInd w:w="-246"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99"/>
        <w:gridCol w:w="2190"/>
        <w:gridCol w:w="1942"/>
        <w:gridCol w:w="2512"/>
        <w:gridCol w:w="1393"/>
      </w:tblGrid>
      <w:tr>
        <w:trPr>
          <w:trHeight w:val="994"/>
        </w:trPr>
        <w:tc>
          <w:tcPr>
            <w:tcBorders>
              <w:top w:val="single" w:color="auto" w:sz="12" w:space="0"/>
              <w:left w:val="single" w:color="auto" w:sz="12" w:space="0"/>
              <w:bottom w:val="single" w:color="auto" w:sz="6" w:space="0"/>
              <w:right w:val="single" w:color="auto" w:sz="6" w:space="0"/>
            </w:tcBorders>
            <w:tcW w:w="503" w:type="pct"/>
            <w:vAlign w:val="center"/>
            <w:textDirection w:val="lrTb"/>
            <w:noWrap w:val="false"/>
          </w:tcPr>
          <w:p>
            <w:pPr>
              <w:jc w:val="center"/>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1225" w:type="pct"/>
            <w:vAlign w:val="center"/>
            <w:textDirection w:val="lrTb"/>
            <w:noWrap w:val="false"/>
          </w:tcPr>
          <w:p>
            <w:pPr>
              <w:jc w:val="center"/>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86" w:type="pct"/>
            <w:vAlign w:val="center"/>
            <w:textDirection w:val="lrTb"/>
            <w:noWrap w:val="false"/>
          </w:tcPr>
          <w:p>
            <w:pPr>
              <w:jc w:val="center"/>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05" w:type="pct"/>
            <w:vAlign w:val="center"/>
            <w:textDirection w:val="lrTb"/>
            <w:noWrap w:val="false"/>
          </w:tcPr>
          <w:p>
            <w:pPr>
              <w:jc w:val="center"/>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投标文件响应情况</w:t>
            </w:r>
            <w:r/>
          </w:p>
        </w:tc>
        <w:tc>
          <w:tcPr>
            <w:tcBorders>
              <w:top w:val="single" w:color="auto" w:sz="12" w:space="0"/>
              <w:left w:val="single" w:color="auto" w:sz="6" w:space="0"/>
              <w:bottom w:val="single" w:color="auto" w:sz="6" w:space="0"/>
              <w:right w:val="single" w:color="auto" w:sz="12" w:space="0"/>
            </w:tcBorders>
            <w:tcW w:w="779" w:type="pct"/>
            <w:vAlign w:val="top"/>
            <w:textDirection w:val="lrTb"/>
            <w:noWrap w:val="false"/>
          </w:tcPr>
          <w:p>
            <w:pPr>
              <w:jc w:val="center"/>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503" w:type="pct"/>
            <w:vAlign w:val="top"/>
            <w:textDirection w:val="lrTb"/>
            <w:noWrap w:val="false"/>
          </w:tcPr>
          <w:p>
            <w:pPr>
              <w:jc w:val="center"/>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tcBorders>
              <w:top w:val="single" w:color="auto" w:sz="6" w:space="0"/>
              <w:left w:val="single" w:color="auto" w:sz="6" w:space="0"/>
              <w:bottom w:val="single" w:color="auto" w:sz="6" w:space="0"/>
              <w:right w:val="single" w:color="auto" w:sz="6" w:space="0"/>
            </w:tcBorders>
            <w:tcW w:w="1225"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6"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05"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9" w:type="pct"/>
            <w:vAlign w:val="top"/>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503" w:type="pct"/>
            <w:vAlign w:val="top"/>
            <w:textDirection w:val="lrTb"/>
            <w:noWrap w:val="false"/>
          </w:tcPr>
          <w:p>
            <w:pPr>
              <w:jc w:val="center"/>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tcBorders>
              <w:top w:val="single" w:color="auto" w:sz="6" w:space="0"/>
              <w:left w:val="single" w:color="auto" w:sz="6" w:space="0"/>
              <w:bottom w:val="single" w:color="auto" w:sz="6" w:space="0"/>
              <w:right w:val="single" w:color="auto" w:sz="6" w:space="0"/>
            </w:tcBorders>
            <w:tcW w:w="1225"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6"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05"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9" w:type="pct"/>
            <w:vAlign w:val="top"/>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503" w:type="pct"/>
            <w:vAlign w:val="top"/>
            <w:textDirection w:val="lrTb"/>
            <w:noWrap w:val="false"/>
          </w:tcPr>
          <w:p>
            <w:pPr>
              <w:jc w:val="center"/>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c>
          <w:tcPr>
            <w:tcBorders>
              <w:top w:val="single" w:color="auto" w:sz="6" w:space="0"/>
              <w:left w:val="single" w:color="auto" w:sz="6" w:space="0"/>
              <w:bottom w:val="single" w:color="auto" w:sz="6" w:space="0"/>
              <w:right w:val="single" w:color="auto" w:sz="6" w:space="0"/>
            </w:tcBorders>
            <w:tcW w:w="1225"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6"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05"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9" w:type="pct"/>
            <w:vAlign w:val="top"/>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503" w:type="pct"/>
            <w:vAlign w:val="top"/>
            <w:textDirection w:val="lrTb"/>
            <w:noWrap w:val="false"/>
          </w:tcPr>
          <w:p>
            <w:pPr>
              <w:jc w:val="center"/>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p>
        </w:tc>
        <w:tc>
          <w:tcPr>
            <w:tcBorders>
              <w:top w:val="single" w:color="auto" w:sz="6" w:space="0"/>
              <w:left w:val="single" w:color="auto" w:sz="6" w:space="0"/>
              <w:bottom w:val="single" w:color="auto" w:sz="6" w:space="0"/>
              <w:right w:val="single" w:color="auto" w:sz="6" w:space="0"/>
            </w:tcBorders>
            <w:tcW w:w="1225"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86"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05" w:type="pct"/>
            <w:vAlign w:val="center"/>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9" w:type="pct"/>
            <w:vAlign w:val="top"/>
            <w:textDirection w:val="lrTb"/>
            <w:noWrap w:val="false"/>
          </w:tcPr>
          <w:p>
            <w:pPr>
              <w:jc w:val="left"/>
              <w:spacing w:line="3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contextualSpacing/>
        <w:spacing w:line="30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w:t>
      </w:r>
      <w:r/>
    </w:p>
    <w:p>
      <w:pPr>
        <w:contextualSpacing/>
        <w:ind w:firstLine="56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1.投标人提交的投标文件中与招标文件第三部分“项目需求”中的技术部分的要求，应逐条填列在偏离表中。</w:t>
      </w:r>
      <w:r/>
    </w:p>
    <w:p>
      <w:pPr>
        <w:contextualSpacing/>
        <w:ind w:firstLine="56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 “偏离说明”一栏选择“正偏离”、“无偏离”、“负偏离”进行填写。正偏离、无偏离的确认和负偏离的是否响应招标文件，由评委认定。</w:t>
      </w:r>
      <w:r/>
    </w:p>
    <w:p>
      <w:pPr>
        <w:contextualSpacing/>
        <w:ind w:firstLine="560"/>
        <w:spacing w:line="30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3.投标人如果虚假响应，将被暂停参加南通市</w:t>
      </w:r>
      <w:r>
        <w:rPr>
          <w:rFonts w:hint="eastAsia" w:ascii="宋体" w:hAnsi="宋体" w:eastAsia="宋体" w:cs="宋体"/>
          <w:color w:val="auto"/>
          <w:sz w:val="28"/>
          <w:szCs w:val="28"/>
          <w:highlight w:val="none"/>
          <w:lang w:val="en-US" w:eastAsia="zh-CN"/>
        </w:rPr>
        <w:t xml:space="preserve">国资委</w:t>
      </w:r>
      <w:r>
        <w:rPr>
          <w:rFonts w:hint="eastAsia" w:ascii="宋体" w:hAnsi="宋体" w:eastAsia="宋体" w:cs="宋体"/>
          <w:color w:val="auto"/>
          <w:sz w:val="28"/>
          <w:szCs w:val="28"/>
          <w:highlight w:val="none"/>
        </w:rPr>
        <w:t xml:space="preserve">组织政府采购活动。</w:t>
      </w:r>
      <w:r/>
    </w:p>
    <w:p>
      <w:pPr>
        <w:contextualSpacing/>
        <w:ind w:firstLine="560"/>
        <w:spacing w:line="30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4.供应商若提供其他增值服务，可以在表中自行据实填写。</w:t>
      </w:r>
      <w:r/>
    </w:p>
    <w:p>
      <w:pPr>
        <w:contextualSpacing/>
        <w:ind w:firstLine="600"/>
        <w:spacing w:line="460" w:lineRule="exact"/>
        <w:tabs>
          <w:tab w:val="left" w:pos="1260" w:leader="none"/>
        </w:tabs>
        <w:rPr>
          <w:rFonts w:hint="eastAsia" w:ascii="宋体" w:hAnsi="宋体" w:eastAsia="宋体" w:cs="宋体"/>
          <w:bCs/>
          <w:color w:val="auto"/>
          <w:sz w:val="30"/>
          <w:szCs w:val="30"/>
          <w:highlight w:val="none"/>
          <w:lang w:bidi="ar"/>
        </w:rPr>
        <w:sectPr>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eastAsia="宋体" w:cs="宋体"/>
          <w:bCs/>
          <w:color w:val="auto"/>
          <w:sz w:val="30"/>
          <w:szCs w:val="30"/>
          <w:highlight w:val="none"/>
          <w:lang w:bidi="ar"/>
        </w:rPr>
      </w:r>
      <w:r/>
    </w:p>
    <w:p>
      <w:pPr>
        <w:contextualSpacing/>
        <w:ind w:firstLine="600"/>
        <w:spacing w:line="460" w:lineRule="exact"/>
        <w:tabs>
          <w:tab w:val="left" w:pos="1260" w:leader="none"/>
        </w:tabs>
        <w:rPr>
          <w:rFonts w:hint="eastAsia" w:ascii="宋体" w:hAnsi="宋体" w:eastAsia="宋体" w:cs="宋体"/>
          <w:bCs/>
          <w:color w:val="auto"/>
          <w:sz w:val="30"/>
          <w:szCs w:val="30"/>
          <w:highlight w:val="none"/>
          <w:lang w:eastAsia="zh-CN" w:bidi="ar"/>
        </w:rPr>
      </w:pPr>
      <w:r>
        <w:rPr>
          <w:rFonts w:hint="eastAsia" w:ascii="宋体" w:hAnsi="宋体" w:eastAsia="宋体" w:cs="宋体"/>
          <w:bCs/>
          <w:color w:val="auto"/>
          <w:sz w:val="30"/>
          <w:szCs w:val="30"/>
          <w:highlight w:val="none"/>
          <w:lang w:bidi="ar"/>
        </w:rPr>
        <w:t xml:space="preserve">附件</w:t>
      </w:r>
      <w:r>
        <w:rPr>
          <w:rFonts w:hint="eastAsia" w:ascii="宋体" w:hAnsi="宋体" w:eastAsia="宋体" w:cs="宋体"/>
          <w:bCs/>
          <w:color w:val="auto"/>
          <w:sz w:val="30"/>
          <w:szCs w:val="30"/>
          <w:highlight w:val="none"/>
          <w:lang w:val="en-US" w:eastAsia="zh-CN" w:bidi="ar"/>
        </w:rPr>
        <w:t xml:space="preserve">6</w:t>
      </w:r>
      <w:r/>
    </w:p>
    <w:p>
      <w:pPr>
        <w:jc w:val="center"/>
        <w:rPr>
          <w:rFonts w:hint="eastAsia" w:ascii="宋体" w:hAnsi="宋体" w:eastAsia="宋体" w:cs="宋体"/>
          <w:b/>
          <w:color w:val="auto"/>
          <w:sz w:val="30"/>
          <w:szCs w:val="30"/>
          <w:highlight w:val="none"/>
        </w:rPr>
        <w:outlineLvl w:val="1"/>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投标人符合《中华人民共和国政府采购法》第二十二条规定条件的声明函</w:t>
      </w:r>
      <w:r/>
    </w:p>
    <w:p>
      <w:pP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80"/>
        <w:spacing w:line="52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我单位参加</w:t>
      </w:r>
      <w:r>
        <w:rPr>
          <w:rFonts w:hint="eastAsia" w:ascii="宋体" w:hAnsi="宋体" w:eastAsia="宋体" w:cs="宋体"/>
          <w:bCs/>
          <w:color w:val="auto"/>
          <w:sz w:val="28"/>
          <w:szCs w:val="28"/>
          <w:highlight w:val="none"/>
          <w:u w:val="single"/>
        </w:rPr>
        <w:t xml:space="preserve">________________ _</w:t>
      </w:r>
      <w:r>
        <w:rPr>
          <w:rFonts w:hint="eastAsia" w:ascii="宋体" w:hAnsi="宋体" w:eastAsia="宋体" w:cs="宋体"/>
          <w:bCs/>
          <w:color w:val="auto"/>
          <w:sz w:val="28"/>
          <w:szCs w:val="28"/>
          <w:highlight w:val="none"/>
        </w:rPr>
        <w:t xml:space="preserve">（项目名称），</w:t>
      </w:r>
      <w:r>
        <w:rPr>
          <w:rFonts w:hint="eastAsia" w:ascii="宋体" w:hAnsi="宋体" w:eastAsia="宋体" w:cs="宋体"/>
          <w:bCs/>
          <w:color w:val="auto"/>
          <w:sz w:val="28"/>
          <w:szCs w:val="28"/>
          <w:highlight w:val="none"/>
          <w:u w:val="single"/>
        </w:rPr>
        <w:t xml:space="preserve">_______ __________</w:t>
      </w:r>
      <w:r>
        <w:rPr>
          <w:rFonts w:hint="eastAsia" w:ascii="宋体" w:hAnsi="宋体" w:eastAsia="宋体" w:cs="宋体"/>
          <w:bCs/>
          <w:color w:val="auto"/>
          <w:sz w:val="28"/>
          <w:szCs w:val="28"/>
          <w:highlight w:val="none"/>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1.我单位具有独立承担民事责任的能力；</w:t>
      </w:r>
      <w:r/>
    </w:p>
    <w:p>
      <w:pPr>
        <w:ind w:firstLine="482"/>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2.我单位具有良好的商业信誉和健全的财务会计制度；</w:t>
      </w:r>
      <w:r/>
    </w:p>
    <w:p>
      <w:pPr>
        <w:ind w:firstLine="482"/>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3.我单位具有履行合同所必需的设备和专业技术能力；</w:t>
      </w:r>
      <w:r/>
    </w:p>
    <w:p>
      <w:pPr>
        <w:ind w:firstLine="482"/>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4.我单位有依法缴纳税收和社会保障资金的良好记录；</w:t>
      </w:r>
      <w:r/>
    </w:p>
    <w:p>
      <w:pPr>
        <w:ind w:firstLine="482"/>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6.我单位满足法律、行政法规规定的其他条件。</w:t>
      </w:r>
      <w:r/>
    </w:p>
    <w:p>
      <w:pPr>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承诺人名称（</w:t>
      </w:r>
      <w:r>
        <w:rPr>
          <w:rFonts w:hint="eastAsia" w:ascii="宋体" w:hAnsi="宋体" w:eastAsia="宋体" w:cs="宋体"/>
          <w:color w:val="auto"/>
          <w:sz w:val="28"/>
          <w:szCs w:val="28"/>
          <w:highlight w:val="none"/>
        </w:rPr>
        <w:t xml:space="preserve">加盖ca电子公章</w:t>
      </w:r>
      <w:r>
        <w:rPr>
          <w:rFonts w:hint="eastAsia" w:ascii="宋体" w:hAnsi="宋体" w:eastAsia="宋体" w:cs="宋体"/>
          <w:bCs/>
          <w:color w:val="auto"/>
          <w:sz w:val="28"/>
          <w:szCs w:val="28"/>
          <w:highlight w:val="none"/>
        </w:rPr>
        <w:t xml:space="preserve">）：</w:t>
      </w:r>
      <w:r/>
    </w:p>
    <w:p>
      <w:pPr>
        <w:jc w:val="right"/>
        <w:spacing w:line="4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right"/>
        <w:spacing w:line="4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日期：</w:t>
      </w:r>
      <w:r>
        <w:rPr>
          <w:rFonts w:hint="eastAsia" w:ascii="宋体" w:hAnsi="宋体" w:eastAsia="宋体" w:cs="宋体"/>
          <w:bCs/>
          <w:color w:val="auto"/>
          <w:sz w:val="28"/>
          <w:szCs w:val="28"/>
          <w:highlight w:val="none"/>
          <w:u w:val="single"/>
        </w:rPr>
        <w:t xml:space="preserve">______</w:t>
      </w:r>
      <w:r>
        <w:rPr>
          <w:rFonts w:hint="eastAsia" w:ascii="宋体" w:hAnsi="宋体" w:eastAsia="宋体" w:cs="宋体"/>
          <w:bCs/>
          <w:color w:val="auto"/>
          <w:sz w:val="28"/>
          <w:szCs w:val="28"/>
          <w:highlight w:val="none"/>
        </w:rPr>
        <w:t xml:space="preserve">年月日</w:t>
      </w:r>
      <w:r/>
    </w:p>
    <w:p>
      <w:pPr>
        <w:contextualSpacing/>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spacing w:line="400" w:lineRule="exact"/>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lang w:val="zh-CN"/>
        </w:rPr>
      </w:r>
      <w:r/>
    </w:p>
    <w:p>
      <w:pPr>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br w:type="page" w:clear="all"/>
      </w:r>
      <w:r/>
    </w:p>
    <w:p>
      <w:pPr>
        <w:contextualSpacing/>
        <w:spacing w:line="400" w:lineRule="exact"/>
        <w:rPr>
          <w:rFonts w:hint="eastAsia" w:ascii="宋体" w:hAnsi="宋体" w:eastAsia="宋体" w:cs="宋体"/>
          <w:color w:val="auto"/>
          <w:sz w:val="32"/>
          <w:szCs w:val="32"/>
          <w:highlight w:val="none"/>
          <w:lang w:val="zh-CN" w:eastAsia="zh-CN"/>
        </w:rPr>
      </w:pPr>
      <w:r>
        <w:rPr>
          <w:rFonts w:hint="eastAsia" w:ascii="宋体" w:hAnsi="宋体" w:eastAsia="宋体" w:cs="宋体"/>
          <w:color w:val="auto"/>
          <w:sz w:val="32"/>
          <w:szCs w:val="32"/>
          <w:highlight w:val="none"/>
          <w:lang w:val="zh-CN"/>
        </w:rPr>
        <w:t xml:space="preserve">附件</w:t>
      </w:r>
      <w:r>
        <w:rPr>
          <w:rFonts w:hint="eastAsia" w:ascii="宋体" w:hAnsi="宋体" w:eastAsia="宋体" w:cs="宋体"/>
          <w:color w:val="auto"/>
          <w:sz w:val="32"/>
          <w:szCs w:val="32"/>
          <w:highlight w:val="none"/>
          <w:lang w:val="en-US" w:eastAsia="zh-CN"/>
        </w:rPr>
        <w:t xml:space="preserve">7</w:t>
      </w:r>
      <w:r/>
    </w:p>
    <w:p>
      <w:pPr>
        <w:pStyle w:val="1201"/>
        <w:jc w:val="center"/>
        <w:spacing w:line="560" w:lineRule="exact"/>
        <w:rPr>
          <w:rFonts w:hint="eastAsia" w:ascii="宋体" w:hAnsi="宋体" w:eastAsia="宋体" w:cs="宋体"/>
          <w:b/>
          <w:bCs/>
          <w:color w:val="auto"/>
          <w:sz w:val="32"/>
          <w:szCs w:val="32"/>
          <w:highlight w:val="none"/>
          <w:lang w:eastAsia="zh-CN"/>
        </w:rPr>
        <w:outlineLvl w:val="1"/>
      </w:pPr>
      <w:r>
        <w:rPr>
          <w:rFonts w:hint="eastAsia" w:ascii="宋体" w:hAnsi="宋体" w:eastAsia="宋体" w:cs="宋体"/>
          <w:b/>
          <w:bCs/>
          <w:color w:val="auto"/>
          <w:sz w:val="32"/>
          <w:szCs w:val="32"/>
          <w:highlight w:val="none"/>
        </w:rPr>
        <w:t xml:space="preserve">法定代表人</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lang w:val="en-US" w:eastAsia="zh-CN"/>
        </w:rPr>
        <w:t xml:space="preserve">负责人</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rPr>
        <w:t xml:space="preserve">身份证明</w:t>
      </w:r>
      <w:r/>
    </w:p>
    <w:p>
      <w:pPr>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先生/女士现任我单位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职务，为法定代表人</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负责人</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，特此证明。</w:t>
      </w:r>
      <w:r/>
    </w:p>
    <w:p>
      <w:pPr>
        <w:ind w:firstLine="48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身份证号码：</w:t>
      </w:r>
      <w:r>
        <w:rPr>
          <w:rFonts w:hint="eastAsia" w:ascii="宋体" w:hAnsi="宋体" w:eastAsia="宋体" w:cs="宋体"/>
          <w:color w:val="auto"/>
          <w:sz w:val="28"/>
          <w:szCs w:val="28"/>
          <w:highlight w:val="none"/>
          <w:u w:val="single"/>
        </w:rPr>
        <w:t xml:space="preserve">                                               </w:t>
      </w:r>
      <w:r/>
    </w:p>
    <w:p>
      <w:pPr>
        <w:ind w:firstLine="48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200"/>
        <w:spacing w:line="6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注：提供法定代表人</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lang w:val="en-US" w:eastAsia="zh-CN"/>
        </w:rPr>
        <w:t xml:space="preserve">负责人</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的身份证扫描件</w:t>
      </w:r>
      <w:r/>
    </w:p>
    <w:p>
      <w:pPr>
        <w:ind w:firstLine="48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contextualSpacing/>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rPr>
          <w:rFonts w:hint="eastAsia" w:ascii="宋体" w:hAnsi="宋体" w:eastAsia="宋体" w:cs="宋体"/>
          <w:color w:val="auto"/>
          <w:sz w:val="32"/>
          <w:szCs w:val="32"/>
          <w:highlight w:val="none"/>
          <w:lang w:val="zh-CN" w:eastAsia="zh-CN"/>
        </w:rPr>
      </w:pPr>
      <w:r>
        <w:rPr>
          <w:rFonts w:hint="eastAsia" w:ascii="宋体" w:hAnsi="宋体" w:eastAsia="宋体" w:cs="宋体"/>
          <w:color w:val="auto"/>
          <w:sz w:val="32"/>
          <w:szCs w:val="32"/>
          <w:highlight w:val="none"/>
          <w:lang w:val="zh-CN"/>
        </w:rPr>
        <w:br w:type="page" w:clear="all"/>
      </w:r>
      <w:r>
        <w:rPr>
          <w:rFonts w:hint="eastAsia" w:ascii="宋体" w:hAnsi="宋体" w:eastAsia="宋体" w:cs="宋体"/>
          <w:color w:val="auto"/>
          <w:sz w:val="32"/>
          <w:szCs w:val="32"/>
          <w:highlight w:val="none"/>
          <w:lang w:val="zh-CN"/>
        </w:rPr>
        <w:t xml:space="preserve">附件</w:t>
      </w:r>
      <w:r>
        <w:rPr>
          <w:rFonts w:hint="eastAsia" w:ascii="宋体" w:hAnsi="宋体" w:eastAsia="宋体" w:cs="宋体"/>
          <w:color w:val="auto"/>
          <w:sz w:val="32"/>
          <w:szCs w:val="32"/>
          <w:highlight w:val="none"/>
          <w:lang w:val="en-US" w:eastAsia="zh-CN"/>
        </w:rPr>
        <w:t xml:space="preserve">8</w:t>
      </w:r>
      <w:r/>
    </w:p>
    <w:p>
      <w:pPr>
        <w:jc w:val="center"/>
        <w:rPr>
          <w:rFonts w:hint="eastAsia" w:ascii="宋体" w:hAnsi="宋体" w:eastAsia="宋体" w:cs="宋体"/>
          <w:color w:val="auto"/>
          <w:sz w:val="32"/>
          <w:szCs w:val="32"/>
          <w:highlight w:val="none"/>
        </w:rPr>
        <w:outlineLvl w:val="1"/>
      </w:pPr>
      <w:r>
        <w:rPr>
          <w:rFonts w:hint="eastAsia" w:ascii="宋体" w:hAnsi="宋体" w:eastAsia="宋体" w:cs="宋体"/>
          <w:color w:val="auto"/>
          <w:sz w:val="32"/>
          <w:szCs w:val="32"/>
          <w:highlight w:val="none"/>
        </w:rPr>
        <w:t xml:space="preserve">法定代表人</w:t>
      </w:r>
      <w:r>
        <w:rPr>
          <w:rFonts w:hint="eastAsia" w:ascii="宋体" w:hAnsi="宋体" w:eastAsia="宋体" w:cs="宋体"/>
          <w:color w:val="auto"/>
          <w:sz w:val="32"/>
          <w:szCs w:val="32"/>
          <w:highlight w:val="none"/>
          <w:lang w:eastAsia="zh-CN"/>
        </w:rPr>
        <w:t xml:space="preserve">（</w:t>
      </w:r>
      <w:r>
        <w:rPr>
          <w:rFonts w:hint="eastAsia" w:ascii="宋体" w:hAnsi="宋体" w:eastAsia="宋体" w:cs="宋体"/>
          <w:color w:val="auto"/>
          <w:sz w:val="32"/>
          <w:szCs w:val="32"/>
          <w:highlight w:val="none"/>
          <w:lang w:val="en-US" w:eastAsia="zh-CN"/>
        </w:rPr>
        <w:t xml:space="preserve">负责人</w:t>
      </w:r>
      <w:r>
        <w:rPr>
          <w:rFonts w:hint="eastAsia" w:ascii="宋体" w:hAnsi="宋体" w:eastAsia="宋体" w:cs="宋体"/>
          <w:color w:val="auto"/>
          <w:sz w:val="32"/>
          <w:szCs w:val="32"/>
          <w:highlight w:val="none"/>
          <w:lang w:eastAsia="zh-CN"/>
        </w:rPr>
        <w:t xml:space="preserve">）</w:t>
      </w:r>
      <w:r>
        <w:rPr>
          <w:rFonts w:hint="eastAsia" w:ascii="宋体" w:hAnsi="宋体" w:eastAsia="宋体" w:cs="宋体"/>
          <w:color w:val="auto"/>
          <w:sz w:val="32"/>
          <w:szCs w:val="32"/>
          <w:highlight w:val="none"/>
        </w:rPr>
        <w:t xml:space="preserve">授权委托书</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本人------（姓名）系————（授权单位名称）的法定代表人</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负责人</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，现委托-------（姓名）（身份证号——————）为我方代理人，以我方名义全权处理与本次采购项目（编号：----------）有关的一切事务，其法律后果由我方承担。</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本授权书于---年---月---日起生效。代理人无转委托权。</w:t>
      </w:r>
      <w:r/>
    </w:p>
    <w:p>
      <w:pPr>
        <w:ind w:firstLine="4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代理人(被授权人姓名)):------</w:t>
      </w:r>
      <w:r/>
    </w:p>
    <w:p>
      <w:pPr>
        <w:ind w:firstLine="4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授权单位名称（加盖ca电子公章）：-----</w:t>
      </w:r>
      <w:r/>
    </w:p>
    <w:p>
      <w:pPr>
        <w:ind w:firstLine="4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授权单位法定代表人</w:t>
      </w:r>
      <w:r>
        <w:rPr>
          <w:rFonts w:hint="eastAsia" w:ascii="宋体" w:hAnsi="宋体" w:eastAsia="宋体" w:cs="宋体"/>
          <w:color w:val="auto"/>
          <w:sz w:val="28"/>
          <w:szCs w:val="28"/>
          <w:highlight w:val="none"/>
          <w:lang w:val="en-US" w:eastAsia="zh-CN"/>
        </w:rPr>
        <w:t xml:space="preserve">或负责人</w:t>
      </w:r>
      <w:r>
        <w:rPr>
          <w:rFonts w:hint="eastAsia" w:ascii="宋体" w:hAnsi="宋体" w:eastAsia="宋体" w:cs="宋体"/>
          <w:color w:val="auto"/>
          <w:sz w:val="28"/>
          <w:szCs w:val="28"/>
          <w:highlight w:val="none"/>
        </w:rPr>
        <w:t xml:space="preserve">（签字或加盖ca电子公章）：-----</w:t>
      </w:r>
      <w:r/>
    </w:p>
    <w:p>
      <w:pPr>
        <w:jc w:val="right"/>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right"/>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XXXX年XX月XX日</w:t>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contextualSpacing/>
        <w:ind w:firstLine="540"/>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注：提供投标代表本人身份证扫描件</w:t>
      </w:r>
      <w:r/>
    </w:p>
    <w:p>
      <w:pPr>
        <w:contextualSpacing/>
        <w:ind w:firstLine="540"/>
        <w:spacing w:line="400" w:lineRule="exact"/>
        <w:rPr>
          <w:rFonts w:hint="eastAsia" w:ascii="宋体" w:hAnsi="宋体" w:eastAsia="宋体" w:cs="宋体"/>
          <w:b/>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eastAsia="宋体" w:cs="宋体"/>
          <w:b/>
          <w:color w:val="auto"/>
          <w:sz w:val="28"/>
          <w:szCs w:val="28"/>
          <w:highlight w:val="none"/>
        </w:rPr>
      </w:r>
      <w:r/>
    </w:p>
    <w:p>
      <w:pPr>
        <w:rPr>
          <w:rFonts w:hint="eastAsia" w:ascii="宋体" w:hAnsi="宋体" w:eastAsia="宋体" w:cs="宋体"/>
          <w:color w:val="auto"/>
          <w:sz w:val="32"/>
          <w:szCs w:val="32"/>
          <w:highlight w:val="none"/>
          <w:lang w:val="zh-CN"/>
        </w:rPr>
        <w:outlineLvl w:val="1"/>
      </w:pPr>
      <w:r>
        <w:rPr>
          <w:rFonts w:hint="eastAsia" w:ascii="宋体" w:hAnsi="宋体" w:eastAsia="宋体" w:cs="宋体"/>
          <w:color w:val="auto"/>
          <w:sz w:val="32"/>
          <w:szCs w:val="32"/>
          <w:highlight w:val="none"/>
          <w:lang w:val="zh-CN"/>
        </w:rPr>
      </w:r>
      <w:r/>
    </w:p>
    <w:p>
      <w:pPr>
        <w:rPr>
          <w:rFonts w:hint="eastAsia" w:ascii="宋体" w:hAnsi="宋体" w:eastAsia="宋体" w:cs="宋体"/>
          <w:color w:val="auto"/>
          <w:sz w:val="32"/>
          <w:szCs w:val="32"/>
          <w:highlight w:val="none"/>
          <w:lang w:val="zh-CN" w:eastAsia="zh-CN"/>
        </w:rPr>
        <w:outlineLvl w:val="1"/>
      </w:pPr>
      <w:r>
        <w:rPr>
          <w:rFonts w:hint="eastAsia" w:ascii="宋体" w:hAnsi="宋体" w:eastAsia="宋体" w:cs="宋体"/>
          <w:color w:val="auto"/>
          <w:sz w:val="32"/>
          <w:szCs w:val="32"/>
          <w:highlight w:val="none"/>
          <w:lang w:val="zh-CN"/>
        </w:rPr>
        <w:t xml:space="preserve">附件</w:t>
      </w:r>
      <w:r>
        <w:rPr>
          <w:rFonts w:hint="eastAsia" w:ascii="宋体" w:hAnsi="宋体" w:eastAsia="宋体" w:cs="宋体"/>
          <w:color w:val="auto"/>
          <w:sz w:val="32"/>
          <w:szCs w:val="32"/>
          <w:highlight w:val="none"/>
          <w:lang w:val="en-US" w:eastAsia="zh-CN"/>
        </w:rPr>
        <w:t xml:space="preserve">9</w:t>
      </w:r>
      <w:r/>
    </w:p>
    <w:p>
      <w:pPr>
        <w:ind w:firstLine="281"/>
        <w:jc w:val="center"/>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中小微企业声明函（服务类项目）</w:t>
      </w:r>
      <w:r/>
    </w:p>
    <w:p>
      <w:pPr>
        <w:ind w:firstLine="42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本公司（联合体）郑重声明，根据《政府采购促进中小企业发展管理办法》(财库[2020]46号)的规定，本公司（联合体）参加采购编号为JSZC-320600-</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（项目名称）</w:t>
      </w:r>
      <w:r>
        <w:rPr>
          <w:rFonts w:hint="eastAsia" w:ascii="宋体" w:hAnsi="宋体" w:eastAsia="宋体" w:cs="宋体"/>
          <w:color w:val="auto"/>
          <w:sz w:val="28"/>
          <w:szCs w:val="28"/>
          <w:highlight w:val="none"/>
        </w:rPr>
        <w:t xml:space="preserve">的采购活动，服务全部由符合政策要求的中小微企业提供。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spacing w:line="480" w:lineRule="exact"/>
        <w:rPr>
          <w:rFonts w:hint="eastAsia" w:ascii="宋体" w:hAnsi="宋体" w:eastAsia="宋体" w:cs="宋体"/>
          <w:i/>
          <w:color w:val="auto"/>
          <w:sz w:val="28"/>
          <w:szCs w:val="28"/>
          <w:highlight w:val="none"/>
          <w:u w:val="singl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rPr>
        <w:t xml:space="preserve">（标的名称）</w:t>
      </w:r>
      <w:r>
        <w:rPr>
          <w:rFonts w:hint="eastAsia" w:ascii="宋体" w:hAnsi="宋体" w:eastAsia="宋体" w:cs="宋体"/>
          <w:i/>
          <w:color w:val="auto"/>
          <w:sz w:val="28"/>
          <w:szCs w:val="28"/>
          <w:highlight w:val="none"/>
        </w:rPr>
        <w:t xml:space="preserve">，</w:t>
      </w:r>
      <w:r>
        <w:rPr>
          <w:rFonts w:hint="eastAsia" w:ascii="宋体" w:hAnsi="宋体" w:eastAsia="宋体" w:cs="宋体"/>
          <w:color w:val="auto"/>
          <w:sz w:val="28"/>
          <w:szCs w:val="28"/>
          <w:highlight w:val="none"/>
        </w:rPr>
        <w:t xml:space="preserve">属于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行业；服务商为</w:t>
      </w:r>
      <w:r>
        <w:rPr>
          <w:rFonts w:hint="eastAsia" w:ascii="宋体" w:hAnsi="宋体" w:eastAsia="宋体" w:cs="宋体"/>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rPr>
        <w:t xml:space="preserve">（□中型企业 □小型企业 □微型企业）；</w:t>
      </w:r>
      <w:r/>
    </w:p>
    <w:p>
      <w:pPr>
        <w:ind w:firstLine="42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2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2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42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ind w:right="180" w:firstLine="420"/>
        <w:jc w:val="right"/>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企业名称（加盖ca电子公章）：</w:t>
      </w:r>
      <w:r/>
    </w:p>
    <w:p>
      <w:pPr>
        <w:ind w:right="480" w:firstLine="63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  期：</w:t>
      </w:r>
      <w:r/>
    </w:p>
    <w:p>
      <w:pPr>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p>
      <w:pPr>
        <w:ind w:firstLine="56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1.从业人员、营业收入、资产总额填报上一年度数据，无上一年度数据的新成立企业可不填报。</w:t>
      </w:r>
      <w:r/>
    </w:p>
    <w:p>
      <w:pPr>
        <w:ind w:firstLine="562"/>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60" w:hanging="14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3.供应商自行勾选制造商的企业规模类型。</w:t>
      </w:r>
      <w:r/>
    </w:p>
    <w:p>
      <w:pPr>
        <w:spacing w:line="300" w:lineRule="auto"/>
        <w:rPr>
          <w:rFonts w:hint="eastAsia" w:ascii="宋体" w:hAnsi="宋体" w:eastAsia="宋体" w:cs="宋体"/>
          <w:color w:val="auto"/>
          <w:sz w:val="32"/>
          <w:szCs w:val="32"/>
          <w:highlight w:val="none"/>
          <w:lang w:val="en-US" w:eastAsia="zh-CN"/>
        </w:rPr>
        <w:outlineLvl w:val="0"/>
      </w:pPr>
      <w:r>
        <w:rPr>
          <w:rFonts w:hint="eastAsia" w:ascii="宋体" w:hAnsi="宋体" w:eastAsia="宋体" w:cs="宋体"/>
          <w:color w:val="auto"/>
          <w:sz w:val="32"/>
          <w:szCs w:val="32"/>
          <w:highlight w:val="none"/>
        </w:rPr>
        <w:t xml:space="preserve">附件</w:t>
      </w:r>
      <w:r>
        <w:rPr>
          <w:rFonts w:hint="eastAsia" w:ascii="宋体" w:hAnsi="宋体" w:eastAsia="宋体" w:cs="宋体"/>
          <w:color w:val="auto"/>
          <w:sz w:val="32"/>
          <w:szCs w:val="32"/>
          <w:highlight w:val="none"/>
          <w:lang w:val="en-US" w:eastAsia="zh-CN"/>
        </w:rPr>
        <w:t xml:space="preserve">10</w:t>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ind w:firstLine="560"/>
        <w:spacing w:line="588"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本单位对上述声明的真实性负责。如有虚假，将依法承担相应责任。</w:t>
      </w:r>
      <w:r/>
    </w:p>
    <w:p>
      <w:pPr>
        <w:ind w:firstLine="560"/>
        <w:spacing w:line="588"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584"/>
        <w:spacing w:line="588"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584"/>
        <w:spacing w:line="588"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584"/>
        <w:spacing w:line="588"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right="1560" w:firstLine="584"/>
        <w:jc w:val="center"/>
        <w:spacing w:line="588" w:lineRule="exact"/>
        <w:tabs>
          <w:tab w:val="left" w:pos="4860" w:leader="none"/>
        </w:tabs>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            </w:t>
      </w: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投标人</w:t>
      </w:r>
      <w:r>
        <w:rPr>
          <w:rFonts w:hint="eastAsia" w:ascii="宋体" w:hAnsi="宋体" w:eastAsia="宋体" w:cs="宋体"/>
          <w:color w:val="auto"/>
          <w:sz w:val="28"/>
          <w:szCs w:val="28"/>
          <w:highlight w:val="none"/>
        </w:rPr>
        <w:t xml:space="preserve">全称（加盖ca电子公章）：</w:t>
      </w:r>
      <w:r/>
    </w:p>
    <w:p>
      <w:pPr>
        <w:ind w:right="1560" w:firstLine="560"/>
        <w:jc w:val="center"/>
        <w:spacing w:line="588" w:lineRule="exact"/>
        <w:tabs>
          <w:tab w:val="left" w:pos="48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  期：</w:t>
      </w:r>
      <w:r/>
    </w:p>
    <w:p>
      <w:pPr>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eastAsia="宋体" w:cs="宋体"/>
          <w:color w:val="auto"/>
          <w:sz w:val="32"/>
          <w:szCs w:val="32"/>
          <w:highlight w:val="none"/>
        </w:rPr>
        <w:t xml:space="preserve">附件1</w:t>
      </w:r>
      <w:r>
        <w:rPr>
          <w:rFonts w:hint="eastAsia" w:ascii="宋体" w:hAnsi="宋体" w:eastAsia="宋体" w:cs="宋体"/>
          <w:color w:val="auto"/>
          <w:sz w:val="32"/>
          <w:szCs w:val="32"/>
          <w:highlight w:val="none"/>
          <w:lang w:val="en-US" w:eastAsia="zh-CN"/>
        </w:rPr>
        <w:t xml:space="preserve">1</w:t>
      </w:r>
      <w:r/>
    </w:p>
    <w:p>
      <w:pPr>
        <w:jc w:val="center"/>
        <w:spacing w:line="420" w:lineRule="exact"/>
        <w:rPr>
          <w:rFonts w:hint="eastAsia" w:ascii="宋体" w:hAnsi="宋体" w:eastAsia="宋体" w:cs="宋体"/>
          <w:b/>
          <w:bCs/>
          <w:color w:val="auto"/>
          <w:sz w:val="32"/>
          <w:szCs w:val="32"/>
          <w:highlight w:val="none"/>
        </w:rPr>
        <w:outlineLvl w:val="3"/>
      </w:pPr>
      <w:r>
        <w:rPr>
          <w:rFonts w:hint="eastAsia" w:ascii="宋体" w:hAnsi="宋体" w:eastAsia="宋体" w:cs="宋体"/>
          <w:b/>
          <w:bCs/>
          <w:color w:val="auto"/>
          <w:sz w:val="32"/>
          <w:szCs w:val="32"/>
          <w:highlight w:val="none"/>
        </w:rPr>
        <w:t xml:space="preserve">监狱和戒毒企业证明材料</w:t>
      </w:r>
      <w:r/>
    </w:p>
    <w:p>
      <w:pPr>
        <w:ind w:firstLine="495"/>
        <w:spacing w:line="4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98"/>
        <w:jc w:val="center"/>
        <w:spacing w:line="42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（格式自拟）</w:t>
      </w:r>
      <w:r/>
    </w:p>
    <w:p>
      <w:pPr>
        <w:contextualSpacing/>
        <w:spacing w:line="300" w:lineRule="auto"/>
        <w:tabs>
          <w:tab w:val="left" w:pos="12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00" w:lineRule="auto"/>
        <w:rPr>
          <w:rFonts w:hint="eastAsia" w:ascii="宋体" w:hAnsi="宋体" w:eastAsia="宋体" w:cs="宋体"/>
          <w:color w:val="auto"/>
          <w:sz w:val="28"/>
          <w:szCs w:val="28"/>
          <w:highlight w:val="none"/>
        </w:rPr>
        <w:sectPr>
          <w:headerReference w:type="default" r:id="rId13"/>
          <w:footerReference w:type="default" r:id="rId20"/>
          <w:footnotePr/>
          <w:endnotePr/>
          <w:type w:val="nextPage"/>
          <w:pgSz w:w="11907" w:h="16839" w:orient="portrait"/>
          <w:pgMar w:top="1440" w:right="1800" w:bottom="1440" w:left="1800" w:header="720" w:footer="720" w:gutter="0"/>
          <w:cols w:num="1" w:sep="0" w:space="720" w:equalWidth="1"/>
          <w:docGrid w:linePitch="360"/>
        </w:sectPr>
        <w:outlineLvl w:val="0"/>
      </w:pPr>
      <w:r>
        <w:rPr>
          <w:rFonts w:hint="eastAsia" w:ascii="宋体" w:hAnsi="宋体" w:eastAsia="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eastAsia="宋体" w:cs="宋体"/>
          <w:color w:val="auto"/>
          <w:sz w:val="32"/>
          <w:szCs w:val="32"/>
          <w:highlight w:val="none"/>
        </w:rPr>
        <w:t xml:space="preserve">附件1</w:t>
      </w:r>
      <w:r>
        <w:rPr>
          <w:rFonts w:hint="eastAsia" w:ascii="宋体" w:hAnsi="宋体" w:eastAsia="宋体" w:cs="宋体"/>
          <w:color w:val="auto"/>
          <w:sz w:val="32"/>
          <w:szCs w:val="32"/>
          <w:highlight w:val="none"/>
          <w:lang w:val="en-US" w:eastAsia="zh-CN"/>
        </w:rPr>
        <w:t xml:space="preserve">2</w:t>
      </w:r>
      <w:r/>
    </w:p>
    <w:p>
      <w:pPr>
        <w:jc w:val="center"/>
        <w:spacing w:line="460" w:lineRule="exact"/>
        <w:rPr>
          <w:rFonts w:hint="eastAsia" w:ascii="宋体" w:hAnsi="宋体" w:eastAsia="宋体" w:cs="宋体"/>
          <w:bCs/>
          <w:color w:val="auto"/>
          <w:sz w:val="40"/>
          <w:szCs w:val="40"/>
          <w:highlight w:val="none"/>
        </w:rPr>
      </w:pPr>
      <w:r>
        <w:rPr>
          <w:rFonts w:hint="eastAsia" w:ascii="宋体" w:hAnsi="宋体" w:eastAsia="宋体" w:cs="宋体"/>
          <w:bCs/>
          <w:color w:val="auto"/>
          <w:sz w:val="40"/>
          <w:szCs w:val="40"/>
          <w:highlight w:val="none"/>
        </w:rPr>
        <w:t xml:space="preserve">质疑函范本</w:t>
      </w:r>
      <w:r/>
    </w:p>
    <w:p>
      <w:pPr>
        <w:spacing w:before="312" w:line="4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一、质疑供应商基本信息</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质疑供应商：</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地址：邮编：</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联系人：联系电话：</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授权代表：</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联系电话：</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地址：邮编：</w:t>
      </w:r>
      <w:r/>
    </w:p>
    <w:p>
      <w:pPr>
        <w:spacing w:line="4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二、质疑项目基本情况</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质疑项目的名称：</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质疑项目的编号：包号：</w:t>
      </w:r>
      <w:r/>
    </w:p>
    <w:p>
      <w:pPr>
        <w:spacing w:line="46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名称：</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招标文件获取日期：</w:t>
      </w:r>
      <w:r/>
    </w:p>
    <w:p>
      <w:pPr>
        <w:spacing w:line="4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三、质疑事项具体内容</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质疑事项1：</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事实依据：</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法律依据：</w:t>
      </w:r>
      <w:r/>
    </w:p>
    <w:p>
      <w:pPr>
        <w:spacing w:line="46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质疑事项2</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spacing w:line="4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四、与质疑事项相关的质疑请求</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请求：</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签字(签章)：                   公章：                      </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质疑函制作说明：</w:t>
      </w:r>
      <w:r/>
    </w:p>
    <w:p>
      <w:pPr>
        <w:ind w:firstLine="560"/>
        <w:jc w:val="left"/>
        <w:spacing w:line="4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1.供应商提出质疑时，应提交质疑函和必要的证明材料。</w:t>
      </w:r>
      <w:r/>
    </w:p>
    <w:p>
      <w:pPr>
        <w:ind w:firstLine="560"/>
        <w:jc w:val="left"/>
        <w:spacing w:line="4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3.质疑供应商若对项目的某一分包进行质疑，质疑函中应列明具体分包号。</w:t>
      </w:r>
      <w:r/>
    </w:p>
    <w:p>
      <w:pPr>
        <w:ind w:firstLine="560"/>
        <w:jc w:val="left"/>
        <w:spacing w:line="4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5.质疑函的质疑请求应与质疑事项相关。</w:t>
      </w:r>
      <w:r/>
    </w:p>
    <w:p>
      <w:pPr>
        <w:ind w:firstLine="560"/>
        <w:jc w:val="left"/>
        <w:spacing w:line="4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ascii="宋体" w:hAnsi="宋体" w:eastAsia="宋体" w:cs="宋体"/>
          <w:color w:val="auto"/>
          <w:sz w:val="28"/>
          <w:szCs w:val="28"/>
          <w:highlight w:val="none"/>
        </w:rPr>
        <w:outlineLvl w:val="0"/>
      </w:pPr>
      <w:r>
        <w:rPr>
          <w:rFonts w:hint="eastAsia" w:ascii="宋体" w:hAnsi="宋体" w:eastAsia="宋体" w:cs="宋体"/>
          <w:color w:val="auto"/>
          <w:sz w:val="28"/>
          <w:szCs w:val="28"/>
          <w:highlight w:val="none"/>
        </w:rPr>
      </w:r>
      <w:r/>
    </w:p>
    <w:sectPr>
      <w:headerReference w:type="default" r:id="rId14"/>
      <w:headerReference w:type="even" r:id="rId15"/>
      <w:headerReference w:type="first" r:id="rId16"/>
      <w:footerReference w:type="default" r:id="rId21"/>
      <w:footerReference w:type="even" r:id="rId22"/>
      <w:footerReference w:type="first" r:id="rId23"/>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Times New Roman Regular">
    <w:panose1 w:val="02020603050405020304"/>
  </w:font>
  <w:font w:name="仿宋">
    <w:panose1 w:val="02010609060101010101"/>
  </w:font>
  <w:font w:name="等线">
    <w:panose1 w:val="02010600030101010101"/>
  </w:font>
  <w:font w:name="Tahoma">
    <w:panose1 w:val="020B0604030504040204"/>
  </w:font>
  <w:font w:name="微软雅黑">
    <w:panose1 w:val="020B0503020204020204"/>
  </w:font>
  <w:font w:name="Calibri">
    <w:panose1 w:val="020F0502020204030204"/>
  </w:font>
  <w:font w:name="PMingLiU">
    <w:panose1 w:val="02020500000000000000"/>
  </w:font>
  <w:font w:name="华文细黑">
    <w:panose1 w:val="02010600040101010101"/>
  </w:font>
  <w:font w:name="Symbol">
    <w:panose1 w:val="05050102010706020507"/>
  </w:font>
  <w:font w:name="新宋体">
    <w:panose1 w:val="02010609030101010101"/>
  </w:font>
  <w:font w:name="楷体_GB2312">
    <w:panose1 w:val="02010609060101010101"/>
  </w:font>
  <w:font w:name="ˎ̥">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911"/>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wps:txbx>
                    <wps:bodyPr wrap="none" lIns="0" tIns="0" rIns="0" bIns="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911"/>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_x0000_s102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1236"/>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w:t>
                          </w:r>
                          <w:r/>
                        </w:p>
                        <w:p>
                          <w:r/>
                          <w:r/>
                        </w:p>
                        <w:p>
                          <w:r/>
                          <w:r/>
                        </w:p>
                      </w:txbxContent>
                    </wps:txbx>
                    <wps:bodyPr rot="0" vert="horz" wrap="square" lIns="91440" tIns="45720" rIns="91440" bIns="45720" anchor="t" anchorCtr="0"/>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1236"/>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w:t>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2135" cy="147955"/>
              <wp:effectExtent l="0" t="0" r="0" b="0"/>
              <wp:wrapNone/>
              <wp:docPr id="3" name="文本框 176901709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2135" cy="147955"/>
                      </a:xfrm>
                      <a:prstGeom prst="rect">
                        <a:avLst/>
                      </a:prstGeom>
                      <a:noFill/>
                      <a:ln>
                        <a:noFill/>
                      </a:ln>
                      <a:effectLst/>
                    </wps:spPr>
                    <wps:txbx>
                      <w:txbxContent>
                        <w:p>
                          <w:pPr>
                            <w:pStyle w:val="911"/>
                          </w:pPr>
                          <w:r>
                            <w:t xml:space="preserve">第</w:t>
                          </w:r>
                          <w:r>
                            <w:fldChar w:fldCharType="begin"/>
                          </w:r>
                          <w:r>
                            <w:instrText xml:space="preserve"> PAGE  \* MERGEFORMAT </w:instrText>
                          </w:r>
                          <w:r>
                            <w:fldChar w:fldCharType="separate"/>
                          </w:r>
                          <w:r>
                            <w:t xml:space="preserve">46</w:t>
                          </w:r>
                          <w:r>
                            <w:fldChar w:fldCharType="end"/>
                          </w:r>
                          <w:r>
                            <w:t xml:space="preserve">页共</w:t>
                          </w:r>
                          <w:r>
                            <w:fldChar w:fldCharType="begin"/>
                          </w:r>
                          <w:r>
                            <w:instrText xml:space="preserve"> NUMPAGES  \* MERGEFORMAT </w:instrText>
                          </w:r>
                          <w:r>
                            <w:fldChar w:fldCharType="separate"/>
                          </w:r>
                          <w:r>
                            <w:t xml:space="preserve">49</w:t>
                          </w:r>
                          <w:r>
                            <w:fldChar w:fldCharType="end"/>
                          </w:r>
                          <w:r>
                            <w:t xml:space="preserve">页</w:t>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0pt;height:11.6pt;mso-wrap-distance-left:9.0pt;mso-wrap-distance-top:0.0pt;mso-wrap-distance-right:9.0pt;mso-wrap-distance-bottom:0.0pt;v-text-anchor:top;visibility:visible;" filled="f" stroked="f">
              <v:textbox inset="0,0,0,0">
                <w:txbxContent>
                  <w:p>
                    <w:pPr>
                      <w:pStyle w:val="911"/>
                    </w:pPr>
                    <w:r>
                      <w:t xml:space="preserve">第</w:t>
                    </w:r>
                    <w:r>
                      <w:fldChar w:fldCharType="begin"/>
                    </w:r>
                    <w:r>
                      <w:instrText xml:space="preserve"> PAGE  \* MERGEFORMAT </w:instrText>
                    </w:r>
                    <w:r>
                      <w:fldChar w:fldCharType="separate"/>
                    </w:r>
                    <w:r>
                      <w:t xml:space="preserve">46</w:t>
                    </w:r>
                    <w:r>
                      <w:fldChar w:fldCharType="end"/>
                    </w:r>
                    <w:r>
                      <w:t xml:space="preserve">页共</w:t>
                    </w:r>
                    <w:r>
                      <w:fldChar w:fldCharType="begin"/>
                    </w:r>
                    <w:r>
                      <w:instrText xml:space="preserve"> NUMPAGES  \* MERGEFORMAT </w:instrText>
                    </w:r>
                    <w:r>
                      <w:fldChar w:fldCharType="separate"/>
                    </w:r>
                    <w:r>
                      <w:t xml:space="preserve">49</w:t>
                    </w:r>
                    <w:r>
                      <w:fldChar w:fldCharType="end"/>
                    </w:r>
                    <w:r>
                      <w:t xml:space="preserve">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_x0000_s102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wps:spPr>
                    <wps:txbx>
                      <w:txbxContent>
                        <w:p>
                          <w:pPr>
                            <w:pStyle w:val="1128"/>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r/>
                          <w:r/>
                        </w:p>
                      </w:txbxContent>
                    </wps:txbx>
                    <wps:bodyPr rot="0" vert="horz" wrap="square" lIns="91440" tIns="45720" rIns="91440" bIns="45720" anchor="t" anchorCtr="0"/>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v:textbox inset="0,0,0,0">
                <w:txbxContent>
                  <w:p>
                    <w:pPr>
                      <w:pStyle w:val="1128"/>
                      <w:tabs>
                        <w:tab w:val="clear" w:pos="4153" w:leader="none"/>
                        <w:tab w:val="clear" w:pos="8306" w:leader="none"/>
                      </w:tabs>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49</w:t>
                    </w:r>
                    <w:r>
                      <w:fldChar w:fldCharType="end"/>
                    </w:r>
                    <w:r>
                      <w:t xml:space="preserve"> 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tabs>
        <w:tab w:val="clear" w:pos="4153" w:leader="none"/>
        <w:tab w:val="clear"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tabs>
        <w:tab w:val="clear" w:pos="4153" w:leader="none"/>
        <w:tab w:val="clear"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tabs>
        <w:tab w:val="clear" w:pos="4153" w:leader="none"/>
        <w:tab w:val="clear"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tabs>
        <w:tab w:val="clear" w:pos="4153" w:leader="none"/>
        <w:tab w:val="clear" w:pos="8306" w:leader="none"/>
      </w:tabs>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tabs>
        <w:tab w:val="clear" w:pos="4153" w:leader="none"/>
        <w:tab w:val="clear"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97"/>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96"/>
    <w:link w:val="887"/>
    <w:uiPriority w:val="9"/>
    <w:rPr>
      <w:rFonts w:ascii="Arial" w:hAnsi="Arial" w:eastAsia="Arial" w:cs="Arial"/>
      <w:sz w:val="40"/>
      <w:szCs w:val="40"/>
    </w:rPr>
  </w:style>
  <w:style w:type="character" w:styleId="15">
    <w:name w:val="Heading 2 Char"/>
    <w:basedOn w:val="896"/>
    <w:link w:val="888"/>
    <w:uiPriority w:val="9"/>
    <w:rPr>
      <w:rFonts w:ascii="Arial" w:hAnsi="Arial" w:eastAsia="Arial" w:cs="Arial"/>
      <w:sz w:val="34"/>
    </w:rPr>
  </w:style>
  <w:style w:type="character" w:styleId="17">
    <w:name w:val="Heading 3 Char"/>
    <w:basedOn w:val="896"/>
    <w:link w:val="889"/>
    <w:uiPriority w:val="9"/>
    <w:rPr>
      <w:rFonts w:ascii="Arial" w:hAnsi="Arial" w:eastAsia="Arial" w:cs="Arial"/>
      <w:sz w:val="30"/>
      <w:szCs w:val="30"/>
    </w:rPr>
  </w:style>
  <w:style w:type="character" w:styleId="19">
    <w:name w:val="Heading 4 Char"/>
    <w:basedOn w:val="896"/>
    <w:link w:val="890"/>
    <w:uiPriority w:val="9"/>
    <w:rPr>
      <w:rFonts w:ascii="Arial" w:hAnsi="Arial" w:eastAsia="Arial" w:cs="Arial"/>
      <w:b/>
      <w:bCs/>
      <w:sz w:val="26"/>
      <w:szCs w:val="26"/>
    </w:rPr>
  </w:style>
  <w:style w:type="character" w:styleId="21">
    <w:name w:val="Heading 5 Char"/>
    <w:basedOn w:val="896"/>
    <w:link w:val="891"/>
    <w:uiPriority w:val="9"/>
    <w:rPr>
      <w:rFonts w:ascii="Arial" w:hAnsi="Arial" w:eastAsia="Arial" w:cs="Arial"/>
      <w:b/>
      <w:bCs/>
      <w:sz w:val="24"/>
      <w:szCs w:val="24"/>
    </w:rPr>
  </w:style>
  <w:style w:type="character" w:styleId="23">
    <w:name w:val="Heading 6 Char"/>
    <w:basedOn w:val="896"/>
    <w:link w:val="892"/>
    <w:uiPriority w:val="9"/>
    <w:rPr>
      <w:rFonts w:ascii="Arial" w:hAnsi="Arial" w:eastAsia="Arial" w:cs="Arial"/>
      <w:b/>
      <w:bCs/>
      <w:sz w:val="22"/>
      <w:szCs w:val="22"/>
    </w:rPr>
  </w:style>
  <w:style w:type="character" w:styleId="25">
    <w:name w:val="Heading 7 Char"/>
    <w:basedOn w:val="896"/>
    <w:link w:val="893"/>
    <w:uiPriority w:val="9"/>
    <w:rPr>
      <w:rFonts w:ascii="Arial" w:hAnsi="Arial" w:eastAsia="Arial" w:cs="Arial"/>
      <w:b/>
      <w:bCs/>
      <w:i/>
      <w:iCs/>
      <w:sz w:val="22"/>
      <w:szCs w:val="22"/>
    </w:rPr>
  </w:style>
  <w:style w:type="character" w:styleId="27">
    <w:name w:val="Heading 8 Char"/>
    <w:basedOn w:val="896"/>
    <w:link w:val="894"/>
    <w:uiPriority w:val="9"/>
    <w:rPr>
      <w:rFonts w:ascii="Arial" w:hAnsi="Arial" w:eastAsia="Arial" w:cs="Arial"/>
      <w:i/>
      <w:iCs/>
      <w:sz w:val="22"/>
      <w:szCs w:val="22"/>
    </w:rPr>
  </w:style>
  <w:style w:type="character" w:styleId="29">
    <w:name w:val="Heading 9 Char"/>
    <w:basedOn w:val="896"/>
    <w:link w:val="895"/>
    <w:uiPriority w:val="9"/>
    <w:rPr>
      <w:rFonts w:ascii="Arial" w:hAnsi="Arial" w:eastAsia="Arial" w:cs="Arial"/>
      <w:i/>
      <w:iCs/>
      <w:sz w:val="21"/>
      <w:szCs w:val="21"/>
    </w:rPr>
  </w:style>
  <w:style w:type="character" w:styleId="34">
    <w:name w:val="Title Char"/>
    <w:basedOn w:val="896"/>
    <w:link w:val="923"/>
    <w:uiPriority w:val="10"/>
    <w:rPr>
      <w:sz w:val="48"/>
      <w:szCs w:val="48"/>
    </w:rPr>
  </w:style>
  <w:style w:type="character" w:styleId="36">
    <w:name w:val="Subtitle Char"/>
    <w:basedOn w:val="896"/>
    <w:link w:val="915"/>
    <w:uiPriority w:val="11"/>
    <w:rPr>
      <w:sz w:val="24"/>
      <w:szCs w:val="24"/>
    </w:rPr>
  </w:style>
  <w:style w:type="character" w:styleId="38">
    <w:name w:val="Quote Char"/>
    <w:link w:val="948"/>
    <w:uiPriority w:val="29"/>
    <w:rPr>
      <w:i/>
    </w:rPr>
  </w:style>
  <w:style w:type="character" w:styleId="40">
    <w:name w:val="Intense Quote Char"/>
    <w:link w:val="950"/>
    <w:uiPriority w:val="30"/>
    <w:rPr>
      <w:i/>
    </w:rPr>
  </w:style>
  <w:style w:type="table" w:styleId="49">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16"/>
    <w:uiPriority w:val="99"/>
    <w:rPr>
      <w:sz w:val="18"/>
    </w:rPr>
  </w:style>
  <w:style w:type="character" w:styleId="178">
    <w:name w:val="Endnote Text Char"/>
    <w:link w:val="909"/>
    <w:uiPriority w:val="99"/>
    <w:rPr>
      <w:sz w:val="20"/>
    </w:rPr>
  </w:style>
  <w:style w:type="paragraph" w:styleId="189">
    <w:name w:val="TOC Heading"/>
    <w:uiPriority w:val="39"/>
    <w:unhideWhenUsed/>
  </w:style>
  <w:style w:type="paragraph" w:styleId="88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87">
    <w:name w:val="Heading 1"/>
    <w:basedOn w:val="886"/>
    <w:next w:val="886"/>
    <w:link w:val="935"/>
    <w:uiPriority w:val="9"/>
    <w:qFormat/>
    <w:pPr>
      <w:keepLines/>
      <w:keepNext/>
      <w:spacing w:before="480" w:after="200"/>
      <w:outlineLvl w:val="0"/>
    </w:pPr>
    <w:rPr>
      <w:rFonts w:ascii="Arial" w:hAnsi="Arial" w:eastAsia="Arial" w:cs="Arial"/>
      <w:sz w:val="40"/>
      <w:szCs w:val="40"/>
    </w:rPr>
  </w:style>
  <w:style w:type="paragraph" w:styleId="888">
    <w:name w:val="Heading 2"/>
    <w:basedOn w:val="886"/>
    <w:next w:val="886"/>
    <w:link w:val="936"/>
    <w:uiPriority w:val="9"/>
    <w:unhideWhenUsed/>
    <w:qFormat/>
    <w:pPr>
      <w:keepLines/>
      <w:keepNext/>
      <w:spacing w:before="360" w:after="200"/>
      <w:outlineLvl w:val="1"/>
    </w:pPr>
    <w:rPr>
      <w:rFonts w:ascii="Arial" w:hAnsi="Arial" w:eastAsia="Arial" w:cs="Arial"/>
      <w:sz w:val="34"/>
    </w:rPr>
  </w:style>
  <w:style w:type="paragraph" w:styleId="889">
    <w:name w:val="Heading 3"/>
    <w:basedOn w:val="886"/>
    <w:next w:val="886"/>
    <w:link w:val="937"/>
    <w:uiPriority w:val="9"/>
    <w:unhideWhenUsed/>
    <w:qFormat/>
    <w:pPr>
      <w:keepLines/>
      <w:keepNext/>
      <w:spacing w:before="320" w:after="200"/>
      <w:outlineLvl w:val="2"/>
    </w:pPr>
    <w:rPr>
      <w:rFonts w:ascii="Arial" w:hAnsi="Arial" w:eastAsia="Arial" w:cs="Arial"/>
      <w:sz w:val="30"/>
      <w:szCs w:val="30"/>
    </w:rPr>
  </w:style>
  <w:style w:type="paragraph" w:styleId="890">
    <w:name w:val="Heading 4"/>
    <w:basedOn w:val="886"/>
    <w:next w:val="886"/>
    <w:link w:val="938"/>
    <w:uiPriority w:val="9"/>
    <w:unhideWhenUsed/>
    <w:qFormat/>
    <w:pPr>
      <w:keepLines/>
      <w:keepNext/>
      <w:spacing w:before="320" w:after="200"/>
      <w:outlineLvl w:val="3"/>
    </w:pPr>
    <w:rPr>
      <w:rFonts w:ascii="Arial" w:hAnsi="Arial" w:eastAsia="Arial" w:cs="Arial"/>
      <w:b/>
      <w:bCs/>
      <w:sz w:val="26"/>
      <w:szCs w:val="26"/>
    </w:rPr>
  </w:style>
  <w:style w:type="paragraph" w:styleId="891">
    <w:name w:val="Heading 5"/>
    <w:basedOn w:val="886"/>
    <w:next w:val="886"/>
    <w:link w:val="939"/>
    <w:uiPriority w:val="9"/>
    <w:unhideWhenUsed/>
    <w:qFormat/>
    <w:pPr>
      <w:keepLines/>
      <w:keepNext/>
      <w:spacing w:before="320" w:after="200"/>
      <w:outlineLvl w:val="4"/>
    </w:pPr>
    <w:rPr>
      <w:rFonts w:ascii="Arial" w:hAnsi="Arial" w:eastAsia="Arial" w:cs="Arial"/>
      <w:b/>
      <w:bCs/>
      <w:sz w:val="24"/>
    </w:rPr>
  </w:style>
  <w:style w:type="paragraph" w:styleId="892">
    <w:name w:val="Heading 6"/>
    <w:basedOn w:val="886"/>
    <w:next w:val="886"/>
    <w:link w:val="940"/>
    <w:uiPriority w:val="9"/>
    <w:unhideWhenUsed/>
    <w:qFormat/>
    <w:pPr>
      <w:keepLines/>
      <w:keepNext/>
      <w:spacing w:before="320" w:after="200"/>
      <w:outlineLvl w:val="5"/>
    </w:pPr>
    <w:rPr>
      <w:rFonts w:ascii="Arial" w:hAnsi="Arial" w:eastAsia="Arial" w:cs="Arial"/>
      <w:b/>
      <w:bCs/>
      <w:sz w:val="22"/>
      <w:szCs w:val="22"/>
    </w:rPr>
  </w:style>
  <w:style w:type="paragraph" w:styleId="893">
    <w:name w:val="Heading 7"/>
    <w:basedOn w:val="886"/>
    <w:next w:val="886"/>
    <w:link w:val="941"/>
    <w:uiPriority w:val="9"/>
    <w:unhideWhenUsed/>
    <w:qFormat/>
    <w:pPr>
      <w:keepLines/>
      <w:keepNext/>
      <w:spacing w:before="320" w:after="200"/>
      <w:outlineLvl w:val="6"/>
    </w:pPr>
    <w:rPr>
      <w:rFonts w:ascii="Arial" w:hAnsi="Arial" w:eastAsia="Arial" w:cs="Arial"/>
      <w:b/>
      <w:bCs/>
      <w:i/>
      <w:iCs/>
      <w:sz w:val="22"/>
      <w:szCs w:val="22"/>
    </w:rPr>
  </w:style>
  <w:style w:type="paragraph" w:styleId="894">
    <w:name w:val="Heading 8"/>
    <w:basedOn w:val="886"/>
    <w:next w:val="886"/>
    <w:link w:val="942"/>
    <w:uiPriority w:val="9"/>
    <w:unhideWhenUsed/>
    <w:qFormat/>
    <w:pPr>
      <w:keepLines/>
      <w:keepNext/>
      <w:spacing w:before="320" w:after="200"/>
      <w:outlineLvl w:val="7"/>
    </w:pPr>
    <w:rPr>
      <w:rFonts w:ascii="Arial" w:hAnsi="Arial" w:eastAsia="Arial" w:cs="Arial"/>
      <w:i/>
      <w:iCs/>
      <w:sz w:val="22"/>
      <w:szCs w:val="22"/>
    </w:rPr>
  </w:style>
  <w:style w:type="paragraph" w:styleId="895">
    <w:name w:val="Heading 9"/>
    <w:basedOn w:val="886"/>
    <w:next w:val="886"/>
    <w:link w:val="943"/>
    <w:uiPriority w:val="9"/>
    <w:unhideWhenUsed/>
    <w:qFormat/>
    <w:pPr>
      <w:keepLines/>
      <w:keepNext/>
      <w:spacing w:before="320" w:after="200"/>
      <w:outlineLvl w:val="8"/>
    </w:pPr>
    <w:rPr>
      <w:rFonts w:ascii="Arial" w:hAnsi="Arial" w:eastAsia="Arial" w:cs="Arial"/>
      <w:i/>
      <w:iCs/>
      <w:szCs w:val="21"/>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toc 7"/>
    <w:basedOn w:val="886"/>
    <w:next w:val="886"/>
    <w:uiPriority w:val="39"/>
    <w:unhideWhenUsed/>
    <w:qFormat/>
    <w:pPr>
      <w:ind w:left="1701"/>
      <w:spacing w:after="57"/>
    </w:pPr>
  </w:style>
  <w:style w:type="paragraph" w:styleId="899">
    <w:name w:val="Caption"/>
    <w:basedOn w:val="886"/>
    <w:next w:val="8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0">
    <w:name w:val="toa heading"/>
    <w:basedOn w:val="886"/>
    <w:next w:val="886"/>
    <w:uiPriority w:val="0"/>
    <w:qFormat/>
    <w:pPr>
      <w:jc w:val="center"/>
      <w:spacing w:line="360" w:lineRule="atLeast"/>
    </w:pPr>
    <w:rPr>
      <w:rFonts w:ascii="Arial" w:hAnsi="Arial" w:eastAsia="黑体"/>
      <w:sz w:val="36"/>
      <w:szCs w:val="20"/>
    </w:rPr>
  </w:style>
  <w:style w:type="paragraph" w:styleId="901">
    <w:name w:val="annotation text"/>
    <w:basedOn w:val="886"/>
    <w:uiPriority w:val="99"/>
    <w:semiHidden/>
    <w:unhideWhenUsed/>
    <w:qFormat/>
    <w:pPr>
      <w:jc w:val="left"/>
    </w:pPr>
  </w:style>
  <w:style w:type="paragraph" w:styleId="902">
    <w:name w:val="Body Text"/>
    <w:basedOn w:val="886"/>
    <w:next w:val="886"/>
    <w:link w:val="1241"/>
    <w:uiPriority w:val="99"/>
    <w:qFormat/>
    <w:rPr>
      <w:rFonts w:ascii="仿宋_GB2312" w:eastAsia="仿宋_GB2312"/>
      <w:sz w:val="24"/>
    </w:rPr>
  </w:style>
  <w:style w:type="paragraph" w:styleId="903">
    <w:name w:val="Body Text Indent"/>
    <w:basedOn w:val="886"/>
    <w:next w:val="904"/>
    <w:uiPriority w:val="99"/>
    <w:unhideWhenUsed/>
    <w:qFormat/>
    <w:pPr>
      <w:ind w:left="420"/>
      <w:spacing w:after="120"/>
    </w:pPr>
  </w:style>
  <w:style w:type="paragraph" w:styleId="904">
    <w:name w:val="envelope return"/>
    <w:basedOn w:val="886"/>
    <w:uiPriority w:val="99"/>
    <w:unhideWhenUsed/>
    <w:qFormat/>
    <w:rPr>
      <w:rFonts w:ascii="Arial" w:hAnsi="Arial"/>
    </w:rPr>
  </w:style>
  <w:style w:type="paragraph" w:styleId="905">
    <w:name w:val="toc 5"/>
    <w:basedOn w:val="886"/>
    <w:next w:val="886"/>
    <w:uiPriority w:val="39"/>
    <w:unhideWhenUsed/>
    <w:qFormat/>
    <w:pPr>
      <w:ind w:left="1134"/>
      <w:spacing w:after="57"/>
    </w:pPr>
  </w:style>
  <w:style w:type="paragraph" w:styleId="906">
    <w:name w:val="toc 3"/>
    <w:basedOn w:val="886"/>
    <w:next w:val="886"/>
    <w:uiPriority w:val="39"/>
    <w:unhideWhenUsed/>
    <w:qFormat/>
    <w:pPr>
      <w:ind w:left="567"/>
      <w:spacing w:after="57"/>
    </w:pPr>
  </w:style>
  <w:style w:type="paragraph" w:styleId="907">
    <w:name w:val="Plain Text"/>
    <w:basedOn w:val="886"/>
    <w:uiPriority w:val="0"/>
    <w:qFormat/>
    <w:rPr>
      <w:rFonts w:ascii="宋体" w:hAnsi="Courier New"/>
      <w:sz w:val="20"/>
      <w:szCs w:val="21"/>
    </w:rPr>
  </w:style>
  <w:style w:type="paragraph" w:styleId="908">
    <w:name w:val="toc 8"/>
    <w:basedOn w:val="886"/>
    <w:next w:val="886"/>
    <w:uiPriority w:val="39"/>
    <w:unhideWhenUsed/>
    <w:qFormat/>
    <w:pPr>
      <w:ind w:left="1984"/>
      <w:spacing w:after="57"/>
    </w:pPr>
  </w:style>
  <w:style w:type="paragraph" w:styleId="909">
    <w:name w:val="endnote text"/>
    <w:basedOn w:val="886"/>
    <w:link w:val="1081"/>
    <w:uiPriority w:val="99"/>
    <w:semiHidden/>
    <w:unhideWhenUsed/>
    <w:qFormat/>
    <w:rPr>
      <w:sz w:val="20"/>
    </w:rPr>
  </w:style>
  <w:style w:type="paragraph" w:styleId="910">
    <w:name w:val="Balloon Text"/>
    <w:basedOn w:val="886"/>
    <w:link w:val="1242"/>
    <w:uiPriority w:val="99"/>
    <w:semiHidden/>
    <w:unhideWhenUsed/>
    <w:qFormat/>
    <w:rPr>
      <w:sz w:val="18"/>
      <w:szCs w:val="18"/>
    </w:rPr>
  </w:style>
  <w:style w:type="paragraph" w:styleId="911">
    <w:name w:val="Footer"/>
    <w:basedOn w:val="886"/>
    <w:link w:val="1240"/>
    <w:uiPriority w:val="0"/>
    <w:qFormat/>
    <w:pPr>
      <w:jc w:val="left"/>
      <w:tabs>
        <w:tab w:val="center" w:pos="4153" w:leader="none"/>
        <w:tab w:val="right" w:pos="8306" w:leader="none"/>
      </w:tabs>
    </w:pPr>
    <w:rPr>
      <w:sz w:val="18"/>
      <w:szCs w:val="18"/>
    </w:rPr>
  </w:style>
  <w:style w:type="paragraph" w:styleId="912">
    <w:name w:val="Header"/>
    <w:basedOn w:val="886"/>
    <w:link w:val="1239"/>
    <w:uiPriority w:val="0"/>
    <w:qFormat/>
    <w:pPr>
      <w:jc w:val="center"/>
      <w:tabs>
        <w:tab w:val="center" w:pos="4153" w:leader="none"/>
        <w:tab w:val="right" w:pos="8306" w:leader="none"/>
      </w:tabs>
    </w:pPr>
    <w:rPr>
      <w:sz w:val="18"/>
      <w:szCs w:val="18"/>
    </w:rPr>
  </w:style>
  <w:style w:type="paragraph" w:styleId="913">
    <w:name w:val="toc 1"/>
    <w:basedOn w:val="886"/>
    <w:next w:val="886"/>
    <w:uiPriority w:val="39"/>
    <w:unhideWhenUsed/>
    <w:qFormat/>
    <w:pPr>
      <w:spacing w:after="57"/>
    </w:pPr>
  </w:style>
  <w:style w:type="paragraph" w:styleId="914">
    <w:name w:val="toc 4"/>
    <w:basedOn w:val="886"/>
    <w:next w:val="886"/>
    <w:uiPriority w:val="39"/>
    <w:unhideWhenUsed/>
    <w:qFormat/>
    <w:pPr>
      <w:ind w:left="850"/>
      <w:spacing w:after="57"/>
    </w:pPr>
  </w:style>
  <w:style w:type="paragraph" w:styleId="915">
    <w:name w:val="Subtitle"/>
    <w:basedOn w:val="886"/>
    <w:next w:val="886"/>
    <w:link w:val="947"/>
    <w:uiPriority w:val="11"/>
    <w:qFormat/>
    <w:pPr>
      <w:spacing w:before="200" w:after="200"/>
    </w:pPr>
    <w:rPr>
      <w:sz w:val="24"/>
    </w:rPr>
  </w:style>
  <w:style w:type="paragraph" w:styleId="916">
    <w:name w:val="footnote text"/>
    <w:basedOn w:val="886"/>
    <w:link w:val="1080"/>
    <w:uiPriority w:val="99"/>
    <w:semiHidden/>
    <w:unhideWhenUsed/>
    <w:qFormat/>
    <w:pPr>
      <w:spacing w:after="40"/>
    </w:pPr>
    <w:rPr>
      <w:sz w:val="18"/>
    </w:rPr>
  </w:style>
  <w:style w:type="paragraph" w:styleId="917">
    <w:name w:val="toc 6"/>
    <w:basedOn w:val="886"/>
    <w:next w:val="886"/>
    <w:uiPriority w:val="39"/>
    <w:unhideWhenUsed/>
    <w:qFormat/>
    <w:pPr>
      <w:ind w:left="1417"/>
      <w:spacing w:after="57"/>
    </w:pPr>
  </w:style>
  <w:style w:type="paragraph" w:styleId="918">
    <w:name w:val="Body Text Indent 3"/>
    <w:basedOn w:val="886"/>
    <w:uiPriority w:val="0"/>
    <w:qFormat/>
    <w:pPr>
      <w:ind w:firstLine="480"/>
      <w:spacing w:line="360" w:lineRule="auto"/>
      <w:widowControl/>
    </w:pPr>
    <w:rPr>
      <w:sz w:val="24"/>
    </w:rPr>
  </w:style>
  <w:style w:type="paragraph" w:styleId="919">
    <w:name w:val="table of figures"/>
    <w:basedOn w:val="886"/>
    <w:next w:val="886"/>
    <w:uiPriority w:val="99"/>
    <w:unhideWhenUsed/>
    <w:qFormat/>
  </w:style>
  <w:style w:type="paragraph" w:styleId="920">
    <w:name w:val="toc 2"/>
    <w:basedOn w:val="886"/>
    <w:next w:val="886"/>
    <w:uiPriority w:val="39"/>
    <w:unhideWhenUsed/>
    <w:qFormat/>
    <w:pPr>
      <w:ind w:left="283"/>
      <w:spacing w:after="57"/>
    </w:pPr>
  </w:style>
  <w:style w:type="paragraph" w:styleId="921">
    <w:name w:val="toc 9"/>
    <w:basedOn w:val="886"/>
    <w:next w:val="886"/>
    <w:uiPriority w:val="39"/>
    <w:unhideWhenUsed/>
    <w:qFormat/>
    <w:pPr>
      <w:ind w:left="2268"/>
      <w:spacing w:after="57"/>
    </w:pPr>
  </w:style>
  <w:style w:type="paragraph" w:styleId="922">
    <w:name w:val="Normal (Web)"/>
    <w:basedOn w:val="886"/>
    <w:uiPriority w:val="0"/>
    <w:unhideWhenUsed/>
    <w:qFormat/>
    <w:pPr>
      <w:jc w:val="left"/>
      <w:spacing w:before="100" w:beforeAutospacing="1" w:after="100" w:afterAutospacing="1"/>
      <w:widowControl/>
    </w:pPr>
    <w:rPr>
      <w:rFonts w:ascii="宋体" w:hAnsi="宋体" w:cs="宋体"/>
      <w:sz w:val="24"/>
    </w:rPr>
  </w:style>
  <w:style w:type="paragraph" w:styleId="923">
    <w:name w:val="Title"/>
    <w:basedOn w:val="886"/>
    <w:next w:val="886"/>
    <w:link w:val="946"/>
    <w:uiPriority w:val="10"/>
    <w:qFormat/>
    <w:pPr>
      <w:contextualSpacing/>
      <w:spacing w:before="300" w:after="200"/>
    </w:pPr>
    <w:rPr>
      <w:sz w:val="48"/>
      <w:szCs w:val="48"/>
    </w:rPr>
  </w:style>
  <w:style w:type="paragraph" w:styleId="924">
    <w:name w:val="Body Text First Indent"/>
    <w:basedOn w:val="902"/>
    <w:uiPriority w:val="0"/>
    <w:qFormat/>
    <w:pPr>
      <w:ind w:firstLine="420"/>
      <w:spacing w:after="120"/>
    </w:pPr>
    <w:rPr>
      <w:rFonts w:ascii="Times New Roman" w:eastAsia="宋体"/>
      <w:szCs w:val="24"/>
    </w:rPr>
  </w:style>
  <w:style w:type="paragraph" w:styleId="925">
    <w:name w:val="Body Text First Indent 2"/>
    <w:basedOn w:val="903"/>
    <w:next w:val="918"/>
    <w:uiPriority w:val="99"/>
    <w:unhideWhenUsed/>
    <w:qFormat/>
    <w:pPr>
      <w:ind w:firstLine="420"/>
    </w:pPr>
  </w:style>
  <w:style w:type="table" w:styleId="926">
    <w:name w:val="Table Grid"/>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7">
    <w:name w:val="Strong"/>
    <w:basedOn w:val="896"/>
    <w:uiPriority w:val="22"/>
    <w:qFormat/>
    <w:rPr>
      <w:b/>
    </w:rPr>
  </w:style>
  <w:style w:type="character" w:styleId="928">
    <w:name w:val="endnote reference"/>
    <w:basedOn w:val="896"/>
    <w:uiPriority w:val="99"/>
    <w:semiHidden/>
    <w:unhideWhenUsed/>
    <w:qFormat/>
    <w:rPr>
      <w:vertAlign w:val="superscript"/>
    </w:rPr>
  </w:style>
  <w:style w:type="character" w:styleId="929">
    <w:name w:val="Hyperlink"/>
    <w:uiPriority w:val="99"/>
    <w:unhideWhenUsed/>
    <w:qFormat/>
    <w:rPr>
      <w:color w:val="0000ff" w:themeColor="hyperlink"/>
      <w:u w:val="single"/>
      <w14:textFill>
        <w14:solidFill>
          <w14:schemeClr w14:val="hlink"/>
        </w14:solidFill>
      </w14:textFill>
    </w:rPr>
  </w:style>
  <w:style w:type="character" w:styleId="930">
    <w:name w:val="footnote reference"/>
    <w:basedOn w:val="896"/>
    <w:uiPriority w:val="99"/>
    <w:unhideWhenUsed/>
    <w:qFormat/>
    <w:rPr>
      <w:vertAlign w:val="superscript"/>
    </w:rPr>
  </w:style>
  <w:style w:type="paragraph" w:styleId="931" w:customStyle="1">
    <w:name w:val="索引 411"/>
    <w:basedOn w:val="886"/>
    <w:next w:val="886"/>
    <w:uiPriority w:val="99"/>
    <w:unhideWhenUsed/>
    <w:qFormat/>
    <w:pPr>
      <w:jc w:val="left"/>
    </w:pPr>
    <w:rPr>
      <w:sz w:val="24"/>
      <w:szCs w:val="24"/>
    </w:rPr>
  </w:style>
  <w:style w:type="paragraph" w:styleId="932" w:customStyle="1">
    <w:name w:val="无间隔1"/>
    <w:uiPriority w:val="0"/>
    <w:qFormat/>
    <w:rPr>
      <w:rFonts w:ascii="Times New Roman" w:hAnsi="Times New Roman" w:eastAsia="宋体" w:cs="Times New Roman"/>
      <w:sz w:val="22"/>
      <w:lang w:val="en-US" w:eastAsia="zh-CN" w:bidi="ar-SA"/>
    </w:rPr>
  </w:style>
  <w:style w:type="paragraph" w:styleId="933" w:customStyle="1">
    <w:name w:val="正文首行缩进11"/>
    <w:basedOn w:val="934"/>
    <w:link w:val="1142"/>
    <w:uiPriority w:val="0"/>
    <w:qFormat/>
    <w:pPr>
      <w:ind w:firstLine="420"/>
      <w:spacing w:after="120"/>
    </w:pPr>
    <w:rPr>
      <w:rFonts w:ascii="Times New Roman" w:eastAsia="宋体"/>
      <w:szCs w:val="24"/>
    </w:rPr>
  </w:style>
  <w:style w:type="paragraph" w:styleId="934" w:customStyle="1">
    <w:name w:val="正文文本1"/>
    <w:basedOn w:val="886"/>
    <w:next w:val="886"/>
    <w:uiPriority w:val="0"/>
    <w:qFormat/>
    <w:rPr>
      <w:rFonts w:ascii="楷体_GB2312" w:hAnsi="Arial" w:eastAsia="楷体_GB2312"/>
      <w:sz w:val="28"/>
      <w:szCs w:val="28"/>
    </w:rPr>
  </w:style>
  <w:style w:type="character" w:styleId="935" w:customStyle="1">
    <w:name w:val="标题 1 字符1"/>
    <w:basedOn w:val="896"/>
    <w:link w:val="887"/>
    <w:uiPriority w:val="9"/>
    <w:qFormat/>
    <w:rPr>
      <w:rFonts w:ascii="Arial" w:hAnsi="Arial" w:eastAsia="Arial" w:cs="Arial"/>
      <w:sz w:val="40"/>
      <w:szCs w:val="40"/>
    </w:rPr>
  </w:style>
  <w:style w:type="character" w:styleId="936" w:customStyle="1">
    <w:name w:val="标题 2 字符1"/>
    <w:basedOn w:val="896"/>
    <w:link w:val="888"/>
    <w:uiPriority w:val="9"/>
    <w:qFormat/>
    <w:rPr>
      <w:rFonts w:ascii="Arial" w:hAnsi="Arial" w:eastAsia="Arial" w:cs="Arial"/>
      <w:sz w:val="34"/>
    </w:rPr>
  </w:style>
  <w:style w:type="character" w:styleId="937" w:customStyle="1">
    <w:name w:val="标题 3 字符1"/>
    <w:basedOn w:val="896"/>
    <w:link w:val="889"/>
    <w:uiPriority w:val="9"/>
    <w:qFormat/>
    <w:rPr>
      <w:rFonts w:ascii="Arial" w:hAnsi="Arial" w:eastAsia="Arial" w:cs="Arial"/>
      <w:sz w:val="30"/>
      <w:szCs w:val="30"/>
    </w:rPr>
  </w:style>
  <w:style w:type="character" w:styleId="938" w:customStyle="1">
    <w:name w:val="标题 4 字符1"/>
    <w:basedOn w:val="896"/>
    <w:link w:val="890"/>
    <w:uiPriority w:val="9"/>
    <w:qFormat/>
    <w:rPr>
      <w:rFonts w:ascii="Arial" w:hAnsi="Arial" w:eastAsia="Arial" w:cs="Arial"/>
      <w:b/>
      <w:bCs/>
      <w:sz w:val="26"/>
      <w:szCs w:val="26"/>
    </w:rPr>
  </w:style>
  <w:style w:type="character" w:styleId="939" w:customStyle="1">
    <w:name w:val="标题 5 字符1"/>
    <w:basedOn w:val="896"/>
    <w:link w:val="891"/>
    <w:uiPriority w:val="9"/>
    <w:qFormat/>
    <w:rPr>
      <w:rFonts w:ascii="Arial" w:hAnsi="Arial" w:eastAsia="Arial" w:cs="Arial"/>
      <w:b/>
      <w:bCs/>
      <w:sz w:val="24"/>
      <w:szCs w:val="24"/>
    </w:rPr>
  </w:style>
  <w:style w:type="character" w:styleId="940" w:customStyle="1">
    <w:name w:val="标题 6 字符1"/>
    <w:basedOn w:val="896"/>
    <w:link w:val="892"/>
    <w:uiPriority w:val="9"/>
    <w:qFormat/>
    <w:rPr>
      <w:rFonts w:ascii="Arial" w:hAnsi="Arial" w:eastAsia="Arial" w:cs="Arial"/>
      <w:b/>
      <w:bCs/>
      <w:sz w:val="22"/>
      <w:szCs w:val="22"/>
    </w:rPr>
  </w:style>
  <w:style w:type="character" w:styleId="941" w:customStyle="1">
    <w:name w:val="标题 7 字符1"/>
    <w:basedOn w:val="896"/>
    <w:link w:val="893"/>
    <w:uiPriority w:val="9"/>
    <w:qFormat/>
    <w:rPr>
      <w:rFonts w:ascii="Arial" w:hAnsi="Arial" w:eastAsia="Arial" w:cs="Arial"/>
      <w:b/>
      <w:bCs/>
      <w:i/>
      <w:iCs/>
      <w:sz w:val="22"/>
      <w:szCs w:val="22"/>
    </w:rPr>
  </w:style>
  <w:style w:type="character" w:styleId="942" w:customStyle="1">
    <w:name w:val="标题 8 字符1"/>
    <w:basedOn w:val="896"/>
    <w:link w:val="894"/>
    <w:uiPriority w:val="9"/>
    <w:qFormat/>
    <w:rPr>
      <w:rFonts w:ascii="Arial" w:hAnsi="Arial" w:eastAsia="Arial" w:cs="Arial"/>
      <w:i/>
      <w:iCs/>
      <w:sz w:val="22"/>
      <w:szCs w:val="22"/>
    </w:rPr>
  </w:style>
  <w:style w:type="character" w:styleId="943" w:customStyle="1">
    <w:name w:val="标题 9 字符1"/>
    <w:basedOn w:val="896"/>
    <w:link w:val="895"/>
    <w:uiPriority w:val="9"/>
    <w:qFormat/>
    <w:rPr>
      <w:rFonts w:ascii="Arial" w:hAnsi="Arial" w:eastAsia="Arial" w:cs="Arial"/>
      <w:i/>
      <w:iCs/>
      <w:sz w:val="21"/>
      <w:szCs w:val="21"/>
    </w:rPr>
  </w:style>
  <w:style w:type="paragraph" w:styleId="944">
    <w:name w:val="List Paragraph"/>
    <w:basedOn w:val="886"/>
    <w:uiPriority w:val="34"/>
    <w:qFormat/>
    <w:pPr>
      <w:contextualSpacing/>
      <w:ind w:left="720"/>
    </w:pPr>
  </w:style>
  <w:style w:type="paragraph" w:styleId="945">
    <w:name w:val="No Spacing"/>
    <w:uiPriority w:val="1"/>
    <w:qFormat/>
    <w:rPr>
      <w:rFonts w:ascii="Times New Roman" w:hAnsi="Times New Roman" w:eastAsia="宋体" w:cs="Times New Roman"/>
      <w:lang w:val="en-US" w:eastAsia="zh-CN" w:bidi="ar-SA"/>
    </w:rPr>
  </w:style>
  <w:style w:type="character" w:styleId="946" w:customStyle="1">
    <w:name w:val="标题 字符"/>
    <w:basedOn w:val="896"/>
    <w:link w:val="923"/>
    <w:uiPriority w:val="10"/>
    <w:qFormat/>
    <w:rPr>
      <w:sz w:val="48"/>
      <w:szCs w:val="48"/>
    </w:rPr>
  </w:style>
  <w:style w:type="character" w:styleId="947" w:customStyle="1">
    <w:name w:val="副标题 字符"/>
    <w:basedOn w:val="896"/>
    <w:link w:val="915"/>
    <w:uiPriority w:val="11"/>
    <w:qFormat/>
    <w:rPr>
      <w:sz w:val="24"/>
      <w:szCs w:val="24"/>
    </w:rPr>
  </w:style>
  <w:style w:type="paragraph" w:styleId="948">
    <w:name w:val="Quote"/>
    <w:basedOn w:val="886"/>
    <w:next w:val="886"/>
    <w:link w:val="949"/>
    <w:uiPriority w:val="29"/>
    <w:qFormat/>
    <w:pPr>
      <w:ind w:left="720" w:right="720"/>
    </w:pPr>
    <w:rPr>
      <w:i/>
    </w:rPr>
  </w:style>
  <w:style w:type="character" w:styleId="949" w:customStyle="1">
    <w:name w:val="引用 字符"/>
    <w:link w:val="948"/>
    <w:uiPriority w:val="29"/>
    <w:qFormat/>
    <w:rPr>
      <w:i/>
    </w:rPr>
  </w:style>
  <w:style w:type="paragraph" w:styleId="950">
    <w:name w:val="Intense Quote"/>
    <w:basedOn w:val="886"/>
    <w:next w:val="886"/>
    <w:link w:val="9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1" w:customStyle="1">
    <w:name w:val="明显引用 字符"/>
    <w:link w:val="950"/>
    <w:uiPriority w:val="30"/>
    <w:qFormat/>
    <w:rPr>
      <w:i/>
    </w:rPr>
  </w:style>
  <w:style w:type="character" w:styleId="952" w:customStyle="1">
    <w:name w:val="Header Char"/>
    <w:basedOn w:val="896"/>
    <w:uiPriority w:val="99"/>
    <w:qFormat/>
  </w:style>
  <w:style w:type="character" w:styleId="953" w:customStyle="1">
    <w:name w:val="Footer Char"/>
    <w:basedOn w:val="896"/>
    <w:uiPriority w:val="99"/>
    <w:qFormat/>
  </w:style>
  <w:style w:type="character" w:styleId="954" w:customStyle="1">
    <w:name w:val="Caption Char"/>
    <w:uiPriority w:val="99"/>
    <w:qFormat/>
  </w:style>
  <w:style w:type="table" w:styleId="955" w:customStyle="1">
    <w:name w:val="Table Grid Light"/>
    <w:basedOn w:val="8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6" w:customStyle="1">
    <w:name w:val="无格式表格 11"/>
    <w:basedOn w:val="8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无格式表格 21"/>
    <w:basedOn w:val="8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无格式表格 31"/>
    <w:basedOn w:val="8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9" w:customStyle="1">
    <w:name w:val="无格式表格 41"/>
    <w:basedOn w:val="8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0" w:customStyle="1">
    <w:name w:val="无格式表格 51"/>
    <w:basedOn w:val="8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1" w:customStyle="1">
    <w:name w:val="网格表 1 浅色1"/>
    <w:basedOn w:val="8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1"/>
    <w:basedOn w:val="8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2"/>
    <w:basedOn w:val="8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3"/>
    <w:basedOn w:val="8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4"/>
    <w:basedOn w:val="8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5"/>
    <w:basedOn w:val="8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6"/>
    <w:basedOn w:val="8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8" w:customStyle="1">
    <w:name w:val="网格表 21"/>
    <w:basedOn w:val="8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9" w:customStyle="1">
    <w:name w:val="Grid Table 2 - Accent 1"/>
    <w:basedOn w:val="8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0" w:customStyle="1">
    <w:name w:val="Grid Table 2 - Accent 2"/>
    <w:basedOn w:val="8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Grid Table 2 - Accent 3"/>
    <w:basedOn w:val="8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2" w:customStyle="1">
    <w:name w:val="Grid Table 2 - Accent 4"/>
    <w:basedOn w:val="8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Grid Table 2 - Accent 5"/>
    <w:basedOn w:val="89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4" w:customStyle="1">
    <w:name w:val="Grid Table 2 - Accent 6"/>
    <w:basedOn w:val="89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5" w:customStyle="1">
    <w:name w:val="网格表 31"/>
    <w:basedOn w:val="8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1"/>
    <w:basedOn w:val="8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2"/>
    <w:basedOn w:val="8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3"/>
    <w:basedOn w:val="8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4"/>
    <w:basedOn w:val="8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5"/>
    <w:basedOn w:val="89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6"/>
    <w:basedOn w:val="89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网格表 41"/>
    <w:basedOn w:val="8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3" w:customStyle="1">
    <w:name w:val="Grid Table 4 - Accent 1"/>
    <w:basedOn w:val="89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4" w:customStyle="1">
    <w:name w:val="Grid Table 4 - Accent 2"/>
    <w:basedOn w:val="89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5" w:customStyle="1">
    <w:name w:val="Grid Table 4 - Accent 3"/>
    <w:basedOn w:val="89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6" w:customStyle="1">
    <w:name w:val="Grid Table 4 - Accent 4"/>
    <w:basedOn w:val="89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7" w:customStyle="1">
    <w:name w:val="Grid Table 4 - Accent 5"/>
    <w:basedOn w:val="89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8" w:customStyle="1">
    <w:name w:val="Grid Table 4 - Accent 6"/>
    <w:basedOn w:val="89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9" w:customStyle="1">
    <w:name w:val="网格表 5 深色1"/>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0" w:customStyle="1">
    <w:name w:val="Grid Table 5 Dark- Accent 1"/>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1" w:customStyle="1">
    <w:name w:val="Grid Table 5 Dark - Accent 2"/>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2" w:customStyle="1">
    <w:name w:val="Grid Table 5 Dark - Accent 3"/>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3" w:customStyle="1">
    <w:name w:val="Grid Table 5 Dark- Accent 4"/>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4" w:customStyle="1">
    <w:name w:val="Grid Table 5 Dark - Accent 5"/>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5" w:customStyle="1">
    <w:name w:val="Grid Table 5 Dark - Accent 6"/>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6" w:customStyle="1">
    <w:name w:val="网格表 6 彩色1"/>
    <w:basedOn w:val="8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7" w:customStyle="1">
    <w:name w:val="Grid Table 6 Colorful - Accent 1"/>
    <w:basedOn w:val="89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8" w:customStyle="1">
    <w:name w:val="Grid Table 6 Colorful - Accent 2"/>
    <w:basedOn w:val="8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9" w:customStyle="1">
    <w:name w:val="Grid Table 6 Colorful - Accent 3"/>
    <w:basedOn w:val="89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0" w:customStyle="1">
    <w:name w:val="Grid Table 6 Colorful - Accent 4"/>
    <w:basedOn w:val="8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1" w:customStyle="1">
    <w:name w:val="Grid Table 6 Colorful - Accent 5"/>
    <w:basedOn w:val="89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2" w:customStyle="1">
    <w:name w:val="Grid Table 6 Colorful - Accent 6"/>
    <w:basedOn w:val="89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3" w:customStyle="1">
    <w:name w:val="网格表 7 彩色1"/>
    <w:basedOn w:val="8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4" w:customStyle="1">
    <w:name w:val="Grid Table 7 Colorful - Accent 1"/>
    <w:basedOn w:val="89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5" w:customStyle="1">
    <w:name w:val="Grid Table 7 Colorful - Accent 2"/>
    <w:basedOn w:val="89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Grid Table 7 Colorful - Accent 3"/>
    <w:basedOn w:val="89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7" w:customStyle="1">
    <w:name w:val="Grid Table 7 Colorful - Accent 4"/>
    <w:basedOn w:val="89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Grid Table 7 Colorful - Accent 5"/>
    <w:basedOn w:val="89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9" w:customStyle="1">
    <w:name w:val="Grid Table 7 Colorful - Accent 6"/>
    <w:basedOn w:val="89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0" w:customStyle="1">
    <w:name w:val="清单表 1 浅色1"/>
    <w:basedOn w:val="89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1" w:customStyle="1">
    <w:name w:val="List Table 1 Light - Accent 1"/>
    <w:basedOn w:val="89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2" w:customStyle="1">
    <w:name w:val="List Table 1 Light - Accent 2"/>
    <w:basedOn w:val="89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3" w:customStyle="1">
    <w:name w:val="List Table 1 Light - Accent 3"/>
    <w:basedOn w:val="89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4" w:customStyle="1">
    <w:name w:val="List Table 1 Light - Accent 4"/>
    <w:basedOn w:val="89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5" w:customStyle="1">
    <w:name w:val="List Table 1 Light - Accent 5"/>
    <w:basedOn w:val="89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6" w:customStyle="1">
    <w:name w:val="List Table 1 Light - Accent 6"/>
    <w:basedOn w:val="89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7" w:customStyle="1">
    <w:name w:val="清单表 21"/>
    <w:basedOn w:val="8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8" w:customStyle="1">
    <w:name w:val="List Table 2 - Accent 1"/>
    <w:basedOn w:val="89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9" w:customStyle="1">
    <w:name w:val="List Table 2 - Accent 2"/>
    <w:basedOn w:val="89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0" w:customStyle="1">
    <w:name w:val="List Table 2 - Accent 3"/>
    <w:basedOn w:val="89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1" w:customStyle="1">
    <w:name w:val="List Table 2 - Accent 4"/>
    <w:basedOn w:val="89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2" w:customStyle="1">
    <w:name w:val="List Table 2 - Accent 5"/>
    <w:basedOn w:val="89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3" w:customStyle="1">
    <w:name w:val="List Table 2 - Accent 6"/>
    <w:basedOn w:val="89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4" w:customStyle="1">
    <w:name w:val="清单表 31"/>
    <w:basedOn w:val="8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3 - Accent 1"/>
    <w:basedOn w:val="89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6" w:customStyle="1">
    <w:name w:val="List Table 3 - Accent 2"/>
    <w:basedOn w:val="8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7" w:customStyle="1">
    <w:name w:val="List Table 3 - Accent 3"/>
    <w:basedOn w:val="89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8" w:customStyle="1">
    <w:name w:val="List Table 3 - Accent 4"/>
    <w:basedOn w:val="8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9" w:customStyle="1">
    <w:name w:val="List Table 3 - Accent 5"/>
    <w:basedOn w:val="89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0" w:customStyle="1">
    <w:name w:val="List Table 3 - Accent 6"/>
    <w:basedOn w:val="89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1" w:customStyle="1">
    <w:name w:val="清单表 41"/>
    <w:basedOn w:val="8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2" w:customStyle="1">
    <w:name w:val="List Table 4 - Accent 1"/>
    <w:basedOn w:val="89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3" w:customStyle="1">
    <w:name w:val="List Table 4 - Accent 2"/>
    <w:basedOn w:val="89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4" w:customStyle="1">
    <w:name w:val="List Table 4 - Accent 3"/>
    <w:basedOn w:val="89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5" w:customStyle="1">
    <w:name w:val="List Table 4 - Accent 4"/>
    <w:basedOn w:val="89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6" w:customStyle="1">
    <w:name w:val="List Table 4 - Accent 5"/>
    <w:basedOn w:val="89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7" w:customStyle="1">
    <w:name w:val="List Table 4 - Accent 6"/>
    <w:basedOn w:val="89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8" w:customStyle="1">
    <w:name w:val="清单表 5 深色1"/>
    <w:basedOn w:val="8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1"/>
    <w:basedOn w:val="89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2"/>
    <w:basedOn w:val="89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3"/>
    <w:basedOn w:val="89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4"/>
    <w:basedOn w:val="89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5"/>
    <w:basedOn w:val="89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6"/>
    <w:basedOn w:val="89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清单表 6 彩色1"/>
    <w:basedOn w:val="89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6" w:customStyle="1">
    <w:name w:val="List Table 6 Colorful - Accent 1"/>
    <w:basedOn w:val="89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7" w:customStyle="1">
    <w:name w:val="List Table 6 Colorful - Accent 2"/>
    <w:basedOn w:val="89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8" w:customStyle="1">
    <w:name w:val="List Table 6 Colorful - Accent 3"/>
    <w:basedOn w:val="89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9" w:customStyle="1">
    <w:name w:val="List Table 6 Colorful - Accent 4"/>
    <w:basedOn w:val="89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0" w:customStyle="1">
    <w:name w:val="List Table 6 Colorful - Accent 5"/>
    <w:basedOn w:val="89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1" w:customStyle="1">
    <w:name w:val="List Table 6 Colorful - Accent 6"/>
    <w:basedOn w:val="89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2" w:customStyle="1">
    <w:name w:val="清单表 7 彩色1"/>
    <w:basedOn w:val="89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3" w:customStyle="1">
    <w:name w:val="List Table 7 Colorful - Accent 1"/>
    <w:basedOn w:val="89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4" w:customStyle="1">
    <w:name w:val="List Table 7 Colorful - Accent 2"/>
    <w:basedOn w:val="89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5" w:customStyle="1">
    <w:name w:val="List Table 7 Colorful - Accent 3"/>
    <w:basedOn w:val="89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6" w:customStyle="1">
    <w:name w:val="List Table 7 Colorful - Accent 4"/>
    <w:basedOn w:val="89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7" w:customStyle="1">
    <w:name w:val="List Table 7 Colorful - Accent 5"/>
    <w:basedOn w:val="89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8" w:customStyle="1">
    <w:name w:val="List Table 7 Colorful - Accent 6"/>
    <w:basedOn w:val="89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9" w:customStyle="1">
    <w:name w:val="Lined - Accent"/>
    <w:basedOn w:val="8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0" w:customStyle="1">
    <w:name w:val="Lined - Accent 1"/>
    <w:basedOn w:val="8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1" w:customStyle="1">
    <w:name w:val="Lined - Accent 2"/>
    <w:basedOn w:val="8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2" w:customStyle="1">
    <w:name w:val="Lined - Accent 3"/>
    <w:basedOn w:val="8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3" w:customStyle="1">
    <w:name w:val="Lined - Accent 4"/>
    <w:basedOn w:val="8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4" w:customStyle="1">
    <w:name w:val="Lined - Accent 5"/>
    <w:basedOn w:val="8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5" w:customStyle="1">
    <w:name w:val="Lined - Accent 6"/>
    <w:basedOn w:val="8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6" w:customStyle="1">
    <w:name w:val="Bordered &amp; Lined - Accent"/>
    <w:basedOn w:val="8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7" w:customStyle="1">
    <w:name w:val="Bordered &amp; Lined - Accent 1"/>
    <w:basedOn w:val="89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8" w:customStyle="1">
    <w:name w:val="Bordered &amp; Lined - Accent 2"/>
    <w:basedOn w:val="89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9" w:customStyle="1">
    <w:name w:val="Bordered &amp; Lined - Accent 3"/>
    <w:basedOn w:val="89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0" w:customStyle="1">
    <w:name w:val="Bordered &amp; Lined - Accent 4"/>
    <w:basedOn w:val="89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1" w:customStyle="1">
    <w:name w:val="Bordered &amp; Lined - Accent 5"/>
    <w:basedOn w:val="89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2" w:customStyle="1">
    <w:name w:val="Bordered &amp; Lined - Accent 6"/>
    <w:basedOn w:val="89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3" w:customStyle="1">
    <w:name w:val="Bordered"/>
    <w:basedOn w:val="8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4" w:customStyle="1">
    <w:name w:val="Bordered - Accent 1"/>
    <w:basedOn w:val="8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5" w:customStyle="1">
    <w:name w:val="Bordered - Accent 2"/>
    <w:basedOn w:val="8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6" w:customStyle="1">
    <w:name w:val="Bordered - Accent 3"/>
    <w:basedOn w:val="8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7" w:customStyle="1">
    <w:name w:val="Bordered - Accent 4"/>
    <w:basedOn w:val="8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8" w:customStyle="1">
    <w:name w:val="Bordered - Accent 5"/>
    <w:basedOn w:val="8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9" w:customStyle="1">
    <w:name w:val="Bordered - Accent 6"/>
    <w:basedOn w:val="8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0" w:customStyle="1">
    <w:name w:val="脚注文本 字符"/>
    <w:link w:val="916"/>
    <w:uiPriority w:val="99"/>
    <w:qFormat/>
    <w:rPr>
      <w:sz w:val="18"/>
    </w:rPr>
  </w:style>
  <w:style w:type="character" w:styleId="1081" w:customStyle="1">
    <w:name w:val="尾注文本 字符"/>
    <w:link w:val="909"/>
    <w:uiPriority w:val="99"/>
    <w:qFormat/>
    <w:rPr>
      <w:sz w:val="20"/>
    </w:rPr>
  </w:style>
  <w:style w:type="paragraph" w:styleId="1082" w:customStyle="1">
    <w:name w:val="TOC 标题1"/>
    <w:uiPriority w:val="39"/>
    <w:unhideWhenUsed/>
    <w:qFormat/>
    <w:rPr>
      <w:rFonts w:ascii="Times New Roman" w:hAnsi="Times New Roman" w:eastAsia="宋体" w:cs="Times New Roman"/>
      <w:lang w:val="en-US" w:eastAsia="zh-CN" w:bidi="ar-SA"/>
    </w:rPr>
  </w:style>
  <w:style w:type="paragraph" w:styleId="1083" w:customStyle="1">
    <w:name w:val="标题 11"/>
    <w:basedOn w:val="886"/>
    <w:link w:val="1094"/>
    <w:uiPriority w:val="0"/>
    <w:qFormat/>
    <w:pPr>
      <w:keepLines/>
      <w:keepNext/>
      <w:spacing w:before="340" w:after="330" w:line="578" w:lineRule="auto"/>
      <w:outlineLvl w:val="0"/>
    </w:pPr>
    <w:rPr>
      <w:b/>
      <w:bCs/>
      <w:sz w:val="44"/>
      <w:szCs w:val="44"/>
    </w:rPr>
  </w:style>
  <w:style w:type="paragraph" w:styleId="1084" w:customStyle="1">
    <w:name w:val="标题 21"/>
    <w:basedOn w:val="886"/>
    <w:link w:val="1095"/>
    <w:uiPriority w:val="0"/>
    <w:qFormat/>
    <w:pPr>
      <w:keepLines/>
      <w:keepNext/>
      <w:spacing w:before="260" w:after="260" w:line="416" w:lineRule="auto"/>
      <w:outlineLvl w:val="1"/>
    </w:pPr>
    <w:rPr>
      <w:rFonts w:ascii="Arial" w:hAnsi="Arial" w:eastAsia="黑体"/>
      <w:b/>
      <w:bCs/>
      <w:sz w:val="32"/>
      <w:szCs w:val="32"/>
    </w:rPr>
  </w:style>
  <w:style w:type="paragraph" w:styleId="1085" w:customStyle="1">
    <w:name w:val="标题 31"/>
    <w:basedOn w:val="886"/>
    <w:link w:val="1096"/>
    <w:uiPriority w:val="0"/>
    <w:qFormat/>
    <w:pPr>
      <w:keepLines/>
      <w:keepNext/>
      <w:spacing w:before="260" w:after="260" w:line="416" w:lineRule="auto"/>
      <w:outlineLvl w:val="2"/>
    </w:pPr>
    <w:rPr>
      <w:b/>
      <w:bCs/>
      <w:sz w:val="32"/>
      <w:szCs w:val="32"/>
    </w:rPr>
  </w:style>
  <w:style w:type="paragraph" w:styleId="1086" w:customStyle="1">
    <w:name w:val="标题 411"/>
    <w:basedOn w:val="886"/>
    <w:link w:val="1097"/>
    <w:uiPriority w:val="0"/>
    <w:qFormat/>
    <w:pPr>
      <w:jc w:val="center"/>
      <w:keepNext/>
      <w:outlineLvl w:val="3"/>
    </w:pPr>
    <w:rPr>
      <w:rFonts w:eastAsia="新宋体"/>
      <w:sz w:val="30"/>
      <w:szCs w:val="21"/>
    </w:rPr>
  </w:style>
  <w:style w:type="paragraph" w:styleId="1087" w:customStyle="1">
    <w:name w:val="标题 51"/>
    <w:basedOn w:val="886"/>
    <w:link w:val="1098"/>
    <w:uiPriority w:val="0"/>
    <w:qFormat/>
    <w:pPr>
      <w:keepLines/>
      <w:keepNext/>
      <w:spacing w:before="280" w:after="290" w:line="376" w:lineRule="auto"/>
      <w:outlineLvl w:val="4"/>
    </w:pPr>
    <w:rPr>
      <w:b/>
      <w:bCs/>
      <w:sz w:val="28"/>
      <w:szCs w:val="28"/>
    </w:rPr>
  </w:style>
  <w:style w:type="paragraph" w:styleId="1088" w:customStyle="1">
    <w:name w:val="标题 61"/>
    <w:basedOn w:val="886"/>
    <w:link w:val="1099"/>
    <w:uiPriority w:val="0"/>
    <w:qFormat/>
    <w:pPr>
      <w:jc w:val="center"/>
      <w:keepNext/>
      <w:outlineLvl w:val="5"/>
    </w:pPr>
    <w:rPr>
      <w:b/>
      <w:sz w:val="44"/>
      <w:szCs w:val="20"/>
    </w:rPr>
  </w:style>
  <w:style w:type="paragraph" w:styleId="1089" w:customStyle="1">
    <w:name w:val="标题 71"/>
    <w:basedOn w:val="886"/>
    <w:link w:val="1102"/>
    <w:uiPriority w:val="0"/>
    <w:qFormat/>
    <w:pPr>
      <w:keepLines/>
      <w:keepNext/>
      <w:spacing w:before="240" w:after="64" w:line="320" w:lineRule="auto"/>
      <w:outlineLvl w:val="6"/>
    </w:pPr>
    <w:rPr>
      <w:b/>
      <w:bCs/>
      <w:sz w:val="24"/>
    </w:rPr>
  </w:style>
  <w:style w:type="paragraph" w:styleId="1090" w:customStyle="1">
    <w:name w:val="标题 81"/>
    <w:basedOn w:val="886"/>
    <w:link w:val="1103"/>
    <w:uiPriority w:val="0"/>
    <w:qFormat/>
    <w:pPr>
      <w:keepLines/>
      <w:keepNext/>
      <w:spacing w:before="240" w:after="64" w:line="320" w:lineRule="auto"/>
      <w:outlineLvl w:val="7"/>
    </w:pPr>
    <w:rPr>
      <w:rFonts w:ascii="Arial" w:hAnsi="Arial" w:eastAsia="黑体"/>
      <w:sz w:val="24"/>
    </w:rPr>
  </w:style>
  <w:style w:type="paragraph" w:styleId="1091" w:customStyle="1">
    <w:name w:val="标题 91"/>
    <w:basedOn w:val="886"/>
    <w:link w:val="1104"/>
    <w:uiPriority w:val="0"/>
    <w:qFormat/>
    <w:pPr>
      <w:keepLines/>
      <w:keepNext/>
      <w:spacing w:before="240" w:after="64" w:line="320" w:lineRule="auto"/>
      <w:outlineLvl w:val="8"/>
    </w:pPr>
    <w:rPr>
      <w:rFonts w:ascii="Arial" w:hAnsi="Arial" w:eastAsia="黑体"/>
      <w:sz w:val="24"/>
      <w:szCs w:val="21"/>
    </w:rPr>
  </w:style>
  <w:style w:type="character" w:styleId="1092" w:customStyle="1">
    <w:name w:val="默认段落字体1"/>
    <w:uiPriority w:val="0"/>
    <w:qFormat/>
  </w:style>
  <w:style w:type="table" w:styleId="1093" w:customStyle="1">
    <w:name w:val="普通表格1"/>
    <w:uiPriority w:val="0"/>
    <w:qFormat/>
    <w:tblPr>
      <w:tblCellMar>
        <w:left w:w="0" w:type="dxa"/>
        <w:top w:w="0" w:type="dxa"/>
        <w:right w:w="0" w:type="dxa"/>
        <w:bottom w:w="0" w:type="dxa"/>
      </w:tblCellMar>
    </w:tblPr>
  </w:style>
  <w:style w:type="character" w:styleId="1094" w:customStyle="1">
    <w:name w:val="标题 1 字符"/>
    <w:link w:val="1083"/>
    <w:uiPriority w:val="0"/>
    <w:qFormat/>
    <w:rPr>
      <w:rFonts w:ascii="Times New Roman" w:hAnsi="Times New Roman" w:eastAsia="宋体"/>
      <w:b/>
      <w:bCs/>
      <w:sz w:val="44"/>
      <w:szCs w:val="44"/>
    </w:rPr>
  </w:style>
  <w:style w:type="character" w:styleId="1095" w:customStyle="1">
    <w:name w:val="标题 2 字符"/>
    <w:link w:val="1084"/>
    <w:uiPriority w:val="0"/>
    <w:qFormat/>
    <w:rPr>
      <w:rFonts w:ascii="Arial" w:hAnsi="Arial" w:eastAsia="黑体"/>
      <w:b/>
      <w:bCs/>
      <w:sz w:val="32"/>
      <w:szCs w:val="32"/>
    </w:rPr>
  </w:style>
  <w:style w:type="character" w:styleId="1096" w:customStyle="1">
    <w:name w:val="标题 3 字符"/>
    <w:link w:val="1085"/>
    <w:uiPriority w:val="0"/>
    <w:qFormat/>
    <w:rPr>
      <w:rFonts w:ascii="Times New Roman" w:hAnsi="Times New Roman" w:eastAsia="宋体"/>
      <w:b/>
      <w:bCs/>
      <w:sz w:val="32"/>
      <w:szCs w:val="32"/>
    </w:rPr>
  </w:style>
  <w:style w:type="character" w:styleId="1097" w:customStyle="1">
    <w:name w:val="标题 4 字符"/>
    <w:link w:val="1086"/>
    <w:uiPriority w:val="0"/>
    <w:qFormat/>
    <w:rPr>
      <w:rFonts w:ascii="Times New Roman" w:hAnsi="Times New Roman" w:eastAsia="新宋体"/>
      <w:sz w:val="30"/>
      <w:szCs w:val="21"/>
    </w:rPr>
  </w:style>
  <w:style w:type="character" w:styleId="1098" w:customStyle="1">
    <w:name w:val="标题 5 字符"/>
    <w:link w:val="1087"/>
    <w:uiPriority w:val="0"/>
    <w:qFormat/>
    <w:rPr>
      <w:rFonts w:ascii="Times New Roman" w:hAnsi="Times New Roman" w:eastAsia="宋体"/>
      <w:b/>
      <w:bCs/>
      <w:sz w:val="28"/>
      <w:szCs w:val="28"/>
    </w:rPr>
  </w:style>
  <w:style w:type="character" w:styleId="1099" w:customStyle="1">
    <w:name w:val="标题 6 字符"/>
    <w:link w:val="1088"/>
    <w:uiPriority w:val="0"/>
    <w:qFormat/>
    <w:rPr>
      <w:rFonts w:ascii="Times New Roman" w:hAnsi="Times New Roman" w:eastAsia="宋体"/>
      <w:b/>
      <w:sz w:val="44"/>
      <w:szCs w:val="20"/>
    </w:rPr>
  </w:style>
  <w:style w:type="paragraph" w:styleId="1100" w:customStyle="1">
    <w:name w:val="正文缩进11"/>
    <w:basedOn w:val="886"/>
    <w:link w:val="1101"/>
    <w:uiPriority w:val="0"/>
    <w:qFormat/>
    <w:pPr>
      <w:ind w:firstLine="420"/>
    </w:pPr>
    <w:rPr>
      <w:sz w:val="20"/>
      <w:szCs w:val="20"/>
    </w:rPr>
  </w:style>
  <w:style w:type="character" w:styleId="1101" w:customStyle="1">
    <w:name w:val="正文缩进 字符"/>
    <w:link w:val="1100"/>
    <w:uiPriority w:val="0"/>
    <w:qFormat/>
    <w:rPr>
      <w:rFonts w:ascii="Times New Roman" w:hAnsi="Times New Roman" w:eastAsia="宋体"/>
      <w:sz w:val="20"/>
      <w:szCs w:val="20"/>
    </w:rPr>
  </w:style>
  <w:style w:type="character" w:styleId="1102" w:customStyle="1">
    <w:name w:val="标题 7 字符"/>
    <w:link w:val="1089"/>
    <w:uiPriority w:val="0"/>
    <w:qFormat/>
    <w:rPr>
      <w:rFonts w:ascii="Times New Roman" w:hAnsi="Times New Roman" w:eastAsia="宋体"/>
      <w:b/>
      <w:bCs/>
      <w:sz w:val="24"/>
      <w:szCs w:val="24"/>
    </w:rPr>
  </w:style>
  <w:style w:type="character" w:styleId="1103" w:customStyle="1">
    <w:name w:val="标题 8 字符"/>
    <w:link w:val="1090"/>
    <w:uiPriority w:val="0"/>
    <w:qFormat/>
    <w:rPr>
      <w:rFonts w:ascii="Arial" w:hAnsi="Arial" w:eastAsia="黑体"/>
      <w:sz w:val="24"/>
      <w:szCs w:val="24"/>
    </w:rPr>
  </w:style>
  <w:style w:type="character" w:styleId="1104" w:customStyle="1">
    <w:name w:val="标题 9 字符"/>
    <w:link w:val="1091"/>
    <w:uiPriority w:val="0"/>
    <w:qFormat/>
    <w:rPr>
      <w:rFonts w:ascii="Arial" w:hAnsi="Arial" w:eastAsia="黑体"/>
      <w:sz w:val="24"/>
      <w:szCs w:val="21"/>
    </w:rPr>
  </w:style>
  <w:style w:type="paragraph" w:styleId="1105" w:customStyle="1">
    <w:name w:val="注释标题1"/>
    <w:basedOn w:val="886"/>
    <w:uiPriority w:val="0"/>
    <w:qFormat/>
    <w:rPr>
      <w:rFonts w:ascii="Verdana" w:hAnsi="Verdana"/>
      <w:szCs w:val="20"/>
    </w:rPr>
  </w:style>
  <w:style w:type="paragraph" w:styleId="1106" w:customStyle="1">
    <w:name w:val="文档结构图1"/>
    <w:basedOn w:val="886"/>
    <w:link w:val="1107"/>
    <w:uiPriority w:val="0"/>
    <w:semiHidden/>
    <w:qFormat/>
    <w:pPr>
      <w:shd w:val="clear" w:color="auto" w:fill="000080"/>
    </w:pPr>
    <w:rPr>
      <w:sz w:val="20"/>
    </w:rPr>
  </w:style>
  <w:style w:type="character" w:styleId="1107" w:customStyle="1">
    <w:name w:val="文档结构图 字符"/>
    <w:link w:val="1106"/>
    <w:uiPriority w:val="0"/>
    <w:semiHidden/>
    <w:qFormat/>
    <w:rPr>
      <w:szCs w:val="24"/>
      <w:shd w:val="clear" w:color="auto" w:fill="000080"/>
    </w:rPr>
  </w:style>
  <w:style w:type="paragraph" w:styleId="1108" w:customStyle="1">
    <w:name w:val="引文目录标题1"/>
    <w:basedOn w:val="886"/>
    <w:uiPriority w:val="0"/>
    <w:qFormat/>
    <w:pPr>
      <w:jc w:val="center"/>
      <w:spacing w:line="360" w:lineRule="atLeast"/>
    </w:pPr>
    <w:rPr>
      <w:rFonts w:ascii="Arial" w:hAnsi="Arial" w:eastAsia="黑体"/>
      <w:sz w:val="36"/>
      <w:szCs w:val="20"/>
    </w:rPr>
  </w:style>
  <w:style w:type="paragraph" w:styleId="1109" w:customStyle="1">
    <w:name w:val="批注文字1"/>
    <w:basedOn w:val="886"/>
    <w:link w:val="1110"/>
    <w:uiPriority w:val="0"/>
    <w:qFormat/>
    <w:pPr>
      <w:jc w:val="left"/>
    </w:pPr>
  </w:style>
  <w:style w:type="character" w:styleId="1110" w:customStyle="1">
    <w:name w:val="批注文字 字符"/>
    <w:link w:val="1109"/>
    <w:uiPriority w:val="0"/>
    <w:qFormat/>
    <w:rPr>
      <w:sz w:val="21"/>
      <w:szCs w:val="24"/>
    </w:rPr>
  </w:style>
  <w:style w:type="paragraph" w:styleId="1111" w:customStyle="1">
    <w:name w:val="正文文本 31"/>
    <w:basedOn w:val="886"/>
    <w:link w:val="1112"/>
    <w:uiPriority w:val="0"/>
    <w:qFormat/>
    <w:pPr>
      <w:spacing w:after="120"/>
    </w:pPr>
    <w:rPr>
      <w:sz w:val="16"/>
      <w:szCs w:val="16"/>
    </w:rPr>
  </w:style>
  <w:style w:type="character" w:styleId="1112" w:customStyle="1">
    <w:name w:val="正文文本 3 字符"/>
    <w:link w:val="1111"/>
    <w:uiPriority w:val="0"/>
    <w:qFormat/>
    <w:rPr>
      <w:rFonts w:ascii="Times New Roman" w:hAnsi="Times New Roman" w:eastAsia="宋体"/>
      <w:sz w:val="16"/>
      <w:szCs w:val="16"/>
    </w:rPr>
  </w:style>
  <w:style w:type="paragraph" w:styleId="1113" w:customStyle="1">
    <w:name w:val="正文文本21"/>
    <w:basedOn w:val="886"/>
    <w:link w:val="1114"/>
    <w:uiPriority w:val="0"/>
    <w:qFormat/>
    <w:rPr>
      <w:rFonts w:ascii="仿宋_GB2312" w:eastAsia="仿宋_GB2312"/>
      <w:sz w:val="24"/>
      <w:szCs w:val="20"/>
    </w:rPr>
  </w:style>
  <w:style w:type="character" w:styleId="1114" w:customStyle="1">
    <w:name w:val="正文文本 字符"/>
    <w:link w:val="1113"/>
    <w:uiPriority w:val="0"/>
    <w:qFormat/>
    <w:rPr>
      <w:rFonts w:ascii="仿宋_GB2312" w:hAnsi="Times New Roman" w:eastAsia="仿宋_GB2312"/>
      <w:sz w:val="24"/>
      <w:szCs w:val="20"/>
    </w:rPr>
  </w:style>
  <w:style w:type="paragraph" w:styleId="1115" w:customStyle="1">
    <w:name w:val="style4"/>
    <w:basedOn w:val="886"/>
    <w:uiPriority w:val="0"/>
    <w:qFormat/>
    <w:pPr>
      <w:spacing w:before="280" w:after="280"/>
      <w:widowControl/>
    </w:pPr>
    <w:rPr>
      <w:rFonts w:ascii="宋体"/>
      <w:sz w:val="18"/>
    </w:rPr>
  </w:style>
  <w:style w:type="paragraph" w:styleId="1116" w:customStyle="1">
    <w:name w:val="2"/>
    <w:uiPriority w:val="0"/>
    <w:qFormat/>
    <w:pPr>
      <w:jc w:val="both"/>
      <w:widowControl w:val="off"/>
    </w:pPr>
    <w:rPr>
      <w:rFonts w:ascii="Times New Roman" w:hAnsi="Times New Roman" w:eastAsia="宋体" w:cs="Times New Roman"/>
      <w:sz w:val="21"/>
      <w:szCs w:val="22"/>
      <w:lang w:val="en-US" w:eastAsia="zh-CN" w:bidi="ar-SA"/>
    </w:rPr>
  </w:style>
  <w:style w:type="paragraph" w:styleId="1117" w:customStyle="1">
    <w:name w:val="正文文本缩进1"/>
    <w:basedOn w:val="886"/>
    <w:link w:val="1118"/>
    <w:uiPriority w:val="0"/>
    <w:qFormat/>
    <w:pPr>
      <w:ind w:left="765"/>
    </w:pPr>
    <w:rPr>
      <w:rFonts w:ascii="仿宋_GB2312" w:eastAsia="仿宋_GB2312"/>
      <w:sz w:val="28"/>
      <w:szCs w:val="20"/>
    </w:rPr>
  </w:style>
  <w:style w:type="character" w:styleId="1118" w:customStyle="1">
    <w:name w:val="正文文本缩进 字符"/>
    <w:link w:val="1117"/>
    <w:uiPriority w:val="0"/>
    <w:qFormat/>
    <w:rPr>
      <w:rFonts w:ascii="仿宋_GB2312" w:hAnsi="Times New Roman" w:eastAsia="仿宋_GB2312"/>
      <w:sz w:val="28"/>
      <w:szCs w:val="20"/>
    </w:rPr>
  </w:style>
  <w:style w:type="paragraph" w:styleId="1119" w:customStyle="1">
    <w:name w:val="文本块1"/>
    <w:basedOn w:val="886"/>
    <w:uiPriority w:val="0"/>
    <w:qFormat/>
    <w:pPr>
      <w:ind w:right="210" w:firstLine="560"/>
      <w:spacing w:line="360" w:lineRule="auto"/>
    </w:pPr>
    <w:rPr>
      <w:rFonts w:ascii="宋体" w:hAnsi="宋体"/>
      <w:color w:val="000000"/>
      <w:spacing w:val="20"/>
      <w:sz w:val="24"/>
      <w:szCs w:val="18"/>
    </w:rPr>
  </w:style>
  <w:style w:type="paragraph" w:styleId="1120" w:customStyle="1">
    <w:name w:val="纯文本11"/>
    <w:basedOn w:val="886"/>
    <w:link w:val="1121"/>
    <w:uiPriority w:val="0"/>
    <w:qFormat/>
    <w:rPr>
      <w:rFonts w:ascii="宋体" w:hAnsi="Courier New"/>
      <w:sz w:val="20"/>
      <w:szCs w:val="21"/>
    </w:rPr>
  </w:style>
  <w:style w:type="character" w:styleId="1121" w:customStyle="1">
    <w:name w:val="纯文本 字符"/>
    <w:link w:val="1120"/>
    <w:uiPriority w:val="0"/>
    <w:qFormat/>
    <w:rPr>
      <w:rFonts w:ascii="宋体" w:hAnsi="Courier New" w:eastAsia="宋体"/>
      <w:szCs w:val="21"/>
    </w:rPr>
  </w:style>
  <w:style w:type="paragraph" w:styleId="1122" w:customStyle="1">
    <w:name w:val="日期1"/>
    <w:basedOn w:val="886"/>
    <w:link w:val="1123"/>
    <w:uiPriority w:val="0"/>
    <w:qFormat/>
    <w:rPr>
      <w:sz w:val="24"/>
      <w:szCs w:val="20"/>
    </w:rPr>
  </w:style>
  <w:style w:type="character" w:styleId="1123" w:customStyle="1">
    <w:name w:val="日期 字符"/>
    <w:link w:val="1122"/>
    <w:uiPriority w:val="0"/>
    <w:qFormat/>
    <w:rPr>
      <w:rFonts w:ascii="Times New Roman" w:hAnsi="Times New Roman" w:eastAsia="宋体"/>
      <w:sz w:val="24"/>
      <w:szCs w:val="20"/>
    </w:rPr>
  </w:style>
  <w:style w:type="paragraph" w:styleId="1124" w:customStyle="1">
    <w:name w:val="正文文本缩进 21"/>
    <w:basedOn w:val="886"/>
    <w:link w:val="1125"/>
    <w:uiPriority w:val="0"/>
    <w:qFormat/>
    <w:pPr>
      <w:ind w:firstLine="560"/>
      <w:spacing w:line="500" w:lineRule="exact"/>
    </w:pPr>
    <w:rPr>
      <w:rFonts w:eastAsia="仿宋_GB2312"/>
      <w:sz w:val="28"/>
      <w:szCs w:val="20"/>
    </w:rPr>
  </w:style>
  <w:style w:type="character" w:styleId="1125" w:customStyle="1">
    <w:name w:val="正文文本缩进 2 字符"/>
    <w:link w:val="1124"/>
    <w:uiPriority w:val="0"/>
    <w:qFormat/>
    <w:rPr>
      <w:rFonts w:ascii="Times New Roman" w:hAnsi="Times New Roman" w:eastAsia="仿宋_GB2312"/>
      <w:sz w:val="28"/>
      <w:szCs w:val="20"/>
    </w:rPr>
  </w:style>
  <w:style w:type="paragraph" w:styleId="1126" w:customStyle="1">
    <w:name w:val="批注框文本1"/>
    <w:basedOn w:val="886"/>
    <w:link w:val="1127"/>
    <w:uiPriority w:val="0"/>
    <w:semiHidden/>
    <w:qFormat/>
    <w:rPr>
      <w:sz w:val="18"/>
      <w:szCs w:val="18"/>
    </w:rPr>
  </w:style>
  <w:style w:type="character" w:styleId="1127" w:customStyle="1">
    <w:name w:val="批注框文本 字符"/>
    <w:link w:val="1126"/>
    <w:uiPriority w:val="0"/>
    <w:semiHidden/>
    <w:qFormat/>
    <w:rPr>
      <w:sz w:val="18"/>
      <w:szCs w:val="18"/>
    </w:rPr>
  </w:style>
  <w:style w:type="paragraph" w:styleId="1128" w:customStyle="1">
    <w:name w:val="页脚11"/>
    <w:basedOn w:val="886"/>
    <w:link w:val="1129"/>
    <w:uiPriority w:val="0"/>
    <w:qFormat/>
    <w:pPr>
      <w:jc w:val="left"/>
      <w:tabs>
        <w:tab w:val="center" w:pos="4153" w:leader="none"/>
        <w:tab w:val="right" w:pos="8306" w:leader="none"/>
      </w:tabs>
    </w:pPr>
    <w:rPr>
      <w:sz w:val="18"/>
      <w:szCs w:val="20"/>
    </w:rPr>
  </w:style>
  <w:style w:type="character" w:styleId="1129" w:customStyle="1">
    <w:name w:val="页脚 字符"/>
    <w:link w:val="1128"/>
    <w:uiPriority w:val="0"/>
    <w:qFormat/>
    <w:rPr>
      <w:rFonts w:ascii="Times New Roman" w:hAnsi="Times New Roman" w:eastAsia="宋体"/>
      <w:sz w:val="18"/>
      <w:szCs w:val="20"/>
    </w:rPr>
  </w:style>
  <w:style w:type="paragraph" w:styleId="1130" w:customStyle="1">
    <w:name w:val="寄信人地址1"/>
    <w:basedOn w:val="886"/>
    <w:uiPriority w:val="0"/>
    <w:qFormat/>
    <w:rPr>
      <w:rFonts w:ascii="Arial" w:hAnsi="Arial"/>
    </w:rPr>
  </w:style>
  <w:style w:type="paragraph" w:styleId="1131" w:customStyle="1">
    <w:name w:val="页眉11"/>
    <w:basedOn w:val="886"/>
    <w:link w:val="1132"/>
    <w:uiPriority w:val="0"/>
    <w:qFormat/>
    <w:pPr>
      <w:jc w:val="center"/>
      <w:tabs>
        <w:tab w:val="center" w:pos="4153" w:leader="none"/>
        <w:tab w:val="right" w:pos="8306" w:leader="none"/>
      </w:tabs>
      <w:pBdr>
        <w:bottom w:val="single" w:color="000000" w:sz="6" w:space="1"/>
      </w:pBdr>
    </w:pPr>
    <w:rPr>
      <w:sz w:val="18"/>
      <w:szCs w:val="18"/>
    </w:rPr>
  </w:style>
  <w:style w:type="character" w:styleId="1132" w:customStyle="1">
    <w:name w:val="页眉 字符"/>
    <w:link w:val="1131"/>
    <w:uiPriority w:val="0"/>
    <w:qFormat/>
    <w:rPr>
      <w:rFonts w:ascii="Times New Roman" w:hAnsi="Times New Roman" w:eastAsia="宋体"/>
      <w:sz w:val="18"/>
      <w:szCs w:val="18"/>
    </w:rPr>
  </w:style>
  <w:style w:type="paragraph" w:styleId="1133" w:customStyle="1">
    <w:name w:val="目录 11"/>
    <w:basedOn w:val="886"/>
    <w:uiPriority w:val="0"/>
    <w:semiHidden/>
    <w:qFormat/>
    <w:rPr>
      <w:sz w:val="24"/>
    </w:rPr>
  </w:style>
  <w:style w:type="paragraph" w:styleId="1134" w:customStyle="1">
    <w:name w:val="列表1"/>
    <w:basedOn w:val="886"/>
    <w:uiPriority w:val="0"/>
    <w:qFormat/>
    <w:pPr>
      <w:ind w:left="200" w:hanging="200"/>
    </w:pPr>
  </w:style>
  <w:style w:type="paragraph" w:styleId="1135" w:customStyle="1">
    <w:name w:val="正文文本缩进 31"/>
    <w:basedOn w:val="886"/>
    <w:link w:val="1136"/>
    <w:uiPriority w:val="0"/>
    <w:qFormat/>
    <w:pPr>
      <w:ind w:left="420"/>
      <w:spacing w:after="120"/>
    </w:pPr>
    <w:rPr>
      <w:sz w:val="16"/>
      <w:szCs w:val="16"/>
    </w:rPr>
  </w:style>
  <w:style w:type="character" w:styleId="1136" w:customStyle="1">
    <w:name w:val="正文文本缩进 3 字符"/>
    <w:link w:val="1135"/>
    <w:uiPriority w:val="0"/>
    <w:qFormat/>
    <w:rPr>
      <w:rFonts w:ascii="Times New Roman" w:hAnsi="Times New Roman" w:eastAsia="宋体"/>
      <w:sz w:val="16"/>
      <w:szCs w:val="16"/>
    </w:rPr>
  </w:style>
  <w:style w:type="paragraph" w:styleId="1137" w:customStyle="1">
    <w:name w:val="正文文本 21"/>
    <w:basedOn w:val="886"/>
    <w:link w:val="1138"/>
    <w:uiPriority w:val="0"/>
    <w:qFormat/>
    <w:rPr>
      <w:b/>
      <w:bCs/>
      <w:sz w:val="18"/>
    </w:rPr>
  </w:style>
  <w:style w:type="character" w:styleId="1138" w:customStyle="1">
    <w:name w:val="正文文本 2 字符"/>
    <w:link w:val="1137"/>
    <w:uiPriority w:val="0"/>
    <w:qFormat/>
    <w:rPr>
      <w:rFonts w:ascii="Times New Roman" w:hAnsi="Times New Roman" w:eastAsia="宋体"/>
      <w:b/>
      <w:bCs/>
      <w:sz w:val="18"/>
      <w:szCs w:val="24"/>
    </w:rPr>
  </w:style>
  <w:style w:type="paragraph" w:styleId="1139" w:customStyle="1">
    <w:name w:val="普通(网站)1"/>
    <w:basedOn w:val="886"/>
    <w:uiPriority w:val="0"/>
    <w:qFormat/>
    <w:pPr>
      <w:jc w:val="left"/>
      <w:spacing w:before="100" w:beforeAutospacing="1" w:after="100" w:afterAutospacing="1"/>
      <w:widowControl/>
    </w:pPr>
    <w:rPr>
      <w:rFonts w:ascii="宋体" w:hAnsi="宋体"/>
      <w:color w:val="000000"/>
      <w:sz w:val="24"/>
    </w:rPr>
  </w:style>
  <w:style w:type="paragraph" w:styleId="1140" w:customStyle="1">
    <w:name w:val="批注主题1"/>
    <w:basedOn w:val="1109"/>
    <w:link w:val="1141"/>
    <w:uiPriority w:val="0"/>
    <w:qFormat/>
    <w:rPr>
      <w:b/>
      <w:bCs/>
    </w:rPr>
  </w:style>
  <w:style w:type="character" w:styleId="1141" w:customStyle="1">
    <w:name w:val="批注主题 字符"/>
    <w:link w:val="1140"/>
    <w:uiPriority w:val="0"/>
    <w:semiHidden/>
    <w:qFormat/>
    <w:rPr>
      <w:b/>
      <w:bCs/>
      <w:sz w:val="21"/>
      <w:szCs w:val="24"/>
    </w:rPr>
  </w:style>
  <w:style w:type="character" w:styleId="1142" w:customStyle="1">
    <w:name w:val="正文文本首行缩进 字符"/>
    <w:link w:val="933"/>
    <w:uiPriority w:val="0"/>
    <w:qFormat/>
    <w:rPr>
      <w:rFonts w:ascii="Times New Roman" w:hAnsi="Times New Roman" w:eastAsia="宋体"/>
      <w:sz w:val="24"/>
      <w:szCs w:val="24"/>
    </w:rPr>
  </w:style>
  <w:style w:type="paragraph" w:styleId="1143" w:customStyle="1">
    <w:name w:val="正文首行缩进 21"/>
    <w:basedOn w:val="1117"/>
    <w:uiPriority w:val="0"/>
    <w:qFormat/>
    <w:pPr>
      <w:ind w:firstLine="200"/>
    </w:pPr>
  </w:style>
  <w:style w:type="table" w:styleId="1144" w:customStyle="1">
    <w:name w:val="网格型11"/>
    <w:basedOn w:val="1093"/>
    <w:uiPriority w:val="0"/>
    <w:qFormat/>
    <w:tblPr/>
  </w:style>
  <w:style w:type="character" w:styleId="1145" w:customStyle="1">
    <w:name w:val="要点1"/>
    <w:uiPriority w:val="0"/>
    <w:qFormat/>
    <w:rPr>
      <w:b/>
      <w:bCs/>
    </w:rPr>
  </w:style>
  <w:style w:type="character" w:styleId="1146" w:customStyle="1">
    <w:name w:val="页码1"/>
    <w:uiPriority w:val="0"/>
    <w:qFormat/>
  </w:style>
  <w:style w:type="character" w:styleId="1147" w:customStyle="1">
    <w:name w:val="已访问的超链接1"/>
    <w:uiPriority w:val="0"/>
    <w:qFormat/>
    <w:rPr>
      <w:color w:val="800080"/>
      <w:u w:val="single"/>
    </w:rPr>
  </w:style>
  <w:style w:type="character" w:styleId="1148" w:customStyle="1">
    <w:name w:val="超链接1"/>
    <w:uiPriority w:val="0"/>
    <w:qFormat/>
    <w:rPr>
      <w:color w:val="0000ff"/>
      <w:u w:val="single"/>
    </w:rPr>
  </w:style>
  <w:style w:type="character" w:styleId="1149" w:customStyle="1">
    <w:name w:val="批注引用1"/>
    <w:uiPriority w:val="0"/>
    <w:qFormat/>
    <w:rPr>
      <w:sz w:val="21"/>
      <w:szCs w:val="21"/>
    </w:rPr>
  </w:style>
  <w:style w:type="paragraph" w:styleId="1150" w:customStyle="1">
    <w:name w:val="列表段落1"/>
    <w:basedOn w:val="886"/>
    <w:link w:val="1151"/>
    <w:uiPriority w:val="0"/>
    <w:qFormat/>
    <w:pPr>
      <w:ind w:firstLine="420"/>
    </w:pPr>
    <w:rPr>
      <w:sz w:val="20"/>
      <w:szCs w:val="20"/>
    </w:rPr>
  </w:style>
  <w:style w:type="character" w:styleId="1151" w:customStyle="1">
    <w:name w:val="列表段落 字符1"/>
    <w:link w:val="1150"/>
    <w:uiPriority w:val="0"/>
    <w:qFormat/>
  </w:style>
  <w:style w:type="paragraph" w:styleId="1152" w:customStyle="1">
    <w:name w:val="Default"/>
    <w:basedOn w:val="886"/>
    <w:uiPriority w:val="0"/>
    <w:qFormat/>
    <w:pPr>
      <w:jc w:val="left"/>
    </w:pPr>
    <w:rPr>
      <w:rFonts w:ascii="Arial" w:hAnsi="Arial" w:eastAsia="PMingLiU"/>
      <w:sz w:val="20"/>
      <w:szCs w:val="20"/>
    </w:rPr>
  </w:style>
  <w:style w:type="paragraph" w:styleId="1153" w:customStyle="1">
    <w:name w:val="正文缩进1"/>
    <w:basedOn w:val="886"/>
    <w:uiPriority w:val="0"/>
    <w:qFormat/>
    <w:pPr>
      <w:ind w:firstLine="420"/>
      <w:jc w:val="left"/>
      <w:widowControl/>
    </w:pPr>
  </w:style>
  <w:style w:type="character" w:styleId="1154" w:customStyle="1">
    <w:name w:val="文档结构图 Char1"/>
    <w:uiPriority w:val="0"/>
    <w:semiHidden/>
    <w:qFormat/>
    <w:rPr>
      <w:rFonts w:ascii="宋体" w:hAnsi="Times New Roman" w:eastAsia="宋体"/>
      <w:sz w:val="18"/>
      <w:szCs w:val="18"/>
    </w:rPr>
  </w:style>
  <w:style w:type="character" w:styleId="1155" w:customStyle="1">
    <w:name w:val="普通正文 Char"/>
    <w:link w:val="1156"/>
    <w:uiPriority w:val="0"/>
    <w:qFormat/>
    <w:rPr>
      <w:rFonts w:ascii="Arial" w:hAnsi="Arial"/>
      <w:sz w:val="24"/>
      <w:szCs w:val="24"/>
    </w:rPr>
  </w:style>
  <w:style w:type="paragraph" w:styleId="1156" w:customStyle="1">
    <w:name w:val="普通正文"/>
    <w:basedOn w:val="886"/>
    <w:link w:val="1155"/>
    <w:uiPriority w:val="0"/>
    <w:qFormat/>
    <w:pPr>
      <w:ind w:left="-2" w:right="120" w:firstLine="480"/>
      <w:jc w:val="center"/>
      <w:spacing w:before="120" w:after="120" w:line="360" w:lineRule="auto"/>
    </w:pPr>
    <w:rPr>
      <w:rFonts w:ascii="Arial" w:hAnsi="Arial"/>
      <w:sz w:val="24"/>
    </w:rPr>
  </w:style>
  <w:style w:type="character" w:styleId="1157" w:customStyle="1">
    <w:name w:val="FA正文 Char"/>
    <w:link w:val="1158"/>
    <w:uiPriority w:val="0"/>
    <w:qFormat/>
    <w:rPr>
      <w:rFonts w:ascii="宋体" w:hAnsi="宋体" w:eastAsia="宋体"/>
      <w:sz w:val="28"/>
      <w:szCs w:val="28"/>
    </w:rPr>
  </w:style>
  <w:style w:type="paragraph" w:styleId="1158" w:customStyle="1">
    <w:name w:val="FA正文"/>
    <w:basedOn w:val="886"/>
    <w:link w:val="1157"/>
    <w:uiPriority w:val="0"/>
    <w:qFormat/>
    <w:pPr>
      <w:ind w:firstLine="538"/>
      <w:spacing w:line="440" w:lineRule="atLeast"/>
      <w:tabs>
        <w:tab w:val="left" w:pos="3375" w:leader="none"/>
      </w:tabs>
    </w:pPr>
    <w:rPr>
      <w:rFonts w:ascii="宋体" w:hAnsi="宋体"/>
      <w:sz w:val="28"/>
      <w:szCs w:val="28"/>
    </w:rPr>
  </w:style>
  <w:style w:type="character" w:styleId="1159" w:customStyle="1">
    <w:name w:val="正文缩进2格 Char"/>
    <w:link w:val="1160"/>
    <w:uiPriority w:val="0"/>
    <w:qFormat/>
    <w:rPr>
      <w:rFonts w:ascii="仿宋_GB2312" w:hAnsi="宋体" w:eastAsia="仿宋_GB2312"/>
      <w:sz w:val="31"/>
      <w:szCs w:val="28"/>
    </w:rPr>
  </w:style>
  <w:style w:type="paragraph" w:styleId="1160" w:customStyle="1">
    <w:name w:val="正文缩进2格"/>
    <w:basedOn w:val="886"/>
    <w:link w:val="1159"/>
    <w:uiPriority w:val="0"/>
    <w:qFormat/>
    <w:pPr>
      <w:ind w:firstLine="639"/>
      <w:spacing w:line="600" w:lineRule="exact"/>
    </w:pPr>
    <w:rPr>
      <w:rFonts w:ascii="仿宋_GB2312" w:hAnsi="宋体" w:eastAsia="仿宋_GB2312"/>
      <w:sz w:val="31"/>
      <w:szCs w:val="28"/>
    </w:rPr>
  </w:style>
  <w:style w:type="character" w:styleId="1161" w:customStyle="1">
    <w:name w:val="cn_text1"/>
    <w:uiPriority w:val="0"/>
    <w:qFormat/>
    <w:rPr>
      <w:rFonts w:ascii="ˎ̥" w:hAnsi="ˎ̥"/>
      <w:color w:val="003399"/>
      <w:spacing w:val="15"/>
      <w:sz w:val="18"/>
      <w:szCs w:val="18"/>
    </w:rPr>
  </w:style>
  <w:style w:type="character" w:styleId="1162" w:customStyle="1">
    <w:name w:val="ssss Char"/>
    <w:uiPriority w:val="0"/>
    <w:qFormat/>
    <w:rPr>
      <w:rFonts w:eastAsia="宋体"/>
      <w:sz w:val="24"/>
      <w:szCs w:val="24"/>
      <w:lang w:val="en-US" w:eastAsia="zh-CN" w:bidi="ar-SA"/>
    </w:rPr>
  </w:style>
  <w:style w:type="character" w:styleId="1163" w:customStyle="1">
    <w:name w:val="ssss Char1"/>
    <w:link w:val="1164"/>
    <w:uiPriority w:val="0"/>
    <w:qFormat/>
    <w:rPr>
      <w:rFonts w:ascii="Times New Roman" w:hAnsi="Times New Roman" w:eastAsia="宋体"/>
      <w:sz w:val="24"/>
      <w:szCs w:val="24"/>
    </w:rPr>
  </w:style>
  <w:style w:type="paragraph" w:styleId="1164" w:customStyle="1">
    <w:name w:val="ssss"/>
    <w:basedOn w:val="886"/>
    <w:link w:val="1163"/>
    <w:uiPriority w:val="0"/>
    <w:qFormat/>
    <w:pPr>
      <w:ind w:firstLine="480"/>
      <w:spacing w:line="360" w:lineRule="auto"/>
    </w:pPr>
    <w:rPr>
      <w:sz w:val="24"/>
    </w:rPr>
  </w:style>
  <w:style w:type="character" w:styleId="1165" w:customStyle="1">
    <w:name w:val="标题 4 Char1"/>
    <w:uiPriority w:val="0"/>
    <w:qFormat/>
    <w:rPr>
      <w:rFonts w:ascii="Arial" w:hAnsi="Arial" w:eastAsia="黑体"/>
      <w:b/>
      <w:bCs/>
      <w:sz w:val="28"/>
      <w:szCs w:val="28"/>
      <w:lang w:val="en-US" w:eastAsia="zh-CN" w:bidi="ar-SA"/>
    </w:rPr>
  </w:style>
  <w:style w:type="character" w:styleId="1166" w:customStyle="1">
    <w:name w:val="列表段落 字符"/>
    <w:uiPriority w:val="0"/>
    <w:qFormat/>
    <w:rPr>
      <w:rFonts w:ascii="Calibri" w:hAnsi="Calibri"/>
      <w:sz w:val="21"/>
      <w:szCs w:val="22"/>
    </w:rPr>
  </w:style>
  <w:style w:type="character" w:styleId="1167" w:customStyle="1">
    <w:name w:val="批注框文本 Char1"/>
    <w:uiPriority w:val="0"/>
    <w:semiHidden/>
    <w:qFormat/>
    <w:rPr>
      <w:rFonts w:ascii="Times New Roman" w:hAnsi="Times New Roman" w:eastAsia="宋体"/>
      <w:sz w:val="18"/>
      <w:szCs w:val="18"/>
    </w:rPr>
  </w:style>
  <w:style w:type="character" w:styleId="1168" w:customStyle="1">
    <w:name w:val="样式 ssss + 宋体 五号1 Char"/>
    <w:link w:val="1169"/>
    <w:uiPriority w:val="0"/>
    <w:qFormat/>
    <w:rPr>
      <w:rFonts w:ascii="宋体" w:hAnsi="宋体" w:eastAsia="宋体"/>
      <w:sz w:val="24"/>
      <w:szCs w:val="24"/>
    </w:rPr>
  </w:style>
  <w:style w:type="paragraph" w:styleId="1169" w:customStyle="1">
    <w:name w:val="样式 ssss + 宋体 五号1"/>
    <w:basedOn w:val="1164"/>
    <w:link w:val="1168"/>
    <w:uiPriority w:val="0"/>
    <w:qFormat/>
    <w:rPr>
      <w:rFonts w:ascii="宋体" w:hAnsi="宋体"/>
    </w:rPr>
  </w:style>
  <w:style w:type="character" w:styleId="1170" w:customStyle="1">
    <w:name w:val="point_normal1"/>
    <w:uiPriority w:val="0"/>
    <w:qFormat/>
    <w:rPr>
      <w:rFonts w:ascii="Arial" w:hAnsi="Arial"/>
      <w:sz w:val="16"/>
      <w:szCs w:val="16"/>
    </w:rPr>
  </w:style>
  <w:style w:type="paragraph" w:styleId="1171" w:customStyle="1">
    <w:name w:val="样式 正文文本缩进 3 + 四号"/>
    <w:basedOn w:val="1135"/>
    <w:uiPriority w:val="0"/>
    <w:qFormat/>
    <w:pPr>
      <w:ind w:left="0" w:firstLine="437"/>
      <w:spacing w:after="0" w:line="360" w:lineRule="auto"/>
    </w:pPr>
    <w:rPr>
      <w:sz w:val="24"/>
      <w:szCs w:val="21"/>
    </w:rPr>
  </w:style>
  <w:style w:type="paragraph" w:styleId="1172" w:customStyle="1">
    <w:name w:val="2cxsplast"/>
    <w:basedOn w:val="886"/>
    <w:uiPriority w:val="0"/>
    <w:qFormat/>
    <w:pPr>
      <w:jc w:val="left"/>
      <w:spacing w:before="100" w:beforeAutospacing="1" w:after="100" w:afterAutospacing="1"/>
      <w:widowControl/>
    </w:pPr>
    <w:rPr>
      <w:rFonts w:ascii="宋体" w:hAnsi="宋体"/>
      <w:sz w:val="24"/>
    </w:rPr>
  </w:style>
  <w:style w:type="paragraph" w:styleId="1173" w:customStyle="1">
    <w:name w:val="ec_msonormal"/>
    <w:basedOn w:val="886"/>
    <w:uiPriority w:val="0"/>
    <w:qFormat/>
    <w:pPr>
      <w:jc w:val="left"/>
      <w:spacing w:before="100" w:beforeAutospacing="1" w:after="100" w:afterAutospacing="1"/>
      <w:widowControl/>
    </w:pPr>
    <w:rPr>
      <w:rFonts w:ascii="宋体" w:hAnsi="宋体"/>
      <w:sz w:val="24"/>
    </w:rPr>
  </w:style>
  <w:style w:type="paragraph" w:styleId="1174" w:customStyle="1">
    <w:name w:val="Char Char Char Char"/>
    <w:basedOn w:val="886"/>
    <w:uiPriority w:val="0"/>
    <w:qFormat/>
    <w:rPr>
      <w:rFonts w:ascii="Tahoma" w:hAnsi="Tahoma"/>
      <w:sz w:val="24"/>
      <w:szCs w:val="20"/>
    </w:rPr>
  </w:style>
  <w:style w:type="paragraph" w:styleId="1175" w:customStyle="1">
    <w:name w:val="Char Char Char Char Char Char Char Char Char Char Char Char Char"/>
    <w:basedOn w:val="886"/>
    <w:uiPriority w:val="0"/>
    <w:qFormat/>
  </w:style>
  <w:style w:type="paragraph" w:styleId="1176" w:customStyle="1">
    <w:name w:val="表格正文"/>
    <w:basedOn w:val="886"/>
    <w:uiPriority w:val="0"/>
    <w:qFormat/>
    <w:pPr>
      <w:jc w:val="left"/>
      <w:spacing w:line="360" w:lineRule="auto"/>
    </w:pPr>
    <w:rPr>
      <w:rFonts w:ascii="Calibri" w:hAnsi="Calibri"/>
      <w:color w:val="000000"/>
      <w:szCs w:val="28"/>
    </w:rPr>
  </w:style>
  <w:style w:type="paragraph" w:styleId="1177"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178" w:customStyle="1">
    <w:name w:val="Char Char Char Char1"/>
    <w:basedOn w:val="886"/>
    <w:uiPriority w:val="0"/>
    <w:qFormat/>
    <w:rPr>
      <w:rFonts w:ascii="Tahoma" w:hAnsi="Tahoma"/>
      <w:sz w:val="24"/>
      <w:szCs w:val="20"/>
    </w:rPr>
  </w:style>
  <w:style w:type="paragraph" w:styleId="1179" w:customStyle="1">
    <w:name w:val="Char Char Char"/>
    <w:basedOn w:val="886"/>
    <w:uiPriority w:val="0"/>
    <w:qFormat/>
    <w:rPr>
      <w:rFonts w:ascii="Tahoma" w:hAnsi="Tahoma"/>
      <w:sz w:val="24"/>
      <w:szCs w:val="20"/>
    </w:rPr>
  </w:style>
  <w:style w:type="paragraph" w:styleId="1180" w:customStyle="1">
    <w:name w:val="标题-----3"/>
    <w:basedOn w:val="1085"/>
    <w:uiPriority w:val="0"/>
    <w:qFormat/>
    <w:pPr>
      <w:spacing w:before="0" w:after="0" w:line="240" w:lineRule="auto"/>
      <w:outlineLvl w:val="0"/>
    </w:pPr>
    <w:rPr>
      <w:rFonts w:ascii="宋体" w:hAnsi="宋体"/>
      <w:b w:val="0"/>
      <w:bCs w:val="0"/>
      <w:sz w:val="28"/>
      <w:szCs w:val="28"/>
    </w:rPr>
  </w:style>
  <w:style w:type="paragraph" w:styleId="1181" w:customStyle="1">
    <w:name w:val="样式 ssss + 居中"/>
    <w:basedOn w:val="1164"/>
    <w:uiPriority w:val="0"/>
    <w:qFormat/>
    <w:pPr>
      <w:jc w:val="center"/>
    </w:pPr>
    <w:rPr>
      <w:szCs w:val="20"/>
    </w:rPr>
  </w:style>
  <w:style w:type="paragraph" w:styleId="1182" w:customStyle="1">
    <w:name w:val="样式 宋体 四号 黑色 左侧:  0.74 厘米 首行缩进:  0.74 厘米 行距: 1.5 倍行距"/>
    <w:basedOn w:val="886"/>
    <w:uiPriority w:val="0"/>
    <w:qFormat/>
    <w:pPr>
      <w:ind w:firstLine="420"/>
      <w:spacing w:line="360" w:lineRule="auto"/>
    </w:pPr>
    <w:rPr>
      <w:rFonts w:ascii="宋体"/>
      <w:color w:val="000000"/>
      <w:sz w:val="24"/>
      <w:szCs w:val="21"/>
    </w:rPr>
  </w:style>
  <w:style w:type="paragraph" w:styleId="1183" w:customStyle="1">
    <w:name w:val="样式 样式 ssss + 宋体 五号 + 首行缩进:  2 字符"/>
    <w:basedOn w:val="1184"/>
    <w:uiPriority w:val="0"/>
    <w:qFormat/>
    <w:pPr>
      <w:ind w:firstLine="480"/>
    </w:pPr>
  </w:style>
  <w:style w:type="paragraph" w:styleId="1184" w:customStyle="1">
    <w:name w:val="样式 ssss + 宋体 五号"/>
    <w:basedOn w:val="1164"/>
    <w:uiPriority w:val="0"/>
    <w:qFormat/>
    <w:pPr>
      <w:ind w:firstLine="420"/>
    </w:pPr>
    <w:rPr>
      <w:rFonts w:ascii="宋体" w:hAnsi="宋体"/>
      <w:szCs w:val="20"/>
    </w:rPr>
  </w:style>
  <w:style w:type="paragraph" w:styleId="1185" w:customStyle="1">
    <w:name w:val="msonormalcxsplast"/>
    <w:basedOn w:val="886"/>
    <w:uiPriority w:val="0"/>
    <w:qFormat/>
    <w:pPr>
      <w:jc w:val="left"/>
      <w:spacing w:before="100" w:beforeAutospacing="1" w:after="100" w:afterAutospacing="1"/>
      <w:widowControl/>
    </w:pPr>
    <w:rPr>
      <w:rFonts w:ascii="宋体" w:hAnsi="宋体"/>
      <w:sz w:val="24"/>
    </w:rPr>
  </w:style>
  <w:style w:type="paragraph" w:styleId="1186" w:customStyle="1">
    <w:name w:val="Char"/>
    <w:basedOn w:val="886"/>
    <w:uiPriority w:val="0"/>
    <w:qFormat/>
    <w:rPr>
      <w:rFonts w:ascii="Tahoma" w:hAnsi="Tahoma"/>
      <w:sz w:val="24"/>
      <w:szCs w:val="20"/>
    </w:rPr>
  </w:style>
  <w:style w:type="paragraph" w:styleId="1187" w:customStyle="1">
    <w:name w:val="xl25"/>
    <w:basedOn w:val="886"/>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188" w:customStyle="1">
    <w:name w:val="标题------4"/>
    <w:basedOn w:val="1086"/>
    <w:uiPriority w:val="0"/>
    <w:qFormat/>
    <w:pPr>
      <w:ind w:left="960" w:hanging="420"/>
      <w:jc w:val="both"/>
      <w:keepLines/>
      <w:spacing w:line="360" w:lineRule="auto"/>
    </w:pPr>
    <w:rPr>
      <w:rFonts w:ascii="仿宋_GB2312" w:hAnsi="宋体" w:eastAsia="仿宋_GB2312"/>
      <w:b/>
      <w:sz w:val="28"/>
      <w:szCs w:val="28"/>
      <w:lang w:val="zh-CN"/>
    </w:rPr>
  </w:style>
  <w:style w:type="paragraph" w:styleId="1189" w:customStyle="1">
    <w:name w:val="msonormalcxspmiddle"/>
    <w:basedOn w:val="886"/>
    <w:uiPriority w:val="0"/>
    <w:qFormat/>
    <w:pPr>
      <w:jc w:val="left"/>
      <w:spacing w:before="100" w:beforeAutospacing="1" w:after="100" w:afterAutospacing="1"/>
      <w:widowControl/>
    </w:pPr>
    <w:rPr>
      <w:rFonts w:ascii="宋体" w:hAnsi="宋体"/>
      <w:sz w:val="24"/>
    </w:rPr>
  </w:style>
  <w:style w:type="paragraph" w:styleId="1190" w:customStyle="1">
    <w:name w:val="Char Char Char Char Char Char Char Char Char Char Char Char Char1"/>
    <w:basedOn w:val="886"/>
    <w:uiPriority w:val="0"/>
    <w:qFormat/>
    <w:rPr>
      <w:sz w:val="24"/>
    </w:rPr>
  </w:style>
  <w:style w:type="paragraph" w:styleId="1191" w:customStyle="1">
    <w:name w:val="表格"/>
    <w:basedOn w:val="886"/>
    <w:uiPriority w:val="0"/>
    <w:qFormat/>
    <w:rPr>
      <w:rFonts w:ascii="Arial" w:hAnsi="Arial"/>
      <w:sz w:val="24"/>
    </w:rPr>
  </w:style>
  <w:style w:type="paragraph" w:styleId="1192" w:customStyle="1">
    <w:name w:val="正文样式1"/>
    <w:basedOn w:val="886"/>
    <w:uiPriority w:val="0"/>
    <w:qFormat/>
    <w:pPr>
      <w:ind w:firstLine="480"/>
      <w:spacing w:before="120" w:after="120" w:line="360" w:lineRule="auto"/>
    </w:pPr>
    <w:rPr>
      <w:sz w:val="24"/>
      <w:szCs w:val="20"/>
    </w:rPr>
  </w:style>
  <w:style w:type="paragraph" w:styleId="1193" w:customStyle="1">
    <w:name w:val="Char Char1 Char Char Char Char Char Char"/>
    <w:basedOn w:val="886"/>
    <w:uiPriority w:val="0"/>
    <w:qFormat/>
    <w:pPr>
      <w:jc w:val="left"/>
      <w:spacing w:after="160" w:line="240" w:lineRule="exact"/>
      <w:widowControl/>
    </w:pPr>
    <w:rPr>
      <w:rFonts w:ascii="Verdana" w:hAnsi="Verdana" w:eastAsia="仿宋_GB2312"/>
      <w:sz w:val="24"/>
      <w:szCs w:val="20"/>
      <w:lang w:eastAsia="en-US"/>
    </w:rPr>
  </w:style>
  <w:style w:type="paragraph" w:styleId="1194" w:customStyle="1">
    <w:name w:val="Char Char Char Char Char Char Char Char Char Char"/>
    <w:basedOn w:val="886"/>
    <w:uiPriority w:val="0"/>
    <w:qFormat/>
    <w:rPr>
      <w:rFonts w:ascii="Tahoma" w:hAnsi="Tahoma"/>
      <w:sz w:val="24"/>
      <w:szCs w:val="20"/>
    </w:rPr>
  </w:style>
  <w:style w:type="paragraph" w:styleId="1195" w:customStyle="1">
    <w:name w:val="Char1"/>
    <w:basedOn w:val="886"/>
    <w:uiPriority w:val="0"/>
    <w:qFormat/>
    <w:pPr>
      <w:tabs>
        <w:tab w:val="left" w:pos="360" w:leader="none"/>
      </w:tabs>
    </w:pPr>
    <w:rPr>
      <w:sz w:val="24"/>
    </w:rPr>
  </w:style>
  <w:style w:type="paragraph" w:styleId="1196" w:customStyle="1">
    <w:name w:val="标题1"/>
    <w:basedOn w:val="88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97" w:customStyle="1">
    <w:name w:val="Header2"/>
    <w:basedOn w:val="886"/>
    <w:uiPriority w:val="0"/>
    <w:qFormat/>
    <w:pPr>
      <w:numPr>
        <w:ilvl w:val="0"/>
        <w:numId w:val="1"/>
      </w:numPr>
      <w:tabs>
        <w:tab w:val="clear" w:pos="480" w:leader="none"/>
      </w:tabs>
    </w:pPr>
  </w:style>
  <w:style w:type="paragraph" w:styleId="1198" w:customStyle="1">
    <w:name w:val="Char Char 字元 字元 字元 Char Char Char Char"/>
    <w:basedOn w:val="886"/>
    <w:uiPriority w:val="0"/>
    <w:qFormat/>
    <w:pPr>
      <w:spacing w:line="360" w:lineRule="auto"/>
    </w:pPr>
    <w:rPr>
      <w:sz w:val="24"/>
      <w:szCs w:val="20"/>
    </w:rPr>
  </w:style>
  <w:style w:type="paragraph" w:styleId="1199" w:customStyle="1">
    <w:name w:val="2cxspmiddle"/>
    <w:basedOn w:val="886"/>
    <w:uiPriority w:val="0"/>
    <w:qFormat/>
    <w:pPr>
      <w:jc w:val="left"/>
      <w:spacing w:before="100" w:beforeAutospacing="1" w:after="100" w:afterAutospacing="1"/>
      <w:widowControl/>
    </w:pPr>
    <w:rPr>
      <w:rFonts w:ascii="宋体" w:hAnsi="宋体"/>
      <w:sz w:val="24"/>
    </w:rPr>
  </w:style>
  <w:style w:type="paragraph" w:styleId="120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01"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202" w:customStyle="1">
    <w:name w:val="网格型1"/>
    <w:basedOn w:val="1093"/>
    <w:uiPriority w:val="0"/>
    <w:qFormat/>
    <w:rPr>
      <w:rFonts w:ascii="等线" w:hAnsi="等线" w:eastAsia="等线"/>
      <w:sz w:val="21"/>
      <w:szCs w:val="22"/>
    </w:rPr>
    <w:tblPr/>
  </w:style>
  <w:style w:type="paragraph" w:styleId="1203" w:customStyle="1">
    <w:name w:val="列出段落1"/>
    <w:basedOn w:val="886"/>
    <w:uiPriority w:val="0"/>
    <w:qFormat/>
    <w:pPr>
      <w:contextualSpacing/>
      <w:ind w:left="720"/>
      <w:jc w:val="left"/>
      <w:widowControl/>
    </w:pPr>
    <w:rPr>
      <w:sz w:val="24"/>
      <w:lang w:eastAsia="en-US" w:bidi="en-US"/>
    </w:rPr>
  </w:style>
  <w:style w:type="paragraph" w:styleId="1204" w:customStyle="1">
    <w:name w:val="DAS正文"/>
    <w:basedOn w:val="886"/>
    <w:uiPriority w:val="0"/>
    <w:qFormat/>
    <w:pPr>
      <w:ind w:right="181" w:firstLine="480"/>
      <w:spacing w:line="360" w:lineRule="auto"/>
    </w:pPr>
    <w:rPr>
      <w:rFonts w:ascii="Verdana" w:hAnsi="Verdana"/>
      <w:sz w:val="24"/>
      <w:szCs w:val="20"/>
    </w:rPr>
  </w:style>
  <w:style w:type="paragraph" w:styleId="1205" w:customStyle="1">
    <w:name w:val="普通(网站) Char"/>
    <w:basedOn w:val="886"/>
    <w:uiPriority w:val="0"/>
    <w:qFormat/>
    <w:pPr>
      <w:jc w:val="left"/>
      <w:spacing w:before="100" w:beforeAutospacing="1" w:after="100" w:afterAutospacing="1"/>
      <w:widowControl/>
    </w:pPr>
    <w:rPr>
      <w:rFonts w:ascii="宋体" w:hAnsi="宋体"/>
      <w:sz w:val="24"/>
    </w:rPr>
  </w:style>
  <w:style w:type="paragraph" w:styleId="1206" w:customStyle="1">
    <w:name w:val="无间隔2"/>
    <w:uiPriority w:val="0"/>
    <w:qFormat/>
    <w:pPr>
      <w:ind w:firstLine="200"/>
      <w:jc w:val="both"/>
      <w:spacing w:line="360" w:lineRule="auto"/>
      <w:widowControl w:val="off"/>
    </w:pPr>
    <w:rPr>
      <w:rFonts w:ascii="Arial" w:hAnsi="Arial" w:eastAsia="宋体" w:cs="Times New Roman"/>
      <w:sz w:val="24"/>
      <w:szCs w:val="24"/>
      <w:lang w:val="en-US" w:eastAsia="zh-CN" w:bidi="ar-SA"/>
    </w:rPr>
  </w:style>
  <w:style w:type="paragraph" w:styleId="1207" w:customStyle="1">
    <w:name w:val="首行缩进"/>
    <w:basedOn w:val="886"/>
    <w:uiPriority w:val="0"/>
    <w:qFormat/>
    <w:pPr>
      <w:ind w:firstLine="480"/>
    </w:pPr>
    <w:rPr>
      <w:rFonts w:ascii="等线" w:hAnsi="等线" w:eastAsia="等线"/>
      <w:szCs w:val="22"/>
      <w:lang w:val="zh-CN"/>
    </w:rPr>
  </w:style>
  <w:style w:type="paragraph" w:styleId="1208" w:customStyle="1">
    <w:name w:val="p0"/>
    <w:basedOn w:val="886"/>
    <w:uiPriority w:val="0"/>
    <w:qFormat/>
    <w:pPr>
      <w:widowControl/>
    </w:pPr>
    <w:rPr>
      <w:sz w:val="20"/>
      <w:szCs w:val="21"/>
      <w:lang w:val="zh-CN"/>
    </w:rPr>
  </w:style>
  <w:style w:type="paragraph" w:styleId="1209" w:customStyle="1">
    <w:name w:val="Table Text"/>
    <w:basedOn w:val="886"/>
    <w:uiPriority w:val="0"/>
    <w:semiHidden/>
    <w:qFormat/>
    <w:rPr>
      <w:rFonts w:ascii="仿宋" w:hAnsi="仿宋" w:eastAsia="仿宋"/>
      <w:sz w:val="24"/>
      <w:lang w:eastAsia="en-US"/>
    </w:rPr>
  </w:style>
  <w:style w:type="table" w:styleId="1210" w:customStyle="1">
    <w:name w:val="Table Normal"/>
    <w:uiPriority w:val="0"/>
    <w:qFormat/>
    <w:tblPr>
      <w:tblCellMar>
        <w:left w:w="0" w:type="dxa"/>
        <w:top w:w="0" w:type="dxa"/>
        <w:right w:w="0" w:type="dxa"/>
        <w:bottom w:w="0" w:type="dxa"/>
      </w:tblCellMar>
    </w:tblPr>
  </w:style>
  <w:style w:type="character" w:styleId="1211" w:customStyle="1">
    <w:name w:val="NormalCharacter"/>
    <w:uiPriority w:val="0"/>
    <w:qFormat/>
  </w:style>
  <w:style w:type="character" w:styleId="1212" w:customStyle="1">
    <w:name w:val="font31"/>
    <w:uiPriority w:val="0"/>
    <w:qFormat/>
    <w:rPr>
      <w:rFonts w:ascii="Times New Roman Regular" w:hAnsi="Times New Roman Regular" w:eastAsia="Times New Roman Regular"/>
      <w:color w:val="000000"/>
      <w:sz w:val="24"/>
      <w:szCs w:val="24"/>
      <w:u w:val="none"/>
    </w:rPr>
  </w:style>
  <w:style w:type="character" w:styleId="1213" w:customStyle="1">
    <w:name w:val="font91"/>
    <w:uiPriority w:val="0"/>
    <w:qFormat/>
    <w:rPr>
      <w:rFonts w:ascii="Times New Roman" w:hAnsi="Times New Roman"/>
      <w:color w:val="000000"/>
      <w:sz w:val="20"/>
      <w:szCs w:val="20"/>
      <w:u w:val="none"/>
    </w:rPr>
  </w:style>
  <w:style w:type="character" w:styleId="1214" w:customStyle="1">
    <w:name w:val="font11"/>
    <w:uiPriority w:val="0"/>
    <w:qFormat/>
    <w:rPr>
      <w:rFonts w:hint="eastAsia" w:ascii="宋体" w:hAnsi="宋体" w:eastAsia="宋体"/>
      <w:color w:val="000000"/>
      <w:sz w:val="20"/>
      <w:szCs w:val="20"/>
      <w:u w:val="none"/>
    </w:rPr>
  </w:style>
  <w:style w:type="character" w:styleId="1215" w:customStyle="1">
    <w:name w:val="font101"/>
    <w:uiPriority w:val="0"/>
    <w:qFormat/>
    <w:rPr>
      <w:rFonts w:ascii="Arial" w:hAnsi="Arial"/>
      <w:color w:val="000000"/>
      <w:sz w:val="20"/>
      <w:szCs w:val="20"/>
      <w:u w:val="none"/>
    </w:rPr>
  </w:style>
  <w:style w:type="character" w:styleId="1216" w:customStyle="1">
    <w:name w:val="font291"/>
    <w:uiPriority w:val="0"/>
    <w:qFormat/>
    <w:rPr>
      <w:rFonts w:hint="eastAsia" w:ascii="宋体" w:hAnsi="宋体" w:eastAsia="宋体"/>
      <w:color w:val="000000"/>
      <w:sz w:val="20"/>
      <w:szCs w:val="20"/>
      <w:u w:val="none"/>
    </w:rPr>
  </w:style>
  <w:style w:type="character" w:styleId="1217" w:customStyle="1">
    <w:name w:val="font61"/>
    <w:uiPriority w:val="0"/>
    <w:qFormat/>
    <w:rPr>
      <w:rFonts w:hint="eastAsia" w:ascii="等线" w:hAnsi="等线" w:eastAsia="等线"/>
      <w:color w:val="000000"/>
      <w:sz w:val="20"/>
      <w:szCs w:val="20"/>
      <w:u w:val="none"/>
    </w:rPr>
  </w:style>
  <w:style w:type="character" w:styleId="1218" w:customStyle="1">
    <w:name w:val="font71"/>
    <w:uiPriority w:val="0"/>
    <w:qFormat/>
    <w:rPr>
      <w:rFonts w:hint="eastAsia" w:ascii="宋体" w:hAnsi="宋体" w:eastAsia="宋体"/>
      <w:color w:val="000000"/>
      <w:sz w:val="20"/>
      <w:szCs w:val="20"/>
      <w:u w:val="none"/>
    </w:rPr>
  </w:style>
  <w:style w:type="character" w:styleId="1219" w:customStyle="1">
    <w:name w:val="font41"/>
    <w:uiPriority w:val="0"/>
    <w:qFormat/>
    <w:rPr>
      <w:rFonts w:ascii="Times New Roman Regular" w:hAnsi="Times New Roman Regular" w:eastAsia="Times New Roman Regular"/>
      <w:color w:val="000000"/>
      <w:sz w:val="20"/>
      <w:szCs w:val="20"/>
      <w:u w:val="none"/>
    </w:rPr>
  </w:style>
  <w:style w:type="character" w:styleId="1220" w:customStyle="1">
    <w:name w:val="font301"/>
    <w:uiPriority w:val="0"/>
    <w:qFormat/>
    <w:rPr>
      <w:rFonts w:ascii="Times New Roman Regular" w:hAnsi="Times New Roman Regular" w:eastAsia="Times New Roman Regular"/>
      <w:color w:val="000000"/>
      <w:sz w:val="20"/>
      <w:szCs w:val="20"/>
      <w:u w:val="none"/>
    </w:rPr>
  </w:style>
  <w:style w:type="character" w:styleId="1221" w:customStyle="1">
    <w:name w:val="font81"/>
    <w:uiPriority w:val="0"/>
    <w:qFormat/>
    <w:rPr>
      <w:rFonts w:hint="eastAsia" w:ascii="宋体" w:hAnsi="宋体" w:eastAsia="宋体"/>
      <w:color w:val="000000"/>
      <w:sz w:val="20"/>
      <w:szCs w:val="20"/>
      <w:u w:val="none"/>
    </w:rPr>
  </w:style>
  <w:style w:type="character" w:styleId="1222" w:customStyle="1">
    <w:name w:val="font112"/>
    <w:uiPriority w:val="0"/>
    <w:qFormat/>
    <w:rPr>
      <w:rFonts w:hint="eastAsia" w:ascii="等线" w:hAnsi="等线" w:eastAsia="等线"/>
      <w:color w:val="000000"/>
      <w:sz w:val="20"/>
      <w:szCs w:val="20"/>
      <w:u w:val="none"/>
    </w:rPr>
  </w:style>
  <w:style w:type="character" w:styleId="1223" w:customStyle="1">
    <w:name w:val="font312"/>
    <w:uiPriority w:val="0"/>
    <w:qFormat/>
    <w:rPr>
      <w:rFonts w:ascii="Arial" w:hAnsi="Arial"/>
      <w:color w:val="000000"/>
      <w:sz w:val="20"/>
      <w:szCs w:val="20"/>
      <w:u w:val="none"/>
    </w:rPr>
  </w:style>
  <w:style w:type="character" w:styleId="1224" w:customStyle="1">
    <w:name w:val="font321"/>
    <w:uiPriority w:val="0"/>
    <w:qFormat/>
    <w:rPr>
      <w:rFonts w:ascii="微软雅黑" w:hAnsi="微软雅黑" w:eastAsia="微软雅黑"/>
      <w:color w:val="000000"/>
      <w:sz w:val="20"/>
      <w:szCs w:val="20"/>
      <w:u w:val="none"/>
    </w:rPr>
  </w:style>
  <w:style w:type="character" w:styleId="1225" w:customStyle="1">
    <w:name w:val="font151"/>
    <w:uiPriority w:val="0"/>
    <w:qFormat/>
    <w:rPr>
      <w:rFonts w:hint="eastAsia" w:ascii="宋体" w:hAnsi="宋体" w:eastAsia="宋体"/>
      <w:color w:val="000000"/>
      <w:sz w:val="22"/>
      <w:szCs w:val="22"/>
      <w:u w:val="none"/>
    </w:rPr>
  </w:style>
  <w:style w:type="character" w:styleId="1226" w:customStyle="1">
    <w:name w:val="font121"/>
    <w:uiPriority w:val="0"/>
    <w:qFormat/>
    <w:rPr>
      <w:rFonts w:hint="eastAsia" w:ascii="宋体" w:hAnsi="宋体" w:eastAsia="宋体"/>
      <w:b/>
      <w:bCs/>
      <w:color w:val="000000"/>
      <w:sz w:val="20"/>
      <w:szCs w:val="20"/>
      <w:u w:val="none"/>
    </w:rPr>
  </w:style>
  <w:style w:type="character" w:styleId="1227" w:customStyle="1">
    <w:name w:val="font21"/>
    <w:uiPriority w:val="0"/>
    <w:qFormat/>
    <w:rPr>
      <w:rFonts w:hint="eastAsia" w:ascii="宋体" w:hAnsi="宋体" w:eastAsia="宋体"/>
      <w:b/>
      <w:bCs/>
      <w:color w:val="000000"/>
      <w:sz w:val="24"/>
      <w:szCs w:val="24"/>
      <w:u w:val="none"/>
    </w:rPr>
  </w:style>
  <w:style w:type="character" w:styleId="1228" w:customStyle="1">
    <w:name w:val="font131"/>
    <w:uiPriority w:val="0"/>
    <w:qFormat/>
    <w:rPr>
      <w:rFonts w:ascii="宋体" w:hAnsi="宋体" w:eastAsia="宋体"/>
      <w:b/>
      <w:bCs/>
      <w:color w:val="000000"/>
      <w:sz w:val="24"/>
      <w:szCs w:val="24"/>
      <w:u w:val="none"/>
    </w:rPr>
  </w:style>
  <w:style w:type="character" w:styleId="1229" w:customStyle="1">
    <w:name w:val="font141"/>
    <w:uiPriority w:val="0"/>
    <w:qFormat/>
    <w:rPr>
      <w:rFonts w:ascii="微软雅黑" w:hAnsi="微软雅黑" w:eastAsia="微软雅黑"/>
      <w:color w:val="000000"/>
      <w:sz w:val="24"/>
      <w:szCs w:val="24"/>
      <w:u w:val="none"/>
    </w:rPr>
  </w:style>
  <w:style w:type="paragraph" w:styleId="1230" w:customStyle="1">
    <w:name w:val="标题 41"/>
    <w:basedOn w:val="886"/>
    <w:uiPriority w:val="0"/>
    <w:qFormat/>
    <w:pPr>
      <w:jc w:val="center"/>
      <w:keepNext/>
      <w:outlineLvl w:val="3"/>
    </w:pPr>
    <w:rPr>
      <w:rFonts w:eastAsia="新宋体"/>
      <w:sz w:val="30"/>
      <w:szCs w:val="21"/>
    </w:rPr>
  </w:style>
  <w:style w:type="paragraph" w:styleId="1231" w:customStyle="1">
    <w:name w:val="样式1"/>
    <w:basedOn w:val="886"/>
    <w:uiPriority w:val="0"/>
    <w:qFormat/>
    <w:pPr>
      <w:jc w:val="center"/>
    </w:pPr>
    <w:rPr>
      <w:szCs w:val="21"/>
    </w:rPr>
  </w:style>
  <w:style w:type="paragraph" w:styleId="1232" w:customStyle="1">
    <w:name w:val="正文首行缩进1"/>
    <w:basedOn w:val="934"/>
    <w:uiPriority w:val="0"/>
    <w:qFormat/>
    <w:pPr>
      <w:ind w:firstLine="200"/>
      <w:spacing w:line="360" w:lineRule="auto"/>
    </w:pPr>
    <w:rPr>
      <w:rFonts w:ascii="仿宋_GB2312" w:hAnsi="Times New Roman" w:eastAsia="仿宋_GB2312"/>
      <w:sz w:val="30"/>
      <w:szCs w:val="30"/>
    </w:rPr>
  </w:style>
  <w:style w:type="paragraph" w:styleId="1233" w:customStyle="1">
    <w:name w:val="正文+首行缩进2字符"/>
    <w:basedOn w:val="886"/>
    <w:uiPriority w:val="0"/>
    <w:qFormat/>
    <w:pPr>
      <w:ind w:firstLine="480"/>
    </w:pPr>
  </w:style>
  <w:style w:type="paragraph" w:styleId="1234" w:customStyle="1">
    <w:name w:val="正文文本2"/>
    <w:basedOn w:val="886"/>
    <w:uiPriority w:val="0"/>
    <w:qFormat/>
    <w:pPr>
      <w:spacing w:line="400" w:lineRule="exact"/>
    </w:pPr>
    <w:rPr>
      <w:rFonts w:ascii="楷体_GB2312"/>
      <w:sz w:val="28"/>
    </w:rPr>
  </w:style>
  <w:style w:type="paragraph" w:styleId="1235" w:customStyle="1">
    <w:name w:val="页眉1"/>
    <w:basedOn w:val="886"/>
    <w:uiPriority w:val="0"/>
    <w:qFormat/>
    <w:pPr>
      <w:jc w:val="center"/>
      <w:tabs>
        <w:tab w:val="center" w:pos="4153" w:leader="none"/>
        <w:tab w:val="right" w:pos="8306" w:leader="none"/>
      </w:tabs>
      <w:pBdr>
        <w:bottom w:val="single" w:color="000000" w:sz="6" w:space="1"/>
      </w:pBdr>
    </w:pPr>
    <w:rPr>
      <w:sz w:val="18"/>
      <w:szCs w:val="18"/>
    </w:rPr>
  </w:style>
  <w:style w:type="paragraph" w:styleId="1236" w:customStyle="1">
    <w:name w:val="页脚1"/>
    <w:basedOn w:val="886"/>
    <w:uiPriority w:val="0"/>
    <w:qFormat/>
    <w:pPr>
      <w:jc w:val="left"/>
      <w:tabs>
        <w:tab w:val="center" w:pos="4153" w:leader="none"/>
        <w:tab w:val="right" w:pos="8306" w:leader="none"/>
      </w:tabs>
    </w:pPr>
    <w:rPr>
      <w:sz w:val="18"/>
      <w:szCs w:val="18"/>
    </w:rPr>
  </w:style>
  <w:style w:type="paragraph" w:styleId="1237" w:customStyle="1">
    <w:name w:val="标题二级"/>
    <w:basedOn w:val="886"/>
    <w:uiPriority w:val="0"/>
    <w:qFormat/>
    <w:pPr>
      <w:ind w:firstLine="412"/>
      <w:spacing w:after="160" w:line="259" w:lineRule="auto"/>
    </w:pPr>
    <w:rPr>
      <w:rFonts w:ascii="宋体" w:hAnsi="宋体"/>
      <w:szCs w:val="21"/>
    </w:rPr>
  </w:style>
  <w:style w:type="paragraph" w:styleId="1238" w:customStyle="1">
    <w:name w:val="纯文本1"/>
    <w:basedOn w:val="886"/>
    <w:uiPriority w:val="0"/>
    <w:qFormat/>
    <w:rPr>
      <w:rFonts w:ascii="宋体" w:hAnsi="Courier New"/>
    </w:rPr>
  </w:style>
  <w:style w:type="character" w:styleId="1239" w:customStyle="1">
    <w:name w:val="页眉 字符1"/>
    <w:basedOn w:val="896"/>
    <w:link w:val="912"/>
    <w:uiPriority w:val="0"/>
    <w:qFormat/>
    <w:rPr>
      <w:sz w:val="18"/>
      <w:szCs w:val="18"/>
    </w:rPr>
  </w:style>
  <w:style w:type="character" w:styleId="1240" w:customStyle="1">
    <w:name w:val="页脚 字符1"/>
    <w:basedOn w:val="896"/>
    <w:link w:val="911"/>
    <w:uiPriority w:val="0"/>
    <w:qFormat/>
    <w:rPr>
      <w:sz w:val="18"/>
      <w:szCs w:val="18"/>
    </w:rPr>
  </w:style>
  <w:style w:type="character" w:styleId="1241" w:customStyle="1">
    <w:name w:val="正文文本 字符1"/>
    <w:basedOn w:val="896"/>
    <w:link w:val="902"/>
    <w:uiPriority w:val="99"/>
    <w:qFormat/>
    <w:rPr>
      <w:rFonts w:ascii="仿宋_GB2312" w:eastAsia="仿宋_GB2312"/>
      <w:sz w:val="24"/>
      <w:szCs w:val="24"/>
    </w:rPr>
  </w:style>
  <w:style w:type="character" w:styleId="1242" w:customStyle="1">
    <w:name w:val="批注框文本 字符1"/>
    <w:basedOn w:val="896"/>
    <w:link w:val="910"/>
    <w:uiPriority w:val="99"/>
    <w:semiHidden/>
    <w:qFormat/>
    <w:rPr>
      <w:sz w:val="18"/>
      <w:szCs w:val="18"/>
    </w:rPr>
  </w:style>
  <w:style w:type="paragraph" w:styleId="1243" w:customStyle="1">
    <w:name w:val="普通(网站) Char Char"/>
    <w:basedOn w:val="886"/>
    <w:uiPriority w:val="0"/>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numbering" w:styleId="101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gradFill>
        <a:gradFill>
          <a:gsLst>
            <a:gs pos="0">
              <a:schemeClr val="phClr">
                <a:satMod val="300000"/>
                <a:tint val="80000"/>
              </a:schemeClr>
            </a:gs>
            <a:gs pos="100000">
              <a:schemeClr val="phClr">
                <a:satMod val="200000"/>
                <a:shade val="3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戳戳</dc:creator>
  <cp:lastModifiedBy>王跃军</cp:lastModifiedBy>
  <cp:revision>4</cp:revision>
  <dcterms:created xsi:type="dcterms:W3CDTF">2025-06-12T07:37:00Z</dcterms:created>
  <dcterms:modified xsi:type="dcterms:W3CDTF">2026-08-19T04:00:45Z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eyJoZGlkIjoiMGM1NmVjMDEwNjViNjdjNTNkMjk1Njg4ZTZhYzE4OGMiLCJ1c2VySWQiOiIxNjE0MzM0OTc0In0=</vt:lpwstr>
  </property>
  <property fmtid="{D5CDD505-2E9C-101B-9397-08002B2CF9AE}" pid="3" name="KSOProductBuildVer">
    <vt:lpwstr>2052-12.1.0.25865</vt:lpwstr>
  </property>
  <property fmtid="{D5CDD505-2E9C-101B-9397-08002B2CF9AE}" pid="4" name="ICV">
    <vt:lpwstr>E823E1C5A0B74B14840E2216CA0746E4_13</vt:lpwstr>
  </property>
</Properties>
</file>