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firstLine="0"/>
        <w:jc w:val="center"/>
        <w:spacing w:line="480" w:lineRule="exact"/>
        <w:rPr>
          <w:sz w:val="28"/>
          <w:highlight w:val="none"/>
        </w:rPr>
      </w:pPr>
      <w:r>
        <w:rPr>
          <w:sz w:val="28"/>
          <w:highlight w:val="none"/>
        </w:rPr>
      </w:r>
      <w:r/>
    </w:p>
    <w:p>
      <w:pPr>
        <w:pStyle w:val="74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9"/>
        <w:ind w:firstLine="0"/>
        <w:jc w:val="center"/>
        <w:spacing w:line="480" w:lineRule="exact"/>
        <w:rPr>
          <w:sz w:val="28"/>
          <w:highlight w:val="none"/>
        </w:rPr>
      </w:pPr>
      <w:r>
        <w:rPr>
          <w:sz w:val="28"/>
          <w:highlight w:val="none"/>
        </w:rPr>
      </w:r>
      <w:r/>
    </w:p>
    <w:p>
      <w:pPr>
        <w:pStyle w:val="74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南通市少年宫教学用家具采购项目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132</w:t>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49"/>
        <w:ind w:firstLine="0"/>
        <w:jc w:val="center"/>
        <w:spacing w:line="480" w:lineRule="exact"/>
        <w:rPr>
          <w:sz w:val="28"/>
          <w:highlight w:val="none"/>
        </w:rPr>
      </w:pPr>
      <w:r>
        <w:rPr>
          <w:highlight w:val="none"/>
          <w:lang w:eastAsia="zh-CN"/>
        </w:rPr>
        <w:br w:type="page" w:clear="all"/>
      </w:r>
      <w:r/>
    </w:p>
    <w:p>
      <w:pPr>
        <w:pStyle w:val="74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rFonts w:hint="eastAsia"/>
              <w:sz w:val="36"/>
              <w:szCs w:val="32"/>
              <w:highlight w:val="none"/>
              <w:lang w:val="en-US" w:eastAsia="zh-CN"/>
            </w:rPr>
            <w:t xml:space="preserve">6</w:t>
          </w:r>
          <w:r>
            <w:rPr>
              <w:sz w:val="36"/>
              <w:szCs w:val="32"/>
              <w:highlight w:val="none"/>
              <w:lang w:eastAsia="zh-CN"/>
            </w:rPr>
            <w:fldChar w:fldCharType="end"/>
          </w:r>
          <w:r/>
        </w:p>
        <w:p>
          <w:pPr>
            <w:pStyle w:val="733"/>
            <w:keepLines w:val="0"/>
            <w:keepNext w:val="0"/>
            <w:pageBreakBefore w:val="0"/>
            <w:spacing w:line="560" w:lineRule="exact"/>
            <w:widowControl w:val="off"/>
            <w:tabs>
              <w:tab w:val="right" w:pos="8504" w:leader="dot"/>
            </w:tabs>
            <w:rPr>
              <w:rFonts w:hint="default"/>
              <w:sz w:val="36"/>
              <w:szCs w:val="32"/>
              <w:highlight w:val="none"/>
              <w:lang w:val="en-US"/>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rFonts w:hint="eastAsia"/>
              <w:sz w:val="36"/>
              <w:szCs w:val="32"/>
              <w:highlight w:val="none"/>
              <w:lang w:val="en-US" w:eastAsia="zh-CN"/>
            </w:rPr>
            <w:t xml:space="preserve">1</w:t>
          </w:r>
          <w:r>
            <w:rPr>
              <w:sz w:val="36"/>
              <w:szCs w:val="32"/>
              <w:highlight w:val="none"/>
              <w:lang w:eastAsia="zh-CN"/>
            </w:rPr>
            <w:fldChar w:fldCharType="end"/>
          </w:r>
          <w:r>
            <w:rPr>
              <w:rFonts w:hint="eastAsia"/>
              <w:sz w:val="36"/>
              <w:szCs w:val="32"/>
              <w:highlight w:val="none"/>
              <w:lang w:val="en-US" w:eastAsia="zh-CN"/>
            </w:rPr>
            <w:t xml:space="preserve">9</w:t>
          </w:r>
          <w:r/>
        </w:p>
        <w:p>
          <w:pPr>
            <w:pStyle w:val="73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w:t>
          </w:r>
          <w:r>
            <w:rPr>
              <w:rFonts w:hint="eastAsia"/>
              <w:sz w:val="36"/>
              <w:szCs w:val="32"/>
              <w:highlight w:val="none"/>
              <w:lang w:val="en-US" w:eastAsia="zh-CN"/>
            </w:rPr>
            <w:t xml:space="preserve">5</w:t>
          </w:r>
          <w:r>
            <w:rPr>
              <w:sz w:val="36"/>
              <w:szCs w:val="32"/>
              <w:highlight w:val="none"/>
            </w:rPr>
            <w:fldChar w:fldCharType="end"/>
          </w:r>
          <w:r>
            <w:rPr>
              <w:sz w:val="36"/>
              <w:szCs w:val="32"/>
              <w:highlight w:val="none"/>
              <w:lang w:eastAsia="zh-CN"/>
            </w:rPr>
            <w:fldChar w:fldCharType="end"/>
          </w:r>
          <w:r/>
        </w:p>
        <w:p>
          <w:pPr>
            <w:pStyle w:val="733"/>
            <w:keepLines w:val="0"/>
            <w:keepNext w:val="0"/>
            <w:pageBreakBefore w:val="0"/>
            <w:spacing w:line="560" w:lineRule="exact"/>
            <w:widowControl w:val="off"/>
            <w:tabs>
              <w:tab w:val="right" w:pos="8504" w:leader="dot"/>
            </w:tabs>
            <w:rPr>
              <w:rFonts w:hint="default"/>
              <w:sz w:val="40"/>
              <w:szCs w:val="36"/>
              <w:highlight w:val="none"/>
              <w:lang w:val="en-US"/>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rFonts w:hint="eastAsia"/>
              <w:sz w:val="36"/>
              <w:szCs w:val="32"/>
              <w:highlight w:val="none"/>
              <w:lang w:val="en-US" w:eastAsia="zh-CN"/>
            </w:rPr>
            <w:t xml:space="preserve">4</w:t>
          </w:r>
          <w:r>
            <w:rPr>
              <w:sz w:val="36"/>
              <w:szCs w:val="32"/>
              <w:highlight w:val="none"/>
              <w:lang w:eastAsia="zh-CN"/>
            </w:rPr>
            <w:fldChar w:fldCharType="end"/>
          </w:r>
          <w:r>
            <w:rPr>
              <w:rFonts w:hint="eastAsia"/>
              <w:sz w:val="36"/>
              <w:szCs w:val="32"/>
              <w:highlight w:val="none"/>
              <w:lang w:val="en-US" w:eastAsia="zh-CN"/>
            </w:rPr>
            <w:t xml:space="preserve">5</w:t>
          </w:r>
          <w:r/>
        </w:p>
        <w:p>
          <w:pPr>
            <w:pStyle w:val="74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9"/>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南通市少年宫教学用家具采购项目的潜在供应商应在江苏政府采购网获取采购文件，并于2026年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月23日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9"/>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132</w:t>
      </w:r>
      <w:r/>
    </w:p>
    <w:p>
      <w:pPr>
        <w:pStyle w:val="749"/>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南通市少年宫教学用家具采购项目</w:t>
      </w:r>
      <w:r/>
    </w:p>
    <w:p>
      <w:pPr>
        <w:pStyle w:val="74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31</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31</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 万元</w:t>
      </w:r>
      <w:r>
        <w:rPr>
          <w:rFonts w:hint="eastAsia" w:ascii="仿宋" w:hAnsi="仿宋" w:eastAsia="仿宋" w:cs="仿宋"/>
          <w:color w:val="000000"/>
          <w:sz w:val="28"/>
          <w:szCs w:val="28"/>
          <w:highlight w:val="none"/>
        </w:rPr>
        <w:t xml:space="preserve">。</w:t>
      </w:r>
      <w:r/>
    </w:p>
    <w:p>
      <w:pPr>
        <w:ind w:firstLine="560"/>
        <w:jc w:val="both"/>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0"/>
          <w:highlight w:val="none"/>
          <w:lang w:val="en-US" w:eastAsia="zh-CN" w:bidi="ar-SA"/>
        </w:rPr>
        <w:t xml:space="preserve">配置相应教学用家具等。</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合同签订后35个日历天内完成交付，并通过初步验收。</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月20日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月23日14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月23日14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南通市少年宫</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南通市濠南路1号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徐老师</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13861900451</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9"/>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4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rFonts w:hint="eastAsia"/>
          <w:highlight w:val="none"/>
        </w:rPr>
      </w:pPr>
      <w:r>
        <w:rPr>
          <w:rFonts w:hint="eastAsia"/>
          <w:highlight w:val="none"/>
        </w:rPr>
      </w:r>
      <w:r/>
    </w:p>
    <w:p>
      <w:pPr>
        <w:pStyle w:val="90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9"/>
        <w:ind w:left="0" w:firstLine="420"/>
        <w:spacing w:after="0" w:line="400" w:lineRule="exact"/>
        <w:rPr>
          <w:rFonts w:ascii="宋体" w:hAnsi="宋体"/>
          <w:szCs w:val="21"/>
          <w:highlight w:val="none"/>
        </w:rPr>
      </w:pPr>
      <w:r>
        <w:rPr>
          <w:rFonts w:ascii="宋体" w:hAnsi="宋体"/>
          <w:szCs w:val="21"/>
          <w:highlight w:val="none"/>
        </w:rPr>
      </w:r>
      <w:r/>
    </w:p>
    <w:p>
      <w:pPr>
        <w:pStyle w:val="90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4"/>
        <w:rPr>
          <w:rFonts w:ascii="宋体" w:hAnsi="宋体" w:eastAsia="宋体" w:cs="宋体"/>
          <w:color w:val="000000"/>
          <w:sz w:val="21"/>
          <w:highlight w:val="none"/>
        </w:rPr>
      </w:pPr>
      <w:r>
        <w:rPr>
          <w:highlight w:val="none"/>
        </w:rPr>
        <w:br w:type="page" w:clear="all"/>
      </w:r>
      <w:r/>
    </w:p>
    <w:p>
      <w:pPr>
        <w:pStyle w:val="94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2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2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9"/>
        <w:numPr>
          <w:ilvl w:val="0"/>
          <w:numId w:val="1"/>
        </w:numPr>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bookmarkStart w:id="12" w:name="_Toc26847"/>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9"/>
        <w:numPr>
          <w:ilvl w:val="0"/>
          <w:numId w:val="0"/>
        </w:numPr>
        <w:jc w:val="both"/>
        <w:rPr>
          <w:rFonts w:hint="eastAsia"/>
          <w:b/>
          <w:sz w:val="28"/>
          <w:highlight w:val="none"/>
        </w:rPr>
        <w:outlineLvl w:val="0"/>
      </w:pPr>
      <w:r>
        <w:rPr>
          <w:rFonts w:hint="eastAsia"/>
          <w:b/>
          <w:sz w:val="28"/>
          <w:highlight w:val="none"/>
          <w:lang w:eastAsia="zh-CN"/>
        </w:rPr>
        <w:t xml:space="preserve">项目属性：货物类</w:t>
      </w:r>
      <w:r/>
    </w:p>
    <w:p>
      <w:pPr>
        <w:numPr>
          <w:ilvl w:val="0"/>
          <w:numId w:val="2"/>
        </w:numPr>
        <w:jc w:val="both"/>
        <w:spacing w:line="240" w:lineRule="auto"/>
        <w:widowControl w:val="off"/>
        <w:rPr>
          <w:rFonts w:hint="eastAsia" w:ascii="Times New Roman" w:hAnsi="Times New Roman" w:eastAsia="仿宋" w:cs="Times New Roman"/>
          <w:b/>
          <w:sz w:val="28"/>
          <w:szCs w:val="28"/>
          <w:highlight w:val="none"/>
          <w:lang w:eastAsia="zh-CN"/>
        </w:rPr>
      </w:pPr>
      <w:r>
        <w:rPr>
          <w:rFonts w:hint="eastAsia" w:ascii="Times New Roman" w:hAnsi="Times New Roman" w:eastAsia="仿宋" w:cs="Times New Roman"/>
          <w:b/>
          <w:sz w:val="28"/>
          <w:szCs w:val="28"/>
          <w:highlight w:val="none"/>
          <w:lang w:eastAsia="zh-CN"/>
        </w:rPr>
        <w:t xml:space="preserve">采购标的清单</w:t>
      </w:r>
      <w:r/>
    </w:p>
    <w:p>
      <w:pPr>
        <w:pStyle w:val="749"/>
        <w:ind w:left="0" w:firstLine="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普通学生课桌椅</w:t>
      </w:r>
      <w:r/>
    </w:p>
    <w:p>
      <w:pPr>
        <w:pStyle w:val="749"/>
        <w:ind w:left="0" w:firstLine="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本项目所有产品所属行业：工业</w:t>
      </w:r>
      <w:r/>
    </w:p>
    <w:p>
      <w:pPr>
        <w:pStyle w:val="749"/>
        <w:ind w:left="0" w:firstLine="0"/>
        <w:rPr>
          <w:rFonts w:hint="eastAsia" w:ascii="仿宋" w:hAnsi="仿宋" w:eastAsia="仿宋" w:cs="仿宋"/>
          <w:b/>
          <w:sz w:val="24"/>
          <w:szCs w:val="24"/>
          <w:highlight w:val="none"/>
          <w:lang w:val="en-US" w:eastAsia="zh-CN"/>
        </w:rPr>
      </w:pPr>
      <w:r>
        <w:rPr>
          <w:rFonts w:hint="eastAsia" w:ascii="仿宋" w:hAnsi="仿宋" w:eastAsia="仿宋" w:cs="仿宋"/>
          <w:b/>
          <w:color w:val="000000"/>
          <w:sz w:val="24"/>
          <w:szCs w:val="24"/>
          <w:highlight w:val="none"/>
          <w:lang w:val="en-US" w:eastAsia="zh-CN" w:bidi="ar-SA"/>
        </w:rPr>
        <w:t xml:space="preserve">项目最高限价：31.7万元</w:t>
      </w:r>
      <w:r/>
    </w:p>
    <w:tbl>
      <w:tblPr>
        <w:tblStyle w:val="72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4"/>
        <w:gridCol w:w="4056"/>
        <w:gridCol w:w="1630"/>
        <w:gridCol w:w="163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普通教师讲桌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普通学生课桌椅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计算机教室钢木讲台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学生电脑桌（两人位）</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学生电脑凳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美术专用教室讲台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美术专用教室六人位美术桌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科技教室组合型六边形桌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学生椅（美术专用教室、科技教室）</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教师实木书法桌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学生实木书法桌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实木马鞍凳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教师棋桌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学生棋桌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棋艺凳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科技玻璃展柜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r>
    </w:tbl>
    <w:p>
      <w:pPr>
        <w:pStyle w:val="749"/>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0"/>
        <w:jc w:val="both"/>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配置相应教学用家具等。</w:t>
      </w:r>
      <w:r/>
    </w:p>
    <w:p>
      <w:pPr>
        <w:numPr>
          <w:ilvl w:val="0"/>
          <w:numId w:val="0"/>
        </w:numPr>
        <w:jc w:val="both"/>
        <w:spacing w:line="520" w:lineRule="exact"/>
        <w:widowControl w:val="off"/>
        <w:rPr>
          <w:rFonts w:hint="eastAsia"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t xml:space="preserve">（二）采购标的需执行的国家相关标准、行业标准、地方标准或者其他标准、规范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jc w:val="both"/>
        <w:spacing w:line="520" w:lineRule="exact"/>
        <w:widowControl w:val="off"/>
        <w:rPr>
          <w:rFonts w:hint="eastAsia"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t xml:space="preserve">（三）采购标的需满足的质量、安全、技术规格、物理特性等要求设备技术参数要求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本项目所有成品均配套对应国标，从源头严控有害物质，满足校园室内密闭空间使用条件。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1.整体必须符合GB 18584-2024《家具中有害物质限量》强制限值。为确保成品达标，本项目要求所有人造板零部件所用基材须符合GB 18580-2025《室内装饰装修材料 人造板及其制品中甲醛释放限量》且达到E1级（</w:t>
      </w:r>
      <w:r>
        <w:rPr>
          <w:rFonts w:ascii="Times New Roman" w:hAnsi="Times New Roman" w:eastAsia="仿宋" w:cs="Times New Roman"/>
          <w:sz w:val="24"/>
          <w:szCs w:val="24"/>
          <w:highlight w:val="none"/>
        </w:rPr>
        <w:t xml:space="preserve">≤0.124 mg/m³</w:t>
      </w:r>
      <w:r>
        <w:rPr>
          <w:rFonts w:hint="eastAsia" w:ascii="Times New Roman" w:hAnsi="Times New Roman"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t xml:space="preserve">1 立方米气候箱法</w:t>
      </w:r>
      <w:r>
        <w:rPr>
          <w:rFonts w:hint="eastAsia" w:ascii="Times New Roman" w:hAnsi="Times New Roman" w:eastAsia="仿宋" w:cs="Times New Roman"/>
          <w:sz w:val="24"/>
          <w:szCs w:val="24"/>
          <w:highlight w:val="none"/>
          <w:lang w:val="en-US" w:eastAsia="zh-CN"/>
        </w:rPr>
        <w:t xml:space="preserve">）。</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2.所用木器涂料（含水性、UV、溶剂型等）及稀释剂、固化剂等配套辅助材料，其有害物质限量应符合 GB 30981.2-2025《涂料中有害物质限量 第2部分：工业涂料》中对应品类限值。</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3.所用胶黏剂应符合现行有效 GB 18583《室内装饰装修材料 胶粘剂中有害物质限量》对应品类限值。</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4.木家具应符合GB/T 3324-2024《木家具通用技术条件》相关要求；金属家具应符合GB/T3325-2024《金属家具通用技术条件》相关要求；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塑料家具应符合GB/T32487-2016《塑料家具通用技术条件》相关要求。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家具结构安全应符合GB 28008-2024《家具结构安全技术规范》要求；床类及可攀爬家具须满足相应专项安全规定。</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课桌椅应符合GB/T 3976-2014</w:t>
      </w:r>
      <w:r>
        <w:rPr>
          <w:rFonts w:hint="eastAsia" w:ascii="Times New Roman" w:hAnsi="Times New Roman" w:eastAsia="仿宋" w:cs="Times New Roman"/>
          <w:sz w:val="24"/>
          <w:szCs w:val="24"/>
          <w:highlight w:val="none"/>
          <w:lang w:val="en-US" w:eastAsia="zh-CN"/>
        </w:rPr>
        <w:tab/>
      </w:r>
      <w:r>
        <w:rPr>
          <w:rFonts w:hint="eastAsia" w:ascii="Times New Roman" w:hAnsi="Times New Roman" w:eastAsia="仿宋" w:cs="Times New Roman"/>
          <w:sz w:val="24"/>
          <w:szCs w:val="24"/>
          <w:highlight w:val="none"/>
          <w:lang w:val="en-US" w:eastAsia="zh-CN"/>
        </w:rPr>
        <w:t xml:space="preserve">《学校课桌椅功能尺寸及技术要求》相关要求。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注：上述标准若有更新或替代，以最新的国家标准为准。</w:t>
      </w:r>
      <w:r/>
    </w:p>
    <w:p>
      <w:pPr>
        <w:pStyle w:val="749"/>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产品参数要求</w:t>
      </w:r>
      <w:r/>
    </w:p>
    <w:tbl>
      <w:tblPr>
        <w:tblStyle w:val="721"/>
        <w:tblW w:w="5075"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1257"/>
        <w:gridCol w:w="5192"/>
        <w:gridCol w:w="1480"/>
      </w:tblGrid>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W w:w="7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产品名称</w:t>
            </w:r>
            <w:r/>
          </w:p>
        </w:tc>
        <w:tc>
          <w:tcPr>
            <w:shd w:val="clear" w:color="auto" w:fill="auto"/>
            <w:tcW w:w="301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图片</w: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普通教师讲桌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1.尺寸1200（±10）mmx600（±10）mmx750（±10）mm；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2.台面25mmE0的颗粒板，柜体18mm的E0的颗粒板。钢架臂厚1.2mm。</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0100" cy="631825"/>
                      <wp:effectExtent l="0" t="0" r="0" b="158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800100"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3.0pt;height:49.8pt;mso-wrap-distance-left:0.0pt;mso-wrap-distance-top:0.0pt;mso-wrap-distance-right:0.0pt;mso-wrap-distance-bottom:0.0pt;" stroked="f">
                      <v:path textboxrect="0,0,0,0"/>
                      <v:imagedata r:id="rId13" o:title=""/>
                    </v:shape>
                  </w:pict>
                </mc:Fallback>
              </mc:AlternateContent>
            </w:r>
            <w:r/>
          </w:p>
        </w:tc>
      </w:tr>
      <w:tr>
        <w:trPr>
          <w:trHeight w:val="2413"/>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普通学生课桌椅</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（1）课桌技术参数</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桌面</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桌面规格：650m</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×450mm×18mm，采用ABS注塑一次成型，桌面正前方设一根文具槽，桌面靠胸部位置设有鸭嘴形边缘、防挤压胸腔设计。</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桌斗</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书箱采用一级PP工程塑料，一体注塑成型，耐抗压，耐冲击，达到环保要求，底部设计排水槽，书箱底部靠胸前设有笔槽，方便学生放置文具，外径尺寸为550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*385</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*150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。桌斗两侧有一体书包挂钩，挂钩承重≥10KG。</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桌架</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子地脚采用：30*60*1.2mm优质椭圆钢管。桌子立柱采用30*60*1.2mm优质冷轧椭圆钢管，连接横档管25*54*1.2mm优质椭圆管，桌子升降内管采用：20*50*1.2mm优质冷轧椭圆钢管，采用二氧化碳保护焊接，保证无稀焊、漏焊。课桌椅升降方式：升降采用套管式旋钮升降，可在短时间内调节到最适合的高度，桌子升降高度660—780mm，更大满足不同学生身高需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脚垫及升降套</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材质：采用全新环保PP塑料，一次成型静音脚垫，不可采用回收料生产。</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（2）课椅技术参数</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靠背</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椅靠背：405mm*350mm，采用一级全新PP塑料，一体注塑成型，麻面防滑。抗压、耐磨、耐冲击。靠背设计有完整的曲线弧度，能很服帖地包覆支撑着正在成长中学童的背部脊椎，使其免于侧弯。</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坐垫</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椅座板：370mm*400mm，采用一级全新PP塑料，一体注塑成型，麻面防滑。抗压、耐磨、耐冲击。功能：坐垫中间有30mm内凹漩涡，能让学生整个臀部坐在内凹处，借此可分散上半身的所有重量，坐垫设置透气散热孔，使学童在学习时更舒服，更健康地成长，可舒缓双脚的受力及不自主地摇晃。</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椅架</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椅子地脚采用：30*60*1.2mm优质椭圆管。椅子立柱采用30*60*1.2mm优质冷轧椭圆钢管，连接横档管25*54*1.2mm优质扁圆管，椅子内管采用：20*50*1.2mm优质冷轧椭圆钢管，坐垫及靠背支撑管采用20*40*1.2mm扁圆管折弯，与升降管焊接，采用二氧化碳保护焊接，保证无稀焊、漏焊。课桌椅升降方式：升降采用套管式旋钮升降，可在短时间内调节到最适合的高度。椅子升降高度370—450mm，更大满足不同学生身高需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脚垫及升降套</w:t>
            </w:r>
            <w:r>
              <w:rPr>
                <w:rFonts w:hint="eastAsia" w:ascii="宋体" w:hAnsi="宋体" w:eastAsia="宋体" w:cs="宋体"/>
                <w:i w:val="0"/>
                <w:iCs w:val="0"/>
                <w:color w:val="auto"/>
                <w:sz w:val="21"/>
                <w:szCs w:val="21"/>
                <w:u w:val="none"/>
                <w:lang w:val="en-US" w:eastAsia="zh-CN" w:bidi="ar"/>
              </w:rPr>
              <w:tab/>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材质：采用全新环保PP塑料，一次成型静音脚垫，不可采用回收料生产。</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仿宋" w:hAnsi="仿宋" w:eastAsia="仿宋" w:cs="仿宋"/>
                <w:color w:val="auto"/>
                <w:sz w:val="28"/>
                <w:szCs w:val="32"/>
                <w:highlight w:val="none"/>
                <w:lang w:val="en-US" w:eastAsia="zh-CN"/>
              </w:rPr>
              <mc:AlternateContent>
                <mc:Choice Requires="wpg">
                  <w:drawing>
                    <wp:inline xmlns:wp="http://schemas.openxmlformats.org/drawingml/2006/wordprocessingDrawing" distT="0" distB="0" distL="0" distR="0">
                      <wp:extent cx="829945" cy="829945"/>
                      <wp:effectExtent l="0" t="0" r="8255" b="8255"/>
                      <wp:docPr id="4" name="图片 7" descr="微信图片_20260610094440_8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微信图片_20260610094440_8_60"/>
                              <pic:cNvPicPr>
                                <a:picLocks noChangeAspect="1"/>
                              </pic:cNvPicPr>
                              <pic:nvPr/>
                            </pic:nvPicPr>
                            <pic:blipFill>
                              <a:blip r:embed="rId14"/>
                              <a:stretch/>
                            </pic:blipFill>
                            <pic:spPr bwMode="auto">
                              <a:xfrm>
                                <a:off x="0" y="0"/>
                                <a:ext cx="829944" cy="82994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3pt;height:65.3pt;mso-wrap-distance-left:0.0pt;mso-wrap-distance-top:0.0pt;mso-wrap-distance-right:0.0pt;mso-wrap-distance-bottom:0.0pt;" stroked="false">
                      <v:path textboxrect="0,0,0,0"/>
                      <v:imagedata r:id="rId14"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计算机教室钢木讲台</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1.尺寸：1200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*700</w:t>
            </w:r>
            <w:r>
              <w:rPr>
                <w:rFonts w:hint="eastAsia" w:ascii="宋体" w:hAnsi="宋体" w:cs="宋体"/>
                <w:i w:val="0"/>
                <w:iCs w:val="0"/>
                <w:color w:val="auto"/>
                <w:sz w:val="21"/>
                <w:szCs w:val="21"/>
                <w:u w:val="none"/>
                <w:lang w:val="en-US" w:eastAsia="zh-CN" w:bidi="ar"/>
              </w:rPr>
              <w:t xml:space="preserve">mm</w:t>
            </w:r>
            <w:bookmarkStart w:id="14" w:name="_GoBack"/>
            <w:r/>
            <w:bookmarkEnd w:id="14"/>
            <w:r>
              <w:rPr>
                <w:rFonts w:hint="eastAsia" w:ascii="宋体" w:hAnsi="宋体" w:eastAsia="宋体" w:cs="宋体"/>
                <w:i w:val="0"/>
                <w:iCs w:val="0"/>
                <w:color w:val="auto"/>
                <w:sz w:val="21"/>
                <w:szCs w:val="21"/>
                <w:u w:val="none"/>
                <w:lang w:val="en-US" w:eastAsia="zh-CN" w:bidi="ar"/>
              </w:rPr>
              <w:t xml:space="preserve">*990mm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2.材料：采用优质</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0.6</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厚冷轧钢板；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3.实木扶手；台面密度板。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4.表面处理：酸洗、磷化、静电喷塑灰白皱色。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5.工艺：严格按照公司质量体系要求及完整的工艺流程，经过剪、冲、折、焊、磨、抛及酸洗、磷化、静电喷塑等工序制作,从装配到装箱和各配件均经过严格的检验，确保产品的质量. 产品特点:采用冷轧钢板制成全封闭焊接机构，保障了多媒体设备的安全、防尘、防盗、散热设计。功能强大、持久耐用、精工细作。显示器框、键盘托选用可隐藏手动翻转式。选用高档导轨、滑道轴承等附件使其开合寿命增倍，开合阻力大大降低，是电子讲台的为首选择。（一把锁控制讲台开启）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6.集成性：结构布局合理、紧凑大方、可存放数码展台、计算机、笔记本电脑、录像机、功放机、音箱、中央控制系统、无线话筒等设备。</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275" cy="816610"/>
                      <wp:effectExtent l="0" t="0" r="15875" b="25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03275" cy="816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2pt;height:64.3pt;mso-wrap-distance-left:0.0pt;mso-wrap-distance-top:0.0pt;mso-wrap-distance-right:0.0pt;mso-wrap-distance-bottom:0.0pt;" stroked="f">
                      <v:path textboxrect="0,0,0,0"/>
                      <v:imagedata r:id="rId15"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学生电脑桌（两人位）</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1、台面：1240x570x25mm灰白色防火板（前鸭后方），灰白色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2、框架：30x50x1.2mm方管（喷塑黑色）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3、挡板：1000x500x0.8mm冷轧钢板；冲两路百叶窗（喷塑灰白色），前挡板固定，后挡板下端两头装插销，上端两头装通开锁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4、配件：主机箱门板配长方形电镀手柄（含锁）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5、脚：底部装调节脚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6、规格：1300x620x750mm</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0735" cy="607695"/>
                      <wp:effectExtent l="0" t="0" r="18415" b="190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800735"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3.0pt;height:47.8pt;mso-wrap-distance-left:0.0pt;mso-wrap-distance-top:0.0pt;mso-wrap-distance-right:0.0pt;mso-wrap-distance-bottom:0.0pt;" stroked="f">
                      <v:path textboxrect="0,0,0,0"/>
                      <v:imagedata r:id="rId16"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学生电脑凳</w:t>
            </w:r>
            <w:r/>
          </w:p>
        </w:tc>
        <w:tc>
          <w:tcPr>
            <w:shd w:val="clear" w:color="auto" w:fill="auto"/>
            <w:tcW w:w="3011" w:type="pct"/>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凳面：25mm厚E1级三氰板（灰白色）；全自动机械近色封边；</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脚：25x25x0.8mm方管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横梁：25x25x0.8mm方管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表面处理：经酸洗、磷化，静电喷涂处理（灰白色）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3、整体规格：340x240x440mm</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4545" cy="879475"/>
                      <wp:effectExtent l="0" t="0" r="14604" b="1587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804545" cy="879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3pt;height:69.2pt;mso-wrap-distance-left:0.0pt;mso-wrap-distance-top:0.0pt;mso-wrap-distance-right:0.0pt;mso-wrap-distance-bottom:0.0pt;" stroked="f">
                      <v:path textboxrect="0,0,0,0"/>
                      <v:imagedata r:id="rId17"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美术专用教室讲台</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1.尺寸：1500*600*1012mm±10mm；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2.材质：抗倍特板/钢板；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桌面尺寸：1450*600*12mm，采用抗倍特一体成型。耐80度以上高温。防水：浸水24小时后的膨胀指数不多于0.1mm，面板四周采CNC修边，四周倒角，圆润光滑无任何毛边。柜体尺寸:500*520*920mm,板厚0.8mm,柜体采用三维立体激光微缝切割，柜体一体成型，箱体精密度和牢固度强，经高温粉体烤漆，长时间使用也不会产生表面漆剥落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4.功能：可倾斜方便操作。</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910" cy="739775"/>
                      <wp:effectExtent l="0" t="0" r="15240" b="317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80391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3pt;height:58.2pt;mso-wrap-distance-left:0.0pt;mso-wrap-distance-top:0.0pt;mso-wrap-distance-right:0.0pt;mso-wrap-distance-bottom:0.0pt;" stroked="f">
                      <v:path textboxrect="0,0,0,0"/>
                      <v:imagedata r:id="rId18"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美术专用教室六人位美术桌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1.尺寸：2200*1100*750±10mm；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2.材质：实木多层板+钢架；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3.工艺：桌面采用国家标准E1级板，厚度25/18mm,基材采用优质多层板，面板面贴实木木皮，斜边烤漆，第二层三底两面烤漆；桌架采用优质钢架，钢架尺寸：横梁: 40*40*1.5mm，桌腿：55*55*1.5mm，满焊焊接而成，表面采用高温粉体烤漆，耐腐蚀，不易生锈；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4.桌面分上下两层，便于放置书本工具。</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5180" cy="480060"/>
                      <wp:effectExtent l="0" t="0" r="13970" b="1524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05180"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4pt;height:37.8pt;mso-wrap-distance-left:0.0pt;mso-wrap-distance-top:0.0pt;mso-wrap-distance-right:0.0pt;mso-wrap-distance-bottom:0.0pt;" stroked="f">
                      <v:path textboxrect="0,0,0,0"/>
                      <v:imagedata r:id="rId19"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科技教室组合型六边形桌</w:t>
            </w:r>
            <w:r/>
          </w:p>
        </w:tc>
        <w:tc>
          <w:tcPr>
            <w:shd w:val="clear" w:color="auto" w:fill="auto"/>
            <w:tcW w:w="3011"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1.尺寸：576（边长）*750（高）mm±10mm；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2.桌面：材质采用抗倍特一体成型。耐80度以上高温。防水：浸水24小时后的膨胀指数不多于0.1mm，面板四周采CNC修边，四周倒角，圆润光滑无任何毛边。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（1）材质及形状：桌腿圆型钢管，壁厚不低于1.2mm。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（2）桌腿尺寸：740mm±10mm（高）。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（3）表面涂装：高温粉体烤漆。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4.脚垫：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（1）材质：采用优质白色塑料+不锈钢。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（2）尺寸：ф32*M10*40mm。</w:t>
            </w:r>
            <w:r/>
          </w:p>
        </w:tc>
        <w:tc>
          <w:tcPr>
            <w:shd w:val="clear" w:color="auto" w:fill="auto"/>
            <w:tcW w:w="85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910" cy="675005"/>
                      <wp:effectExtent l="0" t="0" r="15240" b="1079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03910" cy="675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3.3pt;height:53.1pt;mso-wrap-distance-left:0.0pt;mso-wrap-distance-top:0.0pt;mso-wrap-distance-right:0.0pt;mso-wrap-distance-bottom:0.0pt;" stroked="f">
                      <v:path textboxrect="0,0,0,0"/>
                      <v:imagedata r:id="rId20"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学生椅（美术专用教室、科技教室）</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1.尺寸：W435*D435*H550-座高450mm±10mm；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2.材质：PP+钢管；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p>
        </w:tc>
        <w:tc>
          <w:tcPr>
            <w:shd w:val="clear" w:color="auto" w:fill="auto"/>
            <w:tcW w:w="85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910" cy="850265"/>
                      <wp:effectExtent l="0" t="0" r="15240" b="698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1"/>
                              <a:stretch/>
                            </pic:blipFill>
                            <pic:spPr bwMode="auto">
                              <a:xfrm>
                                <a:off x="0" y="0"/>
                                <a:ext cx="803910" cy="85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3.3pt;height:67.0pt;mso-wrap-distance-left:0.0pt;mso-wrap-distance-top:0.0pt;mso-wrap-distance-right:0.0pt;mso-wrap-distance-bottom:0.0pt;" stroked="f">
                      <v:path textboxrect="0,0,0,0"/>
                      <v:imagedata r:id="rId21"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教师实木书法桌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1、尺寸：1600*600*700mm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2、材质：主体框架橡胶木实木，桌面中间面板实木多层板，厚度12mm,面边厚度不低于30mm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3、桌腿：规格为60*30mm,桌腿横撑不小于25*25mm，榫卯结构。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4、工艺:采用环保油漆，三底两面工艺制作而成，工艺精细，表面光洁，漆面均匀光亮。</w:t>
            </w:r>
            <w:r/>
          </w:p>
        </w:tc>
        <w:tc>
          <w:tcPr>
            <w:shd w:val="clear" w:color="auto" w:fill="auto"/>
            <w:tcW w:w="85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275" cy="716915"/>
                      <wp:effectExtent l="0" t="0" r="15875" b="698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2"/>
                              <a:stretch/>
                            </pic:blipFill>
                            <pic:spPr bwMode="auto">
                              <a:xfrm>
                                <a:off x="0" y="0"/>
                                <a:ext cx="803275" cy="716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3.2pt;height:56.4pt;mso-wrap-distance-left:0.0pt;mso-wrap-distance-top:0.0pt;mso-wrap-distance-right:0.0pt;mso-wrap-distance-bottom:0.0pt;" stroked="f">
                      <v:path textboxrect="0,0,0,0"/>
                      <v:imagedata r:id="rId22"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学生实木书法桌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1、尺寸：1400*600*700mm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2、材质：主体框架橡胶木实木，桌面中间面板实木多层板，厚度12mm,面边厚度不低于30mm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3、桌腿：规格为60*30mm,桌腿横撑不小于25*25mm，榫卯结构。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4、工艺:采用环保油漆，三底两面工艺制作而成，工艺精细，表面光洁，漆面均匀光亮。</w:t>
            </w:r>
            <w:r/>
          </w:p>
        </w:tc>
        <w:tc>
          <w:tcPr>
            <w:shd w:val="clear" w:color="auto" w:fill="auto"/>
            <w:tcW w:w="858" w:type="pct"/>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实木马鞍凳</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1、尺寸：420*300*420mm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2、材质：采用橡木实木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3、结构：采用榫卯结构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4、面板厚度</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18mm, 面边厚度</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36mm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5、工艺:采用环保油漆，三底两面工艺制作而成，工艺精细，表面光洁，漆面均匀光亮。</w:t>
            </w:r>
            <w:r/>
          </w:p>
        </w:tc>
        <w:tc>
          <w:tcPr>
            <w:shd w:val="clear" w:color="auto" w:fill="auto"/>
            <w:tcW w:w="858" w:type="pct"/>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教师棋桌</w:t>
            </w:r>
            <w:r/>
          </w:p>
        </w:tc>
        <w:tc>
          <w:tcPr>
            <w:shd w:val="clear" w:color="auto" w:fill="auto"/>
            <w:tcW w:w="3011" w:type="pct"/>
            <w:vAlign w:val="center"/>
            <w:textDirection w:val="lrTb"/>
            <w:noWrap w:val="false"/>
          </w:tcPr>
          <w:p>
            <w:pPr>
              <w:numPr>
                <w:ilvl w:val="0"/>
                <w:numId w:val="0"/>
              </w:numPr>
              <w:jc w:val="left"/>
              <w:keepLines w:val="0"/>
              <w:keepNext w:val="0"/>
              <w:widowControl/>
              <w:rPr>
                <w:rFonts w:hint="default" w:eastAsia="宋体"/>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1.尺寸：1200*480*720mm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2.双棋盘设计，活动棋盘面板(棋盘造型采用丝印)，一面围棋、一面象棋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3.台面为E0级环保板材，亚克力棋盒盘。铁艺钢架，钢架壁厚</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0.8mm,烤漆工艺。</w:t>
            </w:r>
            <w:r/>
          </w:p>
        </w:tc>
        <w:tc>
          <w:tcPr>
            <w:shd w:val="clear" w:color="auto" w:fill="auto"/>
            <w:tcW w:w="85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910" cy="553085"/>
                      <wp:effectExtent l="0" t="0" r="15240" b="1841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3"/>
                              <a:stretch/>
                            </pic:blipFill>
                            <pic:spPr bwMode="auto">
                              <a:xfrm>
                                <a:off x="0" y="0"/>
                                <a:ext cx="803910" cy="553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3.3pt;height:43.5pt;mso-wrap-distance-left:0.0pt;mso-wrap-distance-top:0.0pt;mso-wrap-distance-right:0.0pt;mso-wrap-distance-bottom:0.0pt;" stroked="f">
                      <v:path textboxrect="0,0,0,0"/>
                      <v:imagedata r:id="rId23"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学生棋桌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1.尺寸：750*480*720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2.双棋盘设计，活动棋盘面板(棋盘造型采用丝印)，一面围棋、一面象棋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3.台面为E0级环保板材，亚克力棋盒盘。铁艺钢架，钢架壁厚</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0.8mm,烤漆工艺。</w:t>
            </w:r>
            <w:r/>
          </w:p>
        </w:tc>
        <w:tc>
          <w:tcPr>
            <w:shd w:val="clear" w:color="auto" w:fill="auto"/>
            <w:tcW w:w="85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910" cy="681990"/>
                      <wp:effectExtent l="0" t="0" r="15240" b="381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4"/>
                              <a:stretch/>
                            </pic:blipFill>
                            <pic:spPr bwMode="auto">
                              <a:xfrm>
                                <a:off x="0" y="0"/>
                                <a:ext cx="803910" cy="681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3.3pt;height:53.7pt;mso-wrap-distance-left:0.0pt;mso-wrap-distance-top:0.0pt;mso-wrap-distance-right:0.0pt;mso-wrap-distance-bottom:0.0pt;" stroked="f">
                      <v:path textboxrect="0,0,0,0"/>
                      <v:imagedata r:id="rId24"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棋艺凳</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1.尺寸：350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*350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*420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2.座面采用棉麻材质，铁艺钢架，烤漆工艺。</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3275" cy="689610"/>
                      <wp:effectExtent l="0" t="0" r="15875" b="1524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5"/>
                              <a:stretch/>
                            </pic:blipFill>
                            <pic:spPr bwMode="auto">
                              <a:xfrm>
                                <a:off x="0" y="0"/>
                                <a:ext cx="803275" cy="689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3.2pt;height:54.3pt;mso-wrap-distance-left:0.0pt;mso-wrap-distance-top:0.0pt;mso-wrap-distance-right:0.0pt;mso-wrap-distance-bottom:0.0pt;" stroked="f">
                      <v:path textboxrect="0,0,0,0"/>
                      <v:imagedata r:id="rId25"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科技玻璃展柜</w:t>
            </w:r>
            <w:r/>
          </w:p>
        </w:tc>
        <w:tc>
          <w:tcPr>
            <w:shd w:val="clear" w:color="auto" w:fill="auto"/>
            <w:tcW w:w="3011"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1.定制玻璃展柜，尺寸1200*350*1800mm</w:t>
            </w:r>
            <w:r/>
          </w:p>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2.整体采用航空铝合金材质框架，四面+隔层均采用防爆钢化玻璃，上面三层，下面二层</w:t>
            </w:r>
            <w:r/>
          </w:p>
          <w:p>
            <w:pPr>
              <w:jc w:val="left"/>
              <w:keepLines w:val="0"/>
              <w:keepNext w:val="0"/>
              <w:widowControl/>
              <w:rPr>
                <w:rFonts w:hint="default" w:eastAsia="宋体"/>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3.标配1套钥匙锁</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243840" cy="496570"/>
                      <wp:effectExtent l="0" t="0" r="3810" b="1778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6"/>
                              <a:stretch/>
                            </pic:blipFill>
                            <pic:spPr bwMode="auto">
                              <a:xfrm>
                                <a:off x="0" y="0"/>
                                <a:ext cx="243840" cy="496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9.2pt;height:39.1pt;mso-wrap-distance-left:0.0pt;mso-wrap-distance-top:0.0pt;mso-wrap-distance-right:0.0pt;mso-wrap-distance-bottom:0.0pt;" stroked="f">
                      <v:path textboxrect="0,0,0,0"/>
                      <v:imagedata r:id="rId26"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72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尺寸：6000*1800*760mm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1、基材：E1级中密度纤维板；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2、面材：采用厚度≥0.6mm优质胡桃木实木皮贴面，无结疤，无瑕疵；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3、油漆：采用“五底三面”工艺；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4、五金件：采用优质五金配件。</w:t>
            </w:r>
            <w:r/>
          </w:p>
        </w:tc>
        <w:tc>
          <w:tcPr>
            <w:shd w:val="clear" w:color="auto" w:fill="auto"/>
            <w:tcW w:w="858"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796290" cy="596900"/>
                      <wp:effectExtent l="0" t="0" r="3810" b="1270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7"/>
                              <a:stretch/>
                            </pic:blipFill>
                            <pic:spPr bwMode="auto">
                              <a:xfrm>
                                <a:off x="0" y="0"/>
                                <a:ext cx="796290" cy="5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2.7pt;height:47.0pt;mso-wrap-distance-left:0.0pt;mso-wrap-distance-top:0.0pt;mso-wrap-distance-right:0.0pt;mso-wrap-distance-bottom:0.0pt;" stroked="f">
                      <v:path textboxrect="0,0,0,0"/>
                      <v:imagedata r:id="rId27"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72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会议椅</w:t>
            </w:r>
            <w:r/>
          </w:p>
        </w:tc>
        <w:tc>
          <w:tcPr>
            <w:shd w:val="clear" w:color="auto" w:fill="auto"/>
            <w:tcW w:w="301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尺寸：680*630*990mm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1、皮面：采用优质合成革，符合GB/T 16799-2018《家具用皮革》标准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2、缝纫和包履要求：平服饱满、无皱褶，松紧均匀无松弛，工艺缝线对称均匀，嵌线圆弧处圆滑顺直；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3、海绵：采用PU成型高密度海绵，软硬适中，回弹性能好，不变形；                                                                                                                            4、框架：橡胶木框架；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5、油漆：采用环保净味油漆。</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5180" cy="1146175"/>
                      <wp:effectExtent l="0" t="0" r="13970" b="15875"/>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8"/>
                              <a:stretch/>
                            </pic:blipFill>
                            <pic:spPr bwMode="auto">
                              <a:xfrm>
                                <a:off x="0" y="0"/>
                                <a:ext cx="805180" cy="114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3.4pt;height:90.2pt;mso-wrap-distance-left:0.0pt;mso-wrap-distance-top:0.0pt;mso-wrap-distance-right:0.0pt;mso-wrap-distance-bottom:0.0pt;" stroked="f">
                      <v:path textboxrect="0,0,0,0"/>
                      <v:imagedata r:id="rId28" o:title=""/>
                    </v:shape>
                  </w:pict>
                </mc:Fallback>
              </mc:AlternateContent>
            </w:r>
            <w:r/>
          </w:p>
        </w:tc>
      </w:tr>
      <w:tr>
        <w:trPr>
          <w:trHeight w:val="420"/>
        </w:trPr>
        <w:tc>
          <w:tcPr>
            <w:shd w:val="clear" w:color="auto" w:fill="auto"/>
            <w:tcW w:w="40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72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折叠椅</w:t>
            </w:r>
            <w:r/>
          </w:p>
        </w:tc>
        <w:tc>
          <w:tcPr>
            <w:shd w:val="clear" w:color="auto" w:fill="auto"/>
            <w:tcW w:w="3011"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1.颜色尺寸：黑色，620*510*820mm</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2.靠背：采用优质网布，透气性好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3.扶手：采用优质环保 PP 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4.坐垫：坐垫采用高密度回弹原生海绵，久坐不易变形,海绵密度为50-55mm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5.椅架：直径不小于 25mm，壁厚不小于 1.2mm， 表面处理经酸洗、磷化、脱脂，高温静电喷涂防锈处理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6.脚垫：采用 PP 加耐磨纤维塑料，耐磨抗老化，人性化设计，防滑，防止划伤地板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7.坐垫部分可折叠，便于收纳</w:t>
            </w:r>
            <w:r/>
          </w:p>
        </w:tc>
        <w:tc>
          <w:tcPr>
            <w:shd w:val="clear" w:color="auto" w:fill="auto"/>
            <w:tcW w:w="85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color w:val="auto"/>
              </w:rPr>
              <mc:AlternateContent>
                <mc:Choice Requires="wpg">
                  <w:drawing>
                    <wp:inline xmlns:wp="http://schemas.openxmlformats.org/drawingml/2006/wordprocessingDrawing" distT="0" distB="0" distL="0" distR="0">
                      <wp:extent cx="805815" cy="1075690"/>
                      <wp:effectExtent l="0" t="0" r="13335"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805815"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3.4pt;height:84.7pt;mso-wrap-distance-left:0.0pt;mso-wrap-distance-top:0.0pt;mso-wrap-distance-right:0.0pt;mso-wrap-distance-bottom:0.0pt;" stroked="f">
                      <v:path textboxrect="0,0,0,0"/>
                      <v:imagedata r:id="rId29" o:title=""/>
                    </v:shape>
                  </w:pict>
                </mc:Fallback>
              </mc:AlternateContent>
            </w:r>
            <w:r/>
          </w:p>
        </w:tc>
      </w:tr>
    </w:tbl>
    <w:p>
      <w:pPr>
        <w:ind w:right="105"/>
        <w:spacing w:line="400" w:lineRule="auto"/>
        <w:rPr>
          <w:rFonts w:hint="default"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注：中标人供货前需提供以上所有家具样式及颜色供用户确认。</w:t>
      </w:r>
      <w:r/>
    </w:p>
    <w:p>
      <w:pPr>
        <w:numPr>
          <w:ilvl w:val="0"/>
          <w:numId w:val="0"/>
        </w:numPr>
        <w:jc w:val="both"/>
        <w:spacing w:line="520" w:lineRule="exact"/>
        <w:widowControl w:val="off"/>
        <w:rPr>
          <w:rFonts w:hint="eastAsia"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t xml:space="preserve">（四）采购标的需满足的服务标准、期限、效率等要求</w:t>
      </w:r>
      <w:r/>
    </w:p>
    <w:p>
      <w:pPr>
        <w:spacing w:after="62" w:line="460" w:lineRule="exact"/>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p>
    <w:p>
      <w:pPr>
        <w:spacing w:after="62" w:line="460" w:lineRule="exact"/>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3.供应商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rPr>
          <w:rFonts w:hint="eastAsia" w:ascii="仿宋" w:hAnsi="仿宋" w:eastAsia="仿宋"/>
          <w:sz w:val="28"/>
          <w:szCs w:val="28"/>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Times New Roman"/>
          <w:b/>
          <w:bCs/>
          <w:color w:val="000000" w:themeColor="text1"/>
          <w:sz w:val="28"/>
          <w:szCs w:val="28"/>
          <w:highlight w:val="none"/>
          <w14:textFill>
            <w14:solidFill>
              <w14:schemeClr w14:val="tx1"/>
            </w14:solidFill>
          </w14:textFill>
        </w:rPr>
        <w:t xml:space="preserve">）采购标的验收标准</w:t>
      </w:r>
      <w:r>
        <w:rPr>
          <w:rFonts w:hint="eastAsia" w:ascii="宋体" w:hAnsi="宋体" w:eastAsia="宋体" w:cs="Times New Roman"/>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现场）</w:t>
      </w:r>
      <w:r>
        <w:rPr>
          <w:rFonts w:ascii="仿宋" w:hAnsi="仿宋" w:eastAsia="仿宋"/>
          <w:sz w:val="28"/>
          <w:szCs w:val="28"/>
        </w:rPr>
        <w:tab/>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1.在接到供应商以书面形式提出验收申请后，学校在5个工作日内及时组织相关专业技术人员，按国家制造和安装的标准要求执行，必要时邀请第三方质检等部门共同参与验收，并出具验收报告，作为支付货款的依据。检查成品外观，不合格件当场标记，供应商须在3日（库存更换）或10日（重新生产）内无条件撤换。</w:t>
      </w:r>
      <w:r/>
    </w:p>
    <w:p>
      <w:pPr>
        <w:jc w:val="left"/>
        <w:spacing w:after="62" w:line="460" w:lineRule="exact"/>
        <w:rPr>
          <w:rFonts w:hint="eastAsia" w:eastAsia="仿宋"/>
          <w:sz w:val="24"/>
          <w:szCs w:val="24"/>
          <w:lang w:val="en-US" w:eastAsia="zh-CN"/>
        </w:rPr>
      </w:pPr>
      <w:r>
        <w:rPr>
          <w:rFonts w:hint="eastAsia" w:eastAsia="仿宋"/>
          <w:sz w:val="24"/>
          <w:szCs w:val="24"/>
          <w:lang w:val="en-US" w:eastAsia="zh-CN"/>
        </w:rPr>
        <w:t xml:space="preserve">外观接收准则：</w:t>
      </w:r>
      <w:r/>
    </w:p>
    <w:p>
      <w:pPr>
        <w:jc w:val="left"/>
        <w:spacing w:after="62" w:line="460" w:lineRule="exact"/>
        <w:rPr>
          <w:rFonts w:hint="eastAsia" w:eastAsia="仿宋"/>
          <w:sz w:val="24"/>
          <w:szCs w:val="24"/>
          <w:lang w:val="en-US" w:eastAsia="zh-CN"/>
        </w:rPr>
      </w:pPr>
      <w:r>
        <w:rPr>
          <w:rFonts w:hint="eastAsia" w:eastAsia="仿宋"/>
          <w:sz w:val="24"/>
          <w:szCs w:val="24"/>
          <w:lang w:val="en-US" w:eastAsia="zh-CN"/>
        </w:rPr>
        <w:t xml:space="preserve">涂层表面：应平整光滑、色泽均匀，不允许有露底、剥落、鼓泡、流挂、明显色差、划痕等缺陷。</w:t>
      </w:r>
      <w:r/>
    </w:p>
    <w:p>
      <w:pPr>
        <w:jc w:val="left"/>
        <w:spacing w:after="62" w:line="460" w:lineRule="exact"/>
        <w:rPr>
          <w:rFonts w:hint="eastAsia" w:eastAsia="仿宋"/>
          <w:sz w:val="24"/>
          <w:szCs w:val="24"/>
          <w:lang w:val="en-US" w:eastAsia="zh-CN"/>
        </w:rPr>
      </w:pPr>
      <w:r>
        <w:rPr>
          <w:rFonts w:hint="eastAsia" w:eastAsia="仿宋"/>
          <w:sz w:val="24"/>
          <w:szCs w:val="24"/>
          <w:lang w:val="en-US" w:eastAsia="zh-CN"/>
        </w:rPr>
        <w:t xml:space="preserve">封边处理：应牢固、平整、无脱胶、无溢胶，过渡圆滑。</w:t>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焊接部位：应牢固、均匀，无焊穿、虚焊、裂纹，焊疤应打磨平整。</w:t>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边角及外露部位：均应做倒角或圆滑处理，无毛刺、锐角和锋边。</w:t>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spacing w:after="62" w:line="460" w:lineRule="exact"/>
        <w:rPr>
          <w:rFonts w:hint="eastAsia" w:eastAsia="仿宋"/>
          <w:sz w:val="24"/>
          <w:szCs w:val="24"/>
          <w:lang w:val="en-US" w:eastAsia="zh-CN"/>
        </w:rPr>
      </w:pPr>
      <w:r>
        <w:rPr>
          <w:rFonts w:hint="eastAsia" w:eastAsia="仿宋"/>
          <w:sz w:val="24"/>
          <w:szCs w:val="24"/>
          <w:lang w:val="en-US" w:eastAsia="zh-CN"/>
        </w:rPr>
        <w:t xml:space="preserve">3.中标人必须负责所采购产品的运输，并派有经验的技术人员到现场进行卸货、安装，经调试、检测合格后交付使用，其费用由中标人承担，包含在报价中。</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b/>
          <w:color w:val="auto"/>
          <w:sz w:val="28"/>
          <w:szCs w:val="28"/>
          <w:highlight w:val="none"/>
        </w:rPr>
        <w:t xml:space="preserve">三、</w:t>
      </w: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jc w:val="both"/>
        <w:spacing w:after="62" w:line="460" w:lineRule="exact"/>
        <w:widowControl w:val="off"/>
        <w:rPr>
          <w:rFonts w:hint="eastAsia" w:ascii="Times New Roman" w:hAnsi="Times New Roman" w:eastAsia="仿宋" w:cs="Times New Roman"/>
          <w:b/>
          <w:sz w:val="28"/>
          <w:szCs w:val="28"/>
          <w:highlight w:val="none"/>
          <w:lang w:eastAsia="zh-CN"/>
        </w:rPr>
      </w:pPr>
      <w:r>
        <w:rPr>
          <w:rFonts w:hint="eastAsia" w:ascii="Times New Roman" w:hAnsi="Times New Roman" w:eastAsia="仿宋" w:cs="Times New Roman"/>
          <w:b/>
          <w:sz w:val="28"/>
          <w:szCs w:val="28"/>
          <w:highlight w:val="none"/>
          <w:lang w:eastAsia="zh-CN"/>
        </w:rPr>
        <w:t xml:space="preserve">（一）采购标的数量、采购项目交付或者实施的时间和地点</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1.标的数量：设备清单及技术要求详见项目清单</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2.供货周期：合同签订后35个日历天内完成交付，并通过初步验收。</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3.交货地点：具体按学校指定地点送货、安装。</w:t>
      </w:r>
      <w:r/>
    </w:p>
    <w:p>
      <w:pPr>
        <w:jc w:val="both"/>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二</w:t>
      </w: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）质保期要求：</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b/>
          <w:bCs/>
          <w:caps/>
          <w:color w:val="auto"/>
          <w:sz w:val="24"/>
          <w:szCs w:val="24"/>
          <w:highlight w:val="none"/>
          <w:lang w:val="en-US" w:eastAsia="zh-CN" w:bidi="ar-SA"/>
        </w:rPr>
        <w:t xml:space="preserve">整体免费质保期为叁年。</w:t>
      </w:r>
      <w:r>
        <w:rPr>
          <w:rFonts w:hint="eastAsia" w:ascii="仿宋" w:hAnsi="仿宋" w:eastAsia="仿宋" w:cs="仿宋"/>
          <w:caps/>
          <w:color w:val="auto"/>
          <w:sz w:val="24"/>
          <w:szCs w:val="24"/>
          <w:highlight w:val="none"/>
          <w:lang w:val="en-US" w:eastAsia="zh-CN" w:bidi="ar-SA"/>
        </w:rPr>
        <w:t xml:space="preserve">时间自该批次最终验收合格并交付学校使用之日起算。（因验收不合格导致退货或整改的，该批次质保期自整改后重新验收合格并交付使用之日起计算）</w:t>
      </w:r>
      <w:r/>
    </w:p>
    <w:p>
      <w:pPr>
        <w:jc w:val="both"/>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三）</w:t>
      </w: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售后服务要求：</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（2）在保修期外，成交供应商应提供终身维修服务。维修配件仅收取材料采购成本及合理运输费用，且免收上门服务费。</w:t>
      </w:r>
      <w:r/>
    </w:p>
    <w:p>
      <w:pPr>
        <w:jc w:val="both"/>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四）</w:t>
      </w:r>
      <w:r>
        <w:rPr>
          <w:rFonts w:hint="eastAsia" w:ascii="仿宋_GB2312" w:hAnsi="Times New Roman" w:eastAsia="仿宋_GB2312" w:cs="Times New Roman"/>
          <w:b/>
          <w:bCs/>
          <w:color w:val="000000" w:themeColor="text1"/>
          <w:sz w:val="28"/>
          <w:szCs w:val="28"/>
          <w:lang w:eastAsia="zh-CN"/>
          <w14:textFill>
            <w14:solidFill>
              <w14:schemeClr w14:val="tx1"/>
            </w14:solidFill>
          </w14:textFill>
        </w:rPr>
        <w:t xml:space="preserve">培训要求：</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安装调试完成后，</w:t>
      </w:r>
      <w:r>
        <w:rPr>
          <w:rFonts w:hint="eastAsia" w:ascii="仿宋" w:hAnsi="仿宋" w:eastAsia="仿宋" w:cs="仿宋"/>
          <w:caps/>
          <w:color w:val="auto"/>
          <w:sz w:val="24"/>
          <w:szCs w:val="24"/>
          <w:highlight w:val="none"/>
          <w:lang w:val="en-US" w:eastAsia="zh-CN" w:bidi="ar-SA"/>
        </w:rPr>
        <w:t xml:space="preserve">成交供应商应对学校任课教师</w:t>
      </w:r>
      <w:r>
        <w:rPr>
          <w:rFonts w:hint="eastAsia" w:ascii="仿宋" w:hAnsi="仿宋" w:eastAsia="仿宋" w:cs="仿宋"/>
          <w:caps/>
          <w:color w:val="auto"/>
          <w:sz w:val="24"/>
          <w:szCs w:val="24"/>
          <w:highlight w:val="none"/>
          <w:lang w:val="en-US" w:eastAsia="zh-CN" w:bidi="ar-SA"/>
        </w:rPr>
        <w:t xml:space="preserve">进行现场操作培训，演示家具的正确使用方法、日常保养要点及简单故障排查，确保管理人员具备基本的维护常识。</w:t>
      </w:r>
      <w:r/>
    </w:p>
    <w:p>
      <w:pPr>
        <w:jc w:val="both"/>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五）</w:t>
      </w:r>
      <w:r>
        <w:rPr>
          <w:rFonts w:hint="eastAsia" w:ascii="仿宋" w:hAnsi="仿宋" w:eastAsia="仿宋" w:cs="Times New Roman"/>
          <w:b/>
          <w:bCs/>
          <w:sz w:val="28"/>
          <w:szCs w:val="28"/>
          <w:lang w:eastAsia="zh-CN"/>
        </w:rPr>
        <w:t xml:space="preserve">验收标准：</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（1）询价文件技术规格书中明确的标准和技术要求；</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（2）与合同货物有关的最新版本的中华人民共和国国家/国际标准和部颁标准；</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（3）货物合格证书技术资料中的精度、质量要求；</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（4）供应商在澄清响应文件时作出的承诺，经采购单位确认后，将作为对货物的验收依据之一；</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（5）双方签订的合同技术附件所规定的条款。</w:t>
      </w:r>
      <w:r/>
    </w:p>
    <w:p>
      <w:pPr>
        <w:jc w:val="both"/>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六</w:t>
      </w:r>
      <w:r>
        <w:rPr>
          <w:rFonts w:hint="eastAsia" w:ascii="仿宋" w:hAnsi="仿宋" w:eastAsia="仿宋" w:cs="Times New Roman"/>
          <w:b/>
          <w:bCs/>
          <w:sz w:val="28"/>
          <w:szCs w:val="28"/>
          <w:lang w:eastAsia="zh-CN"/>
        </w:rPr>
        <w:t xml:space="preserve">）付款方式：</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（1）合同签订生效后一个月内，买方支付成交供应商合同总价的 30%预付款（乙方需先行提供同等金额的预付款保函，预付款保函须由成交供应商基本账户开户银行出具）</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（2）验收合格后付清合同总价。</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（3）在买方支付合同价款前，卖方应当先向甲方开具等额合法有效的发票；否则，买方有权拒绝或迟延支付相应款项，且不影响卖方继续履行本合同项下义务。</w:t>
      </w:r>
      <w:r/>
    </w:p>
    <w:p>
      <w:pPr>
        <w:jc w:val="both"/>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七</w:t>
      </w:r>
      <w:r>
        <w:rPr>
          <w:rFonts w:hint="eastAsia" w:ascii="仿宋" w:hAnsi="仿宋" w:eastAsia="仿宋" w:cs="Times New Roman"/>
          <w:b/>
          <w:bCs/>
          <w:sz w:val="28"/>
          <w:szCs w:val="28"/>
          <w:lang w:eastAsia="zh-CN"/>
        </w:rPr>
        <w:t xml:space="preserve">）履约保证金：</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1.本项目成交后的</w:t>
      </w:r>
      <w:r>
        <w:rPr>
          <w:rFonts w:hint="eastAsia" w:ascii="仿宋" w:hAnsi="仿宋" w:eastAsia="仿宋" w:cs="仿宋"/>
          <w:b/>
          <w:bCs/>
          <w:caps/>
          <w:color w:val="auto"/>
          <w:sz w:val="24"/>
          <w:szCs w:val="24"/>
          <w:highlight w:val="none"/>
          <w:lang w:val="en-US" w:eastAsia="zh-CN" w:bidi="ar-SA"/>
        </w:rPr>
        <w:t xml:space="preserve">履约保证金为项目成交价的10%</w:t>
      </w:r>
      <w:r>
        <w:rPr>
          <w:rFonts w:hint="eastAsia" w:ascii="仿宋" w:hAnsi="仿宋" w:eastAsia="仿宋" w:cs="仿宋"/>
          <w:caps/>
          <w:color w:val="auto"/>
          <w:sz w:val="24"/>
          <w:szCs w:val="24"/>
          <w:highlight w:val="none"/>
          <w:lang w:val="en-US" w:eastAsia="zh-CN" w:bidi="ar-SA"/>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3.发生以下情况的，履约保证金不予退还或部分退还：</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w:t>
      </w:r>
      <w:r>
        <w:rPr>
          <w:rFonts w:hint="eastAsia" w:ascii="仿宋" w:hAnsi="仿宋" w:eastAsia="仿宋" w:cs="仿宋"/>
          <w:caps/>
          <w:color w:val="auto"/>
          <w:sz w:val="24"/>
          <w:szCs w:val="24"/>
          <w:highlight w:val="none"/>
          <w:lang w:val="en-US" w:eastAsia="zh-CN" w:bidi="ar-SA"/>
        </w:rPr>
        <w:t xml:space="preserve">.签订合同后，成交供应商不履行合同义务的，采购人有权全额扣除履约保证金，全额不予退还，同时采购人亦有权终止合同，中标人还须承担相应的法律赔偿责任。</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w:t>
      </w:r>
      <w:r>
        <w:rPr>
          <w:rFonts w:hint="eastAsia" w:ascii="仿宋" w:hAnsi="仿宋" w:eastAsia="仿宋" w:cs="仿宋"/>
          <w:caps/>
          <w:color w:val="auto"/>
          <w:sz w:val="24"/>
          <w:szCs w:val="24"/>
          <w:highlight w:val="none"/>
          <w:lang w:val="en-US" w:eastAsia="zh-CN" w:bidi="ar-SA"/>
        </w:rPr>
        <w:t xml:space="preserve">.成交供应商在履约过程中发生违约行为，给采购人造成损失的，采购人有权在成交供应商缴纳的履约保证金中予以扣款，以弥补采购人经济损失，不足的部分成交供应商另外补齐。</w:t>
      </w:r>
      <w:r/>
    </w:p>
    <w:p>
      <w:pPr>
        <w:ind w:firstLine="560"/>
        <w:jc w:val="both"/>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w:t>
      </w:r>
      <w:r>
        <w:rPr>
          <w:rFonts w:hint="eastAsia" w:ascii="仿宋" w:hAnsi="仿宋" w:eastAsia="仿宋" w:cs="仿宋"/>
          <w:b/>
          <w:bCs/>
          <w:caps/>
          <w:color w:val="auto"/>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spacing w:after="62" w:line="480" w:lineRule="exact"/>
        <w:rPr>
          <w:rFonts w:hint="eastAsia" w:ascii="宋体" w:hAnsi="宋体" w:eastAsia="宋体" w:cs="宋体"/>
          <w:b/>
          <w:bCs/>
          <w:i/>
          <w:color w:val="ff0000"/>
          <w:sz w:val="24"/>
          <w:szCs w:val="24"/>
          <w:highlight w:val="none"/>
          <w:u w:val="single"/>
        </w:rPr>
      </w:pPr>
      <w:r>
        <w:rPr>
          <w:rFonts w:hint="eastAsia" w:ascii="宋体" w:hAnsi="宋体" w:eastAsia="宋体" w:cs="宋体"/>
          <w:b/>
          <w:bCs/>
          <w:i/>
          <w:color w:val="ff0000"/>
          <w:sz w:val="24"/>
          <w:szCs w:val="24"/>
          <w:highlight w:val="none"/>
          <w:u w:val="single"/>
        </w:rPr>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1.技术部分实质性要求（佐证材料须在《技术要求响应及偏离表》下方列明）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1.1必须完全响应采购需求中列明的所有技术参数、材质、尺寸、工艺等要求。任何负偏离（不满足）都将导致响应无效。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2.商务部分实质性要求</w:t>
      </w:r>
      <w:r>
        <w:rPr>
          <w:rFonts w:hint="eastAsia" w:ascii="仿宋_GB2312" w:eastAsia="仿宋_GB2312" w:cs="Times New Roman"/>
          <w:b/>
          <w:bCs/>
          <w:color w:val="auto"/>
          <w:sz w:val="24"/>
          <w:szCs w:val="24"/>
          <w:highlight w:val="none"/>
          <w:u w:val="single"/>
          <w:lang w:val="en-US" w:eastAsia="zh-CN"/>
        </w:rPr>
        <w:t xml:space="preserve">：</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2.1本项目须在合同签订后3</w:t>
      </w:r>
      <w:r>
        <w:rPr>
          <w:rFonts w:hint="eastAsia" w:ascii="仿宋_GB2312" w:eastAsia="仿宋_GB2312" w:cs="Times New Roman"/>
          <w:color w:val="auto"/>
          <w:sz w:val="24"/>
          <w:szCs w:val="24"/>
          <w:highlight w:val="none"/>
          <w:u w:val="single"/>
          <w:lang w:val="en-US" w:eastAsia="zh-CN"/>
        </w:rPr>
        <w:t xml:space="preserve">5</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个日历天内完成交付，供应商须提供书面承诺函（内容须包括供货时间和供货达成率），加盖投标单位公章，格式自拟。</w:t>
      </w:r>
      <w:r/>
    </w:p>
    <w:p>
      <w:pPr>
        <w:ind w:right="56"/>
        <w:jc w:val="both"/>
        <w:spacing w:before="1" w:line="447"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9"/>
        <w:ind w:firstLine="0"/>
        <w:jc w:val="center"/>
        <w:rPr>
          <w:rFonts w:hint="eastAsia" w:ascii="黑体" w:hAnsi="黑体" w:eastAsia="黑体" w:cs="黑体"/>
          <w:color w:val="000000"/>
          <w:sz w:val="44"/>
          <w:highlight w:val="none"/>
          <w:lang w:eastAsia="zh-CN"/>
        </w:rPr>
        <w:outlineLvl w:val="0"/>
      </w:pPr>
      <w:r/>
      <w:bookmarkStart w:id="13" w:name="_Toc3917"/>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749"/>
        <w:ind w:firstLine="0"/>
        <w:jc w:val="center"/>
        <w:rPr>
          <w:rFonts w:hint="eastAsia" w:ascii="黑体" w:hAnsi="黑体" w:eastAsia="黑体" w:cs="黑体"/>
          <w:color w:val="000000"/>
          <w:sz w:val="44"/>
          <w:szCs w:val="44"/>
          <w:highlight w:val="none"/>
        </w:rPr>
        <w:outlineLvl w:val="0"/>
      </w:pPr>
      <w:r>
        <w:rPr>
          <w:highlight w:val="none"/>
        </w:rPr>
      </w:r>
      <w:r>
        <w:rPr>
          <w:highlight w:val="none"/>
        </w:rPr>
      </w:r>
    </w:p>
    <w:p>
      <w:pPr>
        <w:pStyle w:val="749"/>
        <w:ind w:firstLine="0"/>
        <w:jc w:val="center"/>
        <w:rPr>
          <w:highlight w:val="none"/>
        </w:rPr>
        <w:outlineLvl w:val="0"/>
      </w:pPr>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10"/>
        <w:rPr>
          <w:highlight w:val="none"/>
        </w:rPr>
      </w:pPr>
      <w:r>
        <w:rPr>
          <w:highlight w:val="none"/>
        </w:rPr>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0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2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9"/>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9"/>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9"/>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2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4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4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4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2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43"/>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751"/>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2"/>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5"/>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9"/>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10"/>
    <w:next w:val="725"/>
    <w:uiPriority w:val="99"/>
    <w:qFormat/>
    <w:rPr>
      <w:rFonts w:ascii="楷体_GB2312" w:hAnsi="Arial" w:eastAsia="楷体_GB2312"/>
      <w:sz w:val="28"/>
      <w:szCs w:val="28"/>
    </w:rPr>
  </w:style>
  <w:style w:type="paragraph" w:styleId="725" w:customStyle="1">
    <w:name w:val="Default"/>
    <w:next w:val="710"/>
    <w:uiPriority w:val="0"/>
    <w:qFormat/>
    <w:pPr>
      <w:widowControl w:val="off"/>
    </w:pPr>
    <w:rPr>
      <w:rFonts w:hint="default" w:ascii="宋体" w:hAnsi="宋体" w:eastAsia="宋体" w:cs="宋体"/>
      <w:color w:val="000000"/>
      <w:sz w:val="24"/>
      <w:szCs w:val="24"/>
      <w:lang w:val="en-US" w:eastAsia="zh-CN" w:bidi="ar-SA"/>
    </w:rPr>
  </w:style>
  <w:style w:type="paragraph" w:styleId="726">
    <w:name w:val="Body Text Indent"/>
    <w:basedOn w:val="710"/>
    <w:next w:val="710"/>
    <w:uiPriority w:val="0"/>
    <w:qFormat/>
    <w:pPr>
      <w:ind w:firstLine="403"/>
      <w:spacing w:line="440" w:lineRule="exact"/>
    </w:pPr>
    <w:rPr>
      <w:rFonts w:ascii="宋体" w:hAnsi="宋体"/>
      <w:sz w:val="20"/>
      <w:szCs w:val="21"/>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toc 8"/>
    <w:basedOn w:val="710"/>
    <w:next w:val="710"/>
    <w:uiPriority w:val="39"/>
    <w:unhideWhenUsed/>
    <w:qFormat/>
    <w:pPr>
      <w:ind w:left="1984" w:right="0" w:firstLine="0"/>
      <w:spacing w:after="57"/>
    </w:pPr>
  </w:style>
  <w:style w:type="paragraph" w:styleId="730">
    <w:name w:val="endnote text"/>
    <w:basedOn w:val="710"/>
    <w:link w:val="897"/>
    <w:uiPriority w:val="99"/>
    <w:semiHidden/>
    <w:unhideWhenUsed/>
    <w:qFormat/>
    <w:pPr>
      <w:spacing w:after="0" w:line="240" w:lineRule="auto"/>
    </w:pPr>
    <w:rPr>
      <w:sz w:val="20"/>
    </w:rPr>
  </w:style>
  <w:style w:type="paragraph" w:styleId="731">
    <w:name w:val="Footer"/>
    <w:basedOn w:val="710"/>
    <w:link w:val="770"/>
    <w:uiPriority w:val="99"/>
    <w:unhideWhenUsed/>
    <w:qFormat/>
    <w:pPr>
      <w:spacing w:after="0" w:line="240" w:lineRule="auto"/>
      <w:tabs>
        <w:tab w:val="center" w:pos="7143" w:leader="none"/>
        <w:tab w:val="right" w:pos="14287" w:leader="none"/>
      </w:tabs>
    </w:pPr>
  </w:style>
  <w:style w:type="paragraph" w:styleId="732">
    <w:name w:val="Header"/>
    <w:basedOn w:val="710"/>
    <w:link w:val="768"/>
    <w:uiPriority w:val="99"/>
    <w:unhideWhenUsed/>
    <w:qFormat/>
    <w:pPr>
      <w:spacing w:after="0" w:line="240" w:lineRule="auto"/>
      <w:tabs>
        <w:tab w:val="center" w:pos="7143" w:leader="none"/>
        <w:tab w:val="right" w:pos="14287" w:leader="none"/>
      </w:tabs>
    </w:pPr>
  </w:style>
  <w:style w:type="paragraph" w:styleId="733">
    <w:name w:val="toc 1"/>
    <w:basedOn w:val="710"/>
    <w:next w:val="710"/>
    <w:uiPriority w:val="39"/>
    <w:unhideWhenUsed/>
    <w:qFormat/>
    <w:pPr>
      <w:ind w:left="0" w:right="0" w:firstLine="0"/>
      <w:spacing w:after="57"/>
    </w:pPr>
  </w:style>
  <w:style w:type="paragraph" w:styleId="734">
    <w:name w:val="toc 4"/>
    <w:basedOn w:val="710"/>
    <w:next w:val="710"/>
    <w:uiPriority w:val="39"/>
    <w:unhideWhenUsed/>
    <w:qFormat/>
    <w:pPr>
      <w:ind w:left="850" w:right="0" w:firstLine="0"/>
      <w:spacing w:after="57"/>
    </w:pPr>
  </w:style>
  <w:style w:type="paragraph" w:styleId="735">
    <w:name w:val="Subtitle"/>
    <w:basedOn w:val="710"/>
    <w:next w:val="710"/>
    <w:link w:val="763"/>
    <w:uiPriority w:val="11"/>
    <w:qFormat/>
    <w:pPr>
      <w:spacing w:before="200" w:after="200"/>
    </w:pPr>
    <w:rPr>
      <w:sz w:val="24"/>
      <w:szCs w:val="24"/>
    </w:rPr>
  </w:style>
  <w:style w:type="paragraph" w:styleId="736">
    <w:name w:val="footnote text"/>
    <w:basedOn w:val="710"/>
    <w:link w:val="896"/>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right="0" w:firstLine="0"/>
      <w:spacing w:after="57"/>
    </w:pPr>
  </w:style>
  <w:style w:type="paragraph" w:styleId="738">
    <w:name w:val="table of figures"/>
    <w:basedOn w:val="710"/>
    <w:next w:val="710"/>
    <w:uiPriority w:val="99"/>
    <w:unhideWhenUsed/>
    <w:qFormat/>
    <w:pPr>
      <w:spacing w:after="0" w:afterAutospacing="0"/>
    </w:pPr>
  </w:style>
  <w:style w:type="paragraph" w:styleId="739">
    <w:name w:val="toc 2"/>
    <w:basedOn w:val="710"/>
    <w:next w:val="710"/>
    <w:uiPriority w:val="39"/>
    <w:unhideWhenUsed/>
    <w:qFormat/>
    <w:pPr>
      <w:ind w:left="283" w:right="0" w:firstLine="0"/>
      <w:spacing w:after="57"/>
    </w:pPr>
  </w:style>
  <w:style w:type="paragraph" w:styleId="740">
    <w:name w:val="toc 9"/>
    <w:basedOn w:val="710"/>
    <w:next w:val="710"/>
    <w:uiPriority w:val="39"/>
    <w:unhideWhenUsed/>
    <w:qFormat/>
    <w:pPr>
      <w:ind w:left="2268" w:right="0" w:firstLine="0"/>
      <w:spacing w:after="57"/>
    </w:pPr>
  </w:style>
  <w:style w:type="paragraph" w:styleId="741">
    <w:name w:val="Normal (Web)"/>
    <w:basedOn w:val="710"/>
    <w:uiPriority w:val="0"/>
    <w:qFormat/>
    <w:pPr>
      <w:jc w:val="left"/>
      <w:spacing w:beforeAutospacing="1" w:afterAutospacing="1"/>
    </w:pPr>
    <w:rPr>
      <w:sz w:val="24"/>
    </w:rPr>
  </w:style>
  <w:style w:type="paragraph" w:styleId="742">
    <w:name w:val="Title"/>
    <w:basedOn w:val="710"/>
    <w:next w:val="710"/>
    <w:link w:val="762"/>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20"/>
    <w:uiPriority w:val="22"/>
    <w:qFormat/>
    <w:rPr>
      <w:b/>
    </w:rPr>
  </w:style>
  <w:style w:type="character" w:styleId="745">
    <w:name w:val="endnote reference"/>
    <w:uiPriority w:val="99"/>
    <w:semiHidden/>
    <w:unhideWhenUsed/>
    <w:qFormat/>
    <w:rPr>
      <w:vertAlign w:val="superscript"/>
    </w:rPr>
  </w:style>
  <w:style w:type="character" w:styleId="746">
    <w:name w:val="Emphasis"/>
    <w:uiPriority w:val="0"/>
    <w:qFormat/>
    <w:rPr>
      <w:i/>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paragraph" w:styleId="749" w:customStyle="1">
    <w:name w:val="正文首行缩进 21"/>
    <w:basedOn w:val="750"/>
    <w:uiPriority w:val="0"/>
    <w:qFormat/>
    <w:pPr>
      <w:ind w:left="0" w:firstLine="420"/>
      <w:spacing w:after="0" w:line="360" w:lineRule="auto"/>
    </w:pPr>
    <w:rPr>
      <w:rFonts w:ascii="宋体" w:hAnsi="宋体"/>
      <w:sz w:val="20"/>
      <w:szCs w:val="20"/>
      <w:lang w:val="en-US" w:eastAsia="en-US"/>
    </w:rPr>
  </w:style>
  <w:style w:type="paragraph" w:styleId="750" w:customStyle="1">
    <w:name w:val="正文文本缩进1"/>
    <w:basedOn w:val="710"/>
    <w:next w:val="749"/>
    <w:uiPriority w:val="0"/>
    <w:unhideWhenUsed/>
    <w:qFormat/>
    <w:pPr>
      <w:ind w:left="420"/>
      <w:spacing w:after="120"/>
    </w:pPr>
  </w:style>
  <w:style w:type="character" w:styleId="751" w:customStyle="1">
    <w:name w:val="Heading 1 Char"/>
    <w:link w:val="711"/>
    <w:uiPriority w:val="9"/>
    <w:qFormat/>
    <w:rPr>
      <w:rFonts w:ascii="Arial" w:hAnsi="Arial" w:eastAsia="Arial" w:cs="Arial"/>
      <w:sz w:val="40"/>
      <w:szCs w:val="40"/>
    </w:rPr>
  </w:style>
  <w:style w:type="character" w:styleId="752" w:customStyle="1">
    <w:name w:val="Heading 2 Char"/>
    <w:link w:val="712"/>
    <w:uiPriority w:val="9"/>
    <w:qFormat/>
    <w:rPr>
      <w:rFonts w:ascii="Arial" w:hAnsi="Arial" w:eastAsia="Arial" w:cs="Arial"/>
      <w:sz w:val="34"/>
    </w:rPr>
  </w:style>
  <w:style w:type="character" w:styleId="753" w:customStyle="1">
    <w:name w:val="Heading 3 Char"/>
    <w:link w:val="713"/>
    <w:uiPriority w:val="9"/>
    <w:qFormat/>
    <w:rPr>
      <w:rFonts w:ascii="Arial" w:hAnsi="Arial" w:eastAsia="Arial" w:cs="Arial"/>
      <w:sz w:val="30"/>
      <w:szCs w:val="30"/>
    </w:rPr>
  </w:style>
  <w:style w:type="character" w:styleId="754" w:customStyle="1">
    <w:name w:val="Heading 4 Char"/>
    <w:link w:val="714"/>
    <w:uiPriority w:val="9"/>
    <w:qFormat/>
    <w:rPr>
      <w:rFonts w:ascii="Arial" w:hAnsi="Arial" w:eastAsia="Arial" w:cs="Arial"/>
      <w:b/>
      <w:bCs/>
      <w:sz w:val="26"/>
      <w:szCs w:val="26"/>
    </w:rPr>
  </w:style>
  <w:style w:type="character" w:styleId="755" w:customStyle="1">
    <w:name w:val="Heading 5 Char"/>
    <w:link w:val="715"/>
    <w:uiPriority w:val="9"/>
    <w:qFormat/>
    <w:rPr>
      <w:rFonts w:ascii="Arial" w:hAnsi="Arial" w:eastAsia="Arial" w:cs="Arial"/>
      <w:b/>
      <w:bCs/>
      <w:sz w:val="24"/>
      <w:szCs w:val="24"/>
    </w:rPr>
  </w:style>
  <w:style w:type="character" w:styleId="756" w:customStyle="1">
    <w:name w:val="Heading 6 Char"/>
    <w:link w:val="716"/>
    <w:uiPriority w:val="9"/>
    <w:qFormat/>
    <w:rPr>
      <w:rFonts w:ascii="Arial" w:hAnsi="Arial" w:eastAsia="Arial" w:cs="Arial"/>
      <w:b/>
      <w:bCs/>
      <w:sz w:val="22"/>
      <w:szCs w:val="22"/>
    </w:rPr>
  </w:style>
  <w:style w:type="character" w:styleId="757" w:customStyle="1">
    <w:name w:val="Heading 7 Char"/>
    <w:link w:val="717"/>
    <w:uiPriority w:val="9"/>
    <w:qFormat/>
    <w:rPr>
      <w:rFonts w:ascii="Arial" w:hAnsi="Arial" w:eastAsia="Arial" w:cs="Arial"/>
      <w:b/>
      <w:bCs/>
      <w:i/>
      <w:iCs/>
      <w:sz w:val="22"/>
      <w:szCs w:val="22"/>
    </w:rPr>
  </w:style>
  <w:style w:type="character" w:styleId="758" w:customStyle="1">
    <w:name w:val="Heading 8 Char"/>
    <w:link w:val="718"/>
    <w:uiPriority w:val="9"/>
    <w:qFormat/>
    <w:rPr>
      <w:rFonts w:ascii="Arial" w:hAnsi="Arial" w:eastAsia="Arial" w:cs="Arial"/>
      <w:i/>
      <w:iCs/>
      <w:sz w:val="22"/>
      <w:szCs w:val="22"/>
    </w:rPr>
  </w:style>
  <w:style w:type="character" w:styleId="759" w:customStyle="1">
    <w:name w:val="Heading 9 Char"/>
    <w:link w:val="719"/>
    <w:uiPriority w:val="9"/>
    <w:qFormat/>
    <w:rPr>
      <w:rFonts w:ascii="Arial" w:hAnsi="Arial" w:eastAsia="Arial" w:cs="Arial"/>
      <w:i/>
      <w:iCs/>
      <w:sz w:val="21"/>
      <w:szCs w:val="21"/>
    </w:rPr>
  </w:style>
  <w:style w:type="paragraph" w:styleId="760">
    <w:name w:val="List Paragraph"/>
    <w:basedOn w:val="710"/>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2"/>
    <w:uiPriority w:val="10"/>
    <w:qFormat/>
    <w:rPr>
      <w:sz w:val="48"/>
      <w:szCs w:val="48"/>
    </w:rPr>
  </w:style>
  <w:style w:type="character" w:styleId="763" w:customStyle="1">
    <w:name w:val="Subtitle Char"/>
    <w:link w:val="735"/>
    <w:uiPriority w:val="11"/>
    <w:qFormat/>
    <w:rPr>
      <w:sz w:val="24"/>
      <w:szCs w:val="24"/>
    </w:rPr>
  </w:style>
  <w:style w:type="paragraph" w:styleId="764">
    <w:name w:val="Quote"/>
    <w:basedOn w:val="710"/>
    <w:next w:val="710"/>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0"/>
    <w:next w:val="710"/>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2"/>
    <w:uiPriority w:val="99"/>
    <w:qFormat/>
  </w:style>
  <w:style w:type="character" w:styleId="769" w:customStyle="1">
    <w:name w:val="Footer Char"/>
    <w:link w:val="731"/>
    <w:uiPriority w:val="99"/>
    <w:qFormat/>
  </w:style>
  <w:style w:type="character" w:styleId="770" w:customStyle="1">
    <w:name w:val="Caption Char"/>
    <w:link w:val="731"/>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6"/>
    <w:uiPriority w:val="99"/>
    <w:qFormat/>
    <w:rPr>
      <w:sz w:val="18"/>
    </w:rPr>
  </w:style>
  <w:style w:type="character" w:styleId="897" w:customStyle="1">
    <w:name w:val="Endnote Text Char"/>
    <w:link w:val="730"/>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10"/>
    <w:next w:val="710"/>
    <w:link w:val="905"/>
    <w:uiPriority w:val="0"/>
    <w:qFormat/>
    <w:pPr>
      <w:keepLines/>
      <w:keepNext/>
      <w:spacing w:before="340" w:after="330" w:line="578" w:lineRule="auto"/>
      <w:outlineLvl w:val="0"/>
    </w:pPr>
    <w:rPr>
      <w:b/>
      <w:bCs/>
      <w:sz w:val="44"/>
      <w:szCs w:val="44"/>
    </w:rPr>
  </w:style>
  <w:style w:type="paragraph" w:styleId="900" w:customStyle="1">
    <w:name w:val="标题 21"/>
    <w:basedOn w:val="710"/>
    <w:next w:val="710"/>
    <w:uiPriority w:val="0"/>
    <w:qFormat/>
    <w:pPr>
      <w:keepLines/>
      <w:keepNext/>
      <w:spacing w:line="360" w:lineRule="auto"/>
      <w:outlineLvl w:val="1"/>
    </w:pPr>
    <w:rPr>
      <w:rFonts w:ascii="Arial" w:hAnsi="Arial"/>
      <w:b/>
      <w:bCs/>
      <w:sz w:val="24"/>
      <w:szCs w:val="32"/>
    </w:rPr>
  </w:style>
  <w:style w:type="paragraph" w:styleId="901" w:customStyle="1">
    <w:name w:val="标题 41"/>
    <w:basedOn w:val="710"/>
    <w:next w:val="902"/>
    <w:uiPriority w:val="0"/>
    <w:qFormat/>
    <w:pPr>
      <w:jc w:val="center"/>
      <w:keepNext/>
      <w:outlineLvl w:val="3"/>
    </w:pPr>
    <w:rPr>
      <w:rFonts w:eastAsia="新宋体"/>
      <w:sz w:val="30"/>
      <w:szCs w:val="21"/>
    </w:rPr>
  </w:style>
  <w:style w:type="paragraph" w:styleId="902" w:customStyle="1">
    <w:name w:val="正文缩进11"/>
    <w:basedOn w:val="710"/>
    <w:uiPriority w:val="0"/>
    <w:qFormat/>
    <w:pPr>
      <w:ind w:firstLine="420"/>
    </w:pPr>
  </w:style>
  <w:style w:type="character" w:styleId="903" w:customStyle="1">
    <w:name w:val="默认段落字体1"/>
    <w:link w:val="710"/>
    <w:uiPriority w:val="1"/>
    <w:unhideWhenUsed/>
    <w:qFormat/>
  </w:style>
  <w:style w:type="table" w:styleId="904" w:customStyle="1">
    <w:name w:val="普通表格1"/>
    <w:uiPriority w:val="99"/>
    <w:unhideWhenUsed/>
    <w:qFormat/>
    <w:tblPr/>
  </w:style>
  <w:style w:type="character" w:styleId="905" w:customStyle="1">
    <w:name w:val="标题 1 字符"/>
    <w:link w:val="899"/>
    <w:uiPriority w:val="0"/>
    <w:qFormat/>
    <w:rPr>
      <w:rFonts w:ascii="Times New Roman" w:hAnsi="Times New Roman"/>
      <w:b/>
      <w:bCs/>
      <w:sz w:val="44"/>
      <w:szCs w:val="44"/>
    </w:rPr>
  </w:style>
  <w:style w:type="paragraph" w:styleId="906" w:customStyle="1">
    <w:name w:val="批注文字1"/>
    <w:basedOn w:val="710"/>
    <w:link w:val="907"/>
    <w:uiPriority w:val="0"/>
    <w:qFormat/>
    <w:pPr>
      <w:jc w:val="left"/>
    </w:pPr>
  </w:style>
  <w:style w:type="character" w:styleId="907" w:customStyle="1">
    <w:name w:val="批注文字 字符"/>
    <w:link w:val="906"/>
    <w:uiPriority w:val="0"/>
    <w:qFormat/>
    <w:rPr>
      <w:sz w:val="21"/>
    </w:rPr>
  </w:style>
  <w:style w:type="paragraph" w:styleId="908" w:customStyle="1">
    <w:name w:val="正文文本11"/>
    <w:basedOn w:val="710"/>
    <w:next w:val="710"/>
    <w:uiPriority w:val="0"/>
    <w:qFormat/>
    <w:rPr>
      <w:rFonts w:ascii="仿宋_GB2312" w:eastAsia="仿宋_GB2312"/>
      <w:sz w:val="24"/>
    </w:rPr>
  </w:style>
  <w:style w:type="paragraph" w:styleId="909" w:customStyle="1">
    <w:name w:val="正文文本缩进11"/>
    <w:basedOn w:val="710"/>
    <w:next w:val="910"/>
    <w:link w:val="911"/>
    <w:uiPriority w:val="0"/>
    <w:qFormat/>
    <w:pPr>
      <w:ind w:left="420"/>
      <w:spacing w:after="120"/>
    </w:pPr>
  </w:style>
  <w:style w:type="paragraph" w:styleId="910" w:customStyle="1">
    <w:name w:val="寄信人地址1"/>
    <w:basedOn w:val="710"/>
    <w:uiPriority w:val="0"/>
    <w:qFormat/>
    <w:rPr>
      <w:rFonts w:ascii="Arial" w:hAnsi="Arial"/>
    </w:rPr>
  </w:style>
  <w:style w:type="character" w:styleId="911" w:customStyle="1">
    <w:name w:val="正文文本缩进 字符"/>
    <w:link w:val="909"/>
    <w:uiPriority w:val="0"/>
    <w:qFormat/>
    <w:rPr>
      <w:sz w:val="21"/>
    </w:rPr>
  </w:style>
  <w:style w:type="paragraph" w:styleId="912" w:customStyle="1">
    <w:name w:val="索引 41"/>
    <w:basedOn w:val="710"/>
    <w:next w:val="710"/>
    <w:uiPriority w:val="99"/>
    <w:unhideWhenUsed/>
    <w:qFormat/>
    <w:pPr>
      <w:ind w:left="600"/>
    </w:pPr>
  </w:style>
  <w:style w:type="paragraph" w:styleId="913" w:customStyle="1">
    <w:name w:val="纯文本11"/>
    <w:basedOn w:val="710"/>
    <w:uiPriority w:val="0"/>
    <w:qFormat/>
    <w:rPr>
      <w:rFonts w:ascii="宋体" w:hAnsi="Courier New" w:cs="Courier New"/>
      <w:szCs w:val="21"/>
    </w:rPr>
  </w:style>
  <w:style w:type="paragraph" w:styleId="914" w:customStyle="1">
    <w:name w:val="批注框文本1"/>
    <w:basedOn w:val="710"/>
    <w:link w:val="915"/>
    <w:uiPriority w:val="0"/>
    <w:qFormat/>
    <w:rPr>
      <w:sz w:val="18"/>
      <w:szCs w:val="18"/>
    </w:rPr>
  </w:style>
  <w:style w:type="character" w:styleId="915" w:customStyle="1">
    <w:name w:val="批注框文本 字符"/>
    <w:link w:val="914"/>
    <w:uiPriority w:val="0"/>
    <w:qFormat/>
    <w:rPr>
      <w:sz w:val="18"/>
      <w:szCs w:val="18"/>
    </w:rPr>
  </w:style>
  <w:style w:type="paragraph" w:styleId="916" w:customStyle="1">
    <w:name w:val="页脚11"/>
    <w:basedOn w:val="710"/>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rPr>
      <w:rFonts w:ascii="Times New Roman" w:hAnsi="Times New Roman" w:eastAsia="宋体" w:cs="Times New Roman"/>
      <w:sz w:val="18"/>
      <w:szCs w:val="18"/>
    </w:rPr>
  </w:style>
  <w:style w:type="paragraph" w:styleId="918" w:customStyle="1">
    <w:name w:val="页眉1"/>
    <w:basedOn w:val="71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9" w:customStyle="1">
    <w:name w:val="目录 11"/>
    <w:basedOn w:val="710"/>
    <w:next w:val="710"/>
    <w:uiPriority w:val="39"/>
    <w:qFormat/>
  </w:style>
  <w:style w:type="paragraph" w:styleId="920" w:customStyle="1">
    <w:name w:val="正文文本缩进 31"/>
    <w:basedOn w:val="710"/>
    <w:uiPriority w:val="0"/>
    <w:qFormat/>
    <w:pPr>
      <w:ind w:left="645" w:firstLine="645"/>
    </w:pPr>
    <w:rPr>
      <w:rFonts w:ascii="Arial" w:hAnsi="Arial" w:eastAsia="仿宋_GB2312"/>
      <w:color w:val="ffff00"/>
      <w:sz w:val="32"/>
      <w:szCs w:val="32"/>
    </w:rPr>
  </w:style>
  <w:style w:type="paragraph" w:styleId="921" w:customStyle="1">
    <w:name w:val="普通(网站)11"/>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922" w:customStyle="1">
    <w:name w:val="批注主题1"/>
    <w:basedOn w:val="906"/>
    <w:next w:val="906"/>
    <w:link w:val="923"/>
    <w:uiPriority w:val="0"/>
    <w:qFormat/>
    <w:rPr>
      <w:b/>
      <w:bCs/>
    </w:rPr>
  </w:style>
  <w:style w:type="character" w:styleId="923" w:customStyle="1">
    <w:name w:val="批注主题 字符"/>
    <w:link w:val="922"/>
    <w:uiPriority w:val="0"/>
    <w:qFormat/>
    <w:rPr>
      <w:b/>
      <w:bCs/>
      <w:sz w:val="21"/>
    </w:rPr>
  </w:style>
  <w:style w:type="paragraph" w:styleId="924" w:customStyle="1">
    <w:name w:val="正文首行缩进1"/>
    <w:basedOn w:val="908"/>
    <w:link w:val="925"/>
    <w:uiPriority w:val="0"/>
    <w:qFormat/>
    <w:pPr>
      <w:ind w:firstLine="420"/>
      <w:spacing w:after="120"/>
    </w:pPr>
    <w:rPr>
      <w:rFonts w:ascii="Times New Roman" w:eastAsia="宋体"/>
      <w:szCs w:val="24"/>
    </w:rPr>
  </w:style>
  <w:style w:type="character" w:styleId="925" w:customStyle="1">
    <w:name w:val="正文首行缩进 字符"/>
    <w:link w:val="924"/>
    <w:uiPriority w:val="0"/>
    <w:qFormat/>
    <w:rPr>
      <w:sz w:val="24"/>
      <w:szCs w:val="24"/>
    </w:rPr>
  </w:style>
  <w:style w:type="paragraph" w:styleId="926" w:customStyle="1">
    <w:name w:val="正文首行缩进 211"/>
    <w:basedOn w:val="909"/>
    <w:next w:val="920"/>
    <w:uiPriority w:val="0"/>
    <w:qFormat/>
    <w:pPr>
      <w:ind w:left="0" w:firstLine="420"/>
      <w:spacing w:after="0" w:line="360" w:lineRule="auto"/>
    </w:pPr>
    <w:rPr>
      <w:rFonts w:ascii="宋体" w:hAnsi="宋体"/>
      <w:sz w:val="20"/>
      <w:szCs w:val="20"/>
    </w:rPr>
  </w:style>
  <w:style w:type="table" w:styleId="927" w:customStyle="1">
    <w:name w:val="网格型1"/>
    <w:basedOn w:val="904"/>
    <w:uiPriority w:val="39"/>
    <w:qFormat/>
    <w:tblPr/>
  </w:style>
  <w:style w:type="character" w:styleId="928" w:customStyle="1">
    <w:name w:val="要点1"/>
    <w:link w:val="710"/>
    <w:uiPriority w:val="22"/>
    <w:qFormat/>
    <w:rPr>
      <w:b/>
      <w:bCs/>
    </w:rPr>
  </w:style>
  <w:style w:type="character" w:styleId="929" w:customStyle="1">
    <w:name w:val="已访问的超链接1"/>
    <w:link w:val="710"/>
    <w:uiPriority w:val="0"/>
    <w:qFormat/>
    <w:rPr>
      <w:rFonts w:ascii="Times New Roman" w:hAnsi="Times New Roman" w:eastAsia="宋体" w:cs="Times New Roman"/>
      <w:sz w:val="21"/>
      <w:lang w:val="en-US" w:eastAsia="zh-CN" w:bidi="ar-SA"/>
    </w:rPr>
  </w:style>
  <w:style w:type="character" w:styleId="930" w:customStyle="1">
    <w:name w:val="强调1"/>
    <w:link w:val="710"/>
    <w:uiPriority w:val="0"/>
    <w:qFormat/>
    <w:rPr>
      <w:i/>
    </w:rPr>
  </w:style>
  <w:style w:type="character" w:styleId="931" w:customStyle="1">
    <w:name w:val="超链接1"/>
    <w:link w:val="710"/>
    <w:uiPriority w:val="99"/>
    <w:unhideWhenUsed/>
    <w:qFormat/>
    <w:rPr>
      <w:color w:val="0563c1"/>
      <w:u w:val="single"/>
    </w:rPr>
  </w:style>
  <w:style w:type="character" w:styleId="932" w:customStyle="1">
    <w:name w:val="批注引用1"/>
    <w:link w:val="710"/>
    <w:uiPriority w:val="0"/>
    <w:qFormat/>
    <w:rPr>
      <w:sz w:val="21"/>
      <w:szCs w:val="21"/>
    </w:rPr>
  </w:style>
  <w:style w:type="paragraph" w:styleId="933" w:customStyle="1">
    <w:name w:val="普通文字"/>
    <w:basedOn w:val="710"/>
    <w:next w:val="710"/>
    <w:uiPriority w:val="0"/>
    <w:qFormat/>
    <w:rPr>
      <w:rFonts w:ascii="宋体"/>
      <w:sz w:val="24"/>
    </w:rPr>
  </w:style>
  <w:style w:type="paragraph" w:styleId="934" w:customStyle="1">
    <w:name w:val="正文缩进1"/>
    <w:basedOn w:val="710"/>
    <w:uiPriority w:val="0"/>
    <w:qFormat/>
    <w:pPr>
      <w:ind w:firstLine="420"/>
      <w:jc w:val="left"/>
    </w:pPr>
    <w:rPr>
      <w:rFonts w:ascii="宋体" w:hAnsi="Calibri"/>
      <w:sz w:val="24"/>
      <w:szCs w:val="22"/>
    </w:rPr>
  </w:style>
  <w:style w:type="paragraph" w:styleId="935" w:customStyle="1">
    <w:name w:val="索引 11"/>
    <w:basedOn w:val="710"/>
    <w:next w:val="710"/>
    <w:uiPriority w:val="0"/>
    <w:qFormat/>
    <w:pPr>
      <w:spacing w:line="360" w:lineRule="auto"/>
    </w:pPr>
    <w:rPr>
      <w:rFonts w:ascii="仿宋_GB2312" w:eastAsia="仿宋_GB2312"/>
      <w:sz w:val="24"/>
    </w:rPr>
  </w:style>
  <w:style w:type="paragraph" w:styleId="936" w:customStyle="1">
    <w:name w:val="纯文本1"/>
    <w:basedOn w:val="710"/>
    <w:uiPriority w:val="0"/>
    <w:qFormat/>
    <w:rPr>
      <w:rFonts w:ascii="宋体" w:hAnsi="Courier New"/>
      <w:szCs w:val="22"/>
    </w:rPr>
  </w:style>
  <w:style w:type="paragraph" w:styleId="937" w:customStyle="1">
    <w:name w:val="普通(网站)1"/>
    <w:basedOn w:val="710"/>
    <w:uiPriority w:val="99"/>
    <w:qFormat/>
    <w:pPr>
      <w:jc w:val="left"/>
      <w:spacing w:before="100" w:beforeAutospacing="1" w:after="100" w:afterAutospacing="1"/>
    </w:pPr>
    <w:rPr>
      <w:sz w:val="24"/>
    </w:rPr>
  </w:style>
  <w:style w:type="paragraph" w:styleId="938" w:customStyle="1">
    <w:name w:val="正文文本1"/>
    <w:basedOn w:val="710"/>
    <w:next w:val="710"/>
    <w:uiPriority w:val="0"/>
    <w:qFormat/>
    <w:rPr>
      <w:sz w:val="20"/>
    </w:rPr>
  </w:style>
  <w:style w:type="paragraph" w:styleId="939" w:customStyle="1">
    <w:name w:val="正文文本首行缩进"/>
    <w:basedOn w:val="938"/>
    <w:uiPriority w:val="0"/>
    <w:qFormat/>
    <w:pPr>
      <w:ind w:firstLine="420"/>
      <w:spacing w:after="120"/>
      <w:tabs>
        <w:tab w:val="left" w:pos="2020" w:leader="none"/>
        <w:tab w:val="center" w:pos="4535" w:leader="none"/>
      </w:tabs>
    </w:pPr>
    <w:rPr>
      <w:sz w:val="21"/>
    </w:rPr>
  </w:style>
  <w:style w:type="paragraph" w:styleId="940" w:customStyle="1">
    <w:name w:val="纯文本2"/>
    <w:basedOn w:val="710"/>
    <w:uiPriority w:val="0"/>
    <w:qFormat/>
    <w:rPr>
      <w:rFonts w:ascii="宋体" w:hAnsi="Courier New"/>
    </w:rPr>
  </w:style>
  <w:style w:type="paragraph" w:styleId="941" w:customStyle="1">
    <w:name w:val="正文文本 21"/>
    <w:basedOn w:val="710"/>
    <w:uiPriority w:val="0"/>
    <w:qFormat/>
    <w:pPr>
      <w:spacing w:after="120" w:line="480" w:lineRule="auto"/>
    </w:pPr>
    <w:rPr>
      <w:sz w:val="20"/>
    </w:rPr>
  </w:style>
  <w:style w:type="paragraph" w:styleId="942" w:customStyle="1">
    <w:name w:val="页脚1"/>
    <w:basedOn w:val="710"/>
    <w:uiPriority w:val="0"/>
    <w:qFormat/>
    <w:pPr>
      <w:jc w:val="left"/>
      <w:tabs>
        <w:tab w:val="center" w:pos="4153" w:leader="none"/>
        <w:tab w:val="right" w:pos="8306" w:leader="none"/>
      </w:tabs>
    </w:pPr>
    <w:rPr>
      <w:sz w:val="18"/>
    </w:rPr>
  </w:style>
  <w:style w:type="character" w:styleId="943" w:customStyle="1">
    <w:name w:val="custom-tag-placeholder-class"/>
    <w:link w:val="710"/>
    <w:uiPriority w:val="0"/>
    <w:qFormat/>
  </w:style>
  <w:style w:type="paragraph" w:styleId="9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5" w:customStyle="1">
    <w:name w:val="列出段落1"/>
    <w:basedOn w:val="710"/>
    <w:uiPriority w:val="0"/>
    <w:qFormat/>
    <w:pPr>
      <w:ind w:firstLine="420"/>
    </w:pPr>
    <w:rPr>
      <w:szCs w:val="21"/>
    </w:rPr>
  </w:style>
  <w:style w:type="paragraph" w:styleId="946" w:customStyle="1">
    <w:name w:val="标题 111"/>
    <w:basedOn w:val="710"/>
    <w:next w:val="710"/>
    <w:uiPriority w:val="0"/>
    <w:qFormat/>
    <w:pPr>
      <w:keepLines/>
      <w:keepNext/>
      <w:spacing w:before="340" w:after="330" w:line="578" w:lineRule="auto"/>
      <w:outlineLvl w:val="0"/>
    </w:pPr>
    <w:rPr>
      <w:b/>
      <w:bCs/>
      <w:sz w:val="44"/>
      <w:szCs w:val="44"/>
      <w:lang w:val="en-US" w:eastAsia="en-US"/>
    </w:rPr>
  </w:style>
  <w:style w:type="paragraph" w:styleId="947" w:customStyle="1">
    <w:name w:val="普通(网站)2"/>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948"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49" w:customStyle="1">
    <w:name w:val="正文首行缩进11"/>
    <w:basedOn w:val="938"/>
    <w:uiPriority w:val="0"/>
    <w:qFormat/>
    <w:pPr>
      <w:ind w:firstLine="200"/>
      <w:spacing w:line="360" w:lineRule="auto"/>
    </w:pPr>
    <w:rPr>
      <w:rFonts w:ascii="仿宋_GB2312" w:hAnsi="Times New Roman" w:eastAsia="仿宋_GB2312"/>
      <w:sz w:val="30"/>
      <w:szCs w:val="30"/>
    </w:rPr>
  </w:style>
  <w:style w:type="character" w:styleId="950" w:customStyle="1">
    <w:name w:val="font51"/>
    <w:basedOn w:val="720"/>
    <w:uiPriority w:val="0"/>
    <w:qFormat/>
    <w:rPr>
      <w:rFonts w:hint="eastAsia" w:ascii="宋体" w:hAnsi="宋体" w:eastAsia="宋体" w:cs="宋体"/>
      <w:color w:val="000000"/>
      <w:sz w:val="21"/>
      <w:szCs w:val="21"/>
      <w:u w:val="none"/>
    </w:rPr>
  </w:style>
  <w:style w:type="character" w:styleId="951" w:customStyle="1">
    <w:name w:val="font41"/>
    <w:basedOn w:val="720"/>
    <w:uiPriority w:val="0"/>
    <w:qFormat/>
    <w:rPr>
      <w:rFonts w:hint="eastAsia" w:ascii="宋体" w:hAnsi="宋体" w:eastAsia="宋体" w:cs="宋体"/>
      <w:color w:val="000000"/>
      <w:sz w:val="22"/>
      <w:szCs w:val="22"/>
      <w:u w:val="none"/>
    </w:rPr>
  </w:style>
  <w:style w:type="character" w:styleId="952" w:customStyle="1">
    <w:name w:val="font31"/>
    <w:basedOn w:val="720"/>
    <w:uiPriority w:val="0"/>
    <w:qFormat/>
    <w:rPr>
      <w:rFonts w:hint="eastAsia" w:ascii="宋体" w:hAnsi="宋体" w:eastAsia="宋体" w:cs="宋体"/>
      <w:color w:val="ff0000"/>
      <w:sz w:val="20"/>
      <w:szCs w:val="20"/>
      <w:u w:val="none"/>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2026-09-18T01:36:41Z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C69C218961554E7A879B0AD21E3E124B_13</vt:lpwstr>
  </property>
  <property fmtid="{D5CDD505-2E9C-101B-9397-08002B2CF9AE}" pid="4" name="KSOTemplateDocerSaveRecord">
    <vt:lpwstr>eyJoZGlkIjoiMGRkNTk5ZjA5YWZiMjQ4N2FjZjQ2MmExYTFlODRiZjYiLCJ1c2VySWQiOiIxNjU1OTQ5OTkwIn0=</vt:lpwstr>
  </property>
</Properties>
</file>