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4"/>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694"/>
        <w:jc w:val="center"/>
        <w:keepLines w:val="0"/>
        <w:keepNext w:val="0"/>
        <w:pageBreakBefore w:val="0"/>
        <w:spacing w:before="120" w:after="120" w:line="660" w:lineRule="exact"/>
        <w:widowControl w:val="off"/>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 xml:space="preserve">竞争性磋商文件</w:t>
      </w:r>
      <w:r>
        <w:rPr>
          <w:rFonts w:hint="eastAsia" w:ascii="方正小标宋_GBK" w:hAnsi="方正小标宋_GBK" w:eastAsia="方正小标宋_GBK" w:cs="方正小标宋_GBK"/>
          <w:b w:val="0"/>
          <w:bCs w:val="0"/>
          <w:sz w:val="44"/>
          <w:szCs w:val="44"/>
        </w:rPr>
      </w:r>
      <w:r/>
    </w:p>
    <w:p>
      <w:pPr>
        <w:pStyle w:val="694"/>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p>
    <w:p>
      <w:pPr>
        <w:pStyle w:val="694"/>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p>
    <w:p>
      <w:pPr>
        <w:pStyle w:val="694"/>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项目名称：“江苏国动便民”小程序</w:t>
      </w:r>
      <w:r>
        <w:rPr>
          <w:rFonts w:hint="eastAsia" w:ascii="方正黑体_GBK" w:hAnsi="方正黑体_GBK" w:eastAsia="方正黑体_GBK" w:cs="方正黑体_GBK"/>
          <w:b w:val="0"/>
          <w:bCs w:val="0"/>
          <w:color w:val="000000"/>
          <w:sz w:val="28"/>
          <w:szCs w:val="28"/>
        </w:rPr>
      </w:r>
      <w:r/>
    </w:p>
    <w:p>
      <w:pPr>
        <w:pStyle w:val="694"/>
        <w:ind w:firstLine="840"/>
        <w:jc w:val="left"/>
        <w:keepLines w:val="0"/>
        <w:keepNext w:val="0"/>
        <w:pageBreakBefore w:val="0"/>
        <w:spacing w:before="120" w:after="120" w:line="400" w:lineRule="exact"/>
        <w:widowControl w:val="off"/>
        <w:rPr>
          <w:rFonts w:ascii="Arial" w:hAnsi="Arial"/>
          <w:b/>
          <w:bCs/>
          <w:color w:val="00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ascii="Times New Roman" w:hAnsi="Times New Roman" w:eastAsia="方正黑体_GBK" w:cs="Times New Roman"/>
          <w:b w:val="0"/>
          <w:bCs w:val="0"/>
          <w:color w:val="000000"/>
          <w:sz w:val="28"/>
          <w:szCs w:val="28"/>
        </w:rPr>
        <w:t xml:space="preserve">JSZC-320000-SCZX-C2026-0344 </w:t>
      </w:r>
      <w:r>
        <w:rPr>
          <w:rFonts w:ascii="Arial" w:hAnsi="Arial"/>
          <w:b/>
          <w:bCs/>
          <w:color w:val="000000"/>
          <w:sz w:val="28"/>
          <w:szCs w:val="28"/>
        </w:rPr>
        <w:t xml:space="preserve">            </w:t>
      </w:r>
      <w:r>
        <w:rPr>
          <w:rFonts w:ascii="Arial" w:hAnsi="Arial"/>
          <w:b/>
          <w:bCs/>
          <w:color w:val="000000"/>
          <w:sz w:val="28"/>
          <w:szCs w:val="28"/>
        </w:rPr>
      </w:r>
      <w:r/>
    </w:p>
    <w:p>
      <w:pPr>
        <w:pStyle w:val="694"/>
        <w:ind w:firstLine="147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694"/>
        <w:jc w:val="left"/>
        <w:spacing w:line="360" w:lineRule="auto"/>
        <w:rPr>
          <w:rFonts w:hint="eastAsia" w:ascii="宋体" w:hAnsi="宋体"/>
          <w:sz w:val="24"/>
          <w:szCs w:val="24"/>
        </w:rPr>
      </w:pPr>
      <w:r>
        <w:rPr>
          <w:rFonts w:hint="eastAsia" w:ascii="宋体" w:hAnsi="宋体"/>
          <w:sz w:val="24"/>
          <w:szCs w:val="24"/>
        </w:rPr>
      </w:r>
      <w:r/>
    </w:p>
    <w:p>
      <w:pPr>
        <w:pStyle w:val="694"/>
        <w:jc w:val="center"/>
        <w:keepLines w:val="0"/>
        <w:keepNext w:val="0"/>
        <w:pageBreakBefore w:val="0"/>
        <w:spacing w:before="120" w:after="120" w:line="660" w:lineRule="exact"/>
        <w:widowControl w:val="off"/>
        <w:rPr>
          <w:rFonts w:hint="eastAsia" w:ascii="宋体" w:hAnsi="宋体"/>
          <w:sz w:val="24"/>
          <w:szCs w:val="24"/>
        </w:rPr>
      </w:pPr>
      <w:r>
        <w:rPr>
          <w:rFonts w:hint="eastAsia" w:ascii="宋体" w:hAnsi="宋体"/>
          <w:sz w:val="24"/>
          <w:szCs w:val="24"/>
        </w:rPr>
      </w:r>
      <w:r/>
    </w:p>
    <w:p>
      <w:pPr>
        <w:pStyle w:val="694"/>
        <w:jc w:val="left"/>
        <w:spacing w:line="360" w:lineRule="auto"/>
        <w:rPr>
          <w:rFonts w:hint="eastAsia" w:ascii="宋体" w:hAnsi="宋体"/>
          <w:sz w:val="24"/>
          <w:szCs w:val="24"/>
        </w:rPr>
      </w:pPr>
      <w:r>
        <w:rPr>
          <w:rFonts w:hint="eastAsia" w:ascii="宋体" w:hAnsi="宋体"/>
          <w:sz w:val="24"/>
          <w:szCs w:val="24"/>
        </w:rPr>
      </w:r>
      <w:r/>
    </w:p>
    <w:p>
      <w:pPr>
        <w:pStyle w:val="694"/>
        <w:jc w:val="left"/>
        <w:spacing w:line="360" w:lineRule="auto"/>
        <w:rPr>
          <w:rFonts w:hint="eastAsia" w:ascii="宋体" w:hAnsi="宋体"/>
          <w:sz w:val="24"/>
          <w:szCs w:val="24"/>
        </w:rPr>
      </w:pPr>
      <w:r>
        <w:rPr>
          <w:rFonts w:hint="eastAsia" w:ascii="宋体" w:hAnsi="宋体"/>
          <w:sz w:val="24"/>
          <w:szCs w:val="24"/>
        </w:rPr>
      </w:r>
      <w:r/>
    </w:p>
    <w:p>
      <w:pPr>
        <w:pStyle w:val="694"/>
        <w:jc w:val="left"/>
        <w:spacing w:line="360" w:lineRule="auto"/>
        <w:rPr>
          <w:rFonts w:hint="eastAsia" w:ascii="宋体" w:hAnsi="宋体"/>
          <w:sz w:val="24"/>
          <w:szCs w:val="24"/>
        </w:rPr>
      </w:pPr>
      <w:r>
        <w:rPr>
          <w:rFonts w:hint="eastAsia" w:ascii="宋体" w:hAnsi="宋体"/>
          <w:sz w:val="24"/>
          <w:szCs w:val="24"/>
        </w:rPr>
      </w:r>
      <w:r/>
    </w:p>
    <w:p>
      <w:pPr>
        <w:pStyle w:val="694"/>
        <w:jc w:val="left"/>
        <w:spacing w:line="360" w:lineRule="auto"/>
        <w:rPr>
          <w:rFonts w:hint="eastAsia" w:ascii="宋体" w:hAnsi="宋体"/>
          <w:sz w:val="24"/>
          <w:szCs w:val="24"/>
        </w:rPr>
      </w:pPr>
      <w:r>
        <w:rPr>
          <w:rFonts w:hint="eastAsia" w:ascii="宋体" w:hAnsi="宋体"/>
          <w:sz w:val="24"/>
          <w:szCs w:val="24"/>
        </w:rPr>
      </w:r>
      <w:r/>
    </w:p>
    <w:p>
      <w:pPr>
        <w:pStyle w:val="694"/>
        <w:jc w:val="left"/>
        <w:spacing w:line="360" w:lineRule="auto"/>
        <w:rPr>
          <w:rFonts w:hint="eastAsia" w:ascii="宋体" w:hAnsi="宋体"/>
          <w:sz w:val="24"/>
          <w:szCs w:val="24"/>
        </w:rPr>
      </w:pPr>
      <w:r>
        <w:rPr>
          <w:rFonts w:hint="eastAsia" w:ascii="宋体" w:hAnsi="宋体"/>
          <w:sz w:val="24"/>
          <w:szCs w:val="24"/>
        </w:rPr>
      </w:r>
      <w:r/>
    </w:p>
    <w:p>
      <w:pPr>
        <w:pStyle w:val="694"/>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江苏省政府采购中心</w:t>
      </w:r>
      <w:r>
        <w:rPr>
          <w:rFonts w:hint="eastAsia" w:ascii="方正黑体_GBK" w:hAnsi="方正黑体_GBK" w:eastAsia="方正黑体_GBK" w:cs="方正黑体_GBK"/>
          <w:b w:val="0"/>
          <w:bCs w:val="0"/>
          <w:sz w:val="28"/>
          <w:szCs w:val="28"/>
        </w:rPr>
      </w:r>
      <w:r/>
    </w:p>
    <w:p>
      <w:pPr>
        <w:pStyle w:val="694"/>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 xml:space="preserve">2026</w:t>
      </w:r>
      <w:r>
        <w:rPr>
          <w:rFonts w:hint="eastAsia" w:ascii="方正黑体_GBK" w:hAnsi="方正黑体_GBK" w:eastAsia="方正黑体_GBK" w:cs="方正黑体_GBK"/>
          <w:b w:val="0"/>
          <w:bCs w:val="0"/>
          <w:sz w:val="28"/>
          <w:szCs w:val="28"/>
        </w:rPr>
        <w:t xml:space="preserve">年</w:t>
      </w:r>
      <w:r>
        <w:rPr>
          <w:rFonts w:hint="eastAsia" w:ascii="方正黑体_GBK" w:hAnsi="方正黑体_GBK" w:eastAsia="方正黑体_GBK" w:cs="方正黑体_GBK"/>
          <w:b w:val="0"/>
          <w:bCs w:val="0"/>
          <w:sz w:val="28"/>
          <w:szCs w:val="28"/>
          <w:lang w:val="en-US" w:eastAsia="zh-CN"/>
        </w:rPr>
        <w:t xml:space="preserve">8</w:t>
      </w:r>
      <w:r>
        <w:rPr>
          <w:rFonts w:hint="eastAsia" w:ascii="方正黑体_GBK" w:hAnsi="方正黑体_GBK" w:eastAsia="方正黑体_GBK" w:cs="方正黑体_GBK"/>
          <w:b w:val="0"/>
          <w:bCs w:val="0"/>
          <w:sz w:val="28"/>
          <w:szCs w:val="28"/>
        </w:rPr>
        <w:t xml:space="preserve">月</w:t>
      </w:r>
      <w:r>
        <w:rPr>
          <w:rFonts w:hint="eastAsia" w:ascii="方正黑体_GBK" w:hAnsi="方正黑体_GBK" w:eastAsia="方正黑体_GBK" w:cs="方正黑体_GBK"/>
          <w:b w:val="0"/>
          <w:bCs w:val="0"/>
          <w:sz w:val="28"/>
          <w:szCs w:val="28"/>
        </w:rPr>
      </w:r>
      <w:r/>
    </w:p>
    <w:p>
      <w:pPr>
        <w:pStyle w:val="694"/>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94"/>
        <w:jc w:val="center"/>
        <w:spacing w:before="120" w:after="120" w:line="360" w:lineRule="auto"/>
        <w:rPr>
          <w:rFonts w:hint="eastAsia" w:ascii="Arial" w:hAnsi="Arial"/>
          <w:sz w:val="24"/>
          <w:szCs w:val="24"/>
        </w:rPr>
      </w:pPr>
      <w:r>
        <w:rPr>
          <w:rFonts w:hint="eastAsia" w:ascii="Arial" w:hAnsi="Arial"/>
          <w:sz w:val="24"/>
          <w:szCs w:val="24"/>
        </w:rPr>
      </w:r>
      <w:r/>
    </w:p>
    <w:p>
      <w:pPr>
        <w:pStyle w:val="6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outlineLvl w:val="0"/>
      </w:pPr>
      <w:r/>
      <w:bookmarkStart w:id="0" w:name="_Toc120614210"/>
      <w:r/>
      <w:bookmarkStart w:id="1" w:name="_Toc523127445"/>
      <w:r/>
      <w:bookmarkStart w:id="2" w:name="_Toc479757206"/>
      <w:r/>
      <w:bookmarkStart w:id="3" w:name="_Toc513029200"/>
      <w:r/>
      <w:bookmarkStart w:id="4" w:name="_Toc20823272"/>
      <w:r/>
      <w:bookmarkStart w:id="5" w:name="_Toc16938516"/>
      <w:r>
        <w:rPr>
          <w:rFonts w:hint="eastAsia" w:ascii="方正黑体_GBK" w:hAnsi="方正黑体_GBK" w:eastAsia="方正黑体_GBK" w:cs="方正黑体_GBK"/>
          <w:b w:val="0"/>
          <w:bCs/>
          <w:sz w:val="28"/>
          <w:szCs w:val="28"/>
        </w:rPr>
      </w:r>
      <w:r/>
    </w:p>
    <w:p>
      <w:pPr>
        <w:pStyle w:val="6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t xml:space="preserve">总  目  录</w:t>
      </w:r>
      <w:r>
        <w:rPr>
          <w:rFonts w:hint="eastAsia" w:ascii="方正黑体_GBK" w:hAnsi="方正黑体_GBK" w:eastAsia="方正黑体_GBK" w:cs="方正黑体_GBK"/>
          <w:b w:val="0"/>
          <w:bCs/>
          <w:sz w:val="28"/>
          <w:szCs w:val="28"/>
        </w:rPr>
      </w:r>
      <w:r/>
    </w:p>
    <w:p>
      <w:pPr>
        <w:pStyle w:val="6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6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6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第一章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磋商邀请……………………………………</w:t>
      </w:r>
      <w:r>
        <w:rPr>
          <w:rFonts w:hint="eastAsia" w:ascii="方正黑体_GBK" w:hAnsi="方正黑体_GBK" w:eastAsia="方正黑体_GBK" w:cs="方正黑体_GBK"/>
          <w:b w:val="0"/>
          <w:bCs/>
          <w:sz w:val="28"/>
          <w:szCs w:val="28"/>
          <w:lang w:val="en-US" w:eastAsia="zh-CN"/>
        </w:rPr>
        <w:t xml:space="preserve"> 2</w:t>
      </w:r>
      <w:r>
        <w:rPr>
          <w:rFonts w:hint="eastAsia" w:ascii="方正黑体_GBK" w:hAnsi="方正黑体_GBK" w:eastAsia="方正黑体_GBK" w:cs="方正黑体_GBK"/>
          <w:b w:val="0"/>
          <w:bCs/>
          <w:sz w:val="28"/>
          <w:szCs w:val="28"/>
        </w:rPr>
        <w:t xml:space="preserve"> </w:t>
      </w:r>
      <w:r>
        <w:rPr>
          <w:rFonts w:hint="eastAsia" w:ascii="方正黑体_GBK" w:hAnsi="方正黑体_GBK" w:eastAsia="方正黑体_GBK" w:cs="方正黑体_GBK"/>
          <w:b w:val="0"/>
          <w:bCs/>
          <w:sz w:val="28"/>
          <w:szCs w:val="28"/>
        </w:rPr>
      </w:r>
      <w:r/>
    </w:p>
    <w:p>
      <w:pPr>
        <w:pStyle w:val="6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第二章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供应商须知…………………………………</w:t>
      </w:r>
      <w:r>
        <w:rPr>
          <w:rFonts w:hint="eastAsia" w:ascii="方正黑体_GBK" w:hAnsi="方正黑体_GBK" w:eastAsia="方正黑体_GBK" w:cs="方正黑体_GBK"/>
          <w:b w:val="0"/>
          <w:bCs/>
          <w:sz w:val="28"/>
          <w:szCs w:val="28"/>
          <w:lang w:val="en-US" w:eastAsia="zh-CN"/>
        </w:rPr>
        <w:t xml:space="preserve"> 6</w:t>
      </w:r>
      <w:r>
        <w:rPr>
          <w:rFonts w:hint="eastAsia" w:ascii="方正黑体_GBK" w:hAnsi="方正黑体_GBK" w:eastAsia="方正黑体_GBK" w:cs="方正黑体_GBK"/>
          <w:b w:val="0"/>
          <w:bCs/>
          <w:sz w:val="28"/>
          <w:szCs w:val="28"/>
        </w:rPr>
        <w:t xml:space="preserve">  </w:t>
      </w:r>
      <w:r>
        <w:rPr>
          <w:rFonts w:hint="eastAsia" w:ascii="方正黑体_GBK" w:hAnsi="方正黑体_GBK" w:eastAsia="方正黑体_GBK" w:cs="方正黑体_GBK"/>
          <w:b w:val="0"/>
          <w:bCs/>
          <w:sz w:val="28"/>
          <w:szCs w:val="28"/>
        </w:rPr>
      </w:r>
      <w:r/>
    </w:p>
    <w:p>
      <w:pPr>
        <w:pStyle w:val="694"/>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第三章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合同文本……………………………………</w:t>
      </w:r>
      <w:r>
        <w:rPr>
          <w:rFonts w:hint="eastAsia" w:ascii="方正黑体_GBK" w:hAnsi="方正黑体_GBK" w:eastAsia="方正黑体_GBK" w:cs="方正黑体_GBK"/>
          <w:b w:val="0"/>
          <w:bCs/>
          <w:sz w:val="28"/>
          <w:szCs w:val="28"/>
          <w:lang w:val="en-US" w:eastAsia="zh-CN"/>
        </w:rPr>
        <w:t xml:space="preserve">18</w:t>
      </w:r>
      <w:r>
        <w:rPr>
          <w:rFonts w:ascii="方正黑体_GBK" w:hAnsi="方正黑体_GBK" w:eastAsia="方正黑体_GBK" w:cs="方正黑体_GBK"/>
          <w:b w:val="0"/>
          <w:bCs/>
          <w:sz w:val="28"/>
          <w:szCs w:val="28"/>
          <w:lang w:val="en-US" w:eastAsia="zh-CN"/>
        </w:rPr>
      </w:r>
      <w:r/>
    </w:p>
    <w:p>
      <w:pPr>
        <w:pStyle w:val="694"/>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第四章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采购需求……………………………………</w:t>
      </w:r>
      <w:r>
        <w:rPr>
          <w:rFonts w:hint="eastAsia" w:ascii="方正黑体_GBK" w:hAnsi="方正黑体_GBK" w:eastAsia="方正黑体_GBK" w:cs="方正黑体_GBK"/>
          <w:b w:val="0"/>
          <w:bCs/>
          <w:sz w:val="28"/>
          <w:szCs w:val="28"/>
          <w:lang w:val="en-US" w:eastAsia="zh-CN"/>
        </w:rPr>
        <w:t xml:space="preserve">22</w:t>
      </w:r>
      <w:r>
        <w:rPr>
          <w:rFonts w:ascii="方正黑体_GBK" w:hAnsi="方正黑体_GBK" w:eastAsia="方正黑体_GBK" w:cs="方正黑体_GBK"/>
          <w:b w:val="0"/>
          <w:bCs/>
          <w:sz w:val="28"/>
          <w:szCs w:val="28"/>
          <w:lang w:val="en-US" w:eastAsia="zh-CN"/>
        </w:rPr>
      </w:r>
      <w:r/>
    </w:p>
    <w:p>
      <w:pPr>
        <w:pStyle w:val="694"/>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第五章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评审方法与评审标准………………………</w:t>
      </w:r>
      <w:r>
        <w:rPr>
          <w:rFonts w:hint="eastAsia" w:ascii="方正黑体_GBK" w:hAnsi="方正黑体_GBK" w:eastAsia="方正黑体_GBK" w:cs="方正黑体_GBK"/>
          <w:b w:val="0"/>
          <w:bCs/>
          <w:sz w:val="28"/>
          <w:szCs w:val="28"/>
          <w:lang w:val="en-US" w:eastAsia="zh-CN"/>
        </w:rPr>
        <w:t xml:space="preserve">48</w:t>
      </w:r>
      <w:r>
        <w:rPr>
          <w:rFonts w:ascii="方正黑体_GBK" w:hAnsi="方正黑体_GBK" w:eastAsia="方正黑体_GBK" w:cs="方正黑体_GBK"/>
          <w:b w:val="0"/>
          <w:bCs/>
          <w:sz w:val="28"/>
          <w:szCs w:val="28"/>
          <w:lang w:val="en-US" w:eastAsia="zh-CN"/>
        </w:rPr>
      </w:r>
      <w:r/>
    </w:p>
    <w:p>
      <w:pPr>
        <w:pStyle w:val="694"/>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第六章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响应文件格式………………………………</w:t>
      </w:r>
      <w:r>
        <w:rPr>
          <w:rFonts w:hint="eastAsia" w:ascii="方正黑体_GBK" w:hAnsi="方正黑体_GBK" w:eastAsia="方正黑体_GBK" w:cs="方正黑体_GBK"/>
          <w:b w:val="0"/>
          <w:bCs/>
          <w:sz w:val="28"/>
          <w:szCs w:val="28"/>
          <w:lang w:val="en-US" w:eastAsia="zh-CN"/>
        </w:rPr>
        <w:t xml:space="preserve">55</w:t>
      </w:r>
      <w:r>
        <w:rPr>
          <w:rFonts w:ascii="方正黑体_GBK" w:hAnsi="方正黑体_GBK" w:eastAsia="方正黑体_GBK" w:cs="方正黑体_GBK"/>
          <w:b w:val="0"/>
          <w:bCs/>
          <w:sz w:val="28"/>
          <w:szCs w:val="28"/>
          <w:lang w:val="en-US" w:eastAsia="zh-CN"/>
        </w:rPr>
      </w:r>
      <w:r/>
    </w:p>
    <w:p>
      <w:pPr>
        <w:pStyle w:val="694"/>
        <w:numPr>
          <w:ilvl w:val="0"/>
          <w:numId w:val="0"/>
        </w:numPr>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rPr>
          <w:rFonts w:hint="eastAsia" w:ascii="Times New Roman" w:hAnsi="Times New Roman"/>
        </w:rPr>
      </w:pPr>
      <w:r>
        <w:rPr>
          <w:rFonts w:hint="eastAsia" w:ascii="Times New Roman" w:hAnsi="Times New Roman"/>
          <w:szCs w:val="21"/>
        </w:rPr>
      </w:r>
      <w:r>
        <w:rPr>
          <w:rFonts w:hint="eastAsia" w:ascii="Times New Roman" w:hAnsi="Times New Roman"/>
          <w:szCs w:val="21"/>
        </w:rPr>
      </w:r>
    </w:p>
    <w:p>
      <w:pPr>
        <w:rPr>
          <w:rFonts w:hint="eastAsia" w:ascii="Times New Roman" w:hAnsi="Times New Roman"/>
        </w:rPr>
      </w:pPr>
      <w:r>
        <w:rPr>
          <w:rFonts w:hint="eastAsia" w:ascii="Times New Roman" w:hAnsi="Times New Roman"/>
        </w:rPr>
      </w:r>
      <w:r>
        <w:rPr>
          <w:rFonts w:hint="eastAsia" w:ascii="Times New Roman" w:hAnsi="Times New Roman"/>
        </w:rPr>
      </w:r>
    </w:p>
    <w:p>
      <w:pPr>
        <w:rPr>
          <w:rFonts w:hint="eastAsia" w:ascii="Times New Roman" w:hAnsi="Times New Roman"/>
        </w:rPr>
      </w:pPr>
      <w:r>
        <w:rPr>
          <w:rFonts w:hint="eastAsia" w:ascii="Times New Roman" w:hAnsi="Times New Roman"/>
        </w:rPr>
      </w:r>
      <w:r>
        <w:rPr>
          <w:rFonts w:hint="eastAsia" w:ascii="Times New Roman" w:hAnsi="Times New Roman"/>
        </w:rPr>
      </w:r>
    </w:p>
    <w:p>
      <w:pPr>
        <w:rPr>
          <w:rFonts w:hint="eastAsia" w:ascii="Times New Roman" w:hAnsi="Times New Roman"/>
        </w:rPr>
      </w:pPr>
      <w:r>
        <w:rPr>
          <w:rFonts w:hint="eastAsia" w:ascii="Times New Roman" w:hAnsi="Times New Roman"/>
        </w:rPr>
      </w:r>
      <w:r>
        <w:rPr>
          <w:rFonts w:hint="eastAsia" w:ascii="Times New Roman" w:hAnsi="Times New Roman"/>
        </w:rPr>
      </w:r>
    </w:p>
    <w:p>
      <w:pPr>
        <w:rPr>
          <w:rFonts w:hint="eastAsia" w:ascii="Times New Roman" w:hAnsi="Times New Roman"/>
        </w:rPr>
      </w:pPr>
      <w:r>
        <w:rPr>
          <w:rFonts w:hint="eastAsia" w:ascii="Times New Roman" w:hAnsi="Times New Roman"/>
        </w:rPr>
      </w:r>
      <w:r>
        <w:rPr>
          <w:rFonts w:hint="eastAsia" w:ascii="Times New Roman" w:hAnsi="Times New Roman"/>
        </w:rPr>
      </w:r>
    </w:p>
    <w:p>
      <w:pPr>
        <w:rPr>
          <w:rFonts w:hint="eastAsia" w:ascii="Times New Roman" w:hAnsi="Times New Roman"/>
        </w:rPr>
      </w:pPr>
      <w:r>
        <w:rPr>
          <w:rFonts w:hint="eastAsia" w:ascii="Times New Roman" w:hAnsi="Times New Roman"/>
        </w:rPr>
      </w:r>
      <w:r>
        <w:rPr>
          <w:rFonts w:hint="eastAsia" w:ascii="Times New Roman" w:hAnsi="Times New Roman"/>
        </w:rPr>
      </w:r>
    </w:p>
    <w:p>
      <w:pPr>
        <w:rPr>
          <w:rFonts w:hint="eastAsia" w:ascii="Times New Roman" w:hAnsi="Times New Roman"/>
        </w:rPr>
      </w:pPr>
      <w:r>
        <w:rPr>
          <w:rFonts w:hint="eastAsia" w:ascii="Times New Roman" w:hAnsi="Times New Roman"/>
        </w:rPr>
      </w:r>
      <w:r>
        <w:rPr>
          <w:rFonts w:hint="eastAsia" w:ascii="Times New Roman" w:hAnsi="Times New Roman"/>
        </w:rPr>
      </w:r>
    </w:p>
    <w:p>
      <w:pPr>
        <w:pStyle w:val="694"/>
        <w:rPr>
          <w:rFonts w:hint="eastAsia" w:ascii="Times New Roman" w:hAnsi="Times New Roman"/>
        </w:rPr>
      </w:pPr>
      <w:r>
        <w:rPr>
          <w:rFonts w:hint="eastAsia" w:ascii="Times New Roman" w:hAnsi="Times New Roman"/>
          <w:szCs w:val="21"/>
        </w:rPr>
      </w:r>
      <w:r/>
    </w:p>
    <w:p>
      <w:pPr>
        <w:pStyle w:val="694"/>
        <w:jc w:val="center"/>
        <w:keepLines w:val="0"/>
        <w:keepNext/>
        <w:pageBreakBefore w:val="0"/>
        <w:spacing w:line="400" w:lineRule="exact"/>
        <w:widowControl w:val="off"/>
        <w:rPr>
          <w:rFonts w:hint="eastAsia" w:ascii="方正黑体_GBK" w:hAnsi="方正黑体_GBK" w:eastAsia="方正黑体_GBK" w:cs="方正黑体_GBK"/>
          <w:sz w:val="28"/>
          <w:szCs w:val="28"/>
        </w:rPr>
        <w:outlineLvl w:val="0"/>
      </w:pPr>
      <w:r/>
      <w:bookmarkEnd w:id="0"/>
      <w:r>
        <w:rPr>
          <w:rFonts w:hint="eastAsia" w:ascii="方正黑体_GBK" w:hAnsi="方正黑体_GBK" w:eastAsia="方正黑体_GBK" w:cs="方正黑体_GBK"/>
          <w:sz w:val="28"/>
          <w:szCs w:val="28"/>
        </w:rPr>
        <w:t xml:space="preserve">第一章  磋商邀请</w:t>
      </w:r>
      <w:r>
        <w:rPr>
          <w:rFonts w:hint="eastAsia" w:ascii="方正黑体_GBK" w:hAnsi="方正黑体_GBK" w:eastAsia="方正黑体_GBK" w:cs="方正黑体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受江苏省国防动员办公室的委托，江苏省政府采购中心就“江苏国动便民”小程序(JSZC-320000-SCZX-C2026-0344)项目进行竞争性磋商采购，欢迎符合条件的供应商参加磋商。</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“江苏国动便民”小程序</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w:t>
      </w:r>
      <w:r>
        <w:rPr>
          <w:rFonts w:hint="eastAsia" w:ascii="Times New Roman" w:hAnsi="Times New Roman" w:eastAsia="方正黑体_GBK" w:cs="Times New Roman"/>
          <w:b w:val="0"/>
          <w:bCs w:val="0"/>
          <w:sz w:val="28"/>
          <w:szCs w:val="28"/>
          <w:lang w:val="en-US" w:eastAsia="zh-CN"/>
        </w:rPr>
        <w:t xml:space="preserve">2026</w:t>
      </w:r>
      <w:r>
        <w:rPr>
          <w:rFonts w:hint="eastAsia" w:ascii="方正仿宋_GBK" w:hAnsi="方正仿宋_GBK" w:eastAsia="方正仿宋_GBK" w:cs="方正仿宋_GBK"/>
          <w:bCs/>
          <w:sz w:val="28"/>
          <w:szCs w:val="28"/>
          <w:u w:val="none"/>
        </w:rPr>
        <w:t xml:space="preserve">年</w:t>
      </w:r>
      <w:r>
        <w:rPr>
          <w:rFonts w:hint="eastAsia" w:ascii="Times New Roman" w:hAnsi="Times New Roman" w:eastAsia="方正黑体_GBK" w:cs="Times New Roman"/>
          <w:b w:val="0"/>
          <w:bCs w:val="0"/>
          <w:sz w:val="28"/>
          <w:szCs w:val="28"/>
          <w:lang w:val="en-US" w:eastAsia="zh-CN"/>
        </w:rPr>
        <w:t xml:space="preserve">9</w:t>
      </w:r>
      <w:r>
        <w:rPr>
          <w:rFonts w:hint="eastAsia" w:ascii="方正仿宋_GBK" w:hAnsi="方正仿宋_GBK" w:eastAsia="方正仿宋_GBK" w:cs="方正仿宋_GBK"/>
          <w:bCs/>
          <w:sz w:val="28"/>
          <w:szCs w:val="28"/>
          <w:u w:val="none"/>
        </w:rPr>
        <w:t xml:space="preserve">月</w:t>
      </w:r>
      <w:r>
        <w:rPr>
          <w:rFonts w:hint="eastAsia" w:ascii="Times New Roman" w:hAnsi="Times New Roman" w:eastAsia="方正黑体_GBK" w:cs="Times New Roman"/>
          <w:b w:val="0"/>
          <w:bCs w:val="0"/>
          <w:sz w:val="28"/>
          <w:szCs w:val="28"/>
          <w:lang w:val="en-US" w:eastAsia="zh-CN"/>
        </w:rPr>
        <w:t xml:space="preserve">9</w:t>
      </w:r>
      <w:r>
        <w:rPr>
          <w:rFonts w:hint="eastAsia" w:ascii="方正仿宋_GBK" w:hAnsi="方正仿宋_GBK" w:eastAsia="方正仿宋_GBK" w:cs="方正仿宋_GBK"/>
          <w:bCs/>
          <w:sz w:val="28"/>
          <w:szCs w:val="28"/>
          <w:u w:val="none"/>
        </w:rPr>
        <w:t xml:space="preserve">日</w:t>
      </w:r>
      <w:r>
        <w:rPr>
          <w:rFonts w:hint="eastAsia" w:ascii="Times New Roman" w:hAnsi="Times New Roman" w:eastAsia="方正黑体_GBK" w:cs="Times New Roman"/>
          <w:b w:val="0"/>
          <w:bCs w:val="0"/>
          <w:sz w:val="28"/>
          <w:szCs w:val="28"/>
          <w:lang w:val="en-US" w:eastAsia="zh-CN"/>
        </w:rPr>
        <w:t xml:space="preserve">9</w:t>
      </w:r>
      <w:r>
        <w:rPr>
          <w:rFonts w:hint="eastAsia" w:ascii="方正仿宋_GBK" w:hAnsi="方正仿宋_GBK" w:eastAsia="方正仿宋_GBK" w:cs="方正仿宋_GBK"/>
          <w:bCs/>
          <w:sz w:val="28"/>
          <w:szCs w:val="28"/>
          <w:u w:val="none"/>
          <w:lang w:val="en-US" w:eastAsia="zh-CN"/>
        </w:rPr>
        <w:t xml:space="preserve">时</w:t>
      </w:r>
      <w:r>
        <w:rPr>
          <w:rFonts w:hint="eastAsia" w:ascii="Times New Roman" w:hAnsi="Times New Roman" w:eastAsia="方正黑体_GBK" w:cs="Times New Roman"/>
          <w:b w:val="0"/>
          <w:bCs w:val="0"/>
          <w:sz w:val="28"/>
          <w:szCs w:val="28"/>
          <w:lang w:val="en-US" w:eastAsia="zh-CN"/>
        </w:rPr>
        <w:t xml:space="preserve">30</w:t>
      </w:r>
      <w:r>
        <w:rPr>
          <w:rFonts w:hint="eastAsia" w:ascii="方正仿宋_GBK" w:hAnsi="方正仿宋_GBK" w:eastAsia="方正仿宋_GBK" w:cs="方正仿宋_GBK"/>
          <w:bCs/>
          <w:sz w:val="28"/>
          <w:szCs w:val="28"/>
          <w:u w:val="none"/>
        </w:rPr>
        <w:t xml:space="preserve">分（北京时间）</w:t>
      </w:r>
      <w:r>
        <w:rPr>
          <w:rFonts w:hint="eastAsia" w:ascii="方正仿宋_GBK" w:hAnsi="方正仿宋_GBK" w:eastAsia="方正仿宋_GBK" w:cs="方正仿宋_GBK"/>
          <w:bCs/>
          <w:sz w:val="28"/>
          <w:szCs w:val="28"/>
        </w:rPr>
        <w:t xml:space="preserve">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6" w:name="_Toc28359079"/>
      <w:r/>
      <w:bookmarkStart w:id="7" w:name="_Toc38985263"/>
      <w:r/>
      <w:bookmarkStart w:id="8" w:name="_Toc28359002"/>
      <w:r/>
      <w:bookmarkStart w:id="9" w:name="_Toc35393621"/>
      <w:r/>
      <w:bookmarkStart w:id="10" w:name="_Toc35393790"/>
      <w:r/>
      <w:bookmarkStart w:id="11" w:name="_Hlk24379207"/>
      <w:r>
        <w:rPr>
          <w:rFonts w:hint="eastAsia" w:ascii="方正黑体_GBK" w:hAnsi="方正黑体_GBK" w:eastAsia="方正黑体_GBK" w:cs="方正黑体_GBK"/>
          <w:b w:val="0"/>
          <w:bCs w:val="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cs="Times New Roman"/>
          <w:b w:val="0"/>
          <w:bCs w:val="0"/>
          <w:sz w:val="28"/>
          <w:szCs w:val="28"/>
        </w:rPr>
        <w:t xml:space="preserve">JSZC-320000-SCZX-C2026-0344</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2.项目名称：</w:t>
      </w:r>
      <w:r>
        <w:rPr>
          <w:rFonts w:hint="eastAsia" w:ascii="Times New Roman" w:hAnsi="Times New Roman" w:eastAsia="方正黑体_GBK" w:cs="Times New Roman"/>
          <w:b w:val="0"/>
          <w:bCs w:val="0"/>
          <w:sz w:val="28"/>
          <w:szCs w:val="28"/>
          <w:lang w:eastAsia="zh-CN"/>
        </w:rPr>
        <w:t xml:space="preserve">“江苏国动便民”小程序</w:t>
      </w:r>
      <w:r>
        <w:rPr>
          <w:rFonts w:hint="eastAsia" w:ascii="方正仿宋_GBK" w:hAnsi="方正仿宋_GBK" w:eastAsia="方正仿宋_GBK" w:cs="方正仿宋_GBK"/>
          <w:sz w:val="28"/>
          <w:szCs w:val="28"/>
          <w:lang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6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6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6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6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54" w:type="dxa"/>
            <w:vAlign w:val="center"/>
            <w:textDirection w:val="lrTb"/>
            <w:noWrap w:val="false"/>
          </w:tcPr>
          <w:p>
            <w:pPr>
              <w:pStyle w:val="6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694"/>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Times New Roman" w:hAnsi="Times New Roman" w:eastAsia="方正黑体_GBK" w:cs="Times New Roman"/>
                <w:b w:val="0"/>
                <w:bCs w:val="0"/>
                <w:sz w:val="28"/>
                <w:szCs w:val="28"/>
                <w:lang w:val="en-US" w:eastAsia="zh-CN"/>
              </w:rPr>
              <w:t xml:space="preserve">45</w:t>
            </w:r>
            <w:r>
              <w:rPr>
                <w:rFonts w:ascii="方正仿宋_GBK" w:hAnsi="方正仿宋_GBK" w:eastAsia="方正仿宋_GBK" w:cs="方正仿宋_GBK"/>
                <w:sz w:val="28"/>
                <w:szCs w:val="28"/>
                <w:lang w:val="en-US" w:eastAsia="zh-CN"/>
              </w:rPr>
            </w:r>
            <w:r/>
          </w:p>
        </w:tc>
      </w:tr>
    </w:tbl>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694"/>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694"/>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694"/>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694"/>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694"/>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694"/>
              <w:jc w:val="center"/>
              <w:pageBreakBefore w:val="0"/>
              <w:spacing w:line="400" w:lineRule="exact"/>
              <w:rPr>
                <w:rFonts w:ascii="方正仿宋_GBK" w:hAnsi="方正仿宋_GBK" w:eastAsia="方正仿宋_GBK" w:cs="方正仿宋_GBK"/>
                <w:color w:val="000000"/>
                <w:sz w:val="28"/>
                <w:szCs w:val="28"/>
                <w:lang w:val="en-US" w:eastAsia="zh-CN"/>
              </w:rPr>
            </w:pPr>
            <w:r>
              <w:rPr>
                <w:rFonts w:hint="eastAsia" w:ascii="Times New Roman" w:hAnsi="Times New Roman" w:eastAsia="方正黑体_GBK" w:cs="Times New Roman"/>
                <w:b w:val="0"/>
                <w:bCs w:val="0"/>
                <w:sz w:val="28"/>
                <w:szCs w:val="28"/>
                <w:lang w:val="en-US" w:eastAsia="zh-CN"/>
              </w:rPr>
              <w:t xml:space="preserve">45</w:t>
            </w:r>
            <w:r>
              <w:rPr>
                <w:rFonts w:ascii="方正仿宋_GBK" w:hAnsi="方正仿宋_GBK" w:eastAsia="方正仿宋_GBK" w:cs="方正仿宋_GBK"/>
                <w:color w:val="000000"/>
                <w:sz w:val="28"/>
                <w:szCs w:val="28"/>
                <w:lang w:val="en-US" w:eastAsia="zh-CN"/>
              </w:rPr>
            </w:r>
            <w:r/>
          </w:p>
        </w:tc>
      </w:tr>
    </w:tbl>
    <w:p>
      <w:pPr>
        <w:pStyle w:val="694"/>
        <w:numPr>
          <w:ilvl w:val="0"/>
          <w:numId w:val="4"/>
        </w:numPr>
        <w:ind w:firstLine="560"/>
        <w:keepLines w:val="0"/>
        <w:keepNext w:val="0"/>
        <w:pageBreakBefore w:val="0"/>
        <w:spacing w:line="400" w:lineRule="exact"/>
        <w:widowControl w:val="off"/>
        <w:tabs>
          <w:tab w:val="left" w:pos="312" w:leader="none"/>
        </w:tabs>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采购需求（简介）：</w:t>
      </w:r>
      <w:r>
        <w:rPr>
          <w:rFonts w:hint="eastAsia" w:ascii="方正仿宋_GBK" w:hAnsi="方正仿宋_GBK" w:eastAsia="方正仿宋_GBK" w:cs="方正仿宋_GBK"/>
          <w:sz w:val="28"/>
          <w:szCs w:val="28"/>
          <w:lang w:eastAsia="zh-CN"/>
        </w:rPr>
        <w:t xml:space="preserve">依托“苏服办”政务服务底座，建设面向社会公众的江苏国动便民小程序和面向省、市、县国动部门的后台管理端，形成统一入口、统一标准、统一展示、分级维护、安全发布的应用体系。建设内容包括六类公众便民服务场景、后台数据管理和审核发布、接口集成、部署测试、培训、交付及质保服务。（详细内容见本磋商文件第四章）</w:t>
      </w:r>
      <w:r>
        <w:rPr>
          <w:rFonts w:hint="eastAsia" w:ascii="方正仿宋_GBK" w:hAnsi="方正仿宋_GBK" w:eastAsia="方正仿宋_GBK" w:cs="方正仿宋_GBK"/>
          <w:sz w:val="28"/>
          <w:szCs w:val="28"/>
          <w:lang w:eastAsia="zh-CN"/>
        </w:rPr>
      </w:r>
      <w:r/>
    </w:p>
    <w:p>
      <w:pPr>
        <w:pStyle w:val="694"/>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.合同履行期限：</w:t>
      </w:r>
      <w:r>
        <w:rPr>
          <w:rFonts w:hint="eastAsia" w:ascii="方正仿宋_GBK" w:hAnsi="方正仿宋_GBK" w:eastAsia="方正仿宋_GBK" w:cs="方正仿宋_GBK"/>
          <w:sz w:val="28"/>
          <w:szCs w:val="28"/>
          <w:lang w:eastAsia="zh-CN"/>
        </w:rPr>
        <w:t xml:space="preserve">自合同签订之日起2个月内完成开发、集成、测试、部署、培训并具备试运行条件；连续试运行不少于30日；质保期自终验合格之日起不少于1年。</w:t>
      </w:r>
      <w:r>
        <w:rPr>
          <w:rFonts w:hint="eastAsia" w:ascii="方正仿宋_GBK" w:hAnsi="方正仿宋_GBK" w:eastAsia="方正仿宋_GBK" w:cs="方正仿宋_GBK"/>
          <w:sz w:val="28"/>
          <w:szCs w:val="28"/>
          <w:lang w:eastAsia="zh-CN"/>
        </w:rPr>
      </w:r>
      <w:r/>
    </w:p>
    <w:p>
      <w:pPr>
        <w:pStyle w:val="6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12" w:name="_Toc35393622"/>
      <w:r/>
      <w:bookmarkStart w:id="13" w:name="_Toc28359003"/>
      <w:r/>
      <w:bookmarkStart w:id="14" w:name="_Toc35393791"/>
      <w:r/>
      <w:bookmarkStart w:id="15" w:name="_Toc38985264"/>
      <w:r/>
      <w:bookmarkStart w:id="16" w:name="_Toc28359080"/>
      <w:r>
        <w:rPr>
          <w:rFonts w:hint="eastAsia" w:ascii="方正黑体_GBK" w:hAnsi="方正黑体_GBK" w:eastAsia="方正黑体_GBK" w:cs="方正黑体_GBK"/>
          <w:b w:val="0"/>
          <w:bCs w:val="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28"/>
          <w:szCs w:val="28"/>
        </w:rPr>
      </w:r>
      <w:r/>
    </w:p>
    <w:p>
      <w:pPr>
        <w:pStyle w:val="694"/>
        <w:ind w:firstLine="560"/>
        <w:keepLines w:val="0"/>
        <w:keepNext w:val="0"/>
        <w:pageBreakBefore w:val="0"/>
        <w:spacing w:line="400" w:lineRule="exact"/>
        <w:widowControl w:val="off"/>
        <w:rPr>
          <w:rFonts w:hint="eastAsia" w:ascii="方正楷体_GBK" w:hAnsi="方正楷体_GBK" w:eastAsia="方正楷体_GBK" w:cs="方正楷体_GBK"/>
          <w:sz w:val="28"/>
          <w:szCs w:val="28"/>
        </w:rPr>
      </w:pPr>
      <w:r/>
      <w:bookmarkStart w:id="17" w:name="_Toc35393623"/>
      <w:r/>
      <w:bookmarkStart w:id="18" w:name="_Toc28359004"/>
      <w:r/>
      <w:bookmarkStart w:id="19" w:name="_Toc38985265"/>
      <w:r/>
      <w:bookmarkStart w:id="20" w:name="_Toc35393792"/>
      <w:r/>
      <w:bookmarkStart w:id="21" w:name="_Toc28359081"/>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黑体_GBK" w:cs="Times New Roman"/>
          <w:b w:val="0"/>
          <w:bCs w:val="0"/>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3.落实政府采购政策需满足的资格要求：无/本项目采购包</w:t>
      </w:r>
      <w:r>
        <w:rPr>
          <w:rFonts w:hint="eastAsia" w:ascii="Times New Roman" w:hAnsi="Times New Roman" w:eastAsia="方正黑体_GBK" w:cs="Times New Roman"/>
          <w:b w:val="0"/>
          <w:bCs w:val="0"/>
          <w:sz w:val="28"/>
          <w:szCs w:val="28"/>
          <w:lang w:eastAsia="zh-CN"/>
        </w:rPr>
        <w:t xml:space="preserve">XX</w:t>
      </w:r>
      <w:r>
        <w:rPr>
          <w:rFonts w:hint="eastAsia" w:ascii="方正仿宋_GBK" w:hAnsi="方正仿宋_GBK" w:eastAsia="方正仿宋_GBK" w:cs="方正仿宋_GBK"/>
          <w:sz w:val="28"/>
          <w:szCs w:val="28"/>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4.联合体参与磋商</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pStyle w:val="6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6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w:t>
            </w:r>
            <w:r>
              <w:rPr>
                <w:rFonts w:hint="eastAsia" w:ascii="方正仿宋_GBK" w:hAnsi="方正仿宋_GBK" w:eastAsia="方正仿宋_GBK" w:cs="方正仿宋_GBK"/>
                <w:sz w:val="28"/>
                <w:szCs w:val="28"/>
              </w:rPr>
            </w:r>
            <w:r/>
          </w:p>
          <w:p>
            <w:pPr>
              <w:pStyle w:val="6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6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w:t>
            </w:r>
            <w:r>
              <w:rPr>
                <w:rFonts w:hint="eastAsia" w:ascii="方正仿宋_GBK" w:hAnsi="方正仿宋_GBK" w:eastAsia="方正仿宋_GBK" w:cs="方正仿宋_GBK"/>
                <w:sz w:val="28"/>
                <w:szCs w:val="28"/>
              </w:rPr>
            </w:r>
            <w:r/>
          </w:p>
          <w:p>
            <w:pPr>
              <w:pStyle w:val="6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数量上限</w:t>
            </w:r>
            <w:r>
              <w:rPr>
                <w:rFonts w:hint="eastAsia" w:ascii="方正仿宋_GBK" w:hAnsi="方正仿宋_GBK" w:eastAsia="方正仿宋_GBK" w:cs="方正仿宋_GBK"/>
                <w:sz w:val="28"/>
                <w:szCs w:val="28"/>
              </w:rPr>
            </w:r>
            <w:r/>
          </w:p>
        </w:tc>
      </w:tr>
      <w:tr>
        <w:trPr/>
        <w:tc>
          <w:tcPr>
            <w:tcW w:w="805" w:type="dxa"/>
            <w:vAlign w:val="top"/>
            <w:textDirection w:val="lrTb"/>
            <w:noWrap w:val="false"/>
          </w:tcPr>
          <w:p>
            <w:pPr>
              <w:pStyle w:val="6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6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694"/>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694"/>
        <w:ind w:firstLine="560"/>
        <w:keepLines w:val="0"/>
        <w:keepNext w:val="0"/>
        <w:pageBreakBefore w:val="0"/>
        <w:spacing w:line="400" w:lineRule="exact"/>
        <w:widowControl w:val="off"/>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6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6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809" w:type="dxa"/>
            <w:vAlign w:val="top"/>
            <w:textDirection w:val="lrTb"/>
            <w:noWrap w:val="false"/>
          </w:tcPr>
          <w:p>
            <w:pPr>
              <w:pStyle w:val="6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694"/>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6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rPr>
          <w:rFonts w:hint="eastAsia" w:ascii="方正黑体_GBK" w:hAnsi="方正黑体_GBK" w:eastAsia="方正黑体_GBK" w:cs="方正黑体_GBK"/>
          <w:b w:val="0"/>
          <w:bCs w:val="0"/>
          <w:sz w:val="28"/>
          <w:szCs w:val="28"/>
        </w:rPr>
        <w:t xml:space="preserve">三、获取磋商文件</w:t>
      </w:r>
      <w:r>
        <w:rPr>
          <w:rFonts w:hint="eastAsia" w:ascii="方正黑体_GBK" w:hAnsi="方正黑体_GBK" w:eastAsia="方正黑体_GBK" w:cs="方正黑体_GBK"/>
          <w:b w:val="0"/>
          <w:bCs w:val="0"/>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rPr>
          <w:rFonts w:hint="eastAsia" w:ascii="方正仿宋_GBK" w:hAnsi="方正仿宋_GBK" w:eastAsia="方正仿宋_GBK" w:cs="方正仿宋_GBK"/>
          <w:sz w:val="28"/>
          <w:szCs w:val="28"/>
        </w:rPr>
      </w:r>
      <w:r/>
    </w:p>
    <w:p>
      <w:pPr>
        <w:pStyle w:val="6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624"/>
      <w:r/>
      <w:bookmarkStart w:id="26" w:name="_Toc35393793"/>
      <w:r>
        <w:rPr>
          <w:rFonts w:hint="eastAsia" w:ascii="方正黑体_GBK" w:hAnsi="方正黑体_GBK" w:eastAsia="方正黑体_GBK" w:cs="方正黑体_GBK"/>
          <w:b w:val="0"/>
          <w:bCs w:val="0"/>
          <w:sz w:val="28"/>
          <w:szCs w:val="28"/>
        </w:rPr>
        <w:t xml:space="preserve">四、提交</w:t>
      </w:r>
      <w:bookmarkEnd w:id="22"/>
      <w:r/>
      <w:bookmarkEnd w:id="23"/>
      <w:r>
        <w:rPr>
          <w:rFonts w:hint="eastAsia" w:ascii="方正黑体_GBK" w:hAnsi="方正黑体_GBK" w:eastAsia="方正黑体_GBK" w:cs="方正黑体_GBK"/>
          <w:b w:val="0"/>
          <w:bCs w:val="0"/>
          <w:sz w:val="28"/>
          <w:szCs w:val="28"/>
        </w:rPr>
        <w:t xml:space="preserve">响应文件截止时间</w:t>
      </w:r>
      <w:bookmarkEnd w:id="24"/>
      <w:r/>
      <w:bookmarkEnd w:id="25"/>
      <w:r/>
      <w:bookmarkEnd w:id="26"/>
      <w:r>
        <w:rPr>
          <w:rFonts w:hint="eastAsia" w:ascii="方正黑体_GBK" w:hAnsi="方正黑体_GBK" w:eastAsia="方正黑体_GBK" w:cs="方正黑体_GBK"/>
          <w:b w:val="0"/>
          <w:bCs w:val="0"/>
          <w:sz w:val="28"/>
          <w:szCs w:val="28"/>
        </w:rPr>
        <w:t xml:space="preserve">、开启时间及地点</w:t>
      </w:r>
      <w:r>
        <w:rPr>
          <w:rFonts w:hint="eastAsia" w:ascii="方正黑体_GBK" w:hAnsi="方正黑体_GBK" w:eastAsia="方正黑体_GBK" w:cs="方正黑体_GBK"/>
          <w:b w:val="0"/>
          <w:bCs w:val="0"/>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2026</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lang w:val="en-US" w:eastAsia="zh-CN"/>
        </w:rPr>
        <w:t xml:space="preserve">9</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lang w:val="en-US" w:eastAsia="zh-CN"/>
        </w:rPr>
        <w:t xml:space="preserve">9</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9时30</w:t>
      </w:r>
      <w:r>
        <w:rPr>
          <w:rFonts w:hint="eastAsia" w:ascii="方正仿宋_GBK" w:hAnsi="方正仿宋_GBK" w:eastAsia="方正仿宋_GBK" w:cs="方正仿宋_GBK"/>
          <w:sz w:val="28"/>
          <w:szCs w:val="28"/>
        </w:rPr>
        <w:t xml:space="preserve">分（北京时间）。</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6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27" w:name="_Toc28359007"/>
      <w:r/>
      <w:bookmarkStart w:id="28" w:name="_Toc35393625"/>
      <w:r/>
      <w:bookmarkStart w:id="29" w:name="_Toc28359084"/>
      <w:r/>
      <w:bookmarkStart w:id="30" w:name="_Toc38985267"/>
      <w:r/>
      <w:bookmarkStart w:id="31" w:name="_Toc35393794"/>
      <w:r>
        <w:rPr>
          <w:rFonts w:hint="eastAsia" w:ascii="方正黑体_GBK" w:hAnsi="方正黑体_GBK" w:eastAsia="方正黑体_GBK" w:cs="方正黑体_GBK"/>
          <w:b w:val="0"/>
          <w:bCs w:val="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rPr>
      </w:r>
      <w:r/>
    </w:p>
    <w:p>
      <w:pPr>
        <w:pStyle w:val="6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32" w:name="_Toc35393795"/>
      <w:r/>
      <w:bookmarkStart w:id="33" w:name="_Toc38985268"/>
      <w:r/>
      <w:bookmarkStart w:id="34" w:name="_Toc35393626"/>
      <w:r>
        <w:rPr>
          <w:rFonts w:hint="eastAsia" w:ascii="方正黑体_GBK" w:hAnsi="方正黑体_GBK" w:eastAsia="方正黑体_GBK" w:cs="方正黑体_GBK"/>
          <w:b w:val="0"/>
          <w:bCs w:val="0"/>
          <w:sz w:val="28"/>
          <w:szCs w:val="28"/>
        </w:rPr>
        <w:t xml:space="preserve">六、其他补充事宜</w:t>
      </w:r>
      <w:bookmarkEnd w:id="32"/>
      <w:r/>
      <w:bookmarkEnd w:id="33"/>
      <w:r/>
      <w:bookmarkEnd w:id="34"/>
      <w:r>
        <w:rPr>
          <w:rFonts w:hint="eastAsia" w:ascii="方正黑体_GBK" w:hAnsi="方正黑体_GBK" w:eastAsia="方正黑体_GBK" w:cs="方正黑体_GBK"/>
          <w:b w:val="0"/>
          <w:bCs w:val="0"/>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6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35" w:name="_Toc35393796"/>
      <w:r/>
      <w:bookmarkStart w:id="36" w:name="_Toc28359085"/>
      <w:r/>
      <w:bookmarkStart w:id="37" w:name="_Toc35393627"/>
      <w:r/>
      <w:bookmarkStart w:id="38" w:name="_Toc38985269"/>
      <w:r/>
      <w:bookmarkStart w:id="39" w:name="_Toc28359008"/>
      <w:r>
        <w:rPr>
          <w:rFonts w:hint="eastAsia" w:ascii="方正黑体_GBK" w:hAnsi="方正黑体_GBK" w:eastAsia="方正黑体_GBK" w:cs="方正黑体_GBK"/>
          <w:b w:val="0"/>
          <w:bCs w:val="0"/>
          <w:sz w:val="28"/>
          <w:szCs w:val="28"/>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sz w:val="28"/>
          <w:szCs w:val="28"/>
        </w:rPr>
      </w:r>
      <w:r/>
    </w:p>
    <w:p>
      <w:pPr>
        <w:pStyle w:val="694"/>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bookmarkStart w:id="40" w:name="_Toc28359010"/>
      <w:r/>
      <w:bookmarkStart w:id="41" w:name="_Toc28359087"/>
      <w:r>
        <w:rPr>
          <w:rFonts w:hint="eastAsia" w:ascii="仿宋" w:hAnsi="仿宋" w:eastAsia="仿宋" w:cs="宋体"/>
          <w:sz w:val="28"/>
          <w:szCs w:val="28"/>
          <w:lang w:val="en-US" w:eastAsia="zh-CN"/>
        </w:rPr>
        <w:t xml:space="preserve"> </w:t>
      </w:r>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　江苏省国防动员办公室　</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址：</w:t>
      </w:r>
      <w:r>
        <w:rPr>
          <w:rFonts w:hint="eastAsia" w:ascii="方正仿宋_GBK" w:hAnsi="方正仿宋_GBK" w:eastAsia="方正仿宋_GBK" w:cs="方正仿宋_GBK"/>
          <w:sz w:val="28"/>
          <w:szCs w:val="28"/>
          <w:u w:val="single"/>
        </w:rPr>
        <w:t xml:space="preserve">　南京市鼓楼区宁夏路马鞍山1号　　</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刘熊伟  </w:t>
      </w:r>
      <w:r>
        <w:rPr>
          <w:rFonts w:hint="eastAsia" w:ascii="方正仿宋_GBK" w:hAnsi="方正仿宋_GBK" w:eastAsia="方正仿宋_GBK" w:cs="方正仿宋_GBK"/>
          <w:sz w:val="28"/>
          <w:szCs w:val="28"/>
          <w:u w:val="single"/>
        </w:rPr>
      </w:r>
      <w:r/>
    </w:p>
    <w:p>
      <w:pPr>
        <w:pStyle w:val="694"/>
        <w:ind w:firstLine="560"/>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025-86339901　　 </w:t>
      </w:r>
      <w:bookmarkStart w:id="42" w:name="_Toc28359086"/>
      <w:r/>
      <w:bookmarkStart w:id="43" w:name="_Toc28359009"/>
      <w:r>
        <w:rPr>
          <w:rFonts w:hint="eastAsia" w:ascii="方正仿宋_GBK" w:hAnsi="方正仿宋_GBK" w:eastAsia="方正仿宋_GBK" w:cs="方正仿宋_GBK"/>
          <w:sz w:val="28"/>
          <w:szCs w:val="28"/>
          <w:u w:val="single"/>
        </w:rPr>
      </w:r>
      <w:r/>
    </w:p>
    <w:p>
      <w:pPr>
        <w:pStyle w:val="694"/>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rPr>
        <w:outlineLvl w:val="0"/>
      </w:pPr>
      <w:r/>
      <w:bookmarkEnd w:id="40"/>
      <w:r/>
      <w:bookmarkEnd w:id="41"/>
      <w:r/>
      <w:bookmarkEnd w:id="42"/>
      <w:r/>
      <w:bookmarkEnd w:id="43"/>
      <w:r>
        <w:rPr>
          <w:rFonts w:hint="eastAsia" w:ascii="方正仿宋_GBK" w:hAnsi="方正仿宋_GBK" w:eastAsia="方正仿宋_GBK" w:cs="方正仿宋_GBK"/>
          <w:color w:val="000000"/>
          <w:sz w:val="28"/>
          <w:szCs w:val="28"/>
        </w:rPr>
        <w:t xml:space="preserve">2.江苏省政府采购中心信息</w:t>
      </w:r>
      <w:r>
        <w:rPr>
          <w:rFonts w:hint="eastAsia" w:ascii="方正仿宋_GBK" w:hAnsi="方正仿宋_GBK" w:eastAsia="方正仿宋_GBK" w:cs="方正仿宋_GBK"/>
          <w:color w:val="000000"/>
          <w:sz w:val="28"/>
          <w:szCs w:val="28"/>
        </w:rPr>
      </w:r>
      <w:r/>
    </w:p>
    <w:p>
      <w:pPr>
        <w:pStyle w:val="694"/>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u w:val="single"/>
        </w:rPr>
        <w:outlineLvl w:val="0"/>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w:t>
      </w:r>
      <w:r>
        <w:rPr>
          <w:rFonts w:hint="eastAsia" w:ascii="方正仿宋_GBK" w:hAnsi="方正仿宋_GBK" w:eastAsia="方正仿宋_GBK" w:cs="方正仿宋_GBK"/>
          <w:color w:val="000000"/>
          <w:sz w:val="28"/>
          <w:szCs w:val="28"/>
          <w:u w:val="single"/>
        </w:rPr>
      </w:r>
      <w:r/>
    </w:p>
    <w:p>
      <w:pPr>
        <w:pStyle w:val="694"/>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联系人： </w:t>
      </w:r>
      <w:r>
        <w:rPr>
          <w:rFonts w:hint="eastAsia" w:ascii="方正仿宋_GBK" w:hAnsi="方正仿宋_GBK" w:eastAsia="方正仿宋_GBK" w:cs="方正仿宋_GBK"/>
          <w:color w:val="000000"/>
          <w:sz w:val="28"/>
          <w:szCs w:val="28"/>
          <w:u w:val="single"/>
        </w:rPr>
        <w:t xml:space="preserve">蔡昊、徐晨义</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694"/>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u w:val="single"/>
        </w:rPr>
        <w:outlineLvl w:val="0"/>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025-83668561/025-83668521</w:t>
      </w:r>
      <w:r>
        <w:rPr>
          <w:rFonts w:hint="eastAsia" w:ascii="方正仿宋_GBK" w:hAnsi="方正仿宋_GBK" w:eastAsia="方正仿宋_GBK" w:cs="方正仿宋_GBK"/>
          <w:color w:val="000000"/>
          <w:sz w:val="28"/>
          <w:szCs w:val="28"/>
          <w:u w:val="single"/>
        </w:rPr>
      </w:r>
      <w:r/>
    </w:p>
    <w:p>
      <w:pPr>
        <w:pStyle w:val="6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rPr>
          <w:rFonts w:hint="eastAsia" w:ascii="方正黑体_GBK" w:hAnsi="方正黑体_GBK" w:eastAsia="方正黑体_GBK" w:cs="方正黑体_GBK"/>
          <w:b w:val="0"/>
          <w:bCs w:val="0"/>
          <w:sz w:val="28"/>
          <w:szCs w:val="28"/>
        </w:rPr>
        <w:t xml:space="preserve">八、其他</w:t>
      </w:r>
      <w:r>
        <w:rPr>
          <w:rFonts w:hint="eastAsia" w:ascii="方正黑体_GBK" w:hAnsi="方正黑体_GBK" w:eastAsia="方正黑体_GBK" w:cs="方正黑体_GBK"/>
          <w:b w:val="0"/>
          <w:bCs w:val="0"/>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cs="Times New Roman"/>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rPr>
          <w:rFonts w:hint="eastAsia" w:ascii="方正仿宋_GBK" w:hAnsi="方正仿宋_GBK" w:eastAsia="方正仿宋_GBK" w:cs="方正仿宋_GBK"/>
          <w:sz w:val="28"/>
          <w:szCs w:val="28"/>
        </w:rPr>
      </w:r>
      <w:r/>
    </w:p>
    <w:p>
      <w:pPr>
        <w:pStyle w:val="694"/>
        <w:ind w:right="840"/>
        <w:rPr>
          <w:rFonts w:hint="eastAsia" w:ascii="宋体" w:hAnsi="宋体"/>
          <w:sz w:val="24"/>
          <w:szCs w:val="24"/>
        </w:rPr>
      </w:pPr>
      <w:r>
        <w:rPr>
          <w:rFonts w:hint="eastAsia" w:ascii="宋体" w:hAnsi="宋体"/>
          <w:sz w:val="24"/>
          <w:szCs w:val="24"/>
        </w:rPr>
      </w:r>
      <w:r/>
    </w:p>
    <w:p>
      <w:pPr>
        <w:pStyle w:val="694"/>
        <w:ind w:right="840"/>
        <w:rPr>
          <w:rFonts w:hint="eastAsia" w:ascii="宋体" w:hAnsi="宋体"/>
          <w:sz w:val="24"/>
          <w:szCs w:val="24"/>
        </w:rPr>
      </w:pPr>
      <w:r>
        <w:rPr>
          <w:rFonts w:hint="eastAsia" w:ascii="宋体" w:hAnsi="宋体"/>
          <w:sz w:val="24"/>
          <w:szCs w:val="24"/>
        </w:rPr>
      </w:r>
      <w:r/>
    </w:p>
    <w:p>
      <w:pPr>
        <w:pStyle w:val="694"/>
        <w:ind w:right="840"/>
        <w:rPr>
          <w:rFonts w:hint="eastAsia" w:ascii="宋体" w:hAnsi="宋体"/>
          <w:sz w:val="24"/>
          <w:szCs w:val="24"/>
        </w:rPr>
      </w:pPr>
      <w:r>
        <w:rPr>
          <w:rFonts w:hint="eastAsia" w:ascii="宋体" w:hAnsi="宋体"/>
          <w:sz w:val="24"/>
          <w:szCs w:val="24"/>
        </w:rPr>
      </w:r>
      <w:r/>
    </w:p>
    <w:p>
      <w:pPr>
        <w:pStyle w:val="694"/>
        <w:ind w:right="840"/>
        <w:rPr>
          <w:rFonts w:hint="eastAsia" w:ascii="宋体" w:hAnsi="宋体"/>
          <w:sz w:val="24"/>
          <w:szCs w:val="24"/>
        </w:rPr>
      </w:pPr>
      <w:r>
        <w:rPr>
          <w:rFonts w:hint="eastAsia" w:ascii="宋体" w:hAnsi="宋体"/>
          <w:sz w:val="24"/>
          <w:szCs w:val="24"/>
        </w:rPr>
      </w:r>
      <w:r/>
    </w:p>
    <w:p>
      <w:pPr>
        <w:pStyle w:val="694"/>
        <w:ind w:right="840"/>
        <w:rPr>
          <w:rFonts w:hint="eastAsia" w:ascii="宋体" w:hAnsi="宋体"/>
          <w:sz w:val="24"/>
          <w:szCs w:val="24"/>
        </w:rPr>
      </w:pPr>
      <w:r>
        <w:rPr>
          <w:rFonts w:hint="eastAsia" w:ascii="宋体" w:hAnsi="宋体"/>
          <w:sz w:val="24"/>
          <w:szCs w:val="24"/>
        </w:rPr>
      </w:r>
      <w:r/>
    </w:p>
    <w:p>
      <w:pPr>
        <w:pStyle w:val="694"/>
        <w:ind w:right="840"/>
        <w:rPr>
          <w:rFonts w:hint="eastAsia" w:ascii="宋体" w:hAnsi="宋体"/>
          <w:sz w:val="24"/>
          <w:szCs w:val="24"/>
        </w:rPr>
      </w:pPr>
      <w:r>
        <w:rPr>
          <w:rFonts w:hint="eastAsia" w:ascii="宋体" w:hAnsi="宋体"/>
          <w:sz w:val="24"/>
          <w:szCs w:val="24"/>
        </w:rPr>
      </w:r>
      <w:r/>
    </w:p>
    <w:p>
      <w:pPr>
        <w:pStyle w:val="694"/>
        <w:ind w:right="840"/>
        <w:rPr>
          <w:rFonts w:hint="eastAsia" w:ascii="宋体" w:hAnsi="宋体"/>
          <w:sz w:val="24"/>
          <w:szCs w:val="24"/>
        </w:rPr>
      </w:pPr>
      <w:r>
        <w:rPr>
          <w:rFonts w:hint="eastAsia" w:ascii="宋体" w:hAnsi="宋体"/>
          <w:sz w:val="24"/>
          <w:szCs w:val="24"/>
        </w:rPr>
      </w:r>
      <w:r/>
    </w:p>
    <w:p>
      <w:pPr>
        <w:pStyle w:val="694"/>
        <w:ind w:right="840"/>
        <w:rPr>
          <w:rFonts w:hint="eastAsia" w:ascii="宋体" w:hAnsi="宋体"/>
          <w:sz w:val="24"/>
          <w:szCs w:val="24"/>
        </w:rPr>
      </w:pPr>
      <w:r>
        <w:rPr>
          <w:rFonts w:hint="eastAsia" w:ascii="宋体" w:hAnsi="宋体"/>
          <w:sz w:val="24"/>
          <w:szCs w:val="24"/>
        </w:rPr>
      </w:r>
      <w:r/>
    </w:p>
    <w:p>
      <w:pPr>
        <w:pStyle w:val="694"/>
        <w:ind w:right="840"/>
        <w:rPr>
          <w:rFonts w:hint="eastAsia" w:ascii="宋体" w:hAnsi="宋体"/>
          <w:sz w:val="24"/>
          <w:szCs w:val="24"/>
        </w:rPr>
      </w:pPr>
      <w:r>
        <w:rPr>
          <w:rFonts w:hint="eastAsia" w:ascii="宋体" w:hAnsi="宋体"/>
          <w:sz w:val="24"/>
          <w:szCs w:val="24"/>
        </w:rPr>
      </w:r>
      <w:r/>
    </w:p>
    <w:p>
      <w:pPr>
        <w:pStyle w:val="694"/>
        <w:ind w:right="840"/>
        <w:rPr>
          <w:rFonts w:hint="eastAsia" w:ascii="宋体" w:hAnsi="宋体"/>
          <w:sz w:val="24"/>
          <w:szCs w:val="24"/>
        </w:rPr>
      </w:pPr>
      <w:r>
        <w:rPr>
          <w:rFonts w:hint="eastAsia" w:ascii="宋体" w:hAnsi="宋体"/>
          <w:sz w:val="24"/>
          <w:szCs w:val="24"/>
        </w:rPr>
      </w:r>
      <w:r/>
    </w:p>
    <w:p>
      <w:pPr>
        <w:pStyle w:val="706"/>
        <w:rPr>
          <w:rFonts w:hint="eastAsia" w:ascii="宋体" w:hAnsi="宋体"/>
          <w:sz w:val="24"/>
          <w:szCs w:val="24"/>
        </w:rPr>
      </w:pPr>
      <w:r>
        <w:rPr>
          <w:rFonts w:hint="eastAsia" w:ascii="宋体" w:hAnsi="宋体"/>
          <w:sz w:val="24"/>
          <w:szCs w:val="24"/>
        </w:rPr>
      </w:r>
      <w:r/>
    </w:p>
    <w:p>
      <w:pPr>
        <w:pStyle w:val="694"/>
        <w:rPr>
          <w:rFonts w:hint="eastAsia" w:ascii="宋体" w:hAnsi="宋体"/>
          <w:sz w:val="24"/>
          <w:szCs w:val="24"/>
        </w:rPr>
      </w:pPr>
      <w:r>
        <w:rPr>
          <w:rFonts w:hint="eastAsia" w:ascii="宋体" w:hAnsi="宋体"/>
          <w:sz w:val="24"/>
          <w:szCs w:val="24"/>
        </w:rPr>
      </w:r>
      <w:r/>
    </w:p>
    <w:p>
      <w:pPr>
        <w:pStyle w:val="706"/>
        <w:rPr>
          <w:rFonts w:hint="eastAsia" w:ascii="宋体" w:hAnsi="宋体"/>
          <w:sz w:val="24"/>
          <w:szCs w:val="24"/>
        </w:rPr>
      </w:pPr>
      <w:r>
        <w:rPr>
          <w:rFonts w:hint="eastAsia" w:ascii="宋体" w:hAnsi="宋体"/>
          <w:sz w:val="24"/>
          <w:szCs w:val="24"/>
        </w:rPr>
      </w:r>
      <w:r/>
    </w:p>
    <w:p>
      <w:pPr>
        <w:pStyle w:val="694"/>
        <w:rPr>
          <w:rFonts w:hint="eastAsia" w:ascii="宋体" w:hAnsi="宋体"/>
          <w:sz w:val="24"/>
          <w:szCs w:val="24"/>
        </w:rPr>
      </w:pPr>
      <w:r>
        <w:rPr>
          <w:rFonts w:hint="eastAsia" w:ascii="宋体" w:hAnsi="宋体"/>
          <w:sz w:val="24"/>
          <w:szCs w:val="24"/>
        </w:rPr>
      </w:r>
      <w:r/>
    </w:p>
    <w:p>
      <w:pPr>
        <w:pStyle w:val="706"/>
        <w:rPr>
          <w:rFonts w:hint="eastAsia" w:ascii="宋体" w:hAnsi="宋体"/>
          <w:sz w:val="24"/>
          <w:szCs w:val="24"/>
        </w:rPr>
      </w:pPr>
      <w:r>
        <w:rPr>
          <w:rFonts w:hint="eastAsia" w:ascii="宋体" w:hAnsi="宋体"/>
          <w:sz w:val="24"/>
          <w:szCs w:val="24"/>
        </w:rPr>
      </w:r>
      <w:r/>
    </w:p>
    <w:p>
      <w:pPr>
        <w:pStyle w:val="694"/>
        <w:rPr>
          <w:rFonts w:hint="eastAsia" w:ascii="宋体" w:hAnsi="宋体"/>
          <w:sz w:val="24"/>
          <w:szCs w:val="24"/>
        </w:rPr>
      </w:pPr>
      <w:r>
        <w:rPr>
          <w:rFonts w:hint="eastAsia" w:ascii="宋体" w:hAnsi="宋体"/>
          <w:sz w:val="24"/>
          <w:szCs w:val="24"/>
        </w:rPr>
      </w:r>
      <w:r/>
    </w:p>
    <w:p>
      <w:pPr>
        <w:pStyle w:val="706"/>
        <w:rPr>
          <w:rFonts w:hint="eastAsia" w:ascii="宋体" w:hAnsi="宋体"/>
          <w:sz w:val="24"/>
          <w:szCs w:val="24"/>
        </w:rPr>
      </w:pPr>
      <w:r>
        <w:rPr>
          <w:rFonts w:hint="eastAsia" w:ascii="宋体" w:hAnsi="宋体"/>
          <w:sz w:val="24"/>
          <w:szCs w:val="24"/>
        </w:rPr>
      </w:r>
      <w:r/>
    </w:p>
    <w:p>
      <w:pPr>
        <w:pStyle w:val="694"/>
        <w:rPr>
          <w:rFonts w:hint="eastAsia" w:ascii="宋体" w:hAnsi="宋体"/>
          <w:sz w:val="24"/>
          <w:szCs w:val="24"/>
        </w:rPr>
      </w:pPr>
      <w:r>
        <w:rPr>
          <w:rFonts w:hint="eastAsia" w:ascii="宋体" w:hAnsi="宋体"/>
          <w:sz w:val="24"/>
          <w:szCs w:val="24"/>
        </w:rPr>
      </w:r>
      <w:r/>
    </w:p>
    <w:p>
      <w:pPr>
        <w:pStyle w:val="706"/>
        <w:rPr>
          <w:rFonts w:hint="eastAsia" w:ascii="宋体" w:hAnsi="宋体"/>
          <w:sz w:val="24"/>
          <w:szCs w:val="24"/>
        </w:rPr>
      </w:pPr>
      <w:r>
        <w:rPr>
          <w:rFonts w:hint="eastAsia" w:ascii="宋体" w:hAnsi="宋体"/>
          <w:sz w:val="24"/>
          <w:szCs w:val="24"/>
        </w:rPr>
      </w:r>
      <w:r/>
    </w:p>
    <w:p>
      <w:pPr>
        <w:pStyle w:val="694"/>
        <w:rPr>
          <w:rFonts w:hint="eastAsia" w:ascii="宋体" w:hAnsi="宋体"/>
          <w:sz w:val="24"/>
          <w:szCs w:val="24"/>
        </w:rPr>
      </w:pPr>
      <w:r>
        <w:rPr>
          <w:rFonts w:hint="eastAsia" w:ascii="宋体" w:hAnsi="宋体"/>
          <w:sz w:val="24"/>
          <w:szCs w:val="24"/>
        </w:rPr>
      </w:r>
      <w:r/>
    </w:p>
    <w:p>
      <w:pPr>
        <w:pStyle w:val="706"/>
        <w:rPr>
          <w:rFonts w:hint="eastAsia" w:ascii="宋体" w:hAnsi="宋体"/>
          <w:sz w:val="24"/>
          <w:szCs w:val="24"/>
        </w:rPr>
      </w:pPr>
      <w:r>
        <w:rPr>
          <w:rFonts w:hint="eastAsia" w:ascii="宋体" w:hAnsi="宋体"/>
          <w:sz w:val="24"/>
          <w:szCs w:val="24"/>
        </w:rPr>
      </w:r>
      <w:r/>
    </w:p>
    <w:p>
      <w:pPr>
        <w:pStyle w:val="694"/>
        <w:rPr>
          <w:rFonts w:hint="eastAsia" w:ascii="宋体" w:hAnsi="宋体"/>
          <w:sz w:val="24"/>
          <w:szCs w:val="24"/>
        </w:rPr>
      </w:pPr>
      <w:r>
        <w:rPr>
          <w:rFonts w:hint="eastAsia" w:ascii="宋体" w:hAnsi="宋体"/>
          <w:sz w:val="24"/>
          <w:szCs w:val="24"/>
        </w:rPr>
      </w:r>
      <w:r/>
    </w:p>
    <w:p>
      <w:pPr>
        <w:pStyle w:val="706"/>
        <w:rPr>
          <w:rFonts w:hint="eastAsia" w:ascii="宋体" w:hAnsi="宋体"/>
          <w:sz w:val="24"/>
          <w:szCs w:val="24"/>
        </w:rPr>
      </w:pPr>
      <w:r>
        <w:rPr>
          <w:rFonts w:hint="eastAsia" w:ascii="宋体" w:hAnsi="宋体"/>
          <w:sz w:val="24"/>
          <w:szCs w:val="24"/>
        </w:rPr>
      </w:r>
      <w:r/>
    </w:p>
    <w:p>
      <w:pPr>
        <w:pStyle w:val="694"/>
        <w:rPr>
          <w:rFonts w:hint="eastAsia" w:ascii="宋体" w:hAnsi="宋体"/>
          <w:sz w:val="24"/>
          <w:szCs w:val="24"/>
        </w:rPr>
      </w:pPr>
      <w:r>
        <w:rPr>
          <w:rFonts w:hint="eastAsia" w:ascii="宋体" w:hAnsi="宋体"/>
          <w:sz w:val="24"/>
          <w:szCs w:val="24"/>
        </w:rPr>
      </w:r>
      <w:r/>
    </w:p>
    <w:p>
      <w:pPr>
        <w:pStyle w:val="706"/>
        <w:rPr>
          <w:rFonts w:hint="eastAsia" w:ascii="宋体" w:hAnsi="宋体"/>
          <w:sz w:val="24"/>
          <w:szCs w:val="24"/>
        </w:rPr>
      </w:pPr>
      <w:r>
        <w:rPr>
          <w:rFonts w:hint="eastAsia" w:ascii="宋体" w:hAnsi="宋体"/>
          <w:sz w:val="24"/>
          <w:szCs w:val="24"/>
        </w:rPr>
      </w:r>
      <w:r/>
    </w:p>
    <w:p>
      <w:pPr>
        <w:pStyle w:val="694"/>
        <w:rPr>
          <w:rFonts w:hint="eastAsia" w:ascii="宋体" w:hAnsi="宋体"/>
          <w:sz w:val="24"/>
          <w:szCs w:val="24"/>
        </w:rPr>
      </w:pPr>
      <w:r>
        <w:rPr>
          <w:rFonts w:hint="eastAsia" w:ascii="宋体" w:hAnsi="宋体"/>
          <w:sz w:val="24"/>
          <w:szCs w:val="24"/>
        </w:rPr>
      </w:r>
      <w:r/>
    </w:p>
    <w:p>
      <w:pPr>
        <w:pStyle w:val="706"/>
        <w:rPr>
          <w:rFonts w:hint="eastAsia" w:ascii="宋体" w:hAnsi="宋体"/>
          <w:sz w:val="24"/>
          <w:szCs w:val="24"/>
        </w:rPr>
      </w:pPr>
      <w:r>
        <w:rPr>
          <w:rFonts w:hint="eastAsia" w:ascii="宋体" w:hAnsi="宋体"/>
          <w:sz w:val="24"/>
          <w:szCs w:val="24"/>
        </w:rPr>
      </w:r>
      <w:r/>
    </w:p>
    <w:p>
      <w:pPr>
        <w:pStyle w:val="694"/>
        <w:rPr>
          <w:rFonts w:hint="eastAsia" w:ascii="宋体" w:hAnsi="宋体"/>
          <w:sz w:val="24"/>
          <w:szCs w:val="24"/>
        </w:rPr>
      </w:pPr>
      <w:r>
        <w:rPr>
          <w:rFonts w:hint="eastAsia" w:ascii="宋体" w:hAnsi="宋体"/>
          <w:sz w:val="24"/>
          <w:szCs w:val="24"/>
        </w:rPr>
      </w:r>
      <w:r/>
    </w:p>
    <w:p>
      <w:pPr>
        <w:pStyle w:val="706"/>
        <w:rPr>
          <w:rFonts w:hint="eastAsia" w:ascii="宋体" w:hAnsi="宋体"/>
          <w:sz w:val="24"/>
          <w:szCs w:val="24"/>
        </w:rPr>
      </w:pPr>
      <w:r>
        <w:rPr>
          <w:rFonts w:hint="eastAsia" w:ascii="宋体" w:hAnsi="宋体"/>
          <w:sz w:val="24"/>
          <w:szCs w:val="24"/>
        </w:rPr>
      </w:r>
      <w:r/>
    </w:p>
    <w:p>
      <w:pPr>
        <w:pStyle w:val="694"/>
        <w:rPr>
          <w:rFonts w:hint="eastAsia" w:ascii="宋体" w:hAnsi="宋体"/>
          <w:sz w:val="24"/>
          <w:szCs w:val="24"/>
        </w:rPr>
      </w:pPr>
      <w:r>
        <w:rPr>
          <w:rFonts w:hint="eastAsia" w:ascii="宋体" w:hAnsi="宋体"/>
          <w:sz w:val="24"/>
          <w:szCs w:val="24"/>
        </w:rPr>
      </w:r>
      <w:r/>
    </w:p>
    <w:p>
      <w:pPr>
        <w:pStyle w:val="706"/>
        <w:rPr>
          <w:rFonts w:hint="eastAsia"/>
        </w:rPr>
      </w:pPr>
      <w:r>
        <w:rPr>
          <w:rFonts w:hint="eastAsia"/>
        </w:rPr>
      </w:r>
      <w:r/>
    </w:p>
    <w:p>
      <w:pPr>
        <w:pStyle w:val="694"/>
        <w:ind w:right="840"/>
        <w:rPr>
          <w:rFonts w:hint="eastAsia" w:ascii="宋体" w:hAnsi="宋体"/>
          <w:sz w:val="24"/>
          <w:szCs w:val="24"/>
        </w:rPr>
      </w:pPr>
      <w:r>
        <w:rPr>
          <w:rFonts w:hint="eastAsia" w:ascii="宋体" w:hAnsi="宋体"/>
          <w:sz w:val="24"/>
          <w:szCs w:val="24"/>
        </w:rPr>
      </w:r>
      <w:r/>
    </w:p>
    <w:p>
      <w:pPr>
        <w:pStyle w:val="694"/>
        <w:ind w:right="840"/>
        <w:rPr>
          <w:rFonts w:hint="eastAsia" w:ascii="宋体" w:hAnsi="宋体"/>
          <w:sz w:val="24"/>
          <w:szCs w:val="24"/>
        </w:rPr>
      </w:pPr>
      <w:r>
        <w:rPr>
          <w:rFonts w:hint="eastAsia" w:ascii="宋体" w:hAnsi="宋体"/>
          <w:sz w:val="24"/>
          <w:szCs w:val="24"/>
        </w:rPr>
      </w:r>
      <w:r/>
    </w:p>
    <w:p>
      <w:pPr>
        <w:pStyle w:val="694"/>
        <w:ind w:right="840"/>
        <w:rPr>
          <w:rFonts w:hint="eastAsia" w:ascii="宋体" w:hAnsi="宋体"/>
          <w:sz w:val="24"/>
          <w:szCs w:val="24"/>
        </w:rPr>
      </w:pPr>
      <w:r>
        <w:rPr>
          <w:rFonts w:hint="eastAsia" w:ascii="宋体" w:hAnsi="宋体"/>
          <w:sz w:val="24"/>
          <w:szCs w:val="24"/>
        </w:rPr>
      </w:r>
      <w:r/>
    </w:p>
    <w:p>
      <w:pPr>
        <w:pStyle w:val="694"/>
        <w:ind w:right="840"/>
        <w:rPr>
          <w:rFonts w:hint="eastAsia" w:ascii="宋体" w:hAnsi="宋体"/>
          <w:sz w:val="24"/>
          <w:szCs w:val="24"/>
        </w:rPr>
      </w:pPr>
      <w:r>
        <w:rPr>
          <w:rFonts w:hint="eastAsia" w:ascii="宋体" w:hAnsi="宋体"/>
          <w:sz w:val="24"/>
          <w:szCs w:val="24"/>
        </w:rPr>
      </w:r>
      <w:r/>
    </w:p>
    <w:p>
      <w:pPr>
        <w:pStyle w:val="694"/>
        <w:ind w:right="840"/>
        <w:rPr>
          <w:rFonts w:hint="eastAsia" w:ascii="宋体" w:hAnsi="宋体"/>
          <w:sz w:val="24"/>
          <w:szCs w:val="24"/>
        </w:rPr>
      </w:pPr>
      <w:r>
        <w:rPr>
          <w:rFonts w:hint="eastAsia" w:ascii="宋体" w:hAnsi="宋体"/>
          <w:sz w:val="24"/>
          <w:szCs w:val="24"/>
        </w:rPr>
      </w:r>
      <w:r/>
    </w:p>
    <w:p>
      <w:pPr>
        <w:pStyle w:val="694"/>
        <w:jc w:val="center"/>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1"/>
      <w:r/>
      <w:bookmarkEnd w:id="2"/>
      <w:r/>
      <w:bookmarkEnd w:id="3"/>
      <w:r/>
      <w:bookmarkEnd w:id="4"/>
      <w:r/>
      <w:bookmarkEnd w:id="5"/>
      <w:r/>
      <w:bookmarkStart w:id="44" w:name="_Toc120614211"/>
      <w:r/>
      <w:bookmarkStart w:id="45" w:name="_Toc16938519"/>
      <w:r/>
      <w:bookmarkStart w:id="46" w:name="_Toc513029203"/>
      <w:r/>
      <w:bookmarkStart w:id="47" w:name="_Toc20823275"/>
      <w:r/>
      <w:bookmarkStart w:id="48" w:name="_Toc120614214"/>
      <w:r>
        <w:rPr>
          <w:rFonts w:hint="eastAsia" w:ascii="方正黑体_GBK" w:hAnsi="方正黑体_GBK" w:eastAsia="方正黑体_GBK" w:cs="方正黑体_GBK"/>
          <w:b w:val="0"/>
          <w:bCs w:val="0"/>
          <w:sz w:val="28"/>
          <w:szCs w:val="28"/>
        </w:rPr>
        <w:t xml:space="preserve">第二章  </w:t>
      </w:r>
      <w:bookmarkEnd w:id="44"/>
      <w:r>
        <w:rPr>
          <w:rFonts w:hint="eastAsia" w:ascii="方正黑体_GBK" w:hAnsi="方正黑体_GBK" w:eastAsia="方正黑体_GBK" w:cs="方正黑体_GBK"/>
          <w:b w:val="0"/>
          <w:bCs w:val="0"/>
          <w:sz w:val="28"/>
          <w:szCs w:val="28"/>
        </w:rPr>
        <w:t xml:space="preserve">供应商须知</w:t>
      </w:r>
      <w:r>
        <w:rPr>
          <w:rFonts w:hint="eastAsia" w:ascii="方正黑体_GBK" w:hAnsi="方正黑体_GBK" w:eastAsia="方正黑体_GBK" w:cs="方正黑体_GBK"/>
          <w:b w:val="0"/>
          <w:bCs w:val="0"/>
          <w:sz w:val="28"/>
          <w:szCs w:val="28"/>
        </w:rPr>
      </w:r>
      <w:r/>
    </w:p>
    <w:p>
      <w:pPr>
        <w:pStyle w:val="6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45"/>
      <w:r/>
      <w:bookmarkEnd w:id="46"/>
      <w:r/>
      <w:bookmarkEnd w:id="47"/>
      <w:r/>
      <w:bookmarkEnd w:id="48"/>
      <w:r/>
      <w:bookmarkStart w:id="49" w:name="_Toc16938525"/>
      <w:r/>
      <w:bookmarkStart w:id="50" w:name="_Toc20823281"/>
      <w:r/>
      <w:bookmarkStart w:id="51" w:name="_Toc120614215"/>
      <w:r/>
      <w:bookmarkStart w:id="52" w:name="_Toc513029209"/>
      <w:r>
        <w:rPr>
          <w:rFonts w:hint="eastAsia" w:ascii="方正黑体_GBK" w:hAnsi="方正黑体_GBK" w:eastAsia="方正黑体_GBK" w:cs="方正黑体_GBK"/>
          <w:b w:val="0"/>
          <w:bCs w:val="0"/>
          <w:sz w:val="28"/>
          <w:szCs w:val="28"/>
        </w:rPr>
        <w:t xml:space="preserve">一、总则</w:t>
      </w:r>
      <w:r>
        <w:rPr>
          <w:rFonts w:hint="eastAsia" w:ascii="方正黑体_GBK" w:hAnsi="方正黑体_GBK" w:eastAsia="方正黑体_GBK" w:cs="方正黑体_GBK"/>
          <w:b w:val="0"/>
          <w:bCs w:val="0"/>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3" w:name="_Hlt16619475"/>
      <w:r/>
      <w:bookmarkEnd w:id="53"/>
      <w:r/>
      <w:bookmarkStart w:id="54" w:name="_Toc458694821"/>
      <w:r/>
      <w:bookmarkStart w:id="55" w:name="_Toc20823276"/>
      <w:r/>
      <w:bookmarkStart w:id="56" w:name="_Toc513029204"/>
      <w:r/>
      <w:bookmarkStart w:id="57" w:name="_Toc16938520"/>
      <w:r>
        <w:rPr>
          <w:rFonts w:hint="eastAsia" w:ascii="方正仿宋_GBK" w:hAnsi="方正仿宋_GBK" w:eastAsia="方正仿宋_GBK" w:cs="方正仿宋_GBK"/>
          <w:bCs/>
          <w:sz w:val="28"/>
          <w:szCs w:val="28"/>
        </w:rPr>
        <w:t xml:space="preserve">1</w:t>
      </w:r>
      <w:bookmarkEnd w:id="54"/>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采购方式</w:t>
      </w:r>
      <w:bookmarkEnd w:id="55"/>
      <w:r/>
      <w:bookmarkEnd w:id="56"/>
      <w:r/>
      <w:bookmarkEnd w:id="57"/>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8" w:name="_Toc16938521"/>
      <w:r/>
      <w:bookmarkStart w:id="59" w:name="_Toc20823277"/>
      <w:r/>
      <w:bookmarkStart w:id="60" w:name="_Toc513029205"/>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w:t>
      </w:r>
      <w:bookmarkEnd w:id="58"/>
      <w:r/>
      <w:bookmarkEnd w:id="59"/>
      <w:r/>
      <w:bookmarkEnd w:id="60"/>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61" w:name="_Toc16938522"/>
      <w:r/>
      <w:bookmarkStart w:id="62" w:name="_Toc513029206"/>
      <w:r/>
      <w:bookmarkStart w:id="63" w:name="_Toc20823278"/>
      <w:r/>
      <w:bookmarkStart w:id="64" w:name="_Toc20823279"/>
      <w:r/>
      <w:bookmarkStart w:id="65" w:name="_Toc462564067"/>
      <w:r/>
      <w:bookmarkStart w:id="66" w:name="_Toc513029207"/>
      <w:r/>
      <w:bookmarkStart w:id="67" w:name="_Toc16938523"/>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61"/>
      <w:r/>
      <w:bookmarkEnd w:id="62"/>
      <w:r/>
      <w:bookmarkEnd w:id="63"/>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w:t>
      </w:r>
      <w:r>
        <w:rPr>
          <w:rFonts w:hint="eastAsia" w:ascii="方正仿宋_GBK" w:hAnsi="方正仿宋_GBK" w:eastAsia="方正仿宋_GBK" w:cs="方正仿宋_GBK"/>
          <w:bCs/>
          <w:sz w:val="28"/>
          <w:szCs w:val="28"/>
          <w:lang w:eastAsia="zh-CN"/>
        </w:rPr>
        <w:t xml:space="preserve">磋商</w:t>
      </w:r>
      <w:r>
        <w:rPr>
          <w:rFonts w:hint="eastAsia" w:ascii="方正仿宋_GBK" w:hAnsi="方正仿宋_GBK" w:eastAsia="方正仿宋_GBK" w:cs="方正仿宋_GBK"/>
          <w:bCs/>
          <w:sz w:val="28"/>
          <w:szCs w:val="28"/>
        </w:rPr>
        <w:t xml:space="preserve">及由此产生的合同受中华人民共和国有关的法律法规制约和保护。</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磋商费用</w:t>
      </w:r>
      <w:bookmarkEnd w:id="64"/>
      <w:r/>
      <w:bookmarkEnd w:id="65"/>
      <w:r/>
      <w:bookmarkEnd w:id="66"/>
      <w:r/>
      <w:bookmarkEnd w:id="67"/>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磋商文件的约束力</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6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49"/>
      <w:r/>
      <w:bookmarkEnd w:id="50"/>
      <w:r/>
      <w:bookmarkEnd w:id="51"/>
      <w:r/>
      <w:bookmarkEnd w:id="52"/>
      <w:r/>
      <w:bookmarkStart w:id="68" w:name="_Toc120614216"/>
      <w:r/>
      <w:bookmarkStart w:id="69" w:name="_Toc20823285"/>
      <w:r/>
      <w:bookmarkStart w:id="70" w:name="_Toc16938529"/>
      <w:r/>
      <w:bookmarkStart w:id="71" w:name="_Toc513029213"/>
      <w:r/>
      <w:bookmarkStart w:id="72" w:name="_Toc462564072"/>
      <w:r>
        <w:rPr>
          <w:rFonts w:hint="eastAsia" w:ascii="方正黑体_GBK" w:hAnsi="方正黑体_GBK" w:eastAsia="方正黑体_GBK" w:cs="方正黑体_GBK"/>
          <w:b w:val="0"/>
          <w:bCs w:val="0"/>
          <w:sz w:val="28"/>
          <w:szCs w:val="28"/>
        </w:rPr>
        <w:t xml:space="preserve">二、磋商文件</w:t>
      </w:r>
      <w:r>
        <w:rPr>
          <w:rFonts w:hint="eastAsia" w:ascii="方正黑体_GBK" w:hAnsi="方正黑体_GBK" w:eastAsia="方正黑体_GBK" w:cs="方正黑体_GBK"/>
          <w:b w:val="0"/>
          <w:bCs w:val="0"/>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3" w:name="_Toc20823282"/>
      <w:r/>
      <w:bookmarkStart w:id="74" w:name="_Toc16938526"/>
      <w:r/>
      <w:bookmarkStart w:id="75" w:name="_Toc513029210"/>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磋商文件构成</w:t>
      </w:r>
      <w:bookmarkEnd w:id="73"/>
      <w:r/>
      <w:bookmarkEnd w:id="74"/>
      <w:r/>
      <w:bookmarkEnd w:id="75"/>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6" w:name="_Toc513029212"/>
      <w:r/>
      <w:bookmarkStart w:id="77" w:name="_Toc16938528"/>
      <w:r/>
      <w:bookmarkStart w:id="78" w:name="_Toc462564071"/>
      <w:r/>
      <w:bookmarkStart w:id="79" w:name="_Toc20823284"/>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磋商文件的澄清和修改</w:t>
      </w:r>
      <w:bookmarkEnd w:id="76"/>
      <w:r/>
      <w:bookmarkEnd w:id="77"/>
      <w:r/>
      <w:bookmarkEnd w:id="78"/>
      <w:r/>
      <w:bookmarkEnd w:id="79"/>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6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68"/>
      <w:r/>
      <w:bookmarkEnd w:id="69"/>
      <w:r/>
      <w:bookmarkEnd w:id="70"/>
      <w:r/>
      <w:bookmarkEnd w:id="71"/>
      <w:r/>
      <w:bookmarkEnd w:id="72"/>
      <w:r/>
      <w:bookmarkStart w:id="80" w:name="_Hlt26954739"/>
      <w:r/>
      <w:bookmarkEnd w:id="80"/>
      <w:r/>
      <w:bookmarkStart w:id="81" w:name="_Hlt26954852"/>
      <w:r/>
      <w:bookmarkEnd w:id="81"/>
      <w:r/>
      <w:bookmarkStart w:id="82" w:name="_Toc513029214"/>
      <w:r/>
      <w:bookmarkStart w:id="83" w:name="_Toc16938530"/>
      <w:r/>
      <w:bookmarkStart w:id="84" w:name="_Toc462564073"/>
      <w:r/>
      <w:bookmarkStart w:id="85" w:name="_Toc20823286"/>
      <w:r/>
      <w:bookmarkStart w:id="86" w:name="_Toc120614217"/>
      <w:r/>
      <w:bookmarkStart w:id="87" w:name="_Toc20823296"/>
      <w:r/>
      <w:bookmarkStart w:id="88" w:name="_Toc16938540"/>
      <w:r/>
      <w:bookmarkStart w:id="89" w:name="_Toc513029224"/>
      <w:r>
        <w:rPr>
          <w:rFonts w:hint="eastAsia" w:ascii="方正黑体_GBK" w:hAnsi="方正黑体_GBK" w:eastAsia="方正黑体_GBK" w:cs="方正黑体_GBK"/>
          <w:b w:val="0"/>
          <w:bCs w:val="0"/>
          <w:sz w:val="28"/>
          <w:szCs w:val="28"/>
        </w:rPr>
        <w:t xml:space="preserve">三、响应文件的编制</w:t>
      </w:r>
      <w:r>
        <w:rPr>
          <w:rFonts w:hint="eastAsia" w:ascii="方正黑体_GBK" w:hAnsi="方正黑体_GBK" w:eastAsia="方正黑体_GBK" w:cs="方正黑体_GBK"/>
          <w:b w:val="0"/>
          <w:bCs w:val="0"/>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响应文件的语言及度量衡单位</w:t>
      </w:r>
      <w:bookmarkEnd w:id="82"/>
      <w:r/>
      <w:bookmarkEnd w:id="83"/>
      <w:r/>
      <w:bookmarkEnd w:id="84"/>
      <w:r/>
      <w:bookmarkEnd w:id="85"/>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0" w:name="_Toc462564074"/>
      <w:r/>
      <w:bookmarkStart w:id="91" w:name="_Toc16938531"/>
      <w:r/>
      <w:bookmarkStart w:id="92" w:name="_Toc513029215"/>
      <w:r/>
      <w:bookmarkStart w:id="93" w:name="_Toc20823287"/>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响应文件构成</w:t>
      </w:r>
      <w:bookmarkEnd w:id="90"/>
      <w:r/>
      <w:bookmarkEnd w:id="91"/>
      <w:r/>
      <w:bookmarkEnd w:id="92"/>
      <w:r/>
      <w:bookmarkEnd w:id="93"/>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4" w:name="_Toc513029219"/>
      <w:r/>
      <w:bookmarkStart w:id="95" w:name="_Toc14577357"/>
      <w:r/>
      <w:bookmarkStart w:id="96" w:name="_Toc49090507"/>
      <w:r/>
      <w:bookmarkStart w:id="97" w:name="_Toc14577354"/>
      <w:r/>
      <w:bookmarkStart w:id="98" w:name="_Toc513029216"/>
      <w:r/>
      <w:bookmarkStart w:id="99" w:name="_Toc49090508"/>
      <w:r/>
      <w:bookmarkStart w:id="100" w:name="_Toc14577355"/>
      <w:r/>
      <w:bookmarkStart w:id="101" w:name="_Hlt26670360"/>
      <w:r/>
      <w:bookmarkEnd w:id="101"/>
      <w:r/>
      <w:bookmarkStart w:id="102" w:name="_Hlt26954838"/>
      <w:r/>
      <w:bookmarkEnd w:id="102"/>
      <w:r/>
      <w:bookmarkStart w:id="103" w:name="_Hlt26668975"/>
      <w:r/>
      <w:bookmarkEnd w:id="103"/>
      <w:r/>
      <w:bookmarkStart w:id="104" w:name="_Toc49090509"/>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证明磋商响应标的符合磋商文件规定的文件</w:t>
      </w:r>
      <w:bookmarkEnd w:id="94"/>
      <w:r/>
      <w:bookmarkEnd w:id="95"/>
      <w:r/>
      <w:bookmarkEnd w:id="104"/>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6"/>
      <w:r/>
      <w:bookmarkEnd w:id="97"/>
      <w:r/>
      <w:bookmarkEnd w:id="98"/>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9"/>
      <w:r/>
      <w:bookmarkEnd w:id="100"/>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分项报价表</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5" w:name="_Hlt26670482"/>
      <w:r/>
      <w:bookmarkEnd w:id="105"/>
      <w:r/>
      <w:bookmarkStart w:id="106" w:name="_Hlt26670486"/>
      <w:r/>
      <w:bookmarkEnd w:id="106"/>
      <w:r/>
      <w:bookmarkStart w:id="107" w:name="_Hlt26954846"/>
      <w:r/>
      <w:bookmarkEnd w:id="107"/>
      <w:r/>
      <w:bookmarkStart w:id="108" w:name="_Hlt26954731"/>
      <w:r/>
      <w:bookmarkEnd w:id="108"/>
      <w:r/>
      <w:bookmarkStart w:id="109" w:name="_Hlt26954848"/>
      <w:r/>
      <w:bookmarkEnd w:id="109"/>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0" w:name="_Toc14577359"/>
      <w:r/>
      <w:bookmarkStart w:id="111" w:name="_Toc49090510"/>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磋商响应函</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10"/>
      <w:r/>
      <w:bookmarkEnd w:id="111"/>
      <w:r/>
      <w:bookmarkStart w:id="112" w:name="_Toc14577360"/>
      <w:r/>
      <w:bookmarkStart w:id="113" w:name="_Toc49090511"/>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w:t>
      </w:r>
      <w:bookmarkEnd w:id="112"/>
      <w:r/>
      <w:bookmarkEnd w:id="113"/>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磋商有效期的延长</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6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86"/>
      <w:r/>
      <w:bookmarkEnd w:id="87"/>
      <w:r/>
      <w:bookmarkEnd w:id="88"/>
      <w:r/>
      <w:bookmarkEnd w:id="89"/>
      <w:r/>
      <w:bookmarkStart w:id="114" w:name="_Toc513029229"/>
      <w:r/>
      <w:bookmarkStart w:id="115" w:name="_Toc120614218"/>
      <w:r/>
      <w:bookmarkStart w:id="116" w:name="_Toc20823301"/>
      <w:r/>
      <w:bookmarkStart w:id="117" w:name="_Toc16938545"/>
      <w:r>
        <w:rPr>
          <w:rFonts w:hint="eastAsia" w:ascii="方正黑体_GBK" w:hAnsi="方正黑体_GBK" w:eastAsia="方正黑体_GBK" w:cs="方正黑体_GBK"/>
          <w:b w:val="0"/>
          <w:bCs w:val="0"/>
          <w:sz w:val="28"/>
          <w:szCs w:val="28"/>
        </w:rPr>
        <w:t xml:space="preserve">四、响应文件的递交</w:t>
      </w:r>
      <w:r>
        <w:rPr>
          <w:rFonts w:hint="eastAsia" w:ascii="方正黑体_GBK" w:hAnsi="方正黑体_GBK" w:eastAsia="方正黑体_GBK" w:cs="方正黑体_GBK"/>
          <w:b w:val="0"/>
          <w:bCs w:val="0"/>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8" w:name="_Toc462564084"/>
      <w:r/>
      <w:bookmarkStart w:id="119" w:name="_Toc16938541"/>
      <w:r/>
      <w:bookmarkStart w:id="120" w:name="_Toc513029225"/>
      <w:r/>
      <w:bookmarkStart w:id="121" w:name="_Toc20823297"/>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电子磋商</w:t>
      </w:r>
      <w:bookmarkEnd w:id="118"/>
      <w:r/>
      <w:bookmarkEnd w:id="119"/>
      <w:r/>
      <w:bookmarkEnd w:id="120"/>
      <w:r/>
      <w:bookmarkEnd w:id="121"/>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2" w:name="_Toc20823298"/>
      <w:r/>
      <w:bookmarkStart w:id="123" w:name="_Toc513029226"/>
      <w:r/>
      <w:bookmarkStart w:id="124" w:name="_Toc16938542"/>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提交响应文件截止时间</w:t>
      </w:r>
      <w:bookmarkEnd w:id="122"/>
      <w:r/>
      <w:bookmarkEnd w:id="123"/>
      <w:r/>
      <w:bookmarkEnd w:id="124"/>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5" w:name="_Toc20823299"/>
      <w:r/>
      <w:bookmarkStart w:id="126" w:name="_Toc513029227"/>
      <w:r/>
      <w:bookmarkStart w:id="127" w:name="_Toc16938543"/>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w:t>
      </w:r>
      <w:bookmarkEnd w:id="125"/>
      <w:r/>
      <w:bookmarkEnd w:id="126"/>
      <w:r/>
      <w:bookmarkEnd w:id="127"/>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8" w:name="_Toc16938544"/>
      <w:r/>
      <w:bookmarkStart w:id="129" w:name="_Toc513029228"/>
      <w:r/>
      <w:bookmarkStart w:id="130" w:name="_Toc20823300"/>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响应文件的撤回和修改</w:t>
      </w:r>
      <w:bookmarkEnd w:id="128"/>
      <w:r/>
      <w:bookmarkEnd w:id="129"/>
      <w:r/>
      <w:bookmarkEnd w:id="130"/>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6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五、响应文件的解密与评审</w:t>
      </w:r>
      <w:bookmarkEnd w:id="114"/>
      <w:r/>
      <w:bookmarkEnd w:id="115"/>
      <w:r/>
      <w:bookmarkEnd w:id="116"/>
      <w:r/>
      <w:bookmarkEnd w:id="117"/>
      <w:r>
        <w:rPr>
          <w:rFonts w:hint="eastAsia" w:ascii="方正黑体_GBK" w:hAnsi="方正黑体_GBK" w:eastAsia="方正黑体_GBK" w:cs="方正黑体_GBK"/>
          <w:b w:val="0"/>
          <w:bCs w:val="0"/>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1" w:name="_Toc16938546"/>
      <w:r/>
      <w:bookmarkStart w:id="132" w:name="_Toc513029230"/>
      <w:r/>
      <w:bookmarkStart w:id="133" w:name="_Toc20823302"/>
      <w:r/>
      <w:bookmarkStart w:id="134" w:name="_Toc513029232"/>
      <w:r/>
      <w:bookmarkStart w:id="135" w:name="_Toc16938548"/>
      <w:r/>
      <w:bookmarkStart w:id="136" w:name="_Toc20823304"/>
      <w:r>
        <w:rPr>
          <w:rFonts w:hint="eastAsia" w:ascii="方正仿宋_GBK" w:hAnsi="方正仿宋_GBK" w:eastAsia="方正仿宋_GBK" w:cs="方正仿宋_GBK"/>
          <w:bCs/>
          <w:sz w:val="28"/>
          <w:szCs w:val="28"/>
        </w:rPr>
        <w:t xml:space="preserve">21</w:t>
      </w:r>
      <w:bookmarkEnd w:id="131"/>
      <w:r/>
      <w:bookmarkEnd w:id="132"/>
      <w:r/>
      <w:bookmarkEnd w:id="133"/>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7" w:name="_Toc513029231"/>
      <w:r/>
      <w:bookmarkStart w:id="138" w:name="_Toc16938547"/>
      <w:r/>
      <w:bookmarkStart w:id="139" w:name="_Toc20823303"/>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磋商小组</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评审过程的保密与公正</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7"/>
      <w:r/>
      <w:bookmarkEnd w:id="138"/>
      <w:r/>
      <w:bookmarkEnd w:id="139"/>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4"/>
      <w:r/>
      <w:bookmarkEnd w:id="135"/>
      <w:r/>
      <w:bookmarkEnd w:id="136"/>
      <w:r/>
      <w:bookmarkStart w:id="140" w:name="_Toc20823305"/>
      <w:r/>
      <w:bookmarkStart w:id="141" w:name="_Toc513029233"/>
      <w:r/>
      <w:bookmarkStart w:id="142" w:name="_Toc16938549"/>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评审过程中的的澄清</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694"/>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对响应文件的审</w:t>
      </w:r>
      <w:bookmarkEnd w:id="140"/>
      <w:r/>
      <w:bookmarkEnd w:id="141"/>
      <w:r/>
      <w:bookmarkEnd w:id="142"/>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w:t>
      </w:r>
      <w:r>
        <w:rPr>
          <w:rFonts w:hint="eastAsia" w:ascii="方正仿宋_GBK" w:hAnsi="方正仿宋_GBK" w:eastAsia="方正仿宋_GBK" w:cs="方正仿宋_GBK"/>
          <w:b/>
          <w:bCs/>
          <w:sz w:val="28"/>
          <w:szCs w:val="28"/>
          <w:lang w:eastAsia="zh-CN"/>
        </w:rPr>
        <w:t xml:space="preserve">加*号条款</w:t>
      </w:r>
      <w:r>
        <w:rPr>
          <w:rFonts w:hint="eastAsia" w:ascii="方正仿宋_GBK" w:hAnsi="方正仿宋_GBK" w:eastAsia="方正仿宋_GBK" w:cs="方正仿宋_GBK"/>
          <w:b/>
          <w:bCs/>
          <w:sz w:val="28"/>
          <w:szCs w:val="28"/>
        </w:rPr>
        <w:t xml:space="preserve">为实质性要求）。</w:t>
      </w:r>
      <w:r>
        <w:rPr>
          <w:rFonts w:hint="eastAsia" w:ascii="方正仿宋_GBK" w:hAnsi="方正仿宋_GBK" w:eastAsia="方正仿宋_GBK" w:cs="方正仿宋_GBK"/>
          <w:bCs/>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val="en-US" w:eastAsia="zh-CN"/>
        </w:rPr>
        <w:t xml:space="preserve">25.3.10 </w:t>
      </w:r>
      <w:r>
        <w:rPr>
          <w:rFonts w:hint="eastAsia" w:ascii="方正仿宋_GBK" w:hAnsi="方正仿宋_GBK" w:eastAsia="方正仿宋_GBK" w:cs="方正仿宋_GBK"/>
          <w:bCs/>
          <w:sz w:val="28"/>
          <w:szCs w:val="28"/>
          <w:lang w:eastAsia="zh-CN"/>
        </w:rPr>
        <w:t xml:space="preserve">供应商所提供的服务不符合磋商文件中所列国家强制性标准的。</w:t>
      </w:r>
      <w:r>
        <w:rPr>
          <w:rFonts w:hint="eastAsia" w:ascii="方正仿宋_GBK" w:hAnsi="方正仿宋_GBK" w:eastAsia="方正仿宋_GBK" w:cs="方正仿宋_GBK"/>
          <w:bCs/>
          <w:sz w:val="28"/>
          <w:szCs w:val="28"/>
          <w:lang w:eastAsia="zh-CN"/>
        </w:rPr>
      </w:r>
      <w:r/>
    </w:p>
    <w:p>
      <w:pPr>
        <w:pStyle w:val="694"/>
        <w:ind w:firstLine="442"/>
        <w:keepLines w:val="0"/>
        <w:keepNext w:val="0"/>
        <w:pageBreakBefore w:val="0"/>
        <w:spacing w:line="520" w:lineRule="exact"/>
        <w:widowControl w:val="off"/>
        <w:rPr>
          <w:rFonts w:hint="eastAsia" w:ascii="方正仿宋_GBK" w:hAnsi="方正仿宋_GBK" w:eastAsia="方正仿宋_GBK" w:cs="方正仿宋_GBK"/>
          <w:b/>
          <w:bCs w:val="0"/>
          <w:sz w:val="44"/>
          <w:szCs w:val="44"/>
          <w:lang w:val="en-US" w:eastAsia="zh-CN"/>
        </w:rPr>
      </w:pPr>
      <w:r>
        <w:rPr>
          <w:rFonts w:hint="eastAsia" w:ascii="方正仿宋_GBK" w:hAnsi="方正仿宋_GBK" w:eastAsia="方正仿宋_GBK" w:cs="方正仿宋_GBK"/>
          <w:b/>
          <w:bCs w:val="0"/>
          <w:sz w:val="44"/>
          <w:szCs w:val="44"/>
          <w:lang w:val="en-US" w:eastAsia="zh-CN"/>
        </w:rPr>
        <w:t xml:space="preserve">25.3.11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rPr>
          <w:rFonts w:hint="eastAsia" w:ascii="方正仿宋_GBK" w:hAnsi="方正仿宋_GBK" w:eastAsia="方正仿宋_GBK" w:cs="方正仿宋_GBK"/>
          <w:b/>
          <w:bCs w:val="0"/>
          <w:sz w:val="44"/>
          <w:szCs w:val="44"/>
          <w:lang w:val="en-US" w:eastAsia="zh-CN"/>
        </w:rPr>
      </w:r>
      <w:r/>
    </w:p>
    <w:p>
      <w:pPr>
        <w:pStyle w:val="6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w:t>
      </w:r>
      <w:r>
        <w:rPr>
          <w:rFonts w:hint="eastAsia" w:ascii="方正仿宋_GBK" w:hAnsi="方正仿宋_GBK" w:eastAsia="方正仿宋_GBK" w:cs="方正仿宋_GBK"/>
          <w:bCs/>
          <w:sz w:val="28"/>
          <w:szCs w:val="28"/>
          <w:lang w:eastAsia="zh-CN"/>
        </w:rPr>
        <w:t xml:space="preserve">符</w:t>
      </w:r>
      <w:r>
        <w:rPr>
          <w:rFonts w:hint="eastAsia" w:ascii="方正仿宋_GBK" w:hAnsi="方正仿宋_GBK" w:eastAsia="方正仿宋_GBK" w:cs="方正仿宋_GBK"/>
          <w:bCs/>
          <w:sz w:val="28"/>
          <w:szCs w:val="28"/>
        </w:rPr>
        <w:t xml:space="preserve">合要求的偏离或保留而使其成为实质性响应的文件。</w:t>
      </w:r>
      <w:r>
        <w:rPr>
          <w:rFonts w:hint="eastAsia" w:ascii="方正仿宋_GBK" w:hAnsi="方正仿宋_GBK" w:eastAsia="方正仿宋_GBK" w:cs="方正仿宋_GBK"/>
          <w:bCs/>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sz w:val="28"/>
          <w:szCs w:val="28"/>
        </w:rPr>
      </w:pPr>
      <w:r/>
      <w:bookmarkStart w:id="143" w:name="_Toc513029234"/>
      <w:r/>
      <w:bookmarkStart w:id="144" w:name="_Toc16938550"/>
      <w:r/>
      <w:bookmarkStart w:id="145" w:name="_Toc20823306"/>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694"/>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3"/>
      <w:r/>
      <w:bookmarkEnd w:id="144"/>
      <w:r/>
      <w:bookmarkEnd w:id="145"/>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磋商程序及评审方法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rPr>
          <w:rFonts w:hint="eastAsia" w:ascii="方正仿宋_GBK" w:hAnsi="方正仿宋_GBK" w:eastAsia="方正仿宋_GBK" w:cs="方正仿宋_GBK"/>
          <w:sz w:val="28"/>
          <w:szCs w:val="28"/>
        </w:rPr>
      </w:r>
      <w:r/>
    </w:p>
    <w:p>
      <w:pPr>
        <w:pStyle w:val="6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6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6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6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6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6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6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6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bookmarkStart w:id="146" w:name="OLE_LINK1"/>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w:t>
      </w:r>
      <w:r>
        <w:rPr>
          <w:rFonts w:hint="eastAsia" w:ascii="方正仿宋_GBK" w:hAnsi="方正仿宋_GBK" w:eastAsia="方正仿宋_GBK" w:cs="方正仿宋_GBK"/>
          <w:sz w:val="28"/>
          <w:szCs w:val="28"/>
        </w:rPr>
        <w:t xml:space="preserve"> 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w:t>
      </w:r>
      <w:r>
        <w:rPr>
          <w:rFonts w:hint="eastAsia" w:ascii="方正仿宋_GBK" w:hAnsi="方正仿宋_GBK" w:eastAsia="方正仿宋_GBK" w:cs="方正仿宋_GBK"/>
          <w:sz w:val="28"/>
          <w:szCs w:val="28"/>
        </w:rPr>
      </w:r>
      <w:r/>
    </w:p>
    <w:p>
      <w:pPr>
        <w:pStyle w:val="6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1.4.1</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eastAsia="zh-CN"/>
        </w:rPr>
        <w:t xml:space="preserve">评审</w:t>
      </w:r>
      <w:r>
        <w:rPr>
          <w:rFonts w:hint="eastAsia" w:ascii="方正仿宋_GBK" w:hAnsi="方正仿宋_GBK" w:eastAsia="方正仿宋_GBK" w:cs="方正仿宋_GBK"/>
          <w:sz w:val="28"/>
          <w:szCs w:val="28"/>
        </w:rPr>
        <w:t xml:space="preserve">过程中出现下列情形之一的，</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应当启动异常低价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审查程序：</w:t>
      </w:r>
      <w:r>
        <w:rPr>
          <w:rFonts w:hint="eastAsia" w:ascii="方正仿宋_GBK" w:hAnsi="方正仿宋_GBK" w:eastAsia="方正仿宋_GBK" w:cs="方正仿宋_GBK"/>
          <w:sz w:val="28"/>
          <w:szCs w:val="28"/>
        </w:rPr>
      </w:r>
      <w:r/>
    </w:p>
    <w:p>
      <w:pPr>
        <w:pStyle w:val="6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报价低于全部通过符合性审查供应商</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报价平均值</w:t>
      </w:r>
      <w:r>
        <w:rPr>
          <w:rFonts w:hint="eastAsia" w:ascii="方正仿宋_GBK" w:hAnsi="方正仿宋_GBK" w:eastAsia="方正仿宋_GBK" w:cs="方正仿宋_GBK"/>
          <w:sz w:val="28"/>
          <w:szCs w:val="28"/>
          <w:lang w:val="en-US" w:eastAsia="zh-CN"/>
        </w:rPr>
        <w:t xml:space="preserve">55</w:t>
      </w:r>
      <w:r>
        <w:rPr>
          <w:rFonts w:hint="eastAsia" w:ascii="方正仿宋_GBK" w:hAnsi="方正仿宋_GBK" w:eastAsia="方正仿宋_GBK" w:cs="方正仿宋_GBK"/>
          <w:sz w:val="28"/>
          <w:szCs w:val="28"/>
        </w:rPr>
        <w:t xml:space="preserve">%的，即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&lt;全部通过符合性审查供应商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平均值×</w:t>
      </w:r>
      <w:r>
        <w:rPr>
          <w:rFonts w:hint="eastAsia" w:ascii="方正仿宋_GBK" w:hAnsi="方正仿宋_GBK" w:eastAsia="方正仿宋_GBK" w:cs="方正仿宋_GBK"/>
          <w:sz w:val="28"/>
          <w:szCs w:val="28"/>
          <w:lang w:val="en-US" w:eastAsia="zh-CN"/>
        </w:rPr>
        <w:t xml:space="preserve">55</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低于通过符合性审查的次低报价供应商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lang w:val="en-US" w:eastAsia="zh-CN"/>
        </w:rPr>
        <w:t xml:space="preserve">55</w:t>
      </w:r>
      <w:r>
        <w:rPr>
          <w:rFonts w:hint="eastAsia" w:ascii="方正仿宋_GBK" w:hAnsi="方正仿宋_GBK" w:eastAsia="方正仿宋_GBK" w:cs="方正仿宋_GBK"/>
          <w:sz w:val="28"/>
          <w:szCs w:val="28"/>
        </w:rPr>
        <w:t xml:space="preserve">%的，即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55</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eastAsia="zh-CN"/>
        </w:rPr>
        <w:t xml:space="preserve">）响应报价低于采购项目最高限价</w:t>
      </w:r>
      <w:r>
        <w:rPr>
          <w:rFonts w:hint="eastAsia" w:ascii="方正仿宋_GBK" w:hAnsi="方正仿宋_GBK" w:eastAsia="方正仿宋_GBK" w:cs="方正仿宋_GBK"/>
          <w:sz w:val="28"/>
          <w:szCs w:val="28"/>
          <w:lang w:val="en-US" w:eastAsia="zh-CN"/>
        </w:rPr>
        <w:t xml:space="preserve">55</w:t>
      </w:r>
      <w:r>
        <w:rPr>
          <w:rFonts w:hint="eastAsia" w:ascii="方正仿宋_GBK" w:hAnsi="方正仿宋_GBK" w:eastAsia="方正仿宋_GBK" w:cs="方正仿宋_GBK"/>
          <w:sz w:val="28"/>
          <w:szCs w:val="28"/>
          <w:lang w:eastAsia="zh-CN"/>
        </w:rPr>
        <w:t xml:space="preserve">%的，即响应报价&lt;采购项目最高限价×</w:t>
      </w:r>
      <w:r>
        <w:rPr>
          <w:rFonts w:hint="eastAsia" w:ascii="方正仿宋_GBK" w:hAnsi="方正仿宋_GBK" w:eastAsia="方正仿宋_GBK" w:cs="方正仿宋_GBK"/>
          <w:sz w:val="28"/>
          <w:szCs w:val="28"/>
          <w:lang w:val="en-US" w:eastAsia="zh-CN"/>
        </w:rPr>
        <w:t xml:space="preserve">55</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eastAsia="zh-CN"/>
        </w:rPr>
      </w:r>
      <w:r/>
    </w:p>
    <w:p>
      <w:pPr>
        <w:pStyle w:val="6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6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bookmarkEnd w:id="146"/>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1.4.2</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lang w:val="en-US" w:eastAsia="zh-CN"/>
        </w:rPr>
      </w:r>
      <w:r/>
    </w:p>
    <w:p>
      <w:pPr>
        <w:pStyle w:val="6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lang w:val="en-US" w:eastAsia="zh-CN"/>
        </w:rPr>
      </w:r>
      <w:r/>
    </w:p>
    <w:p>
      <w:pPr>
        <w:pStyle w:val="6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rPr>
          <w:rFonts w:hint="eastAsia" w:ascii="方正仿宋_GBK" w:hAnsi="方正仿宋_GBK" w:eastAsia="方正仿宋_GBK" w:cs="方正仿宋_GBK"/>
          <w:sz w:val="28"/>
          <w:szCs w:val="28"/>
        </w:rPr>
      </w:r>
      <w:r/>
    </w:p>
    <w:p>
      <w:pPr>
        <w:pStyle w:val="6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6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6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6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6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6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6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6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6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6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6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147" w:name="_Toc120614219"/>
      <w:r/>
      <w:bookmarkStart w:id="148" w:name="_Toc16938551"/>
      <w:r/>
      <w:bookmarkStart w:id="149" w:name="_Toc513029235"/>
      <w:r/>
      <w:bookmarkStart w:id="150" w:name="_Toc20823307"/>
      <w:r>
        <w:rPr>
          <w:rFonts w:hint="eastAsia" w:ascii="方正黑体_GBK" w:hAnsi="方正黑体_GBK" w:eastAsia="方正黑体_GBK" w:cs="方正黑体_GBK"/>
          <w:b w:val="0"/>
          <w:bCs w:val="0"/>
          <w:sz w:val="28"/>
          <w:szCs w:val="28"/>
        </w:rPr>
        <w:t xml:space="preserve">六、</w:t>
      </w:r>
      <w:bookmarkEnd w:id="147"/>
      <w:r/>
      <w:bookmarkEnd w:id="148"/>
      <w:r/>
      <w:bookmarkEnd w:id="149"/>
      <w:r/>
      <w:bookmarkEnd w:id="150"/>
      <w:r>
        <w:rPr>
          <w:rFonts w:hint="eastAsia" w:ascii="方正黑体_GBK" w:hAnsi="方正黑体_GBK" w:eastAsia="方正黑体_GBK" w:cs="方正黑体_GBK"/>
          <w:b w:val="0"/>
          <w:bCs w:val="0"/>
          <w:sz w:val="28"/>
          <w:szCs w:val="28"/>
        </w:rPr>
        <w:t xml:space="preserve">成交</w:t>
      </w:r>
      <w:r>
        <w:rPr>
          <w:rFonts w:hint="eastAsia" w:ascii="方正黑体_GBK" w:hAnsi="方正黑体_GBK" w:eastAsia="方正黑体_GBK" w:cs="方正黑体_GBK"/>
          <w:b w:val="0"/>
          <w:bCs w:val="0"/>
          <w:sz w:val="28"/>
          <w:szCs w:val="28"/>
        </w:rPr>
      </w:r>
      <w:r/>
    </w:p>
    <w:p>
      <w:pPr>
        <w:pStyle w:val="6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bookmarkStart w:id="151" w:name="_Toc513029238"/>
      <w:r/>
      <w:bookmarkStart w:id="152" w:name="_Toc20823310"/>
      <w:r/>
      <w:bookmarkStart w:id="153" w:name="_Toc16938554"/>
      <w:r>
        <w:rPr>
          <w:rFonts w:hint="eastAsia" w:ascii="方正仿宋_GBK" w:hAnsi="方正仿宋_GBK" w:eastAsia="方正仿宋_GBK" w:cs="方正仿宋_GBK"/>
          <w:sz w:val="28"/>
          <w:szCs w:val="28"/>
        </w:rPr>
        <w:t xml:space="preserve">27</w:t>
      </w:r>
      <w:bookmarkEnd w:id="151"/>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确定</w:t>
      </w:r>
      <w:bookmarkEnd w:id="152"/>
      <w:r/>
      <w:bookmarkEnd w:id="153"/>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694"/>
        <w:ind w:firstLine="560"/>
        <w:keepLines w:val="0"/>
        <w:keepNext w:val="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694"/>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bookmarkStart w:id="154" w:name="_Toc200451960"/>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质疑处理</w:t>
      </w:r>
      <w:bookmarkEnd w:id="154"/>
      <w:r>
        <w:rPr>
          <w:rFonts w:hint="eastAsia" w:ascii="方正仿宋_GBK" w:hAnsi="方正仿宋_GBK" w:eastAsia="方正仿宋_GBK" w:cs="方正仿宋_GBK"/>
          <w:bCs/>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文件第一章。</w:t>
      </w:r>
      <w:r>
        <w:rPr>
          <w:rFonts w:hint="eastAsia" w:ascii="方正仿宋_GBK" w:hAnsi="方正仿宋_GBK" w:eastAsia="方正仿宋_GBK" w:cs="方正仿宋_GBK"/>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69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55" w:name="_Toc120614220"/>
      <w:r/>
      <w:bookmarkStart w:id="156" w:name="_Toc20823308"/>
      <w:r/>
      <w:bookmarkStart w:id="157" w:name="_Toc16938552"/>
      <w:r/>
      <w:bookmarkStart w:id="158" w:name="_Toc513029236"/>
      <w:r>
        <w:rPr>
          <w:rFonts w:hint="eastAsia" w:ascii="方正仿宋_GBK" w:hAnsi="方正仿宋_GBK" w:eastAsia="方正仿宋_GBK" w:cs="方正仿宋_GBK"/>
          <w:bCs/>
          <w:sz w:val="28"/>
          <w:szCs w:val="28"/>
        </w:rPr>
        <w:t xml:space="preserve">29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成交通知书</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6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155"/>
      <w:r/>
      <w:bookmarkEnd w:id="156"/>
      <w:r/>
      <w:bookmarkEnd w:id="157"/>
      <w:r/>
      <w:bookmarkEnd w:id="158"/>
      <w:r/>
      <w:bookmarkStart w:id="159" w:name="_Toc513029242"/>
      <w:r/>
      <w:bookmarkStart w:id="160" w:name="_Toc16938558"/>
      <w:r/>
      <w:bookmarkStart w:id="161" w:name="_Toc20823314"/>
      <w:r/>
      <w:bookmarkStart w:id="162" w:name="_Toc479757207"/>
      <w:r/>
      <w:bookmarkStart w:id="163" w:name="_Toc120614221"/>
      <w:r>
        <w:rPr>
          <w:rFonts w:hint="eastAsia" w:ascii="方正黑体_GBK" w:hAnsi="方正黑体_GBK" w:eastAsia="方正黑体_GBK" w:cs="方正黑体_GBK"/>
          <w:b w:val="0"/>
          <w:bCs w:val="0"/>
          <w:sz w:val="28"/>
          <w:szCs w:val="28"/>
        </w:rPr>
        <w:t xml:space="preserve">七、授予合同</w:t>
      </w:r>
      <w:r>
        <w:rPr>
          <w:rFonts w:hint="eastAsia" w:ascii="方正黑体_GBK" w:hAnsi="方正黑体_GBK" w:eastAsia="方正黑体_GBK" w:cs="方正黑体_GBK"/>
          <w:b w:val="0"/>
          <w:bCs w:val="0"/>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64" w:name="_Toc20823309"/>
      <w:r/>
      <w:bookmarkStart w:id="165" w:name="_Toc16938553"/>
      <w:r/>
      <w:bookmarkStart w:id="166" w:name="_Toc513029237"/>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标的物的追加</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64"/>
      <w:r/>
      <w:bookmarkEnd w:id="165"/>
      <w:r/>
      <w:bookmarkEnd w:id="166"/>
      <w:r>
        <w:rPr>
          <w:rFonts w:hint="eastAsia" w:ascii="方正仿宋_GBK" w:hAnsi="方正仿宋_GBK" w:eastAsia="方正仿宋_GBK" w:cs="方正仿宋_GBK"/>
          <w:bCs/>
          <w:sz w:val="28"/>
          <w:szCs w:val="28"/>
        </w:rPr>
        <w:t xml:space="preserve">32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政府采购履约资金扶持政策</w:t>
      </w:r>
      <w:r>
        <w:rPr>
          <w:rFonts w:hint="eastAsia" w:ascii="方正仿宋_GBK" w:hAnsi="方正仿宋_GBK" w:eastAsia="方正仿宋_GBK" w:cs="方正仿宋_GBK"/>
          <w:bCs/>
          <w:sz w:val="28"/>
          <w:szCs w:val="28"/>
        </w:rPr>
      </w:r>
      <w:r/>
    </w:p>
    <w:p>
      <w:pPr>
        <w:pStyle w:val="6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745"/>
        <w:tabs>
          <w:tab w:val="right" w:pos="8720" w:leader="dot"/>
        </w:tabs>
        <w:rPr>
          <w:rFonts w:hint="eastAsia"/>
        </w:rPr>
      </w:pPr>
      <w:r>
        <w:rPr>
          <w:rFonts w:hint="eastAsia"/>
        </w:rPr>
      </w:r>
      <w:r/>
    </w:p>
    <w:p>
      <w:pPr>
        <w:pStyle w:val="694"/>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r>
      <w:r/>
    </w:p>
    <w:p>
      <w:pPr>
        <w:pStyle w:val="694"/>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59"/>
      <w:r/>
      <w:bookmarkEnd w:id="160"/>
      <w:r/>
      <w:bookmarkEnd w:id="161"/>
      <w:r/>
      <w:bookmarkEnd w:id="162"/>
      <w:r/>
      <w:bookmarkEnd w:id="163"/>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694"/>
        <w:spacing w:line="400" w:lineRule="exact"/>
        <w:rPr>
          <w:rFonts w:ascii="宋体" w:hAnsi="宋体"/>
          <w:bCs/>
          <w:color w:val="000000"/>
          <w:sz w:val="28"/>
          <w:szCs w:val="28"/>
          <w:highlight w:val="yellow"/>
        </w:rPr>
      </w:pPr>
      <w:r/>
      <w:bookmarkStart w:id="167" w:name="_Toc20823315"/>
      <w:r/>
      <w:bookmarkStart w:id="168" w:name="_Toc513029243"/>
      <w:r/>
      <w:bookmarkStart w:id="169" w:name="_Toc16938559"/>
      <w:r>
        <w:rPr>
          <w:rFonts w:ascii="宋体" w:hAnsi="宋体"/>
          <w:bCs/>
          <w:color w:val="000000"/>
          <w:sz w:val="28"/>
          <w:szCs w:val="28"/>
          <w:highlight w:val="yellow"/>
        </w:rPr>
      </w:r>
      <w:r/>
    </w:p>
    <w:p>
      <w:pPr>
        <w:pStyle w:val="694"/>
        <w:jc w:val="center"/>
        <w:spacing w:before="156" w:after="156"/>
        <w:rPr>
          <w:rFonts w:hint="eastAsia" w:ascii="宋体" w:hAnsi="宋体"/>
          <w:b/>
          <w:sz w:val="30"/>
          <w:szCs w:val="21"/>
        </w:rPr>
        <w:outlineLvl w:val="0"/>
      </w:pPr>
      <w:r>
        <w:rPr>
          <w:rFonts w:hint="eastAsia" w:ascii="宋体" w:hAnsi="宋体"/>
          <w:b/>
          <w:sz w:val="30"/>
          <w:szCs w:val="21"/>
        </w:rPr>
      </w:r>
      <w:r/>
    </w:p>
    <w:p>
      <w:pPr>
        <w:pStyle w:val="706"/>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w:t>
      </w:r>
      <w:r>
        <w:rPr>
          <w:rFonts w:hint="eastAsia" w:ascii="方正黑体_GBK" w:hAnsi="方正黑体_GBK" w:eastAsia="方正黑体_GBK" w:cs="方正黑体_GBK"/>
          <w:b w:val="0"/>
          <w:bCs w:val="0"/>
          <w:spacing w:val="-20"/>
          <w:sz w:val="28"/>
          <w:szCs w:val="28"/>
          <w:lang w:val="en-US" w:eastAsia="zh-CN"/>
        </w:rPr>
        <w:t xml:space="preserve">（服务）</w:t>
      </w:r>
      <w:r>
        <w:rPr>
          <w:rFonts w:hint="eastAsia" w:ascii="方正黑体_GBK" w:hAnsi="方正黑体_GBK" w:eastAsia="方正黑体_GBK" w:cs="方正黑体_GBK"/>
          <w:b w:val="0"/>
          <w:bCs w:val="0"/>
          <w:spacing w:val="-20"/>
          <w:sz w:val="28"/>
          <w:szCs w:val="28"/>
        </w:rPr>
        <w:t xml:space="preserve">（合同编号）</w:t>
      </w:r>
      <w:r>
        <w:rPr>
          <w:rFonts w:hint="eastAsia" w:ascii="方正黑体_GBK" w:hAnsi="方正黑体_GBK" w:eastAsia="方正黑体_GBK" w:cs="方正黑体_GBK"/>
          <w:b w:val="0"/>
          <w:bCs w:val="0"/>
          <w:spacing w:val="-20"/>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ascii="Times New Roman" w:hAnsi="Times New Roman" w:eastAsia="方正仿宋_GBK" w:cs="Times New Roman"/>
          <w:sz w:val="28"/>
          <w:szCs w:val="28"/>
          <w:lang w:eastAsia="zh-CN"/>
        </w:rPr>
        <w:t xml:space="preserve">XXXX</w:t>
      </w:r>
      <w:r>
        <w:rPr>
          <w:rFonts w:ascii="Times New Roman" w:hAnsi="Times New Roman" w:eastAsia="方正仿宋_GBK" w:cs="Times New Roman"/>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lang w:eastAsia="zh-CN"/>
        </w:rPr>
        <w:t xml:space="preserve">JSZC-320000-</w:t>
      </w:r>
      <w:r>
        <w:rPr>
          <w:rFonts w:hint="eastAsia" w:ascii="Times New Roman" w:hAnsi="Times New Roman" w:eastAsia="方正仿宋_GBK" w:cs="Times New Roman"/>
          <w:sz w:val="28"/>
          <w:szCs w:val="28"/>
          <w:lang w:val="en-US" w:eastAsia="zh-CN"/>
        </w:rPr>
        <w:t xml:space="preserve">SCZX-C20XX-XXXX</w:t>
      </w:r>
      <w:r>
        <w:rPr>
          <w:rFonts w:hint="eastAsia" w:ascii="Times New Roman" w:hAnsi="Times New Roman" w:eastAsia="方正仿宋_GBK" w:cs="Times New Roman"/>
          <w:sz w:val="28"/>
          <w:szCs w:val="28"/>
          <w:lang w:eastAsia="zh-CN"/>
        </w:rPr>
        <w:t xml:space="preserve">  </w:t>
      </w:r>
      <w:r>
        <w:rPr>
          <w:rFonts w:hint="eastAsia" w:ascii="方正仿宋_GBK" w:hAnsi="方正仿宋_GBK" w:eastAsia="方正仿宋_GBK" w:cs="方正仿宋_GBK"/>
          <w:sz w:val="28"/>
          <w:szCs w:val="28"/>
          <w:lang w:val="en-US" w:eastAsia="zh-CN"/>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lang w:val="en-US" w:eastAsia="zh-CN"/>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hint="eastAsia" w:ascii="方正仿宋_GBK" w:hAnsi="方正仿宋_GBK" w:eastAsia="方正仿宋_GBK" w:cs="方正仿宋_GBK"/>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的结果，签署本合同。</w:t>
      </w:r>
      <w:r>
        <w:rPr>
          <w:rFonts w:hint="eastAsia" w:ascii="方正仿宋_GBK" w:hAnsi="方正仿宋_GBK" w:eastAsia="方正仿宋_GBK" w:cs="方正仿宋_GBK"/>
          <w:b/>
          <w:sz w:val="28"/>
          <w:szCs w:val="28"/>
        </w:rPr>
      </w:r>
      <w:r/>
    </w:p>
    <w:p>
      <w:pPr>
        <w:pStyle w:val="7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rPr>
          <w:rFonts w:hint="eastAsia" w:ascii="方正仿宋_GBK" w:hAnsi="方正仿宋_GBK" w:eastAsia="方正仿宋_GBK" w:cs="方正仿宋_GBK"/>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7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694"/>
        <w:ind w:left="0"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本合同金额为（大写）：______圆（_____元）人民币或其他币种。</w:t>
      </w:r>
      <w:r>
        <w:rPr>
          <w:rFonts w:hint="eastAsia" w:ascii="方正仿宋_GBK" w:hAnsi="方正仿宋_GBK" w:eastAsia="方正仿宋_GBK" w:cs="方正仿宋_GBK"/>
          <w:sz w:val="28"/>
          <w:szCs w:val="28"/>
        </w:rPr>
      </w:r>
      <w:r/>
    </w:p>
    <w:p>
      <w:pPr>
        <w:pStyle w:val="7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w:t>
      </w:r>
      <w:r>
        <w:rPr>
          <w:rFonts w:hint="eastAsia" w:ascii="方正仿宋_GBK" w:hAnsi="方正仿宋_GBK" w:eastAsia="方正仿宋_GBK" w:cs="方正仿宋_GBK"/>
          <w:sz w:val="28"/>
          <w:szCs w:val="28"/>
          <w:lang w:eastAsia="zh-CN"/>
        </w:rPr>
        <w:t xml:space="preserve">磋商文件</w:t>
      </w:r>
      <w:r>
        <w:rPr>
          <w:rFonts w:hint="eastAsia" w:ascii="方正仿宋_GBK" w:hAnsi="方正仿宋_GBK" w:eastAsia="方正仿宋_GBK" w:cs="方正仿宋_GBK"/>
          <w:sz w:val="28"/>
          <w:szCs w:val="28"/>
        </w:rPr>
        <w:t xml:space="preserve">规定的时间向甲方提供与合同标的有关的技术资料。</w:t>
      </w:r>
      <w:r>
        <w:rPr>
          <w:rFonts w:hint="eastAsia" w:ascii="方正仿宋_GBK" w:hAnsi="方正仿宋_GBK" w:eastAsia="方正仿宋_GBK" w:cs="方正仿宋_GBK"/>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7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7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rPr>
          <w:rFonts w:hint="eastAsia" w:ascii="方正仿宋_GBK" w:hAnsi="方正仿宋_GBK" w:eastAsia="方正仿宋_GBK" w:cs="方正仿宋_GBK"/>
          <w:sz w:val="28"/>
          <w:szCs w:val="28"/>
        </w:rPr>
      </w:r>
      <w:r/>
    </w:p>
    <w:p>
      <w:pPr>
        <w:pStyle w:val="7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乙方交纳人民币_________元作为本合同的履约保证金。（不得超过合同金额的10%）</w:t>
      </w:r>
      <w:r>
        <w:rPr>
          <w:rFonts w:hint="eastAsia" w:ascii="方正仿宋_GBK" w:hAnsi="方正仿宋_GBK" w:eastAsia="方正仿宋_GBK" w:cs="方正仿宋_GBK"/>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694"/>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ascii="方正仿宋_GBK" w:hAnsi="方正仿宋_GBK" w:eastAsia="方正仿宋_GBK" w:cs="方正仿宋_GBK"/>
          <w:sz w:val="28"/>
          <w:szCs w:val="28"/>
          <w:lang w:val="en-US" w:eastAsia="zh-CN"/>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7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7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rPr>
          <w:rFonts w:hint="eastAsia" w:ascii="方正仿宋_GBK" w:hAnsi="方正仿宋_GBK" w:eastAsia="方正仿宋_GBK" w:cs="方正仿宋_GBK"/>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8.1.1 预付款  支付时间：</w:t>
      </w:r>
      <w:r>
        <w:rPr>
          <w:rFonts w:hint="eastAsia" w:ascii="方正仿宋_GBK" w:hAnsi="方正仿宋_GBK" w:eastAsia="方正仿宋_GBK" w:cs="方正仿宋_GBK"/>
          <w:bCs/>
          <w:sz w:val="28"/>
          <w:szCs w:val="28"/>
          <w:u w:val="single"/>
        </w:rPr>
        <w:t xml:space="preserve">合同签订后</w:t>
      </w:r>
      <w:r>
        <w:rPr>
          <w:rFonts w:hint="eastAsia" w:ascii="Times New Roman" w:hAnsi="Times New Roman" w:eastAsia="方正仿宋_GBK" w:cs="Times New Roman"/>
          <w:sz w:val="28"/>
          <w:szCs w:val="28"/>
          <w:u w:val="single"/>
          <w:lang w:eastAsia="zh-CN"/>
        </w:rPr>
        <w:t xml:space="preserve">XX</w:t>
      </w:r>
      <w:r>
        <w:rPr>
          <w:rFonts w:hint="eastAsia" w:ascii="方正仿宋_GBK" w:hAnsi="方正仿宋_GBK" w:eastAsia="方正仿宋_GBK" w:cs="方正仿宋_GBK"/>
          <w:bCs/>
          <w:sz w:val="28"/>
          <w:szCs w:val="28"/>
          <w:u w:val="single"/>
        </w:rPr>
        <w:t xml:space="preserve">工作日内</w:t>
      </w:r>
      <w:r>
        <w:rPr>
          <w:rFonts w:hint="eastAsia" w:ascii="方正仿宋_GBK" w:hAnsi="方正仿宋_GBK" w:eastAsia="方正仿宋_GBK" w:cs="方正仿宋_GBK"/>
          <w:bCs/>
          <w:sz w:val="28"/>
          <w:szCs w:val="28"/>
        </w:rPr>
        <w:t xml:space="preserve">，预付款支付比例：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cs="Times New Roman"/>
          <w:sz w:val="28"/>
          <w:szCs w:val="28"/>
          <w:u w:val="single"/>
          <w:lang w:eastAsia="zh-CN"/>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8.1.2 尾款  支付时间：</w:t>
      </w:r>
      <w:r>
        <w:rPr>
          <w:rFonts w:hint="eastAsia" w:ascii="方正仿宋_GBK" w:hAnsi="方正仿宋_GBK" w:eastAsia="方正仿宋_GBK" w:cs="方正仿宋_GBK"/>
          <w:bCs/>
          <w:sz w:val="28"/>
          <w:szCs w:val="28"/>
          <w:u w:val="single"/>
        </w:rPr>
        <w:t xml:space="preserve">采购人收到发票后10个工作日内</w:t>
      </w:r>
      <w:r>
        <w:rPr>
          <w:rFonts w:hint="eastAsia" w:ascii="方正仿宋_GBK" w:hAnsi="方正仿宋_GBK" w:eastAsia="方正仿宋_GBK" w:cs="方正仿宋_GBK"/>
          <w:bCs/>
          <w:sz w:val="28"/>
          <w:szCs w:val="28"/>
        </w:rPr>
        <w:t xml:space="preserve">，尾款支付比例：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cs="Times New Roman"/>
          <w:sz w:val="28"/>
          <w:szCs w:val="28"/>
          <w:u w:val="single"/>
          <w:lang w:eastAsia="zh-CN"/>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7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rPr>
          <w:rFonts w:hint="eastAsia" w:ascii="方正仿宋_GBK" w:hAnsi="方正仿宋_GBK" w:eastAsia="方正仿宋_GBK" w:cs="方正仿宋_GBK"/>
          <w:bCs/>
          <w:sz w:val="28"/>
          <w:szCs w:val="28"/>
        </w:rPr>
      </w:r>
      <w:r/>
    </w:p>
    <w:p>
      <w:pPr>
        <w:pStyle w:val="7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rPr>
          <w:rFonts w:hint="eastAsia" w:ascii="方正仿宋_GBK" w:hAnsi="方正仿宋_GBK" w:eastAsia="方正仿宋_GBK" w:cs="方正仿宋_GBK"/>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rPr>
          <w:rFonts w:hint="eastAsia" w:ascii="方正仿宋_GBK" w:hAnsi="方正仿宋_GBK" w:eastAsia="方正仿宋_GBK" w:cs="方正仿宋_GBK"/>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bCs/>
          <w:sz w:val="28"/>
          <w:szCs w:val="28"/>
          <w:lang w:eastAsia="zh-CN"/>
        </w:rPr>
        <w:t xml:space="preserve">中华人民共和国</w:t>
      </w:r>
      <w:r>
        <w:rPr>
          <w:rFonts w:hint="eastAsia" w:ascii="方正仿宋_GBK" w:hAnsi="方正仿宋_GBK" w:eastAsia="方正仿宋_GBK" w:cs="方正仿宋_GBK"/>
          <w:bCs/>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rPr>
      </w:r>
      <w:r/>
    </w:p>
    <w:p>
      <w:pPr>
        <w:pStyle w:val="7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的违约金。</w:t>
      </w:r>
      <w:r>
        <w:rPr>
          <w:rFonts w:hint="eastAsia" w:ascii="方正仿宋_GBK" w:hAnsi="方正仿宋_GBK" w:eastAsia="方正仿宋_GBK" w:cs="方正仿宋_GBK"/>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甲方无故逾期验收和办理合同款项支付手续的,甲方应按逾期付款总额</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每日向乙方支付违约金。</w:t>
      </w:r>
      <w:r>
        <w:rPr>
          <w:rFonts w:hint="eastAsia" w:ascii="方正仿宋_GBK" w:hAnsi="方正仿宋_GBK" w:eastAsia="方正仿宋_GBK" w:cs="方正仿宋_GBK"/>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w:t>
      </w:r>
      <w:r>
        <w:rPr>
          <w:rFonts w:hint="eastAsia" w:ascii="方正仿宋_GBK" w:hAnsi="方正仿宋_GBK" w:eastAsia="方正仿宋_GBK" w:cs="方正仿宋_GBK"/>
          <w:bCs/>
          <w:sz w:val="28"/>
          <w:szCs w:val="28"/>
          <w:lang w:eastAsia="zh-CN"/>
        </w:rPr>
        <w:t xml:space="preserve">磋商文件</w:t>
      </w:r>
      <w:r>
        <w:rPr>
          <w:rFonts w:hint="eastAsia" w:ascii="方正仿宋_GBK" w:hAnsi="方正仿宋_GBK" w:eastAsia="方正仿宋_GBK" w:cs="方正仿宋_GBK"/>
          <w:bCs/>
          <w:sz w:val="28"/>
          <w:szCs w:val="28"/>
        </w:rPr>
        <w:t xml:space="preserve">规定标准的，甲方有权拒绝接受合同标的，并可单方面解除合同。</w:t>
      </w:r>
      <w:r>
        <w:rPr>
          <w:rFonts w:hint="eastAsia" w:ascii="方正仿宋_GBK" w:hAnsi="方正仿宋_GBK" w:eastAsia="方正仿宋_GBK" w:cs="方正仿宋_GBK"/>
          <w:bCs/>
          <w:sz w:val="28"/>
          <w:szCs w:val="28"/>
        </w:rPr>
      </w:r>
      <w:r/>
    </w:p>
    <w:p>
      <w:pPr>
        <w:pStyle w:val="7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rPr>
          <w:rFonts w:hint="eastAsia" w:ascii="方正仿宋_GBK" w:hAnsi="方正仿宋_GBK" w:eastAsia="方正仿宋_GBK" w:cs="方正仿宋_GBK"/>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rPr>
          <w:rFonts w:hint="eastAsia" w:ascii="方正仿宋_GBK" w:hAnsi="方正仿宋_GBK" w:eastAsia="方正仿宋_GBK" w:cs="方正仿宋_GBK"/>
          <w:bCs/>
          <w:sz w:val="28"/>
          <w:szCs w:val="28"/>
        </w:rPr>
      </w:r>
      <w:r/>
    </w:p>
    <w:p>
      <w:pPr>
        <w:pStyle w:val="7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rPr>
          <w:rFonts w:hint="eastAsia" w:ascii="方正黑体_GBK" w:hAnsi="方正黑体_GBK" w:eastAsia="方正黑体_GBK" w:cs="方正黑体_GBK"/>
          <w:b w:val="0"/>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rPr>
      </w:r>
      <w:r/>
    </w:p>
    <w:p>
      <w:pPr>
        <w:pStyle w:val="7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rPr>
          <w:rFonts w:hint="eastAsia" w:ascii="方正黑体_GBK" w:hAnsi="方正黑体_GBK" w:eastAsia="方正黑体_GBK" w:cs="方正黑体_GBK"/>
          <w:b w:val="0"/>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rPr>
          <w:rFonts w:hint="eastAsia" w:ascii="方正仿宋_GBK" w:hAnsi="方正仿宋_GBK" w:eastAsia="方正仿宋_GBK" w:cs="方正仿宋_GBK"/>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rPr>
          <w:rFonts w:hint="eastAsia" w:ascii="方正仿宋_GBK" w:hAnsi="方正仿宋_GBK" w:eastAsia="方正仿宋_GBK" w:cs="方正仿宋_GBK"/>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rPr>
          <w:rFonts w:hint="eastAsia" w:ascii="方正仿宋_GBK" w:hAnsi="方正仿宋_GBK" w:eastAsia="方正仿宋_GBK" w:cs="方正仿宋_GBK"/>
          <w:bCs/>
          <w:sz w:val="28"/>
          <w:szCs w:val="28"/>
        </w:rPr>
      </w:r>
      <w:r/>
    </w:p>
    <w:p>
      <w:pPr>
        <w:pStyle w:val="694"/>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hint="eastAsia" w:ascii="方正仿宋_GBK" w:hAnsi="方正仿宋_GBK" w:eastAsia="方正仿宋_GBK" w:cs="方正仿宋_GBK"/>
          <w:bCs/>
          <w:sz w:val="28"/>
          <w:szCs w:val="28"/>
        </w:rPr>
      </w:r>
      <w:r/>
    </w:p>
    <w:p>
      <w:pPr>
        <w:pStyle w:val="694"/>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hint="eastAsia" w:ascii="方正仿宋_GBK" w:hAnsi="方正仿宋_GBK" w:eastAsia="方正仿宋_GBK" w:cs="方正仿宋_GBK"/>
          <w:bCs/>
          <w:sz w:val="28"/>
          <w:szCs w:val="28"/>
        </w:rPr>
      </w:r>
      <w:r/>
    </w:p>
    <w:p>
      <w:pPr>
        <w:pStyle w:val="694"/>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rPr>
          <w:rFonts w:hint="eastAsia" w:ascii="方正仿宋_GBK" w:hAnsi="方正仿宋_GBK" w:eastAsia="方正仿宋_GBK" w:cs="方正仿宋_GBK"/>
          <w:bCs/>
          <w:sz w:val="28"/>
          <w:szCs w:val="28"/>
        </w:rPr>
      </w:r>
      <w:r/>
    </w:p>
    <w:p>
      <w:pPr>
        <w:pStyle w:val="6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694"/>
        <w:ind w:firstLine="560"/>
        <w:jc w:val="right"/>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hint="eastAsia" w:ascii="方正仿宋_GBK" w:hAnsi="方正仿宋_GBK" w:eastAsia="方正仿宋_GBK" w:cs="方正仿宋_GBK"/>
          <w:bCs/>
          <w:sz w:val="28"/>
          <w:szCs w:val="28"/>
        </w:rPr>
      </w:r>
      <w:r/>
    </w:p>
    <w:p>
      <w:pPr>
        <w:pStyle w:val="694"/>
        <w:ind w:firstLine="480"/>
        <w:jc w:val="right"/>
        <w:spacing w:line="500" w:lineRule="exact"/>
        <w:rPr>
          <w:rFonts w:ascii="Times New Roman" w:hAnsi="Times New Roman"/>
          <w:sz w:val="24"/>
          <w:szCs w:val="24"/>
        </w:rPr>
      </w:pPr>
      <w:r>
        <w:rPr>
          <w:rFonts w:ascii="Times New Roman" w:hAnsi="Times New Roman"/>
          <w:sz w:val="24"/>
          <w:szCs w:val="24"/>
        </w:rPr>
      </w:r>
      <w:r/>
    </w:p>
    <w:p>
      <w:pPr>
        <w:pStyle w:val="696"/>
        <w:keepLines/>
        <w:keepNext/>
        <w:pageBreakBefore w:val="0"/>
        <w:spacing w:line="400" w:lineRule="exact"/>
        <w:widowControl w:val="off"/>
        <w:rPr>
          <w:rFonts w:ascii="宋体" w:hAnsi="Courier New" w:cs="Courier New"/>
          <w:sz w:val="28"/>
          <w:szCs w:val="28"/>
        </w:rPr>
      </w:pPr>
      <w:r/>
      <w:bookmarkEnd w:id="167"/>
      <w:r/>
      <w:bookmarkEnd w:id="168"/>
      <w:r/>
      <w:bookmarkEnd w:id="169"/>
      <w:r/>
      <w:bookmarkStart w:id="170" w:name="_Hlt16619369"/>
      <w:r/>
      <w:bookmarkEnd w:id="170"/>
      <w:r/>
      <w:bookmarkStart w:id="171" w:name="_Toc49090575"/>
      <w:r/>
      <w:bookmarkStart w:id="172" w:name="_Toc26554093"/>
      <w:r/>
      <w:bookmarkStart w:id="173" w:name="_Toc479757211"/>
      <w:r/>
      <w:bookmarkStart w:id="174" w:name="_Toc462564139"/>
      <w:r>
        <w:rPr>
          <w:rFonts w:hint="eastAsia" w:ascii="方正黑体_GBK" w:hAnsi="方正黑体_GBK" w:eastAsia="方正黑体_GBK" w:cs="方正黑体_GBK"/>
          <w:b w:val="0"/>
          <w:bCs w:val="0"/>
          <w:sz w:val="28"/>
          <w:szCs w:val="28"/>
          <w:lang w:val="en-US" w:eastAsia="zh-CN"/>
        </w:rPr>
        <w:t xml:space="preserve">第四章 采购需求</w:t>
      </w:r>
      <w:r>
        <w:rPr>
          <w:rFonts w:ascii="宋体" w:hAnsi="Courier New" w:cs="Courier New"/>
          <w:sz w:val="28"/>
          <w:szCs w:val="28"/>
        </w:rPr>
      </w:r>
      <w:r/>
    </w:p>
    <w:p>
      <w:pPr>
        <w:pStyle w:val="696"/>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一、采购标的清单</w:t>
      </w:r>
      <w:r>
        <w:rPr>
          <w:rFonts w:hint="eastAsia" w:ascii="方正黑体_GBK" w:hAnsi="方正黑体_GBK" w:eastAsia="方正黑体_GBK" w:cs="方正黑体_GBK"/>
          <w:b w:val="0"/>
          <w:bCs w:val="0"/>
          <w:sz w:val="28"/>
          <w:szCs w:val="28"/>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trPr>
        <w:tc>
          <w:tcPr>
            <w:tcW w:w="1249" w:type="dxa"/>
            <w:vAlign w:val="top"/>
            <w:textDirection w:val="lrTb"/>
            <w:noWrap w:val="false"/>
          </w:tcPr>
          <w:p>
            <w:pPr>
              <w:pStyle w:val="6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694"/>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eastAsia="zh-CN"/>
              </w:rPr>
              <w:t xml:space="preserve">号</w:t>
            </w:r>
            <w:r>
              <w:rPr>
                <w:rFonts w:hint="eastAsia" w:ascii="方正仿宋_GBK" w:hAnsi="方正仿宋_GBK" w:eastAsia="方正仿宋_GBK" w:cs="方正仿宋_GBK"/>
                <w:sz w:val="28"/>
                <w:szCs w:val="28"/>
                <w:lang w:val="en-US" w:eastAsia="zh-CN"/>
              </w:rPr>
            </w:r>
            <w:r/>
          </w:p>
        </w:tc>
        <w:tc>
          <w:tcPr>
            <w:tcW w:w="1007" w:type="dxa"/>
            <w:vAlign w:val="center"/>
            <w:textDirection w:val="lrTb"/>
            <w:noWrap w:val="false"/>
          </w:tcPr>
          <w:p>
            <w:pPr>
              <w:pStyle w:val="6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764" w:type="dxa"/>
            <w:vAlign w:val="center"/>
            <w:textDirection w:val="lrTb"/>
            <w:noWrap w:val="false"/>
          </w:tcPr>
          <w:p>
            <w:pPr>
              <w:pStyle w:val="6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738" w:type="dxa"/>
            <w:vAlign w:val="center"/>
            <w:textDirection w:val="lrTb"/>
            <w:noWrap w:val="false"/>
          </w:tcPr>
          <w:p>
            <w:pPr>
              <w:pStyle w:val="6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249" w:type="dxa"/>
            <w:vAlign w:val="top"/>
            <w:textDirection w:val="lrTb"/>
            <w:noWrap w:val="false"/>
          </w:tcPr>
          <w:p>
            <w:pPr>
              <w:pStyle w:val="694"/>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Times New Roman" w:hAnsi="Times New Roman" w:eastAsia="方正仿宋_GBK" w:cs="Times New Roman"/>
                <w:sz w:val="28"/>
                <w:szCs w:val="28"/>
                <w:u w:val="none"/>
                <w:lang w:val="en-US" w:eastAsia="zh-CN"/>
              </w:rPr>
              <w:t xml:space="preserve">1</w:t>
            </w:r>
            <w:r>
              <w:rPr>
                <w:rFonts w:hint="eastAsia" w:ascii="方正仿宋_GBK" w:hAnsi="方正仿宋_GBK" w:eastAsia="方正仿宋_GBK" w:cs="方正仿宋_GBK"/>
                <w:sz w:val="28"/>
                <w:szCs w:val="28"/>
                <w:lang w:eastAsia="zh-CN"/>
              </w:rPr>
            </w:r>
            <w:r/>
          </w:p>
        </w:tc>
        <w:tc>
          <w:tcPr>
            <w:tcW w:w="1007" w:type="dxa"/>
            <w:vAlign w:val="top"/>
            <w:textDirection w:val="lrTb"/>
            <w:noWrap w:val="false"/>
          </w:tcPr>
          <w:p>
            <w:pPr>
              <w:pStyle w:val="6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764" w:type="dxa"/>
            <w:vAlign w:val="top"/>
            <w:textDirection w:val="lrTb"/>
            <w:noWrap w:val="false"/>
          </w:tcPr>
          <w:p>
            <w:pPr>
              <w:pStyle w:val="694"/>
              <w:jc w:val="left"/>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r>
            <w:r/>
          </w:p>
        </w:tc>
        <w:tc>
          <w:tcPr>
            <w:tcW w:w="2738" w:type="dxa"/>
            <w:vAlign w:val="top"/>
            <w:textDirection w:val="lrTb"/>
            <w:noWrap w:val="false"/>
          </w:tcPr>
          <w:p>
            <w:pPr>
              <w:pStyle w:val="69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696"/>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二、政府采购中实施本国产品标准及相关政策</w:t>
      </w:r>
      <w:r>
        <w:rPr>
          <w:rFonts w:hint="eastAsia" w:ascii="方正黑体_GBK" w:hAnsi="方正黑体_GBK" w:eastAsia="方正黑体_GBK" w:cs="方正黑体_GBK"/>
          <w:b w:val="0"/>
          <w:bCs w:val="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696"/>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三、技术要求</w:t>
      </w:r>
      <w:r>
        <w:rPr>
          <w:rFonts w:hint="eastAsia" w:ascii="方正黑体_GBK" w:hAnsi="方正黑体_GBK" w:eastAsia="方正黑体_GBK" w:cs="方正黑体_GBK"/>
          <w:b w:val="0"/>
          <w:bCs w:val="0"/>
          <w:sz w:val="28"/>
          <w:szCs w:val="28"/>
          <w:lang w:val="en-US" w:eastAsia="zh-CN"/>
        </w:rPr>
      </w:r>
      <w:r/>
    </w:p>
    <w:p>
      <w:pPr>
        <w:pStyle w:val="808"/>
        <w:ind w:firstLine="560"/>
        <w:jc w:val="left"/>
        <w:keepLines/>
        <w:keepNext/>
        <w:pageBreakBefore w:val="0"/>
        <w:spacing w:line="400" w:lineRule="exact"/>
        <w:widowControl w:val="off"/>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rPr>
        <w:t xml:space="preserve">3.1 项目概况</w:t>
      </w:r>
      <w:r>
        <w:rPr>
          <w:rFonts w:hint="eastAsia" w:ascii="黑体" w:hAnsi="黑体" w:eastAsia="黑体" w:cs="黑体"/>
          <w:b w:val="0"/>
          <w:bCs w:val="0"/>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为深入践行“战时防空、平时服务、应急支援”使命任务，进一步提升国防动员领域公共服务质效与数字化水平，采购人拟依托“苏服办”政务服务底座，采用“集成应用框架、迭代服务场景”建设模式，建设全省统一、便民利民的省域国动行业便民服务小程序。项目通过统一移动端服务入口、统一数据标准和分级维护机制，推动人防工程、纳凉点、便民服务点、民防宣教体验馆、人防车位点等资源数据汇聚、审核、展示和动态维护。</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坚持“统一入口、统一标准、统一展示、分级维护、安全发布”，建设面向社会公众的便民服务端和面向省、市、县国动部门的后台管理端，形成服务入口统一、数据来源清晰、审核责任明确、公开边界可控、运行维护规范的应用体系。</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期以信息查询、地图展示、导航指引、便民服务入口集成、数据管理、分级审核发布和系统管理为重点。人防车位点功能以信息查询、展示和导航为主，对条件成熟地区可配置试点预约入口。本期不建设覆盖全省的车位交易平台，不包含在线支付、资金清分、电子合同、电子发票等交易功能，不包含各设区市数据收集、填报指导、集中清洗和成果汇交等数据采集服务。</w:t>
      </w:r>
      <w:r>
        <w:rPr>
          <w:rFonts w:hint="eastAsia" w:ascii="仿宋" w:hAnsi="仿宋" w:eastAsia="仿宋" w:cs="仿宋"/>
          <w:bCs/>
          <w:color w:val="000000"/>
          <w:sz w:val="28"/>
          <w:szCs w:val="28"/>
        </w:rPr>
      </w:r>
      <w:r/>
    </w:p>
    <w:p>
      <w:pPr>
        <w:pStyle w:val="808"/>
        <w:ind w:firstLine="560"/>
        <w:jc w:val="left"/>
        <w:keepLines/>
        <w:keepNext/>
        <w:pageBreakBefore w:val="0"/>
        <w:spacing w:line="400" w:lineRule="exact"/>
        <w:widowControl w:val="off"/>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rPr>
        <w:t xml:space="preserve">3.2 总体架构和建设需求</w:t>
      </w:r>
      <w:r>
        <w:rPr>
          <w:rFonts w:hint="eastAsia" w:ascii="黑体" w:hAnsi="黑体" w:eastAsia="黑体" w:cs="黑体"/>
          <w:b w:val="0"/>
          <w:bCs w:val="0"/>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rPr>
        <w:t xml:space="preserve">3.2.1 系统总体架构</w:t>
      </w:r>
      <w:r>
        <w:rPr>
          <w:rFonts w:hint="eastAsia" w:ascii="仿宋" w:hAnsi="仿宋" w:eastAsia="仿宋" w:cs="仿宋"/>
          <w:b/>
          <w:bCs w:val="0"/>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项目按照全省统一应用架构建设，采用分层、模块化、配置化、接口化设计，总体架构由基础设施层、数据资源层、应用支撑层和业务应用层组成，并建立贯穿各层的安全保障及运行维护机制。各层级、各模块边界应当清晰，能够支持后续同类便民服务场景和外部服务入口扩展。</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公众服务端依托“苏服办”统一应用框架接入，后台管理端面向省、市、县国动部门，具备覆盖全省13个设区市及所辖县（市、区）的数据管理、分级维护、审核发布、查询展示和系统管理能力。</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系统应结合采购人提供的省政务云资源和既有政务信息化环境完成部署适配，按照采购人明确的网络区域和安全边界实施公众访问、内部管理和跨网数据交换。云平台、网络和安全基础设施建设改造不纳入本项目。</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rPr>
        <w:t xml:space="preserve">3.2.2 系统功能建设方案</w:t>
      </w:r>
      <w:r>
        <w:rPr>
          <w:rFonts w:hint="eastAsia" w:ascii="仿宋" w:hAnsi="仿宋" w:eastAsia="仿宋" w:cs="仿宋"/>
          <w:b/>
          <w:bCs w:val="0"/>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公众服务端重点建设统一便民服务入口，围绕身边人防工程、人防纳凉点、人防工程便民服务点、人防车位信息、防空警报试听和民防宣教体验馆六类场景，提供信息查询、地图展示、导航指引、服务入口集成和使用引导等功能。</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后台管理端重点建设数据管理、分级审核发布、权限管理、日志管理和服务入口配置等功能，形成省级统筹、市县维护、分级审核、动态更新、全过程留痕的管理机制。</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部分地区暂未提供数据、数据暂不符合公开要求或者暂不具备接口条件的，不影响相应软件功能和项目整体验收；供应商仍应完成数据模板、区域权限、审核流程、入口配置、接口适配、模拟测试和后续接入能力建设。</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在不改变项目总体架构、不增加独立业务系统的前提下，采购人对字段名称、展示内容、查询条件、数据字典、栏目设置、审核节点、状态类型、排序规则、页面文字和展示样式提出的合理调整，属于需求深化和配置完善，供应商应在合同价内完成。</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rPr>
        <w:t xml:space="preserve">3.2.3 功能栏目建设需求</w:t>
      </w:r>
      <w:r>
        <w:rPr>
          <w:rFonts w:hint="eastAsia" w:ascii="仿宋" w:hAnsi="仿宋" w:eastAsia="仿宋" w:cs="仿宋"/>
          <w:b/>
          <w:bCs w:val="0"/>
          <w:color w:val="000000"/>
          <w:sz w:val="28"/>
          <w:szCs w:val="28"/>
        </w:rPr>
      </w:r>
      <w:r/>
    </w:p>
    <w:p>
      <w:pPr>
        <w:pStyle w:val="694"/>
        <w:ind w:right="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bl>
      <w:tblPr>
        <w:tblW w:w="8306" w:type="dxa"/>
        <w:tblInd w:w="0"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70" w:type="dxa"/>
          <w:top w:w="70" w:type="dxa"/>
          <w:right w:w="70" w:type="dxa"/>
          <w:bottom w:w="70" w:type="dxa"/>
        </w:tblCellMar>
        <w:tblLook w:val="04A0" w:firstRow="1" w:lastRow="0" w:firstColumn="1" w:lastColumn="0" w:noHBand="0" w:noVBand="1"/>
      </w:tblPr>
      <w:tblGrid>
        <w:gridCol w:w="650"/>
        <w:gridCol w:w="2500"/>
        <w:gridCol w:w="5156"/>
      </w:tblGrid>
      <w:tr>
        <w:trPr>
          <w:tblHeader/>
        </w:trPr>
        <w:tc>
          <w:tcPr>
            <w:shd w:val="clear" w:color="auto" w:fill="d9e2f3"/>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ans CJK SC"/>
                <w:b/>
                <w:sz w:val="19"/>
              </w:rPr>
              <w:t xml:space="preserve">序号</w:t>
            </w:r>
            <w:r/>
          </w:p>
        </w:tc>
        <w:tc>
          <w:tcPr>
            <w:shd w:val="clear" w:color="auto" w:fill="d9e2f3"/>
            <w:tcMar>
              <w:left w:w="70" w:type="dxa"/>
              <w:top w:w="70" w:type="dxa"/>
              <w:right w:w="70" w:type="dxa"/>
              <w:bottom w:w="70" w:type="dxa"/>
            </w:tcMar>
            <w:tcW w:w="2500" w:type="dxa"/>
            <w:vAlign w:val="center"/>
            <w:textDirection w:val="lrTb"/>
            <w:noWrap w:val="false"/>
          </w:tcPr>
          <w:p>
            <w:pPr>
              <w:pStyle w:val="694"/>
              <w:jc w:val="center"/>
              <w:spacing w:before="0" w:after="0" w:line="240" w:lineRule="auto"/>
            </w:pPr>
            <w:r>
              <w:rPr>
                <w:rFonts w:ascii="Times New Roman" w:hAnsi="Times New Roman" w:eastAsia="Noto Sans CJK SC"/>
                <w:b/>
                <w:sz w:val="19"/>
              </w:rPr>
              <w:t xml:space="preserve">功能模块</w:t>
            </w:r>
            <w:r/>
          </w:p>
        </w:tc>
        <w:tc>
          <w:tcPr>
            <w:shd w:val="clear" w:color="auto" w:fill="d9e2f3"/>
            <w:tcMar>
              <w:left w:w="70" w:type="dxa"/>
              <w:top w:w="70" w:type="dxa"/>
              <w:right w:w="70" w:type="dxa"/>
              <w:bottom w:w="70" w:type="dxa"/>
            </w:tcMar>
            <w:tcW w:w="5156" w:type="dxa"/>
            <w:vAlign w:val="center"/>
            <w:textDirection w:val="lrTb"/>
            <w:noWrap w:val="false"/>
          </w:tcPr>
          <w:p>
            <w:pPr>
              <w:pStyle w:val="694"/>
              <w:jc w:val="center"/>
              <w:spacing w:before="0" w:after="0" w:line="240" w:lineRule="auto"/>
            </w:pPr>
            <w:r>
              <w:rPr>
                <w:rFonts w:ascii="Times New Roman" w:hAnsi="Times New Roman" w:eastAsia="Noto Sans CJK SC"/>
                <w:b/>
                <w:sz w:val="19"/>
              </w:rPr>
              <w:t xml:space="preserve">详细要求</w:t>
            </w:r>
            <w:r/>
          </w:p>
        </w:tc>
      </w:tr>
      <w:tr>
        <w:trPr/>
        <w:tc>
          <w:tcPr>
            <w:gridSpan w:val="3"/>
            <w:shd w:val="clear" w:color="auto" w:fill="d9e2f3"/>
            <w:tcMar>
              <w:left w:w="70" w:type="dxa"/>
              <w:top w:w="70" w:type="dxa"/>
              <w:right w:w="70" w:type="dxa"/>
              <w:bottom w:w="70" w:type="dxa"/>
            </w:tcMar>
            <w:tcW w:w="8306" w:type="dxa"/>
            <w:vAlign w:val="center"/>
            <w:textDirection w:val="lrTb"/>
            <w:noWrap w:val="false"/>
          </w:tcPr>
          <w:p>
            <w:pPr>
              <w:pStyle w:val="694"/>
              <w:jc w:val="left"/>
              <w:spacing w:before="0" w:after="0" w:line="240" w:lineRule="auto"/>
            </w:pPr>
            <w:r>
              <w:rPr>
                <w:rFonts w:ascii="Times New Roman" w:hAnsi="Times New Roman" w:eastAsia="Noto Sans CJK SC"/>
                <w:b/>
                <w:sz w:val="19"/>
              </w:rPr>
              <w:t xml:space="preserve">一、公众服务端</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1</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身边人防工程—位置查询（视频演示）</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获取用户授权位置，查询周边可公开人防工程；支持列表与地图展示、位置标注、距离显示、手动输入位置异地查询，以及按区域、类型、距离、平时用途筛选和排序；拒绝定位授权时支持手动查询。</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2</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身边人防工程—信息展示（视频演示）</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展示经审核允许公开的工程名称、类型、所属区划、地址、面积、平时用途、管理单位、图片、服务说明和更新时间。工程编号、防护等级、战时用途、内部结构、战时掩蔽人数、敏感位置等不得向公众展示；公开字段支持后台配置。</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3</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身边人防工程—一键导航</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选择目标工程后调用采购人提供的省政务地图服务，支持步行、驾车、公共交通等导航方式，并对地图服务异常进行提示。</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4</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人防纳凉点—位置查询</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基于用户位置查询周边纳凉点，支持列表和地图展示，标注位置、距离和开放状态；支持按区域、距离、开放状态筛选及关键字搜索。</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5</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人防纳凉点—信息展示</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展示名称、所属区划、地址、所属工程、开放状态、开放时间、服务期限、服务设施、容纳人数上限、管理单位、联系方式、现场图片及更新时间；支持未开放、开放中、暂停开放、已关闭等状态。</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6</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人防纳凉点—一键导航</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选择目标纳凉点后调用省政务地图服务，获取步行、驾车或公共交通导航路线。</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7</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人防工程便民服务点—位置查询</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查询周边便民服务点，支持列表和地图展示，按区域、距离、服务类型筛选，按名称搜索并排序。服务类型包括但不限于便利店、药店、维修点、理发店、快递驿站，支持后台配置。</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8</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人防工程便民服务点—信息展示</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展示名称、所属区划、地址、所属工程、服务类型、营业时间、联系方式、服务简介、管理单位、图片、服务状态和更新时间；支持点击拨打联系电话。</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9</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人防工程便民服务点—一键导航</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选择目标服务点后调用省政务地图服务，支持从列表或详情页面发起导航。</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10</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人防车位点信息查询—信息查询</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查询周边可公开人防车位点，支持列表、地图、区域筛选、名称或地址搜索和距离排序；对条件成熟地区可配置试点预约入口。</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11</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人防车位点信息查询—信息展示</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展示车位点名称、所属区划、地址、所属人防工程、总车位数、开放时段、管理单位、联系人、联系方式和服务说明。总车位数不等同于实时剩余车位数，本期不要求实时空余车位采集。</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12</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人防车位点信息查询—一键导航</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查询到目标车位点或者通过外部试点预约入口完成相关操作后，可调用省政务地图服务进行导航。</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13</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防空警报试听—警报试听播放（视频演示）</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提供预先警报、空袭警报、解除警报三种标准信号试听，支持播放、暂停、继续、重播和状态显示；醒目标注“此为非实际警报信号，仅供学习使用”。音频由采购人提供或审核确认。</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14</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防空警报试听—含义说明展示</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分别展示三类警报的鸣响时长、间隔时间、重复次数、鸣响规律、信号含义、响应要求和特征对比。</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15</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防空警报试听—防护知识展示</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以文字、图片等方式展示不同警报对应的行动要求、掩蔽方法、避险注意事项、应急物资准备和常见问题。本功能仅用于宣传教育。</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16</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民防宣教体验馆—场馆信息展示</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展示全省各设区市及所辖县（市、区）经确认可公开的民防宣教体验馆和同类场馆信息，包括名称、区划、地址、坐标、简介、开放时间、体验项目、场次、容纳人数、参观须知、预约规则、联系方式、图片和预约状态；支持按设区市、县区和名称查询、地图展示及导航。</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17</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民防宣教体验馆—各地市预约服务集成</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预留统一接口或入口配置能力，对接各设区市已经建设的体验馆预约服务；省级小程序提供统一入口，时段选择、信息填写、申请、审核和通知由各地市既有系统完成。</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18</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民防宣教体验馆—预约服务上架</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省级管理员对已具备条件的预约服务执行上架；校验入口可用性，展示预约入口，记录上架时间、操作人员、对应地区、场馆和服务地址。</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19</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民防宣教体验馆—预约服务下架</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省级管理员可执行下架并填写原因；下架后保留场馆信息但隐藏预约入口，记录下架时间、操作人员和原因，支持追溯。</w:t>
            </w:r>
            <w:r/>
          </w:p>
        </w:tc>
      </w:tr>
      <w:tr>
        <w:trPr/>
        <w:tc>
          <w:tcPr>
            <w:gridSpan w:val="3"/>
            <w:shd w:val="clear" w:color="auto" w:fill="f2f2f2"/>
            <w:tcMar>
              <w:left w:w="70" w:type="dxa"/>
              <w:top w:w="70" w:type="dxa"/>
              <w:right w:w="70" w:type="dxa"/>
              <w:bottom w:w="70" w:type="dxa"/>
            </w:tcMar>
            <w:tcW w:w="8306" w:type="dxa"/>
            <w:vAlign w:val="center"/>
            <w:textDirection w:val="lrTb"/>
            <w:noWrap w:val="false"/>
          </w:tcPr>
          <w:p>
            <w:pPr>
              <w:pStyle w:val="694"/>
              <w:jc w:val="left"/>
              <w:spacing w:before="0" w:after="0" w:line="240" w:lineRule="auto"/>
            </w:pPr>
            <w:r>
              <w:rPr>
                <w:rFonts w:ascii="Times New Roman" w:hAnsi="Times New Roman" w:eastAsia="Noto Sans CJK SC"/>
                <w:b/>
                <w:sz w:val="19"/>
              </w:rPr>
              <w:t xml:space="preserve">公众服务端建设边界：便民服务点不包含商业经营、商品管理、订单和线上交易；人防车位信息不包含全省统一交易、实时车位采集、计费、支付、合同、资金清分、发票、退款对账、车位锁、道闸和现场物联改造；民防宣教体验馆不替代各市既有预约系统，不新建复杂预约运营平台。</w:t>
            </w:r>
            <w:r/>
          </w:p>
        </w:tc>
      </w:tr>
      <w:tr>
        <w:trPr/>
        <w:tc>
          <w:tcPr>
            <w:gridSpan w:val="3"/>
            <w:shd w:val="clear" w:color="auto" w:fill="d9e2f3"/>
            <w:tcMar>
              <w:left w:w="70" w:type="dxa"/>
              <w:top w:w="70" w:type="dxa"/>
              <w:right w:w="70" w:type="dxa"/>
              <w:bottom w:w="70" w:type="dxa"/>
            </w:tcMar>
            <w:tcW w:w="8306" w:type="dxa"/>
            <w:vAlign w:val="center"/>
            <w:textDirection w:val="lrTb"/>
            <w:noWrap w:val="false"/>
          </w:tcPr>
          <w:p>
            <w:pPr>
              <w:pStyle w:val="694"/>
              <w:jc w:val="left"/>
              <w:spacing w:before="0" w:after="0" w:line="240" w:lineRule="auto"/>
            </w:pPr>
            <w:r>
              <w:rPr>
                <w:rFonts w:ascii="Times New Roman" w:hAnsi="Times New Roman" w:eastAsia="Noto Sans CJK SC"/>
                <w:b/>
                <w:sz w:val="19"/>
              </w:rPr>
              <w:t xml:space="preserve">二、后台管理端</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20</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人防工程数据管理（视频演示）</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维护工程名称、编号、区划、地址、坐标、面积、类型、类别、平时用途、最大容纳人数、管理单位、联系人、联系方式、公开属性和发布状态。支持草稿、组合查询、逻辑删除、变更留痕、标准Excel模板批量导入、错误行及原因提示、按条件和字段导出。敏感字段可在后台按权限管理，但不得默认向公众展示。</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21</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纳凉点数据管理</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维护名称、区划、地址、坐标、所属工程、开放时间、服务期限、服务设施、容纳人数、管理单位、联系人、联系方式和开放状态。支持季节性管理、批量开启关闭、组合查询、逻辑删除、变更留痕、标准模板导入及错误定位。</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22</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民防宣教体验馆数据管理</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维护场馆名称、区划、地址、坐标、简介、开放时间、体验项目、单场最大人数、每日场次、参观须知、预约规则、预约入口、管理单位、联系人、联系方式和图片资料；支持场次及容纳人数配置、预约状态维护、逻辑删除、导入导出和审核发布。</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23</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便民服务点数据管理</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维护名称、区划、地址、坐标、所属工程、服务类型、营业时间、服务简介、管理单位、联系人、联系方式、图片和状态；支持服务类型字典、标签、分类管理、批量修改、逻辑删除、导入导出和变更审核。</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24</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人防车位点数据管理</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维护车位点名称、区划、地址、坐标、所属工程、总车位数、开放时段、管理单位、联系人、联系方式、试点预约入口和服务状态；支持组合查询、标准模板导入、错误定位、逻辑删除、变更留痕和审核发布。</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25</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警报音频数据管理</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维护警报类型、音频文件、文字说明、防护知识、版本和发布状态；校验文件格式和大小，记录上传人员、时间和版本；撤销时填写原因并保留历史记录；图文内容经审核后发布。</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26</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审核流程配置</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支持按数据类型、数据来源、管理层级和业务需要配置审核层级、节点、人员、权限和流转规则，不得固化为单一审核层级。</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27</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待审核数据管理</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按数据类型、地区、提交时间、提交人员和状态筛选，显示当前节点；支持配置办理时限及超时提醒。第三方消息能力暂不具备时，不影响基本审核功能。</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28</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数据审核操作（视频演示）</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查看数据、附件、图片、自动校验结果、变更差异和历史记录；支持通过、驳回、填写意见和退回重报。已发布数据修改时，审核通过前继续展示原版本，并可查询审核及操作留痕。</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29</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审核记录查询</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按数据类型、地区、人员、结果和时间查询、导出审核记录，完整保留审核人、时间、意见、节点和结果。</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30</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用户管理</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维护账号、姓名、单位、地区、联系方式和状态；对接统一认证，支持启用停用、所属单位和地区配置、最小权限授权和用户变更记录。</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31</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角色权限管理</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建立省级、市级、县级及录入、审核、系统管理等角色；分别配置功能、数据、地区、操作和审核权限，权限不得固化在代码中。</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32</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操作日志管理</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记录登录、查询、录入、修改、删除、导入、导出、审核、发布、上下架和权限变更，包含操作人、时间、IP、对象、内容和结果；支持组合查询、导出和审计追溯，保存时间不少于6个月。</w:t>
            </w:r>
            <w:r/>
          </w:p>
        </w:tc>
      </w:tr>
      <w:tr>
        <w:trPr/>
        <w:tc>
          <w:tcPr>
            <w:gridSpan w:val="3"/>
            <w:shd w:val="clear" w:color="auto" w:fill="d9e2f3"/>
            <w:tcMar>
              <w:left w:w="70" w:type="dxa"/>
              <w:top w:w="70" w:type="dxa"/>
              <w:right w:w="70" w:type="dxa"/>
              <w:bottom w:w="70" w:type="dxa"/>
            </w:tcMar>
            <w:tcW w:w="8306" w:type="dxa"/>
            <w:vAlign w:val="center"/>
            <w:textDirection w:val="lrTb"/>
            <w:noWrap w:val="false"/>
          </w:tcPr>
          <w:p>
            <w:pPr>
              <w:pStyle w:val="694"/>
              <w:jc w:val="left"/>
              <w:spacing w:before="0" w:after="0" w:line="240" w:lineRule="auto"/>
            </w:pPr>
            <w:r>
              <w:rPr>
                <w:rFonts w:ascii="Times New Roman" w:hAnsi="Times New Roman" w:eastAsia="Noto Sans CJK SC"/>
                <w:b/>
                <w:sz w:val="19"/>
              </w:rPr>
              <w:t xml:space="preserve">三、接口集成</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33</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统一身份认证接口</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对接“苏服办”统一身份认证体系，实现公众用户和管理用户身份识别、授权信息获取、登录状态处理和认证异常提示，遵循最小必要原则。</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34</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应用集成接口</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完成应用注册、入口配置、联调、审核和上架配合；满足“苏服办”当期接入和运营规范；支持外部地市服务入口配置。</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35</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地图服务接口</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对接采购人提供的省政务地图服务，实现地图展示、用户定位、点位标注、地址解析、距离计算、周边查询、路径规划和导航跳转。</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36</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短信或消息服务接口</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对接采购人提供或协调的短信、消息能力，用于审核提醒和异常提醒；支持模板、接收对象和发送记录。无实际需要或公共能力暂不具备时，可暂不启用，但应完成适配能力。</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19"/>
              </w:rPr>
              <w:t xml:space="preserve">37</w:t>
            </w:r>
            <w:r/>
          </w:p>
        </w:tc>
        <w:tc>
          <w:tcPr>
            <w:tcMar>
              <w:left w:w="70" w:type="dxa"/>
              <w:top w:w="70" w:type="dxa"/>
              <w:right w:w="70" w:type="dxa"/>
              <w:bottom w:w="70" w:type="dxa"/>
            </w:tcMar>
            <w:tcW w:w="2500"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设区市数据对接接口</w:t>
            </w:r>
            <w:r/>
          </w:p>
        </w:tc>
        <w:tc>
          <w:tcPr>
            <w:tcMar>
              <w:left w:w="70" w:type="dxa"/>
              <w:top w:w="70" w:type="dxa"/>
              <w:right w:w="70" w:type="dxa"/>
              <w:bottom w:w="70" w:type="dxa"/>
            </w:tcMar>
            <w:tcW w:w="5156" w:type="dxa"/>
            <w:vAlign w:val="center"/>
            <w:textDirection w:val="lrTb"/>
            <w:noWrap w:val="false"/>
          </w:tcPr>
          <w:p>
            <w:pPr>
              <w:pStyle w:val="694"/>
              <w:jc w:val="left"/>
              <w:spacing w:before="0" w:after="0" w:line="240" w:lineRule="auto"/>
            </w:pPr>
            <w:r>
              <w:rPr>
                <w:rFonts w:ascii="Times New Roman" w:hAnsi="Times New Roman" w:eastAsia="Noto Serif SC"/>
                <w:b w:val="0"/>
                <w:sz w:val="19"/>
              </w:rPr>
              <w:t xml:space="preserve">制定统一接口规范，支持设区市相关系统同步纳凉点、便民服务点、车位点和体验馆数据；具备鉴权、校验、超时、重试、异常记录和调用日志能力。各设区市既有系统改造不属于本项目。</w:t>
            </w:r>
            <w:r/>
          </w:p>
        </w:tc>
      </w:tr>
    </w:tbl>
    <w:p>
      <w:pPr>
        <w:pStyle w:val="695"/>
        <w:ind w:left="0" w:firstLine="0"/>
        <w:spacing w:before="480" w:after="200"/>
        <w:rPr>
          <w:color w:val="000000"/>
        </w:rPr>
      </w:pPr>
      <w:r>
        <w:rPr>
          <w:rFonts w:ascii="宋体" w:hAnsi="宋体" w:eastAsia="宋体" w:cs="宋体"/>
          <w:sz w:val="24"/>
          <w:szCs w:val="24"/>
        </w:rPr>
        <w:t xml:space="preserve">注：本表中在功能模块名称后标注“（视频演示）”的5项功能，与本章7.2“演示要求”及第六章附件13“视频演示索引表”一一对应。未标注视频演示的功能仍属于本项目建设、响应和验收范围，不因未纳入视频演示而免除供应商的履约义务。标注视频演示的功能仅在第五章“视频演示”项中评分，不在“需求响应”项中重复计分。</w:t>
      </w:r>
      <w:r>
        <w:rPr>
          <w:color w:val="000000"/>
        </w:rPr>
      </w:r>
      <w:r/>
    </w:p>
    <w:p>
      <w:pPr>
        <w:pStyle w:val="694"/>
        <w:ind w:firstLine="560"/>
        <w:jc w:val="both"/>
        <w:keepLines w:val="0"/>
        <w:keepNext w:val="0"/>
        <w:pageBreakBefore w:val="0"/>
        <w:spacing w:after="0" w:line="592" w:lineRule="exact"/>
        <w:widowControl w:val="off"/>
        <w:rPr>
          <w:rFonts w:ascii="Times New Roman" w:hAnsi="Times New Roman" w:eastAsia="方正仿宋_GBK" w:cs="Times New Roman"/>
          <w:b w:val="0"/>
          <w:i w:val="0"/>
          <w:iCs/>
          <w:color w:val="000000"/>
          <w:sz w:val="28"/>
          <w:u w:val="none"/>
        </w:rPr>
      </w:pPr>
      <w:r>
        <w:rPr>
          <w:rFonts w:ascii="Times New Roman" w:hAnsi="Times New Roman" w:eastAsia="方正仿宋_GBK" w:cs="Times New Roman"/>
          <w:b w:val="0"/>
          <w:i w:val="0"/>
          <w:iCs/>
          <w:color w:val="000000"/>
          <w:sz w:val="28"/>
          <w:u w:val="none"/>
        </w:rPr>
        <w:t xml:space="preserve">供应商负责本项目侧接口设计、开发、配置、联调、测试、异常处理和文档编制。</w:t>
      </w:r>
      <w:r>
        <w:rPr>
          <w:rFonts w:ascii="Times New Roman" w:hAnsi="Times New Roman" w:eastAsia="方正仿宋_GBK" w:cs="Times New Roman"/>
          <w:b w:val="0"/>
          <w:i w:val="0"/>
          <w:iCs/>
          <w:color w:val="000000"/>
          <w:sz w:val="28"/>
          <w:u w:val="none"/>
        </w:rPr>
      </w:r>
      <w:r/>
    </w:p>
    <w:p>
      <w:pPr>
        <w:pStyle w:val="694"/>
        <w:ind w:right="0" w:firstLine="560"/>
        <w:keepLines w:val="0"/>
        <w:keepNext w:val="0"/>
        <w:pageBreakBefore w:val="0"/>
        <w:spacing w:line="400" w:lineRule="exact"/>
        <w:widowControl w:val="off"/>
        <w:rPr>
          <w:rFonts w:hint="eastAsia" w:ascii="黑体" w:hAnsi="黑体" w:eastAsia="黑体" w:cs="黑体"/>
          <w:b w:val="0"/>
          <w:bCs w:val="0"/>
          <w:color w:val="000000"/>
          <w:sz w:val="28"/>
          <w:szCs w:val="28"/>
        </w:rPr>
      </w:pPr>
      <w:r>
        <w:rPr>
          <w:rFonts w:ascii="Times New Roman" w:hAnsi="Times New Roman" w:eastAsia="方正仿宋_GBK" w:cs="Times New Roman"/>
          <w:b w:val="0"/>
          <w:i w:val="0"/>
          <w:color w:val="000000"/>
          <w:sz w:val="28"/>
          <w:u w:val="none"/>
        </w:rPr>
        <w:t xml:space="preserve">因第三方平台尚未开放、接口条件不具备或者其他非供应商原因暂不能完成真实联调的，供应商完成接口设计、适配开发、模拟测试并提交完整技术文档，经采购人确认后，可按阶段成果验收；待条件在建设期或者质保期内具备后，供应商应完成一次实际联调。</w:t>
      </w:r>
      <w:r>
        <w:rPr>
          <w:rFonts w:hint="eastAsia" w:ascii="黑体" w:hAnsi="黑体" w:eastAsia="黑体" w:cs="黑体"/>
          <w:b w:val="0"/>
          <w:bCs w:val="0"/>
          <w:color w:val="000000"/>
          <w:sz w:val="28"/>
          <w:szCs w:val="28"/>
        </w:rPr>
      </w:r>
      <w:r/>
    </w:p>
    <w:p>
      <w:pPr>
        <w:pStyle w:val="697"/>
        <w:keepLines w:val="0"/>
        <w:keepNext w:val="0"/>
        <w:widowControl/>
        <w:suppressLineNumbers w:val="0"/>
      </w:pPr>
      <w:r>
        <w:t xml:space="preserve">3.3 软硬件及对接环境配置</w:t>
      </w:r>
      <w:r/>
    </w:p>
    <w:p>
      <w:pPr>
        <w:pStyle w:val="756"/>
        <w:keepLines w:val="0"/>
        <w:keepNext w:val="0"/>
        <w:widowControl/>
        <w:suppressLineNumbers w:val="0"/>
      </w:pPr>
      <w:r>
        <w:t xml:space="preserve">本项目不采购服务器、存储、网络、安全设备等硬件，不单独采购商业软件许可证。系统依托省政务云部署，总体架构由基础设施层、数据资源层、应用支撑层和业务应用层组成。其中，基础设施层利用省政务云既有计算、存储、网络和安全资源；数据资源层主要对接江苏省人民防空综合信息平台、全省人防工程“摸底亮码”成果数据及各设区市相关业务数据；应用支撑层依托“苏服办”统一应用框架、统一身份认证、政务地图、短信或者消息服务等公共支撑能力；业务应用层包括公众服务端和后台管理端。</w:t>
      </w:r>
      <w:r/>
    </w:p>
    <w:p>
      <w:pPr>
        <w:pStyle w:val="756"/>
        <w:keepLines w:val="0"/>
        <w:keepNext w:val="0"/>
        <w:widowControl/>
        <w:suppressLineNumbers w:val="0"/>
      </w:pPr>
      <w:r>
        <w:t xml:space="preserve">系统根据业务和安全管理要求部署于互联网区和电子政务外网区。互联网区与电子政务外网区之间的数据交互应当通过接口网关、前置交换或者其他安全可控方式实施，并落实访问控制、身份鉴别、加密传输和日志审计等措施。互联网区应用不得直接访问电子政务外网区内部数据库。</w:t>
      </w:r>
      <w:r/>
    </w:p>
    <w:p>
      <w:pPr>
        <w:pStyle w:val="756"/>
        <w:keepLines w:val="0"/>
        <w:keepNext w:val="0"/>
        <w:widowControl/>
        <w:suppressLineNumbers w:val="0"/>
      </w:pPr>
      <w:r>
        <w:t xml:space="preserve">本项目主要对接内容包括：</w:t>
      </w:r>
      <w:r/>
    </w:p>
    <w:p>
      <w:pPr>
        <w:pStyle w:val="694"/>
        <w:numPr>
          <w:ilvl w:val="0"/>
          <w:numId w:val="5"/>
        </w:numPr>
        <w:ind w:left="720" w:hanging="360"/>
        <w:keepLines w:val="0"/>
        <w:keepNext w:val="0"/>
        <w:spacing w:before="100" w:beforeAutospacing="1" w:after="100" w:afterAutospacing="1"/>
        <w:widowControl/>
        <w:tabs>
          <w:tab w:val="left" w:pos="720" w:leader="none"/>
        </w:tabs>
        <w:suppressLineNumbers w:val="0"/>
      </w:pPr>
      <w:r>
        <w:t xml:space="preserve">“苏服办”统一身份认证、应用集成及统一入口； </w:t>
      </w:r>
      <w:r/>
    </w:p>
    <w:p>
      <w:pPr>
        <w:pStyle w:val="694"/>
        <w:numPr>
          <w:ilvl w:val="0"/>
          <w:numId w:val="5"/>
        </w:numPr>
        <w:ind w:left="720" w:hanging="360"/>
        <w:keepLines w:val="0"/>
        <w:keepNext w:val="0"/>
        <w:spacing w:before="100" w:beforeAutospacing="1" w:after="100" w:afterAutospacing="1"/>
        <w:widowControl/>
        <w:tabs>
          <w:tab w:val="left" w:pos="720" w:leader="none"/>
        </w:tabs>
        <w:suppressLineNumbers w:val="0"/>
      </w:pPr>
      <w:r>
        <w:t xml:space="preserve">政务地图服务，用于点位展示、位置查询和导航； </w:t>
      </w:r>
      <w:r/>
    </w:p>
    <w:p>
      <w:pPr>
        <w:pStyle w:val="694"/>
        <w:numPr>
          <w:ilvl w:val="0"/>
          <w:numId w:val="5"/>
        </w:numPr>
        <w:ind w:left="720" w:hanging="360"/>
        <w:keepLines w:val="0"/>
        <w:keepNext w:val="0"/>
        <w:spacing w:before="100" w:beforeAutospacing="1" w:after="100" w:afterAutospacing="1"/>
        <w:widowControl/>
        <w:tabs>
          <w:tab w:val="left" w:pos="720" w:leader="none"/>
        </w:tabs>
        <w:suppressLineNumbers w:val="0"/>
      </w:pPr>
      <w:r>
        <w:t xml:space="preserve">短信或者消息服务，用于审核提醒、异常提醒及其他业务消息；</w:t>
      </w:r>
      <w:r/>
    </w:p>
    <w:p>
      <w:pPr>
        <w:pStyle w:val="694"/>
        <w:numPr>
          <w:ilvl w:val="0"/>
          <w:numId w:val="5"/>
        </w:numPr>
        <w:ind w:left="720" w:hanging="360"/>
        <w:keepLines w:val="0"/>
        <w:keepNext w:val="0"/>
        <w:spacing w:before="100" w:beforeAutospacing="1" w:after="100" w:afterAutospacing="1"/>
        <w:widowControl/>
        <w:tabs>
          <w:tab w:val="left" w:pos="720" w:leader="none"/>
        </w:tabs>
        <w:suppressLineNumbers w:val="0"/>
      </w:pPr>
      <w:r>
        <w:t xml:space="preserve">江苏省人民防空综合信息平台、政务数据共享交换平台及各设区市相关业务系统，用于人防工程、纳凉点、便民服务点、车位和宣教体验馆等数据交换； </w:t>
      </w:r>
      <w:r/>
    </w:p>
    <w:p>
      <w:pPr>
        <w:pStyle w:val="694"/>
        <w:numPr>
          <w:ilvl w:val="0"/>
          <w:numId w:val="5"/>
        </w:numPr>
        <w:ind w:left="720" w:hanging="360"/>
        <w:keepLines w:val="0"/>
        <w:keepNext w:val="0"/>
        <w:spacing w:before="100" w:beforeAutospacing="1" w:after="100" w:afterAutospacing="1"/>
        <w:widowControl/>
        <w:tabs>
          <w:tab w:val="left" w:pos="720" w:leader="none"/>
        </w:tabs>
        <w:suppressLineNumbers w:val="0"/>
      </w:pPr>
      <w:r>
        <w:t xml:space="preserve">系统公众服务端与后台管理端之间的业务接口及数据同步接口。 </w:t>
      </w:r>
      <w:r/>
    </w:p>
    <w:p>
      <w:pPr>
        <w:pStyle w:val="756"/>
        <w:keepLines w:val="0"/>
        <w:keepNext w:val="0"/>
        <w:widowControl/>
        <w:suppressLineNumbers w:val="0"/>
      </w:pPr>
      <w:r>
        <w:t xml:space="preserve">具体对接方式根据相关平台现有能力，采用标准接口调用、数据交换、前置机同步或者数据导入等方式实施。具备接口条件的，应当通过接口实现数据交互；暂不具备接口条件的，可先通过批量导入或者后台人工维护方式保障业务运行。跨系统对接不得未经授权直接访问相关平台数据库。</w:t>
      </w:r>
      <w:r/>
    </w:p>
    <w:p>
      <w:pPr>
        <w:pStyle w:val="756"/>
        <w:keepLines w:val="0"/>
        <w:keepNext w:val="0"/>
        <w:widowControl/>
        <w:suppressLineNumbers w:val="0"/>
      </w:pPr>
      <w:r>
        <w:t xml:space="preserve">采购人负责提供或者协调省政务云资源、国产化基础软件环境以及上述对接平台所需的接口文档、技术规范、测试账号、联调环境、网络访问策略和必要调用权限。上述平台在本项目批准的数据范围、接口权限及既有服务额度内，由采购人协调向成交供应商免费开放，不向成交供应商收取接口申请、接入、测试联调及既有额度内的调用费用，供应商报价中不得计取上述费用。</w:t>
      </w:r>
      <w:r/>
    </w:p>
    <w:p>
      <w:pPr>
        <w:pStyle w:val="756"/>
        <w:keepLines w:val="0"/>
        <w:keepNext w:val="0"/>
        <w:widowControl/>
        <w:suppressLineNumbers w:val="0"/>
      </w:pPr>
      <w:r>
        <w:t xml:space="preserve">成交供应商负责本项目侧的接口开发、数据转换、适配改造、部署调试和联调测试，并完成与采购人现有操作系统、中间件、数据库、浏览器及相关基础环境的适配，不得以正常接口对接和适配工作另行收费，不得采用特定品牌绑定方式实施。</w:t>
      </w:r>
      <w:r/>
    </w:p>
    <w:p>
      <w:pPr>
        <w:pStyle w:val="756"/>
        <w:keepLines w:val="0"/>
        <w:keepNext w:val="0"/>
        <w:widowControl/>
        <w:rPr>
          <w:rFonts w:hint="eastAsia" w:ascii="仿宋" w:hAnsi="仿宋" w:eastAsia="仿宋" w:cs="仿宋"/>
          <w:bCs/>
          <w:color w:val="000000"/>
          <w:sz w:val="28"/>
          <w:szCs w:val="28"/>
        </w:rPr>
        <w:suppressLineNumbers w:val="0"/>
      </w:pPr>
      <w:r>
        <w:t xml:space="preserve">因相关平台政策调整、调用量超出既有服务额度，或者确需新增商业服务、软件许可及其他第三方付费资源的，成交供应商应当事先书面说明，由采购人确认后另行处理；未经采购人书面确认，成交供应商不得擅自购买、使用或者向采购人收取相关费用。</w:t>
      </w:r>
      <w:r>
        <w:rPr>
          <w:rFonts w:hint="eastAsia" w:ascii="仿宋" w:hAnsi="仿宋" w:eastAsia="仿宋" w:cs="仿宋"/>
          <w:bCs/>
          <w:color w:val="000000"/>
          <w:sz w:val="28"/>
          <w:szCs w:val="28"/>
        </w:rPr>
      </w:r>
      <w:r/>
    </w:p>
    <w:p>
      <w:pPr>
        <w:pStyle w:val="808"/>
        <w:ind w:firstLine="560"/>
        <w:jc w:val="left"/>
        <w:keepLines/>
        <w:keepNext/>
        <w:pageBreakBefore w:val="0"/>
        <w:spacing w:line="400" w:lineRule="exact"/>
        <w:widowControl w:val="off"/>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rPr>
        <w:t xml:space="preserve">3.4 技术指标要求</w:t>
      </w:r>
      <w:r>
        <w:rPr>
          <w:rFonts w:hint="eastAsia" w:ascii="黑体" w:hAnsi="黑体" w:eastAsia="黑体" w:cs="黑体"/>
          <w:b w:val="0"/>
          <w:bCs w:val="0"/>
          <w:color w:val="000000"/>
          <w:sz w:val="28"/>
          <w:szCs w:val="28"/>
        </w:rPr>
      </w:r>
      <w:r/>
    </w:p>
    <w:tbl>
      <w:tblPr>
        <w:tblW w:w="8306" w:type="dxa"/>
        <w:tblInd w:w="0"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70" w:type="dxa"/>
          <w:top w:w="70" w:type="dxa"/>
          <w:right w:w="70" w:type="dxa"/>
          <w:bottom w:w="70" w:type="dxa"/>
        </w:tblCellMar>
        <w:tblLook w:val="04A0" w:firstRow="1" w:lastRow="0" w:firstColumn="1" w:lastColumn="0" w:noHBand="0" w:noVBand="1"/>
      </w:tblPr>
      <w:tblGrid>
        <w:gridCol w:w="650"/>
        <w:gridCol w:w="1550"/>
        <w:gridCol w:w="6106"/>
      </w:tblGrid>
      <w:tr>
        <w:trPr>
          <w:tblHeader/>
        </w:trPr>
        <w:tc>
          <w:tcPr>
            <w:shd w:val="clear" w:color="auto" w:fill="d9e2f3"/>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ans CJK SC"/>
                <w:b/>
                <w:sz w:val="20"/>
              </w:rPr>
              <w:t xml:space="preserve">序号</w:t>
            </w:r>
            <w:r/>
          </w:p>
        </w:tc>
        <w:tc>
          <w:tcPr>
            <w:shd w:val="clear" w:color="auto" w:fill="d9e2f3"/>
            <w:tcMar>
              <w:left w:w="70" w:type="dxa"/>
              <w:top w:w="70" w:type="dxa"/>
              <w:right w:w="70" w:type="dxa"/>
              <w:bottom w:w="70" w:type="dxa"/>
            </w:tcMar>
            <w:tcW w:w="1550" w:type="dxa"/>
            <w:vAlign w:val="center"/>
            <w:textDirection w:val="lrTb"/>
            <w:noWrap w:val="false"/>
          </w:tcPr>
          <w:p>
            <w:pPr>
              <w:pStyle w:val="694"/>
              <w:jc w:val="center"/>
              <w:spacing w:before="0" w:after="0" w:line="240" w:lineRule="auto"/>
            </w:pPr>
            <w:r>
              <w:rPr>
                <w:rFonts w:ascii="Times New Roman" w:hAnsi="Times New Roman" w:eastAsia="Noto Sans CJK SC"/>
                <w:b/>
                <w:sz w:val="20"/>
              </w:rPr>
              <w:t xml:space="preserve">技术指标</w:t>
            </w:r>
            <w:r/>
          </w:p>
        </w:tc>
        <w:tc>
          <w:tcPr>
            <w:shd w:val="clear" w:color="auto" w:fill="d9e2f3"/>
            <w:tcMar>
              <w:left w:w="70" w:type="dxa"/>
              <w:top w:w="70" w:type="dxa"/>
              <w:right w:w="70" w:type="dxa"/>
              <w:bottom w:w="70" w:type="dxa"/>
            </w:tcMar>
            <w:tcW w:w="6106" w:type="dxa"/>
            <w:vAlign w:val="center"/>
            <w:textDirection w:val="lrTb"/>
            <w:noWrap w:val="false"/>
          </w:tcPr>
          <w:p>
            <w:pPr>
              <w:pStyle w:val="694"/>
              <w:jc w:val="center"/>
              <w:spacing w:before="0" w:after="0" w:line="240" w:lineRule="auto"/>
            </w:pPr>
            <w:r>
              <w:rPr>
                <w:rFonts w:ascii="Times New Roman" w:hAnsi="Times New Roman" w:eastAsia="Noto Sans CJK SC"/>
                <w:b/>
                <w:sz w:val="20"/>
              </w:rPr>
              <w:t xml:space="preserve">具体参数</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20"/>
              </w:rPr>
              <w:t xml:space="preserve">1</w:t>
            </w:r>
            <w:r/>
          </w:p>
        </w:tc>
        <w:tc>
          <w:tcPr>
            <w:tcMar>
              <w:left w:w="70" w:type="dxa"/>
              <w:top w:w="70" w:type="dxa"/>
              <w:right w:w="70" w:type="dxa"/>
              <w:bottom w:w="70" w:type="dxa"/>
            </w:tcMar>
            <w:tcW w:w="1550" w:type="dxa"/>
            <w:vAlign w:val="center"/>
            <w:textDirection w:val="lrTb"/>
            <w:noWrap w:val="false"/>
          </w:tcPr>
          <w:p>
            <w:pPr>
              <w:pStyle w:val="694"/>
              <w:jc w:val="center"/>
              <w:spacing w:before="0" w:after="0" w:line="240" w:lineRule="auto"/>
            </w:pPr>
            <w:r>
              <w:rPr>
                <w:rFonts w:ascii="Times New Roman" w:hAnsi="Times New Roman" w:eastAsia="Noto Serif SC"/>
                <w:b w:val="0"/>
                <w:sz w:val="20"/>
              </w:rPr>
              <w:t xml:space="preserve">总体架构</w:t>
            </w:r>
            <w:r/>
          </w:p>
        </w:tc>
        <w:tc>
          <w:tcPr>
            <w:tcMar>
              <w:left w:w="70" w:type="dxa"/>
              <w:top w:w="70" w:type="dxa"/>
              <w:right w:w="70" w:type="dxa"/>
              <w:bottom w:w="70" w:type="dxa"/>
            </w:tcMar>
            <w:tcW w:w="6106" w:type="dxa"/>
            <w:vAlign w:val="center"/>
            <w:textDirection w:val="lrTb"/>
            <w:noWrap w:val="false"/>
          </w:tcPr>
          <w:p>
            <w:pPr>
              <w:pStyle w:val="694"/>
              <w:jc w:val="left"/>
              <w:spacing w:before="0" w:after="0" w:line="240" w:lineRule="auto"/>
            </w:pPr>
            <w:r>
              <w:rPr>
                <w:rFonts w:ascii="Times New Roman" w:hAnsi="Times New Roman" w:eastAsia="Noto Serif SC"/>
                <w:b w:val="0"/>
                <w:sz w:val="20"/>
              </w:rPr>
              <w:t xml:space="preserve">采用分层、模块化、配置化、接口化架构，建设公众服务端、后台管理端、数据资源层、接口服务层和安全保障体系，各模块边界清晰，便于扩展和维护。</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20"/>
              </w:rPr>
              <w:t xml:space="preserve">2</w:t>
            </w:r>
            <w:r/>
          </w:p>
        </w:tc>
        <w:tc>
          <w:tcPr>
            <w:tcMar>
              <w:left w:w="70" w:type="dxa"/>
              <w:top w:w="70" w:type="dxa"/>
              <w:right w:w="70" w:type="dxa"/>
              <w:bottom w:w="70" w:type="dxa"/>
            </w:tcMar>
            <w:tcW w:w="1550" w:type="dxa"/>
            <w:vAlign w:val="center"/>
            <w:textDirection w:val="lrTb"/>
            <w:noWrap w:val="false"/>
          </w:tcPr>
          <w:p>
            <w:pPr>
              <w:pStyle w:val="694"/>
              <w:jc w:val="center"/>
              <w:spacing w:before="0" w:after="0" w:line="240" w:lineRule="auto"/>
            </w:pPr>
            <w:r>
              <w:rPr>
                <w:rFonts w:ascii="Times New Roman" w:hAnsi="Times New Roman" w:eastAsia="Noto Serif SC"/>
                <w:b w:val="0"/>
                <w:sz w:val="20"/>
              </w:rPr>
              <w:t xml:space="preserve">平台接入</w:t>
            </w:r>
            <w:r/>
          </w:p>
        </w:tc>
        <w:tc>
          <w:tcPr>
            <w:tcMar>
              <w:left w:w="70" w:type="dxa"/>
              <w:top w:w="70" w:type="dxa"/>
              <w:right w:w="70" w:type="dxa"/>
              <w:bottom w:w="70" w:type="dxa"/>
            </w:tcMar>
            <w:tcW w:w="6106" w:type="dxa"/>
            <w:vAlign w:val="center"/>
            <w:textDirection w:val="lrTb"/>
            <w:noWrap w:val="false"/>
          </w:tcPr>
          <w:p>
            <w:pPr>
              <w:pStyle w:val="694"/>
              <w:jc w:val="left"/>
              <w:spacing w:before="0" w:after="0" w:line="240" w:lineRule="auto"/>
            </w:pPr>
            <w:r>
              <w:rPr>
                <w:rFonts w:ascii="Times New Roman" w:hAnsi="Times New Roman" w:eastAsia="Noto Serif SC"/>
                <w:b w:val="0"/>
                <w:sz w:val="20"/>
              </w:rPr>
              <w:t xml:space="preserve">公众服务端依托“苏服办”统一应用框架接入，遵循江苏一体化政务服务平台移动端应用接入、统一身份认证、统一视觉和运营管理等当期规范。</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20"/>
              </w:rPr>
              <w:t xml:space="preserve">3</w:t>
            </w:r>
            <w:r/>
          </w:p>
        </w:tc>
        <w:tc>
          <w:tcPr>
            <w:tcMar>
              <w:left w:w="70" w:type="dxa"/>
              <w:top w:w="70" w:type="dxa"/>
              <w:right w:w="70" w:type="dxa"/>
              <w:bottom w:w="70" w:type="dxa"/>
            </w:tcMar>
            <w:tcW w:w="1550" w:type="dxa"/>
            <w:vAlign w:val="center"/>
            <w:textDirection w:val="lrTb"/>
            <w:noWrap w:val="false"/>
          </w:tcPr>
          <w:p>
            <w:pPr>
              <w:pStyle w:val="694"/>
              <w:jc w:val="center"/>
              <w:spacing w:before="0" w:after="0" w:line="240" w:lineRule="auto"/>
            </w:pPr>
            <w:r>
              <w:rPr>
                <w:rFonts w:ascii="Times New Roman" w:hAnsi="Times New Roman" w:eastAsia="Noto Serif SC"/>
                <w:b w:val="0"/>
                <w:sz w:val="20"/>
              </w:rPr>
              <w:t xml:space="preserve">部署环境</w:t>
            </w:r>
            <w:r/>
          </w:p>
        </w:tc>
        <w:tc>
          <w:tcPr>
            <w:tcMar>
              <w:left w:w="70" w:type="dxa"/>
              <w:top w:w="70" w:type="dxa"/>
              <w:right w:w="70" w:type="dxa"/>
              <w:bottom w:w="70" w:type="dxa"/>
            </w:tcMar>
            <w:tcW w:w="6106" w:type="dxa"/>
            <w:vAlign w:val="center"/>
            <w:textDirection w:val="lrTb"/>
            <w:noWrap w:val="false"/>
          </w:tcPr>
          <w:p>
            <w:pPr>
              <w:pStyle w:val="694"/>
              <w:jc w:val="left"/>
              <w:spacing w:before="0" w:after="0" w:line="240" w:lineRule="auto"/>
            </w:pPr>
            <w:r>
              <w:rPr>
                <w:rFonts w:ascii="Times New Roman" w:hAnsi="Times New Roman" w:eastAsia="Noto Serif SC"/>
                <w:b w:val="0"/>
                <w:sz w:val="20"/>
              </w:rPr>
              <w:t xml:space="preserve">结合采购人提供的省政务云资源和既有政务信息化环境完成部署适配。公众访问、内部管理及跨网数据交换按照采购人明确的网络区域和安全边界实施；云平台、网络和安全基础设施建设改造不纳入本项目。</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20"/>
              </w:rPr>
              <w:t xml:space="preserve">4</w:t>
            </w:r>
            <w:r/>
          </w:p>
        </w:tc>
        <w:tc>
          <w:tcPr>
            <w:tcMar>
              <w:left w:w="70" w:type="dxa"/>
              <w:top w:w="70" w:type="dxa"/>
              <w:right w:w="70" w:type="dxa"/>
              <w:bottom w:w="70" w:type="dxa"/>
            </w:tcMar>
            <w:tcW w:w="1550" w:type="dxa"/>
            <w:vAlign w:val="center"/>
            <w:textDirection w:val="lrTb"/>
            <w:noWrap w:val="false"/>
          </w:tcPr>
          <w:p>
            <w:pPr>
              <w:pStyle w:val="694"/>
              <w:jc w:val="center"/>
              <w:spacing w:before="0" w:after="0" w:line="240" w:lineRule="auto"/>
            </w:pPr>
            <w:r>
              <w:rPr>
                <w:rFonts w:ascii="Times New Roman" w:hAnsi="Times New Roman" w:eastAsia="Noto Serif SC"/>
                <w:b w:val="0"/>
                <w:sz w:val="20"/>
              </w:rPr>
              <w:t xml:space="preserve">技术适配</w:t>
            </w:r>
            <w:r/>
          </w:p>
        </w:tc>
        <w:tc>
          <w:tcPr>
            <w:tcMar>
              <w:left w:w="70" w:type="dxa"/>
              <w:top w:w="70" w:type="dxa"/>
              <w:right w:w="70" w:type="dxa"/>
              <w:bottom w:w="70" w:type="dxa"/>
            </w:tcMar>
            <w:tcW w:w="6106" w:type="dxa"/>
            <w:vAlign w:val="center"/>
            <w:textDirection w:val="lrTb"/>
            <w:noWrap w:val="false"/>
          </w:tcPr>
          <w:p>
            <w:pPr>
              <w:pStyle w:val="694"/>
              <w:jc w:val="left"/>
              <w:spacing w:before="0" w:after="0" w:line="240" w:lineRule="auto"/>
            </w:pPr>
            <w:r>
              <w:rPr>
                <w:rFonts w:ascii="Times New Roman" w:hAnsi="Times New Roman" w:eastAsia="Noto Serif SC"/>
                <w:b w:val="0"/>
                <w:sz w:val="20"/>
              </w:rPr>
              <w:t xml:space="preserve">支持IPv6，适配“苏服办”当期技术规范及采购人现有国产化办公和基础软件环境。采购人在合同签订后提供环境清单；供应商应充分考虑常见国产化环境适配工作，不得以特定品牌绑定方式实施。</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20"/>
              </w:rPr>
              <w:t xml:space="preserve">5</w:t>
            </w:r>
            <w:r/>
          </w:p>
        </w:tc>
        <w:tc>
          <w:tcPr>
            <w:tcMar>
              <w:left w:w="70" w:type="dxa"/>
              <w:top w:w="70" w:type="dxa"/>
              <w:right w:w="70" w:type="dxa"/>
              <w:bottom w:w="70" w:type="dxa"/>
            </w:tcMar>
            <w:tcW w:w="1550" w:type="dxa"/>
            <w:vAlign w:val="center"/>
            <w:textDirection w:val="lrTb"/>
            <w:noWrap w:val="false"/>
          </w:tcPr>
          <w:p>
            <w:pPr>
              <w:pStyle w:val="694"/>
              <w:jc w:val="center"/>
              <w:spacing w:before="0" w:after="0" w:line="240" w:lineRule="auto"/>
            </w:pPr>
            <w:r>
              <w:rPr>
                <w:rFonts w:ascii="Times New Roman" w:hAnsi="Times New Roman" w:eastAsia="Noto Serif SC"/>
                <w:b w:val="0"/>
                <w:sz w:val="20"/>
              </w:rPr>
              <w:t xml:space="preserve">开放性</w:t>
            </w:r>
            <w:r/>
          </w:p>
        </w:tc>
        <w:tc>
          <w:tcPr>
            <w:tcMar>
              <w:left w:w="70" w:type="dxa"/>
              <w:top w:w="70" w:type="dxa"/>
              <w:right w:w="70" w:type="dxa"/>
              <w:bottom w:w="70" w:type="dxa"/>
            </w:tcMar>
            <w:tcW w:w="6106" w:type="dxa"/>
            <w:vAlign w:val="center"/>
            <w:textDirection w:val="lrTb"/>
            <w:noWrap w:val="false"/>
          </w:tcPr>
          <w:p>
            <w:pPr>
              <w:pStyle w:val="694"/>
              <w:jc w:val="left"/>
              <w:spacing w:before="0" w:after="0" w:line="240" w:lineRule="auto"/>
            </w:pPr>
            <w:r>
              <w:rPr>
                <w:rFonts w:ascii="Times New Roman" w:hAnsi="Times New Roman" w:eastAsia="Noto Serif SC"/>
                <w:b w:val="0"/>
                <w:sz w:val="20"/>
              </w:rPr>
              <w:t xml:space="preserve">提供完整、开放、可维护的接口和技术文档。系统参数、字典、栏目、服务入口、审核节点、展示排序等应尽可能支持配置化管理。</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20"/>
              </w:rPr>
              <w:t xml:space="preserve">6</w:t>
            </w:r>
            <w:r/>
          </w:p>
        </w:tc>
        <w:tc>
          <w:tcPr>
            <w:tcMar>
              <w:left w:w="70" w:type="dxa"/>
              <w:top w:w="70" w:type="dxa"/>
              <w:right w:w="70" w:type="dxa"/>
              <w:bottom w:w="70" w:type="dxa"/>
            </w:tcMar>
            <w:tcW w:w="1550" w:type="dxa"/>
            <w:vAlign w:val="center"/>
            <w:textDirection w:val="lrTb"/>
            <w:noWrap w:val="false"/>
          </w:tcPr>
          <w:p>
            <w:pPr>
              <w:pStyle w:val="694"/>
              <w:jc w:val="center"/>
              <w:spacing w:before="0" w:after="0" w:line="240" w:lineRule="auto"/>
            </w:pPr>
            <w:r>
              <w:rPr>
                <w:rFonts w:ascii="Times New Roman" w:hAnsi="Times New Roman" w:eastAsia="Noto Serif SC"/>
                <w:b w:val="0"/>
                <w:sz w:val="20"/>
              </w:rPr>
              <w:t xml:space="preserve">数据原则</w:t>
            </w:r>
            <w:r/>
          </w:p>
        </w:tc>
        <w:tc>
          <w:tcPr>
            <w:tcMar>
              <w:left w:w="70" w:type="dxa"/>
              <w:top w:w="70" w:type="dxa"/>
              <w:right w:w="70" w:type="dxa"/>
              <w:bottom w:w="70" w:type="dxa"/>
            </w:tcMar>
            <w:tcW w:w="6106" w:type="dxa"/>
            <w:vAlign w:val="center"/>
            <w:textDirection w:val="lrTb"/>
            <w:noWrap w:val="false"/>
          </w:tcPr>
          <w:p>
            <w:pPr>
              <w:pStyle w:val="694"/>
              <w:jc w:val="left"/>
              <w:spacing w:before="0" w:after="0" w:line="240" w:lineRule="auto"/>
            </w:pPr>
            <w:r>
              <w:rPr>
                <w:rFonts w:ascii="Times New Roman" w:hAnsi="Times New Roman" w:eastAsia="Noto Serif SC"/>
                <w:b w:val="0"/>
                <w:sz w:val="20"/>
              </w:rPr>
              <w:t xml:space="preserve">坚持数据分类分级、最小必要公开、发布前审核、全过程留痕。敏感人防工程信息和不宜公开字段不得向公众端发布。</w:t>
            </w:r>
            <w:r/>
          </w:p>
        </w:tc>
      </w:tr>
      <w:tr>
        <w:trPr/>
        <w:tc>
          <w:tcPr>
            <w:tcMar>
              <w:left w:w="70" w:type="dxa"/>
              <w:top w:w="70" w:type="dxa"/>
              <w:right w:w="70" w:type="dxa"/>
              <w:bottom w:w="70" w:type="dxa"/>
            </w:tcMar>
            <w:tcW w:w="650" w:type="dxa"/>
            <w:vAlign w:val="center"/>
            <w:textDirection w:val="lrTb"/>
            <w:noWrap w:val="false"/>
          </w:tcPr>
          <w:p>
            <w:pPr>
              <w:pStyle w:val="694"/>
              <w:jc w:val="center"/>
              <w:spacing w:before="0" w:after="0" w:line="240" w:lineRule="auto"/>
            </w:pPr>
            <w:r>
              <w:rPr>
                <w:rFonts w:ascii="Times New Roman" w:hAnsi="Times New Roman" w:eastAsia="Noto Serif SC"/>
                <w:b w:val="0"/>
                <w:sz w:val="20"/>
              </w:rPr>
              <w:t xml:space="preserve">7</w:t>
            </w:r>
            <w:r/>
          </w:p>
        </w:tc>
        <w:tc>
          <w:tcPr>
            <w:tcMar>
              <w:left w:w="70" w:type="dxa"/>
              <w:top w:w="70" w:type="dxa"/>
              <w:right w:w="70" w:type="dxa"/>
              <w:bottom w:w="70" w:type="dxa"/>
            </w:tcMar>
            <w:tcW w:w="1550" w:type="dxa"/>
            <w:vAlign w:val="center"/>
            <w:textDirection w:val="lrTb"/>
            <w:noWrap w:val="false"/>
          </w:tcPr>
          <w:p>
            <w:pPr>
              <w:pStyle w:val="694"/>
              <w:jc w:val="center"/>
              <w:spacing w:before="0" w:after="0" w:line="240" w:lineRule="auto"/>
            </w:pPr>
            <w:r>
              <w:rPr>
                <w:rFonts w:ascii="Times New Roman" w:hAnsi="Times New Roman" w:eastAsia="Noto Serif SC"/>
                <w:b w:val="0"/>
                <w:sz w:val="20"/>
              </w:rPr>
              <w:t xml:space="preserve">用户体验</w:t>
            </w:r>
            <w:r/>
          </w:p>
        </w:tc>
        <w:tc>
          <w:tcPr>
            <w:tcMar>
              <w:left w:w="70" w:type="dxa"/>
              <w:top w:w="70" w:type="dxa"/>
              <w:right w:w="70" w:type="dxa"/>
              <w:bottom w:w="70" w:type="dxa"/>
            </w:tcMar>
            <w:tcW w:w="6106" w:type="dxa"/>
            <w:vAlign w:val="center"/>
            <w:textDirection w:val="lrTb"/>
            <w:noWrap w:val="false"/>
          </w:tcPr>
          <w:p>
            <w:pPr>
              <w:pStyle w:val="694"/>
              <w:jc w:val="left"/>
              <w:spacing w:before="0" w:after="0" w:line="240" w:lineRule="auto"/>
            </w:pPr>
            <w:r>
              <w:rPr>
                <w:rFonts w:ascii="Times New Roman" w:hAnsi="Times New Roman" w:eastAsia="Noto Serif SC"/>
                <w:b w:val="0"/>
                <w:sz w:val="20"/>
              </w:rPr>
              <w:t xml:space="preserve">界面简洁、层级清晰、操作便捷，适配主流移动终端，兼顾适老化、无障碍和异常状态提示。</w:t>
            </w:r>
            <w:r/>
          </w:p>
        </w:tc>
      </w:tr>
    </w:tbl>
    <w:p>
      <w:pPr>
        <w:pStyle w:val="808"/>
        <w:ind w:firstLine="560"/>
        <w:jc w:val="left"/>
        <w:keepLines/>
        <w:keepNext/>
        <w:pageBreakBefore w:val="0"/>
        <w:spacing w:line="400" w:lineRule="exact"/>
        <w:widowControl w:val="off"/>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rPr>
        <w:t xml:space="preserve">3.5 性能要求</w:t>
      </w:r>
      <w:r>
        <w:rPr>
          <w:rFonts w:hint="eastAsia" w:ascii="黑体" w:hAnsi="黑体" w:eastAsia="黑体" w:cs="黑体"/>
          <w:b w:val="0"/>
          <w:bCs w:val="0"/>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一）性能。在采购人提供的部署环境、测试数据和正常网络条件下，除地图加载、文件上传下载及受第三方接口响应影响的页面外，公众端主要页面首次加载原则上不超过3秒、非首次加载和一般查询平均响应时间原则上不超过2秒；支持不少于200个并发用户，连续30分钟压力测试成功率不低于99%。</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（二）可靠性。具备异常捕获、服务监测、日志分析、数据备份和恢复能力；重要操作支持事务控制或者补偿处理，避免重复提交和数据不一致。</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（三）兼容性。公众端适配“苏服办”当期支持的移动操作系统和终端；后台适配采购人现有国产化办公终端及浏览器环境，并兼容当前仍在官方支持周期内的主流Chromium内核浏览器。</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（四）可维护性。代码结构清晰、注释完整，配置与代码适当分离；提供部署、运维、接口、数据库、故障处置等文档和知识转移。</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（五）可扩展性。支持新增同类服务场景、数据类型和外部服务入口，避免通过大规模修改核心代码才能扩展。</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（六）可用性。关键路径清晰，输入校验、状态反馈和错误提示准确；地图、音频、查询、导入导出等功能使用顺畅，兼顾适老化和无障碍。</w:t>
      </w:r>
      <w:r>
        <w:rPr>
          <w:rFonts w:hint="eastAsia" w:ascii="仿宋" w:hAnsi="仿宋" w:eastAsia="仿宋" w:cs="仿宋"/>
          <w:bCs/>
          <w:color w:val="000000"/>
          <w:sz w:val="28"/>
          <w:szCs w:val="28"/>
        </w:rPr>
      </w:r>
      <w:r/>
    </w:p>
    <w:p>
      <w:pPr>
        <w:pStyle w:val="808"/>
        <w:ind w:firstLine="560"/>
        <w:jc w:val="left"/>
        <w:keepLines/>
        <w:keepNext/>
        <w:pageBreakBefore w:val="0"/>
        <w:spacing w:line="400" w:lineRule="exact"/>
        <w:widowControl w:val="off"/>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rPr>
        <w:t xml:space="preserve">3.6 安全要求</w:t>
      </w:r>
      <w:r>
        <w:rPr>
          <w:rFonts w:hint="eastAsia" w:ascii="黑体" w:hAnsi="黑体" w:eastAsia="黑体" w:cs="黑体"/>
          <w:b w:val="0"/>
          <w:bCs w:val="0"/>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一）合规要求。按照网络安全等级保护三级相关要求开展应用设计和开发，遵守网络安全、数据安全、个人信息保护、密码应用和政务信息系统建设有关规定。供应商配合采购人开展定级、备案、测评和安全检查，并无偿整改属于本项目定制开发代码、应用配置和接口实现的问题。第三方等保测评、密码评估和正式检测费用不包含在本项目报价中。</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（二）身份权限。后台采用可靠身份认证，落实分级授权、最小权限、强口令、会话控制和权限变更审计，严禁越权访问。</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（三）应用与接口安全。采取输入校验、访问控制、接口鉴权、防重放、限流和漏洞防护等措施；上线前完成内部安全测试、漏洞扫描和代码安全检查并提交报告。</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（四）数据安全。建立数据分类分级、公开审核、传输和存储保护、备份恢复、脱敏展示、导入导出控制、日志留痕和异常处置机制。</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（五）公开边界。公众端仅展示经业务审核允许公开的必要字段。涉及工程防护能力、内部结构、战时用途、工程编号、精确敏感位置等信息不得发布。</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（六）个人信息。遵循最小必要原则采集个人信息，明示处理规则并采取安全措施，不得将数据用于合同以外目的。</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仿宋" w:hAnsi="仿宋" w:eastAsia="仿宋" w:cs="仿宋"/>
          <w:bCs/>
          <w:color w:val="000000"/>
          <w:sz w:val="28"/>
          <w:szCs w:val="28"/>
        </w:rPr>
        <w:t xml:space="preserve">（七）安全事件。制定安全事件应急预案，发生或者疑似发生数据泄露、攻击入侵、恶意篡改等事件时立即处置并报告。</w:t>
      </w:r>
      <w:r>
        <w:rPr>
          <w:rFonts w:hint="eastAsia" w:ascii="方正黑体_GBK" w:hAnsi="方正黑体_GBK" w:eastAsia="方正黑体_GBK" w:cs="方正黑体_GBK"/>
          <w:b w:val="0"/>
          <w:bCs w:val="0"/>
          <w:sz w:val="28"/>
          <w:szCs w:val="28"/>
          <w:lang w:val="en-US" w:eastAsia="zh-CN"/>
        </w:rPr>
      </w:r>
      <w:r/>
    </w:p>
    <w:p>
      <w:pPr>
        <w:pStyle w:val="696"/>
        <w:ind w:firstLine="560"/>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四、商务要求</w:t>
      </w:r>
      <w:r>
        <w:rPr>
          <w:rFonts w:hint="eastAsia" w:ascii="方正黑体_GBK" w:hAnsi="方正黑体_GBK" w:eastAsia="方正黑体_GBK" w:cs="方正黑体_GBK"/>
          <w:b w:val="0"/>
          <w:bCs w:val="0"/>
          <w:sz w:val="28"/>
          <w:szCs w:val="28"/>
          <w:lang w:val="en-US" w:eastAsia="zh-CN"/>
        </w:rPr>
      </w:r>
      <w:r/>
    </w:p>
    <w:p>
      <w:pPr>
        <w:pStyle w:val="808"/>
        <w:ind w:firstLine="560"/>
        <w:jc w:val="left"/>
        <w:keepLines/>
        <w:keepNext/>
        <w:pageBreakBefore w:val="0"/>
        <w:spacing w:line="400" w:lineRule="exact"/>
        <w:widowControl w:val="off"/>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rPr>
        <w:t xml:space="preserve">4.1 交付时间和地点</w:t>
      </w:r>
      <w:r>
        <w:rPr>
          <w:rFonts w:hint="eastAsia" w:ascii="黑体" w:hAnsi="黑体" w:eastAsia="黑体" w:cs="黑体"/>
          <w:b w:val="0"/>
          <w:bCs w:val="0"/>
          <w:color w:val="000000"/>
          <w:sz w:val="28"/>
          <w:szCs w:val="28"/>
        </w:rPr>
      </w:r>
      <w:r/>
    </w:p>
    <w:p>
      <w:pPr>
        <w:pStyle w:val="694"/>
        <w:ind w:firstLine="418"/>
        <w:jc w:val="both"/>
        <w:keepNext w:val="0"/>
        <w:pageBreakBefore w:val="0"/>
        <w:spacing w:before="0" w:after="80" w:line="348" w:lineRule="auto"/>
        <w:rPr>
          <w:rFonts w:hint="eastAsia" w:ascii="方正仿宋_GBK" w:hAnsi="方正仿宋_GBK" w:eastAsia="方正仿宋_GBK" w:cs="方正仿宋_GBK"/>
          <w:color w:val="000000"/>
        </w:rPr>
      </w:pPr>
      <w:r>
        <w:rPr>
          <w:rFonts w:hint="eastAsia" w:ascii="方正仿宋_GBK" w:hAnsi="方正仿宋_GBK" w:eastAsia="方正仿宋_GBK" w:cs="方正仿宋_GBK"/>
          <w:b w:val="0"/>
          <w:i/>
          <w:color w:val="000000"/>
          <w:sz w:val="28"/>
          <w:u w:val="single"/>
        </w:rPr>
        <w:t xml:space="preserve">交付时间：自合同签订之日起</w:t>
      </w:r>
      <w:r>
        <w:rPr>
          <w:rFonts w:hint="eastAsia" w:ascii="方正仿宋_GBK" w:hAnsi="方正仿宋_GBK" w:eastAsia="方正仿宋_GBK" w:cs="方正仿宋_GBK"/>
          <w:b w:val="0"/>
          <w:i/>
          <w:color w:val="000000"/>
          <w:sz w:val="28"/>
          <w:u w:val="single"/>
          <w:lang w:val="en-US" w:eastAsia="zh-CN"/>
        </w:rPr>
        <w:t xml:space="preserve">2</w:t>
      </w:r>
      <w:r>
        <w:rPr>
          <w:rFonts w:hint="eastAsia" w:ascii="方正仿宋_GBK" w:hAnsi="方正仿宋_GBK" w:eastAsia="方正仿宋_GBK" w:cs="方正仿宋_GBK"/>
          <w:b w:val="0"/>
          <w:i/>
          <w:color w:val="000000"/>
          <w:sz w:val="28"/>
          <w:u w:val="single"/>
        </w:rPr>
        <w:t xml:space="preserve">个月内完成软件开发、接口集成、部署测试、上架配合、培训和成果交付，并具备试运行条件。</w:t>
      </w:r>
      <w:r>
        <w:rPr>
          <w:rFonts w:hint="eastAsia" w:ascii="方正仿宋_GBK" w:hAnsi="方正仿宋_GBK" w:eastAsia="方正仿宋_GBK" w:cs="方正仿宋_GBK"/>
          <w:color w:val="000000"/>
        </w:rPr>
      </w:r>
      <w:r/>
    </w:p>
    <w:p>
      <w:pPr>
        <w:pStyle w:val="694"/>
        <w:ind w:right="0" w:firstLine="560"/>
        <w:keepLines w:val="0"/>
        <w:keepNext w:val="0"/>
        <w:pageBreakBefore w:val="0"/>
        <w:spacing w:line="400" w:lineRule="exact"/>
        <w:widowControl w:val="off"/>
        <w:rPr>
          <w:rFonts w:hint="eastAsia" w:ascii="方正仿宋_GBK" w:hAnsi="方正仿宋_GBK" w:eastAsia="方正仿宋_GBK" w:cs="方正仿宋_GBK"/>
          <w:bCs/>
          <w:i/>
          <w:iCs/>
          <w:color w:val="000000"/>
          <w:sz w:val="28"/>
          <w:szCs w:val="28"/>
          <w:u w:val="single"/>
        </w:rPr>
      </w:pPr>
      <w:r>
        <w:rPr>
          <w:rFonts w:hint="eastAsia" w:ascii="方正仿宋_GBK" w:hAnsi="方正仿宋_GBK" w:eastAsia="方正仿宋_GBK" w:cs="方正仿宋_GBK"/>
          <w:bCs/>
          <w:i/>
          <w:iCs/>
          <w:color w:val="000000"/>
          <w:sz w:val="28"/>
          <w:szCs w:val="28"/>
          <w:u w:val="single"/>
        </w:rPr>
        <w:t xml:space="preserve">交付地点：</w:t>
      </w:r>
      <w:r>
        <w:rPr>
          <w:rFonts w:ascii="宋体" w:hAnsi="宋体" w:eastAsia="宋体" w:cs="宋体"/>
          <w:sz w:val="24"/>
          <w:szCs w:val="24"/>
        </w:rPr>
        <w:t xml:space="preserve">系统部署、测试及试运行地点为江苏省政务云中由采购人分配的互联网区、电子政务外网区相关资源环境；现场实施、培训、项目成果移交及验收地点为江苏省国防动员办公室，地址：</w:t>
      </w:r>
      <w:r>
        <w:rPr>
          <w:rStyle w:val="765"/>
          <w:rFonts w:ascii="宋体" w:hAnsi="宋体" w:eastAsia="宋体" w:cs="宋体"/>
          <w:sz w:val="24"/>
          <w:szCs w:val="24"/>
        </w:rPr>
        <w:t xml:space="preserve">南京市宁夏路马鞍山1号</w:t>
      </w:r>
      <w:r>
        <w:rPr>
          <w:rFonts w:ascii="宋体" w:hAnsi="宋体" w:eastAsia="宋体" w:cs="宋体"/>
          <w:sz w:val="24"/>
          <w:szCs w:val="24"/>
        </w:rPr>
        <w:t xml:space="preserve">。</w:t>
      </w:r>
      <w:r>
        <w:rPr>
          <w:rFonts w:hint="eastAsia" w:ascii="方正仿宋_GBK" w:hAnsi="方正仿宋_GBK" w:eastAsia="方正仿宋_GBK" w:cs="方正仿宋_GBK"/>
          <w:bCs/>
          <w:i/>
          <w:iCs/>
          <w:color w:val="000000"/>
          <w:sz w:val="28"/>
          <w:szCs w:val="28"/>
          <w:u w:val="single"/>
        </w:rPr>
      </w:r>
      <w:r/>
    </w:p>
    <w:p>
      <w:pPr>
        <w:pStyle w:val="694"/>
        <w:ind w:firstLine="418"/>
        <w:jc w:val="both"/>
        <w:keepNext w:val="0"/>
        <w:pageBreakBefore w:val="0"/>
        <w:spacing w:before="0" w:after="80" w:line="348" w:lineRule="auto"/>
        <w:rPr>
          <w:rFonts w:hint="eastAsia" w:ascii="方正仿宋_GBK" w:hAnsi="方正仿宋_GBK" w:eastAsia="方正仿宋_GBK" w:cs="方正仿宋_GBK"/>
          <w:color w:val="000000"/>
        </w:rPr>
      </w:pPr>
      <w:r>
        <w:rPr>
          <w:rFonts w:hint="eastAsia" w:ascii="方正仿宋_GBK" w:hAnsi="方正仿宋_GBK" w:eastAsia="方正仿宋_GBK" w:cs="方正仿宋_GBK"/>
          <w:b w:val="0"/>
          <w:i/>
          <w:color w:val="000000"/>
          <w:sz w:val="28"/>
          <w:u w:val="single"/>
        </w:rPr>
        <w:t xml:space="preserve">试运行期：系统部署、测试和整改完成后连续试运行不少于30日。</w:t>
      </w:r>
      <w:r>
        <w:rPr>
          <w:rFonts w:hint="eastAsia" w:ascii="方正仿宋_GBK" w:hAnsi="方正仿宋_GBK" w:eastAsia="方正仿宋_GBK" w:cs="方正仿宋_GBK"/>
          <w:color w:val="000000"/>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试运行期间系统可用率应达到99.5%以上，以系统日志、省政务云监测记录或者双方确认的监测记录计算；采购人计划停机、省政务云或者第三方平台故障、不可抗力造成的中断不计入。</w:t>
      </w:r>
      <w:r>
        <w:rPr>
          <w:rFonts w:hint="eastAsia" w:ascii="仿宋" w:hAnsi="仿宋" w:eastAsia="仿宋" w:cs="仿宋"/>
          <w:bCs/>
          <w:color w:val="000000"/>
          <w:sz w:val="28"/>
          <w:szCs w:val="28"/>
        </w:rPr>
      </w:r>
      <w:r/>
    </w:p>
    <w:p>
      <w:pPr>
        <w:pStyle w:val="808"/>
        <w:ind w:firstLine="560"/>
        <w:jc w:val="left"/>
        <w:keepLines/>
        <w:keepNext/>
        <w:pageBreakBefore w:val="0"/>
        <w:spacing w:line="400" w:lineRule="exact"/>
        <w:widowControl w:val="off"/>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rPr>
        <w:t xml:space="preserve">4.2 付款条件</w:t>
      </w:r>
      <w:r>
        <w:rPr>
          <w:rFonts w:hint="eastAsia" w:ascii="黑体" w:hAnsi="黑体" w:eastAsia="黑体" w:cs="黑体"/>
          <w:b w:val="0"/>
          <w:bCs w:val="0"/>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合同款项的支付方式及进度安排：</w:t>
      </w:r>
      <w:r>
        <w:rPr>
          <w:rFonts w:hint="eastAsia" w:ascii="仿宋" w:hAnsi="仿宋" w:eastAsia="仿宋" w:cs="仿宋"/>
          <w:bCs/>
          <w:color w:val="000000"/>
          <w:sz w:val="28"/>
          <w:szCs w:val="28"/>
        </w:rPr>
      </w:r>
      <w:r/>
    </w:p>
    <w:p>
      <w:pPr>
        <w:pStyle w:val="694"/>
        <w:ind w:firstLine="418"/>
        <w:jc w:val="both"/>
        <w:keepNext w:val="0"/>
        <w:pageBreakBefore w:val="0"/>
        <w:spacing w:before="0" w:after="80" w:line="348" w:lineRule="auto"/>
        <w:rPr>
          <w:rFonts w:ascii="Times New Roman" w:hAnsi="Times New Roman" w:eastAsia="方正仿宋_GBK" w:cs="Times New Roman"/>
          <w:i w:val="0"/>
          <w:iCs/>
          <w:color w:val="000000"/>
          <w:u w:val="none"/>
        </w:rPr>
      </w:pPr>
      <w:r>
        <w:rPr>
          <w:rFonts w:ascii="Times New Roman" w:hAnsi="Times New Roman" w:eastAsia="方正仿宋_GBK" w:cs="Times New Roman"/>
          <w:b w:val="0"/>
          <w:i w:val="0"/>
          <w:iCs/>
          <w:color w:val="000000"/>
          <w:sz w:val="28"/>
          <w:u w:val="none"/>
        </w:rPr>
        <w:t xml:space="preserve">第一期付款：合同生效，供应商提交经采购人确认的项目实施方案、进度计划和人员名单，并开具合法有效发票后，采购人在10日内支付合同总金额的30%；</w:t>
      </w:r>
      <w:r>
        <w:rPr>
          <w:rFonts w:ascii="Times New Roman" w:hAnsi="Times New Roman" w:eastAsia="方正仿宋_GBK" w:cs="Times New Roman"/>
          <w:i w:val="0"/>
          <w:iCs/>
          <w:color w:val="000000"/>
          <w:u w:val="none"/>
        </w:rPr>
      </w:r>
      <w:r/>
    </w:p>
    <w:p>
      <w:pPr>
        <w:pStyle w:val="694"/>
        <w:ind w:firstLine="418"/>
        <w:jc w:val="both"/>
        <w:keepNext w:val="0"/>
        <w:pageBreakBefore w:val="0"/>
        <w:spacing w:before="0" w:after="80" w:line="348" w:lineRule="auto"/>
        <w:rPr>
          <w:rFonts w:ascii="Times New Roman" w:hAnsi="Times New Roman" w:eastAsia="方正仿宋_GBK" w:cs="Times New Roman"/>
          <w:i w:val="0"/>
          <w:iCs/>
          <w:color w:val="000000"/>
          <w:u w:val="none"/>
        </w:rPr>
      </w:pPr>
      <w:r>
        <w:rPr>
          <w:rFonts w:ascii="Times New Roman" w:hAnsi="Times New Roman" w:eastAsia="方正仿宋_GBK" w:cs="Times New Roman"/>
          <w:b w:val="0"/>
          <w:i w:val="0"/>
          <w:iCs/>
          <w:color w:val="000000"/>
          <w:sz w:val="28"/>
          <w:u w:val="none"/>
        </w:rPr>
        <w:t xml:space="preserve">第二期付款：系统完成主体功能开发、部署和内部测试并通过阶段性验收，采购人在收到合法有效发票和完整付款资料后10日内支付合同总金额的40%，累计支付至70%；</w:t>
      </w:r>
      <w:r>
        <w:rPr>
          <w:rFonts w:ascii="Times New Roman" w:hAnsi="Times New Roman" w:eastAsia="方正仿宋_GBK" w:cs="Times New Roman"/>
          <w:i w:val="0"/>
          <w:iCs/>
          <w:color w:val="000000"/>
          <w:u w:val="none"/>
        </w:rPr>
      </w:r>
      <w:r/>
    </w:p>
    <w:p>
      <w:pPr>
        <w:pStyle w:val="694"/>
        <w:ind w:firstLine="418"/>
        <w:jc w:val="both"/>
        <w:keepNext w:val="0"/>
        <w:pageBreakBefore w:val="0"/>
        <w:spacing w:before="0" w:after="80" w:line="348" w:lineRule="auto"/>
        <w:rPr>
          <w:rFonts w:ascii="Times New Roman" w:hAnsi="Times New Roman" w:eastAsia="方正仿宋_GBK" w:cs="Times New Roman"/>
          <w:i w:val="0"/>
          <w:iCs/>
          <w:color w:val="000000"/>
          <w:u w:val="none"/>
        </w:rPr>
      </w:pPr>
      <w:r>
        <w:rPr>
          <w:rFonts w:ascii="Times New Roman" w:hAnsi="Times New Roman" w:eastAsia="方正仿宋_GBK" w:cs="Times New Roman"/>
          <w:b w:val="0"/>
          <w:i w:val="0"/>
          <w:iCs/>
          <w:color w:val="000000"/>
          <w:sz w:val="28"/>
          <w:u w:val="none"/>
        </w:rPr>
        <w:t xml:space="preserve">第三期付款：项目通过终验并完成全部成果移交，采购人在收到合法有效发票和完整付款资料后10日内支付合同总金额的30%，累计支付至100%。</w:t>
      </w:r>
      <w:r>
        <w:rPr>
          <w:rFonts w:ascii="Times New Roman" w:hAnsi="Times New Roman" w:eastAsia="方正仿宋_GBK" w:cs="Times New Roman"/>
          <w:i w:val="0"/>
          <w:iCs/>
          <w:color w:val="000000"/>
          <w:u w:val="none"/>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808"/>
        <w:ind w:firstLine="560"/>
        <w:jc w:val="left"/>
        <w:keepLines/>
        <w:keepNext/>
        <w:pageBreakBefore w:val="0"/>
        <w:spacing w:line="400" w:lineRule="exact"/>
        <w:widowControl w:val="off"/>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rPr>
        <w:t xml:space="preserve">4.3 质保及售后服务</w:t>
      </w:r>
      <w:r>
        <w:rPr>
          <w:rFonts w:hint="eastAsia" w:ascii="黑体" w:hAnsi="黑体" w:eastAsia="黑体" w:cs="黑体"/>
          <w:b w:val="0"/>
          <w:bCs w:val="0"/>
          <w:color w:val="000000"/>
          <w:sz w:val="28"/>
          <w:szCs w:val="28"/>
        </w:rPr>
      </w:r>
      <w:r/>
    </w:p>
    <w:p>
      <w:pPr>
        <w:pStyle w:val="694"/>
        <w:ind w:firstLine="418"/>
        <w:jc w:val="both"/>
        <w:keepNext w:val="0"/>
        <w:pageBreakBefore w:val="0"/>
        <w:spacing w:before="0" w:after="80" w:line="348" w:lineRule="auto"/>
        <w:rPr>
          <w:color w:val="000000"/>
        </w:rPr>
      </w:pPr>
      <w:r>
        <w:rPr>
          <w:rFonts w:ascii="Times New Roman" w:hAnsi="Times New Roman" w:eastAsia="Noto Serif SC"/>
          <w:b w:val="0"/>
          <w:i/>
          <w:color w:val="000000"/>
          <w:sz w:val="28"/>
          <w:u w:val="single"/>
        </w:rPr>
        <w:t xml:space="preserve">质保期：自项目终验合格之日起不少于1年，费用包含在合同价中。</w:t>
      </w:r>
      <w:r>
        <w:rPr>
          <w:color w:val="000000"/>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质保期内，供应商应无偿完成缺陷修复、安全漏洞整改以及不改变原有功能范围的兼容性调整和性能优化，提供电话、在线等服务渠道，建立问题受理、分级、处理、反馈、关闭和复盘机制。</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严重故障提供7×24小时响应，30分钟内响应，2小时内提出处置方案并持续处理，优先恢复核心服务；一般故障在工作时间内2小时响应，8小时内完成处理或者提供临时解决方案，并在双方确认期限内完成根本修复。</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供应商应提供运行监测、日志分析、巡检建议、数据维护指导、备份恢复验证和安全风险提示，持续开展技术交底和知识转移；质保期届满前提交运行情况总结、遗留问题清单和后续运维建议，完成系统、代码、文档、账号和配置移交。</w:t>
      </w:r>
      <w:r>
        <w:rPr>
          <w:rFonts w:hint="eastAsia" w:ascii="仿宋" w:hAnsi="仿宋" w:eastAsia="仿宋" w:cs="仿宋"/>
          <w:bCs/>
          <w:color w:val="000000"/>
          <w:sz w:val="28"/>
          <w:szCs w:val="28"/>
        </w:rPr>
      </w:r>
      <w:r/>
    </w:p>
    <w:p>
      <w:pPr>
        <w:pStyle w:val="808"/>
        <w:ind w:firstLine="560"/>
        <w:jc w:val="left"/>
        <w:keepLines/>
        <w:keepNext/>
        <w:pageBreakBefore w:val="0"/>
        <w:spacing w:line="400" w:lineRule="exact"/>
        <w:widowControl w:val="off"/>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rPr>
        <w:t xml:space="preserve">4.4 验收方案</w:t>
      </w:r>
      <w:r>
        <w:rPr>
          <w:rFonts w:hint="eastAsia" w:ascii="黑体" w:hAnsi="黑体" w:eastAsia="黑体" w:cs="黑体"/>
          <w:b w:val="0"/>
          <w:bCs w:val="0"/>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（1）验收主体</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验收工作由采购人依法依规组织实施，并根据采购需求制定验收方案。采购人可以邀请业务、技术、安全等方面专家参加，必要时委托第三方专业机构提供测试或者验收辅助服务。供应商应提供必要的技术支持、人员保障和验收资料。</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（2）验收时间</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项目完成全部部署、系统调试并具备使用条件后，由供应商在合同约定期限内提交书面验收申请。采购人结合项目进度确定具体验收时间并通知供应商，供应商应按时配合完成验收。</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（3）验收方式</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验收采用现场检查、功能演示、系统测试和资料审核等方式进行。采购人验收组对项目实际运行情况进行查验，供应商须逐项演示功能模块并提供完整测试数据和支撑材料。</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（4）验收程序</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1.供应商提交书面验收申请，并附技术文档、测试报告、用户手册、培训记录等全套资料；</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2.采购人对资料进行初审，资料齐全后进入现场验收；</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3.验收组按照采购文件、响应文件和合同要求，对技术功能、性能指标、安全性、兼容性、接口集成和商务服务进行核查与演示；</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4.验收组形成书面验收意见，列明履约情况、存在问题及总体结论；</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5.验收资料由采购人存档备查。</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（5）验收内容</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1.范围完整性：公众服务端、后台管理端、接口服务、培训和文档均已完成，无实质性缺项；</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2.功能符合性：依据“3.2.3 功能栏目建设需求”逐项测试，业务流程、权限、审核发布、地图导航、警报试听、入口配置、导入导出等符合要求；</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3.数据功能：采购人提供的有效测试数据能够按照模板正常导入、校验、审核和展示，错误数据能够提示错误行和原因；</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4.技术性能：系统达到“3.4 技术指标要求”和“3.5 性能要求”，公众端和后台在约定环境中正常使用；</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5.安全合规：不得存在未整改的严重、高危安全漏洞，权限、日志、备份、公开边界和个人信息保护措施有效；</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6.文档与代码：定制开发源代码、数据库脚本、接口、设计、部署、运维和培训材料完整一致；</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7.试运行：连续试运行不少于30日，可用率达到99.5%以上，严重缺陷为0，一般缺陷已整改或者经采购人确认不影响上线。</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（6）验收标准</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1.判定依据为采购文件、响应文件、采购合同、经确认的设计文件及双方书面确认的变更记录；</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2.所有功能模块和技术指标逐项核验，实质性要求无负偏离；</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3.系统通过功能、性能、兼容性和安全检查，接口集成达到合同约定条件；</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4.源代码、技术文档、测试报告、培训资料和其他交付成果齐全规范；</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5.项目同时满足上述条件，方可认定为验收合格。</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（7）验收结果</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验收结论分为“验收合格”和“验收不合格”。验收合格的，采购人按照采购合同约定办理相应付款。</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验收不合格的，采购人向供应商出具书面整改通知。供应商应在规定期限内无偿完成整改并重新申请验收；经整改仍达不到验收标准的，采购人有权按照合同约定追究违约责任。</w:t>
      </w:r>
      <w:r>
        <w:rPr>
          <w:rFonts w:hint="eastAsia" w:ascii="仿宋" w:hAnsi="仿宋" w:eastAsia="仿宋" w:cs="仿宋"/>
          <w:bCs/>
          <w:color w:val="000000"/>
          <w:sz w:val="28"/>
          <w:szCs w:val="28"/>
        </w:rPr>
      </w:r>
      <w:r/>
    </w:p>
    <w:p>
      <w:pPr>
        <w:pStyle w:val="696"/>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五、方案要求</w:t>
      </w:r>
      <w:r>
        <w:rPr>
          <w:rFonts w:hint="eastAsia" w:ascii="方正黑体_GBK" w:hAnsi="方正黑体_GBK" w:eastAsia="方正黑体_GBK" w:cs="方正黑体_GBK"/>
          <w:b w:val="0"/>
          <w:bCs w:val="0"/>
          <w:sz w:val="28"/>
          <w:szCs w:val="28"/>
          <w:lang w:val="en-US" w:eastAsia="zh-CN"/>
        </w:rPr>
      </w:r>
      <w:r/>
    </w:p>
    <w:p>
      <w:pPr>
        <w:pStyle w:val="756"/>
        <w:ind w:left="0" w:right="0"/>
        <w:keepLines w:val="0"/>
        <w:keepNext w:val="0"/>
        <w:spacing w:before="100" w:beforeAutospacing="1" w:after="100" w:afterAutospacing="1"/>
        <w:widowControl/>
        <w:suppressLineNumbers w:val="0"/>
      </w:pPr>
      <w:r>
        <w:t xml:space="preserve">供应商应当根据本项目采购需求，逐项编制总体设计、安全保障、数据治理与接口对接、项目实施、培训与知识转移、售后服务与运维方案。方案应结合本项目功能范围、部署环境和现有支撑条件，明确实现路径、工作内容、责任边界和交付成果，不得仅复述采购需求或者作原则性承诺。</w:t>
      </w:r>
      <w:r/>
    </w:p>
    <w:p>
      <w:pPr>
        <w:pStyle w:val="756"/>
        <w:ind w:left="0" w:right="0"/>
        <w:keepLines w:val="0"/>
        <w:keepNext w:val="0"/>
        <w:spacing w:before="100" w:beforeAutospacing="1" w:after="100" w:afterAutospacing="1"/>
        <w:widowControl/>
        <w:suppressLineNumbers w:val="0"/>
      </w:pPr>
      <w:r>
        <w:t xml:space="preserve">5.1 总体设计方案</w:t>
      </w:r>
      <w:r/>
    </w:p>
    <w:p>
      <w:pPr>
        <w:pStyle w:val="756"/>
        <w:ind w:left="0" w:right="0"/>
        <w:keepLines w:val="0"/>
        <w:keepNext w:val="0"/>
        <w:spacing w:before="100" w:beforeAutospacing="1" w:after="100" w:afterAutospacing="1"/>
        <w:widowControl/>
        <w:suppressLineNumbers w:val="0"/>
      </w:pPr>
      <w:r>
        <w:t xml:space="preserve">方案内容及要求</w:t>
      </w:r>
      <w:r/>
    </w:p>
    <w:p>
      <w:pPr>
        <w:pStyle w:val="756"/>
        <w:ind w:left="0" w:right="0"/>
        <w:keepLines w:val="0"/>
        <w:keepNext w:val="0"/>
        <w:spacing w:before="100" w:beforeAutospacing="1" w:after="100" w:afterAutospacing="1"/>
        <w:widowControl/>
        <w:suppressLineNumbers w:val="0"/>
      </w:pPr>
      <w:r>
        <w:t xml:space="preserve">总体设计方案应当至少包括以下内容：</w:t>
      </w:r>
      <w:r/>
    </w:p>
    <w:p>
      <w:pPr>
        <w:pStyle w:val="756"/>
        <w:ind w:left="0" w:right="0"/>
        <w:keepLines w:val="0"/>
        <w:keepNext w:val="0"/>
        <w:spacing w:before="100" w:beforeAutospacing="1" w:after="100" w:afterAutospacing="1"/>
        <w:widowControl/>
        <w:suppressLineNumbers w:val="0"/>
      </w:pPr>
      <w:r>
        <w:t xml:space="preserve">1.系统分层架构。系统应采用分层、模块化、配置化和接口化设计，形成基础设施层、数据资源层、应用支撑层和业务应用层，并建立贯穿各层的安全保障及运行维护机制。方案应在逻辑架构图、部署架构图和主要数据流向图中明确省、市、县数据归集、审核发布和跨区域交换路径，以及接口网关、前置交换、部署节点、组件依赖和关键调用关系，保证架构、部署和数据流向相互一致。</w:t>
      </w:r>
      <w:r/>
    </w:p>
    <w:p>
      <w:pPr>
        <w:pStyle w:val="756"/>
        <w:ind w:left="0" w:right="0"/>
        <w:keepLines w:val="0"/>
        <w:keepNext w:val="0"/>
        <w:spacing w:before="100" w:beforeAutospacing="1" w:after="100" w:afterAutospacing="1"/>
        <w:widowControl/>
        <w:suppressLineNumbers w:val="0"/>
      </w:pPr>
      <w:r>
        <w:t xml:space="preserve">基础设施层依托省政务云既有计算、存储、网络和安全资源；数据资源层承载人防工程、纳凉点、便民服务点、人防车位、防空警报和宣教体验馆等业务数据；应用支撑层提供统一身份认证、政务地图、短信或者消息、接口服务、配置管理和日志管理等共性能力；业务应用层包括依托“苏服办”的公众服务端和面向省、市、县国动部门的后台管理端。</w:t>
      </w:r>
      <w:r/>
    </w:p>
    <w:p>
      <w:pPr>
        <w:pStyle w:val="756"/>
        <w:ind w:left="0" w:right="0"/>
        <w:keepLines w:val="0"/>
        <w:keepNext w:val="0"/>
        <w:spacing w:before="100" w:beforeAutospacing="1" w:after="100" w:afterAutospacing="1"/>
        <w:widowControl/>
        <w:suppressLineNumbers w:val="0"/>
      </w:pPr>
      <w:r>
        <w:t xml:space="preserve">方案应提供逻辑架构图、部署架构图和主要数据流向图，明确各层职责、模块边界、调用关系以及公众服务端、后台管理端、数据资源层、应用支撑层之间的关系。</w:t>
      </w:r>
      <w:r/>
    </w:p>
    <w:p>
      <w:pPr>
        <w:pStyle w:val="756"/>
        <w:ind w:left="0" w:right="0"/>
        <w:keepLines w:val="0"/>
        <w:keepNext w:val="0"/>
        <w:spacing w:before="100" w:beforeAutospacing="1" w:after="100" w:afterAutospacing="1"/>
        <w:widowControl/>
        <w:suppressLineNumbers w:val="0"/>
      </w:pPr>
      <w:r>
        <w:t xml:space="preserve">2.页面设计。方案应分别说明公众服务端和后台管理端的页面结构、导航层级、信息展示方式和主要操作路径，并提供首页、地图展示、信息详情以及后台信息维护、审核发布等关键页面原型。关键页面原型应能够清楚展示查询筛选、列表与地图切换、详情查看、导航跳转、信息维护、审核发布和异常反馈等主要操作过程。公众服务端应适配“苏服办”支持的移动操作系统和终端，后台管理端应适配国产化办公终端及主流Chromium内核浏览器。</w:t>
      </w:r>
      <w:r/>
    </w:p>
    <w:p>
      <w:pPr>
        <w:pStyle w:val="756"/>
        <w:ind w:left="0" w:right="0"/>
        <w:keepLines w:val="0"/>
        <w:keepNext w:val="0"/>
        <w:spacing w:before="100" w:beforeAutospacing="1" w:after="100" w:afterAutospacing="1"/>
        <w:widowControl/>
        <w:suppressLineNumbers w:val="0"/>
      </w:pPr>
      <w:r>
        <w:t xml:space="preserve">3.数据架构。方案应明确主要数据来源、数据对象、分类关系、数据流向、存储方式和更新机制，说明江苏省人民防空综合信息平台、全省人防工程“摸底亮码”成果、各设区市相关业务系统及后台人工维护数据的归集和使用方式。</w:t>
      </w:r>
      <w:r/>
    </w:p>
    <w:p>
      <w:pPr>
        <w:pStyle w:val="756"/>
        <w:ind w:left="0" w:right="0"/>
        <w:keepLines w:val="0"/>
        <w:keepNext w:val="0"/>
        <w:spacing w:before="100" w:beforeAutospacing="1" w:after="100" w:afterAutospacing="1"/>
        <w:widowControl/>
        <w:suppressLineNumbers w:val="0"/>
      </w:pPr>
      <w:r>
        <w:t xml:space="preserve">4.功能模块规划。方案应完整覆盖身边人防工程、人防纳凉点、人防工程便民服务点、人防车位信息、防空警报试听、民防宣教体验馆六类公众服务场景，以及后台数据管理、审核发布和接口集成功能，逐项说明主要业务流程、数据输入输出、前后台关系以及省、市、县三级管理职责。人防车位功能定位为信息查询服务，不得扩展为租赁、缴费、续租退租、资金清分或者全省交易平台。</w:t>
      </w:r>
      <w:r/>
    </w:p>
    <w:p>
      <w:pPr>
        <w:pStyle w:val="756"/>
        <w:ind w:left="0" w:right="0"/>
        <w:keepLines w:val="0"/>
        <w:keepNext w:val="0"/>
        <w:spacing w:before="100" w:beforeAutospacing="1" w:after="100" w:afterAutospacing="1"/>
        <w:widowControl/>
        <w:suppressLineNumbers w:val="0"/>
      </w:pPr>
      <w:r>
        <w:t xml:space="preserve">5.部署和衔接设计。系统应按照采购人确定的互联网区、电子政务外网区及其安全边界进行部署，明确与“苏服办”、省政务云、江苏省人民防空综合信息平台、政务数据共享交换平台及各设区市相关业务系统的衔接关系。互联网区应用不得未经授权直接访问电子政务外网区内部数据库。</w:t>
      </w:r>
      <w:r/>
    </w:p>
    <w:p>
      <w:pPr>
        <w:pStyle w:val="756"/>
        <w:ind w:left="0" w:right="0"/>
        <w:keepLines w:val="0"/>
        <w:keepNext w:val="0"/>
        <w:spacing w:before="100" w:beforeAutospacing="1" w:after="100" w:afterAutospacing="1"/>
        <w:widowControl/>
        <w:suppressLineNumbers w:val="0"/>
      </w:pPr>
      <w:r>
        <w:t xml:space="preserve">6.性能、兼容和扩展设计。主要页面首次加载原则上不超过3秒，非首次加载及一般查询平均响应时间不超过2秒；支持不少于200个并发用户，连续30分钟压力测试成功率不低于99%。新增同类便民服务场景、数据类型、展示栏目和外部服务入口应主要通过参数或者配置方式完成，公共组件与业务模块边界应清晰，单个业务模块调整不应影响其他模块正常运行。</w:t>
      </w:r>
      <w:r/>
    </w:p>
    <w:p>
      <w:pPr>
        <w:pStyle w:val="756"/>
        <w:ind w:left="0" w:right="0"/>
        <w:keepLines w:val="0"/>
        <w:keepNext w:val="0"/>
        <w:spacing w:before="100" w:beforeAutospacing="1" w:after="100" w:afterAutospacing="1"/>
        <w:widowControl/>
        <w:suppressLineNumbers w:val="0"/>
      </w:pPr>
      <w:r>
        <w:t xml:space="preserve">方案应结合本项目功能范围、部署环境和现有支撑条件，清晰说明架构关系、功能边界和技术路线，确保设计内容与项目实际相符、各项措施可实施。</w:t>
      </w:r>
      <w:r/>
    </w:p>
    <w:p>
      <w:pPr>
        <w:pStyle w:val="756"/>
        <w:ind w:left="0" w:right="0"/>
        <w:keepLines w:val="0"/>
        <w:keepNext w:val="0"/>
        <w:spacing w:before="100" w:beforeAutospacing="1" w:after="100" w:afterAutospacing="1"/>
        <w:widowControl/>
        <w:suppressLineNumbers w:val="0"/>
      </w:pPr>
      <w:r>
        <w:t xml:space="preserve">5.2 安全保障技术方案</w:t>
      </w:r>
      <w:r/>
    </w:p>
    <w:p>
      <w:pPr>
        <w:pStyle w:val="756"/>
        <w:ind w:left="0" w:right="0"/>
        <w:keepLines w:val="0"/>
        <w:keepNext w:val="0"/>
        <w:spacing w:before="100" w:beforeAutospacing="1" w:after="100" w:afterAutospacing="1"/>
        <w:widowControl/>
        <w:suppressLineNumbers w:val="0"/>
      </w:pPr>
      <w:r>
        <w:t xml:space="preserve">方案内容及要求</w:t>
      </w:r>
      <w:r/>
    </w:p>
    <w:p>
      <w:pPr>
        <w:pStyle w:val="756"/>
        <w:ind w:left="0" w:right="0"/>
        <w:keepLines w:val="0"/>
        <w:keepNext w:val="0"/>
        <w:spacing w:before="100" w:beforeAutospacing="1" w:after="100" w:afterAutospacing="1"/>
        <w:widowControl/>
        <w:suppressLineNumbers w:val="0"/>
      </w:pPr>
      <w:r>
        <w:t xml:space="preserve">安全保障技术方案应当至少包括以下内容：</w:t>
      </w:r>
      <w:r/>
    </w:p>
    <w:p>
      <w:pPr>
        <w:pStyle w:val="756"/>
        <w:ind w:left="0" w:right="0"/>
        <w:keepLines w:val="0"/>
        <w:keepNext w:val="0"/>
        <w:spacing w:before="100" w:beforeAutospacing="1" w:after="100" w:afterAutospacing="1"/>
        <w:widowControl/>
        <w:suppressLineNumbers w:val="0"/>
      </w:pPr>
      <w:r>
        <w:t xml:space="preserve">1.网络和部署安全。明确互联网区、电子政务外网区及跨区域数据交换的安全边界，说明接口网关、前置交换、访问控制、加密传输和日志审计等安全措施，不得设计互联网区直接访问内部数据库的通道。</w:t>
      </w:r>
      <w:r/>
    </w:p>
    <w:p>
      <w:pPr>
        <w:pStyle w:val="756"/>
        <w:ind w:left="0" w:right="0"/>
        <w:keepLines w:val="0"/>
        <w:keepNext w:val="0"/>
        <w:spacing w:before="100" w:beforeAutospacing="1" w:after="100" w:afterAutospacing="1"/>
        <w:widowControl/>
        <w:suppressLineNumbers w:val="0"/>
      </w:pPr>
      <w:r>
        <w:t xml:space="preserve">2.身份认证和权限安全。后台管理端应实行身份认证、分级授权和最小权限控制，明确省、市、县三级用户以及系统管理员、业务管理员、信息维护人员、审核发布人员等角色的权限边界，并具备强口令、会话控制、异常登录防护和权限操作审计能力。方案应形成覆盖功能、数据、地区、操作范围和接口的权限矩阵，确保权限分配、变更、复核和审计可追溯。</w:t>
      </w:r>
      <w:r/>
    </w:p>
    <w:p>
      <w:pPr>
        <w:pStyle w:val="756"/>
        <w:ind w:left="0" w:right="0"/>
        <w:keepLines w:val="0"/>
        <w:keepNext w:val="0"/>
        <w:spacing w:before="100" w:beforeAutospacing="1" w:after="100" w:afterAutospacing="1"/>
        <w:widowControl/>
        <w:suppressLineNumbers w:val="0"/>
      </w:pPr>
      <w:r>
        <w:t xml:space="preserve">3.应用和接口安全。具备接口鉴权、访问频率控制、防重放、输入校验、异常请求拦截和接口调用留痕等措施；对发现的应用漏洞和组件安全风险，应当形成发现、研判、整改、复测和销号闭环。应结合安全日志集中分析、异常行为识别、风险告警和处置跟踪等机制，明确安全风险闭环管理路径。</w:t>
      </w:r>
      <w:r/>
    </w:p>
    <w:p>
      <w:pPr>
        <w:pStyle w:val="756"/>
        <w:ind w:left="0" w:right="0"/>
        <w:keepLines w:val="0"/>
        <w:keepNext w:val="0"/>
        <w:spacing w:before="100" w:beforeAutospacing="1" w:after="100" w:afterAutospacing="1"/>
        <w:widowControl/>
        <w:suppressLineNumbers w:val="0"/>
      </w:pPr>
      <w:r>
        <w:t xml:space="preserve">4.数据安全。按照数据分类分级要求，对数据采集、传输、存储、使用、共享、导入、导出、备份和销毁等环节采取相应保护措施。公开发布的信息应当经过审核，建立敏感工程、敏感点位、敏感字段和个人信息的识别、复核、发布前校验和追溯机制，涉及不宜公开的信息不得向公众展示。</w:t>
      </w:r>
      <w:r/>
    </w:p>
    <w:p>
      <w:pPr>
        <w:pStyle w:val="756"/>
        <w:ind w:left="0" w:right="0"/>
        <w:keepLines w:val="0"/>
        <w:keepNext w:val="0"/>
        <w:spacing w:before="100" w:beforeAutospacing="1" w:after="100" w:afterAutospacing="1"/>
        <w:widowControl/>
        <w:suppressLineNumbers w:val="0"/>
      </w:pPr>
      <w:r>
        <w:t xml:space="preserve">5.个人信息保护。个人信息处理应当遵循合法、正当、必要和最小范围原则，明确收集目的、使用范围和保存要求，不得超出合同约定范围处理或者使用个人信息，并采取脱敏、访问控制和操作留痕等保护措施。</w:t>
      </w:r>
      <w:r/>
    </w:p>
    <w:p>
      <w:pPr>
        <w:pStyle w:val="756"/>
        <w:ind w:left="0" w:right="0"/>
        <w:keepLines w:val="0"/>
        <w:keepNext w:val="0"/>
        <w:spacing w:before="100" w:beforeAutospacing="1" w:after="100" w:afterAutospacing="1"/>
        <w:widowControl/>
        <w:suppressLineNumbers w:val="0"/>
      </w:pPr>
      <w:r>
        <w:t xml:space="preserve">6.日志审计和应急处置。对登录、查询、维护、审核、发布、接口调用、数据导入导出等关键操作进行日志记录，确保相关操作可追溯。发生安全事件时，应当立即采取控制、排查、修复和报告措施。</w:t>
      </w:r>
      <w:r/>
    </w:p>
    <w:p>
      <w:pPr>
        <w:pStyle w:val="756"/>
        <w:ind w:left="0" w:right="0"/>
        <w:keepLines w:val="0"/>
        <w:keepNext w:val="0"/>
        <w:spacing w:before="100" w:beforeAutospacing="1" w:after="100" w:afterAutospacing="1"/>
        <w:widowControl/>
        <w:suppressLineNumbers w:val="0"/>
      </w:pPr>
      <w:r>
        <w:t xml:space="preserve">7.备份与恢复。结合省政务云和系统实际情况，明确备份对象、备份方式、备份验证、恢复流程、责任人员和恢复验证方法，确保备份数据真实可用、恢复过程可执行。</w:t>
      </w:r>
      <w:r/>
    </w:p>
    <w:p>
      <w:pPr>
        <w:pStyle w:val="756"/>
        <w:ind w:left="0" w:right="0"/>
        <w:keepLines w:val="0"/>
        <w:keepNext w:val="0"/>
        <w:spacing w:before="100" w:beforeAutospacing="1" w:after="100" w:afterAutospacing="1"/>
        <w:widowControl/>
        <w:suppressLineNumbers w:val="0"/>
      </w:pPr>
      <w:r>
        <w:t xml:space="preserve">方案应结合本项目部署和运行环境，提供安全架构图、权限设计、数据安全措施、日志审计机制、风险处置流程和备份恢复策略，确保安全措施具有可操作性。</w:t>
      </w:r>
      <w:r/>
    </w:p>
    <w:p>
      <w:pPr>
        <w:pStyle w:val="756"/>
        <w:ind w:left="0" w:right="0"/>
        <w:keepLines w:val="0"/>
        <w:keepNext w:val="0"/>
        <w:spacing w:before="100" w:beforeAutospacing="1" w:after="100" w:afterAutospacing="1"/>
        <w:widowControl/>
        <w:suppressLineNumbers w:val="0"/>
      </w:pPr>
      <w:r>
        <w:t xml:space="preserve">5.3 数据治理与接口对接方案</w:t>
      </w:r>
      <w:r/>
    </w:p>
    <w:p>
      <w:pPr>
        <w:pStyle w:val="756"/>
        <w:ind w:left="0" w:right="0"/>
        <w:keepLines w:val="0"/>
        <w:keepNext w:val="0"/>
        <w:spacing w:before="100" w:beforeAutospacing="1" w:after="100" w:afterAutospacing="1"/>
        <w:widowControl/>
        <w:suppressLineNumbers w:val="0"/>
      </w:pPr>
      <w:r>
        <w:t xml:space="preserve">方案内容及要求</w:t>
      </w:r>
      <w:r/>
    </w:p>
    <w:p>
      <w:pPr>
        <w:pStyle w:val="756"/>
        <w:ind w:left="0" w:right="0"/>
        <w:keepLines w:val="0"/>
        <w:keepNext w:val="0"/>
        <w:spacing w:before="100" w:beforeAutospacing="1" w:after="100" w:afterAutospacing="1"/>
        <w:widowControl/>
        <w:suppressLineNumbers w:val="0"/>
      </w:pPr>
      <w:r>
        <w:t xml:space="preserve">数据治理与接口对接方案应当至少包括以下内容：</w:t>
      </w:r>
      <w:r/>
    </w:p>
    <w:p>
      <w:pPr>
        <w:pStyle w:val="756"/>
        <w:ind w:left="0" w:right="0"/>
        <w:keepLines w:val="0"/>
        <w:keepNext w:val="0"/>
        <w:spacing w:before="100" w:beforeAutospacing="1" w:after="100" w:afterAutospacing="1"/>
        <w:widowControl/>
        <w:suppressLineNumbers w:val="0"/>
      </w:pPr>
      <w:r>
        <w:t xml:space="preserve">1.数据标准。明确主要数据对象、数据分类、数据字典、字段定义、编码规则、坐标要求、必填规则和数据交换格式，保证省、市、县相关数据口径基本一致。</w:t>
      </w:r>
      <w:r/>
    </w:p>
    <w:p>
      <w:pPr>
        <w:pStyle w:val="756"/>
        <w:ind w:left="0" w:right="0"/>
        <w:keepLines w:val="0"/>
        <w:keepNext w:val="0"/>
        <w:spacing w:before="100" w:beforeAutospacing="1" w:after="100" w:afterAutospacing="1"/>
        <w:widowControl/>
        <w:suppressLineNumbers w:val="0"/>
      </w:pPr>
      <w:r>
        <w:t xml:space="preserve">2.数据归集和更新。针对江苏省人民防空综合信息平台、全省人防工程“摸底亮码”成果、各设区市相关系统及后台人工维护数据，分别说明接口同步、全量导入、增量更新和人工维护等处理方式。应记录数据来源、交换批次、版本、更新时间和维护责任人，支持变更比对、来源追溯和错误数据回退。暂不具备接口条件的数据，应当通过数据模板导入或者后台维护保障业务运行。</w:t>
      </w:r>
      <w:r/>
    </w:p>
    <w:p>
      <w:pPr>
        <w:pStyle w:val="756"/>
        <w:ind w:left="0" w:right="0"/>
        <w:keepLines w:val="0"/>
        <w:keepNext w:val="0"/>
        <w:spacing w:before="100" w:beforeAutospacing="1" w:after="100" w:afterAutospacing="1"/>
        <w:widowControl/>
        <w:suppressLineNumbers w:val="0"/>
      </w:pPr>
      <w:r>
        <w:t xml:space="preserve">3.数据质量。建立格式校验、必填校验、编码校验、重复数据识别、坐标有效性检查、逻辑关系检查和问题数据反馈整改机制，支持质量规则配置、自动校验、问题数据定位、整改反馈、复核和销号闭环。未经校验、审核或者不符合公开要求的数据不得直接发布。</w:t>
      </w:r>
      <w:r/>
    </w:p>
    <w:p>
      <w:pPr>
        <w:pStyle w:val="756"/>
        <w:ind w:left="0" w:right="0"/>
        <w:keepLines w:val="0"/>
        <w:keepNext w:val="0"/>
        <w:spacing w:before="100" w:beforeAutospacing="1" w:after="100" w:afterAutospacing="1"/>
        <w:widowControl/>
        <w:suppressLineNumbers w:val="0"/>
      </w:pPr>
      <w:r>
        <w:t xml:space="preserve">4.接口范围。方案应覆盖“苏服办”统一身份认证及应用入口、政务地图、短信或者消息服务、江苏省人民防空综合信息平台、政务数据共享交换平台、各设区市相关业务系统以及系统内部前后台接口。</w:t>
      </w:r>
      <w:r/>
    </w:p>
    <w:p>
      <w:pPr>
        <w:pStyle w:val="756"/>
        <w:ind w:left="0" w:right="0"/>
        <w:keepLines w:val="0"/>
        <w:keepNext w:val="0"/>
        <w:spacing w:before="100" w:beforeAutospacing="1" w:after="100" w:afterAutospacing="1"/>
        <w:widowControl/>
        <w:suppressLineNumbers w:val="0"/>
      </w:pPr>
      <w:r>
        <w:t xml:space="preserve">5.接口设计。逐项说明接口用途、调用方向、数据范围、调用方式、调用频率、安全鉴权、返回结果、错误代码、日志记录和异常处理方式，并明确接口文档、测试账号、测试环境、联调用例和联调结果等成果要求。应建立接口目录、接口版本、调用权限和接口状态的统一管理机制，支持幂等处理、超时重试、异常补偿、运行监测和故障告警。</w:t>
      </w:r>
      <w:r/>
    </w:p>
    <w:p>
      <w:pPr>
        <w:pStyle w:val="756"/>
        <w:ind w:left="0" w:right="0"/>
        <w:keepLines w:val="0"/>
        <w:keepNext w:val="0"/>
        <w:spacing w:before="100" w:beforeAutospacing="1" w:after="100" w:afterAutospacing="1"/>
        <w:widowControl/>
        <w:suppressLineNumbers w:val="0"/>
      </w:pPr>
      <w:r>
        <w:t xml:space="preserve">6.责任边界。采购人负责提供或者协调现有平台的接口文档、技术规范、测试账号、联调环境和必要调用权限；供应商负责本项目侧的接口开发、数据转换、适配改造、联调测试和问题整改，不得以正常接口对接工作另行收费。</w:t>
      </w:r>
      <w:r/>
    </w:p>
    <w:p>
      <w:pPr>
        <w:pStyle w:val="756"/>
        <w:ind w:left="0" w:right="0"/>
        <w:keepLines w:val="0"/>
        <w:keepNext w:val="0"/>
        <w:spacing w:before="100" w:beforeAutospacing="1" w:after="100" w:afterAutospacing="1"/>
        <w:widowControl/>
        <w:suppressLineNumbers w:val="0"/>
      </w:pPr>
      <w:r>
        <w:t xml:space="preserve">7.测试和验收。对接口正常调用、异常返回、重复提交、网络中断、数据不一致和服务不可用等情况进行测试，形成接口清单、联调记录、问题清单和整改结果。</w:t>
      </w:r>
      <w:r/>
    </w:p>
    <w:p>
      <w:pPr>
        <w:pStyle w:val="756"/>
        <w:ind w:left="0" w:right="0"/>
        <w:keepLines w:val="0"/>
        <w:keepNext w:val="0"/>
        <w:spacing w:before="100" w:beforeAutospacing="1" w:after="100" w:afterAutospacing="1"/>
        <w:widowControl/>
        <w:suppressLineNumbers w:val="0"/>
      </w:pPr>
      <w:r>
        <w:t xml:space="preserve">方案应明确数据标准、更新路径、接口边界、联调安排和异常处理措施，并确保各项措施可执行。</w:t>
      </w:r>
      <w:r/>
    </w:p>
    <w:p>
      <w:pPr>
        <w:pStyle w:val="756"/>
        <w:ind w:left="0" w:right="0"/>
        <w:keepLines w:val="0"/>
        <w:keepNext w:val="0"/>
        <w:spacing w:before="100" w:beforeAutospacing="1" w:after="100" w:afterAutospacing="1"/>
        <w:widowControl/>
        <w:suppressLineNumbers w:val="0"/>
      </w:pPr>
      <w:r>
        <w:t xml:space="preserve">5.4 项目实施保障方案</w:t>
      </w:r>
      <w:r/>
    </w:p>
    <w:p>
      <w:pPr>
        <w:pStyle w:val="756"/>
        <w:ind w:left="0" w:right="0"/>
        <w:keepLines w:val="0"/>
        <w:keepNext w:val="0"/>
        <w:spacing w:before="100" w:beforeAutospacing="1" w:after="100" w:afterAutospacing="1"/>
        <w:widowControl/>
        <w:suppressLineNumbers w:val="0"/>
      </w:pPr>
      <w:r>
        <w:t xml:space="preserve">方案内容及要求</w:t>
      </w:r>
      <w:r/>
    </w:p>
    <w:p>
      <w:pPr>
        <w:pStyle w:val="756"/>
        <w:ind w:left="0" w:right="0"/>
        <w:keepLines w:val="0"/>
        <w:keepNext w:val="0"/>
        <w:spacing w:before="100" w:beforeAutospacing="1" w:after="100" w:afterAutospacing="1"/>
        <w:widowControl/>
        <w:suppressLineNumbers w:val="0"/>
      </w:pPr>
      <w:r>
        <w:t xml:space="preserve">项目实施保障方案应当至少包括以下内容：</w:t>
      </w:r>
      <w:r/>
    </w:p>
    <w:p>
      <w:pPr>
        <w:pStyle w:val="756"/>
        <w:ind w:left="0" w:right="0"/>
        <w:keepLines w:val="0"/>
        <w:keepNext w:val="0"/>
        <w:spacing w:before="100" w:beforeAutospacing="1" w:after="100" w:afterAutospacing="1"/>
        <w:widowControl/>
        <w:suppressLineNumbers w:val="0"/>
      </w:pPr>
      <w:r>
        <w:t xml:space="preserve">1.实施阶段。项目实施应当划分为需求确认与方案深化、开发集成与部署配置、测试整改与上线试运行三个阶段，并符合本章4.1规定的交付期限和连续试运行不少于30日的要求。</w:t>
      </w:r>
      <w:r/>
    </w:p>
    <w:p>
      <w:pPr>
        <w:pStyle w:val="756"/>
        <w:ind w:left="0" w:right="0"/>
        <w:keepLines w:val="0"/>
        <w:keepNext w:val="0"/>
        <w:spacing w:before="100" w:beforeAutospacing="1" w:after="100" w:afterAutospacing="1"/>
        <w:widowControl/>
        <w:suppressLineNumbers w:val="0"/>
      </w:pPr>
      <w:r>
        <w:t xml:space="preserve">2.进度计划。明确各阶段起止时间、工作任务、前后依赖关系、里程碑、责任人员和交付成果。进度计划应细化至周，明确关键路径、并行任务、资源投入、接口依赖和进度偏差纠正措施。合同签订后应当根据采购人要求进一步细化进度计划和人员分工。</w:t>
      </w:r>
      <w:r/>
    </w:p>
    <w:p>
      <w:pPr>
        <w:pStyle w:val="756"/>
        <w:ind w:left="0" w:right="0"/>
        <w:keepLines w:val="0"/>
        <w:keepNext w:val="0"/>
        <w:spacing w:before="100" w:beforeAutospacing="1" w:after="100" w:afterAutospacing="1"/>
        <w:widowControl/>
        <w:suppressLineNumbers w:val="0"/>
      </w:pPr>
      <w:r>
        <w:t xml:space="preserve">3.项目组织。明确项目负责人、技术负责人以及需求、设计、开发、数据、接口、测试、安全、部署、培训和售后服务等岗位职责，建立与采购人、公共支撑平台及各设区市相关单位的沟通协调和问题处理机制。对跨主体事项应建立任务清单、问题台账、责任到人、限时反馈和闭环销号机制。</w:t>
      </w:r>
      <w:r/>
    </w:p>
    <w:p>
      <w:pPr>
        <w:pStyle w:val="756"/>
        <w:ind w:left="0" w:right="0"/>
        <w:keepLines w:val="0"/>
        <w:keepNext w:val="0"/>
        <w:spacing w:before="100" w:beforeAutospacing="1" w:after="100" w:afterAutospacing="1"/>
        <w:widowControl/>
        <w:suppressLineNumbers w:val="0"/>
      </w:pPr>
      <w:r>
        <w:t xml:space="preserve">4.阶段成果。需求确认与方案深化阶段至少形成总体设计方案、需求规格说明、页面原型、数据导入模板和接口清单；开发集成与部署配置阶段至少形成可测试系统、阶段代码、部署记录、接口联调记录和问题清单；测试整改与上线试运行阶段至少形成测试报告、安全相关材料、培训记录、试运行报告及合同约定的完整交付成果。</w:t>
      </w:r>
      <w:r/>
    </w:p>
    <w:p>
      <w:pPr>
        <w:pStyle w:val="756"/>
        <w:ind w:left="0" w:right="0"/>
        <w:keepLines w:val="0"/>
        <w:keepNext w:val="0"/>
        <w:spacing w:before="100" w:beforeAutospacing="1" w:after="100" w:afterAutospacing="1"/>
        <w:widowControl/>
        <w:suppressLineNumbers w:val="0"/>
      </w:pPr>
      <w:r>
        <w:t xml:space="preserve">5.质量和测试管理。明确需求评审、设计评审、代码管理、版本管理、测试管理、缺陷分级、整改复测和发布确认流程。测试范围应覆盖功能、接口、性能、兼容、安全和主要业务流程，并建立需求、代码、版本、测试用例、缺陷、发布包和交付成果之间的对应及追溯关系。</w:t>
      </w:r>
      <w:r/>
    </w:p>
    <w:p>
      <w:pPr>
        <w:pStyle w:val="756"/>
        <w:ind w:left="0" w:right="0"/>
        <w:keepLines w:val="0"/>
        <w:keepNext w:val="0"/>
        <w:spacing w:before="100" w:beforeAutospacing="1" w:after="100" w:afterAutospacing="1"/>
        <w:widowControl/>
        <w:suppressLineNumbers w:val="0"/>
      </w:pPr>
      <w:r>
        <w:t xml:space="preserve">6.风险和变更管理。对需求确认、接口协调、数据质量、跨区域部署、测试整改和上线切换等风险提出预防及处置措施。需求及实施范围变更应当履行书面确认程序。</w:t>
      </w:r>
      <w:r/>
    </w:p>
    <w:p>
      <w:pPr>
        <w:pStyle w:val="756"/>
        <w:ind w:left="0" w:right="0"/>
        <w:keepLines w:val="0"/>
        <w:keepNext w:val="0"/>
        <w:spacing w:before="100" w:beforeAutospacing="1" w:after="100" w:afterAutospacing="1"/>
        <w:widowControl/>
        <w:suppressLineNumbers w:val="0"/>
      </w:pPr>
      <w:r>
        <w:t xml:space="preserve">7.上线和试运行。明确上线检查、数据准备、版本发布、运行监测、问题处置和必要的回退措施。试运行期间系统可用率应当达到99.5%以上，不得存在导致系统整体不可用、核心业务无法使用、数据严重错误或者重大安全风险的严重缺陷。</w:t>
      </w:r>
      <w:r/>
    </w:p>
    <w:p>
      <w:pPr>
        <w:pStyle w:val="756"/>
        <w:ind w:left="0" w:right="0"/>
        <w:keepLines w:val="0"/>
        <w:keepNext w:val="0"/>
        <w:spacing w:before="100" w:beforeAutospacing="1" w:after="100" w:afterAutospacing="1"/>
        <w:widowControl/>
        <w:suppressLineNumbers w:val="0"/>
      </w:pPr>
      <w:r>
        <w:t xml:space="preserve">方案应明确进度安排、人员和资源配置、阶段成果及质量、风险、协同保障措施，确保满足第四章4.1规定的工期和试运行要求。</w:t>
      </w:r>
      <w:r/>
    </w:p>
    <w:p>
      <w:pPr>
        <w:pStyle w:val="756"/>
        <w:ind w:left="0" w:right="0"/>
        <w:keepLines w:val="0"/>
        <w:keepNext w:val="0"/>
        <w:spacing w:before="100" w:beforeAutospacing="1" w:after="100" w:afterAutospacing="1"/>
        <w:widowControl/>
        <w:suppressLineNumbers w:val="0"/>
      </w:pPr>
      <w:r>
        <w:t xml:space="preserve">5.5 培训与知识转移方案</w:t>
      </w:r>
      <w:r/>
    </w:p>
    <w:p>
      <w:pPr>
        <w:pStyle w:val="756"/>
        <w:ind w:left="0" w:right="0"/>
        <w:keepLines w:val="0"/>
        <w:keepNext w:val="0"/>
        <w:spacing w:before="100" w:beforeAutospacing="1" w:after="100" w:afterAutospacing="1"/>
        <w:widowControl/>
        <w:suppressLineNumbers w:val="0"/>
      </w:pPr>
      <w:r>
        <w:t xml:space="preserve">方案内容及要求</w:t>
      </w:r>
      <w:r/>
    </w:p>
    <w:p>
      <w:pPr>
        <w:pStyle w:val="756"/>
        <w:ind w:left="0" w:right="0"/>
        <w:keepLines w:val="0"/>
        <w:keepNext w:val="0"/>
        <w:spacing w:before="100" w:beforeAutospacing="1" w:after="100" w:afterAutospacing="1"/>
        <w:widowControl/>
        <w:suppressLineNumbers w:val="0"/>
      </w:pPr>
      <w:r>
        <w:t xml:space="preserve">培训与知识转移方案应当至少包括以下内容：</w:t>
      </w:r>
      <w:r/>
    </w:p>
    <w:p>
      <w:pPr>
        <w:pStyle w:val="756"/>
        <w:ind w:left="0" w:right="0"/>
        <w:keepLines w:val="0"/>
        <w:keepNext w:val="0"/>
        <w:spacing w:before="100" w:beforeAutospacing="1" w:after="100" w:afterAutospacing="1"/>
        <w:widowControl/>
        <w:suppressLineNumbers w:val="0"/>
      </w:pPr>
      <w:r>
        <w:t xml:space="preserve">1.培训对象。覆盖省、市、县管理用户、系统管理员及相关工作人员，并根据管理用户和技术人员的职责区别设置培训内容。应分别设置省级、市县管理用户、系统管理员和技术人员的培训课程、操作案例和重点场景。</w:t>
      </w:r>
      <w:r/>
    </w:p>
    <w:p>
      <w:pPr>
        <w:pStyle w:val="756"/>
        <w:ind w:left="0" w:right="0"/>
        <w:keepLines w:val="0"/>
        <w:keepNext w:val="0"/>
        <w:spacing w:before="100" w:beforeAutospacing="1" w:after="100" w:afterAutospacing="1"/>
        <w:widowControl/>
        <w:suppressLineNumbers w:val="0"/>
      </w:pPr>
      <w:r>
        <w:t xml:space="preserve">2.培训内容。管理用户培训应当包括数据填报、信息维护、审核发布、查询统计和权限使用等内容；系统管理员及技术人员培训应当包括系统配置、用户权限、运行监测、日志分析、数据备份与恢复、安全保密和常见故障处理等内容。</w:t>
      </w:r>
      <w:r/>
    </w:p>
    <w:p>
      <w:pPr>
        <w:pStyle w:val="756"/>
        <w:ind w:left="0" w:right="0"/>
        <w:keepLines w:val="0"/>
        <w:keepNext w:val="0"/>
        <w:spacing w:before="100" w:beforeAutospacing="1" w:after="100" w:afterAutospacing="1"/>
        <w:widowControl/>
        <w:suppressLineNumbers w:val="0"/>
      </w:pPr>
      <w:r>
        <w:t xml:space="preserve">3.培训组织。明确培训时间、培训方式、培训地点、课程安排、授课人员和参训对象。对数据维护、审核发布、系统配置、备份恢复等重点功能，应提供可供参训人员实际操作的培训环境、示例数据和业务操作练习，并形成操作问题记录。培训批次及具体人数按照采购人实际组织安排执行，确保相关人员得到必要培训。</w:t>
      </w:r>
      <w:r/>
    </w:p>
    <w:p>
      <w:pPr>
        <w:pStyle w:val="756"/>
        <w:ind w:left="0" w:right="0"/>
        <w:keepLines w:val="0"/>
        <w:keepNext w:val="0"/>
        <w:spacing w:before="100" w:beforeAutospacing="1" w:after="100" w:afterAutospacing="1"/>
        <w:widowControl/>
        <w:suppressLineNumbers w:val="0"/>
      </w:pPr>
      <w:r>
        <w:t xml:space="preserve">4.培训材料。提供与系统实际功能和最终交付版本一致的培训课件、用户操作手册、系统管理员手册和常见问题说明，并同时提供可编辑的电子版材料。培训材料应包括重点功能操作视频、快速操作指南和可持续更新的常见问题知识库。</w:t>
      </w:r>
      <w:r/>
    </w:p>
    <w:p>
      <w:pPr>
        <w:pStyle w:val="756"/>
        <w:ind w:left="0" w:right="0"/>
        <w:keepLines w:val="0"/>
        <w:keepNext w:val="0"/>
        <w:spacing w:before="100" w:beforeAutospacing="1" w:after="100" w:afterAutospacing="1"/>
        <w:widowControl/>
        <w:suppressLineNumbers w:val="0"/>
      </w:pPr>
      <w:r>
        <w:t xml:space="preserve">5.培训验证。通过签到、实际操作、问题答疑、培训反馈或者其他适当方式验证培训效果，形成培训记录、问题清单和反馈结果。</w:t>
      </w:r>
      <w:r/>
    </w:p>
    <w:p>
      <w:pPr>
        <w:pStyle w:val="756"/>
        <w:ind w:left="0" w:right="0"/>
        <w:keepLines w:val="0"/>
        <w:keepNext w:val="0"/>
        <w:spacing w:before="100" w:beforeAutospacing="1" w:after="100" w:afterAutospacing="1"/>
        <w:widowControl/>
        <w:suppressLineNumbers w:val="0"/>
      </w:pPr>
      <w:r>
        <w:t xml:space="preserve">6.知识转移。向采购人指定人员说明系统架构、部署方式、数据结构、接口配置、权限设置、日常运维和故障处理方法。质保期内应当持续开展必要的技术交底和知识转移。</w:t>
      </w:r>
      <w:r/>
    </w:p>
    <w:p>
      <w:pPr>
        <w:pStyle w:val="756"/>
        <w:ind w:left="0" w:right="0"/>
        <w:keepLines w:val="0"/>
        <w:keepNext w:val="0"/>
        <w:spacing w:before="100" w:beforeAutospacing="1" w:after="100" w:afterAutospacing="1"/>
        <w:widowControl/>
        <w:suppressLineNumbers w:val="0"/>
      </w:pPr>
      <w:r>
        <w:t xml:space="preserve">方案应明确培训对象、课程、组织、材料、效果验证和知识转移安排，确保相关人员能够独立开展日常操作和基本管理工作。</w:t>
      </w:r>
      <w:r/>
    </w:p>
    <w:p>
      <w:pPr>
        <w:pStyle w:val="756"/>
        <w:ind w:left="0" w:right="0"/>
        <w:keepLines w:val="0"/>
        <w:keepNext w:val="0"/>
        <w:spacing w:before="100" w:beforeAutospacing="1" w:after="100" w:afterAutospacing="1"/>
        <w:widowControl/>
        <w:suppressLineNumbers w:val="0"/>
      </w:pPr>
      <w:r>
        <w:t xml:space="preserve">5.6 售后服务与运维方案</w:t>
      </w:r>
      <w:r/>
    </w:p>
    <w:p>
      <w:pPr>
        <w:pStyle w:val="756"/>
        <w:ind w:left="0" w:right="0"/>
        <w:keepLines w:val="0"/>
        <w:keepNext w:val="0"/>
        <w:spacing w:before="100" w:beforeAutospacing="1" w:after="100" w:afterAutospacing="1"/>
        <w:widowControl/>
        <w:suppressLineNumbers w:val="0"/>
      </w:pPr>
      <w:r>
        <w:t xml:space="preserve">方案内容及要求</w:t>
      </w:r>
      <w:r/>
    </w:p>
    <w:p>
      <w:pPr>
        <w:pStyle w:val="756"/>
        <w:ind w:left="0" w:right="0"/>
        <w:keepLines w:val="0"/>
        <w:keepNext w:val="0"/>
        <w:spacing w:before="100" w:beforeAutospacing="1" w:after="100" w:afterAutospacing="1"/>
        <w:widowControl/>
        <w:suppressLineNumbers w:val="0"/>
      </w:pPr>
      <w:r>
        <w:t xml:space="preserve">售后服务与运维方案应当至少包括以下内容：</w:t>
      </w:r>
      <w:r/>
    </w:p>
    <w:p>
      <w:pPr>
        <w:pStyle w:val="756"/>
        <w:ind w:left="0" w:right="0"/>
        <w:keepLines w:val="0"/>
        <w:keepNext w:val="0"/>
        <w:spacing w:before="100" w:beforeAutospacing="1" w:after="100" w:afterAutospacing="1"/>
        <w:widowControl/>
        <w:suppressLineNumbers w:val="0"/>
      </w:pPr>
      <w:r>
        <w:t xml:space="preserve">1.服务期限和范围。项目质保期自终验合格之日起不少于1年。质保期内应当免费提供缺陷修复、安全漏洞整改、原功能范围内的兼容性调整和性能优化，不得以正常维护、适配或者缺陷修复为由另行收费。供应商可在不增加采购费用的前提下，提出延长免费质保服务的承诺，并明确服务范围、人员保障和实施方式。</w:t>
      </w:r>
      <w:r/>
    </w:p>
    <w:p>
      <w:pPr>
        <w:pStyle w:val="756"/>
        <w:ind w:left="0" w:right="0"/>
        <w:keepLines w:val="0"/>
        <w:keepNext w:val="0"/>
        <w:spacing w:before="100" w:beforeAutospacing="1" w:after="100" w:afterAutospacing="1"/>
        <w:widowControl/>
        <w:suppressLineNumbers w:val="0"/>
      </w:pPr>
      <w:r>
        <w:t xml:space="preserve">2.服务组织。明确售后服务负责人、技术支持人员、服务电话及其他服务渠道，建立受理、研判、派单、处置、反馈、复核和关闭流程，并明确重大问题升级报告机制。</w:t>
      </w:r>
      <w:r/>
    </w:p>
    <w:p>
      <w:pPr>
        <w:pStyle w:val="756"/>
        <w:ind w:left="0" w:right="0"/>
        <w:keepLines w:val="0"/>
        <w:keepNext w:val="0"/>
        <w:spacing w:before="100" w:beforeAutospacing="1" w:after="100" w:afterAutospacing="1"/>
        <w:widowControl/>
        <w:suppressLineNumbers w:val="0"/>
      </w:pPr>
      <w:r>
        <w:t xml:space="preserve">3.严重故障。对系统整体不可用、核心业务无法使用、数据严重错误或者存在重大安全风险等严重故障，提供7×24小时响应，30分钟内响应，2小时内提出处置方案并持续处理；未能及时恢复的，应当提供临时处置措施并升级报告。供应商可在不增加采购费用的前提下，提出更优的响应和处置时限承诺，并说明资源调度和应急保障措施。</w:t>
      </w:r>
      <w:r/>
    </w:p>
    <w:p>
      <w:pPr>
        <w:pStyle w:val="756"/>
        <w:ind w:left="0" w:right="0"/>
        <w:keepLines w:val="0"/>
        <w:keepNext w:val="0"/>
        <w:spacing w:before="100" w:beforeAutospacing="1" w:after="100" w:afterAutospacing="1"/>
        <w:widowControl/>
        <w:suppressLineNumbers w:val="0"/>
      </w:pPr>
      <w:r>
        <w:t xml:space="preserve">4.一般故障。对不影响系统整体运行的一般功能、接口或者数据问题，在工作时间内2小时响应，8小时内完成处理或者提供临时解决方案，并在双方确认的期限内完成根本修复。</w:t>
      </w:r>
      <w:r/>
    </w:p>
    <w:p>
      <w:pPr>
        <w:pStyle w:val="756"/>
        <w:ind w:left="0" w:right="0"/>
        <w:keepLines w:val="0"/>
        <w:keepNext w:val="0"/>
        <w:spacing w:before="100" w:beforeAutospacing="1" w:after="100" w:afterAutospacing="1"/>
        <w:widowControl/>
        <w:suppressLineNumbers w:val="0"/>
      </w:pPr>
      <w:r>
        <w:t xml:space="preserve">5.咨询和优化。对日常使用咨询或者一般优化建议，在1个工作日内响应，并在3个工作日内反馈处理意见。</w:t>
      </w:r>
      <w:r/>
    </w:p>
    <w:p>
      <w:pPr>
        <w:pStyle w:val="756"/>
        <w:ind w:left="0" w:right="0"/>
        <w:keepLines w:val="0"/>
        <w:keepNext w:val="0"/>
        <w:spacing w:before="100" w:beforeAutospacing="1" w:after="100" w:afterAutospacing="1"/>
        <w:widowControl/>
        <w:suppressLineNumbers w:val="0"/>
      </w:pPr>
      <w:r>
        <w:t xml:space="preserve">6.日常保障。开展必要的运行监测、日志分析、巡检建议、数据维护指导、备份恢复验证和安全风险提示，形成服务记录和问题处理记录。经采购人授权，每月至少开展一次运行检查，并按季度提供运行情况、问题处置、安全风险和优化建议报告。</w:t>
      </w:r>
      <w:r/>
    </w:p>
    <w:p>
      <w:pPr>
        <w:pStyle w:val="756"/>
        <w:ind w:left="0" w:right="0"/>
        <w:keepLines w:val="0"/>
        <w:keepNext w:val="0"/>
        <w:spacing w:before="100" w:beforeAutospacing="1" w:after="100" w:afterAutospacing="1"/>
        <w:widowControl/>
        <w:suppressLineNumbers w:val="0"/>
      </w:pPr>
      <w:r>
        <w:t xml:space="preserve">7.知识转移和质保衔接。对运行中发现的问题及时更新操作手册、维护说明和常见问题资料；质保期届满前形成运行维护情况总结，完成未结问题、系统资料和维护知识的移交。</w:t>
      </w:r>
      <w:r/>
    </w:p>
    <w:p>
      <w:pPr>
        <w:pStyle w:val="756"/>
        <w:ind w:left="0" w:right="0"/>
        <w:keepLines w:val="0"/>
        <w:keepNext w:val="0"/>
        <w:spacing w:before="100" w:beforeAutospacing="1" w:after="100" w:afterAutospacing="1"/>
        <w:widowControl/>
        <w:suppressLineNumbers w:val="0"/>
      </w:pPr>
      <w:r>
        <w:t xml:space="preserve">方案应明确服务组织、故障分级、响应时限、处理和升级机制以及日常保障安排，确保售后服务和运维措施可执行。</w:t>
      </w:r>
      <w:r/>
    </w:p>
    <w:p>
      <w:pPr>
        <w:pStyle w:val="696"/>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六、履约能力要求</w:t>
      </w:r>
      <w:r>
        <w:rPr>
          <w:rFonts w:hint="eastAsia" w:ascii="方正黑体_GBK" w:hAnsi="方正黑体_GBK" w:eastAsia="方正黑体_GBK" w:cs="方正黑体_GBK"/>
          <w:b w:val="0"/>
          <w:bCs w:val="0"/>
          <w:sz w:val="28"/>
          <w:szCs w:val="28"/>
          <w:lang w:val="en-US" w:eastAsia="zh-CN"/>
        </w:rPr>
      </w:r>
      <w:r/>
    </w:p>
    <w:p>
      <w:pPr>
        <w:pStyle w:val="808"/>
        <w:ind w:firstLine="560"/>
        <w:jc w:val="left"/>
        <w:keepLines/>
        <w:keepNext/>
        <w:pageBreakBefore w:val="0"/>
        <w:spacing w:line="400" w:lineRule="exact"/>
        <w:widowControl w:val="off"/>
        <w:rPr>
          <w:color w:val="000000"/>
          <w:szCs w:val="28"/>
          <w:lang w:val="en-US" w:eastAsia="zh-CN"/>
        </w:rPr>
      </w:pPr>
      <w:r>
        <w:rPr>
          <w:rFonts w:hint="eastAsia" w:ascii="黑体" w:hAnsi="黑体" w:eastAsia="黑体" w:cs="黑体"/>
          <w:b w:val="0"/>
          <w:bCs w:val="0"/>
          <w:color w:val="000000"/>
          <w:sz w:val="28"/>
          <w:szCs w:val="28"/>
        </w:rPr>
        <w:t xml:space="preserve">6.1 国产化适配及网络与数据安全项目能力</w:t>
      </w:r>
      <w:r>
        <w:rPr>
          <w:color w:val="000000"/>
          <w:szCs w:val="28"/>
          <w:lang w:val="en-US" w:eastAsia="zh-CN"/>
        </w:rPr>
      </w:r>
      <w:r/>
    </w:p>
    <w:p>
      <w:pPr>
        <w:pStyle w:val="756"/>
        <w:ind w:left="0" w:right="0" w:firstLine="480"/>
        <w:keepLines w:val="0"/>
        <w:keepNext w:val="0"/>
        <w:spacing w:before="100" w:beforeAutospacing="1" w:after="100" w:afterAutospacing="1"/>
        <w:widowControl/>
        <w:suppressLineNumbers w:val="0"/>
      </w:pPr>
      <w:r>
        <w:t xml:space="preserve">本项目涉及人防工程等业务数据的归集、跨网交换、审核发布和公众展示，并涉及用户定位等个人信息处理。供应商可提供与上述工作相适应的国产化适配、网络与数据安全项目能力证明材料：</w:t>
      </w:r>
      <w:r/>
    </w:p>
    <w:p>
      <w:pPr>
        <w:pStyle w:val="756"/>
        <w:keepLines w:val="0"/>
        <w:keepNext w:val="0"/>
        <w:widowControl/>
        <w:suppressLineNumbers w:val="0"/>
      </w:pPr>
      <w:r>
        <w:t xml:space="preserve">（1）国产化适配能力。供应商可提供其研发的政务信息化系统或者实施的适配改造项目与国产操作系统或国产数据库或国产中间件的原厂兼容互认证书或适配认证证书或兼容性测试报告或项目证明材料。</w:t>
      </w:r>
      <w:r/>
    </w:p>
    <w:p>
      <w:pPr>
        <w:pStyle w:val="756"/>
        <w:keepLines w:val="0"/>
        <w:keepNext w:val="0"/>
        <w:widowControl/>
        <w:suppressLineNumbers w:val="0"/>
      </w:pPr>
      <w:r>
        <w:t xml:space="preserve">（2）网络与数据安全项目能力。供应商可提供网络安全等级保护实施或整改或安全加固或软件安全测试或代码审计或密码应用或数据安全评估等相关项目证明材料。</w:t>
      </w:r>
      <w:r/>
    </w:p>
    <w:p>
      <w:pPr>
        <w:pStyle w:val="756"/>
        <w:keepLines w:val="0"/>
        <w:keepNext w:val="0"/>
        <w:widowControl/>
        <w:suppressLineNumbers w:val="0"/>
      </w:pPr>
      <w:r>
        <w:t xml:space="preserve">证明材料要求：国产化适配证明材料应当能够反映供应商、相关系统或者项目、国产基础软件名称及兼容适配结论；网络与数据安全项目证明材料应当能够反映项目名称、实施内容及供应商与项目的实施关系。所提供材料应当内容清晰、真实有效，并加盖供应商公章。</w:t>
      </w:r>
      <w:r/>
    </w:p>
    <w:p>
      <w:pPr>
        <w:pStyle w:val="756"/>
        <w:keepLines w:val="0"/>
        <w:keepNext w:val="0"/>
        <w:widowControl/>
        <w:rPr>
          <w:rFonts w:hint="eastAsia" w:ascii="仿宋" w:hAnsi="仿宋" w:eastAsia="仿宋" w:cs="仿宋"/>
          <w:bCs/>
          <w:color w:val="000000"/>
          <w:sz w:val="28"/>
          <w:szCs w:val="28"/>
        </w:rPr>
        <w:suppressLineNumbers w:val="0"/>
      </w:pPr>
      <w:r>
        <w:t xml:space="preserve">本条所列证明材料用于评价供应商的国产化适配及网络与数据安全项目履约能力，不作为供应商资格条件或者实质性响应要求，具体评价方式按照磋商文件评审标准执行。</w:t>
      </w:r>
      <w:r>
        <w:rPr>
          <w:rFonts w:hint="eastAsia" w:ascii="仿宋" w:hAnsi="仿宋" w:eastAsia="仿宋" w:cs="仿宋"/>
          <w:bCs/>
          <w:color w:val="000000"/>
          <w:sz w:val="28"/>
          <w:szCs w:val="28"/>
        </w:rPr>
      </w:r>
      <w:r/>
    </w:p>
    <w:p>
      <w:pPr>
        <w:pStyle w:val="808"/>
        <w:ind w:firstLine="560"/>
        <w:jc w:val="left"/>
        <w:keepLines/>
        <w:keepNext/>
        <w:pageBreakBefore w:val="0"/>
        <w:spacing w:line="400" w:lineRule="exact"/>
        <w:widowControl w:val="off"/>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rPr>
        <w:t xml:space="preserve">6.2 项目案例</w:t>
      </w:r>
      <w:r>
        <w:rPr>
          <w:rFonts w:hint="eastAsia" w:ascii="黑体" w:hAnsi="黑体" w:eastAsia="黑体" w:cs="黑体"/>
          <w:b w:val="0"/>
          <w:bCs w:val="0"/>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磋商响应供应商可提供自2023年1月1日以来（以合同签订时间为准）承担的软件开发或者信息系统建设项目案例。类似项目应当包含移动端服务、便民服务应用、地图定位、地理信息展示、数据治理、数据安全、数据交换、政务服务或者公共服务平台等任一相关内容。提供合同关键页；合同不能充分反映建设内容的，可补充验收报告或者业主证明材料。不限定特定行政区域或者特定行业。</w:t>
      </w:r>
      <w:r>
        <w:rPr>
          <w:rFonts w:hint="eastAsia" w:ascii="仿宋" w:hAnsi="仿宋" w:eastAsia="仿宋" w:cs="仿宋"/>
          <w:bCs/>
          <w:color w:val="000000"/>
          <w:sz w:val="28"/>
          <w:szCs w:val="28"/>
        </w:rPr>
      </w:r>
      <w:r/>
    </w:p>
    <w:p>
      <w:pPr>
        <w:pStyle w:val="808"/>
        <w:ind w:firstLine="560"/>
        <w:jc w:val="left"/>
        <w:keepLines/>
        <w:keepNext/>
        <w:pageBreakBefore w:val="0"/>
        <w:spacing w:line="400" w:lineRule="exact"/>
        <w:widowControl w:val="off"/>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rPr>
        <w:t xml:space="preserve">6.3 保密要求</w:t>
      </w:r>
      <w:r>
        <w:rPr>
          <w:rFonts w:hint="eastAsia" w:ascii="黑体" w:hAnsi="黑体" w:eastAsia="黑体" w:cs="黑体"/>
          <w:b w:val="0"/>
          <w:bCs w:val="0"/>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磋商响应供应商及项目人员应对履约过程中知悉的业务资料、系统架构、接口信息、账号权限、数据和其他未公开信息承担保密义务。未经采购人书面许可，不得以任何形式向第三方披露；项目人员应按照采购人要求签署保密承诺，保密义务不因合同终止而终止。</w:t>
      </w:r>
      <w:r>
        <w:rPr>
          <w:rFonts w:hint="eastAsia" w:ascii="仿宋" w:hAnsi="仿宋" w:eastAsia="仿宋" w:cs="仿宋"/>
          <w:bCs/>
          <w:color w:val="000000"/>
          <w:sz w:val="28"/>
          <w:szCs w:val="28"/>
        </w:rPr>
      </w:r>
      <w:r/>
    </w:p>
    <w:p>
      <w:pPr>
        <w:pStyle w:val="808"/>
        <w:ind w:firstLine="560"/>
        <w:jc w:val="left"/>
        <w:keepLines/>
        <w:keepNext/>
        <w:pageBreakBefore w:val="0"/>
        <w:spacing w:line="400" w:lineRule="exact"/>
        <w:widowControl w:val="off"/>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rPr>
        <w:t xml:space="preserve">6.4 团队要求</w:t>
      </w:r>
      <w:r>
        <w:rPr>
          <w:rFonts w:hint="eastAsia" w:ascii="黑体" w:hAnsi="黑体" w:eastAsia="黑体" w:cs="黑体"/>
          <w:b w:val="0"/>
          <w:bCs w:val="0"/>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为保障项目顺利实施，磋商响应供应商应合理组建实施团队，配置项目负责人、技术负责人及满足系统架构、软件开发、软件测试、数据治理或接口集成、网络安全或系统运维需要的专业技术人员。项目负责人应具备信息化项目实施和管理经验，技术负责人应具备与本项目技术实施直接相关的专业能力。</w:t>
      </w:r>
      <w:r>
        <w:rPr>
          <w:rFonts w:ascii="宋体" w:hAnsi="宋体" w:eastAsia="宋体" w:cs="宋体"/>
          <w:sz w:val="24"/>
          <w:szCs w:val="24"/>
        </w:rPr>
        <w:t xml:space="preserve">项目负责人、技术负责人不得为同一人，核心专业技术人员不得与项目负责人、技术负责人重复。</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章及第五章4.3所称计算机技术与软件专业技术资格（水平）证书，均指由人力资源和社会保障部统一印制、由人力资源和社会保障部和工业和信息化部共同用印的《中华人民共和国计算机专业技术资格（水平）证书》。</w:t>
      </w:r>
      <w:r>
        <w:rPr>
          <w:rFonts w:hint="eastAsia" w:ascii="仿宋" w:hAnsi="仿宋" w:eastAsia="仿宋" w:cs="仿宋"/>
          <w:bCs/>
          <w:color w:val="000000"/>
          <w:sz w:val="28"/>
          <w:szCs w:val="28"/>
        </w:rPr>
      </w:r>
      <w:r/>
    </w:p>
    <w:p>
      <w:pPr>
        <w:pStyle w:val="756"/>
        <w:ind w:left="0" w:right="0"/>
        <w:keepLines w:val="0"/>
        <w:keepNext w:val="0"/>
        <w:spacing w:before="100" w:beforeAutospacing="1" w:after="100" w:afterAutospacing="1"/>
        <w:widowControl/>
        <w:suppressLineNumbers w:val="0"/>
      </w:pPr>
      <w:r>
        <w:t xml:space="preserve">（一）项目负责人</w:t>
      </w:r>
      <w:r/>
    </w:p>
    <w:p>
      <w:pPr>
        <w:pStyle w:val="756"/>
        <w:keepLines w:val="0"/>
        <w:keepNext w:val="0"/>
        <w:widowControl/>
        <w:suppressLineNumbers w:val="0"/>
      </w:pPr>
      <w:r>
        <w:t xml:space="preserve">项目负责人应当具备政务信息化项目实施、组织协调、进度控制、质量管理和风险管理能力。</w:t>
      </w:r>
      <w:bookmarkStart w:id="175" w:name="OLE_LINK2"/>
      <w:r>
        <w:t xml:space="preserve">用于第五章4.3评分的证书为</w:t>
      </w:r>
      <w:r>
        <w:rPr>
          <w:rFonts w:hint="eastAsia"/>
          <w:lang w:eastAsia="zh-CN"/>
        </w:rPr>
        <w:t xml:space="preserve">计算机软考证书</w:t>
      </w:r>
      <w:r>
        <w:t xml:space="preserve">“信息系统项目管理师”或者“系统集成项目管理工程师”</w:t>
      </w:r>
      <w:bookmarkEnd w:id="175"/>
      <w:r>
        <w:rPr>
          <w:rFonts w:hint="eastAsia"/>
          <w:lang w:eastAsia="zh-CN"/>
        </w:rPr>
        <w:t xml:space="preserve">，</w:t>
      </w:r>
      <w:r>
        <w:t xml:space="preserve">计算机技术与软件专业技术资格（水平）证书。</w:t>
      </w:r>
      <w:r/>
    </w:p>
    <w:p>
      <w:pPr>
        <w:pStyle w:val="756"/>
        <w:keepLines w:val="0"/>
        <w:keepNext w:val="0"/>
        <w:widowControl/>
        <w:suppressLineNumbers w:val="0"/>
      </w:pPr>
      <w:r/>
      <w:r/>
    </w:p>
    <w:p>
      <w:pPr>
        <w:pStyle w:val="756"/>
        <w:keepLines w:val="0"/>
        <w:keepNext w:val="0"/>
        <w:widowControl/>
        <w:suppressLineNumbers w:val="0"/>
      </w:pPr>
      <w:r>
        <w:t xml:space="preserve">（二）技术负责人</w:t>
      </w:r>
      <w:r/>
    </w:p>
    <w:p>
      <w:pPr>
        <w:pStyle w:val="756"/>
        <w:keepLines w:val="0"/>
        <w:keepNext w:val="0"/>
        <w:widowControl/>
        <w:suppressLineNumbers w:val="0"/>
      </w:pPr>
      <w:r>
        <w:t xml:space="preserve">技术负责人应当具备系统总体设计、技术架构、软件开发、数据库、网络安全及国产化适配等相关技术能力。用于第五章4.3评分的证书为</w:t>
      </w:r>
      <w:r>
        <w:rPr>
          <w:rFonts w:hint="eastAsia"/>
          <w:lang w:eastAsia="zh-CN"/>
        </w:rPr>
        <w:t xml:space="preserve">计算机软考证书</w:t>
      </w:r>
      <w:r>
        <w:t xml:space="preserve">“系统分析师”“系统架构设计师”“软件设计师”“数据库系统工程师”“网络规划设计师”或者“信息安全工程师”</w:t>
      </w:r>
      <w:r>
        <w:rPr>
          <w:rFonts w:hint="eastAsia"/>
          <w:lang w:eastAsia="zh-CN"/>
        </w:rPr>
        <w:t xml:space="preserve">，</w:t>
      </w:r>
      <w:r>
        <w:t xml:space="preserve">计算机技术与软件专业技术资格（水平）证书。</w:t>
      </w:r>
      <w:r/>
    </w:p>
    <w:p>
      <w:pPr>
        <w:pStyle w:val="756"/>
        <w:keepLines w:val="0"/>
        <w:keepNext w:val="0"/>
        <w:widowControl/>
        <w:suppressLineNumbers w:val="0"/>
      </w:pPr>
      <w:r/>
      <w:r/>
    </w:p>
    <w:p>
      <w:pPr>
        <w:pStyle w:val="756"/>
        <w:keepLines w:val="0"/>
        <w:keepNext w:val="0"/>
        <w:widowControl/>
        <w:suppressLineNumbers w:val="0"/>
      </w:pPr>
      <w:r>
        <w:t xml:space="preserve">（三）核心专业技术人员</w:t>
      </w:r>
      <w:r/>
    </w:p>
    <w:p>
      <w:pPr>
        <w:pStyle w:val="756"/>
        <w:keepLines w:val="0"/>
        <w:keepNext w:val="0"/>
        <w:widowControl/>
        <w:suppressLineNumbers w:val="0"/>
      </w:pPr>
      <w:r>
        <w:t xml:space="preserve">除项目负责人和技术负责人外，项目团队应当配置不少于3名核心专业技术人员，团队整体专业能力应当覆盖以下工作领域：</w:t>
      </w:r>
      <w:r/>
    </w:p>
    <w:p>
      <w:pPr>
        <w:pStyle w:val="694"/>
        <w:numPr>
          <w:ilvl w:val="0"/>
          <w:numId w:val="6"/>
        </w:numPr>
        <w:ind w:left="720" w:hanging="360"/>
        <w:keepLines w:val="0"/>
        <w:keepNext w:val="0"/>
        <w:spacing w:before="100" w:beforeAutospacing="1" w:after="100" w:afterAutospacing="1"/>
        <w:widowControl/>
        <w:tabs>
          <w:tab w:val="left" w:pos="720" w:leader="none"/>
        </w:tabs>
        <w:suppressLineNumbers w:val="0"/>
      </w:pPr>
      <w:r>
        <w:t xml:space="preserve">软件开发； </w:t>
      </w:r>
      <w:r/>
    </w:p>
    <w:p>
      <w:pPr>
        <w:pStyle w:val="694"/>
        <w:numPr>
          <w:ilvl w:val="0"/>
          <w:numId w:val="6"/>
        </w:numPr>
        <w:ind w:left="720" w:hanging="360"/>
        <w:keepLines w:val="0"/>
        <w:keepNext w:val="0"/>
        <w:spacing w:before="100" w:beforeAutospacing="1" w:after="100" w:afterAutospacing="1"/>
        <w:widowControl/>
        <w:tabs>
          <w:tab w:val="left" w:pos="720" w:leader="none"/>
        </w:tabs>
        <w:suppressLineNumbers w:val="0"/>
      </w:pPr>
      <w:r>
        <w:t xml:space="preserve">软件测试； </w:t>
      </w:r>
      <w:r/>
    </w:p>
    <w:p>
      <w:pPr>
        <w:pStyle w:val="694"/>
        <w:numPr>
          <w:ilvl w:val="0"/>
          <w:numId w:val="6"/>
        </w:numPr>
        <w:ind w:left="720" w:hanging="360"/>
        <w:keepLines w:val="0"/>
        <w:keepNext w:val="0"/>
        <w:spacing w:before="100" w:beforeAutospacing="1" w:after="100" w:afterAutospacing="1"/>
        <w:widowControl/>
        <w:tabs>
          <w:tab w:val="left" w:pos="720" w:leader="none"/>
        </w:tabs>
        <w:suppressLineNumbers w:val="0"/>
      </w:pPr>
      <w:r>
        <w:t xml:space="preserve">数据治理或者接口集成； </w:t>
      </w:r>
      <w:r/>
    </w:p>
    <w:p>
      <w:pPr>
        <w:pStyle w:val="694"/>
        <w:numPr>
          <w:ilvl w:val="0"/>
          <w:numId w:val="6"/>
        </w:numPr>
        <w:ind w:left="720" w:hanging="360"/>
        <w:keepLines w:val="0"/>
        <w:keepNext w:val="0"/>
        <w:spacing w:before="100" w:beforeAutospacing="1" w:after="100" w:afterAutospacing="1"/>
        <w:widowControl/>
        <w:tabs>
          <w:tab w:val="left" w:pos="720" w:leader="none"/>
        </w:tabs>
        <w:suppressLineNumbers w:val="0"/>
      </w:pPr>
      <w:r>
        <w:t xml:space="preserve">网络安全或者系统运维。 </w:t>
      </w:r>
      <w:r/>
    </w:p>
    <w:p>
      <w:pPr>
        <w:pStyle w:val="756"/>
        <w:keepLines w:val="0"/>
        <w:keepNext w:val="0"/>
        <w:widowControl/>
        <w:suppressLineNumbers w:val="0"/>
      </w:pPr>
      <w:r>
        <w:t xml:space="preserve">供应商应当在响应文件中明确核心专业技术人员的姓名、拟任岗位、职责分工和主要投入阶段。核心专业技术人员的专业能力可由下列证书证明：软件开发岗位对应软件设计师，软件测试岗位对应软件评测师，数据治理或者接口集成岗位对应数据库系统工程师，网络安全或者系统运维岗位对应信息安全工程师、网络工程师或者系统规划与管理师。供应商如提供证书，应当明确人员、岗位、证书和职责的对应关系。</w:t>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项目组核心人员应保持相对稳定，不得无故更换；确需变更的，应提前书面说明原因、替换人员情况和交接安排，并征得采购人书面同意。</w:t>
      </w:r>
      <w:r>
        <w:rPr>
          <w:rFonts w:hint="eastAsia" w:ascii="仿宋" w:hAnsi="仿宋" w:eastAsia="仿宋" w:cs="仿宋"/>
          <w:bCs/>
          <w:color w:val="000000"/>
          <w:sz w:val="28"/>
          <w:szCs w:val="28"/>
        </w:rPr>
      </w:r>
      <w:r/>
    </w:p>
    <w:p>
      <w:pPr>
        <w:pStyle w:val="808"/>
        <w:ind w:firstLine="560"/>
        <w:jc w:val="left"/>
        <w:keepLines/>
        <w:keepNext/>
        <w:pageBreakBefore w:val="0"/>
        <w:spacing w:line="400" w:lineRule="exact"/>
        <w:widowControl w:val="off"/>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rPr>
        <w:t xml:space="preserve">6.5 知识产权要求</w:t>
      </w:r>
      <w:r>
        <w:rPr>
          <w:rFonts w:hint="eastAsia" w:ascii="黑体" w:hAnsi="黑体" w:eastAsia="黑体" w:cs="黑体"/>
          <w:b w:val="0"/>
          <w:bCs w:val="0"/>
          <w:color w:val="000000"/>
          <w:sz w:val="28"/>
          <w:szCs w:val="28"/>
        </w:rPr>
      </w:r>
      <w:r/>
    </w:p>
    <w:p>
      <w:pPr>
        <w:pStyle w:val="694"/>
        <w:ind w:firstLine="560"/>
        <w:jc w:val="both"/>
        <w:keepLines w:val="0"/>
        <w:keepNext w:val="0"/>
        <w:pageBreakBefore w:val="0"/>
        <w:spacing w:after="0" w:line="592" w:lineRule="exact"/>
        <w:widowControl w:val="off"/>
        <w:rPr>
          <w:rFonts w:ascii="Times New Roman" w:hAnsi="Times New Roman" w:eastAsia="方正仿宋_GBK" w:cs="Times New Roman"/>
          <w:color w:val="000000"/>
        </w:rPr>
      </w:pPr>
      <w:r>
        <w:rPr>
          <w:rFonts w:ascii="Times New Roman" w:hAnsi="Times New Roman" w:eastAsia="方正仿宋_GBK" w:cs="Times New Roman"/>
          <w:b w:val="0"/>
          <w:i/>
          <w:color w:val="000000"/>
          <w:sz w:val="28"/>
          <w:u w:val="single"/>
        </w:rPr>
        <w:t xml:space="preserve">供应商应保证所提供的软件、组件、素材和服务不存在知识产权纠纷。本项目定制开发形成的源代码、数据库结构、设计文档及其他合同成果，其著作财产权和所有权归采购人所有。采购人有权永久使用、修改、维护、复制、部署并委托第三方运维。</w:t>
      </w:r>
      <w:r>
        <w:rPr>
          <w:rFonts w:ascii="Times New Roman" w:hAnsi="Times New Roman" w:eastAsia="方正仿宋_GBK" w:cs="Times New Roman"/>
          <w:color w:val="000000"/>
        </w:rPr>
      </w:r>
      <w:r/>
    </w:p>
    <w:p>
      <w:pPr>
        <w:pStyle w:val="808"/>
        <w:ind w:firstLine="560"/>
        <w:jc w:val="left"/>
        <w:keepLines/>
        <w:keepNext/>
        <w:pageBreakBefore w:val="0"/>
        <w:spacing w:line="400" w:lineRule="exact"/>
        <w:widowControl w:val="off"/>
        <w:rPr>
          <w:rFonts w:hint="eastAsia" w:ascii="仿宋" w:hAnsi="仿宋" w:eastAsia="仿宋" w:cs="仿宋"/>
          <w:bCs/>
          <w:color w:val="000000"/>
          <w:sz w:val="28"/>
          <w:szCs w:val="28"/>
        </w:rPr>
      </w:pPr>
      <w:r>
        <w:rPr>
          <w:rFonts w:hint="eastAsia" w:ascii="黑体" w:hAnsi="黑体" w:eastAsia="黑体" w:cs="黑体"/>
          <w:b w:val="0"/>
          <w:bCs w:val="0"/>
          <w:color w:val="000000"/>
          <w:sz w:val="28"/>
          <w:szCs w:val="28"/>
        </w:rPr>
        <w:t xml:space="preserve">6.6 软件著作权要求</w:t>
      </w:r>
      <w:r>
        <w:rPr>
          <w:rFonts w:hint="eastAsia" w:ascii="仿宋" w:hAnsi="仿宋" w:eastAsia="仿宋" w:cs="仿宋"/>
          <w:bCs/>
          <w:color w:val="000000"/>
          <w:sz w:val="28"/>
          <w:szCs w:val="28"/>
        </w:rPr>
      </w:r>
      <w:r/>
    </w:p>
    <w:p>
      <w:pPr>
        <w:pStyle w:val="756"/>
        <w:ind w:left="0" w:right="0" w:firstLine="480"/>
        <w:keepLines w:val="0"/>
        <w:keepNext w:val="0"/>
        <w:spacing w:before="100" w:beforeAutospacing="1" w:after="100" w:afterAutospacing="1"/>
        <w:widowControl/>
        <w:suppressLineNumbers w:val="0"/>
      </w:pPr>
      <w:r>
        <w:t xml:space="preserve">供应商可提供与本项目建设内容相关的计算机软件著作权登记证书。用于证明相关履约能力的软件著作权登记证书名称应当包含下列四类关键词之一：</w:t>
      </w:r>
      <w:r/>
    </w:p>
    <w:p>
      <w:pPr>
        <w:pStyle w:val="756"/>
        <w:keepLines w:val="0"/>
        <w:keepNext w:val="0"/>
        <w:widowControl/>
        <w:rPr>
          <w:rFonts w:hint="eastAsia"/>
        </w:rPr>
        <w:suppressLineNumbers w:val="0"/>
      </w:pPr>
      <w:r>
        <w:rPr>
          <w:rFonts w:hint="eastAsia"/>
        </w:rPr>
        <w:t xml:space="preserve">（1）服务应用类：“政务服务”“便民服务”；</w:t>
      </w:r>
      <w:r>
        <w:rPr>
          <w:rFonts w:hint="eastAsia"/>
        </w:rPr>
      </w:r>
      <w:r/>
    </w:p>
    <w:p>
      <w:pPr>
        <w:pStyle w:val="756"/>
        <w:keepLines w:val="0"/>
        <w:keepNext w:val="0"/>
        <w:widowControl/>
        <w:rPr>
          <w:rFonts w:hint="eastAsia"/>
        </w:rPr>
        <w:suppressLineNumbers w:val="0"/>
      </w:pPr>
      <w:r>
        <w:rPr>
          <w:rFonts w:hint="eastAsia"/>
        </w:rPr>
        <w:t xml:space="preserve">（2）数据应用类：“数据采集”“数据治理”；</w:t>
      </w:r>
      <w:r>
        <w:rPr>
          <w:rFonts w:hint="eastAsia"/>
        </w:rPr>
      </w:r>
      <w:r/>
    </w:p>
    <w:p>
      <w:pPr>
        <w:pStyle w:val="756"/>
        <w:keepLines w:val="0"/>
        <w:keepNext w:val="0"/>
        <w:widowControl/>
        <w:rPr>
          <w:rFonts w:hint="eastAsia"/>
        </w:rPr>
        <w:suppressLineNumbers w:val="0"/>
      </w:pPr>
      <w:r>
        <w:rPr>
          <w:rFonts w:hint="eastAsia"/>
        </w:rPr>
        <w:t xml:space="preserve">（3）平台开发类：“管理系统”“管理平台”；</w:t>
      </w:r>
      <w:r>
        <w:rPr>
          <w:rFonts w:hint="eastAsia"/>
        </w:rPr>
      </w:r>
      <w:r/>
    </w:p>
    <w:p>
      <w:pPr>
        <w:pStyle w:val="756"/>
        <w:keepLines w:val="0"/>
        <w:keepNext w:val="0"/>
        <w:widowControl/>
        <w:rPr>
          <w:rFonts w:hint="eastAsia" w:eastAsia="Noto Serif SC"/>
          <w:lang w:eastAsia="zh-CN"/>
        </w:rPr>
        <w:suppressLineNumbers w:val="0"/>
      </w:pPr>
      <w:r>
        <w:rPr>
          <w:rFonts w:hint="eastAsia"/>
        </w:rPr>
        <w:t xml:space="preserve">（4）信息服务类：“信息处理”“信息查询”。</w:t>
      </w:r>
      <w:r>
        <w:rPr>
          <w:rFonts w:hint="eastAsia" w:eastAsia="Noto Serif SC"/>
          <w:lang w:eastAsia="zh-CN"/>
        </w:rPr>
      </w:r>
      <w:r/>
    </w:p>
    <w:p>
      <w:pPr>
        <w:pStyle w:val="756"/>
        <w:keepLines w:val="0"/>
        <w:keepNext w:val="0"/>
        <w:widowControl/>
        <w:rPr>
          <w:rFonts w:hint="eastAsia" w:ascii="方正黑体_GBK" w:hAnsi="方正黑体_GBK" w:eastAsia="方正黑体_GBK" w:cs="方正黑体_GBK"/>
          <w:b w:val="0"/>
          <w:bCs w:val="0"/>
          <w:sz w:val="28"/>
          <w:szCs w:val="28"/>
          <w:lang w:val="en-US" w:eastAsia="zh-CN"/>
        </w:rPr>
        <w:suppressLineNumbers w:val="0"/>
      </w:pPr>
      <w:r>
        <w:t xml:space="preserve">供应商应当提供计算机软件著作权登记证书复印件或扫描件，并加盖供应商公章。同一软件证书同时包含多类关键词的，仅按一类认定；同一类别提供多份证书不重复认定。取得第五章4.2满分应当提供两份不同软件的著作权登记证书，并分别符合上述任意两类关键词要求。</w:t>
      </w:r>
      <w:r>
        <w:rPr>
          <w:rFonts w:hint="eastAsia" w:ascii="方正黑体_GBK" w:hAnsi="方正黑体_GBK" w:eastAsia="方正黑体_GBK" w:cs="方正黑体_GBK"/>
          <w:b w:val="0"/>
          <w:bCs w:val="0"/>
          <w:sz w:val="28"/>
          <w:szCs w:val="28"/>
          <w:lang w:val="en-US" w:eastAsia="zh-CN"/>
        </w:rPr>
      </w:r>
      <w:r/>
    </w:p>
    <w:p>
      <w:pPr>
        <w:pStyle w:val="696"/>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七、其他要求</w:t>
      </w:r>
      <w:r>
        <w:rPr>
          <w:rFonts w:hint="eastAsia" w:ascii="方正黑体_GBK" w:hAnsi="方正黑体_GBK" w:eastAsia="方正黑体_GBK" w:cs="方正黑体_GBK"/>
          <w:b w:val="0"/>
          <w:bCs w:val="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1.项目属性:服务类项目。</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.演示要求</w:t>
      </w:r>
      <w:r>
        <w:rPr>
          <w:rFonts w:hint="eastAsia" w:ascii="方正仿宋_GBK" w:hAnsi="方正仿宋_GBK" w:eastAsia="方正仿宋_GBK" w:cs="方正仿宋_GBK"/>
          <w:sz w:val="28"/>
          <w:szCs w:val="28"/>
        </w:rPr>
      </w:r>
      <w:r/>
    </w:p>
    <w:p>
      <w:pPr>
        <w:pStyle w:val="694"/>
        <w:ind w:firstLine="560"/>
        <w:spacing w:line="400" w:lineRule="exact"/>
        <w:widowControl w:val="off"/>
      </w:pPr>
      <w:r>
        <w:rPr>
          <w:rFonts w:hint="eastAsia" w:ascii="宋体" w:hAnsi="宋体" w:eastAsia="宋体" w:cs="宋体"/>
          <w:i w:val="0"/>
          <w:iCs w:val="0"/>
          <w:color w:val="000000"/>
          <w:sz w:val="24"/>
          <w:szCs w:val="24"/>
          <w:u w:val="none"/>
          <w:lang w:val="en-US" w:eastAsia="zh-CN" w:bidi="ar"/>
        </w:rPr>
        <w:t xml:space="preserve">投标人需按照招标文件规定的演示内容</w:t>
      </w:r>
      <w:r>
        <w:rPr>
          <w:rFonts w:hint="eastAsia" w:ascii="宋体" w:hAnsi="宋体" w:cs="宋体"/>
          <w:i w:val="0"/>
          <w:iCs w:val="0"/>
          <w:color w:val="000000"/>
          <w:sz w:val="24"/>
          <w:szCs w:val="24"/>
          <w:u w:val="none"/>
          <w:lang w:bidi="ar"/>
        </w:rPr>
        <w:t xml:space="preserve">提供真实系统或原型系统录屏制作演示视频</w:t>
      </w:r>
      <w:r>
        <w:rPr>
          <w:rFonts w:hint="eastAsia" w:ascii="宋体" w:hAnsi="宋体" w:cs="宋体"/>
          <w:i w:val="0"/>
          <w:iCs w:val="0"/>
          <w:color w:val="000000"/>
          <w:sz w:val="24"/>
          <w:szCs w:val="24"/>
          <w:u w:val="none"/>
          <w:lang w:eastAsia="zh-CN" w:bidi="ar"/>
        </w:rPr>
        <w:t xml:space="preserve">，</w:t>
      </w:r>
      <w:r>
        <w:rPr>
          <w:rFonts w:hint="eastAsia" w:ascii="宋体" w:hAnsi="宋体" w:eastAsia="宋体" w:cs="宋体"/>
          <w:i w:val="0"/>
          <w:iCs w:val="0"/>
          <w:color w:val="000000"/>
          <w:sz w:val="24"/>
          <w:szCs w:val="24"/>
          <w:u w:val="none"/>
          <w:lang w:val="en-US" w:eastAsia="zh-CN" w:bidi="ar"/>
        </w:rPr>
        <w:t xml:space="preserve">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u w:val="none"/>
          <w:lang w:bidi="ar"/>
        </w:rPr>
        <w:t xml:space="preserve">要求演示的系统必须是投标人自主研发的系统。</w:t>
      </w:r>
      <w:r>
        <w:rPr>
          <w:rFonts w:hint="eastAsia" w:ascii="宋体" w:hAnsi="宋体" w:eastAsia="宋体" w:cs="宋体"/>
          <w:i w:val="0"/>
          <w:iCs w:val="0"/>
          <w:color w:val="000000"/>
          <w:sz w:val="24"/>
          <w:szCs w:val="24"/>
          <w:u w:val="none"/>
          <w:lang w:val="en-US" w:eastAsia="zh-CN" w:bidi="ar"/>
        </w:rPr>
        <w:t xml:space="preserve">演示内容如下：</w:t>
      </w:r>
      <w:r>
        <w:rPr>
          <w:rFonts w:hint="eastAsia" w:ascii="宋体" w:hAnsi="宋体" w:eastAsia="宋体" w:cs="宋体"/>
          <w:i w:val="0"/>
          <w:iCs w:val="0"/>
          <w:color w:val="000000"/>
          <w:sz w:val="24"/>
          <w:szCs w:val="24"/>
          <w:u w:val="none"/>
          <w:lang w:val="en-US" w:eastAsia="zh-CN" w:bidi="ar"/>
        </w:rPr>
        <w:br w:type="textWrapping" w:clear="all"/>
      </w:r>
      <w:r>
        <w:rPr>
          <w:rFonts w:hint="eastAsia" w:ascii="仿宋" w:hAnsi="仿宋" w:eastAsia="仿宋" w:cs="仿宋"/>
          <w:b/>
          <w:bCs/>
          <w:color w:val="000000"/>
          <w:sz w:val="28"/>
          <w:szCs w:val="28"/>
        </w:rPr>
        <w:t xml:space="preserve">1. 第1项 身边人防工程—位置查询</w:t>
      </w:r>
      <w:r/>
    </w:p>
    <w:p>
      <w:pPr>
        <w:pStyle w:val="756"/>
        <w:widowControl/>
        <w:rPr>
          <w:rFonts w:hint="eastAsia" w:ascii="仿宋" w:hAnsi="仿宋" w:eastAsia="仿宋" w:cs="仿宋"/>
          <w:bCs/>
          <w:color w:val="000000"/>
          <w:sz w:val="28"/>
          <w:szCs w:val="28"/>
        </w:rPr>
      </w:pPr>
      <w:r>
        <w:t xml:space="preserve">演示获取用户授权位置，查询周边可公开人防工程；支持列表与地图展示、位置标注、距离显示、手动输入位置异地查询，以及按区域、类型、距离、平时用途筛选和排序；拒绝定位授权时支持手动查询。</w:t>
      </w:r>
      <w:r>
        <w:rPr>
          <w:rFonts w:hint="eastAsia" w:ascii="仿宋" w:hAnsi="仿宋" w:eastAsia="仿宋" w:cs="仿宋"/>
          <w:bCs/>
          <w:color w:val="000000"/>
          <w:sz w:val="28"/>
          <w:szCs w:val="28"/>
        </w:rPr>
      </w:r>
      <w:r/>
    </w:p>
    <w:p>
      <w:pPr>
        <w:pStyle w:val="756"/>
        <w:ind w:left="0" w:right="0"/>
        <w:keepLines w:val="0"/>
        <w:keepNext w:val="0"/>
        <w:spacing w:before="100" w:beforeAutospacing="1" w:after="100" w:afterAutospacing="1"/>
        <w:widowControl/>
        <w:suppressLineNumbers w:val="0"/>
      </w:pPr>
      <w:r>
        <w:rPr>
          <w:rFonts w:hint="eastAsia" w:ascii="仿宋" w:hAnsi="仿宋" w:eastAsia="仿宋" w:cs="仿宋"/>
          <w:b/>
          <w:bCs/>
          <w:color w:val="000000"/>
          <w:sz w:val="28"/>
          <w:szCs w:val="28"/>
          <w:lang w:val="en-US" w:eastAsia="zh-CN"/>
        </w:rPr>
        <w:t xml:space="preserve">2. 第2项 身边人防工程—信息展示</w:t>
      </w:r>
      <w:r/>
    </w:p>
    <w:p>
      <w:pPr>
        <w:pStyle w:val="756"/>
        <w:widowControl/>
        <w:rPr>
          <w:rFonts w:hint="eastAsia" w:ascii="仿宋" w:hAnsi="仿宋" w:eastAsia="仿宋" w:cs="仿宋"/>
          <w:bCs/>
          <w:color w:val="000000"/>
          <w:sz w:val="28"/>
          <w:szCs w:val="28"/>
        </w:rPr>
      </w:pPr>
      <w:r>
        <w:t xml:space="preserve">演示经审核允许公开的工程名称、类型、所属区划、地址、面积、平时用途、管理单位、图片、服务说明和更新时间；工程编号、防护等级、战时用途、内部结构、战时掩蔽人数、敏感位置等不得向公众展示；演示公开字段后台配置效果。</w:t>
      </w:r>
      <w:r>
        <w:rPr>
          <w:rFonts w:hint="eastAsia" w:ascii="仿宋" w:hAnsi="仿宋" w:eastAsia="仿宋" w:cs="仿宋"/>
          <w:bCs/>
          <w:color w:val="000000"/>
          <w:sz w:val="28"/>
          <w:szCs w:val="28"/>
        </w:rPr>
      </w:r>
      <w:r/>
    </w:p>
    <w:p>
      <w:pPr>
        <w:pStyle w:val="756"/>
        <w:ind w:left="0" w:right="0"/>
        <w:keepLines w:val="0"/>
        <w:keepNext w:val="0"/>
        <w:spacing w:before="100" w:beforeAutospacing="1" w:after="100" w:afterAutospacing="1"/>
        <w:widowControl/>
        <w:suppressLineNumbers w:val="0"/>
      </w:pPr>
      <w:r>
        <w:rPr>
          <w:rFonts w:hint="eastAsia" w:ascii="仿宋" w:hAnsi="仿宋" w:eastAsia="仿宋" w:cs="仿宋"/>
          <w:b/>
          <w:bCs/>
          <w:color w:val="000000"/>
          <w:sz w:val="28"/>
          <w:szCs w:val="28"/>
          <w:lang w:val="en-US" w:eastAsia="zh-CN"/>
        </w:rPr>
        <w:t xml:space="preserve">3. 第13项 防空警报试听—警报试听播放</w:t>
      </w:r>
      <w:r/>
    </w:p>
    <w:p>
      <w:pPr>
        <w:pStyle w:val="756"/>
        <w:widowControl/>
        <w:rPr>
          <w:rFonts w:hint="eastAsia" w:ascii="仿宋" w:hAnsi="仿宋" w:eastAsia="仿宋" w:cs="仿宋"/>
          <w:bCs/>
          <w:color w:val="000000"/>
          <w:sz w:val="28"/>
          <w:szCs w:val="28"/>
        </w:rPr>
      </w:pPr>
      <w:r>
        <w:t xml:space="preserve">演示预先警报、空袭警报、解除警报三种标准信号试听，支持播放、暂停、继续、重播和状态显示，并醒目标注“此为非实际警报信号，仅供学习使用”。</w:t>
      </w:r>
      <w:r>
        <w:rPr>
          <w:rFonts w:hint="eastAsia" w:ascii="仿宋" w:hAnsi="仿宋" w:eastAsia="仿宋" w:cs="仿宋"/>
          <w:bCs/>
          <w:color w:val="000000"/>
          <w:sz w:val="28"/>
          <w:szCs w:val="28"/>
        </w:rPr>
      </w:r>
      <w:r/>
    </w:p>
    <w:p>
      <w:pPr>
        <w:pStyle w:val="756"/>
        <w:ind w:left="0" w:right="0"/>
        <w:keepLines w:val="0"/>
        <w:keepNext w:val="0"/>
        <w:spacing w:before="100" w:beforeAutospacing="1" w:after="100" w:afterAutospacing="1"/>
        <w:widowControl/>
        <w:suppressLineNumbers w:val="0"/>
      </w:pPr>
      <w:r>
        <w:rPr>
          <w:rFonts w:hint="eastAsia" w:ascii="仿宋" w:hAnsi="仿宋" w:eastAsia="仿宋" w:cs="仿宋"/>
          <w:b/>
          <w:bCs/>
          <w:color w:val="000000"/>
          <w:sz w:val="28"/>
          <w:szCs w:val="28"/>
          <w:lang w:val="en-US" w:eastAsia="zh-CN"/>
        </w:rPr>
        <w:t xml:space="preserve">4. 第20项 人防工程数据管理</w:t>
      </w:r>
      <w:r/>
    </w:p>
    <w:p>
      <w:pPr>
        <w:pStyle w:val="756"/>
        <w:keepLines w:val="0"/>
        <w:keepNext w:val="0"/>
        <w:widowControl/>
        <w:suppressLineNumbers w:val="0"/>
      </w:pPr>
      <w:r>
        <w:t xml:space="preserve">演示使用标准Excel模板批量导入人防工程数据、错误行及原因提示、问题数据修正后重新导入，以及按条件和字段导出。</w:t>
      </w:r>
      <w:r/>
    </w:p>
    <w:p>
      <w:pPr>
        <w:pStyle w:val="756"/>
        <w:ind w:left="0" w:right="0"/>
        <w:keepLines w:val="0"/>
        <w:keepNext w:val="0"/>
        <w:spacing w:before="100" w:beforeAutospacing="1" w:after="100" w:afterAutospacing="1"/>
        <w:widowControl/>
        <w:suppressLineNumbers w:val="0"/>
      </w:pPr>
      <w:r>
        <w:rPr>
          <w:rStyle w:val="765"/>
          <w:b/>
          <w:bCs/>
        </w:rPr>
        <w:t xml:space="preserve">5. 第28项 数据审核操作</w:t>
      </w:r>
      <w:r/>
    </w:p>
    <w:p>
      <w:pPr>
        <w:pStyle w:val="756"/>
        <w:widowControl/>
        <w:rPr>
          <w:rFonts w:hint="eastAsia" w:ascii="仿宋" w:hAnsi="仿宋" w:eastAsia="仿宋" w:cs="仿宋"/>
          <w:bCs/>
          <w:color w:val="000000"/>
          <w:sz w:val="28"/>
          <w:szCs w:val="28"/>
        </w:rPr>
      </w:pPr>
      <w:r>
        <w:t xml:space="preserve">演示内容包括：（1）查看数据、附件、图片、自动校验结果、变更差异和历史记录；（2）进行审核通过、驳回、填写意见和退回重报；（3）已发布数据修改时，在审核通过前继续展示原版本，并可查询审核及操作留痕。</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上述演示点仅在第五章“视频演示”项中评分，不在“需求响应”项中重复计分。</w:t>
      </w:r>
      <w:r>
        <w:rPr>
          <w:rFonts w:hint="eastAsia" w:ascii="仿宋" w:hAnsi="仿宋" w:eastAsia="仿宋" w:cs="仿宋"/>
          <w:bCs/>
          <w:color w:val="000000"/>
          <w:sz w:val="28"/>
          <w:szCs w:val="28"/>
        </w:rPr>
      </w:r>
      <w:r/>
    </w:p>
    <w:p>
      <w:pPr>
        <w:pStyle w:val="694"/>
        <w:ind w:right="0" w:firstLine="560"/>
        <w:keepLines w:val="0"/>
        <w:keepNext w:val="0"/>
        <w:pageBreakBefore w:val="0"/>
        <w:spacing w:line="4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rPr>
        <w:t xml:space="preserve">3.</w:t>
      </w:r>
      <w:r>
        <w:rPr>
          <w:rFonts w:hint="eastAsia" w:ascii="仿宋" w:hAnsi="仿宋" w:eastAsia="仿宋" w:cs="仿宋"/>
          <w:bCs/>
          <w:color w:val="000000"/>
          <w:sz w:val="28"/>
          <w:szCs w:val="28"/>
        </w:rPr>
        <w:t xml:space="preserve">第四章中以斜体、下划线显示的条款为实质性要求。供应商须逐条明确响应；存在负偏离或者未按照要求提供证明材料的，响应无效。</w:t>
      </w:r>
      <w:r>
        <w:rPr>
          <w:rFonts w:hint="eastAsia" w:ascii="仿宋" w:hAnsi="仿宋" w:eastAsia="仿宋" w:cs="仿宋"/>
          <w:bCs/>
          <w:color w:val="000000"/>
          <w:sz w:val="28"/>
          <w:szCs w:val="28"/>
        </w:rPr>
      </w:r>
      <w:r/>
    </w:p>
    <w:p>
      <w:pPr>
        <w:pStyle w:val="694"/>
        <w:ind w:firstLine="480"/>
        <w:spacing w:line="0" w:lineRule="atLeast"/>
        <w:rPr>
          <w:rFonts w:hint="eastAsia" w:ascii="宋体" w:hAnsi="宋体"/>
          <w:color w:val="ff0000"/>
          <w:sz w:val="24"/>
          <w:szCs w:val="24"/>
        </w:rPr>
      </w:pPr>
      <w:r>
        <w:rPr>
          <w:rFonts w:hint="eastAsia" w:ascii="宋体" w:hAnsi="宋体"/>
          <w:color w:val="ff0000"/>
          <w:sz w:val="24"/>
          <w:szCs w:val="24"/>
        </w:rPr>
      </w:r>
      <w:r/>
    </w:p>
    <w:p>
      <w:pPr>
        <w:pStyle w:val="694"/>
        <w:spacing w:before="120" w:after="120" w:line="0" w:lineRule="atLeast"/>
        <w:rPr>
          <w:rFonts w:ascii="宋体" w:hAnsi="Courier New" w:cs="Courier New"/>
          <w:sz w:val="24"/>
          <w:szCs w:val="24"/>
        </w:rPr>
      </w:pPr>
      <w:r>
        <w:rPr>
          <w:rFonts w:ascii="宋体" w:hAnsi="Courier New" w:cs="Courier New"/>
          <w:sz w:val="24"/>
          <w:szCs w:val="24"/>
        </w:rPr>
      </w:r>
      <w:r/>
    </w:p>
    <w:p>
      <w:pPr>
        <w:pStyle w:val="694"/>
        <w:spacing w:before="120" w:after="120" w:line="0" w:lineRule="atLeast"/>
        <w:rPr>
          <w:rFonts w:ascii="宋体" w:hAnsi="Courier New" w:cs="Courier New"/>
          <w:sz w:val="24"/>
          <w:szCs w:val="24"/>
        </w:rPr>
      </w:pPr>
      <w:r>
        <w:rPr>
          <w:rFonts w:ascii="宋体" w:hAnsi="Courier New" w:cs="Courier New"/>
          <w:sz w:val="24"/>
          <w:szCs w:val="24"/>
        </w:rPr>
      </w:r>
      <w:r/>
    </w:p>
    <w:p>
      <w:pPr>
        <w:pStyle w:val="694"/>
        <w:spacing w:before="120" w:after="120" w:line="0" w:lineRule="atLeast"/>
        <w:rPr>
          <w:rFonts w:ascii="宋体" w:hAnsi="Courier New" w:cs="Courier New"/>
          <w:sz w:val="24"/>
          <w:szCs w:val="24"/>
        </w:rPr>
      </w:pPr>
      <w:r>
        <w:rPr>
          <w:rFonts w:ascii="宋体" w:hAnsi="Courier New" w:cs="Courier New"/>
          <w:sz w:val="24"/>
          <w:szCs w:val="24"/>
        </w:rPr>
      </w:r>
      <w:r/>
    </w:p>
    <w:p>
      <w:pPr>
        <w:pStyle w:val="706"/>
        <w:rPr>
          <w:rFonts w:ascii="宋体" w:hAnsi="Courier New" w:cs="Courier New"/>
          <w:sz w:val="24"/>
          <w:szCs w:val="24"/>
        </w:rPr>
      </w:pPr>
      <w:r>
        <w:rPr>
          <w:rFonts w:ascii="宋体" w:hAnsi="Courier New" w:cs="Courier New"/>
          <w:sz w:val="24"/>
          <w:szCs w:val="24"/>
        </w:rPr>
      </w:r>
      <w:r/>
    </w:p>
    <w:p>
      <w:pPr>
        <w:pStyle w:val="694"/>
        <w:rPr>
          <w:rFonts w:ascii="宋体" w:hAnsi="Courier New" w:cs="Courier New"/>
          <w:sz w:val="24"/>
          <w:szCs w:val="24"/>
        </w:rPr>
      </w:pPr>
      <w:r>
        <w:rPr>
          <w:rFonts w:ascii="宋体" w:hAnsi="Courier New" w:cs="Courier New"/>
          <w:sz w:val="24"/>
          <w:szCs w:val="24"/>
        </w:rPr>
      </w:r>
      <w:r/>
    </w:p>
    <w:p>
      <w:pPr>
        <w:pStyle w:val="706"/>
        <w:rPr>
          <w:rFonts w:ascii="宋体" w:hAnsi="Courier New" w:cs="Courier New"/>
          <w:sz w:val="24"/>
          <w:szCs w:val="24"/>
        </w:rPr>
      </w:pPr>
      <w:r>
        <w:rPr>
          <w:rFonts w:ascii="宋体" w:hAnsi="Courier New" w:cs="Courier New"/>
          <w:sz w:val="24"/>
          <w:szCs w:val="24"/>
        </w:rPr>
      </w:r>
      <w:r/>
    </w:p>
    <w:p>
      <w:pPr>
        <w:pStyle w:val="694"/>
        <w:rPr>
          <w:rFonts w:ascii="宋体" w:hAnsi="Courier New" w:cs="Courier New"/>
          <w:sz w:val="24"/>
          <w:szCs w:val="24"/>
        </w:rPr>
      </w:pPr>
      <w:r>
        <w:rPr>
          <w:rFonts w:ascii="宋体" w:hAnsi="Courier New" w:cs="Courier New"/>
          <w:sz w:val="24"/>
          <w:szCs w:val="24"/>
        </w:rPr>
      </w:r>
      <w:r/>
    </w:p>
    <w:p>
      <w:pPr>
        <w:pStyle w:val="706"/>
        <w:rPr>
          <w:rFonts w:ascii="宋体" w:hAnsi="Courier New" w:cs="Courier New"/>
          <w:sz w:val="24"/>
          <w:szCs w:val="24"/>
        </w:rPr>
      </w:pPr>
      <w:r>
        <w:rPr>
          <w:rFonts w:ascii="宋体" w:hAnsi="Courier New" w:cs="Courier New"/>
          <w:sz w:val="24"/>
          <w:szCs w:val="24"/>
        </w:rPr>
      </w:r>
      <w:r/>
    </w:p>
    <w:p>
      <w:pPr>
        <w:pStyle w:val="694"/>
        <w:rPr>
          <w:rFonts w:ascii="宋体" w:hAnsi="Courier New" w:cs="Courier New"/>
          <w:sz w:val="24"/>
          <w:szCs w:val="24"/>
        </w:rPr>
      </w:pPr>
      <w:r>
        <w:rPr>
          <w:rFonts w:ascii="宋体" w:hAnsi="Courier New" w:cs="Courier New"/>
          <w:sz w:val="24"/>
          <w:szCs w:val="24"/>
        </w:rPr>
      </w:r>
      <w:r/>
    </w:p>
    <w:p>
      <w:pPr>
        <w:pStyle w:val="706"/>
        <w:rPr>
          <w:rFonts w:ascii="宋体" w:hAnsi="Courier New" w:cs="Courier New"/>
          <w:sz w:val="24"/>
          <w:szCs w:val="24"/>
        </w:rPr>
      </w:pPr>
      <w:r>
        <w:rPr>
          <w:rFonts w:ascii="宋体" w:hAnsi="Courier New" w:cs="Courier New"/>
          <w:sz w:val="24"/>
          <w:szCs w:val="24"/>
        </w:rPr>
      </w:r>
      <w:r/>
    </w:p>
    <w:p>
      <w:pPr>
        <w:pStyle w:val="694"/>
        <w:rPr>
          <w:rFonts w:ascii="宋体" w:hAnsi="Courier New" w:cs="Courier New"/>
          <w:sz w:val="24"/>
          <w:szCs w:val="24"/>
        </w:rPr>
      </w:pPr>
      <w:r>
        <w:rPr>
          <w:rFonts w:ascii="宋体" w:hAnsi="Courier New" w:cs="Courier New"/>
          <w:sz w:val="24"/>
          <w:szCs w:val="24"/>
        </w:rPr>
      </w:r>
      <w:r/>
    </w:p>
    <w:p>
      <w:pPr>
        <w:pStyle w:val="706"/>
        <w:rPr>
          <w:rFonts w:ascii="宋体" w:hAnsi="Courier New" w:cs="Courier New"/>
          <w:sz w:val="24"/>
          <w:szCs w:val="24"/>
        </w:rPr>
      </w:pPr>
      <w:r>
        <w:rPr>
          <w:rFonts w:ascii="宋体" w:hAnsi="Courier New" w:cs="Courier New"/>
          <w:sz w:val="24"/>
          <w:szCs w:val="24"/>
        </w:rPr>
      </w:r>
      <w:r/>
    </w:p>
    <w:p>
      <w:pPr>
        <w:pStyle w:val="694"/>
        <w:rPr>
          <w:rFonts w:ascii="宋体" w:hAnsi="Courier New" w:cs="Courier New"/>
          <w:sz w:val="24"/>
          <w:szCs w:val="24"/>
        </w:rPr>
      </w:pPr>
      <w:r>
        <w:rPr>
          <w:rFonts w:ascii="宋体" w:hAnsi="Courier New" w:cs="Courier New"/>
          <w:sz w:val="24"/>
          <w:szCs w:val="24"/>
        </w:rPr>
      </w:r>
      <w:r/>
    </w:p>
    <w:p>
      <w:pPr>
        <w:pStyle w:val="706"/>
        <w:rPr>
          <w:rFonts w:ascii="宋体" w:hAnsi="Courier New" w:cs="Courier New"/>
          <w:sz w:val="24"/>
          <w:szCs w:val="24"/>
        </w:rPr>
      </w:pPr>
      <w:r>
        <w:rPr>
          <w:rFonts w:ascii="宋体" w:hAnsi="Courier New" w:cs="Courier New"/>
          <w:sz w:val="24"/>
          <w:szCs w:val="24"/>
        </w:rPr>
      </w:r>
      <w:r/>
    </w:p>
    <w:p>
      <w:pPr>
        <w:pStyle w:val="694"/>
        <w:rPr>
          <w:rFonts w:ascii="宋体" w:hAnsi="Courier New" w:cs="Courier New"/>
          <w:sz w:val="24"/>
          <w:szCs w:val="24"/>
        </w:rPr>
      </w:pPr>
      <w:r>
        <w:rPr>
          <w:rFonts w:ascii="宋体" w:hAnsi="Courier New" w:cs="Courier New"/>
          <w:sz w:val="24"/>
          <w:szCs w:val="24"/>
        </w:rPr>
      </w:r>
      <w:r/>
    </w:p>
    <w:p>
      <w:pPr>
        <w:pStyle w:val="706"/>
        <w:rPr>
          <w:rFonts w:ascii="宋体" w:hAnsi="Courier New" w:cs="Courier New"/>
          <w:sz w:val="24"/>
          <w:szCs w:val="24"/>
        </w:rPr>
      </w:pPr>
      <w:r>
        <w:rPr>
          <w:rFonts w:ascii="宋体" w:hAnsi="Courier New" w:cs="Courier New"/>
          <w:sz w:val="24"/>
          <w:szCs w:val="24"/>
        </w:rPr>
      </w:r>
      <w:r/>
    </w:p>
    <w:p>
      <w:pPr>
        <w:pStyle w:val="694"/>
        <w:rPr>
          <w:rFonts w:ascii="宋体" w:hAnsi="Courier New" w:cs="Courier New"/>
          <w:sz w:val="24"/>
          <w:szCs w:val="24"/>
        </w:rPr>
      </w:pPr>
      <w:r>
        <w:rPr>
          <w:rFonts w:ascii="宋体" w:hAnsi="Courier New" w:cs="Courier New"/>
          <w:sz w:val="24"/>
          <w:szCs w:val="24"/>
        </w:rPr>
      </w:r>
      <w:r/>
    </w:p>
    <w:p>
      <w:pPr>
        <w:pStyle w:val="706"/>
        <w:rPr>
          <w:rFonts w:ascii="宋体" w:hAnsi="Courier New" w:cs="Courier New"/>
          <w:sz w:val="24"/>
          <w:szCs w:val="24"/>
        </w:rPr>
      </w:pPr>
      <w:r>
        <w:rPr>
          <w:rFonts w:ascii="宋体" w:hAnsi="Courier New" w:cs="Courier New"/>
          <w:sz w:val="24"/>
          <w:szCs w:val="24"/>
        </w:rPr>
      </w:r>
      <w:r/>
    </w:p>
    <w:p>
      <w:pPr>
        <w:pStyle w:val="694"/>
        <w:rPr>
          <w:rFonts w:ascii="宋体" w:hAnsi="Courier New" w:cs="Courier New"/>
          <w:sz w:val="24"/>
          <w:szCs w:val="24"/>
        </w:rPr>
      </w:pPr>
      <w:r>
        <w:rPr>
          <w:rFonts w:ascii="宋体" w:hAnsi="Courier New" w:cs="Courier New"/>
          <w:sz w:val="24"/>
          <w:szCs w:val="24"/>
        </w:rPr>
      </w:r>
      <w:r/>
    </w:p>
    <w:p>
      <w:pPr>
        <w:pStyle w:val="706"/>
        <w:rPr>
          <w:rFonts w:ascii="宋体" w:hAnsi="Courier New" w:cs="Courier New"/>
          <w:sz w:val="24"/>
          <w:szCs w:val="24"/>
        </w:rPr>
      </w:pPr>
      <w:r>
        <w:rPr>
          <w:rFonts w:ascii="宋体" w:hAnsi="Courier New" w:cs="Courier New"/>
          <w:sz w:val="24"/>
          <w:szCs w:val="24"/>
        </w:rPr>
      </w:r>
      <w:r/>
    </w:p>
    <w:p>
      <w:pPr>
        <w:pStyle w:val="694"/>
        <w:rPr>
          <w:rFonts w:ascii="宋体" w:hAnsi="Courier New" w:cs="Courier New"/>
          <w:sz w:val="24"/>
          <w:szCs w:val="24"/>
        </w:rPr>
      </w:pPr>
      <w:r>
        <w:rPr>
          <w:rFonts w:ascii="宋体" w:hAnsi="Courier New" w:cs="Courier New"/>
          <w:sz w:val="24"/>
          <w:szCs w:val="24"/>
        </w:rPr>
      </w:r>
      <w:r/>
    </w:p>
    <w:p>
      <w:pPr>
        <w:pStyle w:val="706"/>
        <w:rPr>
          <w:rFonts w:ascii="宋体" w:hAnsi="Courier New" w:cs="Courier New"/>
          <w:sz w:val="24"/>
          <w:szCs w:val="24"/>
        </w:rPr>
      </w:pPr>
      <w:r>
        <w:rPr>
          <w:rFonts w:ascii="宋体" w:hAnsi="Courier New" w:cs="Courier New"/>
          <w:sz w:val="24"/>
          <w:szCs w:val="24"/>
        </w:rPr>
      </w:r>
      <w:r/>
    </w:p>
    <w:p>
      <w:pPr>
        <w:pStyle w:val="694"/>
        <w:rPr>
          <w:rFonts w:ascii="宋体" w:hAnsi="Courier New" w:cs="Courier New"/>
          <w:sz w:val="24"/>
          <w:szCs w:val="24"/>
        </w:rPr>
      </w:pPr>
      <w:r>
        <w:rPr>
          <w:rFonts w:ascii="宋体" w:hAnsi="Courier New" w:cs="Courier New"/>
          <w:sz w:val="24"/>
          <w:szCs w:val="24"/>
        </w:rPr>
      </w:r>
      <w:r/>
    </w:p>
    <w:p>
      <w:pPr>
        <w:pStyle w:val="706"/>
        <w:rPr>
          <w:rFonts w:ascii="宋体" w:hAnsi="Courier New" w:cs="Courier New"/>
          <w:sz w:val="24"/>
          <w:szCs w:val="24"/>
        </w:rPr>
      </w:pPr>
      <w:r>
        <w:rPr>
          <w:rFonts w:ascii="宋体" w:hAnsi="Courier New" w:cs="Courier New"/>
          <w:sz w:val="24"/>
          <w:szCs w:val="24"/>
        </w:rPr>
      </w:r>
      <w:r/>
    </w:p>
    <w:p>
      <w:pPr>
        <w:pStyle w:val="694"/>
        <w:rPr>
          <w:rFonts w:ascii="宋体" w:hAnsi="Courier New" w:cs="Courier New"/>
          <w:sz w:val="24"/>
          <w:szCs w:val="24"/>
        </w:rPr>
      </w:pPr>
      <w:r>
        <w:rPr>
          <w:rFonts w:ascii="宋体" w:hAnsi="Courier New" w:cs="Courier New"/>
          <w:sz w:val="24"/>
          <w:szCs w:val="24"/>
        </w:rPr>
      </w:r>
      <w:r/>
    </w:p>
    <w:p>
      <w:pPr>
        <w:pStyle w:val="706"/>
        <w:rPr>
          <w:rFonts w:ascii="宋体" w:hAnsi="Courier New" w:cs="Courier New"/>
          <w:sz w:val="24"/>
          <w:szCs w:val="24"/>
        </w:rPr>
      </w:pPr>
      <w:r>
        <w:rPr>
          <w:rFonts w:ascii="宋体" w:hAnsi="Courier New" w:cs="Courier New"/>
          <w:sz w:val="24"/>
          <w:szCs w:val="24"/>
        </w:rPr>
      </w:r>
      <w:r/>
    </w:p>
    <w:p>
      <w:pPr>
        <w:pStyle w:val="694"/>
        <w:rPr>
          <w:rFonts w:ascii="宋体" w:hAnsi="Courier New" w:cs="Courier New"/>
          <w:sz w:val="24"/>
          <w:szCs w:val="24"/>
        </w:rPr>
      </w:pPr>
      <w:r>
        <w:rPr>
          <w:rFonts w:ascii="宋体" w:hAnsi="Courier New" w:cs="Courier New"/>
          <w:sz w:val="24"/>
          <w:szCs w:val="24"/>
        </w:rPr>
      </w:r>
      <w:r/>
    </w:p>
    <w:p>
      <w:pPr>
        <w:pStyle w:val="706"/>
      </w:pPr>
      <w:r/>
      <w:r/>
    </w:p>
    <w:p>
      <w:pPr>
        <w:pStyle w:val="694"/>
        <w:spacing w:before="120" w:after="120" w:line="0" w:lineRule="atLeast"/>
        <w:rPr>
          <w:rFonts w:ascii="宋体" w:hAnsi="Courier New" w:cs="Courier New"/>
          <w:sz w:val="24"/>
          <w:szCs w:val="24"/>
        </w:rPr>
      </w:pPr>
      <w:r>
        <w:rPr>
          <w:rFonts w:ascii="宋体" w:hAnsi="Courier New" w:cs="Courier New"/>
          <w:sz w:val="24"/>
          <w:szCs w:val="24"/>
        </w:rPr>
      </w:r>
      <w:r/>
    </w:p>
    <w:p>
      <w:pPr>
        <w:pStyle w:val="694"/>
        <w:jc w:val="center"/>
        <w:keepLines w:val="0"/>
        <w:keepNext/>
        <w:pageBreakBefore w:val="0"/>
        <w:spacing w:line="400" w:lineRule="exact"/>
        <w:widowControl w:val="off"/>
        <w:rPr>
          <w:rFonts w:hint="eastAsia" w:ascii="黑体" w:hAnsi="Times New Roman" w:eastAsia="黑体"/>
          <w:b w:val="0"/>
          <w:bCs/>
          <w:sz w:val="28"/>
          <w:szCs w:val="28"/>
        </w:rPr>
        <w:outlineLvl w:val="0"/>
      </w:pPr>
      <w:r/>
      <w:bookmarkStart w:id="176" w:name="_Toc120614281"/>
      <w:r>
        <w:rPr>
          <w:rFonts w:hint="eastAsia" w:ascii="黑体" w:hAnsi="Times New Roman" w:eastAsia="黑体"/>
          <w:b w:val="0"/>
          <w:bCs/>
          <w:sz w:val="28"/>
          <w:szCs w:val="28"/>
        </w:rPr>
        <w:t xml:space="preserve">第五章  评审方法与评审标准</w:t>
      </w:r>
      <w:r>
        <w:rPr>
          <w:rFonts w:hint="eastAsia" w:ascii="黑体" w:hAnsi="Times New Roman" w:eastAsia="黑体"/>
          <w:b w:val="0"/>
          <w:bCs/>
          <w:sz w:val="28"/>
          <w:szCs w:val="28"/>
        </w:rPr>
      </w:r>
      <w:r/>
    </w:p>
    <w:p>
      <w:pPr>
        <w:pStyle w:val="694"/>
        <w:ind w:firstLine="643"/>
        <w:jc w:val="left"/>
        <w:keepLines w:val="0"/>
        <w:keepNext w:val="0"/>
        <w:pageBreakBefore w:val="0"/>
        <w:spacing w:before="120" w:after="120" w:line="400" w:lineRule="exact"/>
        <w:widowControl w:val="off"/>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pStyle w:val="694"/>
        <w:ind w:firstLine="562"/>
        <w:jc w:val="left"/>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6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小微型企业价格扣除</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的扣除价格，用扣除后的价格参与评审。</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rPr>
          <w:rFonts w:hint="eastAsia" w:ascii="方正仿宋_GBK" w:hAnsi="方正仿宋_GBK" w:eastAsia="方正仿宋_GBK" w:cs="方正仿宋_GBK"/>
          <w:sz w:val="28"/>
          <w:szCs w:val="28"/>
        </w:rPr>
      </w:r>
      <w:r/>
    </w:p>
    <w:p>
      <w:pPr>
        <w:pStyle w:val="694"/>
        <w:ind w:firstLine="883"/>
        <w:jc w:val="left"/>
        <w:keepLines w:val="0"/>
        <w:keepNext w:val="0"/>
        <w:pageBreakBefore w:val="0"/>
        <w:spacing w:before="120" w:after="120" w:line="520" w:lineRule="exact"/>
        <w:widowControl w:val="off"/>
        <w:rPr>
          <w:rFonts w:hint="eastAsia" w:ascii="方正仿宋_GBK" w:hAnsi="方正仿宋_GBK" w:eastAsia="方正仿宋_GBK" w:cs="方正仿宋_GBK"/>
          <w:b/>
          <w:bCs/>
          <w:sz w:val="44"/>
          <w:szCs w:val="44"/>
          <w:lang w:eastAsia="zh-CN"/>
        </w:rPr>
      </w:pPr>
      <w:r>
        <w:rPr>
          <w:rFonts w:hint="eastAsia" w:ascii="方正仿宋_GBK" w:hAnsi="方正仿宋_GBK" w:eastAsia="方正仿宋_GBK" w:cs="方正仿宋_GBK"/>
          <w:b/>
          <w:bCs/>
          <w:sz w:val="44"/>
          <w:szCs w:val="44"/>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供应商将不享受《政府采购促进中小企业发展管理办法》规定的价格扣除优惠政策</w:t>
      </w:r>
      <w:r>
        <w:rPr>
          <w:rFonts w:hint="eastAsia" w:ascii="方正仿宋_GBK" w:hAnsi="方正仿宋_GBK" w:eastAsia="方正仿宋_GBK" w:cs="方正仿宋_GBK"/>
          <w:b/>
          <w:bCs/>
          <w:sz w:val="44"/>
          <w:szCs w:val="44"/>
          <w:lang w:eastAsia="zh-CN"/>
        </w:rPr>
        <w:t xml:space="preserve">。</w:t>
      </w:r>
      <w:r>
        <w:rPr>
          <w:rFonts w:hint="eastAsia" w:ascii="方正仿宋_GBK" w:hAnsi="方正仿宋_GBK" w:eastAsia="方正仿宋_GBK" w:cs="方正仿宋_GBK"/>
          <w:b/>
          <w:bCs/>
          <w:sz w:val="44"/>
          <w:szCs w:val="44"/>
          <w:lang w:eastAsia="zh-CN"/>
        </w:rPr>
      </w:r>
      <w:r/>
    </w:p>
    <w:p>
      <w:pPr>
        <w:pStyle w:val="6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残疾人福利单位价格扣除</w:t>
      </w:r>
      <w:r>
        <w:rPr>
          <w:rFonts w:hint="eastAsia" w:ascii="方正仿宋_GBK" w:hAnsi="方正仿宋_GBK" w:eastAsia="方正仿宋_GBK" w:cs="方正仿宋_GBK"/>
          <w:sz w:val="28"/>
          <w:szCs w:val="28"/>
        </w:rPr>
      </w:r>
      <w:r/>
    </w:p>
    <w:p>
      <w:pPr>
        <w:pStyle w:val="694"/>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694"/>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hint="eastAsia" w:ascii="方正仿宋_GBK" w:hAnsi="方正仿宋_GBK" w:eastAsia="方正仿宋_GBK" w:cs="方正仿宋_GBK"/>
          <w:sz w:val="28"/>
          <w:szCs w:val="28"/>
        </w:rPr>
      </w:r>
      <w:r/>
    </w:p>
    <w:p>
      <w:pPr>
        <w:pStyle w:val="694"/>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监狱和戒毒企业价格扣除</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8"/>
          <w:szCs w:val="28"/>
        </w:rPr>
        <w:t xml:space="preserve">供应商如不提供上述证明文件，价格将不做相应扣除</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残疾人福利单位、监狱企业属于小型、微型企业的，不重复享受政策。</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non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响应文件格式”的“附件1 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non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7.3 </w:t>
      </w:r>
      <w:r>
        <w:rPr>
          <w:rFonts w:hint="eastAsia" w:ascii="方正仿宋_GBK" w:hAnsi="方正仿宋_GBK" w:eastAsia="方正仿宋_GBK" w:cs="方正仿宋_GBK"/>
          <w:color w:val="000000"/>
          <w:sz w:val="28"/>
          <w:szCs w:val="28"/>
        </w:rPr>
        <w:t xml:space="preserve">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7.4 评审</w:t>
      </w:r>
      <w:r>
        <w:rPr>
          <w:rFonts w:hint="eastAsia" w:ascii="方正仿宋_GBK" w:hAnsi="方正仿宋_GBK" w:eastAsia="方正仿宋_GBK" w:cs="方正仿宋_GBK"/>
          <w:color w:val="000000"/>
          <w:sz w:val="28"/>
          <w:szCs w:val="28"/>
        </w:rPr>
        <w:t xml:space="preserve">过程中如发现供应商在《声明函》内容含义不明确、同类事项与投标（响应）文件表述不一致或者有明显文字错误等情况的，</w:t>
      </w:r>
      <w:r>
        <w:rPr>
          <w:rFonts w:hint="eastAsia" w:ascii="方正仿宋_GBK" w:hAnsi="方正仿宋_GBK" w:eastAsia="方正仿宋_GBK" w:cs="方正仿宋_GBK"/>
          <w:color w:val="000000"/>
          <w:sz w:val="28"/>
          <w:szCs w:val="28"/>
          <w:lang w:eastAsia="zh-CN"/>
        </w:rPr>
        <w:t xml:space="preserve">磋商小组</w:t>
      </w:r>
      <w:r>
        <w:rPr>
          <w:rFonts w:hint="eastAsia" w:ascii="方正仿宋_GBK" w:hAnsi="方正仿宋_GBK" w:eastAsia="方正仿宋_GBK" w:cs="方正仿宋_GBK"/>
          <w:color w:val="000000"/>
          <w:sz w:val="28"/>
          <w:szCs w:val="28"/>
        </w:rPr>
        <w:t xml:space="preserve">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 xml:space="preserve">和磋商文件</w:t>
      </w:r>
      <w:r>
        <w:rPr>
          <w:rFonts w:hint="eastAsia" w:ascii="方正仿宋_GBK" w:hAnsi="方正仿宋_GBK" w:eastAsia="方正仿宋_GBK" w:cs="方正仿宋_GBK"/>
          <w:color w:val="000000"/>
          <w:sz w:val="28"/>
          <w:szCs w:val="28"/>
        </w:rPr>
        <w:t xml:space="preserve">规定的，供应商提供的相关产品视为不符合本国产品标准。</w:t>
      </w:r>
      <w:r>
        <w:rPr>
          <w:rFonts w:hint="eastAsia" w:ascii="方正仿宋_GBK" w:hAnsi="方正仿宋_GBK" w:eastAsia="方正仿宋_GBK" w:cs="方正仿宋_GBK"/>
          <w:color w:val="000000"/>
          <w:sz w:val="28"/>
          <w:szCs w:val="28"/>
        </w:rPr>
      </w:r>
      <w:r/>
    </w:p>
    <w:p>
      <w:pPr>
        <w:pStyle w:val="694"/>
        <w:ind w:firstLine="562"/>
        <w:jc w:val="left"/>
        <w:keepLines w:val="0"/>
        <w:pageBreakBefore w:val="0"/>
        <w:spacing w:before="120" w:after="120" w:line="400" w:lineRule="exact"/>
        <w:widowControl w:val="off"/>
        <w:rPr>
          <w:rFonts w:ascii="宋体" w:hAnsi="宋体"/>
          <w:b/>
          <w:sz w:val="28"/>
          <w:szCs w:val="28"/>
        </w:rPr>
      </w:pPr>
      <w:r>
        <w:rPr>
          <w:rFonts w:ascii="宋体" w:hAnsi="宋体"/>
          <w:b/>
          <w:sz w:val="28"/>
          <w:szCs w:val="28"/>
        </w:rPr>
      </w:r>
      <w:r/>
    </w:p>
    <w:p>
      <w:pPr>
        <w:pStyle w:val="694"/>
        <w:ind w:firstLine="562"/>
        <w:jc w:val="left"/>
        <w:keepLines w:val="0"/>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评审方法与评审标准</w:t>
      </w:r>
      <w:r>
        <w:rPr>
          <w:rFonts w:hint="eastAsia" w:ascii="方正仿宋_GBK" w:hAnsi="方正仿宋_GBK" w:eastAsia="方正仿宋_GBK" w:cs="方正仿宋_GBK"/>
          <w:b/>
          <w:color w:val="000000"/>
          <w:sz w:val="28"/>
          <w:szCs w:val="28"/>
        </w:rPr>
      </w:r>
      <w:r/>
    </w:p>
    <w:p>
      <w:pPr>
        <w:pStyle w:val="694"/>
        <w:ind w:firstLine="562"/>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 xml:space="preserve">1、磋商响应报价（10分）</w:t>
      </w:r>
      <w:r>
        <w:rPr>
          <w:rFonts w:hint="eastAsia" w:ascii="方正仿宋_GBK" w:hAnsi="方正仿宋_GBK" w:eastAsia="方正仿宋_GBK" w:cs="方正仿宋_GBK"/>
          <w:b/>
          <w:bCs/>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采用低价优先法计算，即满足磋商文件要求且最后报价最低的供应商报价为磋商基准价，其价格分为满分。其他供应商的价格得分统一按照下列公式计算：价格得分＝（磋商基准价÷最后磋商报价）×10。价格得分保留两位小数，第三位四舍五入。</w:t>
      </w:r>
      <w:r>
        <w:rPr>
          <w:rFonts w:hint="eastAsia" w:ascii="方正仿宋_GBK" w:hAnsi="方正仿宋_GBK" w:eastAsia="方正仿宋_GBK" w:cs="方正仿宋_GBK"/>
          <w:color w:val="000000"/>
          <w:sz w:val="28"/>
          <w:szCs w:val="28"/>
          <w:lang w:val="en-US" w:eastAsia="zh-CN"/>
        </w:rPr>
      </w:r>
      <w:r/>
    </w:p>
    <w:p>
      <w:pPr>
        <w:pStyle w:val="694"/>
        <w:ind w:firstLine="562"/>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 xml:space="preserve">2、需求响应（40分）</w:t>
      </w:r>
      <w:r>
        <w:rPr>
          <w:rFonts w:hint="eastAsia" w:ascii="方正仿宋_GBK" w:hAnsi="方正仿宋_GBK" w:eastAsia="方正仿宋_GBK" w:cs="方正仿宋_GBK"/>
          <w:b/>
          <w:bCs/>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第四章中以斜体、下划线显示的条款为必须满足项，存在负偏离的，响应无效。</w:t>
      </w:r>
      <w:r>
        <w:rPr>
          <w:rFonts w:hint="eastAsia" w:ascii="方正仿宋_GBK" w:hAnsi="方正仿宋_GBK" w:eastAsia="方正仿宋_GBK" w:cs="方正仿宋_GBK"/>
          <w:color w:val="000000"/>
          <w:sz w:val="28"/>
          <w:szCs w:val="28"/>
          <w:lang w:val="en-US" w:eastAsia="zh-CN"/>
        </w:rPr>
      </w:r>
      <w:r/>
    </w:p>
    <w:p>
      <w:pPr>
        <w:pStyle w:val="694"/>
        <w:ind w:firstLine="562"/>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 xml:space="preserve">2.1 功能需求响应（20分）</w:t>
      </w:r>
      <w:r>
        <w:rPr>
          <w:rFonts w:hint="eastAsia" w:ascii="方正仿宋_GBK" w:hAnsi="方正仿宋_GBK" w:eastAsia="方正仿宋_GBK" w:cs="方正仿宋_GBK"/>
          <w:b/>
          <w:bCs/>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根据第四章“3.2.3功能栏目建设需求”的响应情况进行评分。标注“（视频演示）”的第1、2、13、20、28项共5项，仅在“视频演示”项中评分，不在本项重复评分；其余32项功能需求纳入本项评分。</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供应商对纳入本项评分的32项功能全部满足的，得20分；存在负偏离的，按照以下公式计算：</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本项得分＝20×满足要求的功能项数量÷32。</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同一编号项中存在一处或者多处负偏离的，该编号项按不满足计算。本项得分保留两位小数，最低得0分。</w:t>
      </w:r>
      <w:r>
        <w:rPr>
          <w:rFonts w:hint="eastAsia" w:ascii="方正仿宋_GBK" w:hAnsi="方正仿宋_GBK" w:eastAsia="方正仿宋_GBK" w:cs="方正仿宋_GBK"/>
          <w:color w:val="000000"/>
          <w:sz w:val="28"/>
          <w:szCs w:val="28"/>
          <w:lang w:val="en-US" w:eastAsia="zh-CN"/>
        </w:rPr>
      </w:r>
      <w:r/>
    </w:p>
    <w:p>
      <w:pPr>
        <w:pStyle w:val="694"/>
        <w:ind w:firstLine="562"/>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 xml:space="preserve">2.2  技术、性能和安全要求响应（20分）</w:t>
      </w:r>
      <w:r>
        <w:rPr>
          <w:rFonts w:hint="eastAsia" w:ascii="方正仿宋_GBK" w:hAnsi="方正仿宋_GBK" w:eastAsia="方正仿宋_GBK" w:cs="方正仿宋_GBK"/>
          <w:b/>
          <w:bCs/>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根据第四章“3.4技术指标要求”“3.5性能要求”和“3.6安全要求”的响应情况进行评分，共20项，其中：</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“3.4技术指标要求”第1—7项，共7项；</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“3.5性能要求”（一）至（六），共6项； </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“3.6安全要求”（一）至（七），共7项。 </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每项完全满足得1分；某一项存在一处或者多处负偏离的，该项不得分。本项满分20分。</w:t>
      </w:r>
      <w:r>
        <w:rPr>
          <w:rFonts w:hint="eastAsia" w:ascii="方正仿宋_GBK" w:hAnsi="方正仿宋_GBK" w:eastAsia="方正仿宋_GBK" w:cs="方正仿宋_GBK"/>
          <w:color w:val="000000"/>
          <w:sz w:val="28"/>
          <w:szCs w:val="28"/>
          <w:lang w:val="en-US" w:eastAsia="zh-CN"/>
        </w:rPr>
      </w:r>
      <w:r/>
    </w:p>
    <w:p>
      <w:pPr>
        <w:pStyle w:val="694"/>
        <w:ind w:firstLine="562"/>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 xml:space="preserve">3、技术方案（30分）</w:t>
      </w:r>
      <w:r>
        <w:rPr>
          <w:rFonts w:hint="eastAsia" w:ascii="方正仿宋_GBK" w:hAnsi="方正仿宋_GBK" w:eastAsia="方正仿宋_GBK" w:cs="方正仿宋_GBK"/>
          <w:b/>
          <w:bCs/>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3.1 磋商小组根据响应文件对磋商文件第四章“采购需求”中“总体设计方案”要求的响应情况评审</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（1）响应文件未符合“总体设计方案”中全部条款要求的，视为不符合磋商文件，本项得0分；</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（2）响应文件符合“总体设计方案”中全部条款要求的，视为符合磋商文件，本项得3分；</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经磋商小组认定，响应文件对“总体设计方案”中“系统分层架构”“页面设计”“性能、兼容和扩展设计”3项重点要求的响应内容均优于磋商文件要求，且其余要求响应内容符合磋商文件要求的，本项得5分。</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3.2 磋商小组根据响应文件对磋商文件第四章“采购需求”中“安全保障技术方案”要求的响应情况评审</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（1）响应文件未符合“安全保障技术方案”中全部条款要求的，视为不符合磋商文件，本项得0分；</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（2）响应文件符合“安全保障技术方案”中全部条款要求的，视为符合磋商文件，本项得3分；</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经磋商小组认定，响应文件对“安全保障技术方案”中“身份认证和权限安全”“应用和接口安全”“数据安全”3项重点要求的响应内容均优于磋商文件要求，且其余要求响应内容符合磋商文件要求的，本项得5分。</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3.3 磋商小组根据响应文件对磋商文件第四章“采购需求”中“数据治理与接口对接方案”要求的响应情况评审</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（1）响应文件未符合“数据治理与接口对接方案”中全部条款要求的，视为不符合磋商文件，本项得0分；</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（2）响应文件符合“数据治理与接口对接方案”中全部条款要求的，视为符合磋商文件，本项得3分；</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经磋商小组认定，响应文件对“数据治理与接口对接方案”中“数据归集和更新”“数据质量”“接口设计”3项重点要求的响应内容均优于磋商文件要求，且其余要求响应内容符合磋商文件要求的，本项得5分。</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3.4 磋商小组根据响应文件对磋商文件第四章“采购需求”中“项目实施保障方案”要求的响应情况评审</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（1）响应文件未符合“项目实施保障方案”中全部条款要求的，视为不符合磋商文件，本项得0分；</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（2）响应文件符合“项目实施保障方案”中全部条款要求的，视为符合磋商文件，本项得3分；</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（3）经磋商小组认定，响应文件对“项目实施保障方案”中“进度计划”“项目组织”“质量和测试管理”3项重点要求的响应内容均优于磋商文件要求，且其余要求响应内容符合磋商文件要求的，本项得5分。</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3.5 磋商小组根据响应文件对磋商文件第四章“采购需求”中“培训与知识转移方案”要求的响应情况评审</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（1）响应文件未符合“培训与知识转移方案”中全部条款要求的，视为不符合磋商文件，本项得0分；</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（2）响应文件符合“培训与知识转移方案”中全部条款要求的，视为符合磋商文件，本项得3分；</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（3）经磋商小组认定，响应文件对“培训与知识转移方案”中“培训对象”“培训组织”“培训材料”3项重点要求的响应内容均优于磋商文件要求，且其余要求响应内容符合磋商文件要求的，本项得5分。</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3.6 磋商小组根据响应文件对磋商文件第四章“采购需求”中“售后服务与运维方案”要求的响应情况评审</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（1）响应文件未符合“售后服务与运维方案”中全部条款要求的，视为不符合磋商文件，本项得0分；</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（2）响应文件符合“售后服务与运维方案”中全部条款要求的，视为符合磋商文件，本项得3分；</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（3）经磋商小组认定，响应文件对“售后服务与运维方案”中“服务期限和范围”“严重故障”“日常保障”3项重点要求的响应内容均优于磋商文件要求，且其余要求响应内容符合磋商文件要求的，本项得5分。</w:t>
      </w:r>
      <w:r>
        <w:rPr>
          <w:rFonts w:hint="eastAsia" w:ascii="方正仿宋_GBK" w:hAnsi="方正仿宋_GBK" w:eastAsia="方正仿宋_GBK" w:cs="方正仿宋_GBK"/>
          <w:color w:val="000000"/>
          <w:sz w:val="28"/>
          <w:szCs w:val="28"/>
          <w:lang w:val="en-US" w:eastAsia="zh-CN"/>
        </w:rPr>
      </w:r>
      <w:r/>
    </w:p>
    <w:p>
      <w:pPr>
        <w:pStyle w:val="694"/>
        <w:ind w:firstLine="562"/>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 xml:space="preserve">4、履约能力（10分）</w:t>
      </w:r>
      <w:r>
        <w:rPr>
          <w:rFonts w:hint="eastAsia" w:ascii="方正仿宋_GBK" w:hAnsi="方正仿宋_GBK" w:eastAsia="方正仿宋_GBK" w:cs="方正仿宋_GBK"/>
          <w:b/>
          <w:bCs/>
          <w:color w:val="000000"/>
          <w:sz w:val="28"/>
          <w:szCs w:val="28"/>
          <w:lang w:val="en-US" w:eastAsia="zh-CN"/>
        </w:rPr>
      </w:r>
      <w:r/>
    </w:p>
    <w:p>
      <w:pPr>
        <w:pStyle w:val="694"/>
        <w:ind w:firstLine="562"/>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 xml:space="preserve">4.1 类似项目业绩（4分）</w:t>
      </w:r>
      <w:r>
        <w:rPr>
          <w:rFonts w:hint="eastAsia" w:ascii="方正仿宋_GBK" w:hAnsi="方正仿宋_GBK" w:eastAsia="方正仿宋_GBK" w:cs="方正仿宋_GBK"/>
          <w:b/>
          <w:bCs/>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磋商响应供应商提供</w:t>
      </w:r>
      <w:r>
        <w:rPr>
          <w:rFonts w:hint="eastAsia" w:ascii="方正仿宋_GBK" w:hAnsi="方正仿宋_GBK" w:eastAsia="方正仿宋_GBK" w:cs="方正仿宋_GBK"/>
          <w:color w:val="000000"/>
          <w:sz w:val="28"/>
          <w:szCs w:val="28"/>
          <w:lang w:val="en-US" w:eastAsia="zh-CN"/>
        </w:rPr>
        <w:t xml:space="preserve">自2023年1月1日以来（以合同签订时间为准）承担的软件开发或者信息系统建设项目案例。类似项目应当包含移动端服务、便民服务应用、地图定位、地理信息展示、数据治理、数据安全、数据交换、政务服务或者公共服务平台等任一相关内容。每提供1个有效业绩得1分，最高4分。按照合同项目数量认定，不按照建设内容类别认定；不同合同对应的项目，即使建设内容属于同一相关类型，也可以分别计分。同一合同仅计1个项目业绩。供应商须提供合同关键页；合同不能充分证明建设内容的，可补充验收报告或者业主证明材料。不限定特定行政区域或者特定行业。</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4.2 软件自主研发能力（2分）</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提供第四章6.6所述四类相关软件著作权登记证书：服务应用类、数据应用类、平台开发类、信息服务类，每符合1类得1分，本项最高2分。同一软件证书同时包含多类关键词的，仅按1类计分；同一类别提供多份证书不重复计分。取得本项满分应当提供两份不同软件的著作权登记证书，并分别符合上述任意两类关键词要求。</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供应商应当提供计算机软件著作权登记证书复印件或扫描件，并加盖供应商公章。</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4.3 项目团队专业能力（2分）</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拟派项目负责人具有“信息系统项目管理师”或者“系统集成项目管理工程师”计算机技术与软件专业技术资格（水平）证书的，得1分； </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拟派技术负责人具有“系统分析师”“系统架构设计师”“软件设计师”“数据库系统工程师”“网络规划设计师”或者“信息安全工程师”计算机技术与软件专业技术资格（水平）证书之一的，得1分。 </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本项所称计算机技术与软件专业技术资格（水平）证书，应为人力资源和社会保障部统一印制、由人力资源和社会保障部和工业和信息化部共同用印的《中华人民共和国计算机专业技术资格（水平）证书》。</w:t>
      </w:r>
      <w:bookmarkStart w:id="177" w:name="OLE_LINK3"/>
      <w:r>
        <w:rPr>
          <w:rFonts w:hint="eastAsia" w:ascii="方正仿宋_GBK" w:hAnsi="方正仿宋_GBK" w:eastAsia="方正仿宋_GBK" w:cs="方正仿宋_GBK"/>
          <w:color w:val="000000"/>
          <w:sz w:val="28"/>
          <w:szCs w:val="28"/>
          <w:lang w:val="en-US" w:eastAsia="zh-CN"/>
        </w:rPr>
        <w:t xml:space="preserve">项目负责人和技术负责人相关证书均为计算机软考证书。</w:t>
      </w:r>
      <w:bookmarkEnd w:id="177"/>
      <w:r>
        <w:rPr>
          <w:rFonts w:hint="eastAsia" w:ascii="方正仿宋_GBK" w:hAnsi="方正仿宋_GBK" w:eastAsia="方正仿宋_GBK" w:cs="方正仿宋_GBK"/>
          <w:color w:val="000000"/>
          <w:sz w:val="28"/>
          <w:szCs w:val="28"/>
          <w:lang w:val="en-US" w:eastAsia="zh-CN"/>
        </w:rPr>
        <w:t xml:space="preserve">项目负责人和技术负责人不得为同一人，同一人员仅按一个岗位计分。供应商应提供证书复印件或扫描件，以及为相关人员缴纳的响应文件提交截止日前3个月内任意1个月社会保险缴纳证明。</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4.4 国产化适配及网络与数据安全项目能力（2分）</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提供供应商研发的政务信息化系统或者实施的适配改造项目与国产操作系统或国产数据库或国产中间件的原厂兼容互认证书或适配认证证书或兼容性测试报告或项目证明材料的，得1分；（2）提供网络安全等级保护实施或整改或安全加固或软件安全测试或代码审计或密码应用或数据安全评估等相关项目证明材料的，得1分。</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注：国产化适配证明材料应当能够反映供应商、相关系统或者项目、国产基础软件名称及兼容适配结论；网络与数据安全项目证明材料应当能够反映项目名称、实施内容及供应商与项目的实施关系。同一证明材料仅对应一个评分点，本项最高2分。</w:t>
      </w:r>
      <w:r>
        <w:rPr>
          <w:rFonts w:hint="eastAsia" w:ascii="方正仿宋_GBK" w:hAnsi="方正仿宋_GBK" w:eastAsia="方正仿宋_GBK" w:cs="方正仿宋_GBK"/>
          <w:color w:val="000000"/>
          <w:sz w:val="28"/>
          <w:szCs w:val="28"/>
          <w:lang w:val="en-US" w:eastAsia="zh-CN"/>
        </w:rPr>
      </w:r>
      <w:r/>
    </w:p>
    <w:p>
      <w:pPr>
        <w:pStyle w:val="694"/>
        <w:ind w:firstLine="562"/>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 xml:space="preserve">5、视频演示（10分）</w:t>
      </w:r>
      <w:r>
        <w:rPr>
          <w:rFonts w:hint="eastAsia" w:ascii="方正仿宋_GBK" w:hAnsi="方正仿宋_GBK" w:eastAsia="方正仿宋_GBK" w:cs="方正仿宋_GBK"/>
          <w:b/>
          <w:bCs/>
          <w:color w:val="000000"/>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按照第四章“演示要求”内容评分，单个功能点符合要求得2分。上述功能模块未完全演示或未演示不得分。采用PPT、Word等方式进行模拟演示的不得分。</w:t>
      </w:r>
      <w:r>
        <w:rPr>
          <w:rFonts w:hint="eastAsia" w:ascii="方正仿宋_GBK" w:hAnsi="方正仿宋_GBK" w:eastAsia="方正仿宋_GBK" w:cs="方正仿宋_GBK"/>
          <w:color w:val="000000"/>
          <w:sz w:val="28"/>
          <w:szCs w:val="28"/>
          <w:lang w:val="en-US" w:eastAsia="zh-CN"/>
        </w:rPr>
      </w:r>
      <w:r/>
    </w:p>
    <w:p>
      <w:pPr>
        <w:pStyle w:val="694"/>
        <w:keepLines w:val="0"/>
        <w:pageBreakBefore w:val="0"/>
        <w:spacing w:line="400" w:lineRule="exact"/>
        <w:widowControl w:val="off"/>
        <w:rPr>
          <w:rFonts w:hint="eastAsia" w:ascii="Times New Roman" w:hAnsi="Times New Roman"/>
          <w:szCs w:val="21"/>
        </w:rPr>
      </w:pPr>
      <w:r>
        <w:rPr>
          <w:rFonts w:hint="eastAsia" w:ascii="Times New Roman" w:hAnsi="Times New Roman"/>
          <w:szCs w:val="21"/>
        </w:rPr>
      </w:r>
      <w:r/>
    </w:p>
    <w:p>
      <w:pPr>
        <w:pStyle w:val="694"/>
        <w:keepLines w:val="0"/>
        <w:pageBreakBefore w:val="0"/>
        <w:spacing w:line="400" w:lineRule="exact"/>
        <w:widowControl w:val="off"/>
        <w:rPr>
          <w:rFonts w:hint="eastAsia" w:ascii="Times New Roman" w:hAnsi="Times New Roman"/>
          <w:szCs w:val="21"/>
        </w:rPr>
      </w:pPr>
      <w:r>
        <w:rPr>
          <w:rFonts w:hint="eastAsia" w:ascii="Times New Roman" w:hAnsi="Times New Roman"/>
          <w:szCs w:val="21"/>
        </w:rPr>
      </w:r>
      <w:r/>
    </w:p>
    <w:p>
      <w:pPr>
        <w:pStyle w:val="69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69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69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69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69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69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69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69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69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69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69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694"/>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694"/>
        <w:rPr>
          <w:rFonts w:ascii="Times New Roman" w:hAnsi="Times New Roman"/>
          <w:szCs w:val="21"/>
        </w:rPr>
      </w:pPr>
      <w:r>
        <w:rPr>
          <w:rFonts w:ascii="Times New Roman" w:hAnsi="Times New Roman"/>
          <w:szCs w:val="21"/>
        </w:rPr>
      </w:r>
      <w:r/>
    </w:p>
    <w:p>
      <w:pPr>
        <w:pStyle w:val="694"/>
        <w:rPr>
          <w:rFonts w:ascii="Times New Roman" w:hAnsi="Times New Roman"/>
          <w:szCs w:val="21"/>
        </w:rPr>
      </w:pPr>
      <w:r>
        <w:rPr>
          <w:rFonts w:ascii="Times New Roman" w:hAnsi="Times New Roman"/>
          <w:szCs w:val="21"/>
        </w:rPr>
      </w:r>
      <w:r/>
    </w:p>
    <w:p>
      <w:pPr>
        <w:pStyle w:val="694"/>
        <w:rPr>
          <w:rFonts w:ascii="Times New Roman" w:hAnsi="Times New Roman"/>
          <w:szCs w:val="21"/>
        </w:rPr>
      </w:pPr>
      <w:r>
        <w:rPr>
          <w:rFonts w:ascii="Times New Roman" w:hAnsi="Times New Roman"/>
          <w:szCs w:val="21"/>
        </w:rPr>
      </w:r>
      <w:r/>
    </w:p>
    <w:p>
      <w:pPr>
        <w:pStyle w:val="694"/>
        <w:rPr>
          <w:rFonts w:ascii="Times New Roman" w:hAnsi="Times New Roman"/>
          <w:szCs w:val="21"/>
        </w:rPr>
      </w:pPr>
      <w:r>
        <w:rPr>
          <w:rFonts w:ascii="Times New Roman" w:hAnsi="Times New Roman"/>
          <w:szCs w:val="21"/>
        </w:rPr>
      </w:r>
      <w:r/>
    </w:p>
    <w:p>
      <w:pPr>
        <w:pStyle w:val="694"/>
        <w:rPr>
          <w:rFonts w:hint="eastAsia" w:ascii="Times New Roman" w:hAnsi="Times New Roman"/>
          <w:szCs w:val="21"/>
        </w:rPr>
      </w:pPr>
      <w:r>
        <w:rPr>
          <w:rFonts w:hint="eastAsia" w:ascii="Times New Roman" w:hAnsi="Times New Roman"/>
          <w:szCs w:val="21"/>
        </w:rPr>
      </w:r>
      <w:r/>
    </w:p>
    <w:p>
      <w:pPr>
        <w:pStyle w:val="694"/>
        <w:rPr>
          <w:rFonts w:ascii="Times New Roman" w:hAnsi="Times New Roman"/>
          <w:szCs w:val="21"/>
        </w:rPr>
      </w:pPr>
      <w:r>
        <w:rPr>
          <w:rFonts w:ascii="Times New Roman" w:hAnsi="Times New Roman"/>
          <w:szCs w:val="21"/>
        </w:rPr>
      </w:r>
      <w:r/>
    </w:p>
    <w:p>
      <w:pPr>
        <w:pStyle w:val="694"/>
        <w:rPr>
          <w:rFonts w:ascii="Times New Roman" w:hAnsi="Times New Roman"/>
          <w:szCs w:val="21"/>
        </w:rPr>
      </w:pPr>
      <w:r>
        <w:rPr>
          <w:rFonts w:ascii="Times New Roman" w:hAnsi="Times New Roman"/>
          <w:szCs w:val="21"/>
        </w:rPr>
      </w:r>
      <w:r/>
    </w:p>
    <w:p>
      <w:pPr>
        <w:pStyle w:val="694"/>
        <w:rPr>
          <w:rFonts w:ascii="Times New Roman" w:hAnsi="Times New Roman"/>
          <w:szCs w:val="21"/>
        </w:rPr>
      </w:pPr>
      <w:r>
        <w:rPr>
          <w:rFonts w:ascii="Times New Roman" w:hAnsi="Times New Roman"/>
          <w:szCs w:val="21"/>
        </w:rPr>
      </w:r>
      <w:r/>
    </w:p>
    <w:p>
      <w:pPr>
        <w:pStyle w:val="694"/>
        <w:rPr>
          <w:rFonts w:ascii="Times New Roman" w:hAnsi="Times New Roman"/>
          <w:szCs w:val="21"/>
        </w:rPr>
      </w:pPr>
      <w:r>
        <w:rPr>
          <w:rFonts w:ascii="Times New Roman" w:hAnsi="Times New Roman"/>
          <w:szCs w:val="21"/>
        </w:rPr>
      </w:r>
      <w:r/>
    </w:p>
    <w:p>
      <w:pPr>
        <w:pStyle w:val="694"/>
        <w:rPr>
          <w:rFonts w:ascii="Times New Roman" w:hAnsi="Times New Roman"/>
          <w:szCs w:val="21"/>
        </w:rPr>
      </w:pPr>
      <w:r>
        <w:rPr>
          <w:rFonts w:ascii="Times New Roman" w:hAnsi="Times New Roman"/>
          <w:szCs w:val="21"/>
        </w:rPr>
      </w:r>
      <w:r/>
    </w:p>
    <w:p>
      <w:pPr>
        <w:pStyle w:val="694"/>
        <w:rPr>
          <w:rFonts w:ascii="Times New Roman" w:hAnsi="Times New Roman"/>
          <w:szCs w:val="21"/>
        </w:rPr>
      </w:pPr>
      <w:r>
        <w:rPr>
          <w:rFonts w:ascii="Times New Roman" w:hAnsi="Times New Roman"/>
          <w:szCs w:val="21"/>
        </w:rPr>
      </w:r>
      <w:r/>
    </w:p>
    <w:p>
      <w:pPr>
        <w:pStyle w:val="696"/>
        <w:keepLines/>
        <w:keepNext/>
        <w:pageBreakBefore w:val="0"/>
        <w:spacing w:line="400" w:lineRule="exact"/>
        <w:widowControl w:val="off"/>
        <w:rPr>
          <w:rFonts w:hint="eastAsia" w:ascii="黑体" w:hAnsi="黑体" w:eastAsia="黑体" w:cs="Arial"/>
          <w:b w:val="0"/>
          <w:bCs w:val="0"/>
          <w:sz w:val="28"/>
          <w:szCs w:val="28"/>
        </w:rPr>
      </w:pPr>
      <w:r/>
      <w:bookmarkEnd w:id="171"/>
      <w:r/>
      <w:bookmarkEnd w:id="172"/>
      <w:r/>
      <w:bookmarkEnd w:id="176"/>
      <w:r/>
      <w:bookmarkStart w:id="178" w:name="_Toc49090576"/>
      <w:r/>
      <w:bookmarkStart w:id="179" w:name="_Toc26554094"/>
      <w:r/>
      <w:bookmarkStart w:id="180" w:name="_Toc120614282"/>
      <w:r>
        <w:rPr>
          <w:rFonts w:hint="eastAsia" w:ascii="黑体" w:hAnsi="黑体" w:eastAsia="黑体" w:cs="Arial"/>
          <w:b w:val="0"/>
          <w:bCs w:val="0"/>
          <w:sz w:val="28"/>
          <w:szCs w:val="28"/>
        </w:rPr>
        <w:t xml:space="preserve">第六章  响应文件格式 </w:t>
      </w:r>
      <w:r>
        <w:rPr>
          <w:rFonts w:hint="eastAsia" w:ascii="黑体" w:hAnsi="黑体" w:eastAsia="黑体" w:cs="Arial"/>
          <w:b w:val="0"/>
          <w:bCs w:val="0"/>
          <w:sz w:val="28"/>
          <w:szCs w:val="28"/>
        </w:rPr>
      </w:r>
      <w:r/>
    </w:p>
    <w:p>
      <w:pPr>
        <w:pStyle w:val="694"/>
        <w:jc w:val="center"/>
        <w:rPr>
          <w:rFonts w:hint="eastAsia" w:ascii="宋体" w:hAnsi="宋体"/>
          <w:b/>
          <w:sz w:val="72"/>
          <w:szCs w:val="21"/>
        </w:rPr>
      </w:pPr>
      <w:r/>
      <w:bookmarkStart w:id="181" w:name="_Hlt26955039"/>
      <w:r/>
      <w:bookmarkEnd w:id="181"/>
      <w:r/>
      <w:bookmarkStart w:id="182" w:name="_Hlt26671244"/>
      <w:r/>
      <w:bookmarkEnd w:id="182"/>
      <w:r>
        <w:rPr>
          <w:rFonts w:hint="eastAsia" w:ascii="宋体" w:hAnsi="宋体"/>
          <w:b/>
          <w:sz w:val="72"/>
          <w:szCs w:val="21"/>
        </w:rPr>
      </w:r>
      <w:r/>
    </w:p>
    <w:p>
      <w:pPr>
        <w:pStyle w:val="694"/>
        <w:jc w:val="center"/>
        <w:keepLines w:val="0"/>
        <w:keepNext w:val="0"/>
        <w:pageBreakBefore w:val="0"/>
        <w:spacing w:line="66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响  应  文  件</w:t>
      </w:r>
      <w:r>
        <w:rPr>
          <w:rFonts w:hint="eastAsia" w:ascii="方正小标宋_GBK" w:hAnsi="方正小标宋_GBK" w:eastAsia="方正小标宋_GBK" w:cs="方正小标宋_GBK"/>
          <w:b w:val="0"/>
          <w:bCs/>
          <w:color w:val="000000"/>
          <w:sz w:val="32"/>
          <w:szCs w:val="32"/>
        </w:rPr>
      </w:r>
      <w:r/>
    </w:p>
    <w:p>
      <w:pPr>
        <w:pStyle w:val="694"/>
        <w:jc w:val="center"/>
        <w:rPr>
          <w:rFonts w:hint="eastAsia" w:ascii="宋体" w:hAnsi="宋体"/>
          <w:b/>
          <w:sz w:val="72"/>
          <w:szCs w:val="21"/>
        </w:rPr>
      </w:pPr>
      <w:r>
        <w:rPr>
          <w:rFonts w:hint="eastAsia" w:ascii="宋体" w:hAnsi="宋体"/>
          <w:b/>
          <w:sz w:val="72"/>
          <w:szCs w:val="21"/>
        </w:rPr>
      </w:r>
      <w:r/>
    </w:p>
    <w:p>
      <w:pPr>
        <w:pStyle w:val="694"/>
        <w:jc w:val="center"/>
        <w:rPr>
          <w:rFonts w:hint="eastAsia" w:ascii="宋体" w:hAnsi="宋体"/>
          <w:b/>
          <w:sz w:val="72"/>
          <w:szCs w:val="21"/>
        </w:rPr>
      </w:pPr>
      <w:r>
        <w:rPr>
          <w:rFonts w:hint="eastAsia" w:ascii="宋体" w:hAnsi="宋体"/>
          <w:b/>
          <w:sz w:val="72"/>
          <w:szCs w:val="21"/>
        </w:rPr>
      </w:r>
      <w:r/>
    </w:p>
    <w:p>
      <w:pPr>
        <w:pStyle w:val="694"/>
        <w:jc w:val="center"/>
        <w:rPr>
          <w:rFonts w:hint="eastAsia" w:ascii="宋体" w:hAnsi="宋体"/>
          <w:b/>
          <w:sz w:val="36"/>
          <w:szCs w:val="21"/>
        </w:rPr>
      </w:pPr>
      <w:r>
        <w:rPr>
          <w:rFonts w:hint="eastAsia" w:ascii="宋体" w:hAnsi="宋体"/>
          <w:b/>
          <w:sz w:val="36"/>
          <w:szCs w:val="21"/>
        </w:rPr>
      </w:r>
      <w:r/>
    </w:p>
    <w:p>
      <w:pPr>
        <w:pStyle w:val="694"/>
        <w:jc w:val="center"/>
        <w:rPr>
          <w:rFonts w:hint="eastAsia" w:ascii="宋体" w:hAnsi="宋体"/>
          <w:b/>
          <w:sz w:val="36"/>
          <w:szCs w:val="21"/>
        </w:rPr>
      </w:pPr>
      <w:r>
        <w:rPr>
          <w:rFonts w:hint="eastAsia" w:ascii="宋体" w:hAnsi="宋体"/>
          <w:b/>
          <w:sz w:val="36"/>
          <w:szCs w:val="21"/>
        </w:rPr>
      </w:r>
      <w:r/>
    </w:p>
    <w:p>
      <w:pPr>
        <w:pStyle w:val="694"/>
        <w:jc w:val="center"/>
        <w:rPr>
          <w:rFonts w:hint="eastAsia" w:ascii="宋体" w:hAnsi="宋体"/>
          <w:b/>
          <w:sz w:val="36"/>
          <w:szCs w:val="21"/>
        </w:rPr>
      </w:pPr>
      <w:r>
        <w:rPr>
          <w:rFonts w:hint="eastAsia" w:ascii="宋体" w:hAnsi="宋体"/>
          <w:b/>
          <w:sz w:val="36"/>
          <w:szCs w:val="21"/>
        </w:rPr>
      </w:r>
      <w:r/>
    </w:p>
    <w:p>
      <w:pPr>
        <w:pStyle w:val="694"/>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694"/>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694"/>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供应商名称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694"/>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694"/>
        <w:jc w:val="center"/>
        <w:spacing w:line="440" w:lineRule="exact"/>
        <w:rPr>
          <w:rFonts w:hint="eastAsia" w:ascii="宋体" w:hAnsi="宋体"/>
          <w:b/>
          <w:bCs/>
          <w:sz w:val="32"/>
          <w:szCs w:val="32"/>
        </w:rPr>
      </w:pPr>
      <w:r>
        <w:rPr>
          <w:rFonts w:hint="eastAsia" w:ascii="宋体" w:hAnsi="宋体"/>
          <w:b/>
          <w:bCs/>
          <w:sz w:val="32"/>
          <w:szCs w:val="32"/>
        </w:rPr>
      </w:r>
      <w:r/>
    </w:p>
    <w:p>
      <w:pPr>
        <w:pStyle w:val="694"/>
        <w:spacing w:line="440" w:lineRule="exact"/>
        <w:rPr>
          <w:rFonts w:ascii="宋体" w:hAnsi="宋体"/>
          <w:szCs w:val="21"/>
        </w:rPr>
      </w:pPr>
      <w:r>
        <w:rPr>
          <w:rFonts w:ascii="宋体" w:hAnsi="宋体"/>
          <w:szCs w:val="21"/>
        </w:rPr>
      </w:r>
      <w:r/>
    </w:p>
    <w:p>
      <w:pPr>
        <w:pStyle w:val="694"/>
        <w:spacing w:line="440" w:lineRule="exact"/>
        <w:rPr>
          <w:rFonts w:ascii="宋体" w:hAnsi="宋体"/>
          <w:szCs w:val="21"/>
        </w:rPr>
      </w:pPr>
      <w:r>
        <w:rPr>
          <w:rFonts w:ascii="宋体" w:hAnsi="宋体"/>
          <w:szCs w:val="21"/>
        </w:rPr>
      </w:r>
      <w:r/>
    </w:p>
    <w:p>
      <w:pPr>
        <w:pStyle w:val="694"/>
        <w:spacing w:line="440" w:lineRule="exact"/>
        <w:rPr>
          <w:rFonts w:ascii="宋体" w:hAnsi="宋体"/>
          <w:szCs w:val="21"/>
        </w:rPr>
      </w:pPr>
      <w:r>
        <w:rPr>
          <w:rFonts w:ascii="宋体" w:hAnsi="宋体"/>
          <w:szCs w:val="21"/>
        </w:rPr>
      </w:r>
      <w:r/>
    </w:p>
    <w:p>
      <w:pPr>
        <w:pStyle w:val="694"/>
        <w:spacing w:line="440" w:lineRule="exact"/>
        <w:rPr>
          <w:rFonts w:ascii="宋体" w:hAnsi="宋体"/>
          <w:szCs w:val="21"/>
        </w:rPr>
      </w:pPr>
      <w:r>
        <w:rPr>
          <w:rFonts w:ascii="宋体" w:hAnsi="宋体"/>
          <w:szCs w:val="21"/>
        </w:rPr>
      </w:r>
      <w:r/>
    </w:p>
    <w:p>
      <w:pPr>
        <w:pStyle w:val="694"/>
        <w:spacing w:line="440" w:lineRule="exact"/>
        <w:rPr>
          <w:rFonts w:ascii="宋体" w:hAnsi="宋体"/>
          <w:szCs w:val="21"/>
        </w:rPr>
      </w:pPr>
      <w:r>
        <w:rPr>
          <w:rFonts w:ascii="宋体" w:hAnsi="宋体"/>
          <w:szCs w:val="21"/>
        </w:rPr>
      </w:r>
      <w:r/>
    </w:p>
    <w:p>
      <w:pPr>
        <w:pStyle w:val="694"/>
        <w:spacing w:line="440" w:lineRule="exact"/>
        <w:rPr>
          <w:rFonts w:ascii="宋体" w:hAnsi="宋体"/>
          <w:szCs w:val="21"/>
        </w:rPr>
      </w:pPr>
      <w:r>
        <w:rPr>
          <w:rFonts w:ascii="宋体" w:hAnsi="宋体"/>
          <w:szCs w:val="21"/>
        </w:rPr>
      </w:r>
      <w:r/>
    </w:p>
    <w:p>
      <w:pPr>
        <w:pStyle w:val="694"/>
        <w:spacing w:line="440" w:lineRule="exact"/>
        <w:rPr>
          <w:rFonts w:ascii="宋体" w:hAnsi="宋体"/>
          <w:szCs w:val="21"/>
        </w:rPr>
      </w:pPr>
      <w:r>
        <w:rPr>
          <w:rFonts w:ascii="宋体" w:hAnsi="宋体"/>
          <w:szCs w:val="21"/>
        </w:rPr>
      </w:r>
      <w:r/>
    </w:p>
    <w:p>
      <w:pPr>
        <w:pStyle w:val="694"/>
        <w:spacing w:line="440" w:lineRule="exact"/>
        <w:rPr>
          <w:rFonts w:ascii="宋体" w:hAnsi="宋体"/>
          <w:szCs w:val="21"/>
        </w:rPr>
      </w:pPr>
      <w:r>
        <w:rPr>
          <w:rFonts w:ascii="宋体" w:hAnsi="宋体"/>
          <w:szCs w:val="21"/>
        </w:rPr>
      </w:r>
      <w:r/>
    </w:p>
    <w:p>
      <w:pPr>
        <w:pStyle w:val="694"/>
        <w:spacing w:line="440" w:lineRule="exact"/>
        <w:rPr>
          <w:rFonts w:hint="eastAsia" w:ascii="宋体" w:hAnsi="宋体"/>
          <w:szCs w:val="21"/>
        </w:rPr>
      </w:pPr>
      <w:r>
        <w:rPr>
          <w:rFonts w:hint="eastAsia" w:ascii="宋体" w:hAnsi="宋体"/>
          <w:szCs w:val="21"/>
        </w:rPr>
      </w:r>
      <w:r/>
    </w:p>
    <w:p>
      <w:pPr>
        <w:pStyle w:val="694"/>
        <w:ind w:firstLine="964"/>
        <w:rPr>
          <w:rFonts w:ascii="宋体" w:hAnsi="宋体"/>
          <w:b/>
          <w:bCs/>
          <w:sz w:val="32"/>
          <w:szCs w:val="32"/>
        </w:rPr>
      </w:pPr>
      <w:r>
        <w:rPr>
          <w:rFonts w:ascii="宋体" w:hAnsi="宋体"/>
          <w:b/>
          <w:bCs/>
          <w:sz w:val="32"/>
          <w:szCs w:val="32"/>
        </w:rPr>
      </w:r>
      <w:r/>
    </w:p>
    <w:p>
      <w:pPr>
        <w:pStyle w:val="694"/>
        <w:ind w:firstLine="964"/>
        <w:rPr>
          <w:rFonts w:ascii="宋体" w:hAnsi="宋体"/>
          <w:b/>
          <w:bCs/>
          <w:sz w:val="32"/>
          <w:szCs w:val="32"/>
        </w:rPr>
      </w:pPr>
      <w:r>
        <w:rPr>
          <w:rFonts w:ascii="宋体" w:hAnsi="宋体"/>
          <w:b/>
          <w:bCs/>
          <w:sz w:val="32"/>
          <w:szCs w:val="32"/>
        </w:rPr>
      </w:r>
      <w:r/>
    </w:p>
    <w:p>
      <w:pPr>
        <w:pStyle w:val="694"/>
        <w:ind w:firstLine="964"/>
        <w:rPr>
          <w:rFonts w:ascii="宋体" w:hAnsi="宋体"/>
          <w:b/>
          <w:bCs/>
          <w:sz w:val="32"/>
          <w:szCs w:val="32"/>
        </w:rPr>
      </w:pPr>
      <w:r>
        <w:rPr>
          <w:rFonts w:ascii="宋体" w:hAnsi="宋体"/>
          <w:b/>
          <w:bCs/>
          <w:sz w:val="32"/>
          <w:szCs w:val="32"/>
        </w:rPr>
      </w:r>
      <w:r/>
    </w:p>
    <w:p>
      <w:pPr>
        <w:pStyle w:val="694"/>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响应文件的组成</w:t>
      </w:r>
      <w:r>
        <w:rPr>
          <w:rFonts w:hint="eastAsia" w:ascii="方正黑体_GBK" w:hAnsi="方正黑体_GBK" w:eastAsia="方正黑体_GBK" w:cs="方正黑体_GBK"/>
          <w:b w:val="0"/>
          <w:bCs w:val="0"/>
          <w:sz w:val="28"/>
          <w:szCs w:val="28"/>
        </w:rPr>
      </w:r>
      <w:r/>
    </w:p>
    <w:p>
      <w:pPr>
        <w:pStyle w:val="694"/>
        <w:jc w:val="center"/>
        <w:keepLines w:val="0"/>
        <w:keepNext w:val="0"/>
        <w:pageBreakBefore w:val="0"/>
        <w:spacing w:line="400" w:lineRule="exact"/>
        <w:widowControl w:val="off"/>
        <w:rPr>
          <w:rFonts w:hint="eastAsia" w:ascii="宋体" w:hAnsi="宋体"/>
          <w:b/>
          <w:bCs/>
          <w:sz w:val="28"/>
          <w:szCs w:val="28"/>
        </w:rPr>
      </w:pPr>
      <w:r>
        <w:rPr>
          <w:rFonts w:hint="eastAsia" w:ascii="宋体" w:hAnsi="宋体"/>
          <w:b/>
          <w:bCs/>
          <w:sz w:val="28"/>
          <w:szCs w:val="28"/>
        </w:rPr>
      </w:r>
      <w:r/>
    </w:p>
    <w:p>
      <w:pPr>
        <w:pStyle w:val="69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sz w:val="28"/>
          <w:szCs w:val="28"/>
          <w:lang w:eastAsia="zh-CN"/>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10.中小微企业声明函（如果本项目专门面向中小微型企业采购，则必须提供。格式见附件8）</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12.联合体协议（如果本项目接受联合体参与磋商，供应商是联合体的，则必须提供。格式见附件10）</w:t>
      </w:r>
      <w:r>
        <w:rPr>
          <w:rFonts w:hint="eastAsia" w:ascii="方正仿宋_GBK" w:hAnsi="方正仿宋_GBK" w:eastAsia="方正仿宋_GBK" w:cs="方正仿宋_GBK"/>
          <w:sz w:val="28"/>
          <w:szCs w:val="28"/>
          <w:highlight w:val="yellow"/>
        </w:rPr>
      </w:r>
      <w:r/>
    </w:p>
    <w:p>
      <w:pPr>
        <w:pStyle w:val="69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供应商必须对磋商文件（含技术要求和商务要求）中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color w:val="000000"/>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color w:val="000000"/>
          <w:sz w:val="28"/>
          <w:szCs w:val="28"/>
        </w:rPr>
      </w:r>
      <w:r/>
    </w:p>
    <w:p>
      <w:pPr>
        <w:pStyle w:val="69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1.中小微企业声明函（格式见附件8）</w:t>
      </w:r>
      <w:r>
        <w:rPr>
          <w:rFonts w:hint="eastAsia" w:ascii="方正仿宋_GBK" w:hAnsi="方正仿宋_GBK" w:eastAsia="方正仿宋_GBK" w:cs="方正仿宋_GBK"/>
          <w:color w:val="000000"/>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2.残疾人福利性单位声明函（格式见附件9）</w:t>
      </w:r>
      <w:r>
        <w:rPr>
          <w:rFonts w:hint="eastAsia" w:ascii="方正仿宋_GBK" w:hAnsi="方正仿宋_GBK" w:eastAsia="方正仿宋_GBK" w:cs="方正仿宋_GBK"/>
          <w:color w:val="000000"/>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12）</w:t>
      </w:r>
      <w:r>
        <w:rPr>
          <w:rFonts w:hint="eastAsia" w:ascii="方正仿宋_GBK" w:hAnsi="方正仿宋_GBK" w:eastAsia="方正仿宋_GBK" w:cs="方正仿宋_GBK"/>
          <w:color w:val="000000"/>
          <w:sz w:val="32"/>
          <w:szCs w:val="32"/>
          <w:lang w:val="en-US" w:eastAsia="zh-CN"/>
        </w:rPr>
      </w:r>
      <w:r/>
    </w:p>
    <w:p>
      <w:pPr>
        <w:pStyle w:val="694"/>
        <w:ind w:left="480"/>
        <w:rPr>
          <w:rFonts w:ascii="宋体" w:hAnsi="宋体"/>
          <w:b/>
          <w:sz w:val="24"/>
          <w:szCs w:val="21"/>
        </w:rPr>
      </w:pPr>
      <w:r>
        <w:rPr>
          <w:rFonts w:ascii="宋体" w:hAnsi="宋体"/>
          <w:b/>
          <w:sz w:val="24"/>
          <w:szCs w:val="21"/>
        </w:rPr>
      </w:r>
      <w:r/>
    </w:p>
    <w:p>
      <w:pPr>
        <w:pStyle w:val="694"/>
        <w:ind w:left="480"/>
        <w:rPr>
          <w:rFonts w:ascii="宋体" w:hAnsi="宋体"/>
          <w:b/>
          <w:sz w:val="24"/>
          <w:szCs w:val="21"/>
        </w:rPr>
      </w:pPr>
      <w:r>
        <w:rPr>
          <w:rFonts w:ascii="宋体" w:hAnsi="宋体"/>
          <w:b/>
          <w:sz w:val="24"/>
          <w:szCs w:val="21"/>
        </w:rPr>
      </w:r>
      <w:r/>
    </w:p>
    <w:p>
      <w:pPr>
        <w:pStyle w:val="694"/>
        <w:rPr>
          <w:rFonts w:ascii="宋体" w:hAnsi="宋体"/>
          <w:b/>
          <w:sz w:val="24"/>
          <w:szCs w:val="21"/>
        </w:rPr>
      </w:pPr>
      <w:r>
        <w:rPr>
          <w:rFonts w:ascii="宋体" w:hAnsi="宋体"/>
          <w:b/>
          <w:sz w:val="24"/>
          <w:szCs w:val="21"/>
        </w:rPr>
      </w:r>
      <w:r/>
    </w:p>
    <w:p>
      <w:pPr>
        <w:pStyle w:val="694"/>
        <w:ind w:left="480"/>
        <w:rPr>
          <w:rFonts w:ascii="宋体" w:hAnsi="宋体"/>
          <w:b/>
          <w:sz w:val="24"/>
          <w:szCs w:val="21"/>
        </w:rPr>
      </w:pPr>
      <w:r>
        <w:rPr>
          <w:rFonts w:ascii="宋体" w:hAnsi="宋体"/>
          <w:b/>
          <w:sz w:val="24"/>
          <w:szCs w:val="21"/>
        </w:rPr>
      </w:r>
      <w:r/>
    </w:p>
    <w:p>
      <w:pPr>
        <w:pStyle w:val="694"/>
        <w:rPr>
          <w:rFonts w:ascii="宋体" w:hAnsi="宋体"/>
          <w:b/>
          <w:sz w:val="24"/>
          <w:szCs w:val="21"/>
        </w:rPr>
      </w:pPr>
      <w:r>
        <w:rPr>
          <w:rFonts w:ascii="宋体" w:hAnsi="宋体"/>
          <w:b/>
          <w:sz w:val="24"/>
          <w:szCs w:val="21"/>
        </w:rPr>
      </w:r>
      <w:r/>
    </w:p>
    <w:p>
      <w:pPr>
        <w:pStyle w:val="694"/>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分项报价表</w:t>
      </w:r>
      <w:r>
        <w:rPr>
          <w:rFonts w:hint="eastAsia" w:ascii="方正黑体_GBK" w:hAnsi="方正黑体_GBK" w:eastAsia="方正黑体_GBK" w:cs="方正黑体_GBK"/>
          <w:b w:val="0"/>
          <w:bCs/>
          <w:sz w:val="28"/>
          <w:szCs w:val="28"/>
          <w:lang w:eastAsia="zh-CN"/>
        </w:rPr>
        <w:t xml:space="preserve">（服务类项目）</w:t>
      </w:r>
      <w:r>
        <w:rPr>
          <w:rFonts w:hint="eastAsia" w:ascii="方正黑体_GBK" w:hAnsi="方正黑体_GBK" w:eastAsia="方正黑体_GBK" w:cs="方正黑体_GBK"/>
          <w:b w:val="0"/>
          <w:bCs/>
          <w:sz w:val="28"/>
          <w:szCs w:val="28"/>
        </w:rPr>
        <w:t xml:space="preserve">（采购包号：</w:t>
      </w:r>
      <w:r>
        <w:rPr>
          <w:rFonts w:hint="eastAsia" w:ascii="Times New Roman" w:hAnsi="Times New Roman" w:eastAsia="方正仿宋_GBK" w:cs="Times New Roman"/>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694"/>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694"/>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67"/>
        </w:trPr>
        <w:tc>
          <w:tcPr>
            <w:gridSpan w:val="10"/>
            <w:tcW w:w="9861" w:type="dxa"/>
            <w:vAlign w:val="top"/>
            <w:textDirection w:val="lrTb"/>
            <w:noWrap w:val="false"/>
          </w:tcPr>
          <w:p>
            <w:pPr>
              <w:pStyle w:val="756"/>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694"/>
        <w:ind w:firstLine="560"/>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方正仿宋_GBK" w:hAnsi="方正仿宋_GBK" w:eastAsia="方正仿宋_GBK" w:cs="方正仿宋_GBK"/>
          <w:sz w:val="28"/>
          <w:szCs w:val="28"/>
          <w:lang w:eastAsia="zh-CN"/>
        </w:rPr>
        <w:t xml:space="preserve">“磋商总报价”数额为各“分项总价”之和。</w:t>
      </w:r>
      <w:r>
        <w:rPr>
          <w:rFonts w:hint="eastAsia" w:ascii="方正仿宋_GBK" w:hAnsi="方正仿宋_GBK" w:eastAsia="方正仿宋_GBK" w:cs="方正仿宋_GBK"/>
          <w:sz w:val="28"/>
          <w:szCs w:val="28"/>
          <w:lang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2.项目经办人可以根据项目实际需要对表格结构进行调整。</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ascii="方正仿宋_GBK" w:hAnsi="方正仿宋_GBK" w:eastAsia="方正仿宋_GBK" w:cs="方正仿宋_GBK"/>
          <w:sz w:val="28"/>
          <w:szCs w:val="28"/>
          <w:lang w:val="en-US"/>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ascii="方正仿宋_GBK" w:hAnsi="方正仿宋_GBK" w:eastAsia="方正仿宋_GBK" w:cs="方正仿宋_GBK"/>
          <w:sz w:val="28"/>
          <w:szCs w:val="28"/>
          <w:lang w:val="en-US"/>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694"/>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694"/>
        <w:jc w:val="both"/>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2</w:t>
      </w:r>
      <w:r>
        <w:rPr>
          <w:rFonts w:hint="eastAsia" w:ascii="方正黑体_GBK" w:hAnsi="方正黑体_GBK" w:eastAsia="方正黑体_GBK" w:cs="方正黑体_GBK"/>
          <w:b w:val="0"/>
          <w:bCs/>
          <w:sz w:val="28"/>
          <w:szCs w:val="28"/>
        </w:rPr>
        <w:t xml:space="preserve"> 技术要求响应及偏离表（采购包号：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6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694"/>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附件3-1  证明材料1，证明材料2，……</w:t>
      </w:r>
      <w:r>
        <w:rPr>
          <w:rFonts w:hint="eastAsia" w:ascii="方正仿宋_GBK" w:hAnsi="方正仿宋_GBK" w:eastAsia="方正仿宋_GBK" w:cs="方正仿宋_GBK"/>
          <w:sz w:val="28"/>
          <w:szCs w:val="28"/>
          <w:lang w:val="en-US" w:eastAsia="zh-CN"/>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供应商</w:t>
      </w:r>
      <w:r>
        <w:rPr>
          <w:rFonts w:hint="eastAsia" w:ascii="方正仿宋_GBK" w:hAnsi="方正仿宋_GBK" w:eastAsia="方正仿宋_GBK" w:cs="方正仿宋_GBK"/>
          <w:color w:val="000000"/>
          <w:sz w:val="28"/>
          <w:szCs w:val="28"/>
        </w:rPr>
        <w:t xml:space="preserve">需对</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文件要求提供证明材料，</w:t>
      </w:r>
      <w:r>
        <w:rPr>
          <w:rFonts w:hint="eastAsia" w:ascii="方正仿宋_GBK" w:hAnsi="方正仿宋_GBK" w:eastAsia="方正仿宋_GBK" w:cs="方正仿宋_GBK"/>
          <w:sz w:val="28"/>
          <w:szCs w:val="28"/>
          <w:lang w:eastAsia="zh-CN"/>
        </w:rPr>
        <w:t xml:space="preserve">供应商</w:t>
      </w:r>
      <w:r>
        <w:rPr>
          <w:rFonts w:hint="eastAsia" w:ascii="方正仿宋_GBK" w:hAnsi="方正仿宋_GBK" w:eastAsia="方正仿宋_GBK" w:cs="方正仿宋_GBK"/>
          <w:sz w:val="28"/>
          <w:szCs w:val="28"/>
        </w:rPr>
        <w:t xml:space="preserve">需将证明材料列于该表之下。</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694"/>
        <w:jc w:val="center"/>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商务要求响应及偏离表（采购包号：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6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694"/>
        <w:ind w:firstLine="482"/>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lang w:val="en-US" w:eastAsia="zh-CN"/>
        </w:rPr>
        <w:t xml:space="preserve">附件4-1  证明材料1，证明材料2，……</w:t>
      </w:r>
      <w:r>
        <w:rPr>
          <w:rFonts w:ascii="宋体" w:hAnsi="宋体"/>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供应商</w:t>
      </w:r>
      <w:r>
        <w:rPr>
          <w:rFonts w:hint="eastAsia" w:ascii="方正仿宋_GBK" w:hAnsi="方正仿宋_GBK" w:eastAsia="方正仿宋_GBK" w:cs="方正仿宋_GBK"/>
          <w:color w:val="000000"/>
          <w:sz w:val="28"/>
          <w:szCs w:val="28"/>
        </w:rPr>
        <w:t xml:space="preserve">需对</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文件要求提供证明材料，</w:t>
      </w:r>
      <w:r>
        <w:rPr>
          <w:rFonts w:hint="eastAsia" w:ascii="方正仿宋_GBK" w:hAnsi="方正仿宋_GBK" w:eastAsia="方正仿宋_GBK" w:cs="方正仿宋_GBK"/>
          <w:sz w:val="28"/>
          <w:szCs w:val="28"/>
          <w:lang w:eastAsia="zh-CN"/>
        </w:rPr>
        <w:t xml:space="preserve">供应商</w:t>
      </w:r>
      <w:r>
        <w:rPr>
          <w:rFonts w:hint="eastAsia" w:ascii="方正仿宋_GBK" w:hAnsi="方正仿宋_GBK" w:eastAsia="方正仿宋_GBK" w:cs="方正仿宋_GBK"/>
          <w:sz w:val="28"/>
          <w:szCs w:val="28"/>
        </w:rPr>
        <w:t xml:space="preserve">需将证明材料列于该表之下。</w:t>
      </w:r>
      <w:r>
        <w:rPr>
          <w:rFonts w:hint="eastAsia" w:ascii="方正仿宋_GBK" w:hAnsi="方正仿宋_GBK" w:eastAsia="方正仿宋_GBK" w:cs="方正仿宋_GBK"/>
          <w:sz w:val="28"/>
          <w:szCs w:val="28"/>
        </w:rPr>
      </w:r>
      <w:r/>
    </w:p>
    <w:p>
      <w:pPr>
        <w:pStyle w:val="694"/>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4"/>
        <w:ind w:left="480"/>
        <w:keepLines w:val="0"/>
        <w:keepNext w:val="0"/>
        <w:pageBreakBefore w:val="0"/>
        <w:spacing w:line="400" w:lineRule="exact"/>
        <w:rPr>
          <w:rFonts w:hint="eastAsia" w:ascii="宋体" w:hAnsi="宋体"/>
          <w:b/>
          <w:color w:val="000000"/>
          <w:sz w:val="28"/>
          <w:szCs w:val="28"/>
          <w:lang w:val="en-US" w:eastAsia="zh-CN"/>
        </w:rPr>
      </w:pPr>
      <w:r>
        <w:rPr>
          <w:rFonts w:hint="eastAsia" w:ascii="宋体" w:hAnsi="宋体"/>
          <w:b/>
          <w:color w:val="000000"/>
          <w:sz w:val="28"/>
          <w:szCs w:val="28"/>
          <w:lang w:val="en-US" w:eastAsia="zh-CN"/>
        </w:rPr>
      </w:r>
      <w:r/>
    </w:p>
    <w:p>
      <w:pPr>
        <w:pStyle w:val="69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4</w:t>
      </w:r>
      <w:r>
        <w:rPr>
          <w:rFonts w:hint="eastAsia" w:ascii="方正黑体_GBK" w:hAnsi="方正黑体_GBK" w:eastAsia="方正黑体_GBK" w:cs="方正黑体_GBK"/>
          <w:b w:val="0"/>
          <w:bCs/>
          <w:sz w:val="28"/>
          <w:szCs w:val="28"/>
        </w:rPr>
        <w:t xml:space="preserve"> 具备履行合同所必需的设备和专业技术能力的书面声明</w:t>
      </w:r>
      <w:r>
        <w:rPr>
          <w:rFonts w:hint="eastAsia" w:ascii="方正黑体_GBK" w:hAnsi="方正黑体_GBK" w:eastAsia="方正黑体_GBK" w:cs="方正黑体_GBK"/>
          <w:b w:val="0"/>
          <w:bCs/>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94"/>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694"/>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694"/>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694"/>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5</w:t>
      </w:r>
      <w:r>
        <w:rPr>
          <w:rFonts w:hint="eastAsia" w:ascii="方正黑体_GBK" w:hAnsi="方正黑体_GBK" w:eastAsia="方正黑体_GBK" w:cs="方正黑体_GBK"/>
          <w:b w:val="0"/>
          <w:bCs/>
          <w:sz w:val="28"/>
          <w:szCs w:val="28"/>
        </w:rPr>
        <w:t xml:space="preserve"> 参加政府采购活动前 3 年内在经营活动中没有重大违法记录的书面声明</w:t>
      </w:r>
      <w:r>
        <w:rPr>
          <w:rFonts w:hint="eastAsia" w:ascii="方正黑体_GBK" w:hAnsi="方正黑体_GBK" w:eastAsia="方正黑体_GBK" w:cs="方正黑体_GBK"/>
          <w:b w:val="0"/>
          <w:bCs/>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694"/>
        <w:ind w:firstLine="492"/>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694"/>
        <w:keepLines w:val="0"/>
        <w:keepNext w:val="0"/>
        <w:pageBreakBefore w:val="0"/>
        <w:spacing w:line="400" w:lineRule="exact"/>
        <w:rPr>
          <w:rFonts w:hint="eastAsia" w:ascii="宋体" w:hAnsi="宋体"/>
          <w:b/>
          <w:color w:val="000000"/>
          <w:sz w:val="28"/>
          <w:szCs w:val="28"/>
        </w:rPr>
      </w:pPr>
      <w:r/>
      <w:bookmarkEnd w:id="178"/>
      <w:r/>
      <w:bookmarkEnd w:id="179"/>
      <w:r/>
      <w:bookmarkEnd w:id="180"/>
      <w:r/>
      <w:bookmarkStart w:id="183" w:name="_Toc120614284"/>
      <w:r>
        <w:rPr>
          <w:rFonts w:hint="eastAsia" w:ascii="宋体" w:hAnsi="宋体"/>
          <w:b/>
          <w:color w:val="000000"/>
          <w:sz w:val="28"/>
          <w:szCs w:val="28"/>
        </w:rPr>
      </w:r>
      <w:r/>
    </w:p>
    <w:p>
      <w:pPr>
        <w:pStyle w:val="69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4"/>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6</w:t>
      </w:r>
      <w:r>
        <w:rPr>
          <w:rFonts w:hint="eastAsia" w:ascii="方正黑体_GBK" w:hAnsi="方正黑体_GBK" w:eastAsia="方正黑体_GBK" w:cs="方正黑体_GBK"/>
          <w:b w:val="0"/>
          <w:bCs/>
          <w:sz w:val="28"/>
          <w:szCs w:val="28"/>
        </w:rPr>
        <w:t xml:space="preserve">                   法人授权书</w:t>
      </w:r>
      <w:r>
        <w:rPr>
          <w:rFonts w:hint="eastAsia" w:ascii="方正黑体_GBK" w:hAnsi="方正黑体_GBK" w:eastAsia="方正黑体_GBK" w:cs="方正黑体_GBK"/>
          <w:b w:val="0"/>
          <w:bCs/>
          <w:sz w:val="28"/>
          <w:szCs w:val="28"/>
        </w:rPr>
      </w:r>
      <w:r/>
    </w:p>
    <w:p>
      <w:pPr>
        <w:pStyle w:val="6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SCZX-C20XX-XXXX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黑体_GBK" w:cs="Times New Roman"/>
          <w:b w:val="0"/>
          <w:bCs/>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6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6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6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6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val="en-US" w:eastAsia="zh-CN"/>
        </w:rPr>
      </w:r>
      <w:r/>
    </w:p>
    <w:p>
      <w:pPr>
        <w:pStyle w:val="6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6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184" w:name="_Hlt26671380"/>
      <w:r/>
      <w:bookmarkEnd w:id="184"/>
      <w:r/>
      <w:bookmarkStart w:id="185" w:name="_格式3__银行出具的资信证明"/>
      <w:r/>
      <w:bookmarkEnd w:id="185"/>
      <w:r/>
      <w:bookmarkStart w:id="186" w:name="_Hlt26955070"/>
      <w:r/>
      <w:bookmarkEnd w:id="186"/>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rPr>
      </w:r>
      <w:r/>
    </w:p>
    <w:p>
      <w:pPr>
        <w:pStyle w:val="694"/>
        <w:ind w:firstLine="420"/>
        <w:keepLines w:val="0"/>
        <w:keepNext w:val="0"/>
        <w:pageBreakBefore w:val="0"/>
        <w:spacing w:line="400" w:lineRule="exact"/>
        <w:rPr>
          <w:rFonts w:ascii="Times New Roman" w:hAnsi="Times New Roman"/>
          <w:color w:val="000000"/>
          <w:sz w:val="28"/>
          <w:szCs w:val="28"/>
          <w:highlight w:val="yellow"/>
        </w:rPr>
      </w:pPr>
      <w:r>
        <w:rPr>
          <w:rFonts w:ascii="Times New Roman" w:hAnsi="Times New Roman"/>
          <w:color w:val="000000"/>
          <w:sz w:val="28"/>
          <w:szCs w:val="28"/>
          <w:highlight w:val="yellow"/>
        </w:rPr>
      </w:r>
      <w:r/>
    </w:p>
    <w:p>
      <w:pPr>
        <w:pStyle w:val="694"/>
        <w:ind w:firstLine="560"/>
        <w:keepLines w:val="0"/>
        <w:keepNext w:val="0"/>
        <w:pageBreakBefore w:val="0"/>
        <w:spacing w:line="400" w:lineRule="exact"/>
        <w:tabs>
          <w:tab w:val="left" w:pos="360" w:leader="none"/>
        </w:tabs>
        <w:rPr>
          <w:rFonts w:ascii="Times New Roman" w:hAnsi="Times New Roman"/>
          <w:sz w:val="28"/>
          <w:szCs w:val="28"/>
          <w:u w:val="single"/>
        </w:rPr>
      </w:pPr>
      <w:r>
        <w:rPr>
          <w:rFonts w:ascii="Times New Roman" w:hAnsi="Times New Roman"/>
          <w:sz w:val="28"/>
          <w:szCs w:val="28"/>
          <w:u w:val="single"/>
        </w:rPr>
      </w:r>
      <w:r/>
    </w:p>
    <w:p>
      <w:pPr>
        <w:pStyle w:val="694"/>
        <w:ind w:firstLine="560"/>
        <w:keepLines w:val="0"/>
        <w:keepNext w:val="0"/>
        <w:pageBreakBefore w:val="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694"/>
        <w:ind w:firstLine="560"/>
        <w:keepLines w:val="0"/>
        <w:keepNext w:val="0"/>
        <w:pageBreakBefore w:val="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694"/>
        <w:ind w:firstLine="560"/>
        <w:keepLines w:val="0"/>
        <w:keepNext w:val="0"/>
        <w:pageBreakBefore w:val="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694"/>
        <w:ind w:firstLine="420"/>
        <w:keepLines w:val="0"/>
        <w:keepNext w:val="0"/>
        <w:pageBreakBefore w:val="0"/>
        <w:spacing w:line="400" w:lineRule="exact"/>
        <w:rPr>
          <w:rFonts w:hint="eastAsia" w:ascii="Times New Roman" w:hAnsi="Times New Roman"/>
          <w:i/>
          <w:sz w:val="28"/>
          <w:szCs w:val="28"/>
          <w:u w:val="single"/>
        </w:rPr>
      </w:pPr>
      <w:r>
        <w:rPr>
          <w:rFonts w:hint="eastAsia" w:ascii="Times New Roman" w:hAnsi="Times New Roman"/>
          <w:i/>
          <w:sz w:val="28"/>
          <w:szCs w:val="28"/>
          <w:u w:val="single"/>
        </w:rPr>
      </w:r>
      <w:r/>
    </w:p>
    <w:p>
      <w:pPr>
        <w:pStyle w:val="69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69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69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69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69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69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69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69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69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69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694"/>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6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磋商响应函</w:t>
      </w:r>
      <w:r>
        <w:rPr>
          <w:rFonts w:hint="eastAsia" w:ascii="方正黑体_GBK" w:hAnsi="方正黑体_GBK" w:eastAsia="方正黑体_GBK" w:cs="方正黑体_GBK"/>
          <w:b w:val="0"/>
          <w:bCs/>
          <w:sz w:val="28"/>
          <w:szCs w:val="28"/>
        </w:rPr>
      </w:r>
      <w:r/>
    </w:p>
    <w:p>
      <w:pPr>
        <w:pStyle w:val="6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w:t>
      </w:r>
      <w:r>
        <w:rPr>
          <w:rFonts w:hint="eastAsia" w:ascii="方正仿宋_GBK" w:hAnsi="方正仿宋_GBK" w:eastAsia="方正仿宋_GBK" w:cs="方正仿宋_GBK"/>
          <w:sz w:val="28"/>
          <w:szCs w:val="28"/>
          <w:lang w:eastAsia="zh-CN"/>
        </w:rPr>
        <w:t xml:space="preserve">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文件，正式授权下述签字人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（供应商的名称），全权处理本次项目</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的有关事宜。</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694"/>
        <w:ind w:left="420" w:firstLine="560"/>
        <w:jc w:val="left"/>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694"/>
        <w:ind w:firstLine="584"/>
        <w:keepLines w:val="0"/>
        <w:keepNext w:val="0"/>
        <w:pageBreakBefore w:val="0"/>
        <w:spacing w:line="400" w:lineRule="exact"/>
        <w:rPr>
          <w:rFonts w:ascii="仿宋_GB2312" w:hAnsi="Times New Roman" w:eastAsia="仿宋_GB2312"/>
          <w:color w:val="000000"/>
          <w:spacing w:val="6"/>
          <w:sz w:val="28"/>
          <w:szCs w:val="28"/>
        </w:rPr>
      </w:pPr>
      <w:r>
        <w:rPr>
          <w:rFonts w:ascii="仿宋_GB2312" w:hAnsi="Times New Roman" w:eastAsia="仿宋_GB2312"/>
          <w:color w:val="000000"/>
          <w:spacing w:val="6"/>
          <w:sz w:val="28"/>
          <w:szCs w:val="28"/>
        </w:rPr>
      </w:r>
      <w:r/>
    </w:p>
    <w:p>
      <w:pPr>
        <w:pStyle w:val="694"/>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694"/>
        <w:jc w:val="righ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694"/>
        <w:keepLines w:val="0"/>
        <w:keepNext w:val="0"/>
        <w:pageBreakBefore w:val="0"/>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694"/>
        <w:keepLines w:val="0"/>
        <w:keepNext w:val="0"/>
        <w:pageBreakBefore w:val="0"/>
        <w:spacing w:line="40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r>
      <w:r/>
    </w:p>
    <w:p>
      <w:pPr>
        <w:pStyle w:val="694"/>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694"/>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694"/>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6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附件8 中小微企业声明函（服务类项目）（采购包号：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w:t>
      </w:r>
      <w:r>
        <w:rPr>
          <w:rFonts w:hint="eastAsia" w:ascii="方正仿宋_GBK" w:hAnsi="方正仿宋_GBK" w:eastAsia="方正仿宋_GBK" w:cs="方正仿宋_GBK"/>
          <w:sz w:val="28"/>
          <w:szCs w:val="28"/>
          <w:lang w:eastAsia="zh-CN"/>
        </w:rPr>
        <w:t xml:space="preserve">于</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（供应商填写磋商文件中明确的所属行业）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w:t>
      </w:r>
      <w:r>
        <w:rPr>
          <w:rFonts w:hint="eastAsia" w:ascii="方正仿宋_GBK" w:hAnsi="方正仿宋_GBK" w:eastAsia="方正仿宋_GBK" w:cs="方正仿宋_GBK"/>
          <w:sz w:val="28"/>
          <w:szCs w:val="28"/>
          <w:lang w:eastAsia="zh-CN"/>
        </w:rPr>
        <w:t xml:space="preserve">于</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（供应商填写磋商文件中明确的所属行业）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694"/>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694"/>
        <w:ind w:right="4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694"/>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694"/>
        <w:numPr>
          <w:ilvl w:val="0"/>
          <w:numId w:val="0"/>
        </w:numPr>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rPr>
      </w:r>
      <w:r/>
    </w:p>
    <w:p>
      <w:pPr>
        <w:pStyle w:val="6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附件9 残疾人福利性单位声明函（服务类项目）（采购包号：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sz w:val="28"/>
          <w:szCs w:val="28"/>
        </w:rPr>
        <w:t xml:space="preserve">单位的采购文件编号为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SCZX-C20XX-XXXX</w:t>
      </w:r>
      <w:r>
        <w:rPr>
          <w:rFonts w:hint="eastAsia" w:ascii="方正仿宋_GBK" w:hAnsi="方正仿宋_GBK" w:eastAsia="方正仿宋_GBK" w:cs="方正仿宋_GBK"/>
          <w:sz w:val="28"/>
          <w:szCs w:val="28"/>
          <w:lang w:eastAsia="zh-CN"/>
        </w:rPr>
        <w:t xml:space="preserve">，</w:t>
      </w:r>
      <w:r>
        <w:rPr>
          <w:rFonts w:hint="eastAsia" w:ascii="Times New Roman" w:hAnsi="Times New Roman" w:eastAsia="方正黑体_GBK" w:cs="Times New Roman"/>
          <w:b w:val="0"/>
          <w:bCs/>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694"/>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694"/>
        <w:ind w:right="1559" w:firstLine="560"/>
        <w:jc w:val="right"/>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供应商全称（加盖CA电子公章）：</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lang w:val="en-US" w:eastAsia="zh-CN"/>
        </w:rPr>
      </w:r>
      <w:r/>
    </w:p>
    <w:p>
      <w:pPr>
        <w:pStyle w:val="694"/>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694"/>
        <w:ind w:right="1559" w:firstLine="560"/>
        <w:jc w:val="center"/>
        <w:keepLines w:val="0"/>
        <w:keepNext w:val="0"/>
        <w:pageBreakBefore w:val="0"/>
        <w:spacing w:line="400" w:lineRule="exact"/>
        <w:tabs>
          <w:tab w:val="left" w:pos="4860" w:leader="none"/>
        </w:tabs>
        <w:rPr>
          <w:rFonts w:hint="eastAsia" w:ascii="宋体" w:hAnsi="宋体"/>
          <w:sz w:val="28"/>
          <w:szCs w:val="28"/>
        </w:rPr>
      </w:pPr>
      <w:r>
        <w:rPr>
          <w:rFonts w:hint="eastAsia" w:ascii="宋体" w:hAnsi="宋体"/>
          <w:sz w:val="28"/>
          <w:szCs w:val="28"/>
        </w:rPr>
      </w:r>
      <w:r/>
    </w:p>
    <w:p>
      <w:pPr>
        <w:pStyle w:val="694"/>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附件10 联合体协议（参考格式）（采购包号：</w:t>
      </w:r>
      <w:r>
        <w:rPr>
          <w:rFonts w:hint="eastAsia" w:ascii="Times New Roman" w:hAnsi="Times New Roman" w:eastAsia="方正黑体_GBK" w:cs="Times New Roman"/>
          <w:b w:val="0"/>
          <w:bCs/>
          <w:sz w:val="28"/>
          <w:szCs w:val="28"/>
          <w:u w:val="none"/>
          <w:lang w:val="en-US"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ascii="Times New Roman" w:hAnsi="Times New Roman" w:eastAsia="方正仿宋_GBK" w:cs="Times New Roman"/>
          <w:sz w:val="28"/>
          <w:szCs w:val="28"/>
          <w:u w:val="single"/>
          <w:lang w:eastAsia="zh-CN"/>
        </w:rPr>
        <w:t xml:space="preserve">X</w:t>
      </w:r>
      <w:r>
        <w:rPr>
          <w:rFonts w:hint="eastAsia" w:ascii="Times New Roman" w:hAnsi="Times New Roman" w:eastAsia="方正仿宋_GBK" w:cs="Times New Roman"/>
          <w:sz w:val="28"/>
          <w:szCs w:val="28"/>
          <w:u w:val="single"/>
          <w:lang w:val="en-US" w:eastAsia="zh-CN"/>
        </w:rPr>
        <w:t xml:space="preserve">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694"/>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694"/>
        <w:ind w:left="420"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694"/>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6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附件11实质性要求响应及偏离表（采购包号：</w:t>
      </w:r>
      <w:r>
        <w:rPr>
          <w:rFonts w:hint="eastAsia" w:ascii="Times New Roman" w:hAnsi="Times New Roman" w:eastAsia="方正仿宋_GBK" w:cs="Times New Roman"/>
          <w:sz w:val="28"/>
          <w:szCs w:val="28"/>
          <w:u w:val="none"/>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69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694"/>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1.供应商必须对磋商文件（含技术要求和商务要求）中的实质性要求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t xml:space="preserve">逐条做出明确响应，否则做无效响应处理。</w:t>
      </w:r>
      <w:r>
        <w:rPr>
          <w:rFonts w:hint="eastAsia" w:ascii="方正仿宋_GBK" w:hAnsi="方正仿宋_GBK" w:eastAsia="方正仿宋_GBK" w:cs="方正仿宋_GBK"/>
          <w:color w:val="000000"/>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2.如果磋商文件要求提供证明材料，供应商必须将证明材料列于该表之下。</w:t>
      </w:r>
      <w:r>
        <w:rPr>
          <w:rFonts w:hint="eastAsia" w:ascii="方正仿宋_GBK" w:hAnsi="方正仿宋_GBK" w:eastAsia="方正仿宋_GBK" w:cs="方正仿宋_GBK"/>
          <w:color w:val="000000"/>
          <w:sz w:val="28"/>
          <w:szCs w:val="28"/>
        </w:rPr>
      </w:r>
      <w:r/>
    </w:p>
    <w:p>
      <w:pPr>
        <w:pStyle w:val="69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3.供应商未对实质性要求逐条作出明确响应的</w:t>
      </w:r>
      <w:r>
        <w:rPr>
          <w:rFonts w:hint="eastAsia" w:ascii="方正仿宋_GBK" w:hAnsi="方正仿宋_GBK" w:eastAsia="方正仿宋_GBK" w:cs="方正仿宋_GBK"/>
          <w:sz w:val="28"/>
          <w:szCs w:val="28"/>
        </w:rPr>
        <w:t xml:space="preserve">，或未按磋商文件要求提供证明材料的，该采购包作无效响应处理。</w:t>
      </w:r>
      <w:r>
        <w:rPr>
          <w:rFonts w:hint="eastAsia" w:ascii="方正仿宋_GBK" w:hAnsi="方正仿宋_GBK" w:eastAsia="方正仿宋_GBK" w:cs="方正仿宋_GBK"/>
          <w:sz w:val="28"/>
          <w:szCs w:val="28"/>
        </w:rPr>
      </w:r>
      <w:r/>
    </w:p>
    <w:p>
      <w:pPr>
        <w:pStyle w:val="6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6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6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6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6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6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6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6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6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6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6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6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6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694"/>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694"/>
        <w:jc w:val="center"/>
        <w:keepLines w:val="0"/>
        <w:keepNext w:val="0"/>
        <w:pageBreakBefore w:val="0"/>
        <w:spacing w:line="400" w:lineRule="exact"/>
        <w:rPr>
          <w:rFonts w:hint="eastAsia" w:ascii="方正仿宋_GBK" w:hAnsi="方正仿宋_GBK" w:eastAsia="方正仿宋_GBK" w:cs="方正仿宋_GBK"/>
          <w:i w:val="0"/>
          <w:iCs w:val="0"/>
          <w:caps w:val="0"/>
          <w:color w:val="000000"/>
          <w:spacing w:val="0"/>
          <w:sz w:val="28"/>
          <w:szCs w:val="28"/>
        </w:rPr>
      </w:pPr>
      <w:r/>
      <w:bookmarkEnd w:id="173"/>
      <w:r/>
      <w:bookmarkEnd w:id="174"/>
      <w:r/>
      <w:bookmarkEnd w:id="183"/>
      <w:r>
        <w:rPr>
          <w:rFonts w:hint="eastAsia" w:ascii="方正仿宋_GBK" w:hAnsi="方正仿宋_GBK" w:eastAsia="方正仿宋_GBK" w:cs="方正仿宋_GBK"/>
          <w:b/>
          <w:color w:val="000000"/>
          <w:sz w:val="28"/>
          <w:szCs w:val="28"/>
        </w:rPr>
        <w:t xml:space="preserve">附件</w:t>
      </w:r>
      <w:r>
        <w:rPr>
          <w:rFonts w:hint="eastAsia" w:ascii="方正仿宋_GBK" w:hAnsi="方正仿宋_GBK" w:eastAsia="方正仿宋_GBK" w:cs="方正仿宋_GBK"/>
          <w:b/>
          <w:color w:val="000000"/>
          <w:sz w:val="28"/>
          <w:szCs w:val="28"/>
          <w:lang w:val="en-US" w:eastAsia="zh-CN"/>
        </w:rPr>
        <w:t xml:space="preserve">12</w:t>
      </w:r>
      <w:r>
        <w:rPr>
          <w:rFonts w:hint="eastAsia" w:ascii="方正仿宋_GBK" w:hAnsi="方正仿宋_GBK" w:eastAsia="方正仿宋_GBK" w:cs="方正仿宋_GBK"/>
          <w:b/>
          <w:color w:val="000000"/>
          <w:sz w:val="28"/>
          <w:szCs w:val="28"/>
        </w:rPr>
        <w:t xml:space="preserve">  关于符合本国产品标准的声明函（采购包号：</w:t>
      </w:r>
      <w:r>
        <w:rPr>
          <w:rFonts w:hint="eastAsia" w:ascii="方正仿宋_GBK" w:hAnsi="方正仿宋_GBK" w:eastAsia="方正仿宋_GBK" w:cs="方正仿宋_GBK"/>
          <w:b/>
          <w:color w:val="000000"/>
          <w:sz w:val="28"/>
          <w:szCs w:val="28"/>
          <w:lang w:eastAsia="zh-CN"/>
        </w:rPr>
        <w:t xml:space="preserve">XX</w:t>
      </w:r>
      <w:r>
        <w:rPr>
          <w:rFonts w:hint="eastAsia" w:ascii="方正仿宋_GBK" w:hAnsi="方正仿宋_GBK" w:eastAsia="方正仿宋_GBK" w:cs="方正仿宋_GBK"/>
          <w:b/>
          <w:color w:val="000000"/>
          <w:sz w:val="28"/>
          <w:szCs w:val="28"/>
        </w:rPr>
        <w:t xml:space="preserve">）</w:t>
      </w:r>
      <w:r>
        <w:rPr>
          <w:rFonts w:hint="eastAsia" w:ascii="方正仿宋_GBK" w:hAnsi="方正仿宋_GBK" w:eastAsia="方正仿宋_GBK" w:cs="方正仿宋_GBK"/>
          <w:i w:val="0"/>
          <w:iCs w:val="0"/>
          <w:caps w:val="0"/>
          <w:color w:val="000000"/>
          <w:spacing w:val="0"/>
          <w:sz w:val="28"/>
          <w:szCs w:val="28"/>
        </w:rPr>
      </w:r>
      <w:r/>
    </w:p>
    <w:p>
      <w:pPr>
        <w:pStyle w:val="756"/>
        <w:ind w:left="0" w:right="0" w:firstLine="42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756"/>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76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76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76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76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76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756"/>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76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7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76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76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76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756"/>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756"/>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756"/>
        <w:ind w:left="0" w:right="0" w:firstLine="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756"/>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        日期：</w:t>
      </w:r>
      <w:r>
        <w:rPr>
          <w:rFonts w:hint="eastAsia" w:ascii="方正仿宋_GBK" w:hAnsi="方正仿宋_GBK" w:eastAsia="方正仿宋_GBK" w:cs="方正仿宋_GBK"/>
          <w:color w:val="000000"/>
          <w:sz w:val="28"/>
          <w:szCs w:val="28"/>
        </w:rPr>
        <w:t xml:space="preserve">____年____月____日</w:t>
      </w:r>
      <w:r>
        <w:rPr>
          <w:rFonts w:hint="eastAsia" w:ascii="方正仿宋_GBK" w:hAnsi="方正仿宋_GBK" w:eastAsia="方正仿宋_GBK" w:cs="方正仿宋_GBK"/>
          <w:color w:val="000000"/>
          <w:sz w:val="28"/>
          <w:szCs w:val="28"/>
        </w:rPr>
      </w:r>
      <w:r/>
    </w:p>
    <w:p>
      <w:pPr>
        <w:pStyle w:val="756"/>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756"/>
        <w:ind w:left="0" w:right="0" w:firstLine="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7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7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7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7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7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7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”的地方不填。</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694"/>
        <w:jc w:val="center"/>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694"/>
        <w:jc w:val="center"/>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694"/>
        <w:jc w:val="center"/>
        <w:keepLines w:val="0"/>
        <w:keepNext w:val="0"/>
        <w:pageBreakBefore w:val="0"/>
        <w:spacing w:line="400" w:lineRule="exact"/>
        <w:rPr>
          <w:rFonts w:hint="eastAsia" w:ascii="方正仿宋_GBK" w:hAnsi="方正仿宋_GBK" w:eastAsia="方正仿宋_GBK" w:cs="方正仿宋_GBK"/>
          <w:b/>
          <w:color w:val="000000"/>
          <w:sz w:val="28"/>
          <w:szCs w:val="28"/>
          <w:lang w:val="en-US" w:eastAsia="zh-CN"/>
        </w:rPr>
      </w:pPr>
      <w:r>
        <w:rPr>
          <w:rFonts w:hint="eastAsia" w:ascii="方正仿宋_GBK" w:hAnsi="方正仿宋_GBK" w:eastAsia="方正仿宋_GBK" w:cs="方正仿宋_GBK"/>
          <w:b/>
          <w:color w:val="000000"/>
          <w:sz w:val="28"/>
          <w:szCs w:val="28"/>
        </w:rPr>
        <w:t xml:space="preserve">附件</w:t>
      </w:r>
      <w:r>
        <w:rPr>
          <w:rFonts w:hint="eastAsia" w:ascii="方正仿宋_GBK" w:hAnsi="方正仿宋_GBK" w:eastAsia="方正仿宋_GBK" w:cs="方正仿宋_GBK"/>
          <w:b/>
          <w:color w:val="000000"/>
          <w:sz w:val="28"/>
          <w:szCs w:val="28"/>
          <w:lang w:val="en-US" w:eastAsia="zh-CN"/>
        </w:rPr>
        <w:t xml:space="preserve">13  提供服务的人员均为订立劳动合同的从业人员的书面声明</w:t>
      </w:r>
      <w:r>
        <w:rPr>
          <w:rFonts w:hint="eastAsia" w:ascii="方正仿宋_GBK" w:hAnsi="方正仿宋_GBK" w:eastAsia="方正仿宋_GBK" w:cs="方正仿宋_GBK"/>
          <w:b/>
          <w:color w:val="000000"/>
          <w:sz w:val="28"/>
          <w:szCs w:val="28"/>
          <w:lang w:val="en-US" w:eastAsia="zh-CN"/>
        </w:rPr>
      </w:r>
      <w:r/>
    </w:p>
    <w:p>
      <w:pPr>
        <w:pStyle w:val="694"/>
        <w:jc w:val="center"/>
        <w:keepLines w:val="0"/>
        <w:keepNext w:val="0"/>
        <w:pageBreakBefore w:val="0"/>
        <w:spacing w:line="400" w:lineRule="exact"/>
        <w:rPr>
          <w:rFonts w:ascii="宋体" w:hAnsi="宋体" w:cs="仿宋"/>
          <w:b/>
          <w:bCs/>
          <w:sz w:val="28"/>
          <w:szCs w:val="28"/>
          <w:lang w:val="en-US"/>
        </w:rPr>
      </w:pPr>
      <w:r>
        <w:rPr>
          <w:rFonts w:hint="eastAsia" w:ascii="方正仿宋_GBK" w:hAnsi="方正仿宋_GBK" w:eastAsia="方正仿宋_GBK" w:cs="方正仿宋_GBK"/>
          <w:b/>
          <w:color w:val="000000"/>
          <w:sz w:val="28"/>
          <w:szCs w:val="28"/>
          <w:lang w:val="en-US" w:eastAsia="zh-CN"/>
        </w:rPr>
        <w:t xml:space="preserve">（采购包号：XX）</w:t>
      </w:r>
      <w:r>
        <w:rPr>
          <w:rFonts w:ascii="宋体" w:hAnsi="宋体" w:cs="仿宋"/>
          <w:b/>
          <w:bCs/>
          <w:sz w:val="28"/>
          <w:szCs w:val="28"/>
          <w:lang w:val="en-US"/>
        </w:rPr>
      </w:r>
      <w:r/>
    </w:p>
    <w:p>
      <w:pPr>
        <w:pStyle w:val="694"/>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694"/>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756"/>
        <w:ind w:right="0" w:firstLine="560"/>
        <w:keepLines w:val="0"/>
        <w:keepNext w:val="0"/>
        <w:pageBreakBefore w:val="0"/>
        <w:spacing w:before="30" w:beforeAutospacing="0" w:after="30" w:afterAutospacing="0" w:line="400" w:lineRule="exact"/>
        <w:shd w:val="clear" w:color="auto" w:fill="auto"/>
        <w:widowControl/>
        <w:rPr>
          <w:rFonts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参加江苏省政府采购中心组织的项目编号为JSZC-320000-SCZX-</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G（C、T、K）</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20XX-XXXX，XXXX（项目名称）（采购包号：XX）项目采购活动</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，根据</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《政府采购促进中小企业发展管理办法》</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第四条规定</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郑重声明</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：如服务由本企业（本联合体，如项目采购包接受联合体参加的）承接，为本项目采购包提供服务的人员均为依照《中华人民共和国劳动合同法》订立劳动合同的从业人员。</w:t>
      </w:r>
      <w:r>
        <w:rPr>
          <w:rFonts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756"/>
        <w:ind w:right="0" w:firstLine="560"/>
        <w:keepLines w:val="0"/>
        <w:keepNext w:val="0"/>
        <w:pageBreakBefore w:val="0"/>
        <w:spacing w:before="30" w:beforeAutospacing="0" w:after="30" w:afterAutospacing="0" w:line="400" w:lineRule="exact"/>
        <w:shd w:val="clear" w:color="auto" w:fill="auto"/>
        <w:widowControl/>
        <w:rPr>
          <w:lang w:val="en-US" w:eastAsia="zh-CN"/>
        </w:rPr>
        <w:pBdr>
          <w:top w:val="none" w:color="000000" w:sz="0" w:space="0"/>
          <w:left w:val="none" w:color="000000" w:sz="0" w:space="0"/>
          <w:bottom w:val="none" w:color="000000" w:sz="0" w:space="0"/>
          <w:right w:val="none" w:color="000000" w:sz="0" w:space="0"/>
        </w:pBdr>
        <w:suppressLineNumbers w:val="0"/>
      </w:pP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本</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企业（联合体）</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对上述声明的真实性负责。如有虚假，将依法承担相应责任。</w:t>
      </w:r>
      <w:r>
        <w:rPr>
          <w:lang w:val="en-US" w:eastAsia="zh-CN"/>
        </w:rPr>
      </w:r>
      <w:r/>
    </w:p>
    <w:p>
      <w:pPr>
        <w:pStyle w:val="694"/>
        <w:rPr>
          <w:rFonts w:hint="eastAsia" w:ascii="方正黑体_GBK" w:hAnsi="方正黑体_GBK" w:eastAsia="方正黑体_GBK" w:cs="方正黑体_GBK"/>
          <w:b/>
          <w:bCs/>
          <w:lang w:val="en-US" w:eastAsia="zh-CN"/>
        </w:rPr>
      </w:pPr>
      <w:r>
        <w:rPr>
          <w:rFonts w:hint="eastAsia" w:ascii="方正黑体_GBK" w:hAnsi="方正黑体_GBK" w:eastAsia="方正黑体_GBK" w:cs="方正黑体_GBK"/>
          <w:b/>
          <w:bCs/>
          <w:i w:val="0"/>
          <w:iCs w:val="0"/>
          <w:caps w:val="0"/>
          <w:color w:val="333333"/>
          <w:spacing w:val="0"/>
          <w:sz w:val="32"/>
          <w:szCs w:val="32"/>
          <w:lang w:val="en-US" w:eastAsia="zh-CN"/>
        </w:rPr>
        <w:t xml:space="preserve">注：专门面向中小微型企业采购的采购项目采购包，投标人（供应商）未提供该书面声明的，投标（响应）无效。</w:t>
      </w:r>
      <w:r>
        <w:rPr>
          <w:rFonts w:hint="eastAsia" w:ascii="方正黑体_GBK" w:hAnsi="方正黑体_GBK" w:eastAsia="方正黑体_GBK" w:cs="方正黑体_GBK"/>
          <w:b/>
          <w:bCs/>
          <w:lang w:val="en-US" w:eastAsia="zh-CN"/>
        </w:rPr>
      </w:r>
      <w:r/>
    </w:p>
    <w:p>
      <w:pPr>
        <w:pStyle w:val="694"/>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694"/>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694"/>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745"/>
        <w:tabs>
          <w:tab w:val="right" w:pos="8720" w:leader="dot"/>
        </w:tabs>
        <w:rPr>
          <w:rFonts w:hint="eastAsia"/>
        </w:rPr>
      </w:pPr>
      <w:r>
        <w:rPr>
          <w:rFonts w:hint="eastAsia"/>
        </w:rPr>
      </w:r>
      <w:r/>
    </w:p>
    <w:p>
      <w:pPr>
        <w:pStyle w:val="694"/>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6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lang w:eastAsia="zh-CN"/>
        </w:rPr>
      </w:pPr>
      <w:r>
        <w:rPr>
          <w:rFonts w:hint="eastAsia" w:ascii="方正黑体_GBK" w:hAnsi="方正黑体_GBK" w:eastAsia="方正黑体_GBK" w:cs="方正黑体_GBK"/>
          <w:b w:val="0"/>
          <w:bCs/>
          <w:sz w:val="28"/>
          <w:szCs w:val="28"/>
          <w:lang w:eastAsia="zh-CN"/>
        </w:rPr>
        <w:t xml:space="preserve">质疑函范本</w:t>
      </w:r>
      <w:r>
        <w:rPr>
          <w:rFonts w:hint="eastAsia" w:ascii="方正黑体_GBK" w:hAnsi="方正黑体_GBK" w:eastAsia="方正黑体_GBK" w:cs="方正黑体_GBK"/>
          <w:b w:val="0"/>
          <w:bCs/>
          <w:sz w:val="28"/>
          <w:szCs w:val="28"/>
          <w:lang w:eastAsia="zh-CN"/>
        </w:rPr>
      </w:r>
      <w:r/>
    </w:p>
    <w:p>
      <w:pPr>
        <w:pStyle w:val="694"/>
        <w:keepLines w:val="0"/>
        <w:keepNext w:val="0"/>
        <w:pageBreakBefore w:val="0"/>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694"/>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9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9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94"/>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9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9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94"/>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69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9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94"/>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9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94"/>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694"/>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94"/>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94"/>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94"/>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69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94"/>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694"/>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9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69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694"/>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69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69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Noto Sans CJK SC">
    <w:panose1 w:val="020B0503020202020204"/>
  </w:font>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Noto Serif SC">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tabs>
        <w:tab w:val="center" w:pos="4153" w:leader="none"/>
        <w:tab w:val="right" w:pos="8306" w:leader="none"/>
      </w:tabs>
      <w:rPr>
        <w:rStyle w:val="766"/>
      </w:rPr>
      <w:framePr w:wrap="around" w:vAnchor="text" w:hAnchor="margin" w:xAlign="center" w:y="1"/>
    </w:pPr>
    <w:r>
      <w:fldChar w:fldCharType="begin"/>
    </w:r>
    <w:r>
      <w:rPr>
        <w:rStyle w:val="766"/>
      </w:rPr>
      <w:instrText xml:space="preserve">PAGE  </w:instrText>
    </w:r>
    <w:r>
      <w:fldChar w:fldCharType="separate"/>
    </w:r>
    <w:r>
      <w:rPr>
        <w:rStyle w:val="766"/>
      </w:rPr>
      <w:t xml:space="preserve">1</w:t>
    </w:r>
    <w:r>
      <w:fldChar w:fldCharType="end"/>
    </w:r>
    <w:r>
      <w:rPr>
        <w:rStyle w:val="766"/>
      </w:rPr>
    </w:r>
    <w:r/>
  </w:p>
  <w:p>
    <w:pPr>
      <w:pStyle w:val="74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69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694"/>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73"/>
      <w:isLgl w:val="false"/>
      <w:suff w:val="tab"/>
      <w:lvlText w:val="附录%1."/>
      <w:lvlJc w:val="left"/>
      <w:pPr>
        <w:pStyle w:val="69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94"/>
        <w:ind w:left="720" w:hanging="360"/>
        <w:tabs>
          <w:tab w:val="num" w:pos="720" w:leader="none"/>
        </w:tabs>
      </w:pPr>
      <w:rPr>
        <w:sz w:val="24"/>
        <w:szCs w:val="24"/>
      </w:rPr>
    </w:lvl>
    <w:lvl w:ilvl="1">
      <w:start w:val="1"/>
      <w:numFmt w:val="decimal"/>
      <w:isLgl w:val="false"/>
      <w:suff w:val="tab"/>
      <w:lvlText w:val="%2."/>
      <w:lvlJc w:val="left"/>
      <w:pPr>
        <w:pStyle w:val="694"/>
        <w:ind w:left="1440" w:hanging="360"/>
        <w:tabs>
          <w:tab w:val="num" w:pos="1440" w:leader="none"/>
        </w:tabs>
      </w:pPr>
      <w:rPr>
        <w:sz w:val="24"/>
        <w:szCs w:val="24"/>
      </w:rPr>
    </w:lvl>
    <w:lvl w:ilvl="2">
      <w:start w:val="1"/>
      <w:numFmt w:val="decimal"/>
      <w:isLgl w:val="false"/>
      <w:suff w:val="tab"/>
      <w:lvlText w:val="%3."/>
      <w:lvlJc w:val="left"/>
      <w:pPr>
        <w:pStyle w:val="694"/>
        <w:ind w:left="2160" w:hanging="360"/>
        <w:tabs>
          <w:tab w:val="num" w:pos="2160" w:leader="none"/>
        </w:tabs>
      </w:pPr>
      <w:rPr>
        <w:sz w:val="24"/>
        <w:szCs w:val="24"/>
      </w:rPr>
    </w:lvl>
    <w:lvl w:ilvl="3">
      <w:start w:val="1"/>
      <w:numFmt w:val="decimal"/>
      <w:isLgl w:val="false"/>
      <w:suff w:val="tab"/>
      <w:lvlText w:val="%4."/>
      <w:lvlJc w:val="left"/>
      <w:pPr>
        <w:pStyle w:val="694"/>
        <w:ind w:left="2880" w:hanging="360"/>
        <w:tabs>
          <w:tab w:val="num" w:pos="2517" w:leader="none"/>
        </w:tabs>
      </w:pPr>
      <w:rPr>
        <w:sz w:val="24"/>
        <w:szCs w:val="24"/>
      </w:rPr>
    </w:lvl>
    <w:lvl w:ilvl="4">
      <w:start w:val="1"/>
      <w:numFmt w:val="decimal"/>
      <w:isLgl w:val="false"/>
      <w:suff w:val="tab"/>
      <w:lvlText w:val="%5."/>
      <w:lvlJc w:val="left"/>
      <w:pPr>
        <w:pStyle w:val="694"/>
        <w:ind w:left="3600" w:hanging="360"/>
        <w:tabs>
          <w:tab w:val="num" w:pos="3238" w:leader="none"/>
        </w:tabs>
      </w:pPr>
      <w:rPr>
        <w:sz w:val="24"/>
        <w:szCs w:val="24"/>
      </w:rPr>
    </w:lvl>
    <w:lvl w:ilvl="5">
      <w:start w:val="1"/>
      <w:numFmt w:val="decimal"/>
      <w:isLgl w:val="false"/>
      <w:suff w:val="tab"/>
      <w:lvlText w:val="%6."/>
      <w:lvlJc w:val="left"/>
      <w:pPr>
        <w:pStyle w:val="694"/>
        <w:ind w:left="4320" w:hanging="360"/>
        <w:tabs>
          <w:tab w:val="num" w:pos="3958" w:leader="none"/>
        </w:tabs>
      </w:pPr>
      <w:rPr>
        <w:sz w:val="24"/>
        <w:szCs w:val="24"/>
      </w:rPr>
    </w:lvl>
    <w:lvl w:ilvl="6">
      <w:start w:val="1"/>
      <w:numFmt w:val="decimal"/>
      <w:isLgl w:val="false"/>
      <w:suff w:val="tab"/>
      <w:lvlText w:val="%7."/>
      <w:lvlJc w:val="left"/>
      <w:pPr>
        <w:pStyle w:val="694"/>
        <w:ind w:left="5040" w:hanging="360"/>
        <w:tabs>
          <w:tab w:val="num" w:pos="4678" w:leader="none"/>
        </w:tabs>
      </w:pPr>
      <w:rPr>
        <w:sz w:val="24"/>
        <w:szCs w:val="24"/>
      </w:rPr>
    </w:lvl>
    <w:lvl w:ilvl="7">
      <w:start w:val="1"/>
      <w:numFmt w:val="decimal"/>
      <w:isLgl w:val="false"/>
      <w:suff w:val="tab"/>
      <w:lvlText w:val="%8."/>
      <w:lvlJc w:val="left"/>
      <w:pPr>
        <w:pStyle w:val="694"/>
        <w:ind w:left="5760" w:hanging="360"/>
        <w:tabs>
          <w:tab w:val="num" w:pos="5398" w:leader="none"/>
        </w:tabs>
      </w:pPr>
      <w:rPr>
        <w:sz w:val="24"/>
        <w:szCs w:val="24"/>
      </w:rPr>
    </w:lvl>
    <w:lvl w:ilvl="8">
      <w:start w:val="1"/>
      <w:numFmt w:val="decimal"/>
      <w:isLgl w:val="false"/>
      <w:suff w:val="tab"/>
      <w:lvlText w:val="%9."/>
      <w:lvlJc w:val="left"/>
      <w:pPr>
        <w:pStyle w:val="694"/>
        <w:ind w:left="6480" w:hanging="360"/>
        <w:tabs>
          <w:tab w:val="num" w:pos="6118" w:leader="none"/>
        </w:tabs>
      </w:pPr>
      <w:rPr>
        <w:sz w:val="24"/>
        <w:szCs w:val="24"/>
      </w:rPr>
    </w:lvl>
  </w:abstractNum>
  <w:abstractNum w:abstractNumId="2">
    <w:multiLevelType w:val="hybridMultilevel"/>
    <w:lvl w:ilvl="0">
      <w:start w:val="1"/>
      <w:numFmt w:val="decimal"/>
      <w:pStyle w:val="790"/>
      <w:isLgl w:val="false"/>
      <w:suff w:val="tab"/>
      <w:lvlText w:val="%1."/>
      <w:lvlJc w:val="left"/>
      <w:pPr>
        <w:pStyle w:val="694"/>
        <w:ind w:left="709" w:hanging="709"/>
        <w:tabs>
          <w:tab w:val="num" w:pos="709" w:leader="none"/>
        </w:tabs>
      </w:pPr>
      <w:rPr>
        <w:rFonts w:hint="eastAsia"/>
      </w:rPr>
    </w:lvl>
    <w:lvl w:ilvl="1">
      <w:start w:val="1"/>
      <w:numFmt w:val="decimal"/>
      <w:isLgl w:val="false"/>
      <w:suff w:val="tab"/>
      <w:lvlText w:val="%1.%2"/>
      <w:lvlJc w:val="left"/>
      <w:pPr>
        <w:pStyle w:val="694"/>
        <w:ind w:left="709" w:hanging="709"/>
        <w:tabs>
          <w:tab w:val="num" w:pos="709" w:leader="none"/>
        </w:tabs>
      </w:pPr>
      <w:rPr>
        <w:rFonts w:hint="eastAsia"/>
      </w:rPr>
    </w:lvl>
    <w:lvl w:ilvl="2">
      <w:start w:val="1"/>
      <w:numFmt w:val="decimal"/>
      <w:isLgl w:val="false"/>
      <w:suff w:val="tab"/>
      <w:lvlText w:val="%1.%2.%3."/>
      <w:lvlJc w:val="left"/>
      <w:pPr>
        <w:pStyle w:val="694"/>
        <w:ind w:left="425" w:hanging="425"/>
        <w:tabs>
          <w:tab w:val="num" w:pos="425" w:leader="none"/>
        </w:tabs>
      </w:pPr>
      <w:rPr>
        <w:rFonts w:hint="eastAsia"/>
      </w:rPr>
    </w:lvl>
    <w:lvl w:ilvl="3">
      <w:start w:val="1"/>
      <w:numFmt w:val="decimal"/>
      <w:isLgl w:val="false"/>
      <w:suff w:val="tab"/>
      <w:lvlText w:val="%1.%2.%3.%4."/>
      <w:lvlJc w:val="left"/>
      <w:pPr>
        <w:pStyle w:val="694"/>
        <w:ind w:left="851" w:hanging="851"/>
        <w:tabs>
          <w:tab w:val="num" w:pos="851" w:leader="none"/>
        </w:tabs>
      </w:pPr>
      <w:rPr>
        <w:rFonts w:hint="eastAsia"/>
      </w:rPr>
    </w:lvl>
    <w:lvl w:ilvl="4">
      <w:start w:val="1"/>
      <w:numFmt w:val="decimal"/>
      <w:isLgl w:val="false"/>
      <w:suff w:val="tab"/>
      <w:lvlText w:val="%1.%2.%3.%4.%5."/>
      <w:lvlJc w:val="left"/>
      <w:pPr>
        <w:pStyle w:val="694"/>
        <w:ind w:left="992" w:hanging="992"/>
        <w:tabs>
          <w:tab w:val="num" w:pos="992" w:leader="none"/>
        </w:tabs>
      </w:pPr>
      <w:rPr>
        <w:rFonts w:hint="eastAsia"/>
      </w:rPr>
    </w:lvl>
    <w:lvl w:ilvl="5">
      <w:start w:val="1"/>
      <w:numFmt w:val="decimal"/>
      <w:isLgl w:val="false"/>
      <w:suff w:val="tab"/>
      <w:lvlText w:val="%1.%2.%3.%4.%5.%6."/>
      <w:lvlJc w:val="left"/>
      <w:pPr>
        <w:pStyle w:val="694"/>
        <w:ind w:left="1134" w:hanging="1134"/>
        <w:tabs>
          <w:tab w:val="num" w:pos="1134" w:leader="none"/>
        </w:tabs>
      </w:pPr>
      <w:rPr>
        <w:rFonts w:hint="eastAsia"/>
      </w:rPr>
    </w:lvl>
    <w:lvl w:ilvl="6">
      <w:start w:val="1"/>
      <w:numFmt w:val="decimal"/>
      <w:isLgl w:val="false"/>
      <w:suff w:val="tab"/>
      <w:lvlText w:val="%1.%2.%3.%4.%5.%6.%7."/>
      <w:lvlJc w:val="left"/>
      <w:pPr>
        <w:pStyle w:val="694"/>
        <w:ind w:left="1276" w:hanging="1276"/>
        <w:tabs>
          <w:tab w:val="num" w:pos="1276" w:leader="none"/>
        </w:tabs>
      </w:pPr>
      <w:rPr>
        <w:rFonts w:hint="eastAsia"/>
      </w:rPr>
    </w:lvl>
    <w:lvl w:ilvl="7">
      <w:start w:val="1"/>
      <w:numFmt w:val="decimal"/>
      <w:isLgl w:val="false"/>
      <w:suff w:val="tab"/>
      <w:lvlText w:val="%1.%2.%3.%4.%5.%6.%7.%8."/>
      <w:lvlJc w:val="left"/>
      <w:pPr>
        <w:pStyle w:val="694"/>
        <w:ind w:left="1418" w:hanging="1418"/>
        <w:tabs>
          <w:tab w:val="num" w:pos="1418" w:leader="none"/>
        </w:tabs>
      </w:pPr>
      <w:rPr>
        <w:rFonts w:hint="eastAsia"/>
      </w:rPr>
    </w:lvl>
    <w:lvl w:ilvl="8">
      <w:start w:val="1"/>
      <w:numFmt w:val="decimal"/>
      <w:isLgl w:val="false"/>
      <w:suff w:val="tab"/>
      <w:lvlText w:val="%1.%2.%3.%4.%5.%6.%7.%8.%9."/>
      <w:lvlJc w:val="left"/>
      <w:pPr>
        <w:pStyle w:val="694"/>
        <w:ind w:left="1559" w:hanging="1559"/>
        <w:tabs>
          <w:tab w:val="num" w:pos="1559" w:leader="none"/>
        </w:tabs>
      </w:pPr>
      <w:rPr>
        <w:rFonts w:hint="eastAsia"/>
      </w:rPr>
    </w:lvl>
  </w:abstractNum>
  <w:abstractNum w:abstractNumId="3">
    <w:multiLevelType w:val="hybridMultilevel"/>
    <w:lvl w:ilvl="0">
      <w:start w:val="1"/>
      <w:numFmt w:val="decimal"/>
      <w:isLgl w:val="false"/>
      <w:suff w:val="tab"/>
      <w:lvlText w:val="%1."/>
      <w:lvlJc w:val="left"/>
      <w:pPr>
        <w:pStyle w:val="694"/>
        <w:ind w:left="720" w:hanging="360"/>
        <w:tabs>
          <w:tab w:val="num" w:pos="720" w:leader="none"/>
        </w:tabs>
      </w:pPr>
      <w:rPr>
        <w:sz w:val="24"/>
        <w:szCs w:val="24"/>
      </w:rPr>
    </w:lvl>
    <w:lvl w:ilvl="1">
      <w:start w:val="1"/>
      <w:numFmt w:val="decimal"/>
      <w:isLgl w:val="false"/>
      <w:suff w:val="tab"/>
      <w:lvlText w:val="%2."/>
      <w:lvlJc w:val="left"/>
      <w:pPr>
        <w:pStyle w:val="694"/>
        <w:ind w:left="1440" w:hanging="360"/>
        <w:tabs>
          <w:tab w:val="num" w:pos="1440" w:leader="none"/>
        </w:tabs>
      </w:pPr>
      <w:rPr>
        <w:sz w:val="24"/>
        <w:szCs w:val="24"/>
      </w:rPr>
    </w:lvl>
    <w:lvl w:ilvl="2">
      <w:start w:val="1"/>
      <w:numFmt w:val="decimal"/>
      <w:isLgl w:val="false"/>
      <w:suff w:val="tab"/>
      <w:lvlText w:val="%3."/>
      <w:lvlJc w:val="left"/>
      <w:pPr>
        <w:pStyle w:val="694"/>
        <w:ind w:left="2160" w:hanging="360"/>
        <w:tabs>
          <w:tab w:val="num" w:pos="2160" w:leader="none"/>
        </w:tabs>
      </w:pPr>
      <w:rPr>
        <w:sz w:val="24"/>
        <w:szCs w:val="24"/>
      </w:rPr>
    </w:lvl>
    <w:lvl w:ilvl="3">
      <w:start w:val="1"/>
      <w:numFmt w:val="decimal"/>
      <w:isLgl w:val="false"/>
      <w:suff w:val="tab"/>
      <w:lvlText w:val="%4."/>
      <w:lvlJc w:val="left"/>
      <w:pPr>
        <w:pStyle w:val="694"/>
        <w:ind w:left="2880" w:hanging="360"/>
        <w:tabs>
          <w:tab w:val="num" w:pos="2517" w:leader="none"/>
        </w:tabs>
      </w:pPr>
      <w:rPr>
        <w:sz w:val="24"/>
        <w:szCs w:val="24"/>
      </w:rPr>
    </w:lvl>
    <w:lvl w:ilvl="4">
      <w:start w:val="1"/>
      <w:numFmt w:val="decimal"/>
      <w:isLgl w:val="false"/>
      <w:suff w:val="tab"/>
      <w:lvlText w:val="%5."/>
      <w:lvlJc w:val="left"/>
      <w:pPr>
        <w:pStyle w:val="694"/>
        <w:ind w:left="3600" w:hanging="360"/>
        <w:tabs>
          <w:tab w:val="num" w:pos="3238" w:leader="none"/>
        </w:tabs>
      </w:pPr>
      <w:rPr>
        <w:sz w:val="24"/>
        <w:szCs w:val="24"/>
      </w:rPr>
    </w:lvl>
    <w:lvl w:ilvl="5">
      <w:start w:val="1"/>
      <w:numFmt w:val="decimal"/>
      <w:isLgl w:val="false"/>
      <w:suff w:val="tab"/>
      <w:lvlText w:val="%6."/>
      <w:lvlJc w:val="left"/>
      <w:pPr>
        <w:pStyle w:val="694"/>
        <w:ind w:left="4320" w:hanging="360"/>
        <w:tabs>
          <w:tab w:val="num" w:pos="3958" w:leader="none"/>
        </w:tabs>
      </w:pPr>
      <w:rPr>
        <w:sz w:val="24"/>
        <w:szCs w:val="24"/>
      </w:rPr>
    </w:lvl>
    <w:lvl w:ilvl="6">
      <w:start w:val="1"/>
      <w:numFmt w:val="decimal"/>
      <w:isLgl w:val="false"/>
      <w:suff w:val="tab"/>
      <w:lvlText w:val="%7."/>
      <w:lvlJc w:val="left"/>
      <w:pPr>
        <w:pStyle w:val="694"/>
        <w:ind w:left="5040" w:hanging="360"/>
        <w:tabs>
          <w:tab w:val="num" w:pos="4678" w:leader="none"/>
        </w:tabs>
      </w:pPr>
      <w:rPr>
        <w:sz w:val="24"/>
        <w:szCs w:val="24"/>
      </w:rPr>
    </w:lvl>
    <w:lvl w:ilvl="7">
      <w:start w:val="1"/>
      <w:numFmt w:val="decimal"/>
      <w:isLgl w:val="false"/>
      <w:suff w:val="tab"/>
      <w:lvlText w:val="%8."/>
      <w:lvlJc w:val="left"/>
      <w:pPr>
        <w:pStyle w:val="694"/>
        <w:ind w:left="5760" w:hanging="360"/>
        <w:tabs>
          <w:tab w:val="num" w:pos="5398" w:leader="none"/>
        </w:tabs>
      </w:pPr>
      <w:rPr>
        <w:sz w:val="24"/>
        <w:szCs w:val="24"/>
      </w:rPr>
    </w:lvl>
    <w:lvl w:ilvl="8">
      <w:start w:val="1"/>
      <w:numFmt w:val="decimal"/>
      <w:isLgl w:val="false"/>
      <w:suff w:val="tab"/>
      <w:lvlText w:val="%9."/>
      <w:lvlJc w:val="left"/>
      <w:pPr>
        <w:pStyle w:val="694"/>
        <w:ind w:left="6480" w:hanging="360"/>
        <w:tabs>
          <w:tab w:val="num" w:pos="6118" w:leader="none"/>
        </w:tabs>
      </w:pPr>
      <w:rPr>
        <w:sz w:val="24"/>
        <w:szCs w:val="24"/>
      </w:rPr>
    </w:lvl>
  </w:abstractNum>
  <w:abstractNum w:abstractNumId="4">
    <w:multiLevelType w:val="hybridMultilevel"/>
    <w:lvl w:ilvl="0">
      <w:start w:val="1"/>
      <w:numFmt w:val="chineseCountingThousand"/>
      <w:isLgl w:val="false"/>
      <w:suff w:val="nothing"/>
      <w:lvlText w:val="第%1章 "/>
      <w:lvlJc w:val="left"/>
      <w:pPr>
        <w:pStyle w:val="694"/>
        <w:ind w:left="0" w:firstLine="0"/>
      </w:pPr>
      <w:rPr>
        <w:rFonts w:hint="eastAsia"/>
      </w:rPr>
    </w:lvl>
    <w:lvl w:ilvl="1">
      <w:start w:val="1"/>
      <w:numFmt w:val="decimal"/>
      <w:isLgl w:val="false"/>
      <w:suff w:val="nothing"/>
      <w:lvlText w:val="%2、"/>
      <w:lvlJc w:val="left"/>
      <w:pPr>
        <w:pStyle w:val="694"/>
        <w:ind w:left="0" w:firstLine="0"/>
      </w:pPr>
      <w:rPr>
        <w:rFonts w:hint="eastAsia"/>
      </w:rPr>
    </w:lvl>
    <w:lvl w:ilvl="2">
      <w:start w:val="1"/>
      <w:numFmt w:val="decimal"/>
      <w:isLgl w:val="false"/>
      <w:suff w:val="nothing"/>
      <w:lvlText w:val="%2.%3 "/>
      <w:lvlJc w:val="left"/>
      <w:pPr>
        <w:pStyle w:val="694"/>
        <w:ind w:left="0" w:firstLine="0"/>
      </w:pPr>
      <w:rPr>
        <w:rFonts w:hint="eastAsia"/>
      </w:rPr>
    </w:lvl>
    <w:lvl w:ilvl="3">
      <w:start w:val="1"/>
      <w:numFmt w:val="decimal"/>
      <w:isLgl w:val="false"/>
      <w:suff w:val="nothing"/>
      <w:lvlText w:val="%2.%3.%4 "/>
      <w:lvlJc w:val="left"/>
      <w:pPr>
        <w:pStyle w:val="694"/>
        <w:ind w:left="0" w:firstLine="0"/>
      </w:pPr>
      <w:rPr>
        <w:rFonts w:hint="eastAsia"/>
      </w:rPr>
    </w:lvl>
    <w:lvl w:ilvl="4">
      <w:start w:val="1"/>
      <w:numFmt w:val="decimal"/>
      <w:isLgl w:val="false"/>
      <w:suff w:val="nothing"/>
      <w:lvlText w:val="%2.%3.%4.%5 "/>
      <w:lvlJc w:val="left"/>
      <w:pPr>
        <w:pStyle w:val="694"/>
        <w:ind w:left="0" w:firstLine="0"/>
      </w:pPr>
      <w:rPr>
        <w:rFonts w:hint="eastAsia"/>
      </w:rPr>
    </w:lvl>
    <w:lvl w:ilvl="5">
      <w:start w:val="1"/>
      <w:numFmt w:val="decimal"/>
      <w:pStyle w:val="700"/>
      <w:isLgl w:val="false"/>
      <w:suff w:val="nothing"/>
      <w:lvlText w:val=""/>
      <w:lvlJc w:val="left"/>
      <w:pPr>
        <w:pStyle w:val="694"/>
        <w:ind w:left="0" w:firstLine="0"/>
      </w:pPr>
      <w:rPr>
        <w:rFonts w:hint="eastAsia"/>
      </w:rPr>
    </w:lvl>
    <w:lvl w:ilvl="6">
      <w:start w:val="1"/>
      <w:numFmt w:val="decimal"/>
      <w:pStyle w:val="701"/>
      <w:isLgl w:val="false"/>
      <w:suff w:val="nothing"/>
      <w:lvlText w:val=""/>
      <w:lvlJc w:val="left"/>
      <w:pPr>
        <w:pStyle w:val="694"/>
        <w:ind w:left="0" w:firstLine="0"/>
      </w:pPr>
      <w:rPr>
        <w:rFonts w:hint="eastAsia"/>
      </w:rPr>
    </w:lvl>
    <w:lvl w:ilvl="7">
      <w:start w:val="1"/>
      <w:numFmt w:val="decimal"/>
      <w:pStyle w:val="702"/>
      <w:isLgl w:val="false"/>
      <w:suff w:val="nothing"/>
      <w:lvlText w:val=""/>
      <w:lvlJc w:val="left"/>
      <w:pPr>
        <w:pStyle w:val="694"/>
        <w:ind w:left="0" w:firstLine="0"/>
      </w:pPr>
      <w:rPr>
        <w:rFonts w:hint="eastAsia"/>
      </w:rPr>
    </w:lvl>
    <w:lvl w:ilvl="8">
      <w:start w:val="1"/>
      <w:numFmt w:val="decimal"/>
      <w:pStyle w:val="703"/>
      <w:isLgl w:val="false"/>
      <w:suff w:val="nothing"/>
      <w:lvlText w:val=""/>
      <w:lvlJc w:val="left"/>
      <w:pPr>
        <w:pStyle w:val="694"/>
        <w:ind w:left="0" w:firstLine="0"/>
      </w:pPr>
      <w:rPr>
        <w:rFonts w:hint="eastAsia"/>
      </w:rPr>
    </w:lvl>
  </w:abstractNum>
  <w:abstractNum w:abstractNumId="5">
    <w:multiLevelType w:val="hybridMultilevel"/>
    <w:lvl w:ilvl="0">
      <w:start w:val="5"/>
      <w:numFmt w:val="decimal"/>
      <w:isLgl w:val="false"/>
      <w:suff w:val="tab"/>
      <w:lvlText w:val="%1."/>
      <w:lvlJc w:val="left"/>
      <w:pPr>
        <w:pStyle w:val="69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2"/>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4"/>
    <w:next w:val="69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4"/>
    <w:next w:val="69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4"/>
    <w:next w:val="69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4"/>
    <w:next w:val="69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4"/>
    <w:next w:val="69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4"/>
    <w:next w:val="69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4"/>
    <w:next w:val="69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4"/>
    <w:next w:val="69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4"/>
    <w:next w:val="69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4"/>
    <w:next w:val="69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4"/>
    <w:next w:val="69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4"/>
    <w:next w:val="694"/>
    <w:link w:val="38"/>
    <w:uiPriority w:val="29"/>
    <w:qFormat/>
    <w:pPr>
      <w:ind w:left="720" w:right="720"/>
    </w:pPr>
    <w:rPr>
      <w:i/>
    </w:rPr>
  </w:style>
  <w:style w:type="character" w:styleId="38">
    <w:name w:val="Quote Char"/>
    <w:link w:val="37"/>
    <w:uiPriority w:val="29"/>
    <w:rPr>
      <w:i/>
    </w:rPr>
  </w:style>
  <w:style w:type="paragraph" w:styleId="39">
    <w:name w:val="Intense Quote"/>
    <w:basedOn w:val="694"/>
    <w:next w:val="69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4"/>
    <w:next w:val="69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4"/>
    <w:next w:val="694"/>
    <w:uiPriority w:val="39"/>
    <w:unhideWhenUsed/>
    <w:pPr>
      <w:ind w:left="0" w:right="0" w:firstLine="0"/>
      <w:spacing w:after="57"/>
    </w:pPr>
  </w:style>
  <w:style w:type="paragraph" w:styleId="181">
    <w:name w:val="toc 2"/>
    <w:basedOn w:val="694"/>
    <w:next w:val="694"/>
    <w:uiPriority w:val="39"/>
    <w:unhideWhenUsed/>
    <w:pPr>
      <w:ind w:left="283" w:right="0" w:firstLine="0"/>
      <w:spacing w:after="57"/>
    </w:pPr>
  </w:style>
  <w:style w:type="paragraph" w:styleId="182">
    <w:name w:val="toc 3"/>
    <w:basedOn w:val="694"/>
    <w:next w:val="694"/>
    <w:uiPriority w:val="39"/>
    <w:unhideWhenUsed/>
    <w:pPr>
      <w:ind w:left="567" w:right="0" w:firstLine="0"/>
      <w:spacing w:after="57"/>
    </w:pPr>
  </w:style>
  <w:style w:type="paragraph" w:styleId="183">
    <w:name w:val="toc 4"/>
    <w:basedOn w:val="694"/>
    <w:next w:val="694"/>
    <w:uiPriority w:val="39"/>
    <w:unhideWhenUsed/>
    <w:pPr>
      <w:ind w:left="850" w:right="0" w:firstLine="0"/>
      <w:spacing w:after="57"/>
    </w:pPr>
  </w:style>
  <w:style w:type="paragraph" w:styleId="184">
    <w:name w:val="toc 5"/>
    <w:basedOn w:val="694"/>
    <w:next w:val="694"/>
    <w:uiPriority w:val="39"/>
    <w:unhideWhenUsed/>
    <w:pPr>
      <w:ind w:left="1134" w:right="0" w:firstLine="0"/>
      <w:spacing w:after="57"/>
    </w:pPr>
  </w:style>
  <w:style w:type="paragraph" w:styleId="185">
    <w:name w:val="toc 6"/>
    <w:basedOn w:val="694"/>
    <w:next w:val="694"/>
    <w:uiPriority w:val="39"/>
    <w:unhideWhenUsed/>
    <w:pPr>
      <w:ind w:left="1417" w:right="0" w:firstLine="0"/>
      <w:spacing w:after="57"/>
    </w:pPr>
  </w:style>
  <w:style w:type="paragraph" w:styleId="186">
    <w:name w:val="toc 7"/>
    <w:basedOn w:val="694"/>
    <w:next w:val="694"/>
    <w:uiPriority w:val="39"/>
    <w:unhideWhenUsed/>
    <w:pPr>
      <w:ind w:left="1701" w:right="0" w:firstLine="0"/>
      <w:spacing w:after="57"/>
    </w:pPr>
  </w:style>
  <w:style w:type="paragraph" w:styleId="187">
    <w:name w:val="toc 8"/>
    <w:basedOn w:val="694"/>
    <w:next w:val="694"/>
    <w:uiPriority w:val="39"/>
    <w:unhideWhenUsed/>
    <w:pPr>
      <w:ind w:left="1984" w:right="0" w:firstLine="0"/>
      <w:spacing w:after="57"/>
    </w:pPr>
  </w:style>
  <w:style w:type="paragraph" w:styleId="188">
    <w:name w:val="toc 9"/>
    <w:basedOn w:val="694"/>
    <w:next w:val="69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4"/>
    <w:next w:val="694"/>
    <w:uiPriority w:val="99"/>
    <w:unhideWhenUsed/>
    <w:pPr>
      <w:spacing w:after="0" w:afterAutospacing="0"/>
    </w:pPr>
  </w:style>
  <w:style w:type="paragraph" w:styleId="694" w:default="1">
    <w:name w:val="Normal"/>
    <w:next w:val="706"/>
    <w:link w:val="694"/>
    <w:qFormat/>
    <w:pPr>
      <w:jc w:val="both"/>
      <w:widowControl w:val="off"/>
    </w:pPr>
    <w:rPr>
      <w:sz w:val="21"/>
      <w:szCs w:val="22"/>
      <w:lang w:val="en-US" w:eastAsia="zh-CN" w:bidi="ar-SA"/>
    </w:rPr>
  </w:style>
  <w:style w:type="paragraph" w:styleId="695">
    <w:name w:val="标题 1"/>
    <w:basedOn w:val="694"/>
    <w:next w:val="694"/>
    <w:link w:val="708"/>
    <w:qFormat/>
    <w:pPr>
      <w:jc w:val="center"/>
      <w:keepNext/>
      <w:outlineLvl w:val="0"/>
    </w:pPr>
    <w:rPr>
      <w:rFonts w:ascii="楷体_GB2312" w:hAnsi="Times New Roman" w:eastAsia="楷体_GB2312" w:cs="Times New Roman"/>
      <w:sz w:val="28"/>
      <w:szCs w:val="28"/>
    </w:rPr>
  </w:style>
  <w:style w:type="paragraph" w:styleId="696">
    <w:name w:val="标题 2"/>
    <w:basedOn w:val="694"/>
    <w:next w:val="710"/>
    <w:link w:val="709"/>
    <w:qFormat/>
    <w:pPr>
      <w:jc w:val="center"/>
      <w:keepLines/>
      <w:keepNext/>
      <w:spacing w:before="260" w:after="260" w:line="416" w:lineRule="auto"/>
      <w:outlineLvl w:val="1"/>
    </w:pPr>
    <w:rPr>
      <w:rFonts w:ascii="Arial" w:hAnsi="Arial" w:eastAsia="幼圆" w:cs="Arial"/>
      <w:b/>
      <w:bCs/>
      <w:sz w:val="44"/>
      <w:szCs w:val="44"/>
    </w:rPr>
  </w:style>
  <w:style w:type="paragraph" w:styleId="697">
    <w:name w:val="标题 3"/>
    <w:basedOn w:val="694"/>
    <w:next w:val="694"/>
    <w:link w:val="712"/>
    <w:qFormat/>
    <w:pPr>
      <w:keepLines/>
      <w:keepNext/>
      <w:spacing w:before="260" w:after="260" w:line="416" w:lineRule="auto"/>
      <w:outlineLvl w:val="2"/>
    </w:pPr>
    <w:rPr>
      <w:rFonts w:ascii="Times New Roman" w:hAnsi="Times New Roman" w:eastAsia="宋体" w:cs="Times New Roman"/>
      <w:b/>
      <w:bCs/>
      <w:sz w:val="32"/>
      <w:szCs w:val="32"/>
    </w:rPr>
  </w:style>
  <w:style w:type="paragraph" w:styleId="698">
    <w:name w:val="标题 4"/>
    <w:basedOn w:val="694"/>
    <w:next w:val="710"/>
    <w:link w:val="713"/>
    <w:qFormat/>
    <w:pPr>
      <w:keepLines/>
      <w:keepNext/>
      <w:spacing w:before="280" w:after="290" w:line="376" w:lineRule="auto"/>
      <w:outlineLvl w:val="3"/>
    </w:pPr>
    <w:rPr>
      <w:rFonts w:ascii="Arial" w:hAnsi="Arial" w:eastAsia="黑体" w:cs="Arial"/>
      <w:b/>
      <w:bCs/>
      <w:sz w:val="28"/>
      <w:szCs w:val="28"/>
    </w:rPr>
  </w:style>
  <w:style w:type="paragraph" w:styleId="699">
    <w:name w:val="标题 5"/>
    <w:basedOn w:val="694"/>
    <w:next w:val="710"/>
    <w:link w:val="714"/>
    <w:qFormat/>
    <w:pPr>
      <w:keepNext/>
      <w:outlineLvl w:val="4"/>
    </w:pPr>
    <w:rPr>
      <w:rFonts w:ascii="宋体" w:hAnsi="Times New Roman" w:eastAsia="宋体" w:cs="Times New Roman"/>
      <w:color w:val="000000"/>
      <w:sz w:val="28"/>
      <w:szCs w:val="28"/>
    </w:rPr>
  </w:style>
  <w:style w:type="paragraph" w:styleId="700">
    <w:name w:val="标题 6"/>
    <w:basedOn w:val="694"/>
    <w:next w:val="694"/>
    <w:link w:val="71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01">
    <w:name w:val="标题 7"/>
    <w:basedOn w:val="694"/>
    <w:next w:val="694"/>
    <w:link w:val="71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02">
    <w:name w:val="标题 8"/>
    <w:basedOn w:val="694"/>
    <w:next w:val="694"/>
    <w:link w:val="71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03">
    <w:name w:val="标题 9"/>
    <w:basedOn w:val="694"/>
    <w:next w:val="694"/>
    <w:link w:val="718"/>
    <w:qFormat/>
    <w:pPr>
      <w:numPr>
        <w:ilvl w:val="8"/>
        <w:numId w:val="1"/>
      </w:numPr>
      <w:keepLines/>
      <w:keepNext/>
      <w:spacing w:before="240" w:after="64" w:line="320" w:lineRule="auto"/>
      <w:outlineLvl w:val="8"/>
    </w:pPr>
    <w:rPr>
      <w:rFonts w:ascii="Arial" w:hAnsi="Arial" w:eastAsia="黑体" w:cs="Times New Roman"/>
      <w:szCs w:val="21"/>
    </w:rPr>
  </w:style>
  <w:style w:type="character" w:styleId="704">
    <w:name w:val="默认段落字体"/>
    <w:next w:val="704"/>
    <w:link w:val="694"/>
    <w:uiPriority w:val="1"/>
    <w:unhideWhenUsed/>
  </w:style>
  <w:style w:type="table" w:styleId="705">
    <w:name w:val="普通表格"/>
    <w:next w:val="705"/>
    <w:link w:val="694"/>
    <w:uiPriority w:val="99"/>
    <w:unhideWhenUsed/>
    <w:tblPr/>
  </w:style>
  <w:style w:type="paragraph" w:styleId="706">
    <w:name w:val="正文文本"/>
    <w:basedOn w:val="694"/>
    <w:next w:val="694"/>
    <w:link w:val="707"/>
    <w:rPr>
      <w:rFonts w:ascii="楷体_GB2312" w:hAnsi="Arial" w:eastAsia="楷体_GB2312" w:cs="Times New Roman"/>
      <w:sz w:val="28"/>
      <w:szCs w:val="28"/>
    </w:rPr>
  </w:style>
  <w:style w:type="character" w:styleId="707">
    <w:name w:val="正文文本 Char"/>
    <w:next w:val="707"/>
    <w:link w:val="706"/>
    <w:rPr>
      <w:rFonts w:ascii="楷体_GB2312" w:hAnsi="Arial" w:eastAsia="楷体_GB2312" w:cs="Times New Roman"/>
      <w:sz w:val="28"/>
      <w:szCs w:val="28"/>
    </w:rPr>
  </w:style>
  <w:style w:type="character" w:styleId="708">
    <w:name w:val="标题 1 Char"/>
    <w:next w:val="708"/>
    <w:link w:val="695"/>
    <w:rPr>
      <w:rFonts w:ascii="楷体_GB2312" w:hAnsi="Times New Roman" w:eastAsia="楷体_GB2312" w:cs="Times New Roman"/>
      <w:sz w:val="28"/>
      <w:szCs w:val="28"/>
    </w:rPr>
  </w:style>
  <w:style w:type="character" w:styleId="709">
    <w:name w:val="标题 2 Char"/>
    <w:next w:val="709"/>
    <w:link w:val="696"/>
    <w:rPr>
      <w:rFonts w:ascii="Arial" w:hAnsi="Arial" w:eastAsia="幼圆" w:cs="Arial"/>
      <w:b/>
      <w:bCs/>
      <w:sz w:val="44"/>
      <w:szCs w:val="44"/>
    </w:rPr>
  </w:style>
  <w:style w:type="paragraph" w:styleId="710">
    <w:name w:val="正文缩进"/>
    <w:basedOn w:val="694"/>
    <w:next w:val="710"/>
    <w:link w:val="711"/>
    <w:pPr>
      <w:ind w:firstLine="420"/>
    </w:pPr>
    <w:rPr>
      <w:szCs w:val="21"/>
    </w:rPr>
  </w:style>
  <w:style w:type="character" w:styleId="711">
    <w:name w:val="正文缩进 Char"/>
    <w:next w:val="711"/>
    <w:link w:val="710"/>
    <w:rPr>
      <w:szCs w:val="21"/>
    </w:rPr>
  </w:style>
  <w:style w:type="character" w:styleId="712">
    <w:name w:val="标题 3 Char"/>
    <w:next w:val="712"/>
    <w:link w:val="697"/>
    <w:rPr>
      <w:rFonts w:ascii="Times New Roman" w:hAnsi="Times New Roman" w:eastAsia="宋体" w:cs="Times New Roman"/>
      <w:b/>
      <w:bCs/>
      <w:sz w:val="32"/>
      <w:szCs w:val="32"/>
    </w:rPr>
  </w:style>
  <w:style w:type="character" w:styleId="713">
    <w:name w:val="标题 4 Char"/>
    <w:next w:val="713"/>
    <w:link w:val="698"/>
    <w:rPr>
      <w:rFonts w:ascii="Arial" w:hAnsi="Arial" w:eastAsia="黑体" w:cs="Arial"/>
      <w:b/>
      <w:bCs/>
      <w:sz w:val="28"/>
      <w:szCs w:val="28"/>
    </w:rPr>
  </w:style>
  <w:style w:type="character" w:styleId="714">
    <w:name w:val="标题 5 Char"/>
    <w:next w:val="714"/>
    <w:link w:val="699"/>
    <w:rPr>
      <w:rFonts w:ascii="宋体" w:hAnsi="Times New Roman" w:eastAsia="宋体" w:cs="Times New Roman"/>
      <w:color w:val="000000"/>
      <w:sz w:val="28"/>
      <w:szCs w:val="28"/>
    </w:rPr>
  </w:style>
  <w:style w:type="character" w:styleId="715">
    <w:name w:val="标题 6 Char"/>
    <w:next w:val="715"/>
    <w:link w:val="700"/>
    <w:rPr>
      <w:rFonts w:ascii="Arial" w:hAnsi="Arial" w:eastAsia="黑体" w:cs="Times New Roman"/>
      <w:b/>
      <w:bCs/>
      <w:sz w:val="24"/>
      <w:szCs w:val="24"/>
    </w:rPr>
  </w:style>
  <w:style w:type="character" w:styleId="716">
    <w:name w:val="标题 7 Char"/>
    <w:next w:val="716"/>
    <w:link w:val="701"/>
    <w:rPr>
      <w:rFonts w:ascii="Times New Roman" w:hAnsi="Times New Roman" w:eastAsia="宋体" w:cs="Times New Roman"/>
      <w:b/>
      <w:bCs/>
      <w:sz w:val="24"/>
      <w:szCs w:val="24"/>
    </w:rPr>
  </w:style>
  <w:style w:type="character" w:styleId="717">
    <w:name w:val="标题 8 Char"/>
    <w:next w:val="717"/>
    <w:link w:val="702"/>
    <w:rPr>
      <w:rFonts w:ascii="Arial" w:hAnsi="Arial" w:eastAsia="黑体" w:cs="Times New Roman"/>
      <w:sz w:val="24"/>
      <w:szCs w:val="24"/>
    </w:rPr>
  </w:style>
  <w:style w:type="character" w:styleId="718">
    <w:name w:val="标题 9 Char"/>
    <w:next w:val="718"/>
    <w:link w:val="703"/>
    <w:rPr>
      <w:rFonts w:ascii="Arial" w:hAnsi="Arial" w:eastAsia="黑体" w:cs="Times New Roman"/>
      <w:szCs w:val="21"/>
    </w:rPr>
  </w:style>
  <w:style w:type="paragraph" w:styleId="719">
    <w:name w:val="列表 3"/>
    <w:basedOn w:val="694"/>
    <w:next w:val="719"/>
    <w:link w:val="694"/>
    <w:pPr>
      <w:ind w:left="100" w:hanging="200"/>
    </w:pPr>
    <w:rPr>
      <w:rFonts w:ascii="Times New Roman" w:hAnsi="Times New Roman" w:eastAsia="宋体" w:cs="Times New Roman"/>
      <w:szCs w:val="21"/>
    </w:rPr>
  </w:style>
  <w:style w:type="paragraph" w:styleId="720">
    <w:name w:val="目录 7"/>
    <w:basedOn w:val="694"/>
    <w:next w:val="694"/>
    <w:link w:val="694"/>
    <w:semiHidden/>
    <w:pPr>
      <w:ind w:left="1260"/>
      <w:jc w:val="left"/>
    </w:pPr>
    <w:rPr>
      <w:rFonts w:ascii="Times New Roman" w:hAnsi="Times New Roman" w:eastAsia="宋体" w:cs="Times New Roman"/>
      <w:szCs w:val="21"/>
    </w:rPr>
  </w:style>
  <w:style w:type="paragraph" w:styleId="721">
    <w:name w:val="文档结构图"/>
    <w:basedOn w:val="694"/>
    <w:next w:val="721"/>
    <w:link w:val="722"/>
    <w:semiHidden/>
    <w:pPr>
      <w:shd w:val="clear" w:color="auto" w:fill="000080"/>
    </w:pPr>
    <w:rPr>
      <w:rFonts w:ascii="Times New Roman" w:hAnsi="Times New Roman" w:eastAsia="宋体" w:cs="Times New Roman"/>
      <w:szCs w:val="21"/>
    </w:rPr>
  </w:style>
  <w:style w:type="character" w:styleId="722">
    <w:name w:val="文档结构图 Char"/>
    <w:next w:val="722"/>
    <w:link w:val="721"/>
    <w:semiHidden/>
    <w:rPr>
      <w:rFonts w:ascii="Times New Roman" w:hAnsi="Times New Roman" w:eastAsia="宋体" w:cs="Times New Roman"/>
      <w:szCs w:val="21"/>
      <w:shd w:val="clear" w:color="auto" w:fill="000080"/>
    </w:rPr>
  </w:style>
  <w:style w:type="paragraph" w:styleId="723">
    <w:name w:val="批注文字"/>
    <w:basedOn w:val="694"/>
    <w:next w:val="723"/>
    <w:link w:val="724"/>
    <w:unhideWhenUsed/>
    <w:pPr>
      <w:jc w:val="left"/>
    </w:pPr>
  </w:style>
  <w:style w:type="character" w:styleId="724">
    <w:name w:val="批注文字 Char"/>
    <w:next w:val="724"/>
    <w:link w:val="723"/>
    <w:uiPriority w:val="99"/>
    <w:semiHidden/>
  </w:style>
  <w:style w:type="paragraph" w:styleId="725">
    <w:name w:val="正文文本 3"/>
    <w:basedOn w:val="694"/>
    <w:next w:val="725"/>
    <w:link w:val="726"/>
    <w:rPr>
      <w:rFonts w:ascii="仿宋_GB2312" w:hAnsi="Arial" w:eastAsia="仿宋_GB2312" w:cs="Times New Roman"/>
      <w:sz w:val="32"/>
      <w:szCs w:val="32"/>
    </w:rPr>
  </w:style>
  <w:style w:type="character" w:styleId="726">
    <w:name w:val="正文文本 3 Char"/>
    <w:next w:val="726"/>
    <w:link w:val="725"/>
    <w:rPr>
      <w:rFonts w:ascii="仿宋_GB2312" w:hAnsi="Arial" w:eastAsia="仿宋_GB2312" w:cs="Times New Roman"/>
      <w:sz w:val="32"/>
      <w:szCs w:val="32"/>
    </w:rPr>
  </w:style>
  <w:style w:type="paragraph" w:styleId="727">
    <w:name w:val="正文文本缩进"/>
    <w:basedOn w:val="694"/>
    <w:next w:val="727"/>
    <w:link w:val="728"/>
    <w:unhideWhenUsed/>
    <w:pPr>
      <w:ind w:left="420"/>
      <w:spacing w:after="120"/>
    </w:pPr>
  </w:style>
  <w:style w:type="character" w:styleId="728">
    <w:name w:val="正文文本缩进 Char"/>
    <w:next w:val="728"/>
    <w:link w:val="727"/>
    <w:uiPriority w:val="99"/>
    <w:semiHidden/>
  </w:style>
  <w:style w:type="paragraph" w:styleId="729">
    <w:name w:val="列表 2"/>
    <w:basedOn w:val="694"/>
    <w:next w:val="729"/>
    <w:link w:val="694"/>
    <w:pPr>
      <w:ind w:left="100" w:hanging="200"/>
    </w:pPr>
    <w:rPr>
      <w:rFonts w:ascii="Times New Roman" w:hAnsi="Times New Roman" w:eastAsia="宋体" w:cs="Times New Roman"/>
      <w:szCs w:val="21"/>
    </w:rPr>
  </w:style>
  <w:style w:type="paragraph" w:styleId="730">
    <w:name w:val="目录 5"/>
    <w:basedOn w:val="694"/>
    <w:next w:val="694"/>
    <w:link w:val="694"/>
    <w:semiHidden/>
    <w:pPr>
      <w:ind w:left="840"/>
      <w:jc w:val="left"/>
    </w:pPr>
    <w:rPr>
      <w:rFonts w:ascii="Times New Roman" w:hAnsi="Times New Roman" w:eastAsia="宋体" w:cs="Times New Roman"/>
      <w:szCs w:val="21"/>
    </w:rPr>
  </w:style>
  <w:style w:type="paragraph" w:styleId="731">
    <w:name w:val="目录 3"/>
    <w:basedOn w:val="694"/>
    <w:next w:val="694"/>
    <w:link w:val="694"/>
    <w:semiHidden/>
    <w:pPr>
      <w:ind w:left="420"/>
      <w:jc w:val="left"/>
    </w:pPr>
    <w:rPr>
      <w:rFonts w:ascii="Times New Roman" w:hAnsi="Times New Roman" w:eastAsia="宋体" w:cs="Times New Roman"/>
      <w:i/>
      <w:iCs/>
      <w:szCs w:val="24"/>
    </w:rPr>
  </w:style>
  <w:style w:type="paragraph" w:styleId="732">
    <w:name w:val="纯文本"/>
    <w:basedOn w:val="694"/>
    <w:next w:val="732"/>
    <w:link w:val="733"/>
    <w:qFormat/>
    <w:rPr>
      <w:rFonts w:ascii="宋体" w:hAnsi="Courier New" w:eastAsia="宋体" w:cs="Courier New"/>
      <w:szCs w:val="21"/>
    </w:rPr>
  </w:style>
  <w:style w:type="character" w:styleId="733">
    <w:name w:val="纯文本 Char"/>
    <w:next w:val="733"/>
    <w:link w:val="732"/>
    <w:rPr>
      <w:rFonts w:ascii="宋体" w:hAnsi="Courier New" w:eastAsia="宋体" w:cs="Courier New"/>
      <w:szCs w:val="21"/>
    </w:rPr>
  </w:style>
  <w:style w:type="paragraph" w:styleId="734">
    <w:name w:val="目录 8"/>
    <w:basedOn w:val="694"/>
    <w:next w:val="694"/>
    <w:link w:val="694"/>
    <w:semiHidden/>
    <w:pPr>
      <w:ind w:left="1470"/>
      <w:jc w:val="left"/>
    </w:pPr>
    <w:rPr>
      <w:rFonts w:ascii="Times New Roman" w:hAnsi="Times New Roman" w:eastAsia="宋体" w:cs="Times New Roman"/>
      <w:szCs w:val="21"/>
    </w:rPr>
  </w:style>
  <w:style w:type="paragraph" w:styleId="735">
    <w:name w:val="日期"/>
    <w:basedOn w:val="694"/>
    <w:next w:val="694"/>
    <w:link w:val="736"/>
    <w:rPr>
      <w:rFonts w:ascii="Times New Roman" w:hAnsi="Times New Roman" w:eastAsia="宋体" w:cs="Times New Roman"/>
      <w:sz w:val="24"/>
      <w:szCs w:val="24"/>
    </w:rPr>
  </w:style>
  <w:style w:type="character" w:styleId="736">
    <w:name w:val="日期 Char"/>
    <w:next w:val="736"/>
    <w:link w:val="735"/>
    <w:rPr>
      <w:rFonts w:ascii="Times New Roman" w:hAnsi="Times New Roman" w:eastAsia="宋体" w:cs="Times New Roman"/>
      <w:sz w:val="24"/>
      <w:szCs w:val="24"/>
    </w:rPr>
  </w:style>
  <w:style w:type="paragraph" w:styleId="737">
    <w:name w:val="正文文本缩进 2"/>
    <w:basedOn w:val="694"/>
    <w:next w:val="737"/>
    <w:link w:val="738"/>
    <w:pPr>
      <w:ind w:left="630" w:firstLine="645"/>
    </w:pPr>
    <w:rPr>
      <w:rFonts w:ascii="Arial" w:hAnsi="Arial" w:eastAsia="仿宋_GB2312" w:cs="Arial"/>
      <w:sz w:val="32"/>
      <w:szCs w:val="32"/>
    </w:rPr>
  </w:style>
  <w:style w:type="character" w:styleId="738">
    <w:name w:val="正文文本缩进 2 Char"/>
    <w:next w:val="738"/>
    <w:link w:val="737"/>
    <w:rPr>
      <w:rFonts w:ascii="Arial" w:hAnsi="Arial" w:eastAsia="仿宋_GB2312" w:cs="Arial"/>
      <w:sz w:val="32"/>
      <w:szCs w:val="32"/>
    </w:rPr>
  </w:style>
  <w:style w:type="paragraph" w:styleId="739">
    <w:name w:val="批注框文本"/>
    <w:basedOn w:val="694"/>
    <w:next w:val="739"/>
    <w:link w:val="740"/>
    <w:semiHidden/>
    <w:rPr>
      <w:rFonts w:ascii="Times New Roman" w:hAnsi="Times New Roman" w:eastAsia="宋体" w:cs="Times New Roman"/>
      <w:sz w:val="18"/>
      <w:szCs w:val="18"/>
    </w:rPr>
  </w:style>
  <w:style w:type="character" w:styleId="740">
    <w:name w:val="批注框文本 Char"/>
    <w:next w:val="740"/>
    <w:link w:val="739"/>
    <w:semiHidden/>
    <w:rPr>
      <w:rFonts w:ascii="Times New Roman" w:hAnsi="Times New Roman" w:eastAsia="宋体" w:cs="Times New Roman"/>
      <w:sz w:val="18"/>
      <w:szCs w:val="18"/>
    </w:rPr>
  </w:style>
  <w:style w:type="paragraph" w:styleId="741">
    <w:name w:val="页脚"/>
    <w:basedOn w:val="694"/>
    <w:next w:val="741"/>
    <w:link w:val="742"/>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42">
    <w:name w:val="页脚 Char"/>
    <w:next w:val="742"/>
    <w:link w:val="741"/>
    <w:uiPriority w:val="99"/>
    <w:rPr>
      <w:rFonts w:ascii="Times New Roman" w:hAnsi="Times New Roman" w:eastAsia="宋体" w:cs="Times New Roman"/>
      <w:sz w:val="18"/>
      <w:szCs w:val="18"/>
    </w:rPr>
  </w:style>
  <w:style w:type="paragraph" w:styleId="743">
    <w:name w:val="页眉"/>
    <w:basedOn w:val="694"/>
    <w:next w:val="743"/>
    <w:link w:val="74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44">
    <w:name w:val="页眉 Char"/>
    <w:next w:val="744"/>
    <w:link w:val="743"/>
    <w:rPr>
      <w:rFonts w:ascii="Times New Roman" w:hAnsi="Times New Roman" w:eastAsia="宋体" w:cs="Times New Roman"/>
      <w:sz w:val="18"/>
      <w:szCs w:val="18"/>
    </w:rPr>
  </w:style>
  <w:style w:type="paragraph" w:styleId="745">
    <w:name w:val="目录 1"/>
    <w:basedOn w:val="694"/>
    <w:next w:val="694"/>
    <w:link w:val="69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46">
    <w:name w:val="目录 4"/>
    <w:basedOn w:val="694"/>
    <w:next w:val="694"/>
    <w:link w:val="694"/>
    <w:semiHidden/>
    <w:pPr>
      <w:ind w:left="630"/>
      <w:jc w:val="left"/>
    </w:pPr>
    <w:rPr>
      <w:rFonts w:ascii="Times New Roman" w:hAnsi="Times New Roman" w:eastAsia="宋体" w:cs="Times New Roman"/>
      <w:szCs w:val="21"/>
    </w:rPr>
  </w:style>
  <w:style w:type="paragraph" w:styleId="747">
    <w:name w:val="列表"/>
    <w:basedOn w:val="694"/>
    <w:next w:val="747"/>
    <w:link w:val="694"/>
    <w:pPr>
      <w:ind w:left="200" w:hanging="200"/>
    </w:pPr>
    <w:rPr>
      <w:rFonts w:ascii="Times New Roman" w:hAnsi="Times New Roman" w:eastAsia="宋体" w:cs="Times New Roman"/>
      <w:szCs w:val="21"/>
    </w:rPr>
  </w:style>
  <w:style w:type="paragraph" w:styleId="748">
    <w:name w:val="目录 6"/>
    <w:basedOn w:val="694"/>
    <w:next w:val="694"/>
    <w:link w:val="694"/>
    <w:semiHidden/>
    <w:pPr>
      <w:ind w:left="1050"/>
      <w:jc w:val="left"/>
    </w:pPr>
    <w:rPr>
      <w:rFonts w:ascii="Times New Roman" w:hAnsi="Times New Roman" w:eastAsia="宋体" w:cs="Times New Roman"/>
      <w:szCs w:val="21"/>
    </w:rPr>
  </w:style>
  <w:style w:type="paragraph" w:styleId="749">
    <w:name w:val="正文文本缩进 3"/>
    <w:basedOn w:val="694"/>
    <w:next w:val="749"/>
    <w:link w:val="750"/>
    <w:pPr>
      <w:ind w:left="645" w:firstLine="645"/>
    </w:pPr>
    <w:rPr>
      <w:rFonts w:ascii="Arial" w:hAnsi="Arial" w:eastAsia="仿宋_GB2312" w:cs="Arial"/>
      <w:color w:val="ffff00"/>
      <w:sz w:val="32"/>
      <w:szCs w:val="32"/>
    </w:rPr>
  </w:style>
  <w:style w:type="character" w:styleId="750">
    <w:name w:val="正文文本缩进 3 Char"/>
    <w:next w:val="750"/>
    <w:link w:val="749"/>
    <w:rPr>
      <w:rFonts w:ascii="Arial" w:hAnsi="Arial" w:eastAsia="仿宋_GB2312" w:cs="Arial"/>
      <w:color w:val="ffff00"/>
      <w:sz w:val="32"/>
      <w:szCs w:val="32"/>
    </w:rPr>
  </w:style>
  <w:style w:type="paragraph" w:styleId="751">
    <w:name w:val="图表目录"/>
    <w:basedOn w:val="694"/>
    <w:next w:val="694"/>
    <w:link w:val="694"/>
    <w:semiHidden/>
    <w:pPr>
      <w:ind w:left="840" w:hanging="420"/>
    </w:pPr>
    <w:rPr>
      <w:rFonts w:ascii="Times New Roman" w:hAnsi="Times New Roman" w:eastAsia="宋体" w:cs="Times New Roman"/>
      <w:szCs w:val="21"/>
    </w:rPr>
  </w:style>
  <w:style w:type="paragraph" w:styleId="752">
    <w:name w:val="目录 2"/>
    <w:basedOn w:val="694"/>
    <w:next w:val="694"/>
    <w:link w:val="694"/>
    <w:semiHidden/>
    <w:pPr>
      <w:ind w:left="210"/>
      <w:jc w:val="left"/>
    </w:pPr>
    <w:rPr>
      <w:rFonts w:ascii="Times New Roman" w:hAnsi="Times New Roman" w:eastAsia="宋体" w:cs="Times New Roman"/>
      <w:smallCaps/>
      <w:szCs w:val="24"/>
    </w:rPr>
  </w:style>
  <w:style w:type="paragraph" w:styleId="753">
    <w:name w:val="目录 9"/>
    <w:basedOn w:val="694"/>
    <w:next w:val="694"/>
    <w:link w:val="694"/>
    <w:semiHidden/>
    <w:pPr>
      <w:ind w:left="1680"/>
      <w:jc w:val="left"/>
    </w:pPr>
    <w:rPr>
      <w:rFonts w:ascii="Times New Roman" w:hAnsi="Times New Roman" w:eastAsia="宋体" w:cs="Times New Roman"/>
      <w:szCs w:val="21"/>
    </w:rPr>
  </w:style>
  <w:style w:type="paragraph" w:styleId="754">
    <w:name w:val="正文文本 2"/>
    <w:basedOn w:val="694"/>
    <w:next w:val="754"/>
    <w:link w:val="755"/>
    <w:pPr>
      <w:jc w:val="center"/>
      <w:widowControl/>
    </w:pPr>
    <w:rPr>
      <w:rFonts w:ascii="楷体_GB2312" w:hAnsi="Times New Roman" w:eastAsia="楷体_GB2312" w:cs="Times New Roman"/>
      <w:sz w:val="28"/>
      <w:szCs w:val="28"/>
    </w:rPr>
  </w:style>
  <w:style w:type="character" w:styleId="755">
    <w:name w:val="正文文本 2 Char"/>
    <w:next w:val="755"/>
    <w:link w:val="754"/>
    <w:rPr>
      <w:rFonts w:ascii="楷体_GB2312" w:hAnsi="Times New Roman" w:eastAsia="楷体_GB2312" w:cs="Times New Roman"/>
      <w:sz w:val="28"/>
      <w:szCs w:val="28"/>
    </w:rPr>
  </w:style>
  <w:style w:type="paragraph" w:styleId="756">
    <w:name w:val="普通(网站)"/>
    <w:basedOn w:val="694"/>
    <w:next w:val="756"/>
    <w:link w:val="694"/>
    <w:uiPriority w:val="99"/>
    <w:pPr>
      <w:jc w:val="left"/>
      <w:spacing w:before="100" w:beforeAutospacing="1" w:after="100" w:afterAutospacing="1"/>
      <w:widowControl/>
    </w:pPr>
    <w:rPr>
      <w:rFonts w:ascii="宋体" w:hAnsi="宋体" w:eastAsia="宋体" w:cs="宋体"/>
      <w:sz w:val="24"/>
      <w:szCs w:val="24"/>
    </w:rPr>
  </w:style>
  <w:style w:type="paragraph" w:styleId="757">
    <w:name w:val="索引 1"/>
    <w:basedOn w:val="694"/>
    <w:next w:val="694"/>
    <w:link w:val="694"/>
    <w:semiHidden/>
    <w:pPr>
      <w:spacing w:line="240" w:lineRule="atLeast"/>
    </w:pPr>
    <w:rPr>
      <w:rFonts w:ascii="Times New Roman" w:hAnsi="Times New Roman" w:eastAsia="宋体" w:cs="Times New Roman"/>
      <w:b/>
      <w:bCs/>
      <w:szCs w:val="21"/>
    </w:rPr>
  </w:style>
  <w:style w:type="paragraph" w:styleId="758">
    <w:name w:val="批注主题"/>
    <w:basedOn w:val="723"/>
    <w:next w:val="723"/>
    <w:link w:val="759"/>
    <w:semiHidden/>
    <w:rPr>
      <w:rFonts w:ascii="Times New Roman" w:hAnsi="Times New Roman" w:eastAsia="宋体" w:cs="Times New Roman"/>
      <w:b/>
      <w:bCs/>
      <w:szCs w:val="21"/>
    </w:rPr>
  </w:style>
  <w:style w:type="character" w:styleId="759">
    <w:name w:val="批注主题 Char"/>
    <w:next w:val="759"/>
    <w:link w:val="758"/>
    <w:semiHidden/>
    <w:rPr>
      <w:rFonts w:ascii="Times New Roman" w:hAnsi="Times New Roman" w:eastAsia="宋体" w:cs="Times New Roman"/>
      <w:b/>
      <w:bCs/>
      <w:szCs w:val="21"/>
    </w:rPr>
  </w:style>
  <w:style w:type="paragraph" w:styleId="760">
    <w:name w:val="正文首行缩进"/>
    <w:basedOn w:val="694"/>
    <w:next w:val="760"/>
    <w:link w:val="761"/>
    <w:pPr>
      <w:ind w:firstLine="200"/>
      <w:spacing w:line="360" w:lineRule="auto"/>
    </w:pPr>
    <w:rPr>
      <w:rFonts w:ascii="仿宋_GB2312" w:hAnsi="Times New Roman" w:eastAsia="仿宋_GB2312" w:cs="Times New Roman"/>
      <w:sz w:val="30"/>
      <w:szCs w:val="30"/>
    </w:rPr>
  </w:style>
  <w:style w:type="character" w:styleId="761">
    <w:name w:val="正文首行缩进 Char"/>
    <w:next w:val="761"/>
    <w:link w:val="760"/>
    <w:rPr>
      <w:rFonts w:ascii="仿宋_GB2312" w:hAnsi="Times New Roman" w:eastAsia="仿宋_GB2312" w:cs="Times New Roman"/>
      <w:sz w:val="30"/>
      <w:szCs w:val="30"/>
    </w:rPr>
  </w:style>
  <w:style w:type="paragraph" w:styleId="762">
    <w:name w:val="正文首行缩进 2"/>
    <w:basedOn w:val="727"/>
    <w:next w:val="762"/>
    <w:link w:val="763"/>
    <w:pPr>
      <w:ind w:left="0" w:firstLine="420"/>
      <w:spacing w:after="0" w:line="360" w:lineRule="auto"/>
    </w:pPr>
    <w:rPr>
      <w:rFonts w:ascii="宋体" w:hAnsi="宋体" w:eastAsia="宋体" w:cs="Times New Roman"/>
      <w:szCs w:val="20"/>
    </w:rPr>
  </w:style>
  <w:style w:type="character" w:styleId="763">
    <w:name w:val="正文首行缩进 2 Char"/>
    <w:next w:val="763"/>
    <w:link w:val="762"/>
    <w:rPr>
      <w:rFonts w:ascii="宋体" w:hAnsi="宋体" w:eastAsia="宋体" w:cs="Times New Roman"/>
      <w:szCs w:val="20"/>
    </w:rPr>
  </w:style>
  <w:style w:type="table" w:styleId="764">
    <w:name w:val="网格型"/>
    <w:basedOn w:val="705"/>
    <w:next w:val="764"/>
    <w:link w:val="694"/>
    <w:pPr>
      <w:jc w:val="both"/>
      <w:widowControl w:val="off"/>
    </w:pPr>
    <w:rPr>
      <w:rFonts w:ascii="Times New Roman" w:hAnsi="Times New Roman" w:eastAsia="宋体" w:cs="Times New Roman"/>
      <w:sz w:val="20"/>
      <w:szCs w:val="20"/>
    </w:rPr>
    <w:tblPr/>
  </w:style>
  <w:style w:type="character" w:styleId="765">
    <w:name w:val="要点"/>
    <w:basedOn w:val="704"/>
    <w:next w:val="765"/>
    <w:link w:val="694"/>
    <w:qFormat/>
    <w:rPr>
      <w:b/>
      <w:bCs/>
    </w:rPr>
  </w:style>
  <w:style w:type="character" w:styleId="766">
    <w:name w:val="页码"/>
    <w:next w:val="766"/>
    <w:link w:val="694"/>
  </w:style>
  <w:style w:type="character" w:styleId="767">
    <w:name w:val="已访问的超链接"/>
    <w:next w:val="767"/>
    <w:link w:val="694"/>
    <w:rPr>
      <w:color w:val="800080"/>
      <w:u w:val="single"/>
    </w:rPr>
  </w:style>
  <w:style w:type="character" w:styleId="768">
    <w:name w:val="强调"/>
    <w:basedOn w:val="704"/>
    <w:next w:val="768"/>
    <w:link w:val="694"/>
    <w:qFormat/>
    <w:rPr>
      <w:i/>
    </w:rPr>
  </w:style>
  <w:style w:type="character" w:styleId="769">
    <w:name w:val="超链接"/>
    <w:next w:val="769"/>
    <w:link w:val="694"/>
    <w:rPr>
      <w:color w:val="0000ff"/>
      <w:u w:val="single"/>
    </w:rPr>
  </w:style>
  <w:style w:type="character" w:styleId="770">
    <w:name w:val="批注引用"/>
    <w:next w:val="770"/>
    <w:link w:val="694"/>
    <w:semiHidden/>
    <w:rPr>
      <w:sz w:val="21"/>
      <w:szCs w:val="21"/>
    </w:rPr>
  </w:style>
  <w:style w:type="character" w:styleId="771">
    <w:name w:val="font5 Char"/>
    <w:next w:val="771"/>
    <w:link w:val="694"/>
    <w:rPr>
      <w:rFonts w:ascii="宋体" w:hAnsi="宋体" w:eastAsia="宋体"/>
      <w:sz w:val="28"/>
      <w:szCs w:val="28"/>
      <w:lang w:val="en-US" w:eastAsia="zh-CN" w:bidi="ar-SA"/>
    </w:rPr>
  </w:style>
  <w:style w:type="character" w:styleId="772">
    <w:name w:val="二级目录 Char"/>
    <w:next w:val="772"/>
    <w:link w:val="773"/>
    <w:rPr>
      <w:b/>
      <w:sz w:val="30"/>
      <w:szCs w:val="28"/>
    </w:rPr>
  </w:style>
  <w:style w:type="paragraph" w:styleId="773">
    <w:name w:val="二级目录"/>
    <w:next w:val="694"/>
    <w:link w:val="772"/>
    <w:pPr>
      <w:numPr>
        <w:ilvl w:val="0"/>
        <w:numId w:val="2"/>
      </w:numPr>
      <w:tabs>
        <w:tab w:val="left" w:pos="907" w:leader="none"/>
        <w:tab w:val="left" w:pos="1145" w:leader="none"/>
      </w:tabs>
      <w:outlineLvl w:val="1"/>
    </w:pPr>
    <w:rPr>
      <w:b/>
      <w:sz w:val="30"/>
      <w:szCs w:val="28"/>
      <w:lang w:val="en-US" w:eastAsia="zh-CN" w:bidi="ar-SA"/>
    </w:rPr>
  </w:style>
  <w:style w:type="character" w:styleId="774">
    <w:name w:val="列出段落 Char,Bullet List Char,numbered Char,FooterText Char,List Paragraph1 Char,Paragraphe de liste1 Char"/>
    <w:next w:val="774"/>
    <w:link w:val="775"/>
    <w:rPr>
      <w:rFonts w:ascii="Calibri" w:hAnsi="Calibri"/>
      <w:sz w:val="24"/>
      <w:szCs w:val="24"/>
      <w:lang w:eastAsia="en-US" w:bidi="en-US"/>
    </w:rPr>
  </w:style>
  <w:style w:type="paragraph" w:styleId="775">
    <w:name w:val="列出段落1"/>
    <w:basedOn w:val="694"/>
    <w:next w:val="775"/>
    <w:link w:val="774"/>
    <w:qFormat/>
    <w:pPr>
      <w:contextualSpacing/>
      <w:ind w:left="720"/>
      <w:jc w:val="left"/>
      <w:widowControl/>
    </w:pPr>
    <w:rPr>
      <w:rFonts w:ascii="Calibri" w:hAnsi="Calibri"/>
      <w:sz w:val="24"/>
      <w:szCs w:val="24"/>
      <w:lang w:eastAsia="en-US" w:bidi="en-US"/>
    </w:rPr>
  </w:style>
  <w:style w:type="paragraph" w:styleId="776">
    <w:name w:val="Body Text(ch)"/>
    <w:basedOn w:val="694"/>
    <w:next w:val="706"/>
    <w:link w:val="694"/>
    <w:pPr>
      <w:spacing w:after="120"/>
    </w:pPr>
    <w:rPr>
      <w:rFonts w:ascii="宋体" w:hAnsi="Arial" w:eastAsia="宋体" w:cs="Times New Roman"/>
      <w:bCs/>
      <w:iCs/>
      <w:szCs w:val="24"/>
    </w:rPr>
  </w:style>
  <w:style w:type="paragraph" w:styleId="777">
    <w:name w:val="xl27"/>
    <w:basedOn w:val="694"/>
    <w:next w:val="777"/>
    <w:link w:val="6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8">
    <w:name w:val="xl26"/>
    <w:basedOn w:val="694"/>
    <w:next w:val="778"/>
    <w:link w:val="6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9">
    <w:name w:val="Char"/>
    <w:basedOn w:val="694"/>
    <w:next w:val="779"/>
    <w:link w:val="694"/>
    <w:pPr>
      <w:ind w:firstLine="200"/>
      <w:tabs>
        <w:tab w:val="left" w:pos="360" w:leader="none"/>
      </w:tabs>
    </w:pPr>
    <w:rPr>
      <w:rFonts w:ascii="Times New Roman" w:hAnsi="Times New Roman" w:eastAsia="宋体" w:cs="Times New Roman"/>
      <w:sz w:val="28"/>
      <w:szCs w:val="30"/>
    </w:rPr>
  </w:style>
  <w:style w:type="paragraph" w:styleId="780">
    <w:name w:val=" Char"/>
    <w:basedOn w:val="721"/>
    <w:next w:val="780"/>
    <w:link w:val="694"/>
    <w:rPr>
      <w:rFonts w:ascii="Tahoma" w:hAnsi="Tahoma"/>
      <w:sz w:val="24"/>
      <w:szCs w:val="24"/>
    </w:rPr>
  </w:style>
  <w:style w:type="paragraph" w:styleId="781">
    <w:name w:val="普通正文"/>
    <w:basedOn w:val="694"/>
    <w:next w:val="781"/>
    <w:link w:val="694"/>
    <w:pPr>
      <w:ind w:firstLine="480"/>
      <w:jc w:val="left"/>
      <w:spacing w:before="120" w:after="120" w:line="360" w:lineRule="auto"/>
    </w:pPr>
    <w:rPr>
      <w:rFonts w:ascii="Arial" w:hAnsi="Arial" w:eastAsia="宋体" w:cs="Times New Roman"/>
      <w:sz w:val="24"/>
      <w:szCs w:val="24"/>
    </w:rPr>
  </w:style>
  <w:style w:type="paragraph" w:styleId="782">
    <w:name w:val="table_lines"/>
    <w:basedOn w:val="694"/>
    <w:next w:val="782"/>
    <w:link w:val="694"/>
    <w:pPr>
      <w:jc w:val="left"/>
      <w:widowControl/>
    </w:pPr>
    <w:rPr>
      <w:rFonts w:ascii="Times New Roman" w:hAnsi="Times New Roman" w:eastAsia="宋体" w:cs="Times New Roman"/>
      <w:sz w:val="20"/>
      <w:szCs w:val="20"/>
      <w:lang w:val="de-DE" w:eastAsia="de-DE"/>
    </w:rPr>
  </w:style>
  <w:style w:type="paragraph" w:styleId="783">
    <w:name w:val="附录1"/>
    <w:next w:val="783"/>
    <w:link w:val="69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84">
    <w:name w:val="font7"/>
    <w:basedOn w:val="694"/>
    <w:next w:val="784"/>
    <w:link w:val="694"/>
    <w:pPr>
      <w:jc w:val="left"/>
      <w:spacing w:before="100" w:beforeAutospacing="1" w:after="100" w:afterAutospacing="1"/>
      <w:widowControl/>
    </w:pPr>
    <w:rPr>
      <w:rFonts w:hint="eastAsia" w:ascii="宋体" w:hAnsi="宋体" w:eastAsia="宋体" w:cs="Times New Roman"/>
      <w:sz w:val="18"/>
      <w:szCs w:val="18"/>
    </w:rPr>
  </w:style>
  <w:style w:type="paragraph" w:styleId="785">
    <w:name w:val=" Char Char Char Char"/>
    <w:basedOn w:val="721"/>
    <w:next w:val="785"/>
    <w:link w:val="694"/>
    <w:pPr>
      <w:spacing w:line="360" w:lineRule="auto"/>
    </w:pPr>
    <w:rPr>
      <w:rFonts w:ascii="Tahoma" w:hAnsi="Tahoma"/>
      <w:sz w:val="24"/>
      <w:szCs w:val="24"/>
    </w:rPr>
  </w:style>
  <w:style w:type="paragraph" w:styleId="786">
    <w:name w:val="列出段落"/>
    <w:basedOn w:val="694"/>
    <w:next w:val="786"/>
    <w:link w:val="694"/>
    <w:qFormat/>
    <w:pPr>
      <w:contextualSpacing/>
      <w:ind w:left="720"/>
      <w:jc w:val="left"/>
      <w:widowControl/>
    </w:pPr>
    <w:rPr>
      <w:rFonts w:ascii="Calibri" w:hAnsi="Calibri" w:eastAsia="宋体" w:cs="Times New Roman"/>
      <w:sz w:val="24"/>
      <w:szCs w:val="24"/>
      <w:lang w:eastAsia="en-US" w:bidi="en-US"/>
    </w:rPr>
  </w:style>
  <w:style w:type="paragraph" w:styleId="787">
    <w:name w:val="4"/>
    <w:basedOn w:val="694"/>
    <w:next w:val="749"/>
    <w:link w:val="694"/>
    <w:pPr>
      <w:ind w:firstLine="420"/>
      <w:spacing w:line="360" w:lineRule="auto"/>
    </w:pPr>
    <w:rPr>
      <w:rFonts w:ascii="Times New Roman" w:hAnsi="Times New Roman" w:eastAsia="宋体" w:cs="Times New Roman"/>
      <w:color w:val="ff0000"/>
      <w:sz w:val="24"/>
      <w:szCs w:val="24"/>
    </w:rPr>
  </w:style>
  <w:style w:type="paragraph" w:styleId="788">
    <w:name w:val="普通 (Web)"/>
    <w:basedOn w:val="694"/>
    <w:next w:val="788"/>
    <w:link w:val="694"/>
    <w:pPr>
      <w:jc w:val="left"/>
      <w:spacing w:before="100" w:beforeAutospacing="1" w:after="100" w:afterAutospacing="1"/>
      <w:widowControl/>
    </w:pPr>
    <w:rPr>
      <w:rFonts w:ascii="宋体" w:hAnsi="宋体" w:eastAsia="宋体" w:cs="Times New Roman"/>
      <w:sz w:val="24"/>
      <w:szCs w:val="24"/>
    </w:rPr>
  </w:style>
  <w:style w:type="paragraph" w:styleId="789">
    <w:name w:val=" Char Char Char Char Char Char Char Char Char Char"/>
    <w:basedOn w:val="694"/>
    <w:next w:val="789"/>
    <w:link w:val="694"/>
    <w:pPr>
      <w:spacing w:line="360" w:lineRule="auto"/>
    </w:pPr>
    <w:rPr>
      <w:rFonts w:ascii="Times New Roman" w:hAnsi="Times New Roman" w:eastAsia="宋体" w:cs="Times New Roman"/>
      <w:sz w:val="24"/>
      <w:szCs w:val="20"/>
    </w:rPr>
  </w:style>
  <w:style w:type="paragraph" w:styleId="790">
    <w:name w:val="样式1"/>
    <w:basedOn w:val="694"/>
    <w:next w:val="790"/>
    <w:link w:val="694"/>
    <w:pPr>
      <w:numPr>
        <w:ilvl w:val="0"/>
        <w:numId w:val="3"/>
      </w:numPr>
      <w:tabs>
        <w:tab w:val="left" w:pos="709" w:leader="none"/>
      </w:tabs>
    </w:pPr>
    <w:rPr>
      <w:rFonts w:ascii="宋体" w:hAnsi="宋体" w:eastAsia="宋体" w:cs="Times New Roman"/>
      <w:szCs w:val="21"/>
    </w:rPr>
  </w:style>
  <w:style w:type="paragraph" w:styleId="791">
    <w:name w:val="font6"/>
    <w:basedOn w:val="694"/>
    <w:next w:val="791"/>
    <w:link w:val="694"/>
    <w:pPr>
      <w:jc w:val="left"/>
      <w:spacing w:before="100" w:beforeAutospacing="1" w:after="100" w:afterAutospacing="1"/>
      <w:widowControl/>
    </w:pPr>
    <w:rPr>
      <w:rFonts w:hint="eastAsia" w:ascii="宋体" w:hAnsi="宋体" w:eastAsia="宋体" w:cs="Times New Roman"/>
      <w:sz w:val="28"/>
      <w:szCs w:val="28"/>
      <w:u w:val="single"/>
    </w:rPr>
  </w:style>
  <w:style w:type="paragraph" w:styleId="792">
    <w:name w:val="xl25"/>
    <w:basedOn w:val="694"/>
    <w:next w:val="792"/>
    <w:link w:val="69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3">
    <w:name w:val="图标"/>
    <w:basedOn w:val="694"/>
    <w:next w:val="694"/>
    <w:link w:val="69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94">
    <w:name w:val="标题3"/>
    <w:basedOn w:val="694"/>
    <w:next w:val="694"/>
    <w:link w:val="694"/>
    <w:pPr>
      <w:ind w:firstLine="624"/>
      <w:spacing w:line="590" w:lineRule="atLeast"/>
    </w:pPr>
    <w:rPr>
      <w:rFonts w:ascii="方正黑体_GBK" w:hAnsi="Times New Roman" w:eastAsia="方正黑体_GBK" w:cs="Times New Roman"/>
      <w:sz w:val="32"/>
      <w:szCs w:val="32"/>
    </w:rPr>
  </w:style>
  <w:style w:type="paragraph" w:styleId="795">
    <w:name w:val="xl24"/>
    <w:basedOn w:val="694"/>
    <w:next w:val="795"/>
    <w:link w:val="6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6">
    <w:name w:val="xl29"/>
    <w:basedOn w:val="694"/>
    <w:next w:val="796"/>
    <w:link w:val="69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97">
    <w:name w:val="Char Char Char Char Char Char Char Char"/>
    <w:basedOn w:val="694"/>
    <w:next w:val="797"/>
    <w:link w:val="694"/>
    <w:pPr>
      <w:jc w:val="left"/>
      <w:spacing w:after="160" w:line="240" w:lineRule="exact"/>
      <w:widowControl/>
    </w:pPr>
    <w:rPr>
      <w:rFonts w:ascii="Verdana" w:hAnsi="Verdana" w:eastAsia="宋体" w:cs="Times New Roman"/>
      <w:sz w:val="20"/>
      <w:szCs w:val="20"/>
      <w:lang w:eastAsia="en-US"/>
    </w:rPr>
  </w:style>
  <w:style w:type="paragraph" w:styleId="798">
    <w:name w:val="xl28"/>
    <w:basedOn w:val="694"/>
    <w:next w:val="798"/>
    <w:link w:val="69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99">
    <w:name w:val=" Char Char Char Char Char Char Char Char"/>
    <w:basedOn w:val="694"/>
    <w:next w:val="799"/>
    <w:link w:val="694"/>
    <w:pPr>
      <w:jc w:val="left"/>
      <w:spacing w:after="160" w:line="240" w:lineRule="exact"/>
      <w:widowControl/>
    </w:pPr>
    <w:rPr>
      <w:rFonts w:ascii="Verdana" w:hAnsi="Verdana" w:eastAsia="宋体" w:cs="Times New Roman"/>
      <w:sz w:val="20"/>
      <w:szCs w:val="20"/>
      <w:lang w:eastAsia="en-US"/>
    </w:rPr>
  </w:style>
  <w:style w:type="paragraph" w:styleId="800">
    <w:name w:val="xl30"/>
    <w:basedOn w:val="694"/>
    <w:next w:val="800"/>
    <w:link w:val="694"/>
    <w:pPr>
      <w:jc w:val="center"/>
      <w:spacing w:before="100" w:beforeAutospacing="1" w:after="100" w:afterAutospacing="1"/>
      <w:widowControl/>
    </w:pPr>
    <w:rPr>
      <w:rFonts w:ascii="宋体" w:hAnsi="宋体" w:eastAsia="宋体" w:cs="Times New Roman"/>
      <w:b/>
      <w:bCs/>
      <w:sz w:val="36"/>
      <w:szCs w:val="36"/>
    </w:rPr>
  </w:style>
  <w:style w:type="paragraph" w:styleId="801">
    <w:name w:val="Char Char Char Char"/>
    <w:basedOn w:val="721"/>
    <w:next w:val="801"/>
    <w:link w:val="694"/>
    <w:pPr>
      <w:spacing w:line="360" w:lineRule="auto"/>
    </w:pPr>
    <w:rPr>
      <w:rFonts w:ascii="Tahoma" w:hAnsi="Tahoma"/>
      <w:sz w:val="24"/>
      <w:szCs w:val="24"/>
    </w:rPr>
  </w:style>
  <w:style w:type="paragraph" w:styleId="802">
    <w:name w:val="table_1stline"/>
    <w:basedOn w:val="694"/>
    <w:next w:val="802"/>
    <w:link w:val="694"/>
    <w:pPr>
      <w:jc w:val="left"/>
      <w:spacing w:before="120"/>
      <w:widowControl/>
    </w:pPr>
    <w:rPr>
      <w:rFonts w:ascii="Times New Roman" w:hAnsi="Times New Roman" w:eastAsia="宋体" w:cs="Times New Roman"/>
      <w:bCs/>
      <w:sz w:val="20"/>
      <w:szCs w:val="20"/>
      <w:lang w:val="de-DE" w:eastAsia="de-DE"/>
    </w:rPr>
  </w:style>
  <w:style w:type="paragraph" w:styleId="803">
    <w:name w:val="font5"/>
    <w:basedOn w:val="694"/>
    <w:next w:val="803"/>
    <w:link w:val="694"/>
    <w:pPr>
      <w:jc w:val="left"/>
      <w:spacing w:before="100" w:beforeAutospacing="1" w:after="100" w:afterAutospacing="1"/>
      <w:widowControl/>
    </w:pPr>
    <w:rPr>
      <w:rFonts w:hint="eastAsia" w:ascii="宋体" w:hAnsi="宋体" w:eastAsia="宋体" w:cs="Times New Roman"/>
      <w:sz w:val="28"/>
      <w:szCs w:val="28"/>
    </w:rPr>
  </w:style>
  <w:style w:type="paragraph" w:styleId="804">
    <w:name w:val="标题1"/>
    <w:basedOn w:val="694"/>
    <w:next w:val="694"/>
    <w:link w:val="69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05">
    <w:name w:val="修订"/>
    <w:next w:val="805"/>
    <w:link w:val="694"/>
    <w:uiPriority w:val="99"/>
    <w:semiHidden/>
    <w:rPr>
      <w:rFonts w:ascii="Times New Roman" w:hAnsi="Times New Roman"/>
      <w:sz w:val="21"/>
      <w:szCs w:val="21"/>
      <w:lang w:val="en-US" w:eastAsia="zh-CN" w:bidi="ar-SA"/>
    </w:rPr>
  </w:style>
  <w:style w:type="paragraph" w:styleId="806">
    <w:name w:val="无间隔"/>
    <w:next w:val="806"/>
    <w:link w:val="694"/>
    <w:uiPriority w:val="99"/>
    <w:qFormat/>
    <w:pPr>
      <w:jc w:val="both"/>
      <w:widowControl w:val="off"/>
    </w:pPr>
    <w:rPr>
      <w:rFonts w:ascii="Times New Roman" w:hAnsi="Times New Roman"/>
      <w:sz w:val="21"/>
      <w:szCs w:val="21"/>
      <w:lang w:val="en-US" w:eastAsia="zh-CN" w:bidi="ar-SA"/>
    </w:rPr>
  </w:style>
  <w:style w:type="paragraph" w:styleId="807">
    <w:name w:val="AONormal"/>
    <w:next w:val="807"/>
    <w:link w:val="694"/>
    <w:qFormat/>
    <w:pPr>
      <w:ind w:firstLine="440"/>
      <w:spacing w:line="400" w:lineRule="exact"/>
    </w:pPr>
    <w:rPr>
      <w:rFonts w:ascii="华文楷体" w:hAnsi="华文楷体" w:eastAsia="华文楷体" w:cs="华文楷体"/>
      <w:sz w:val="22"/>
      <w:szCs w:val="21"/>
      <w:lang w:val="en-US" w:eastAsia="zh-CN" w:bidi="ar-SA"/>
    </w:rPr>
  </w:style>
  <w:style w:type="paragraph" w:styleId="808">
    <w:name w:val="标题 21"/>
    <w:basedOn w:val="694"/>
    <w:next w:val="809"/>
    <w:link w:val="694"/>
    <w:qFormat/>
    <w:pPr>
      <w:jc w:val="center"/>
      <w:keepLines/>
      <w:keepNext/>
      <w:spacing w:before="260" w:after="260" w:line="415" w:lineRule="auto"/>
      <w:outlineLvl w:val="1"/>
    </w:pPr>
    <w:rPr>
      <w:rFonts w:ascii="Arial" w:hAnsi="Arial" w:eastAsia="幼圆" w:cs="Arial"/>
      <w:b/>
      <w:bCs/>
      <w:sz w:val="44"/>
      <w:szCs w:val="44"/>
    </w:rPr>
  </w:style>
  <w:style w:type="paragraph" w:styleId="809">
    <w:name w:val="正文缩进1"/>
    <w:basedOn w:val="694"/>
    <w:next w:val="809"/>
    <w:link w:val="694"/>
    <w:qFormat/>
    <w:pPr>
      <w:ind w:left="0" w:right="0" w:firstLine="420"/>
    </w:pPr>
    <w:rPr>
      <w:szCs w:val="21"/>
    </w:rPr>
  </w:style>
  <w:style w:type="character" w:styleId="10090" w:default="1">
    <w:name w:val="Default Paragraph Font"/>
    <w:uiPriority w:val="1"/>
    <w:semiHidden/>
    <w:unhideWhenUsed/>
  </w:style>
  <w:style w:type="numbering" w:styleId="10091" w:default="1">
    <w:name w:val="No List"/>
    <w:uiPriority w:val="99"/>
    <w:semiHidden/>
    <w:unhideWhenUsed/>
  </w:style>
  <w:style w:type="table" w:styleId="100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蔡昊</cp:lastModifiedBy>
  <cp:revision>5</cp:revision>
  <dcterms:created xsi:type="dcterms:W3CDTF">2023-03-27T07:28:00Z</dcterms:created>
  <dcterms:modified xsi:type="dcterms:W3CDTF">2026-08-28T08:42:03Z</dcterms:modified>
</cp:coreProperties>
</file>