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苏州市第五人民医院安保及车辆管理服务项目</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9月17日9点30分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JSZC-320500-SZWK-G2026-0269</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安保及车辆管理服务项目</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采购预算及最高限价：692万元</w:t>
      </w:r>
      <w:r/>
    </w:p>
    <w:p>
      <w:pPr>
        <w:ind w:firstLine="480"/>
        <w:rPr>
          <w:rFonts w:ascii="宋体" w:hAnsi="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主要包括院内车辆、道路交通管理、院内安保服务、车辆收费服务等内容</w:t>
      </w:r>
      <w:r>
        <w:rPr>
          <w:rFonts w:hint="eastAsia" w:ascii="宋体" w:hAnsi="宋体" w:cs="宋体"/>
          <w:color w:val="auto"/>
          <w:sz w:val="24"/>
          <w:szCs w:val="24"/>
          <w:highlight w:val="none"/>
        </w:rPr>
        <w:t xml:space="preserve">（具体服务内容详见招标文件）</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自2026年9月20日至2027年9月19日</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苏州市第五人民医院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本项目专门面向中小企业采购。所属行业：</w:t>
      </w:r>
      <w:r>
        <w:rPr>
          <w:rFonts w:hint="eastAsia" w:ascii="宋体" w:hAnsi="宋体" w:cs="宋体"/>
          <w:color w:val="auto"/>
          <w:sz w:val="24"/>
          <w:szCs w:val="24"/>
          <w:highlight w:val="none"/>
          <w:u w:val="single"/>
        </w:rPr>
        <w:t xml:space="preserve">租赁和商务服务业</w:t>
      </w:r>
      <w:r>
        <w:rPr>
          <w:rFonts w:hint="eastAsia" w:ascii="宋体" w:hAnsi="宋体" w:cs="宋体"/>
          <w:color w:val="auto"/>
          <w:sz w:val="24"/>
          <w:szCs w:val="24"/>
          <w:highlight w:val="none"/>
        </w:rPr>
        <w:t xml:space="preserve">。</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3.本项目的特定资格要求：投标人具有保安服务许可证。</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7"/>
        <w:ind w:firstLine="480"/>
        <w:spacing w:line="240" w:lineRule="auto"/>
        <w:rPr>
          <w:color w:val="auto"/>
          <w:highlight w:val="none"/>
        </w:rPr>
      </w:pPr>
      <w:r>
        <w:rPr>
          <w:rFonts w:hint="eastAsia"/>
          <w:color w:val="auto"/>
          <w:highlight w:val="none"/>
        </w:rPr>
        <w:t xml:space="preserve">4、售价：无</w:t>
      </w:r>
      <w:r/>
    </w:p>
    <w:p>
      <w:pPr>
        <w:pStyle w:val="747"/>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7"/>
        <w:ind w:firstLine="480"/>
        <w:spacing w:line="240" w:lineRule="auto"/>
        <w:rPr>
          <w:rFonts w:ascii="宋体" w:hAnsi="宋体" w:cs="宋体"/>
          <w:color w:val="auto"/>
          <w:szCs w:val="24"/>
          <w:highlight w:val="none"/>
          <w:u w:val="single"/>
        </w:rPr>
      </w:pPr>
      <w:r>
        <w:rPr>
          <w:rFonts w:hint="eastAsia"/>
          <w:color w:val="auto"/>
          <w:highlight w:val="none"/>
        </w:rPr>
        <w:t xml:space="preserve">1、上传投标文件截止时间：2026年</w:t>
      </w:r>
      <w:r>
        <w:rPr>
          <w:rFonts w:hint="eastAsia"/>
          <w:color w:val="auto"/>
          <w:highlight w:val="none"/>
          <w:lang w:eastAsia="zh-CN"/>
        </w:rPr>
        <w:t xml:space="preserve">9月17日9点30分</w:t>
      </w:r>
      <w:r/>
    </w:p>
    <w:p>
      <w:pPr>
        <w:pStyle w:val="747"/>
        <w:ind w:firstLine="480"/>
        <w:spacing w:line="240" w:lineRule="auto"/>
        <w:rPr>
          <w:color w:val="auto"/>
          <w:highlight w:val="none"/>
        </w:rPr>
      </w:pPr>
      <w:r>
        <w:rPr>
          <w:rFonts w:hint="eastAsia"/>
          <w:color w:val="auto"/>
          <w:highlight w:val="none"/>
        </w:rPr>
        <w:t xml:space="preserve">2、开标时间：2026年</w:t>
      </w:r>
      <w:r>
        <w:rPr>
          <w:rFonts w:hint="eastAsia"/>
          <w:color w:val="auto"/>
          <w:highlight w:val="none"/>
          <w:lang w:eastAsia="zh-CN"/>
        </w:rPr>
        <w:t xml:space="preserve">9月17日9点30分</w:t>
      </w:r>
      <w:r/>
    </w:p>
    <w:p>
      <w:pPr>
        <w:pStyle w:val="747"/>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7"/>
        <w:ind w:firstLine="480"/>
        <w:spacing w:line="240" w:lineRule="auto"/>
        <w:rPr>
          <w:b/>
          <w:bCs/>
          <w:color w:val="auto"/>
          <w:highlight w:val="none"/>
        </w:rPr>
      </w:pPr>
      <w:r>
        <w:rPr>
          <w:rFonts w:hint="eastAsia"/>
          <w:b/>
          <w:bCs/>
          <w:color w:val="auto"/>
          <w:highlight w:val="none"/>
        </w:rPr>
        <w:t xml:space="preserve">五、公告期限</w:t>
      </w:r>
      <w:r/>
    </w:p>
    <w:p>
      <w:pPr>
        <w:pStyle w:val="747"/>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7"/>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7"/>
        <w:ind w:firstLine="480"/>
        <w:spacing w:line="240" w:lineRule="auto"/>
        <w:rPr>
          <w:color w:val="auto"/>
          <w:highlight w:val="none"/>
        </w:rPr>
      </w:pPr>
      <w:r>
        <w:rPr>
          <w:rFonts w:hint="eastAsia"/>
          <w:color w:val="auto"/>
          <w:highlight w:val="none"/>
        </w:rPr>
        <w:t xml:space="preserve">1、采购人信息</w:t>
      </w:r>
      <w:r/>
    </w:p>
    <w:p>
      <w:pPr>
        <w:pStyle w:val="747"/>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苏州市第五人民医院</w:t>
      </w:r>
      <w:r/>
    </w:p>
    <w:p>
      <w:pPr>
        <w:pStyle w:val="747"/>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苏州市相城区广前路10号</w:t>
      </w:r>
      <w:r/>
    </w:p>
    <w:p>
      <w:pPr>
        <w:pStyle w:val="747"/>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钮武平</w:t>
      </w:r>
      <w:r/>
    </w:p>
    <w:p>
      <w:pPr>
        <w:pStyle w:val="747"/>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0512-87806034</w:t>
      </w:r>
      <w:r/>
    </w:p>
    <w:p>
      <w:pPr>
        <w:pStyle w:val="747"/>
        <w:ind w:firstLine="480"/>
        <w:spacing w:line="240" w:lineRule="auto"/>
        <w:rPr>
          <w:color w:val="auto"/>
          <w:highlight w:val="none"/>
        </w:rPr>
      </w:pPr>
      <w:r>
        <w:rPr>
          <w:rFonts w:hint="eastAsia"/>
          <w:color w:val="auto"/>
          <w:highlight w:val="none"/>
        </w:rPr>
        <w:t xml:space="preserve">2、采购代理机构信息</w:t>
      </w:r>
      <w:r/>
    </w:p>
    <w:p>
      <w:pPr>
        <w:pStyle w:val="747"/>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7"/>
        <w:ind w:firstLine="480"/>
        <w:spacing w:line="240" w:lineRule="auto"/>
        <w:rPr>
          <w:color w:val="auto"/>
          <w:highlight w:val="none"/>
        </w:rPr>
      </w:pPr>
      <w:r>
        <w:rPr>
          <w:rFonts w:hint="eastAsia"/>
          <w:color w:val="auto"/>
          <w:highlight w:val="none"/>
        </w:rPr>
        <w:t xml:space="preserve">地址：苏州市干将西路1296号1幢17层</w:t>
      </w:r>
      <w:r/>
    </w:p>
    <w:p>
      <w:pPr>
        <w:pStyle w:val="747"/>
        <w:ind w:firstLine="480"/>
        <w:spacing w:line="240" w:lineRule="auto"/>
        <w:rPr>
          <w:color w:val="auto"/>
          <w:highlight w:val="none"/>
        </w:rPr>
      </w:pPr>
      <w:r>
        <w:rPr>
          <w:rFonts w:hint="eastAsia"/>
          <w:color w:val="auto"/>
          <w:highlight w:val="none"/>
        </w:rPr>
        <w:t xml:space="preserve">前台联系方式：0512-69165625</w:t>
      </w:r>
      <w:r/>
    </w:p>
    <w:p>
      <w:pPr>
        <w:pStyle w:val="747"/>
        <w:ind w:firstLine="480"/>
        <w:spacing w:line="240" w:lineRule="auto"/>
        <w:rPr>
          <w:color w:val="auto"/>
          <w:highlight w:val="none"/>
        </w:rPr>
      </w:pPr>
      <w:r>
        <w:rPr>
          <w:rFonts w:hint="eastAsia"/>
          <w:color w:val="auto"/>
          <w:highlight w:val="none"/>
        </w:rPr>
        <w:t xml:space="preserve">3、项目联系方式</w:t>
      </w:r>
      <w:r/>
    </w:p>
    <w:p>
      <w:pPr>
        <w:pStyle w:val="747"/>
        <w:ind w:firstLine="480"/>
        <w:spacing w:line="240" w:lineRule="auto"/>
        <w:rPr>
          <w:color w:val="auto"/>
          <w:highlight w:val="none"/>
        </w:rPr>
      </w:pPr>
      <w:r>
        <w:rPr>
          <w:rFonts w:hint="eastAsia"/>
          <w:color w:val="auto"/>
          <w:highlight w:val="none"/>
        </w:rPr>
        <w:t xml:space="preserve">项目联系人：陈璐佳、李晶晶</w:t>
      </w:r>
      <w:r/>
    </w:p>
    <w:p>
      <w:pPr>
        <w:pStyle w:val="747"/>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JSZC-320500-SZWK-G2026-0269</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安保及车辆管理服务项目</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苏州市第五人民医院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70"/>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41"/>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JSZC-320500-SZWK-G2026-0269</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采购项目</w:t>
            </w:r>
            <w:r>
              <w:rPr>
                <w:rFonts w:hint="eastAsia" w:ascii="宋体" w:hAnsi="宋体"/>
                <w:color w:val="auto"/>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安保及车辆管理服务项目</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苏州市第五人民医院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联系人：钮武平</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联系电话：0512-87806034</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2026年9月17日9点30分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2026年9月17日9点30分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500万-1000万以0.8%，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rPr>
              <w:t xml:space="preserve">本项目的中标服务费为</w:t>
            </w:r>
            <w:r>
              <w:rPr>
                <w:rFonts w:hint="eastAsia" w:ascii="宋体" w:hAnsi="宋体"/>
                <w:color w:val="auto"/>
                <w:szCs w:val="21"/>
                <w:highlight w:val="none"/>
                <w:lang w:val="en-US" w:eastAsia="zh-CN"/>
              </w:rPr>
              <w:t xml:space="preserve">74360</w:t>
            </w:r>
            <w:r>
              <w:rPr>
                <w:rFonts w:hint="eastAsia" w:ascii="宋体" w:hAnsi="宋体"/>
                <w:color w:val="auto"/>
                <w:szCs w:val="21"/>
                <w:highlight w:val="none"/>
                <w:lang w:val="zh-CN"/>
              </w:rPr>
              <w:t xml:space="preserve">元，请各供应商在投标报价时综合考虑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70"/>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70"/>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70"/>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70"/>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70"/>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70"/>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70"/>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70"/>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苏州市卫康招投标咨询服务有限公司受苏州市第五人民医院委托，对其安保及车辆管理服务项目进行国内公开招标采购，欢迎符合招标公告投标资格条件的各公司前来报名参加投标。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1、采购编号：JSZC-320500-SZWK-G2026-0269号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2、采购项目名称：安保及车辆管理服务项目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3、采购预算及最高限价：692万元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9月17日9点30分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9月17日9点30分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苏州市第五人民医院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钮武平</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0512-87806034</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3.2 投标人的中小企业或残疾人福利性单位或监狱企业的证明。</w:t>
      </w:r>
      <w:r/>
    </w:p>
    <w:p>
      <w:pPr>
        <w:ind w:firstLine="420"/>
        <w:spacing w:line="400" w:lineRule="exact"/>
        <w:rPr>
          <w:color w:val="auto"/>
          <w:highlight w:val="none"/>
        </w:rPr>
        <w:outlineLvl w:val="0"/>
      </w:pPr>
      <w:r>
        <w:rPr>
          <w:rFonts w:hint="eastAsia"/>
          <w:color w:val="auto"/>
          <w:highlight w:val="none"/>
        </w:rPr>
        <w:t xml:space="preserve">3.3本项目的特定资格要求：投标人具有保安服务许可证。</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cs="宋体"/>
          <w:color w:val="auto"/>
          <w:szCs w:val="21"/>
          <w:highlight w:val="none"/>
        </w:rPr>
      </w:pPr>
      <w:r>
        <w:rPr>
          <w:rFonts w:hint="eastAsia"/>
          <w:color w:val="auto"/>
          <w:szCs w:val="21"/>
          <w:highlight w:val="none"/>
        </w:rPr>
        <w:t xml:space="preserve">3.6</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b/>
          <w:bCs/>
          <w:color w:val="auto"/>
          <w:szCs w:val="21"/>
          <w:highlight w:val="none"/>
        </w:rPr>
      </w:pPr>
      <w:r>
        <w:rPr>
          <w:rFonts w:hint="eastAsia"/>
          <w:b/>
          <w:bCs/>
          <w:color w:val="auto"/>
          <w:szCs w:val="21"/>
          <w:highlight w:val="none"/>
        </w:rPr>
        <w:t xml:space="preserve">3.7保安服务许可证复印件。</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rFonts w:hint="eastAsia"/>
          <w:color w:val="auto"/>
          <w:szCs w:val="21"/>
          <w:highlight w:val="none"/>
        </w:rPr>
      </w:pPr>
      <w:r>
        <w:rPr>
          <w:rFonts w:hint="eastAsia"/>
          <w:color w:val="auto"/>
          <w:szCs w:val="21"/>
          <w:highlight w:val="none"/>
        </w:rPr>
        <w:t xml:space="preserve">13.4.2商务条款偏离表；</w:t>
      </w:r>
      <w:r/>
    </w:p>
    <w:p>
      <w:pPr>
        <w:ind w:right="-161" w:firstLine="420"/>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13.4.3 投标函等其他投标材料；</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0"/>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7.0pt;mso-wrap-distance-left:0.0pt;mso-wrap-distance-top:0.0pt;mso-wrap-distance-right:0.0pt;mso-wrap-distance-bottom:0.0pt;" filled="f" stroked="f">
            <v:path textboxrect="0,0,0,0"/>
            <v:imagedata r:id="rId16" o:title=""/>
          </v:shape>
          <o:OLEObject DrawAspect="Icon"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bookmarkStart w:id="8" w:name="_Hlk131152848"/>
      <w:r/>
      <w:bookmarkStart w:id="9"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2"/>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3"/>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2"/>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2"/>
        <w:spacing w:line="360" w:lineRule="exact"/>
        <w:rPr>
          <w:rFonts w:hAnsi="宋体"/>
          <w:bCs/>
          <w:color w:val="auto"/>
          <w:sz w:val="21"/>
          <w:szCs w:val="21"/>
          <w:highlight w:val="none"/>
        </w:rPr>
      </w:pPr>
      <w:r>
        <w:rPr>
          <w:rFonts w:hAnsi="宋体"/>
          <w:bCs/>
          <w:color w:val="auto"/>
          <w:sz w:val="21"/>
          <w:szCs w:val="21"/>
          <w:highlight w:val="none"/>
        </w:rPr>
      </w:r>
      <w:r/>
    </w:p>
    <w:p>
      <w:pPr>
        <w:pStyle w:val="752"/>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2"/>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2"/>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2"/>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2"/>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2"/>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1129"/>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1129"/>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1129"/>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52"/>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752"/>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JSZC-320500-SZWK-G2026-0269</w:t>
      </w:r>
      <w:r>
        <w:rPr>
          <w:rFonts w:hint="eastAsia" w:ascii="宋体" w:hAnsi="宋体"/>
          <w:color w:val="auto"/>
          <w:szCs w:val="21"/>
          <w:highlight w:val="none"/>
        </w:rPr>
        <w:t xml:space="preserve">号    </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8"/>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41"/>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Cs/>
                <w:color w:val="auto"/>
                <w:szCs w:val="21"/>
                <w:highlight w:val="none"/>
                <w:lang w:val="zh-CN"/>
              </w:rPr>
            </w:pPr>
            <w:r>
              <w:rPr>
                <w:rFonts w:ascii="Times New Roman" w:hAnsi="Times New Roman"/>
                <w:bCs/>
                <w:color w:val="auto"/>
                <w:szCs w:val="21"/>
                <w:highlight w:val="none"/>
                <w:lang w:val="zh-CN"/>
              </w:rPr>
              <w:t xml:space="preserve">（小写）：</w:t>
            </w:r>
            <w:r/>
          </w:p>
          <w:p>
            <w:pPr>
              <w:jc w:val="left"/>
              <w:widowControl/>
              <w:rPr>
                <w:rFonts w:ascii="Times New Roman" w:hAnsi="Times New Roman"/>
                <w:bCs/>
                <w:color w:val="auto"/>
                <w:szCs w:val="21"/>
                <w:highlight w:val="none"/>
                <w:lang w:val="zh-CN"/>
              </w:rPr>
            </w:pPr>
            <w:r>
              <w:rPr>
                <w:rFonts w:ascii="Times New Roman" w:hAnsi="Times New Roman"/>
                <w:bCs/>
                <w:color w:val="auto"/>
                <w:szCs w:val="21"/>
                <w:highlight w:val="none"/>
                <w:lang w:val="zh-CN"/>
              </w:rPr>
              <w:t xml:space="preserve">（大写）：</w:t>
            </w:r>
            <w:r/>
          </w:p>
        </w:tc>
      </w:tr>
    </w:tbl>
    <w:p>
      <w:pPr>
        <w:pStyle w:val="748"/>
        <w:rPr>
          <w:color w:val="auto"/>
          <w:szCs w:val="21"/>
          <w:highlight w:val="none"/>
        </w:rPr>
      </w:pPr>
      <w:r>
        <w:rPr>
          <w:color w:val="auto"/>
          <w:szCs w:val="21"/>
          <w:highlight w:val="none"/>
        </w:rPr>
      </w:r>
      <w:r/>
    </w:p>
    <w:p>
      <w:pPr>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2"/>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2"/>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2"/>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41"/>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rFonts w:hAnsi="宋体"/>
          <w:bCs/>
          <w:color w:val="auto"/>
          <w:szCs w:val="21"/>
          <w:highlight w:val="none"/>
        </w:rPr>
        <w:t xml:space="preserve">注：各投标人可参照上述格式自制《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2"/>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3"/>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41"/>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3"/>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2"/>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3"/>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3"/>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41"/>
        <w:tblW w:w="8835" w:type="dxa"/>
        <w:tblInd w:w="93" w:type="dxa"/>
        <w:tblLayout w:type="fixed"/>
        <w:tblCellMar>
          <w:left w:w="108" w:type="dxa"/>
          <w:top w:w="0" w:type="dxa"/>
          <w:right w:w="108" w:type="dxa"/>
          <w:bottom w:w="0" w:type="dxa"/>
        </w:tblCellMar>
        <w:tblLook w:val="04A0" w:firstRow="1" w:lastRow="0" w:firstColumn="1" w:lastColumn="0" w:noHBand="0" w:noVBand="1"/>
      </w:tblPr>
      <w:tblGrid>
        <w:gridCol w:w="734"/>
        <w:gridCol w:w="2519"/>
        <w:gridCol w:w="1984"/>
        <w:gridCol w:w="1799"/>
        <w:gridCol w:w="1799"/>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widowControl/>
              <w:rPr>
                <w:rFonts w:eastAsiaTheme="minorEastAsia"/>
                <w:b/>
                <w:bCs/>
                <w:color w:val="auto"/>
                <w:szCs w:val="21"/>
                <w:highlight w:val="none"/>
              </w:rPr>
            </w:pPr>
            <w:r>
              <w:rPr>
                <w:rFonts w:hint="eastAsia" w:eastAsiaTheme="minorEastAsia"/>
                <w:b/>
                <w:bCs/>
                <w:color w:val="auto"/>
                <w:szCs w:val="21"/>
                <w:highlight w:val="none"/>
              </w:rPr>
              <w:t xml:space="preserve">岗位数</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tcBorders>
              <w:top w:val="none" w:color="000000"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2"/>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2"/>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2"/>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41"/>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43"/>
        <w:ind w:firstLine="0"/>
        <w:rPr>
          <w:b/>
          <w:color w:val="auto"/>
          <w:sz w:val="21"/>
          <w:szCs w:val="21"/>
          <w:highlight w:val="none"/>
        </w:rPr>
      </w:pPr>
      <w:r>
        <w:rPr>
          <w:b/>
          <w:color w:val="auto"/>
          <w:sz w:val="21"/>
          <w:szCs w:val="21"/>
          <w:highlight w:val="none"/>
        </w:rPr>
      </w:r>
      <w:r/>
    </w:p>
    <w:p>
      <w:pPr>
        <w:pStyle w:val="743"/>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3"/>
        <w:ind w:firstLine="0"/>
        <w:rPr>
          <w:b/>
          <w:color w:val="auto"/>
          <w:sz w:val="21"/>
          <w:szCs w:val="21"/>
          <w:highlight w:val="none"/>
        </w:rPr>
      </w:pPr>
      <w:r>
        <w:rPr>
          <w:b/>
          <w:color w:val="auto"/>
          <w:sz w:val="21"/>
          <w:szCs w:val="21"/>
          <w:highlight w:val="none"/>
        </w:rPr>
      </w:r>
      <w:r/>
    </w:p>
    <w:p>
      <w:pPr>
        <w:pStyle w:val="743"/>
        <w:ind w:firstLine="0"/>
        <w:rPr>
          <w:b/>
          <w:color w:val="auto"/>
          <w:highlight w:val="none"/>
        </w:rPr>
      </w:pPr>
      <w:r>
        <w:rPr>
          <w:b/>
          <w:color w:val="auto"/>
          <w:highlight w:val="none"/>
        </w:rPr>
      </w:r>
      <w:r/>
    </w:p>
    <w:p>
      <w:pPr>
        <w:pStyle w:val="752"/>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2"/>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3"/>
        <w:jc w:val="center"/>
        <w:rPr>
          <w:rFonts w:ascii="Times New Roman"/>
          <w:color w:val="auto"/>
          <w:highlight w:val="none"/>
        </w:rPr>
      </w:pPr>
      <w:r>
        <w:rPr>
          <w:rFonts w:ascii="Times New Roman"/>
          <w:color w:val="auto"/>
          <w:highlight w:val="none"/>
        </w:rPr>
      </w:r>
      <w:r/>
    </w:p>
    <w:p>
      <w:pPr>
        <w:pStyle w:val="743"/>
        <w:jc w:val="center"/>
        <w:rPr>
          <w:color w:val="auto"/>
          <w:highlight w:val="none"/>
        </w:rPr>
      </w:pPr>
      <w:r>
        <w:rPr>
          <w:color w:val="auto"/>
          <w:highlight w:val="none"/>
        </w:rPr>
      </w:r>
      <w:r/>
    </w:p>
    <w:p>
      <w:pPr>
        <w:pStyle w:val="752"/>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3"/>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3"/>
        <w:ind w:firstLine="0"/>
        <w:spacing w:line="400" w:lineRule="exact"/>
        <w:rPr>
          <w:color w:val="auto"/>
          <w:sz w:val="21"/>
          <w:szCs w:val="21"/>
          <w:highlight w:val="none"/>
        </w:rPr>
      </w:pPr>
      <w:r>
        <w:rPr>
          <w:color w:val="auto"/>
          <w:sz w:val="21"/>
          <w:szCs w:val="21"/>
          <w:highlight w:val="none"/>
        </w:rPr>
      </w:r>
      <w:r/>
    </w:p>
    <w:p>
      <w:pPr>
        <w:pStyle w:val="743"/>
        <w:ind w:firstLine="0"/>
        <w:rPr>
          <w:color w:val="auto"/>
          <w:highlight w:val="none"/>
        </w:rPr>
      </w:pPr>
      <w:r>
        <w:rPr>
          <w:color w:val="auto"/>
          <w:highlight w:val="none"/>
        </w:rPr>
      </w:r>
      <w:r/>
    </w:p>
    <w:p>
      <w:pPr>
        <w:pStyle w:val="74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3"/>
        <w:ind w:firstLine="0"/>
        <w:rPr>
          <w:rFonts w:ascii="宋体" w:hAnsi="宋体"/>
          <w:color w:val="auto"/>
          <w:highlight w:val="none"/>
        </w:rPr>
      </w:pPr>
      <w:r>
        <w:rPr>
          <w:rFonts w:ascii="宋体" w:hAnsi="宋体"/>
          <w:color w:val="auto"/>
          <w:highlight w:val="none"/>
        </w:rPr>
      </w:r>
      <w:r/>
    </w:p>
    <w:p>
      <w:pPr>
        <w:pStyle w:val="75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4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3"/>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3"/>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3"/>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3"/>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41"/>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4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2"/>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4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2"/>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本项目专门面向中小企业采购，所属行业为：租赁和商务服务业。投标人应如实、完整填报《中小企业声明函》，否则为无效投标。</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2"/>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2"/>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2"/>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131152921"/>
      <w:r/>
      <w:bookmarkStart w:id="12" w:name="_Hlk99527844"/>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苏州市第五人民医院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安保及车辆管理服务项目</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JSZC-320500-SZWK-G2026-0269</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eastAsia="宋体"/>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安保及车辆管理服务项目</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ascii="Times New Roman" w:hAnsi="Times New Roman"/>
          <w:color w:val="auto"/>
          <w:szCs w:val="21"/>
          <w:highlight w:val="none"/>
          <w:lang w:eastAsia="zh-CN"/>
        </w:rPr>
        <w:t xml:space="preserve">自2026年9月20日至2027年9月19日</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四</w:t>
      </w:r>
      <w:r>
        <w:rPr>
          <w:rFonts w:ascii="Times New Roman" w:hAnsi="Times New Roman"/>
          <w:b/>
          <w:bCs/>
          <w:color w:val="auto"/>
          <w:szCs w:val="21"/>
          <w:highlight w:val="none"/>
        </w:rPr>
        <w:t xml:space="preserve">、服务要求：</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（一）服务内容：苏州市第五人民医院保安及车辆管理服务。主要包括院内车辆、道路交通管理、院内安保服务、车辆收费服务等内容。</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（二）服务人员要求：</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1、身体健康、体貌端庄，着装整齐，具有良好的品德素质、初中及以上学历，年龄上限不超过法定退休年龄。</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2、项目经理须具备大专及以上学历并获得权威部门颁发的从业资格证，且有类似医院管理服务经验证明，具有敬业精神、服务意识、专业技能，具有一定的法律知识和善于沟通、处事应变的能力。投标文件中需提供相关材料复印件。</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u w:val="single"/>
        </w:rPr>
        <w:t xml:space="preserve">消防控制室值班人员须获得权威部门颁发的从业资格证，投标文件中需提供相关材料复印件。</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4、其他保安服务人员须具备公安局颁发的“保安员证”。</w:t>
      </w:r>
      <w:r>
        <w:rPr>
          <w:rFonts w:hint="eastAsia" w:ascii="宋体" w:hAnsi="宋体" w:eastAsia="宋体" w:cs="宋体"/>
          <w:color w:val="auto"/>
          <w:szCs w:val="21"/>
          <w:highlight w:val="none"/>
          <w:lang w:val="zh-CN"/>
        </w:rPr>
        <w:t xml:space="preserve"> </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5、所有人员必须掌握必要的消防灭火技能，定期进行消防演练。</w:t>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、所有人员必须掌握必要的消防灭火反恐、防暴等技能，定期进行消防、反恐、防暴等演练。</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w:t>
      </w:r>
      <w:r>
        <w:rPr>
          <w:rFonts w:hint="eastAsia" w:ascii="Times New Roman" w:hAnsi="Times New Roman"/>
          <w:color w:val="auto"/>
          <w:sz w:val="21"/>
          <w:szCs w:val="21"/>
          <w:highlight w:val="none"/>
          <w:lang w:val="en-US" w:eastAsia="zh-CN"/>
        </w:rPr>
        <w:t xml:space="preserve">三</w:t>
      </w:r>
      <w:r>
        <w:rPr>
          <w:rFonts w:ascii="Times New Roman" w:hAnsi="Times New Roman"/>
          <w:color w:val="auto"/>
          <w:sz w:val="21"/>
          <w:szCs w:val="21"/>
          <w:highlight w:val="none"/>
          <w:lang w:val="zh-CN"/>
        </w:rPr>
        <w:t xml:space="preserve">）岗位</w:t>
      </w:r>
      <w:r>
        <w:rPr>
          <w:rFonts w:hint="eastAsia" w:ascii="Times New Roman" w:hAnsi="Times New Roman"/>
          <w:color w:val="auto"/>
          <w:sz w:val="21"/>
          <w:szCs w:val="21"/>
          <w:highlight w:val="none"/>
          <w:lang w:val="zh-CN"/>
        </w:rPr>
        <w:t xml:space="preserve">数量</w:t>
      </w:r>
      <w:r>
        <w:rPr>
          <w:rFonts w:ascii="Times New Roman" w:hAnsi="Times New Roman"/>
          <w:color w:val="auto"/>
          <w:sz w:val="21"/>
          <w:szCs w:val="21"/>
          <w:highlight w:val="none"/>
          <w:lang w:val="zh-CN"/>
        </w:rPr>
        <w:t xml:space="preserve">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u w:val="none"/>
          <w:lang w:val="en-US" w:eastAsia="zh-CN" w:bidi="ar"/>
        </w:rPr>
        <w:t xml:space="preserve">一期 安保人员岗位明细</w:t>
      </w:r>
      <w:r/>
    </w:p>
    <w:tbl>
      <w:tblPr>
        <w:tblStyle w:val="741"/>
        <w:tblW w:w="852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1"/>
        <w:gridCol w:w="1363"/>
        <w:gridCol w:w="1700"/>
        <w:gridCol w:w="1650"/>
        <w:gridCol w:w="925"/>
        <w:gridCol w:w="2023"/>
      </w:tblGrid>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序号</w:t>
            </w:r>
            <w:r/>
          </w:p>
        </w:tc>
        <w:tc>
          <w:tcPr>
            <w:shd w:val="clear" w:color="auto" w:fill="auto"/>
            <w:tcW w:w="1363"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岗位名称</w:t>
            </w:r>
            <w:r/>
          </w:p>
        </w:tc>
        <w:tc>
          <w:tcPr>
            <w:shd w:val="clear" w:color="auto" w:fill="auto"/>
            <w:tcW w:w="1700"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具体岗位</w:t>
            </w:r>
            <w:r/>
          </w:p>
        </w:tc>
        <w:tc>
          <w:tcPr>
            <w:shd w:val="clear" w:color="auto" w:fill="auto"/>
            <w:tcW w:w="1650"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工作时间</w:t>
            </w:r>
            <w:r/>
          </w:p>
        </w:tc>
        <w:tc>
          <w:tcPr>
            <w:shd w:val="clear" w:color="auto" w:fill="auto"/>
            <w:tcW w:w="925"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岗位数</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备注说明</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1363"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项目管理</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项目经理</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 8小时执勤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保安主管</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 8小时执勤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3</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内勤</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 8小时执勤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4</w:t>
            </w:r>
            <w:r/>
          </w:p>
        </w:tc>
        <w:tc>
          <w:tcPr>
            <w:shd w:val="clear" w:color="auto" w:fill="auto"/>
            <w:tcW w:w="1363"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守护及值班岗</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综合楼门诊</w:t>
            </w:r>
            <w:r>
              <w:rPr>
                <w:rFonts w:hint="default" w:ascii="宋体" w:hAnsi="Calibri" w:eastAsia="宋体" w:cs="Calibri"/>
                <w:b w:val="0"/>
                <w:i w:val="0"/>
                <w:iCs w:val="0"/>
                <w:color w:val="auto"/>
                <w:sz w:val="21"/>
                <w:szCs w:val="21"/>
                <w:highlight w:val="none"/>
                <w:u w:val="none"/>
                <w:lang w:val="en-US" w:eastAsia="zh-CN" w:bidi="ar"/>
              </w:rPr>
              <w:t xml:space="preserve">1F</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5</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门诊安检岗位</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6</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综合楼门诊</w:t>
            </w:r>
            <w:r>
              <w:rPr>
                <w:rFonts w:hint="default" w:ascii="宋体" w:hAnsi="Calibri" w:eastAsia="宋体" w:cs="Calibri"/>
                <w:b w:val="0"/>
                <w:i w:val="0"/>
                <w:iCs w:val="0"/>
                <w:color w:val="auto"/>
                <w:sz w:val="21"/>
                <w:szCs w:val="21"/>
                <w:highlight w:val="none"/>
                <w:u w:val="none"/>
                <w:lang w:val="en-US" w:eastAsia="zh-CN" w:bidi="ar"/>
              </w:rPr>
              <w:t xml:space="preserve">2F</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7</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综合楼门诊</w:t>
            </w:r>
            <w:r>
              <w:rPr>
                <w:rFonts w:hint="default" w:ascii="宋体" w:hAnsi="Calibri" w:eastAsia="宋体" w:cs="Calibri"/>
                <w:b w:val="0"/>
                <w:i w:val="0"/>
                <w:iCs w:val="0"/>
                <w:color w:val="auto"/>
                <w:sz w:val="21"/>
                <w:szCs w:val="21"/>
                <w:highlight w:val="none"/>
                <w:u w:val="none"/>
                <w:lang w:val="en-US" w:eastAsia="zh-CN" w:bidi="ar"/>
              </w:rPr>
              <w:t xml:space="preserve">3F</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8</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行政楼</w:t>
            </w:r>
            <w:r>
              <w:rPr>
                <w:rFonts w:hint="default" w:ascii="宋体" w:hAnsi="Calibri" w:eastAsia="宋体" w:cs="Calibri"/>
                <w:b w:val="0"/>
                <w:i w:val="0"/>
                <w:iCs w:val="0"/>
                <w:color w:val="auto"/>
                <w:sz w:val="21"/>
                <w:szCs w:val="21"/>
                <w:highlight w:val="none"/>
                <w:u w:val="none"/>
                <w:lang w:val="en-US" w:eastAsia="zh-CN" w:bidi="ar"/>
              </w:rPr>
              <w:t xml:space="preserve">1F</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9</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急诊中心</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10</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ICU</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11</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产科</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12</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肺科门诊</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13</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综合门诊、肺科门诊机动岗</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14</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消监控室值班</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15</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微型消防站及扫描</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16</w:t>
            </w:r>
            <w:r/>
          </w:p>
        </w:tc>
        <w:tc>
          <w:tcPr>
            <w:shd w:val="clear" w:color="auto" w:fill="auto"/>
            <w:tcW w:w="1363"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巡逻岗</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综合楼、行政楼巡逻</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17</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传科</w:t>
            </w:r>
            <w:r>
              <w:rPr>
                <w:rFonts w:hint="default" w:ascii="宋体" w:hAnsi="Calibri" w:eastAsia="宋体" w:cs="Calibri"/>
                <w:b w:val="0"/>
                <w:i w:val="0"/>
                <w:iCs w:val="0"/>
                <w:color w:val="auto"/>
                <w:sz w:val="21"/>
                <w:szCs w:val="21"/>
                <w:highlight w:val="none"/>
                <w:u w:val="none"/>
                <w:lang w:val="en-US" w:eastAsia="zh-CN" w:bidi="ar"/>
              </w:rPr>
              <w:t xml:space="preserve">A</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B</w:t>
            </w:r>
            <w:r>
              <w:rPr>
                <w:rFonts w:hint="eastAsia" w:ascii="宋体" w:hAnsi="宋体" w:eastAsia="宋体" w:cs="宋体"/>
                <w:b w:val="0"/>
                <w:i w:val="0"/>
                <w:iCs w:val="0"/>
                <w:color w:val="auto"/>
                <w:sz w:val="21"/>
                <w:szCs w:val="21"/>
                <w:highlight w:val="none"/>
                <w:u w:val="none"/>
                <w:lang w:val="en-US" w:eastAsia="zh-CN" w:bidi="ar"/>
              </w:rPr>
              <w:t xml:space="preserve">楼巡逻</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18</w:t>
            </w:r>
            <w:r/>
          </w:p>
        </w:tc>
        <w:tc>
          <w:tcPr>
            <w:shd w:val="clear" w:color="auto" w:fill="auto"/>
            <w:tcW w:w="1363"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大门岗</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传染楼进出口</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18:30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每天12小时执勤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19</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综合楼进出口</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18:30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每天12小时执勤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20</w:t>
            </w:r>
            <w:r/>
          </w:p>
        </w:tc>
        <w:tc>
          <w:tcPr>
            <w:shd w:val="clear" w:color="auto" w:fill="auto"/>
            <w:tcW w:w="1363"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定点维护岗</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传染楼、</w:t>
            </w:r>
            <w:r>
              <w:rPr>
                <w:rFonts w:hint="default" w:ascii="宋体" w:hAnsi="Calibri" w:eastAsia="宋体" w:cs="Calibri"/>
                <w:b w:val="0"/>
                <w:i w:val="0"/>
                <w:iCs w:val="0"/>
                <w:color w:val="auto"/>
                <w:sz w:val="21"/>
                <w:szCs w:val="21"/>
                <w:highlight w:val="none"/>
                <w:u w:val="none"/>
                <w:lang w:val="en-US" w:eastAsia="zh-CN" w:bidi="ar"/>
              </w:rPr>
              <w:t xml:space="preserve">C</w:t>
            </w:r>
            <w:r>
              <w:rPr>
                <w:rFonts w:hint="eastAsia" w:ascii="宋体" w:hAnsi="宋体" w:eastAsia="宋体" w:cs="宋体"/>
                <w:b w:val="0"/>
                <w:i w:val="0"/>
                <w:iCs w:val="0"/>
                <w:color w:val="auto"/>
                <w:sz w:val="21"/>
                <w:szCs w:val="21"/>
                <w:highlight w:val="none"/>
                <w:u w:val="none"/>
                <w:lang w:val="en-US" w:eastAsia="zh-CN" w:bidi="ar"/>
              </w:rPr>
              <w:t xml:space="preserve">楼通道</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21</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综合楼南部停车场</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22</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传染楼西侧通道</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23</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西侧电瓶车</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24</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南部停车场及通道</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25</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地下停车场</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26</w:t>
            </w:r>
            <w:r/>
          </w:p>
        </w:tc>
        <w:tc>
          <w:tcPr>
            <w:shd w:val="clear" w:color="auto" w:fill="auto"/>
            <w:tcW w:w="1363"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收费员</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东、西大门进出口</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i w:val="0"/>
                <w:iCs w:val="0"/>
                <w:color w:val="auto"/>
                <w:sz w:val="21"/>
                <w:szCs w:val="21"/>
                <w:highlight w:val="none"/>
                <w:u w:val="none"/>
              </w:rPr>
            </w:r>
            <w:r/>
          </w:p>
        </w:tc>
        <w:tc>
          <w:tcPr>
            <w:shd w:val="clear" w:color="auto" w:fill="auto"/>
            <w:tcW w:w="1363" w:type="dxa"/>
            <w:vAlign w:val="center"/>
            <w:textDirection w:val="lrTb"/>
            <w:noWrap w:val="false"/>
          </w:tcPr>
          <w:p>
            <w:pPr>
              <w:ind w:left="0" w:right="0" w:firstLine="0"/>
              <w:jc w:val="left"/>
              <w:rPr>
                <w:rFonts w:hint="eastAsia" w:ascii="宋体" w:hAnsi="宋体" w:eastAsia="宋体" w:cs="宋体"/>
                <w:b/>
                <w:i w:val="0"/>
                <w:iCs w:val="0"/>
                <w:color w:val="auto"/>
                <w:sz w:val="21"/>
                <w:szCs w:val="21"/>
                <w:highlight w:val="none"/>
                <w:u w:val="none"/>
              </w:rPr>
            </w:pPr>
            <w:r>
              <w:rPr>
                <w:rFonts w:hint="eastAsia" w:ascii="宋体" w:hAnsi="宋体" w:eastAsia="宋体" w:cs="宋体"/>
                <w:b/>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bCs w:val="0"/>
                <w:i w:val="0"/>
                <w:iCs w:val="0"/>
                <w:color w:val="auto"/>
                <w:sz w:val="21"/>
                <w:szCs w:val="21"/>
                <w:highlight w:val="none"/>
                <w:u w:val="none"/>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一期合计</w:t>
            </w:r>
            <w:r/>
          </w:p>
        </w:tc>
        <w:tc>
          <w:tcPr>
            <w:shd w:val="clear" w:color="auto" w:fill="auto"/>
            <w:tcW w:w="1650" w:type="dxa"/>
            <w:vAlign w:val="center"/>
            <w:textDirection w:val="lrTb"/>
            <w:noWrap w:val="false"/>
          </w:tcPr>
          <w:p>
            <w:pPr>
              <w:ind w:left="0" w:right="0" w:firstLine="0"/>
              <w:jc w:val="center"/>
              <w:rPr>
                <w:rFonts w:hint="eastAsia" w:ascii="宋体" w:hAnsi="宋体" w:eastAsia="宋体" w:cs="宋体"/>
                <w:b/>
                <w:bCs w:val="0"/>
                <w:i w:val="0"/>
                <w:iCs w:val="0"/>
                <w:color w:val="auto"/>
                <w:sz w:val="21"/>
                <w:szCs w:val="21"/>
                <w:highlight w:val="none"/>
                <w:u w:val="none"/>
              </w:rPr>
            </w:pPr>
            <w:r>
              <w:rPr>
                <w:rFonts w:hint="eastAsia" w:ascii="宋体" w:hAnsi="宋体" w:eastAsia="宋体" w:cs="宋体"/>
                <w:b/>
                <w:bCs w:val="0"/>
                <w:i w:val="0"/>
                <w:iCs w:val="0"/>
                <w:color w:val="auto"/>
                <w:sz w:val="21"/>
                <w:szCs w:val="21"/>
                <w:highlight w:val="none"/>
                <w:u w:val="none"/>
              </w:rPr>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bCs w:val="0"/>
                <w:i w:val="0"/>
                <w:iCs w:val="0"/>
                <w:color w:val="auto"/>
                <w:sz w:val="21"/>
                <w:szCs w:val="21"/>
                <w:highlight w:val="none"/>
                <w:u w:val="none"/>
              </w:rPr>
              <w:suppressLineNumbers w:val="0"/>
            </w:pPr>
            <w:r>
              <w:rPr>
                <w:rFonts w:hint="default" w:ascii="宋体" w:hAnsi="Calibri" w:eastAsia="宋体" w:cs="Calibri"/>
                <w:b/>
                <w:bCs w:val="0"/>
                <w:i w:val="0"/>
                <w:iCs w:val="0"/>
                <w:color w:val="auto"/>
                <w:sz w:val="21"/>
                <w:szCs w:val="21"/>
                <w:highlight w:val="none"/>
                <w:u w:val="none"/>
                <w:lang w:val="en-US" w:eastAsia="zh-CN" w:bidi="ar"/>
              </w:rPr>
              <w:t xml:space="preserve">32</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rPr>
              <w:suppressLineNumbers w:val="0"/>
            </w:pPr>
            <w:r>
              <w:rPr>
                <w:rStyle w:val="1121"/>
                <w:rFonts w:ascii="宋体" w:eastAsia="宋体"/>
                <w:b/>
                <w:bCs w:val="0"/>
                <w:i w:val="0"/>
                <w:color w:val="auto"/>
                <w:sz w:val="21"/>
                <w:szCs w:val="21"/>
                <w:highlight w:val="none"/>
                <w:lang w:val="en-US" w:eastAsia="zh-CN" w:bidi="ar"/>
              </w:rPr>
              <w:t xml:space="preserve">500</w:t>
            </w:r>
            <w:r>
              <w:rPr>
                <w:rStyle w:val="1114"/>
                <w:rFonts w:ascii="宋体" w:eastAsia="宋体"/>
                <w:b/>
                <w:bCs w:val="0"/>
                <w:i w:val="0"/>
                <w:color w:val="auto"/>
                <w:sz w:val="21"/>
                <w:szCs w:val="21"/>
                <w:highlight w:val="none"/>
                <w:lang w:val="en-US" w:eastAsia="zh-CN" w:bidi="ar"/>
              </w:rPr>
              <w:t xml:space="preserve">小时</w:t>
            </w:r>
            <w:r>
              <w:rPr>
                <w:rStyle w:val="1121"/>
                <w:rFonts w:ascii="宋体" w:eastAsia="宋体"/>
                <w:b/>
                <w:bCs w:val="0"/>
                <w:i w:val="0"/>
                <w:color w:val="auto"/>
                <w:sz w:val="21"/>
                <w:szCs w:val="21"/>
                <w:highlight w:val="none"/>
                <w:lang w:val="en-US" w:eastAsia="zh-CN" w:bidi="ar"/>
              </w:rPr>
              <w:t xml:space="preserve">/</w:t>
            </w:r>
            <w:r>
              <w:rPr>
                <w:rStyle w:val="1114"/>
                <w:rFonts w:ascii="宋体" w:eastAsia="宋体"/>
                <w:b/>
                <w:bCs w:val="0"/>
                <w:i w:val="0"/>
                <w:color w:val="auto"/>
                <w:sz w:val="21"/>
                <w:szCs w:val="21"/>
                <w:highlight w:val="none"/>
                <w:lang w:val="en-US" w:eastAsia="zh-CN" w:bidi="ar"/>
              </w:rPr>
              <w:t xml:space="preserve">日</w:t>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二期 安保人员岗位明细</w:t>
      </w:r>
      <w:r/>
    </w:p>
    <w:tbl>
      <w:tblPr>
        <w:tblStyle w:val="741"/>
        <w:tblW w:w="852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1"/>
        <w:gridCol w:w="1363"/>
        <w:gridCol w:w="1700"/>
        <w:gridCol w:w="1650"/>
        <w:gridCol w:w="925"/>
        <w:gridCol w:w="2023"/>
      </w:tblGrid>
      <w:tr>
        <w:trPr>
          <w:jc w:val="center"/>
          <w:trHeight w:val="293"/>
        </w:trPr>
        <w:tc>
          <w:tcPr>
            <w:shd w:val="clear" w:color="auto" w:fill="auto"/>
            <w:tcBorders>
              <w:bottom w:val="single" w:color="000000" w:sz="4" w:space="0"/>
            </w:tcBorders>
            <w:tcW w:w="861" w:type="dxa"/>
            <w:vAlign w:val="center"/>
            <w:textDirection w:val="lrTb"/>
            <w:noWrap w:val="false"/>
          </w:tcPr>
          <w:p>
            <w:pPr>
              <w:ind w:left="0" w:right="0" w:firstLine="0"/>
              <w:jc w:val="center"/>
              <w:keepLines w:val="0"/>
              <w:keepNext w:val="0"/>
              <w:widowControl/>
              <w:rPr>
                <w:rFonts w:hint="default" w:ascii="宋体" w:hAnsi="宋体" w:eastAsia="宋体" w:cs="宋体"/>
                <w:b/>
                <w:bCs w:val="0"/>
                <w:i w:val="0"/>
                <w:iCs w:val="0"/>
                <w:color w:val="auto"/>
                <w:sz w:val="21"/>
                <w:szCs w:val="21"/>
                <w:highlight w:val="none"/>
                <w:u w:val="none"/>
                <w:lang w:val="en-US" w:eastAsia="zh-CN" w:bidi="ar-SA"/>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序号</w:t>
            </w:r>
            <w:r/>
          </w:p>
        </w:tc>
        <w:tc>
          <w:tcPr>
            <w:shd w:val="clear" w:color="auto" w:fill="auto"/>
            <w:tcBorders>
              <w:bottom w:val="single" w:color="000000" w:sz="4" w:space="0"/>
            </w:tcBorders>
            <w:tcW w:w="1363"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lang w:val="en-US" w:eastAsia="zh-CN" w:bidi="ar-SA"/>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岗位名称</w:t>
            </w:r>
            <w:r/>
          </w:p>
        </w:tc>
        <w:tc>
          <w:tcPr>
            <w:shd w:val="clear" w:color="auto" w:fill="auto"/>
            <w:tcBorders>
              <w:bottom w:val="single" w:color="000000" w:sz="4" w:space="0"/>
            </w:tcBorders>
            <w:tcW w:w="1700"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lang w:val="en-US" w:eastAsia="zh-CN" w:bidi="ar-SA"/>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具体岗位</w:t>
            </w:r>
            <w:r/>
          </w:p>
        </w:tc>
        <w:tc>
          <w:tcPr>
            <w:shd w:val="clear" w:color="auto" w:fill="auto"/>
            <w:tcBorders>
              <w:bottom w:val="single" w:color="000000" w:sz="4" w:space="0"/>
            </w:tcBorders>
            <w:tcW w:w="1650" w:type="dxa"/>
            <w:vAlign w:val="center"/>
            <w:textDirection w:val="lrTb"/>
            <w:noWrap w:val="false"/>
          </w:tcPr>
          <w:p>
            <w:pPr>
              <w:ind w:left="0" w:right="0" w:firstLine="0"/>
              <w:jc w:val="center"/>
              <w:keepLines w:val="0"/>
              <w:keepNext w:val="0"/>
              <w:widowControl/>
              <w:rPr>
                <w:rFonts w:hint="default" w:ascii="宋体" w:hAnsi="宋体" w:eastAsia="宋体" w:cs="宋体"/>
                <w:b/>
                <w:bCs w:val="0"/>
                <w:i w:val="0"/>
                <w:iCs w:val="0"/>
                <w:color w:val="auto"/>
                <w:sz w:val="21"/>
                <w:szCs w:val="21"/>
                <w:highlight w:val="none"/>
                <w:u w:val="none"/>
                <w:lang w:val="en-US" w:eastAsia="zh-CN" w:bidi="ar-SA"/>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工作时间</w:t>
            </w:r>
            <w:r/>
          </w:p>
        </w:tc>
        <w:tc>
          <w:tcPr>
            <w:shd w:val="clear" w:color="auto" w:fill="auto"/>
            <w:tcBorders>
              <w:bottom w:val="single" w:color="000000" w:sz="4" w:space="0"/>
            </w:tcBorders>
            <w:tcW w:w="925" w:type="dxa"/>
            <w:vAlign w:val="center"/>
            <w:textDirection w:val="lrTb"/>
            <w:noWrap w:val="false"/>
          </w:tcPr>
          <w:p>
            <w:pPr>
              <w:ind w:left="0" w:right="0" w:firstLine="0"/>
              <w:jc w:val="center"/>
              <w:keepLines w:val="0"/>
              <w:keepNext w:val="0"/>
              <w:widowControl/>
              <w:rPr>
                <w:rFonts w:hint="default" w:ascii="宋体" w:hAnsi="宋体" w:eastAsia="宋体" w:cs="宋体"/>
                <w:b/>
                <w:bCs w:val="0"/>
                <w:i w:val="0"/>
                <w:iCs w:val="0"/>
                <w:color w:val="auto"/>
                <w:sz w:val="21"/>
                <w:szCs w:val="21"/>
                <w:highlight w:val="none"/>
                <w:u w:val="none"/>
                <w:lang w:val="en-US" w:eastAsia="zh-CN" w:bidi="ar-SA"/>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岗位数</w:t>
            </w:r>
            <w:r/>
          </w:p>
        </w:tc>
        <w:tc>
          <w:tcPr>
            <w:shd w:val="clear" w:color="auto" w:fill="auto"/>
            <w:tcBorders>
              <w:bottom w:val="single" w:color="000000" w:sz="4" w:space="0"/>
            </w:tcBorders>
            <w:tcW w:w="2023"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lang w:val="en-US" w:eastAsia="zh-CN" w:bidi="ar-SA"/>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备注说明</w:t>
            </w:r>
            <w:r/>
          </w:p>
        </w:tc>
      </w:tr>
      <w:tr>
        <w:trPr>
          <w:jc w:val="center"/>
          <w:trHeight w:val="287"/>
        </w:trPr>
        <w:tc>
          <w:tcPr>
            <w:shd w:val="clear" w:color="auto" w:fill="auto"/>
            <w:tcBorders>
              <w:top w:val="single" w:color="000000" w:sz="4" w:space="0"/>
              <w:bottom w:val="single" w:color="000000" w:sz="4" w:space="0"/>
            </w:tcBorders>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lang w:val="en-US" w:eastAsia="zh-CN" w:bidi="ar-SA"/>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Borders>
              <w:top w:val="single" w:color="000000" w:sz="4" w:space="0"/>
            </w:tcBorders>
            <w:tcW w:w="1363"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lang w:val="en-US" w:eastAsia="zh-CN" w:bidi="ar-SA"/>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守护及值班岗</w:t>
            </w:r>
            <w:r/>
          </w:p>
        </w:tc>
        <w:tc>
          <w:tcPr>
            <w:shd w:val="clear" w:color="auto" w:fill="auto"/>
            <w:tcBorders>
              <w:top w:val="single" w:color="000000" w:sz="4" w:space="0"/>
              <w:bottom w:val="single" w:color="000000" w:sz="4" w:space="0"/>
            </w:tcBorders>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lang w:val="en-US" w:eastAsia="zh-CN" w:bidi="ar-SA"/>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二期门诊1F</w:t>
            </w:r>
            <w:r/>
          </w:p>
        </w:tc>
        <w:tc>
          <w:tcPr>
            <w:shd w:val="clear" w:color="auto" w:fill="auto"/>
            <w:tcBorders>
              <w:top w:val="single" w:color="000000" w:sz="4" w:space="0"/>
            </w:tcBorders>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lang w:val="en-US" w:eastAsia="zh-CN" w:bidi="ar-SA"/>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Borders>
              <w:top w:val="single" w:color="000000" w:sz="4" w:space="0"/>
            </w:tcBorders>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lang w:val="en-US" w:eastAsia="zh-CN" w:bidi="ar-SA"/>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Borders>
              <w:top w:val="single" w:color="000000" w:sz="4" w:space="0"/>
            </w:tcBorders>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lang w:val="en-US" w:eastAsia="zh-CN" w:bidi="ar-SA"/>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Borders>
              <w:top w:val="single" w:color="000000" w:sz="4" w:space="0"/>
            </w:tcBorders>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Borders>
              <w:top w:val="single" w:color="000000" w:sz="4" w:space="0"/>
            </w:tcBorders>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二期门诊2F</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3</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二期   3F</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4</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门诊安检岗位</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5</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机动岗</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6</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消监控室值班</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7</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微型消防站及扫描</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8</w:t>
            </w:r>
            <w:r/>
          </w:p>
        </w:tc>
        <w:tc>
          <w:tcPr>
            <w:shd w:val="clear" w:color="auto" w:fill="auto"/>
            <w:tcW w:w="1363"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巡逻岗</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二期院区巡逻</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9</w:t>
            </w:r>
            <w:r/>
          </w:p>
        </w:tc>
        <w:tc>
          <w:tcPr>
            <w:shd w:val="clear" w:color="auto" w:fill="auto"/>
            <w:tcW w:w="1363"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大门岗</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二期主出入口</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18:30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每天12小时执勤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lang w:val="en-US"/>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rPr>
                <w:rFonts w:hint="eastAsia" w:ascii="宋体" w:hAnsi="Calibri" w:eastAsia="宋体" w:cs="Calibri"/>
                <w:b w:val="0"/>
                <w:i w:val="0"/>
                <w:iCs w:val="0"/>
                <w:color w:val="auto"/>
                <w:sz w:val="21"/>
                <w:szCs w:val="21"/>
                <w:highlight w:val="none"/>
                <w:u w:val="none"/>
                <w:lang w:val="en-US" w:eastAsia="zh-CN" w:bidi="ar"/>
              </w:rPr>
              <w:t xml:space="preserve">0</w:t>
            </w:r>
            <w:r/>
          </w:p>
        </w:tc>
        <w:tc>
          <w:tcPr>
            <w:shd w:val="clear" w:color="auto" w:fill="auto"/>
            <w:tcW w:w="1363"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定点维护岗</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二期大楼外部通道</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lang w:val="en-US"/>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rPr>
                <w:rFonts w:hint="eastAsia"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二期地面停车场</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07:00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17:00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每天10小时执勤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lang w:val="en-US"/>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rPr>
                <w:rFonts w:hint="eastAsia" w:ascii="宋体" w:hAnsi="Calibri" w:eastAsia="宋体" w:cs="Calibri"/>
                <w:b w:val="0"/>
                <w:i w:val="0"/>
                <w:iCs w:val="0"/>
                <w:color w:val="auto"/>
                <w:sz w:val="21"/>
                <w:szCs w:val="21"/>
                <w:highlight w:val="none"/>
                <w:u w:val="none"/>
                <w:lang w:val="en-US" w:eastAsia="zh-CN" w:bidi="ar"/>
              </w:rPr>
              <w:t xml:space="preserve">2</w:t>
            </w:r>
            <w:r/>
          </w:p>
        </w:tc>
        <w:tc>
          <w:tcPr>
            <w:shd w:val="clear" w:color="auto" w:fill="auto"/>
            <w:tcW w:w="1363" w:type="dxa"/>
            <w:vAlign w:val="center"/>
            <w:vMerge w:val="continue"/>
            <w:textDirection w:val="lrTb"/>
            <w:noWrap w:val="false"/>
          </w:tcPr>
          <w:p>
            <w:pPr>
              <w:ind w:left="0" w:right="0" w:firstLine="0"/>
              <w:jc w:val="left"/>
              <w:rPr>
                <w:rFonts w:hint="eastAsia" w:ascii="宋体" w:hAnsi="宋体" w:eastAsia="宋体" w:cs="宋体"/>
                <w:b w:val="0"/>
                <w:i w:val="0"/>
                <w:iCs w:val="0"/>
                <w:color w:val="auto"/>
                <w:sz w:val="21"/>
                <w:szCs w:val="21"/>
                <w:highlight w:val="none"/>
                <w:u w:val="none"/>
              </w:rPr>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二期地下停车场</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lang w:val="en-US"/>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rPr>
                <w:rFonts w:hint="eastAsia" w:ascii="宋体" w:hAnsi="Calibri" w:eastAsia="宋体" w:cs="Calibri"/>
                <w:b w:val="0"/>
                <w:i w:val="0"/>
                <w:iCs w:val="0"/>
                <w:color w:val="auto"/>
                <w:sz w:val="21"/>
                <w:szCs w:val="21"/>
                <w:highlight w:val="none"/>
                <w:u w:val="none"/>
                <w:lang w:val="en-US" w:eastAsia="zh-CN" w:bidi="ar"/>
              </w:rPr>
              <w:t xml:space="preserve">3</w:t>
            </w:r>
            <w:r/>
          </w:p>
        </w:tc>
        <w:tc>
          <w:tcPr>
            <w:shd w:val="clear" w:color="auto" w:fill="auto"/>
            <w:tcW w:w="1363" w:type="dxa"/>
            <w:vAlign w:val="center"/>
            <w:vMerge w:val="continue"/>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rPr>
            </w:r>
            <w:r/>
          </w:p>
        </w:tc>
        <w:tc>
          <w:tcPr>
            <w:shd w:val="clear" w:color="auto" w:fill="auto"/>
            <w:tcW w:w="1700" w:type="dxa"/>
            <w:vAlign w:val="center"/>
            <w:textDirection w:val="lrTb"/>
            <w:noWrap w:val="false"/>
          </w:tcPr>
          <w:p>
            <w:pPr>
              <w:ind w:left="0" w:right="0" w:firstLine="0"/>
              <w:jc w:val="left"/>
              <w:keepLines w:val="0"/>
              <w:keepNext w:val="0"/>
              <w:widowControl/>
              <w:rPr>
                <w:rFonts w:hint="default" w:ascii="宋体" w:hAnsi="宋体" w:eastAsia="宋体" w:cs="宋体"/>
                <w:b w:val="0"/>
                <w:i w:val="0"/>
                <w:iCs w:val="0"/>
                <w:color w:val="auto"/>
                <w:sz w:val="21"/>
                <w:szCs w:val="21"/>
                <w:highlight w:val="none"/>
                <w:u w:val="none"/>
                <w:lang w:val="en-US"/>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住院部ICU</w:t>
            </w:r>
            <w:r/>
          </w:p>
        </w:tc>
        <w:tc>
          <w:tcPr>
            <w:shd w:val="clear" w:color="auto" w:fill="auto"/>
            <w:tcW w:w="1650"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shd w:val="clear" w:color="auto" w:fill="auto"/>
            <w:tcW w:w="861"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lang w:val="en-US" w:eastAsia="zh-CN" w:bidi="ar-SA"/>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rPr>
                <w:rFonts w:hint="eastAsia" w:ascii="宋体" w:hAnsi="Calibri" w:eastAsia="宋体" w:cs="Calibri"/>
                <w:b w:val="0"/>
                <w:i w:val="0"/>
                <w:iCs w:val="0"/>
                <w:color w:val="auto"/>
                <w:sz w:val="21"/>
                <w:szCs w:val="21"/>
                <w:highlight w:val="none"/>
                <w:u w:val="none"/>
                <w:lang w:val="en-US" w:eastAsia="zh-CN" w:bidi="ar"/>
              </w:rPr>
              <w:t xml:space="preserve">4</w:t>
            </w:r>
            <w:r/>
          </w:p>
        </w:tc>
        <w:tc>
          <w:tcPr>
            <w:shd w:val="clear" w:color="auto" w:fill="auto"/>
            <w:tcW w:w="1363"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lang w:val="en-US" w:eastAsia="zh-CN" w:bidi="ar-SA"/>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停车收费员</w:t>
            </w:r>
            <w:r/>
          </w:p>
        </w:tc>
        <w:tc>
          <w:tcPr>
            <w:shd w:val="clear" w:color="auto" w:fill="auto"/>
            <w:tcW w:w="1700" w:type="dxa"/>
            <w:vAlign w:val="center"/>
            <w:textDirection w:val="lrTb"/>
            <w:noWrap w:val="false"/>
          </w:tcPr>
          <w:p>
            <w:pPr>
              <w:ind w:left="0" w:right="0" w:firstLine="0"/>
              <w:jc w:val="left"/>
              <w:keepLines w:val="0"/>
              <w:keepNext w:val="0"/>
              <w:widowControl/>
              <w:rPr>
                <w:rFonts w:hint="eastAsia" w:ascii="宋体" w:hAnsi="宋体" w:eastAsia="宋体" w:cs="宋体"/>
                <w:b w:val="0"/>
                <w:i w:val="0"/>
                <w:iCs w:val="0"/>
                <w:color w:val="auto"/>
                <w:sz w:val="21"/>
                <w:szCs w:val="21"/>
                <w:highlight w:val="none"/>
                <w:u w:val="none"/>
                <w:lang w:val="en-US" w:eastAsia="zh-CN" w:bidi="ar-SA"/>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二期进出口</w:t>
            </w:r>
            <w:r/>
          </w:p>
        </w:tc>
        <w:tc>
          <w:tcPr>
            <w:shd w:val="clear" w:color="auto" w:fill="auto"/>
            <w:tcW w:w="1650" w:type="dxa"/>
            <w:vAlign w:val="center"/>
            <w:textDirection w:val="lrTb"/>
            <w:noWrap w:val="false"/>
          </w:tcPr>
          <w:p>
            <w:pPr>
              <w:ind w:left="0" w:right="0" w:firstLine="0"/>
              <w:jc w:val="center"/>
              <w:keepLines w:val="0"/>
              <w:keepNext w:val="0"/>
              <w:widowControl/>
              <w:rPr>
                <w:rFonts w:hint="eastAsia" w:ascii="宋体" w:hAnsi="Calibri" w:eastAsia="宋体" w:cs="Calibri"/>
                <w:b w:val="0"/>
                <w:i w:val="0"/>
                <w:iCs w:val="0"/>
                <w:color w:val="auto"/>
                <w:sz w:val="21"/>
                <w:szCs w:val="21"/>
                <w:highlight w:val="none"/>
                <w:u w:val="none"/>
                <w:lang w:val="en-US" w:eastAsia="zh-CN" w:bidi="ar-SA"/>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06:30</w:t>
            </w:r>
            <w:r>
              <w:rPr>
                <w:rFonts w:hint="eastAsia" w:ascii="宋体" w:hAnsi="宋体" w:eastAsia="宋体" w:cs="宋体"/>
                <w:b w:val="0"/>
                <w:i w:val="0"/>
                <w:iCs w:val="0"/>
                <w:color w:val="auto"/>
                <w:sz w:val="21"/>
                <w:szCs w:val="21"/>
                <w:highlight w:val="none"/>
                <w:u w:val="none"/>
                <w:lang w:val="en-US" w:eastAsia="zh-CN" w:bidi="ar"/>
              </w:rPr>
              <w:t xml:space="preserve">—</w:t>
            </w:r>
            <w:r>
              <w:rPr>
                <w:rFonts w:hint="default" w:ascii="宋体" w:hAnsi="Calibri" w:eastAsia="宋体" w:cs="Calibri"/>
                <w:b w:val="0"/>
                <w:i w:val="0"/>
                <w:iCs w:val="0"/>
                <w:color w:val="auto"/>
                <w:sz w:val="21"/>
                <w:szCs w:val="21"/>
                <w:highlight w:val="none"/>
                <w:u w:val="none"/>
                <w:lang w:val="en-US" w:eastAsia="zh-CN" w:bidi="ar"/>
              </w:rPr>
              <w:t xml:space="preserve">06:30</w:t>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val="0"/>
                <w:i w:val="0"/>
                <w:iCs w:val="0"/>
                <w:color w:val="auto"/>
                <w:sz w:val="21"/>
                <w:szCs w:val="21"/>
                <w:highlight w:val="none"/>
                <w:u w:val="none"/>
                <w:lang w:val="en-US" w:eastAsia="zh-CN" w:bidi="ar-SA"/>
              </w:rPr>
              <w:suppressLineNumbers w:val="0"/>
            </w:pPr>
            <w:r>
              <w:rPr>
                <w:rFonts w:hint="default" w:ascii="宋体" w:hAnsi="Calibri" w:eastAsia="宋体" w:cs="Calibri"/>
                <w:b w:val="0"/>
                <w:i w:val="0"/>
                <w:iCs w:val="0"/>
                <w:color w:val="auto"/>
                <w:sz w:val="21"/>
                <w:szCs w:val="21"/>
                <w:highlight w:val="none"/>
                <w:u w:val="none"/>
                <w:lang w:val="en-US" w:eastAsia="zh-CN" w:bidi="ar"/>
              </w:rPr>
              <w:t xml:space="preserve">1</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val="0"/>
                <w:i w:val="0"/>
                <w:iCs w:val="0"/>
                <w:color w:val="auto"/>
                <w:sz w:val="21"/>
                <w:szCs w:val="21"/>
                <w:highlight w:val="none"/>
                <w:u w:val="none"/>
                <w:lang w:val="en-US" w:eastAsia="zh-CN" w:bidi="ar-SA"/>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每天24小时执勤</w:t>
            </w:r>
            <w:r/>
          </w:p>
        </w:tc>
      </w:tr>
      <w:tr>
        <w:trPr>
          <w:jc w:val="center"/>
          <w:trHeight w:val="283"/>
        </w:trPr>
        <w:tc>
          <w:tcPr>
            <w:gridSpan w:val="3"/>
            <w:shd w:val="clear" w:color="auto" w:fill="auto"/>
            <w:tcW w:w="3924"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lang w:val="en-US" w:eastAsia="zh-CN" w:bidi="ar-SA"/>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二期合计</w:t>
            </w:r>
            <w:r/>
          </w:p>
        </w:tc>
        <w:tc>
          <w:tcPr>
            <w:shd w:val="clear" w:color="auto" w:fill="auto"/>
            <w:tcW w:w="1650" w:type="dxa"/>
            <w:vAlign w:val="center"/>
            <w:textDirection w:val="lrTb"/>
            <w:noWrap w:val="false"/>
          </w:tcPr>
          <w:p>
            <w:pPr>
              <w:ind w:left="0" w:right="0" w:firstLine="0"/>
              <w:jc w:val="center"/>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r>
            <w:r/>
          </w:p>
        </w:tc>
        <w:tc>
          <w:tcPr>
            <w:shd w:val="clear" w:color="auto" w:fill="auto"/>
            <w:tcW w:w="925" w:type="dxa"/>
            <w:vAlign w:val="center"/>
            <w:textDirection w:val="lrTb"/>
            <w:noWrap w:val="false"/>
          </w:tcPr>
          <w:p>
            <w:pPr>
              <w:ind w:left="0" w:right="0" w:firstLine="0"/>
              <w:jc w:val="center"/>
              <w:keepLines w:val="0"/>
              <w:keepNext w:val="0"/>
              <w:widowControl/>
              <w:rPr>
                <w:rFonts w:hint="default" w:ascii="宋体" w:hAnsi="Calibri" w:eastAsia="宋体" w:cs="Calibri"/>
                <w:b/>
                <w:bCs w:val="0"/>
                <w:i w:val="0"/>
                <w:iCs w:val="0"/>
                <w:color w:val="auto"/>
                <w:sz w:val="21"/>
                <w:szCs w:val="21"/>
                <w:highlight w:val="none"/>
                <w:u w:val="none"/>
                <w:lang w:val="en-US" w:eastAsia="zh-CN" w:bidi="ar-SA"/>
              </w:rPr>
              <w:suppressLineNumbers w:val="0"/>
            </w:pPr>
            <w:r>
              <w:rPr>
                <w:rFonts w:hint="default" w:ascii="宋体" w:hAnsi="Calibri" w:eastAsia="宋体" w:cs="Calibri"/>
                <w:b/>
                <w:bCs w:val="0"/>
                <w:i w:val="0"/>
                <w:iCs w:val="0"/>
                <w:color w:val="auto"/>
                <w:sz w:val="21"/>
                <w:szCs w:val="21"/>
                <w:highlight w:val="none"/>
                <w:u w:val="none"/>
                <w:lang w:val="en-US" w:eastAsia="zh-CN" w:bidi="ar"/>
              </w:rPr>
              <w:t xml:space="preserve">1</w:t>
            </w:r>
            <w:r>
              <w:rPr>
                <w:rFonts w:hint="eastAsia" w:ascii="宋体" w:hAnsi="Calibri" w:eastAsia="宋体" w:cs="Calibri"/>
                <w:b/>
                <w:bCs w:val="0"/>
                <w:i w:val="0"/>
                <w:iCs w:val="0"/>
                <w:color w:val="auto"/>
                <w:sz w:val="21"/>
                <w:szCs w:val="21"/>
                <w:highlight w:val="none"/>
                <w:u w:val="none"/>
                <w:lang w:val="en-US" w:eastAsia="zh-CN" w:bidi="ar"/>
              </w:rPr>
              <w:t xml:space="preserve">6</w:t>
            </w:r>
            <w:r/>
          </w:p>
        </w:tc>
        <w:tc>
          <w:tcPr>
            <w:shd w:val="clear" w:color="auto" w:fill="auto"/>
            <w:tcW w:w="2023" w:type="dxa"/>
            <w:vAlign w:val="center"/>
            <w:textDirection w:val="lrTb"/>
            <w:noWrap w:val="false"/>
          </w:tcPr>
          <w:p>
            <w:pPr>
              <w:ind w:left="0" w:right="0" w:firstLine="0"/>
              <w:jc w:val="center"/>
              <w:keepLines w:val="0"/>
              <w:keepNext w:val="0"/>
              <w:widowControl/>
              <w:rPr>
                <w:rFonts w:hint="eastAsia" w:ascii="宋体" w:hAnsi="宋体" w:eastAsia="宋体" w:cs="宋体"/>
                <w:b/>
                <w:bCs w:val="0"/>
                <w:i w:val="0"/>
                <w:iCs w:val="0"/>
                <w:color w:val="auto"/>
                <w:sz w:val="21"/>
                <w:szCs w:val="21"/>
                <w:highlight w:val="none"/>
                <w:u w:val="none"/>
                <w:lang w:val="en-US" w:eastAsia="zh-CN" w:bidi="ar-SA"/>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274小时</w:t>
            </w:r>
            <w:r>
              <w:rPr>
                <w:rStyle w:val="1121"/>
                <w:rFonts w:ascii="宋体" w:eastAsia="宋体"/>
                <w:b/>
                <w:bCs w:val="0"/>
                <w:i w:val="0"/>
                <w:color w:val="auto"/>
                <w:sz w:val="21"/>
                <w:szCs w:val="21"/>
                <w:highlight w:val="none"/>
                <w:lang w:val="en-US" w:eastAsia="zh-CN" w:bidi="ar"/>
              </w:rPr>
              <w:t xml:space="preserve">/</w:t>
            </w:r>
            <w:r>
              <w:rPr>
                <w:rStyle w:val="1114"/>
                <w:rFonts w:ascii="宋体" w:eastAsia="宋体"/>
                <w:b/>
                <w:bCs w:val="0"/>
                <w:i w:val="0"/>
                <w:color w:val="auto"/>
                <w:sz w:val="21"/>
                <w:szCs w:val="21"/>
                <w:highlight w:val="none"/>
                <w:lang w:val="en-US" w:eastAsia="zh-CN" w:bidi="ar"/>
              </w:rPr>
              <w:t xml:space="preserve">日</w:t>
            </w:r>
            <w:r/>
          </w:p>
        </w:tc>
      </w:tr>
    </w:tbl>
    <w:p>
      <w:pPr>
        <w:rPr>
          <w:rFonts w:ascii="Times New Roman" w:hAnsi="Times New Roman"/>
          <w:color w:val="auto"/>
          <w:szCs w:val="21"/>
          <w:highlight w:val="none"/>
          <w:lang w:val="zh-CN"/>
        </w:rPr>
      </w:pPr>
      <w:r>
        <w:rPr>
          <w:rFonts w:ascii="Times New Roman" w:hAnsi="Times New Roman"/>
          <w:color w:val="auto"/>
          <w:szCs w:val="21"/>
          <w:highlight w:val="none"/>
          <w:lang w:val="zh-CN"/>
        </w:rPr>
      </w:r>
      <w:r/>
    </w:p>
    <w:p>
      <w:pPr>
        <w:numPr>
          <w:ilvl w:val="0"/>
          <w:numId w:val="3"/>
        </w:numPr>
        <w:ind w:firstLine="420"/>
        <w:spacing w:line="40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岗位设定根据医院实际运营需求，结合一期现有岗位分布及二期新增区域特点，合理配置安保力量</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Times New Roman" w:hAnsi="Times New Roman"/>
          <w:color w:val="auto"/>
          <w:szCs w:val="21"/>
          <w:highlight w:val="none"/>
          <w:lang w:val="zh-CN"/>
        </w:rPr>
        <w:t xml:space="preserve">人员岗位须相对较固定，不得兼职其他岗位</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numPr>
          <w:ilvl w:val="0"/>
          <w:numId w:val="0"/>
        </w:numPr>
        <w:ind w:firstLine="420"/>
        <w:spacing w:line="400" w:lineRule="exact"/>
        <w:rPr>
          <w:rFonts w:hint="eastAsia" w:ascii="宋体" w:hAnsi="宋体" w:eastAsia="宋体" w:cs="宋体"/>
          <w:b w:val="0"/>
          <w:bCs w:val="0"/>
          <w:i w:val="0"/>
          <w:iCs w:val="0"/>
          <w:color w:val="auto"/>
          <w:sz w:val="21"/>
          <w:szCs w:val="21"/>
          <w:highlight w:val="none"/>
          <w:u w:val="single"/>
          <w:lang w:val="en-US" w:eastAsia="zh-CN" w:bidi="ar"/>
        </w:rPr>
      </w:pPr>
      <w:r>
        <w:rPr>
          <w:rFonts w:hint="eastAsia" w:ascii="宋体" w:hAnsi="宋体" w:eastAsia="宋体" w:cs="宋体"/>
          <w:b w:val="0"/>
          <w:bCs w:val="0"/>
          <w:i w:val="0"/>
          <w:iCs w:val="0"/>
          <w:color w:val="auto"/>
          <w:sz w:val="21"/>
          <w:szCs w:val="21"/>
          <w:highlight w:val="none"/>
          <w:u w:val="single"/>
          <w:lang w:val="en-US" w:eastAsia="zh-CN" w:bidi="ar"/>
        </w:rPr>
        <w:t xml:space="preserve">（1）医院一期区域全年总工时182500小时，</w:t>
      </w:r>
      <w:r>
        <w:rPr>
          <w:rFonts w:hint="eastAsia" w:ascii="宋体" w:hAnsi="宋体" w:eastAsia="宋体" w:cs="宋体"/>
          <w:b w:val="0"/>
          <w:bCs w:val="0"/>
          <w:color w:val="auto"/>
          <w:szCs w:val="21"/>
          <w:highlight w:val="none"/>
          <w:u w:val="single"/>
          <w:lang w:val="zh-CN"/>
        </w:rPr>
        <w:t xml:space="preserve">投标人为</w:t>
      </w:r>
      <w:r>
        <w:rPr>
          <w:rFonts w:hint="eastAsia" w:ascii="宋体" w:hAnsi="宋体" w:eastAsia="宋体" w:cs="宋体"/>
          <w:b w:val="0"/>
          <w:bCs w:val="0"/>
          <w:color w:val="auto"/>
          <w:szCs w:val="21"/>
          <w:highlight w:val="none"/>
          <w:u w:val="single"/>
          <w:lang w:val="en-US" w:eastAsia="zh-CN"/>
        </w:rPr>
        <w:t xml:space="preserve">医院一期区域</w:t>
      </w:r>
      <w:r>
        <w:rPr>
          <w:rFonts w:hint="eastAsia" w:ascii="宋体" w:hAnsi="宋体" w:eastAsia="宋体" w:cs="宋体"/>
          <w:b w:val="0"/>
          <w:bCs w:val="0"/>
          <w:color w:val="auto"/>
          <w:szCs w:val="21"/>
          <w:highlight w:val="none"/>
          <w:u w:val="single"/>
          <w:lang w:val="zh-CN"/>
        </w:rPr>
        <w:t xml:space="preserve">配备人数</w:t>
      </w:r>
      <w:r>
        <w:rPr>
          <w:rFonts w:hint="eastAsia" w:ascii="宋体" w:hAnsi="宋体" w:eastAsia="宋体" w:cs="宋体"/>
          <w:b w:val="0"/>
          <w:bCs w:val="0"/>
          <w:color w:val="auto"/>
          <w:szCs w:val="21"/>
          <w:highlight w:val="none"/>
          <w:u w:val="single"/>
          <w:lang w:val="en-US" w:eastAsia="zh-CN"/>
        </w:rPr>
        <w:t xml:space="preserve">须</w:t>
      </w:r>
      <w:r>
        <w:rPr>
          <w:rFonts w:hint="eastAsia" w:ascii="宋体" w:hAnsi="宋体" w:eastAsia="宋体" w:cs="宋体"/>
          <w:b w:val="0"/>
          <w:bCs w:val="0"/>
          <w:color w:val="auto"/>
          <w:szCs w:val="21"/>
          <w:highlight w:val="none"/>
          <w:u w:val="single"/>
          <w:lang w:val="zh-CN"/>
        </w:rPr>
        <w:t xml:space="preserve">不</w:t>
      </w:r>
      <w:r>
        <w:rPr>
          <w:rFonts w:hint="eastAsia" w:ascii="宋体" w:hAnsi="宋体" w:eastAsia="宋体" w:cs="宋体"/>
          <w:b w:val="0"/>
          <w:bCs w:val="0"/>
          <w:color w:val="auto"/>
          <w:szCs w:val="21"/>
          <w:highlight w:val="none"/>
          <w:u w:val="single"/>
          <w:lang w:val="en-US" w:eastAsia="zh-CN"/>
        </w:rPr>
        <w:t xml:space="preserve">得</w:t>
      </w:r>
      <w:r>
        <w:rPr>
          <w:rFonts w:hint="eastAsia" w:ascii="宋体" w:hAnsi="宋体" w:eastAsia="宋体" w:cs="宋体"/>
          <w:b w:val="0"/>
          <w:bCs w:val="0"/>
          <w:color w:val="auto"/>
          <w:szCs w:val="21"/>
          <w:highlight w:val="none"/>
          <w:u w:val="single"/>
          <w:lang w:val="zh-CN"/>
        </w:rPr>
        <w:t xml:space="preserve">低于58人</w:t>
      </w:r>
      <w:r>
        <w:rPr>
          <w:rFonts w:hint="eastAsia" w:ascii="宋体" w:hAnsi="宋体" w:eastAsia="宋体" w:cs="宋体"/>
          <w:color w:val="auto"/>
          <w:szCs w:val="21"/>
          <w:highlight w:val="none"/>
          <w:u w:val="single"/>
          <w:lang w:val="zh-CN"/>
        </w:rPr>
        <w:t xml:space="preserve">（含3名管理人员）</w:t>
      </w:r>
      <w:r>
        <w:rPr>
          <w:rFonts w:hint="eastAsia" w:ascii="宋体" w:hAnsi="宋体" w:eastAsia="宋体" w:cs="宋体"/>
          <w:b w:val="0"/>
          <w:bCs w:val="0"/>
          <w:color w:val="auto"/>
          <w:szCs w:val="21"/>
          <w:highlight w:val="none"/>
          <w:u w:val="single"/>
          <w:lang w:val="zh-CN"/>
        </w:rPr>
        <w:t xml:space="preserve">，50岁以下不</w:t>
      </w:r>
      <w:r>
        <w:rPr>
          <w:rFonts w:hint="eastAsia" w:ascii="宋体" w:hAnsi="宋体" w:eastAsia="宋体" w:cs="宋体"/>
          <w:b w:val="0"/>
          <w:bCs w:val="0"/>
          <w:color w:val="auto"/>
          <w:szCs w:val="21"/>
          <w:highlight w:val="none"/>
          <w:u w:val="single"/>
          <w:lang w:val="en-US" w:eastAsia="zh-CN"/>
        </w:rPr>
        <w:t xml:space="preserve">得</w:t>
      </w:r>
      <w:r>
        <w:rPr>
          <w:rFonts w:hint="eastAsia" w:ascii="宋体" w:hAnsi="宋体" w:eastAsia="宋体" w:cs="宋体"/>
          <w:b w:val="0"/>
          <w:bCs w:val="0"/>
          <w:color w:val="auto"/>
          <w:szCs w:val="21"/>
          <w:highlight w:val="none"/>
          <w:u w:val="single"/>
          <w:lang w:val="zh-CN"/>
        </w:rPr>
        <w:t xml:space="preserve">低于2</w:t>
      </w:r>
      <w:bookmarkStart w:id="15" w:name="_GoBack"/>
      <w:r/>
      <w:bookmarkEnd w:id="15"/>
      <w:r>
        <w:rPr>
          <w:rFonts w:hint="eastAsia" w:ascii="宋体" w:hAnsi="宋体" w:eastAsia="宋体" w:cs="宋体"/>
          <w:b w:val="0"/>
          <w:bCs w:val="0"/>
          <w:color w:val="auto"/>
          <w:szCs w:val="21"/>
          <w:highlight w:val="none"/>
          <w:u w:val="single"/>
          <w:lang w:val="zh-CN"/>
        </w:rPr>
        <w:t xml:space="preserve">0%配备（不低于12人）</w:t>
      </w:r>
      <w:r>
        <w:rPr>
          <w:rFonts w:hint="eastAsia" w:ascii="宋体" w:hAnsi="宋体" w:eastAsia="宋体" w:cs="宋体"/>
          <w:color w:val="auto"/>
          <w:szCs w:val="21"/>
          <w:highlight w:val="none"/>
          <w:u w:val="single"/>
          <w:lang w:val="zh-CN"/>
        </w:rPr>
        <w:t xml:space="preserve">。</w:t>
      </w:r>
      <w:r/>
    </w:p>
    <w:p>
      <w:pPr>
        <w:numPr>
          <w:ilvl w:val="0"/>
          <w:numId w:val="0"/>
        </w:numPr>
        <w:ind w:firstLine="420"/>
        <w:spacing w:line="400" w:lineRule="exact"/>
        <w:rPr>
          <w:rFonts w:hint="eastAsia" w:ascii="宋体" w:hAnsi="宋体" w:cs="宋体"/>
          <w:b w:val="0"/>
          <w:bCs w:val="0"/>
          <w:i w:val="0"/>
          <w:iCs w:val="0"/>
          <w:color w:val="auto"/>
          <w:sz w:val="21"/>
          <w:szCs w:val="21"/>
          <w:highlight w:val="none"/>
          <w:u w:val="single"/>
          <w:lang w:val="zh-CN" w:eastAsia="zh-CN" w:bidi="ar"/>
        </w:rPr>
      </w:pPr>
      <w:r>
        <w:rPr>
          <w:rFonts w:hint="eastAsia" w:ascii="宋体" w:hAnsi="宋体" w:cs="宋体"/>
          <w:b w:val="0"/>
          <w:bCs w:val="0"/>
          <w:i w:val="0"/>
          <w:iCs w:val="0"/>
          <w:color w:val="auto"/>
          <w:sz w:val="21"/>
          <w:szCs w:val="21"/>
          <w:highlight w:val="none"/>
          <w:u w:val="single"/>
          <w:lang w:val="zh-CN" w:eastAsia="zh-CN" w:bidi="ar"/>
        </w:rPr>
        <w:t xml:space="preserve">（</w:t>
      </w:r>
      <w:r>
        <w:rPr>
          <w:rFonts w:hint="eastAsia" w:ascii="宋体" w:hAnsi="宋体" w:cs="宋体"/>
          <w:b w:val="0"/>
          <w:bCs w:val="0"/>
          <w:i w:val="0"/>
          <w:iCs w:val="0"/>
          <w:color w:val="auto"/>
          <w:sz w:val="21"/>
          <w:szCs w:val="21"/>
          <w:highlight w:val="none"/>
          <w:u w:val="single"/>
          <w:lang w:val="en-US" w:eastAsia="zh-CN" w:bidi="ar"/>
        </w:rPr>
        <w:t xml:space="preserve">2</w:t>
      </w:r>
      <w:r>
        <w:rPr>
          <w:rFonts w:hint="eastAsia" w:ascii="宋体" w:hAnsi="宋体" w:cs="宋体"/>
          <w:b w:val="0"/>
          <w:bCs w:val="0"/>
          <w:i w:val="0"/>
          <w:iCs w:val="0"/>
          <w:color w:val="auto"/>
          <w:sz w:val="21"/>
          <w:szCs w:val="21"/>
          <w:highlight w:val="none"/>
          <w:u w:val="single"/>
          <w:lang w:val="zh-CN" w:eastAsia="zh-CN" w:bidi="ar"/>
        </w:rPr>
        <w:t xml:space="preserve">）根据二期院区科室搬迁进度，过渡期安排：若2026年9月20日前相关科室未完成正式搬迁，则延续现有看护模式，仅保留3个24小时基础值守岗位，确保基本安全秩序。正式运营期：待二期正式入驻后，立即全面启动16个标准化岗位，投标人为医院</w:t>
      </w:r>
      <w:r>
        <w:rPr>
          <w:rFonts w:hint="eastAsia" w:ascii="宋体" w:hAnsi="宋体" w:cs="宋体"/>
          <w:b w:val="0"/>
          <w:bCs w:val="0"/>
          <w:i w:val="0"/>
          <w:iCs w:val="0"/>
          <w:color w:val="auto"/>
          <w:sz w:val="21"/>
          <w:szCs w:val="21"/>
          <w:highlight w:val="none"/>
          <w:u w:val="single"/>
          <w:lang w:val="en-US" w:eastAsia="zh-CN" w:bidi="ar"/>
        </w:rPr>
        <w:t xml:space="preserve">二</w:t>
      </w:r>
      <w:r>
        <w:rPr>
          <w:rFonts w:hint="eastAsia" w:ascii="宋体" w:hAnsi="宋体" w:cs="宋体"/>
          <w:b w:val="0"/>
          <w:bCs w:val="0"/>
          <w:i w:val="0"/>
          <w:iCs w:val="0"/>
          <w:color w:val="auto"/>
          <w:sz w:val="21"/>
          <w:szCs w:val="21"/>
          <w:highlight w:val="none"/>
          <w:u w:val="single"/>
          <w:lang w:val="zh-CN" w:eastAsia="zh-CN" w:bidi="ar"/>
        </w:rPr>
        <w:t xml:space="preserve">期区域配备人数须不得低于</w:t>
      </w:r>
      <w:r>
        <w:rPr>
          <w:rFonts w:hint="eastAsia" w:ascii="宋体" w:hAnsi="宋体" w:cs="宋体"/>
          <w:b w:val="0"/>
          <w:bCs w:val="0"/>
          <w:i w:val="0"/>
          <w:iCs w:val="0"/>
          <w:color w:val="auto"/>
          <w:sz w:val="21"/>
          <w:szCs w:val="21"/>
          <w:highlight w:val="none"/>
          <w:u w:val="single"/>
          <w:lang w:val="en-US" w:eastAsia="zh-CN" w:bidi="ar"/>
        </w:rPr>
        <w:t xml:space="preserve">32</w:t>
      </w:r>
      <w:r>
        <w:rPr>
          <w:rFonts w:hint="eastAsia" w:ascii="宋体" w:hAnsi="宋体" w:cs="宋体"/>
          <w:b w:val="0"/>
          <w:bCs w:val="0"/>
          <w:i w:val="0"/>
          <w:iCs w:val="0"/>
          <w:color w:val="auto"/>
          <w:sz w:val="21"/>
          <w:szCs w:val="21"/>
          <w:highlight w:val="none"/>
          <w:u w:val="single"/>
          <w:lang w:val="zh-CN" w:eastAsia="zh-CN" w:bidi="ar"/>
        </w:rPr>
        <w:t xml:space="preserve">人，50岁以下不得低于20%配备（不低于</w:t>
      </w:r>
      <w:r>
        <w:rPr>
          <w:rFonts w:hint="eastAsia" w:ascii="宋体" w:hAnsi="宋体" w:cs="宋体"/>
          <w:b w:val="0"/>
          <w:bCs w:val="0"/>
          <w:i w:val="0"/>
          <w:iCs w:val="0"/>
          <w:color w:val="auto"/>
          <w:sz w:val="21"/>
          <w:szCs w:val="21"/>
          <w:highlight w:val="none"/>
          <w:u w:val="single"/>
          <w:lang w:val="en-US" w:eastAsia="zh-CN" w:bidi="ar"/>
        </w:rPr>
        <w:t xml:space="preserve">6</w:t>
      </w:r>
      <w:r>
        <w:rPr>
          <w:rFonts w:hint="eastAsia" w:ascii="宋体" w:hAnsi="宋体" w:cs="宋体"/>
          <w:b w:val="0"/>
          <w:bCs w:val="0"/>
          <w:i w:val="0"/>
          <w:iCs w:val="0"/>
          <w:color w:val="auto"/>
          <w:sz w:val="21"/>
          <w:szCs w:val="21"/>
          <w:highlight w:val="none"/>
          <w:u w:val="single"/>
          <w:lang w:val="zh-CN" w:eastAsia="zh-CN" w:bidi="ar"/>
        </w:rPr>
        <w:t xml:space="preserve">人），实现全方位、无死角的安全覆盖。</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四</w:t>
      </w:r>
      <w:r>
        <w:rPr>
          <w:rFonts w:hint="eastAsia" w:ascii="Times New Roman" w:hAnsi="Times New Roman"/>
          <w:color w:val="auto"/>
          <w:szCs w:val="21"/>
          <w:highlight w:val="none"/>
          <w:lang w:val="zh-CN"/>
        </w:rPr>
        <w:t xml:space="preserve">）服务期限：</w:t>
      </w:r>
      <w:r>
        <w:rPr>
          <w:rFonts w:hint="eastAsia" w:ascii="Times New Roman" w:hAnsi="Times New Roman"/>
          <w:color w:val="auto"/>
          <w:szCs w:val="21"/>
          <w:highlight w:val="none"/>
          <w:lang w:val="zh-CN" w:eastAsia="zh-CN"/>
        </w:rPr>
        <w:t xml:space="preserve">自2026年9月20日至2027年9月19日</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1、岗位设定根据医院实际运营需求，结合一期现有岗位分布及二期新增区域特点，合理配置安保力量。同时也考虑了干将路皮肤科门诊及夜间值班的安全需求。</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2、根据二期院区科室搬迁进度，制定过渡方案。</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过渡期安排：若2026年9月20日前相关科室未完成正式搬迁，则延续现有看护模式，仅保留3个24小时基础值守岗位，确保基本安全秩序。</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 xml:space="preserve">正式运营期：待二期正式入驻后，立即全面启动16个标准化岗位，实现全方位、无死角的安全覆盖。</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五</w:t>
      </w:r>
      <w:r>
        <w:rPr>
          <w:rFonts w:hint="eastAsia"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服务地点：</w:t>
      </w:r>
      <w:r>
        <w:rPr>
          <w:rFonts w:hint="eastAsia" w:ascii="Times New Roman" w:hAnsi="Times New Roman"/>
          <w:color w:val="auto"/>
          <w:szCs w:val="21"/>
          <w:highlight w:val="none"/>
          <w:lang w:val="zh-CN"/>
        </w:rPr>
        <w:t xml:space="preserve">苏州市第五人民医院</w:t>
      </w:r>
      <w:r/>
    </w:p>
    <w:p>
      <w:pPr>
        <w:ind w:firstLine="420"/>
        <w:jc w:val="left"/>
        <w:spacing w:line="400" w:lineRule="exact"/>
        <w:rPr>
          <w:rFonts w:ascii="Times New Roman" w:hAnsi="宋体"/>
          <w:color w:val="auto"/>
          <w:szCs w:val="21"/>
          <w:highlight w:val="none"/>
        </w:rPr>
      </w:pPr>
      <w:r>
        <w:rPr>
          <w:rFonts w:hint="eastAsia" w:ascii="Times New Roman" w:hAnsi="宋体"/>
          <w:color w:val="auto"/>
          <w:szCs w:val="21"/>
          <w:highlight w:val="none"/>
        </w:rPr>
        <w:t xml:space="preserve">（</w:t>
      </w:r>
      <w:r>
        <w:rPr>
          <w:rFonts w:hint="eastAsia" w:ascii="Times New Roman" w:hAnsi="宋体"/>
          <w:color w:val="auto"/>
          <w:szCs w:val="21"/>
          <w:highlight w:val="none"/>
          <w:lang w:val="en-US" w:eastAsia="zh-CN"/>
        </w:rPr>
        <w:t xml:space="preserve">六</w:t>
      </w:r>
      <w:r>
        <w:rPr>
          <w:rFonts w:hint="eastAsia" w:ascii="Times New Roman" w:hAnsi="宋体"/>
          <w:color w:val="auto"/>
          <w:szCs w:val="21"/>
          <w:highlight w:val="none"/>
        </w:rPr>
        <w:t xml:space="preserve">）其他要求</w:t>
      </w:r>
      <w:r/>
    </w:p>
    <w:p>
      <w:pPr>
        <w:ind w:firstLine="420"/>
        <w:jc w:val="left"/>
        <w:spacing w:line="400" w:lineRule="exact"/>
        <w:rPr>
          <w:rFonts w:ascii="Times New Roman" w:hAnsi="宋体"/>
          <w:color w:val="auto"/>
          <w:szCs w:val="21"/>
          <w:highlight w:val="none"/>
        </w:rPr>
      </w:pPr>
      <w:r>
        <w:rPr>
          <w:rFonts w:ascii="Times New Roman" w:hAnsi="宋体"/>
          <w:color w:val="auto"/>
          <w:szCs w:val="21"/>
          <w:highlight w:val="none"/>
        </w:rPr>
        <w:t xml:space="preserve">1、投标人的现行营运状况要求：具有科学合理的组织架构，严格的管理细则和岗位责任制度。具有提供完善的后勤管理和保障服务的能力，并具有一定的企业规模。</w:t>
      </w:r>
      <w:r/>
    </w:p>
    <w:p>
      <w:pPr>
        <w:ind w:firstLine="420"/>
        <w:jc w:val="left"/>
        <w:spacing w:line="400" w:lineRule="exact"/>
        <w:rPr>
          <w:rFonts w:ascii="Times New Roman" w:hAnsi="宋体"/>
          <w:color w:val="auto"/>
          <w:szCs w:val="21"/>
          <w:highlight w:val="none"/>
        </w:rPr>
      </w:pPr>
      <w:r>
        <w:rPr>
          <w:rFonts w:hint="eastAsia" w:ascii="Times New Roman" w:hAnsi="宋体"/>
          <w:color w:val="auto"/>
          <w:szCs w:val="21"/>
          <w:highlight w:val="none"/>
          <w:lang w:val="en-US" w:eastAsia="zh-CN"/>
        </w:rPr>
        <w:t xml:space="preserve">2、</w:t>
      </w:r>
      <w:r>
        <w:rPr>
          <w:rFonts w:ascii="Times New Roman" w:hAnsi="宋体"/>
          <w:color w:val="auto"/>
          <w:szCs w:val="21"/>
          <w:highlight w:val="none"/>
        </w:rPr>
        <w:t xml:space="preserve">投标人</w:t>
      </w:r>
      <w:r>
        <w:rPr>
          <w:rFonts w:hint="eastAsia" w:ascii="Times New Roman" w:hAnsi="宋体"/>
          <w:color w:val="auto"/>
          <w:szCs w:val="21"/>
          <w:highlight w:val="none"/>
          <w:lang w:val="en-US" w:eastAsia="zh-CN"/>
        </w:rPr>
        <w:t xml:space="preserve">须</w:t>
      </w:r>
      <w:r>
        <w:rPr>
          <w:rFonts w:hint="eastAsia" w:ascii="Times New Roman" w:hAnsi="宋体"/>
          <w:color w:val="auto"/>
          <w:szCs w:val="21"/>
          <w:highlight w:val="none"/>
        </w:rPr>
        <w:t xml:space="preserve">紧密结合医院二期各科室的搬迁进度，严格按照医院针对二期院区的保安力量的部署计划，实时推进人员的进场方案，确保二期院区的安全保障工作顺利实施。同时，</w:t>
      </w:r>
      <w:r>
        <w:rPr>
          <w:rFonts w:hint="eastAsia" w:ascii="Times New Roman" w:hAnsi="宋体"/>
          <w:color w:val="auto"/>
          <w:szCs w:val="21"/>
          <w:highlight w:val="none"/>
          <w:u w:val="single"/>
          <w:lang w:val="en-US" w:eastAsia="zh-CN"/>
        </w:rPr>
        <w:t xml:space="preserve">投标人须</w:t>
      </w:r>
      <w:r>
        <w:rPr>
          <w:rFonts w:hint="eastAsia" w:ascii="Times New Roman" w:hAnsi="宋体"/>
          <w:color w:val="auto"/>
          <w:szCs w:val="21"/>
          <w:highlight w:val="none"/>
          <w:u w:val="single"/>
        </w:rPr>
        <w:t xml:space="preserve">承诺：结合医院对安保数量</w:t>
      </w:r>
      <w:r>
        <w:rPr>
          <w:rFonts w:hint="eastAsia" w:ascii="Times New Roman" w:hAnsi="宋体"/>
          <w:color w:val="auto"/>
          <w:szCs w:val="21"/>
          <w:highlight w:val="none"/>
          <w:u w:val="single"/>
          <w:lang w:eastAsia="zh-CN"/>
        </w:rPr>
        <w:t xml:space="preserve">需求</w:t>
      </w:r>
      <w:r>
        <w:rPr>
          <w:rFonts w:hint="eastAsia" w:ascii="Times New Roman" w:hAnsi="宋体"/>
          <w:color w:val="auto"/>
          <w:szCs w:val="21"/>
          <w:highlight w:val="none"/>
          <w:u w:val="single"/>
        </w:rPr>
        <w:t xml:space="preserve">的变化，按实际用工数量结算相应的保安服务费用。</w:t>
      </w:r>
      <w:r/>
    </w:p>
    <w:p>
      <w:pPr>
        <w:ind w:firstLine="420"/>
        <w:jc w:val="left"/>
        <w:spacing w:line="400" w:lineRule="exact"/>
        <w:rPr>
          <w:rFonts w:ascii="Times New Roman" w:hAnsi="宋体"/>
          <w:color w:val="auto"/>
          <w:szCs w:val="21"/>
          <w:highlight w:val="none"/>
        </w:rPr>
      </w:pPr>
      <w:r>
        <w:rPr>
          <w:rFonts w:hint="eastAsia" w:ascii="Times New Roman" w:hAnsi="宋体"/>
          <w:color w:val="auto"/>
          <w:szCs w:val="21"/>
          <w:highlight w:val="none"/>
          <w:lang w:val="en-US" w:eastAsia="zh-CN"/>
        </w:rPr>
        <w:t xml:space="preserve">3</w:t>
      </w:r>
      <w:r>
        <w:rPr>
          <w:rFonts w:ascii="Times New Roman" w:hAnsi="宋体"/>
          <w:color w:val="auto"/>
          <w:szCs w:val="21"/>
          <w:highlight w:val="none"/>
        </w:rPr>
        <w:t xml:space="preserve">、投标人应针对本次招标项目特点编写公司中标后拟采取的管理方案：包括组织计划、人员安排、时间安排、设备工具的安排等，遇重大、紧急事项的应急措施等。</w:t>
      </w:r>
      <w:r/>
    </w:p>
    <w:p>
      <w:pPr>
        <w:ind w:firstLine="420"/>
        <w:jc w:val="left"/>
        <w:spacing w:line="400" w:lineRule="exact"/>
        <w:rPr>
          <w:rFonts w:ascii="Times New Roman" w:hAnsi="宋体"/>
          <w:color w:val="auto"/>
          <w:szCs w:val="21"/>
          <w:highlight w:val="none"/>
        </w:rPr>
      </w:pPr>
      <w:r>
        <w:rPr>
          <w:rFonts w:hint="eastAsia" w:ascii="Times New Roman" w:hAnsi="Times New Roman"/>
          <w:color w:val="auto"/>
          <w:szCs w:val="21"/>
          <w:highlight w:val="none"/>
          <w:lang w:val="en-US" w:eastAsia="zh-CN"/>
        </w:rPr>
        <w:t xml:space="preserve">4</w:t>
      </w:r>
      <w:r>
        <w:rPr>
          <w:rFonts w:ascii="Times New Roman" w:hAnsi="Times New Roman"/>
          <w:color w:val="auto"/>
          <w:szCs w:val="21"/>
          <w:highlight w:val="none"/>
          <w:lang w:val="zh-CN"/>
        </w:rPr>
        <w:t xml:space="preserve">、按需求全年365天24小时全天候不间断提供服务，包括处理各项突发事件及紧急任务以及医患纠纷处置，包括：资产保护应急措施、特殊事故（情况）措施、治安应急措施、消防应急措施等。</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5</w:t>
      </w:r>
      <w:r>
        <w:rPr>
          <w:rFonts w:ascii="Times New Roman" w:hAnsi="Times New Roman"/>
          <w:color w:val="auto"/>
          <w:szCs w:val="21"/>
          <w:highlight w:val="none"/>
          <w:lang w:val="zh-CN"/>
        </w:rPr>
        <w:t xml:space="preserve">、工作过程中因投标人责任所造成的经济损失由投标人按实际金额赔偿。</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6</w:t>
      </w:r>
      <w:r>
        <w:rPr>
          <w:rFonts w:ascii="Times New Roman" w:hAnsi="Times New Roman"/>
          <w:color w:val="auto"/>
          <w:szCs w:val="21"/>
          <w:highlight w:val="none"/>
          <w:lang w:val="zh-CN"/>
        </w:rPr>
        <w:t xml:space="preserve">、投标人应将服务人员所有管理及培训资料交一份给医院</w:t>
      </w:r>
      <w:r>
        <w:rPr>
          <w:rFonts w:hint="eastAsia" w:ascii="Times New Roman" w:hAnsi="Times New Roman"/>
          <w:color w:val="auto"/>
          <w:szCs w:val="21"/>
          <w:highlight w:val="none"/>
          <w:lang w:val="zh-CN"/>
        </w:rPr>
        <w:t xml:space="preserve">保卫科</w:t>
      </w:r>
      <w:r>
        <w:rPr>
          <w:rFonts w:ascii="Times New Roman" w:hAnsi="Times New Roman"/>
          <w:color w:val="auto"/>
          <w:szCs w:val="21"/>
          <w:highlight w:val="none"/>
          <w:lang w:val="zh-CN"/>
        </w:rPr>
        <w:t xml:space="preserve">，如有需要必须随时提供。</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7</w:t>
      </w:r>
      <w:r>
        <w:rPr>
          <w:rFonts w:ascii="Times New Roman" w:hAnsi="Times New Roman"/>
          <w:color w:val="auto"/>
          <w:szCs w:val="21"/>
          <w:highlight w:val="none"/>
          <w:lang w:val="zh-CN"/>
        </w:rPr>
        <w:t xml:space="preserve">、</w:t>
      </w:r>
      <w:r>
        <w:rPr>
          <w:rFonts w:hint="eastAsia" w:ascii="Times New Roman" w:hAnsi="Times New Roman"/>
          <w:color w:val="auto"/>
          <w:szCs w:val="21"/>
          <w:highlight w:val="none"/>
          <w:lang w:val="en-US" w:eastAsia="zh-CN"/>
        </w:rPr>
        <w:t xml:space="preserve">中标</w:t>
      </w:r>
      <w:r>
        <w:rPr>
          <w:rFonts w:hint="eastAsia" w:ascii="Times New Roman" w:hAnsi="Times New Roman"/>
          <w:color w:val="auto"/>
          <w:szCs w:val="21"/>
          <w:highlight w:val="none"/>
          <w:lang w:val="zh-CN"/>
        </w:rPr>
        <w:t xml:space="preserve">单位</w:t>
      </w:r>
      <w:r>
        <w:rPr>
          <w:rFonts w:ascii="Times New Roman" w:hAnsi="Times New Roman"/>
          <w:color w:val="auto"/>
          <w:szCs w:val="21"/>
          <w:highlight w:val="none"/>
          <w:lang w:val="zh-CN"/>
        </w:rPr>
        <w:t xml:space="preserve">有责任配合医院接受上级领导部门的监督、检查，并提供必须的材料。招标方有权对中标方进行月度考核，考核结果与当月费用结算挂钩。具体考核方法和标准按医院要求执行。除合同约定外，招标方不再向中标方额外支付其他费用。</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lang w:val="en-US" w:eastAsia="zh-CN"/>
        </w:rPr>
        <w:t xml:space="preserve">七</w:t>
      </w:r>
      <w:r>
        <w:rPr>
          <w:rFonts w:ascii="Times New Roman" w:hAnsi="Times New Roman"/>
          <w:color w:val="auto"/>
          <w:szCs w:val="21"/>
          <w:highlight w:val="none"/>
        </w:rPr>
        <w:t xml:space="preserve">）服务期内如遇国家最低工资标准和社会保险缴费基数调整，采购人不再给予</w:t>
      </w:r>
      <w:r>
        <w:rPr>
          <w:rFonts w:hint="eastAsia" w:ascii="Times New Roman" w:hAnsi="Times New Roman"/>
          <w:color w:val="auto"/>
          <w:szCs w:val="21"/>
          <w:highlight w:val="none"/>
          <w:lang w:val="en-US" w:eastAsia="zh-CN"/>
        </w:rPr>
        <w:t xml:space="preserve">中标</w:t>
      </w:r>
      <w:r>
        <w:rPr>
          <w:rFonts w:hint="eastAsia" w:ascii="Times New Roman" w:hAnsi="Times New Roman"/>
          <w:color w:val="auto"/>
          <w:szCs w:val="21"/>
          <w:highlight w:val="none"/>
          <w:lang w:eastAsia="zh-CN"/>
        </w:rPr>
        <w:t xml:space="preserve">单位</w:t>
      </w:r>
      <w:r>
        <w:rPr>
          <w:rFonts w:ascii="Times New Roman" w:hAnsi="Times New Roman"/>
          <w:color w:val="auto"/>
          <w:szCs w:val="21"/>
          <w:highlight w:val="none"/>
        </w:rPr>
        <w:t xml:space="preserve">相应调整。</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lang w:val="en-US" w:eastAsia="zh-CN"/>
        </w:rPr>
        <w:t xml:space="preserve">八</w:t>
      </w:r>
      <w:r>
        <w:rPr>
          <w:rFonts w:ascii="Times New Roman" w:hAnsi="Times New Roman"/>
          <w:color w:val="auto"/>
          <w:szCs w:val="21"/>
          <w:highlight w:val="none"/>
        </w:rPr>
        <w:t xml:space="preserve">）医院对服务方进行月度考核，考核结果与当月度费用结算挂钩。具体考核方法和标准按医院要求执行。</w:t>
      </w:r>
      <w:r/>
    </w:p>
    <w:p>
      <w:pPr>
        <w:ind w:left="1" w:right="-176" w:firstLine="447"/>
        <w:spacing w:line="39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hint="eastAsia" w:ascii="Times New Roman" w:hAnsi="Times New Roman"/>
          <w:color w:val="auto"/>
          <w:szCs w:val="21"/>
          <w:highlight w:val="none"/>
          <w:lang w:val="en-US" w:eastAsia="zh-CN"/>
        </w:rPr>
        <w:t xml:space="preserve">九</w:t>
      </w:r>
      <w:r>
        <w:rPr>
          <w:rFonts w:hint="eastAsia" w:ascii="Times New Roman" w:hAnsi="Times New Roman"/>
          <w:color w:val="auto"/>
          <w:szCs w:val="21"/>
          <w:highlight w:val="none"/>
        </w:rPr>
        <w:t xml:space="preserve">）其他</w:t>
      </w:r>
      <w:r/>
    </w:p>
    <w:p>
      <w:pPr>
        <w:ind w:left="1" w:right="-176" w:firstLine="447"/>
        <w:spacing w:line="390" w:lineRule="exact"/>
        <w:rPr>
          <w:rFonts w:ascii="Times New Roman" w:hAnsi="Times New Roman"/>
          <w:color w:val="auto"/>
          <w:szCs w:val="21"/>
          <w:highlight w:val="none"/>
        </w:rPr>
      </w:pPr>
      <w:r>
        <w:rPr>
          <w:rFonts w:ascii="Times New Roman" w:hAnsi="Times New Roman"/>
          <w:color w:val="auto"/>
          <w:szCs w:val="21"/>
          <w:highlight w:val="none"/>
        </w:rPr>
        <w:t xml:space="preserve">1、</w:t>
      </w:r>
      <w:r>
        <w:rPr>
          <w:rFonts w:hint="eastAsia" w:ascii="Times New Roman" w:hAnsi="Times New Roman"/>
          <w:color w:val="auto"/>
          <w:szCs w:val="21"/>
          <w:highlight w:val="none"/>
          <w:lang w:val="en-US" w:eastAsia="zh-CN"/>
        </w:rPr>
        <w:t xml:space="preserve">中标</w:t>
      </w:r>
      <w:r>
        <w:rPr>
          <w:rFonts w:hint="eastAsia" w:ascii="Times New Roman" w:hAnsi="Times New Roman"/>
          <w:color w:val="auto"/>
          <w:szCs w:val="21"/>
          <w:highlight w:val="none"/>
          <w:lang w:eastAsia="zh-CN"/>
        </w:rPr>
        <w:t xml:space="preserve">单位</w:t>
      </w:r>
      <w:r>
        <w:rPr>
          <w:rFonts w:ascii="Times New Roman" w:hAnsi="Times New Roman"/>
          <w:color w:val="auto"/>
          <w:szCs w:val="21"/>
          <w:highlight w:val="none"/>
        </w:rPr>
        <w:t xml:space="preserve">不得将服务业务转包第三方。</w:t>
      </w:r>
      <w:r/>
    </w:p>
    <w:p>
      <w:pPr>
        <w:ind w:left="1" w:right="-176" w:firstLine="447"/>
        <w:spacing w:line="390" w:lineRule="exact"/>
        <w:rPr>
          <w:rFonts w:ascii="Times New Roman" w:hAnsi="Times New Roman"/>
          <w:color w:val="auto"/>
          <w:szCs w:val="21"/>
          <w:highlight w:val="none"/>
        </w:rPr>
      </w:pPr>
      <w:r>
        <w:rPr>
          <w:rFonts w:ascii="Times New Roman" w:hAnsi="Times New Roman"/>
          <w:color w:val="auto"/>
          <w:szCs w:val="21"/>
          <w:highlight w:val="none"/>
        </w:rPr>
        <w:t xml:space="preserve">2、后勤服务工作中造成采购方财产损坏或遗失，由</w:t>
      </w:r>
      <w:r>
        <w:rPr>
          <w:rFonts w:hint="eastAsia" w:ascii="Times New Roman" w:hAnsi="Times New Roman"/>
          <w:color w:val="auto"/>
          <w:szCs w:val="21"/>
          <w:highlight w:val="none"/>
          <w:lang w:val="en-US" w:eastAsia="zh-CN"/>
        </w:rPr>
        <w:t xml:space="preserve">中标</w:t>
      </w:r>
      <w:r>
        <w:rPr>
          <w:rFonts w:hint="eastAsia" w:ascii="Times New Roman" w:hAnsi="Times New Roman"/>
          <w:color w:val="auto"/>
          <w:szCs w:val="21"/>
          <w:highlight w:val="none"/>
          <w:lang w:eastAsia="zh-CN"/>
        </w:rPr>
        <w:t xml:space="preserve">单位</w:t>
      </w:r>
      <w:r>
        <w:rPr>
          <w:rFonts w:ascii="Times New Roman" w:hAnsi="Times New Roman"/>
          <w:color w:val="auto"/>
          <w:szCs w:val="21"/>
          <w:highlight w:val="none"/>
        </w:rPr>
        <w:t xml:space="preserve">负责赔偿。 </w:t>
      </w:r>
      <w:r/>
    </w:p>
    <w:p>
      <w:pPr>
        <w:ind w:left="1" w:right="-176" w:firstLine="447"/>
        <w:spacing w:line="390" w:lineRule="exact"/>
        <w:rPr>
          <w:rFonts w:ascii="Times New Roman" w:hAnsi="Times New Roman"/>
          <w:color w:val="auto"/>
          <w:szCs w:val="21"/>
          <w:highlight w:val="none"/>
        </w:rPr>
      </w:pPr>
      <w:r>
        <w:rPr>
          <w:rFonts w:ascii="Times New Roman" w:hAnsi="Times New Roman"/>
          <w:color w:val="auto"/>
          <w:szCs w:val="21"/>
          <w:highlight w:val="none"/>
        </w:rPr>
        <w:t xml:space="preserve">3、</w:t>
      </w:r>
      <w:r>
        <w:rPr>
          <w:rFonts w:hint="eastAsia" w:ascii="Times New Roman" w:hAnsi="Times New Roman"/>
          <w:color w:val="auto"/>
          <w:szCs w:val="21"/>
          <w:highlight w:val="none"/>
          <w:lang w:val="en-US" w:eastAsia="zh-CN"/>
        </w:rPr>
        <w:t xml:space="preserve">中标</w:t>
      </w:r>
      <w:r>
        <w:rPr>
          <w:rFonts w:hint="eastAsia" w:ascii="Times New Roman" w:hAnsi="Times New Roman"/>
          <w:color w:val="auto"/>
          <w:szCs w:val="21"/>
          <w:highlight w:val="none"/>
          <w:lang w:eastAsia="zh-CN"/>
        </w:rPr>
        <w:t xml:space="preserve">单位</w:t>
      </w:r>
      <w:r>
        <w:rPr>
          <w:rFonts w:ascii="Times New Roman" w:hAnsi="Times New Roman"/>
          <w:color w:val="auto"/>
          <w:szCs w:val="21"/>
          <w:highlight w:val="none"/>
        </w:rPr>
        <w:t xml:space="preserve">应严格按照政府部门相关规定</w:t>
      </w:r>
      <w:r>
        <w:rPr>
          <w:rFonts w:hint="eastAsia" w:ascii="Times New Roman" w:hAnsi="Times New Roman"/>
          <w:color w:val="auto"/>
          <w:szCs w:val="21"/>
          <w:highlight w:val="none"/>
          <w:lang w:eastAsia="zh-CN"/>
        </w:rPr>
        <w:t xml:space="preserve">给</w:t>
      </w:r>
      <w:r>
        <w:rPr>
          <w:rFonts w:ascii="Times New Roman" w:hAnsi="Times New Roman"/>
          <w:color w:val="auto"/>
          <w:szCs w:val="21"/>
          <w:highlight w:val="none"/>
        </w:rPr>
        <w:t xml:space="preserve">员工缴纳各种社会保险（包括养老、医疗、工伤、生育险、失业保险等）。</w:t>
      </w:r>
      <w:r/>
    </w:p>
    <w:p>
      <w:pPr>
        <w:ind w:left="1" w:right="-176" w:firstLine="447"/>
        <w:spacing w:line="390" w:lineRule="exact"/>
        <w:rPr>
          <w:rFonts w:ascii="Times New Roman" w:hAnsi="Times New Roman"/>
          <w:color w:val="auto"/>
          <w:szCs w:val="21"/>
          <w:highlight w:val="none"/>
        </w:rPr>
      </w:pPr>
      <w:r>
        <w:rPr>
          <w:rFonts w:ascii="Times New Roman" w:hAnsi="Times New Roman"/>
          <w:color w:val="auto"/>
          <w:szCs w:val="21"/>
          <w:highlight w:val="none"/>
        </w:rPr>
        <w:t xml:space="preserve">4、</w:t>
      </w:r>
      <w:r>
        <w:rPr>
          <w:rFonts w:hint="eastAsia" w:ascii="Times New Roman" w:hAnsi="Times New Roman"/>
          <w:color w:val="auto"/>
          <w:szCs w:val="21"/>
          <w:highlight w:val="none"/>
          <w:lang w:val="en-US" w:eastAsia="zh-CN"/>
        </w:rPr>
        <w:t xml:space="preserve">中标</w:t>
      </w:r>
      <w:r>
        <w:rPr>
          <w:rFonts w:hint="eastAsia" w:ascii="Times New Roman" w:hAnsi="Times New Roman"/>
          <w:color w:val="auto"/>
          <w:szCs w:val="21"/>
          <w:highlight w:val="none"/>
          <w:lang w:eastAsia="zh-CN"/>
        </w:rPr>
        <w:t xml:space="preserve">单位</w:t>
      </w:r>
      <w:r>
        <w:rPr>
          <w:rFonts w:ascii="Times New Roman" w:hAnsi="Times New Roman"/>
          <w:color w:val="auto"/>
          <w:szCs w:val="21"/>
          <w:highlight w:val="none"/>
        </w:rPr>
        <w:t xml:space="preserve">自行负责其招聘员工的一切工资、福利，如发生工伤、疾病乃至死亡的一切责任及费用由中标方全部负责。</w:t>
      </w:r>
      <w:r/>
    </w:p>
    <w:p>
      <w:pPr>
        <w:ind w:left="1" w:right="-176" w:firstLine="447"/>
        <w:spacing w:line="390" w:lineRule="exact"/>
        <w:rPr>
          <w:rFonts w:ascii="Times New Roman" w:hAnsi="Times New Roman"/>
          <w:color w:val="auto"/>
          <w:szCs w:val="21"/>
          <w:highlight w:val="none"/>
        </w:rPr>
      </w:pPr>
      <w:r>
        <w:rPr>
          <w:rFonts w:ascii="Times New Roman" w:hAnsi="Times New Roman"/>
          <w:color w:val="auto"/>
          <w:szCs w:val="21"/>
          <w:highlight w:val="none"/>
        </w:rPr>
        <w:t xml:space="preserve">5、</w:t>
      </w:r>
      <w:r>
        <w:rPr>
          <w:rFonts w:hint="eastAsia" w:ascii="Times New Roman" w:hAnsi="Times New Roman"/>
          <w:color w:val="auto"/>
          <w:szCs w:val="21"/>
          <w:highlight w:val="none"/>
          <w:lang w:val="en-US" w:eastAsia="zh-CN"/>
        </w:rPr>
        <w:t xml:space="preserve">中标</w:t>
      </w:r>
      <w:r>
        <w:rPr>
          <w:rFonts w:hint="eastAsia" w:ascii="Times New Roman" w:hAnsi="Times New Roman"/>
          <w:color w:val="auto"/>
          <w:szCs w:val="21"/>
          <w:highlight w:val="none"/>
          <w:lang w:eastAsia="zh-CN"/>
        </w:rPr>
        <w:t xml:space="preserve">单位</w:t>
      </w:r>
      <w:r>
        <w:rPr>
          <w:rFonts w:ascii="Times New Roman" w:hAnsi="Times New Roman"/>
          <w:color w:val="auto"/>
          <w:szCs w:val="21"/>
          <w:highlight w:val="none"/>
        </w:rPr>
        <w:t xml:space="preserve">应严格遵守国家有关的法律法规及行业标准，应严格按当地标准给付员工加班薪资。</w:t>
      </w:r>
      <w:r/>
    </w:p>
    <w:p>
      <w:pPr>
        <w:ind w:left="1" w:right="-176" w:firstLine="447"/>
        <w:spacing w:line="390" w:lineRule="exact"/>
        <w:rPr>
          <w:rFonts w:ascii="Times New Roman" w:hAnsi="Times New Roman"/>
          <w:color w:val="auto"/>
          <w:szCs w:val="21"/>
          <w:highlight w:val="none"/>
        </w:rPr>
      </w:pPr>
      <w:r>
        <w:rPr>
          <w:rFonts w:ascii="Times New Roman" w:hAnsi="Times New Roman"/>
          <w:color w:val="auto"/>
          <w:szCs w:val="21"/>
          <w:highlight w:val="none"/>
        </w:rPr>
        <w:t xml:space="preserve">6、履行后勤服务任务中发生差错造成第三者的意外伤亡事故及所引发的责任、经济由中标方承担（可购买公共责任险）。</w:t>
      </w:r>
      <w:r/>
    </w:p>
    <w:p>
      <w:pPr>
        <w:ind w:firstLine="420"/>
        <w:spacing w:line="380" w:lineRule="exact"/>
        <w:rPr>
          <w:b/>
          <w:bCs/>
          <w:color w:val="auto"/>
          <w:szCs w:val="21"/>
          <w:highlight w:val="none"/>
        </w:rPr>
      </w:pPr>
      <w:r>
        <w:rPr>
          <w:rFonts w:hint="eastAsia"/>
          <w:b/>
          <w:bCs/>
          <w:color w:val="auto"/>
          <w:szCs w:val="21"/>
          <w:highlight w:val="none"/>
        </w:rPr>
        <w:t xml:space="preserve">五、政府采购政策执行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rPr>
        <w:t xml:space="preserve">租赁和商务服务业。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b/>
          <w:bCs/>
          <w:color w:val="auto"/>
          <w:szCs w:val="21"/>
          <w:highlight w:val="none"/>
        </w:rPr>
      </w:pPr>
      <w:r>
        <w:rPr>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rPr>
        <w:t xml:space="preserve">六、综合说明</w:t>
      </w:r>
      <w:r/>
    </w:p>
    <w:p>
      <w:pPr>
        <w:ind w:firstLine="48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1、投标总价一次报定。</w:t>
      </w:r>
      <w:r/>
    </w:p>
    <w:p>
      <w:pPr>
        <w:ind w:firstLine="48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2、投标人应对所投项目的全部内容进行报价，只投其中部分内容者，其标书将被拒绝；</w:t>
      </w:r>
      <w:r/>
    </w:p>
    <w:p>
      <w:pPr>
        <w:ind w:firstLine="48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3、报价应包括：</w:t>
      </w:r>
      <w:r/>
    </w:p>
    <w:p>
      <w:pPr>
        <w:ind w:firstLine="480"/>
        <w:spacing w:line="400" w:lineRule="exact"/>
        <w:rPr>
          <w:rFonts w:ascii="宋体" w:hAnsi="宋体"/>
          <w:color w:val="auto"/>
          <w:szCs w:val="21"/>
          <w:highlight w:val="none"/>
        </w:rPr>
      </w:pPr>
      <w:r>
        <w:rPr>
          <w:rFonts w:hint="eastAsia" w:ascii="宋体" w:hAnsi="宋体" w:cs="宋体"/>
          <w:color w:val="auto"/>
          <w:szCs w:val="21"/>
          <w:highlight w:val="none"/>
        </w:rPr>
        <w:t xml:space="preserve">报价包括在承包期内完成服务内容所需要的一切费用，人工（包括工资、奖金、社保、</w:t>
      </w:r>
      <w:r>
        <w:rPr>
          <w:rFonts w:hint="eastAsia"/>
          <w:color w:val="auto"/>
          <w:szCs w:val="21"/>
          <w:highlight w:val="none"/>
        </w:rPr>
        <w:t xml:space="preserve">节假日及临时加班</w:t>
      </w:r>
      <w:r>
        <w:rPr>
          <w:rFonts w:hint="eastAsia" w:ascii="宋体" w:hAnsi="宋体" w:cs="宋体"/>
          <w:color w:val="auto"/>
          <w:szCs w:val="21"/>
          <w:highlight w:val="none"/>
        </w:rPr>
        <w:t xml:space="preserve">等费用）、包括但不限于所有耗材、</w:t>
      </w:r>
      <w:r>
        <w:rPr>
          <w:rFonts w:hint="eastAsia" w:ascii="宋体" w:hAnsi="宋体"/>
          <w:color w:val="auto"/>
          <w:szCs w:val="21"/>
          <w:highlight w:val="none"/>
        </w:rPr>
        <w:t xml:space="preserve">保安各类日常费用及对讲机费用、</w:t>
      </w:r>
      <w:r>
        <w:rPr>
          <w:rFonts w:hint="eastAsia" w:ascii="宋体" w:hAnsi="宋体" w:cs="宋体"/>
          <w:color w:val="auto"/>
          <w:szCs w:val="21"/>
          <w:highlight w:val="none"/>
        </w:rPr>
        <w:t xml:space="preserve">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rPr>
          <w:rFonts w:hint="eastAsia" w:ascii="宋体" w:hAnsi="宋体"/>
          <w:color w:val="auto"/>
          <w:szCs w:val="21"/>
          <w:highlight w:val="none"/>
        </w:rPr>
        <w:t xml:space="preserve">服务期内如遇国家最低工资标准和社会保险缴费基数调整，采购人不再给予</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lang w:eastAsia="zh-CN"/>
        </w:rPr>
        <w:t xml:space="preserve">单位</w:t>
      </w:r>
      <w:r>
        <w:rPr>
          <w:rFonts w:hint="eastAsia" w:ascii="宋体" w:hAnsi="宋体"/>
          <w:color w:val="auto"/>
          <w:szCs w:val="21"/>
          <w:highlight w:val="none"/>
        </w:rPr>
        <w:t xml:space="preserve">相应调整。</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中标单位须按照本招标采购文件的要求对该上述项目进行服务工作。</w:t>
      </w:r>
      <w:r>
        <w:rPr>
          <w:rFonts w:hint="eastAsia" w:ascii="宋体" w:hAnsi="宋体" w:cs="宋体"/>
          <w:color w:val="auto"/>
          <w:szCs w:val="21"/>
          <w:highlight w:val="none"/>
        </w:rPr>
        <w:t xml:space="preserve">中标单位对服务缺陷不予更正，招标人有权另请其他单位更正，所发生的费用在服务费中扣除。</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、投标人必须承诺招标文件中提出的全部服务要求；如果以其中某些条款不响应时，应在文件中逐条列出，未列出的视同响应。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s="宋体"/>
          <w:color w:val="auto"/>
          <w:szCs w:val="21"/>
          <w:highlight w:val="none"/>
        </w:rPr>
        <w:t xml:space="preserve">、如遇采购单位有重大</w:t>
      </w:r>
      <w:r>
        <w:rPr>
          <w:rFonts w:hint="eastAsia" w:ascii="宋体" w:hAnsi="宋体" w:cs="宋体"/>
          <w:color w:val="auto"/>
          <w:szCs w:val="21"/>
          <w:highlight w:val="none"/>
          <w:lang w:val="en-US" w:eastAsia="zh-CN"/>
        </w:rPr>
        <w:t xml:space="preserve">活动</w:t>
      </w:r>
      <w:r>
        <w:rPr>
          <w:rFonts w:hint="eastAsia" w:ascii="宋体" w:hAnsi="宋体" w:cs="宋体"/>
          <w:color w:val="auto"/>
          <w:szCs w:val="21"/>
          <w:highlight w:val="none"/>
        </w:rPr>
        <w:t xml:space="preserve">等特殊情况（工作量减少或增加幅度较大时），采购单位将提前两个月告知</w:t>
      </w:r>
      <w:r>
        <w:rPr>
          <w:rFonts w:hint="eastAsia" w:ascii="宋体" w:hAnsi="宋体" w:cs="宋体"/>
          <w:color w:val="auto"/>
          <w:szCs w:val="21"/>
          <w:highlight w:val="none"/>
          <w:lang w:val="en-US" w:eastAsia="zh-CN"/>
        </w:rPr>
        <w:t xml:space="preserve">中标人</w:t>
      </w:r>
      <w:r>
        <w:rPr>
          <w:rFonts w:hint="eastAsia" w:ascii="宋体" w:hAnsi="宋体" w:cs="宋体"/>
          <w:color w:val="auto"/>
          <w:szCs w:val="21"/>
          <w:highlight w:val="none"/>
        </w:rPr>
        <w:t xml:space="preserve">，合同内容经双方协商调整</w:t>
      </w:r>
      <w:r>
        <w:rPr>
          <w:rFonts w:hint="eastAsia" w:ascii="宋体" w:hAnsi="宋体" w:cs="宋体"/>
          <w:color w:val="auto"/>
          <w:szCs w:val="21"/>
          <w:highlight w:val="none"/>
          <w:lang w:eastAsia="zh-CN"/>
        </w:rPr>
        <w:t xml:space="preserve">，增加部分不超过合同价10%，且不超过</w:t>
      </w:r>
      <w:r>
        <w:rPr>
          <w:rFonts w:hint="eastAsia" w:ascii="宋体" w:hAnsi="宋体" w:cs="宋体"/>
          <w:color w:val="auto"/>
          <w:szCs w:val="21"/>
          <w:highlight w:val="none"/>
          <w:lang w:val="en-US" w:eastAsia="zh-CN"/>
        </w:rPr>
        <w:t xml:space="preserve">预算</w:t>
      </w:r>
      <w:r>
        <w:rPr>
          <w:rFonts w:hint="eastAsia" w:ascii="宋体" w:hAnsi="宋体" w:cs="宋体"/>
          <w:color w:val="auto"/>
          <w:szCs w:val="21"/>
          <w:highlight w:val="none"/>
          <w:lang w:eastAsia="zh-CN"/>
        </w:rPr>
        <w:t xml:space="preserve">金额，超出按</w:t>
      </w:r>
      <w:r>
        <w:rPr>
          <w:rFonts w:hint="eastAsia" w:ascii="宋体" w:hAnsi="宋体" w:cs="宋体"/>
          <w:color w:val="auto"/>
          <w:szCs w:val="21"/>
          <w:highlight w:val="none"/>
          <w:lang w:val="en-US" w:eastAsia="zh-CN"/>
        </w:rPr>
        <w:t xml:space="preserve">预算金额</w:t>
      </w:r>
      <w:r>
        <w:rPr>
          <w:rFonts w:hint="eastAsia" w:ascii="宋体" w:hAnsi="宋体" w:cs="宋体"/>
          <w:color w:val="auto"/>
          <w:szCs w:val="21"/>
          <w:highlight w:val="none"/>
          <w:lang w:eastAsia="zh-CN"/>
        </w:rPr>
        <w:t xml:space="preserve">结算。</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lang w:eastAsia="zh-CN"/>
        </w:rPr>
        <w:t xml:space="preserve">单位</w:t>
      </w:r>
      <w:r>
        <w:rPr>
          <w:rFonts w:hint="eastAsia" w:ascii="宋体" w:hAnsi="宋体" w:cs="宋体"/>
          <w:color w:val="auto"/>
          <w:szCs w:val="21"/>
          <w:highlight w:val="none"/>
        </w:rPr>
        <w:t xml:space="preserve">在合同签订后应按照国家规定为员工缴纳各项五金等福利，投标报价为最终报价，除非因特殊原因并经买卖双方协商同意，投标人不得再要求追加任何费用。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、投标报价中人员的工资、社保等标准，不得低于苏州市政府文件最新规定的最低标准，否则视为无效投标</w:t>
      </w:r>
      <w:r>
        <w:rPr>
          <w:rFonts w:hint="eastAsia" w:ascii="宋体" w:hAnsi="宋体" w:cs="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、招标人不接受投标人任何因遗漏报价而发生的费用追加，因投标人违反《</w:t>
      </w:r>
      <w:r>
        <w:rPr>
          <w:rFonts w:hint="eastAsia" w:ascii="宋体" w:hAnsi="宋体"/>
          <w:color w:val="auto"/>
          <w:szCs w:val="21"/>
          <w:highlight w:val="none"/>
          <w:lang w:eastAsia="zh-CN"/>
        </w:rPr>
        <w:t xml:space="preserve">中华人民共和国劳动法</w:t>
      </w:r>
      <w:r>
        <w:rPr>
          <w:rFonts w:hint="eastAsia" w:ascii="宋体" w:hAnsi="宋体"/>
          <w:color w:val="auto"/>
          <w:szCs w:val="21"/>
          <w:highlight w:val="none"/>
        </w:rPr>
        <w:t xml:space="preserve">》等法律法规而造成采购人的连带责任和损失全部由中标方承担。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、投标人应在投标文件中说明，如能中标，在服务过程中需要采购人配合的工作和需要提供的条件。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凡涉及采购文件的补充说明和修改，均以江苏政府采购网、苏州政府采购网所发布的公告为准。</w:t>
      </w:r>
      <w:r/>
    </w:p>
    <w:p>
      <w:pPr>
        <w:ind w:firstLine="422"/>
        <w:jc w:val="left"/>
        <w:spacing w:line="400" w:lineRule="exact"/>
        <w:widowControl/>
        <w:rPr>
          <w:rFonts w:ascii="宋体" w:hAnsi="宋体"/>
          <w:color w:val="auto"/>
          <w:szCs w:val="21"/>
          <w:highlight w:val="none"/>
          <w:lang w:val="zh-CN"/>
        </w:rPr>
      </w:pPr>
      <w:r>
        <w:rPr>
          <w:rFonts w:ascii="宋体" w:hAnsi="宋体"/>
          <w:color w:val="auto"/>
          <w:szCs w:val="21"/>
          <w:highlight w:val="none"/>
          <w:lang w:val="zh-CN"/>
        </w:rPr>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pPr>
      <w:r>
        <w:rPr>
          <w:rFonts w:ascii="宋体" w:hAnsi="宋体"/>
          <w:color w:val="auto"/>
          <w:szCs w:val="21"/>
          <w:highlight w:val="none"/>
        </w:rPr>
        <w:t xml:space="preserve">合同编号：</w:t>
      </w:r>
      <w:r/>
    </w:p>
    <w:p>
      <w:pPr>
        <w:ind w:firstLine="420"/>
        <w:spacing w:line="400" w:lineRule="exact"/>
      </w:pPr>
      <w:r>
        <w:rPr>
          <w:rFonts w:ascii="宋体" w:hAnsi="宋体"/>
          <w:color w:val="auto"/>
          <w:szCs w:val="21"/>
          <w:highlight w:val="none"/>
        </w:rPr>
      </w:r>
      <w:r/>
    </w:p>
    <w:p>
      <w:pPr>
        <w:ind w:firstLine="420"/>
        <w:spacing w:line="400" w:lineRule="exact"/>
      </w:pPr>
      <w:r>
        <w:rPr>
          <w:rFonts w:ascii="宋体" w:hAnsi="宋体"/>
          <w:color w:val="auto"/>
          <w:szCs w:val="21"/>
          <w:highlight w:val="none"/>
        </w:rPr>
        <w:t xml:space="preserve">甲方：                                （以下简称甲方）</w:t>
      </w:r>
      <w:r/>
    </w:p>
    <w:p>
      <w:pPr>
        <w:ind w:firstLine="420"/>
        <w:spacing w:line="400" w:lineRule="exact"/>
      </w:pPr>
      <w:r>
        <w:rPr>
          <w:rFonts w:ascii="宋体" w:hAnsi="宋体"/>
          <w:color w:val="auto"/>
          <w:szCs w:val="21"/>
          <w:highlight w:val="none"/>
        </w:rPr>
      </w:r>
      <w:r/>
    </w:p>
    <w:p>
      <w:pPr>
        <w:ind w:firstLine="420"/>
        <w:spacing w:line="400" w:lineRule="exact"/>
      </w:pPr>
      <w:r>
        <w:rPr>
          <w:rFonts w:ascii="宋体" w:hAnsi="宋体"/>
          <w:color w:val="auto"/>
          <w:szCs w:val="21"/>
          <w:highlight w:val="none"/>
        </w:rPr>
        <w:t xml:space="preserve">乙方：                                （以下简称乙方）</w:t>
      </w:r>
      <w:r/>
    </w:p>
    <w:p>
      <w:pPr>
        <w:ind w:firstLine="420"/>
        <w:spacing w:line="400" w:lineRule="exact"/>
      </w:pPr>
      <w:r>
        <w:rPr>
          <w:rFonts w:ascii="宋体" w:hAnsi="宋体"/>
          <w:color w:val="auto"/>
          <w:szCs w:val="21"/>
          <w:highlight w:val="none"/>
        </w:rPr>
      </w:r>
      <w:r/>
    </w:p>
    <w:p>
      <w:pPr>
        <w:ind w:firstLine="420"/>
        <w:spacing w:line="400" w:lineRule="exact"/>
      </w:pPr>
      <w:r>
        <w:rPr>
          <w:rFonts w:ascii="宋体" w:hAnsi="宋体"/>
          <w:color w:val="auto"/>
          <w:szCs w:val="21"/>
          <w:highlight w:val="none"/>
        </w:rPr>
        <w:t xml:space="preserve">根据苏州市政府采购招标编号为            的招标文件及该文件的投标文件和中标通知书，甲乙双方就甲方聘用乙方从事                       工作，签订本合同书。  </w:t>
      </w:r>
      <w:r/>
    </w:p>
    <w:p>
      <w:pPr>
        <w:ind w:firstLine="420"/>
        <w:spacing w:line="400" w:lineRule="exact"/>
      </w:pPr>
      <w:r>
        <w:rPr>
          <w:rFonts w:ascii="宋体" w:hAnsi="宋体"/>
          <w:color w:val="auto"/>
          <w:szCs w:val="21"/>
          <w:highlight w:val="none"/>
        </w:rPr>
        <w:t xml:space="preserve">一、合同内容：</w:t>
      </w:r>
      <w:r/>
    </w:p>
    <w:p>
      <w:pPr>
        <w:ind w:firstLine="420"/>
        <w:spacing w:line="400" w:lineRule="exact"/>
      </w:pPr>
      <w:r>
        <w:rPr>
          <w:rFonts w:ascii="宋体" w:hAnsi="宋体"/>
          <w:color w:val="auto"/>
          <w:szCs w:val="21"/>
          <w:highlight w:val="none"/>
        </w:rPr>
        <w:t xml:space="preserve">1、乙方为甲方提供                  。</w:t>
      </w:r>
      <w:r/>
    </w:p>
    <w:p>
      <w:pPr>
        <w:ind w:firstLine="420"/>
        <w:spacing w:line="400" w:lineRule="exact"/>
      </w:pPr>
      <w:r>
        <w:rPr>
          <w:rFonts w:ascii="宋体" w:hAnsi="宋体"/>
          <w:color w:val="auto"/>
          <w:szCs w:val="21"/>
          <w:highlight w:val="none"/>
        </w:rPr>
        <w:t xml:space="preserve">2、服务范围包括：                 。</w:t>
      </w:r>
      <w:r/>
    </w:p>
    <w:p>
      <w:pPr>
        <w:ind w:firstLine="420"/>
        <w:spacing w:line="400" w:lineRule="exact"/>
      </w:pPr>
      <w:r>
        <w:rPr>
          <w:rFonts w:ascii="宋体" w:hAnsi="宋体"/>
          <w:color w:val="auto"/>
          <w:szCs w:val="21"/>
          <w:highlight w:val="none"/>
        </w:rPr>
        <w:t xml:space="preserve">3、服务期限：一年。（自     年     月     日至     年     月     日）。在合同有效期内乙方不得擅自变更、中止或解除本合同；乙方擅自变更、中止或解除本合同的，应承担全部违约责任。甲方因公共利益、政策调整、医院运营需要或服务需求变化，确需变更、中止或解除本合同的，应提前【】日书面通知乙方，双方按照实际服务时长结算费用，甲方不承担额外违约责任。合同到期前3个月，甲方有权根据服务质量、政策要求及实际需求自主决定是否续签。</w:t>
      </w:r>
      <w:r/>
    </w:p>
    <w:p>
      <w:pPr>
        <w:ind w:firstLine="420"/>
        <w:spacing w:line="400" w:lineRule="exact"/>
      </w:pPr>
      <w:r>
        <w:rPr>
          <w:rFonts w:ascii="宋体" w:hAnsi="宋体"/>
          <w:color w:val="auto"/>
          <w:szCs w:val="21"/>
          <w:highlight w:val="none"/>
        </w:rPr>
        <w:t xml:space="preserve">4、服务地点：苏州市第五人民医院指定地点。</w:t>
      </w:r>
      <w:r/>
    </w:p>
    <w:p>
      <w:pPr>
        <w:ind w:firstLine="420"/>
        <w:spacing w:line="400" w:lineRule="exact"/>
      </w:pPr>
      <w:r>
        <w:rPr>
          <w:rFonts w:ascii="宋体" w:hAnsi="宋体"/>
          <w:color w:val="auto"/>
          <w:szCs w:val="21"/>
          <w:highlight w:val="none"/>
        </w:rPr>
        <w:t xml:space="preserve">5、下列文件为本合同不可分割部分：</w:t>
      </w:r>
      <w:r/>
    </w:p>
    <w:p>
      <w:pPr>
        <w:ind w:firstLine="420"/>
        <w:spacing w:line="400" w:lineRule="exact"/>
      </w:pPr>
      <w:r>
        <w:rPr>
          <w:rFonts w:ascii="宋体" w:hAnsi="宋体"/>
          <w:color w:val="auto"/>
          <w:szCs w:val="21"/>
          <w:highlight w:val="none"/>
        </w:rPr>
        <w:t xml:space="preserve">（1）中标通知书；</w:t>
      </w:r>
      <w:r/>
    </w:p>
    <w:p>
      <w:pPr>
        <w:ind w:firstLine="420"/>
        <w:spacing w:line="400" w:lineRule="exact"/>
      </w:pPr>
      <w:r>
        <w:rPr>
          <w:rFonts w:ascii="宋体" w:hAnsi="宋体"/>
          <w:color w:val="auto"/>
          <w:szCs w:val="21"/>
          <w:highlight w:val="none"/>
        </w:rPr>
        <w:t xml:space="preserve">（2）乙方的投标文件；</w:t>
      </w:r>
      <w:r/>
    </w:p>
    <w:p>
      <w:pPr>
        <w:ind w:firstLine="420"/>
        <w:spacing w:line="400" w:lineRule="exact"/>
      </w:pPr>
      <w:r>
        <w:rPr>
          <w:rFonts w:ascii="宋体" w:hAnsi="宋体"/>
          <w:color w:val="auto"/>
          <w:szCs w:val="21"/>
          <w:highlight w:val="none"/>
        </w:rPr>
        <w:t xml:space="preserve">（3）乙方在招投标过程中所作的其它承诺、声明、书面澄清等；</w:t>
      </w:r>
      <w:r/>
    </w:p>
    <w:p>
      <w:pPr>
        <w:ind w:firstLine="420"/>
        <w:spacing w:line="400" w:lineRule="exact"/>
      </w:pPr>
      <w:r>
        <w:rPr>
          <w:rFonts w:ascii="宋体" w:hAnsi="宋体"/>
          <w:color w:val="auto"/>
          <w:szCs w:val="21"/>
          <w:highlight w:val="none"/>
        </w:rPr>
        <w:t xml:space="preserve">（4）招标文件及其附件；</w:t>
      </w:r>
      <w:r/>
    </w:p>
    <w:p>
      <w:pPr>
        <w:ind w:firstLine="420"/>
        <w:spacing w:line="400" w:lineRule="exact"/>
      </w:pPr>
      <w:r>
        <w:rPr>
          <w:rFonts w:ascii="宋体" w:hAnsi="宋体"/>
          <w:color w:val="auto"/>
          <w:szCs w:val="21"/>
          <w:highlight w:val="none"/>
        </w:rPr>
        <w:t xml:space="preserve">（5）合同附件。</w:t>
      </w:r>
      <w:r/>
    </w:p>
    <w:p>
      <w:pPr>
        <w:ind w:firstLine="420"/>
        <w:spacing w:line="400" w:lineRule="exact"/>
      </w:pPr>
      <w:r>
        <w:rPr>
          <w:rFonts w:ascii="宋体" w:hAnsi="宋体"/>
          <w:color w:val="auto"/>
          <w:szCs w:val="21"/>
          <w:highlight w:val="none"/>
        </w:rPr>
        <w:t xml:space="preserve">以上与本合同具有同等法律效力</w:t>
      </w:r>
      <w:r/>
    </w:p>
    <w:p>
      <w:pPr>
        <w:ind w:firstLine="420"/>
        <w:spacing w:line="400" w:lineRule="exact"/>
      </w:pPr>
      <w:r>
        <w:rPr>
          <w:rFonts w:ascii="宋体" w:hAnsi="宋体"/>
          <w:color w:val="auto"/>
          <w:szCs w:val="21"/>
          <w:highlight w:val="none"/>
        </w:rPr>
        <w:t xml:space="preserve">二、合同价格及费用结算：</w:t>
      </w:r>
      <w:r/>
    </w:p>
    <w:p>
      <w:pPr>
        <w:ind w:firstLine="420"/>
        <w:spacing w:line="400" w:lineRule="exact"/>
      </w:pPr>
      <w:r>
        <w:rPr>
          <w:rFonts w:ascii="宋体" w:hAnsi="宋体"/>
          <w:color w:val="auto"/>
          <w:szCs w:val="21"/>
          <w:highlight w:val="none"/>
        </w:rPr>
        <w:t xml:space="preserve">1、合同总价：                                      。以上价格包括在承包期内完成服务内容所需要的一切费用，人工（包括工资、奖金、社保、加班费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ind w:firstLine="420"/>
        <w:spacing w:line="400" w:lineRule="exact"/>
      </w:pPr>
      <w:r>
        <w:rPr>
          <w:rFonts w:ascii="宋体" w:hAnsi="宋体"/>
          <w:color w:val="auto"/>
          <w:szCs w:val="21"/>
          <w:highlight w:val="none"/>
        </w:rPr>
        <w:t xml:space="preserve">服务期内如遇国家最低工资标准和社会保险缴费基数调整，甲方不再给予乙方相应调整。</w:t>
      </w:r>
      <w:r/>
    </w:p>
    <w:p>
      <w:pPr>
        <w:ind w:firstLine="420"/>
        <w:spacing w:line="400" w:lineRule="exact"/>
      </w:pPr>
      <w:r>
        <w:rPr>
          <w:rFonts w:ascii="宋体" w:hAnsi="宋体"/>
          <w:color w:val="auto"/>
          <w:szCs w:val="21"/>
          <w:highlight w:val="none"/>
        </w:rPr>
        <w:t xml:space="preserve">2、付款步骤：</w:t>
      </w:r>
      <w:r/>
    </w:p>
    <w:p>
      <w:pPr>
        <w:ind w:firstLine="420"/>
        <w:spacing w:line="400" w:lineRule="exact"/>
      </w:pPr>
      <w:r>
        <w:rPr>
          <w:rFonts w:ascii="宋体" w:hAnsi="宋体"/>
          <w:color w:val="auto"/>
          <w:szCs w:val="21"/>
          <w:highlight w:val="none"/>
        </w:rPr>
        <w:t xml:space="preserve">（1）合同价款的支付及付款方式：管理费每个季度为一个结算周期，每季度应结算的管理费=当期实际安保用工费用×考核成绩（季度考核均分在95分及以上的全额支付该季度费用，低于95分的，按考核分值%为系数发放）；在每个结算周期结束后，乙方应提交该季度服务情况说明、人员到岗记录、考核自评表及合格增值税发票，甲方完成季度考核并确认考核结果后，支付当季对应服务费。季度考核均分低于80分的，甲方有权暂停支付当季度费用，并要求乙方限期整改；整改后考核仍低于80分的，甲方有权单方解除合同。</w:t>
      </w:r>
      <w:r/>
    </w:p>
    <w:p>
      <w:pPr>
        <w:ind w:firstLine="420"/>
        <w:spacing w:line="400" w:lineRule="exact"/>
      </w:pPr>
      <w:r>
        <w:rPr>
          <w:rFonts w:ascii="宋体" w:hAnsi="宋体"/>
          <w:color w:val="auto"/>
          <w:szCs w:val="21"/>
          <w:highlight w:val="none"/>
        </w:rPr>
        <w:t xml:space="preserve">（2）如乙方提供的服务存在缺陷，甲方应向乙方发出整改通知并明确整改期限；乙方未在指定期限内完成整改的，甲方有权委托第三方处理，所发生的合理费用从当期应付服务费中直接扣除，不足部分甲方有权向乙方追偿。</w:t>
      </w:r>
      <w:r/>
    </w:p>
    <w:p>
      <w:pPr>
        <w:ind w:firstLine="420"/>
        <w:spacing w:line="400" w:lineRule="exact"/>
      </w:pPr>
      <w:r>
        <w:rPr>
          <w:rFonts w:ascii="宋体" w:hAnsi="宋体"/>
          <w:color w:val="auto"/>
          <w:szCs w:val="21"/>
          <w:highlight w:val="none"/>
        </w:rPr>
        <w:t xml:space="preserve">（3）采购人支付此项费用外不再承担其他任何费用（包括个人），服务人员的薪金、福利、休假日补贴等由中标人付给，与采购人无关。</w:t>
      </w:r>
      <w:r/>
    </w:p>
    <w:p>
      <w:pPr>
        <w:ind w:firstLine="420"/>
        <w:spacing w:line="400" w:lineRule="exact"/>
      </w:pPr>
      <w:r>
        <w:rPr>
          <w:rFonts w:ascii="宋体" w:hAnsi="宋体"/>
          <w:color w:val="auto"/>
          <w:szCs w:val="21"/>
          <w:highlight w:val="none"/>
        </w:rPr>
        <w:t xml:space="preserve">（4）确因采购人工作需要，中标人应无条件配合甲方完成一些突击工作。如：安排服务人员（内部）临时加班。</w:t>
      </w:r>
      <w:r/>
    </w:p>
    <w:p>
      <w:pPr>
        <w:ind w:firstLine="420"/>
        <w:spacing w:line="400" w:lineRule="exact"/>
      </w:pPr>
      <w:r>
        <w:rPr>
          <w:rFonts w:ascii="宋体" w:hAnsi="宋体"/>
          <w:color w:val="auto"/>
          <w:szCs w:val="21"/>
          <w:highlight w:val="none"/>
        </w:rPr>
        <w:t xml:space="preserve">3、乙方有责任配合甲方接受上级领导部门的监督、检查，并提供必须的材料。甲方有权对乙方进行月度考核，考核结果与当月度费用结算挂钩。具体考核方法和标准按医院要求执行。除合同约定外，甲方不再向乙方额外支付其他费用。</w:t>
      </w:r>
      <w:r/>
    </w:p>
    <w:p>
      <w:pPr>
        <w:ind w:firstLine="420"/>
        <w:spacing w:line="400" w:lineRule="exact"/>
      </w:pPr>
      <w:r>
        <w:rPr>
          <w:rFonts w:ascii="宋体" w:hAnsi="宋体"/>
          <w:color w:val="auto"/>
          <w:szCs w:val="21"/>
          <w:highlight w:val="none"/>
        </w:rPr>
        <w:t xml:space="preserve">乙方未按合同约定标准提供服务，经甲方月度考核不合格的，每出现一次，乙方应向甲方支付当月服务费5%的违约金；连续两个月考核不合格或一个季度内累计三次考核不合格的，甲方有权解除合同并要求乙方支付合同总价款5%的违约金</w:t>
      </w:r>
      <w:r/>
    </w:p>
    <w:p>
      <w:pPr>
        <w:ind w:firstLine="420"/>
        <w:spacing w:line="400" w:lineRule="exact"/>
      </w:pPr>
      <w:r>
        <w:rPr>
          <w:rFonts w:ascii="宋体" w:hAnsi="宋体"/>
          <w:color w:val="auto"/>
          <w:szCs w:val="21"/>
          <w:highlight w:val="none"/>
        </w:rPr>
        <w:t xml:space="preserve">4、支付方式：银行账户转账。</w:t>
      </w:r>
      <w:r/>
    </w:p>
    <w:p>
      <w:pPr>
        <w:ind w:firstLine="420"/>
        <w:spacing w:line="400" w:lineRule="exact"/>
      </w:pPr>
      <w:r>
        <w:rPr>
          <w:rFonts w:ascii="宋体" w:hAnsi="宋体"/>
          <w:color w:val="auto"/>
          <w:szCs w:val="21"/>
          <w:highlight w:val="none"/>
        </w:rPr>
        <w:t xml:space="preserve">乙方账户信息如下：</w:t>
      </w:r>
      <w:r/>
    </w:p>
    <w:p>
      <w:pPr>
        <w:ind w:firstLine="420"/>
        <w:spacing w:line="400" w:lineRule="exact"/>
      </w:pPr>
      <w:r>
        <w:rPr>
          <w:rFonts w:ascii="宋体" w:hAnsi="宋体"/>
          <w:color w:val="auto"/>
          <w:szCs w:val="21"/>
          <w:highlight w:val="none"/>
        </w:rPr>
        <w:t xml:space="preserve">账户开户银行： </w:t>
      </w:r>
      <w:r/>
    </w:p>
    <w:p>
      <w:pPr>
        <w:ind w:firstLine="420"/>
        <w:spacing w:line="400" w:lineRule="exact"/>
      </w:pPr>
      <w:r>
        <w:rPr>
          <w:rFonts w:ascii="宋体" w:hAnsi="宋体"/>
          <w:color w:val="auto"/>
          <w:szCs w:val="21"/>
          <w:highlight w:val="none"/>
        </w:rPr>
        <w:t xml:space="preserve">账户开户名称： </w:t>
      </w:r>
      <w:r/>
    </w:p>
    <w:p>
      <w:pPr>
        <w:ind w:firstLine="420"/>
        <w:spacing w:line="400" w:lineRule="exact"/>
      </w:pPr>
      <w:r>
        <w:rPr>
          <w:rFonts w:ascii="宋体" w:hAnsi="宋体"/>
          <w:color w:val="auto"/>
          <w:szCs w:val="21"/>
          <w:highlight w:val="none"/>
        </w:rPr>
        <w:t xml:space="preserve">账户账号：</w:t>
      </w:r>
      <w:r/>
    </w:p>
    <w:p>
      <w:pPr>
        <w:ind w:firstLine="420"/>
        <w:spacing w:line="400" w:lineRule="exact"/>
      </w:pPr>
      <w:r>
        <w:rPr>
          <w:rFonts w:ascii="宋体" w:hAnsi="宋体"/>
          <w:color w:val="auto"/>
          <w:szCs w:val="21"/>
          <w:highlight w:val="none"/>
        </w:rPr>
        <w:t xml:space="preserve">三、服务质量与检验：</w:t>
      </w:r>
      <w:r/>
    </w:p>
    <w:p>
      <w:pPr>
        <w:ind w:firstLine="420"/>
        <w:spacing w:line="400" w:lineRule="exact"/>
      </w:pPr>
      <w:r>
        <w:rPr>
          <w:rFonts w:ascii="宋体" w:hAnsi="宋体"/>
          <w:color w:val="auto"/>
          <w:szCs w:val="21"/>
          <w:highlight w:val="none"/>
        </w:rPr>
        <w:t xml:space="preserve">服务项目实施后，甲方有权随时对乙方服务进行抽查，每月组织一次验收，并按季度组织正式验收。验收标准包括采购文件要求、乙方投标承诺、合同约定及考核细则。验收或抽查发现服务不符合要求的，乙方应在甲方发出整改通知后24小时内完成整改并承担由此产生的一切后果；逾期未整改或整改后仍不合格的，甲方有权根据不合格服务的范围、程度及影响，按照考核细则扣减相应服务费。甲方未在乙方提供服务后3个工作日内提出书面异议的，不视为甲方放弃后续验收、抽查、整改要求及考核扣款的权利。</w:t>
      </w:r>
      <w:r/>
    </w:p>
    <w:p>
      <w:pPr>
        <w:ind w:firstLine="420"/>
        <w:spacing w:line="400" w:lineRule="exact"/>
      </w:pPr>
      <w:r>
        <w:rPr>
          <w:rFonts w:ascii="宋体" w:hAnsi="宋体"/>
          <w:color w:val="auto"/>
          <w:szCs w:val="21"/>
          <w:highlight w:val="none"/>
        </w:rPr>
        <w:t xml:space="preserve">四、甲、乙双方的责任</w:t>
      </w:r>
      <w:r/>
    </w:p>
    <w:p>
      <w:pPr>
        <w:ind w:firstLine="420"/>
        <w:spacing w:line="400" w:lineRule="exact"/>
      </w:pPr>
      <w:r>
        <w:rPr>
          <w:rFonts w:ascii="宋体" w:hAnsi="宋体"/>
          <w:color w:val="auto"/>
          <w:szCs w:val="21"/>
          <w:highlight w:val="none"/>
        </w:rPr>
        <w:t xml:space="preserve">1、甲方责任：</w:t>
      </w:r>
      <w:r/>
    </w:p>
    <w:p>
      <w:pPr>
        <w:ind w:firstLine="420"/>
        <w:spacing w:line="400" w:lineRule="exact"/>
      </w:pPr>
      <w:r>
        <w:rPr>
          <w:rFonts w:ascii="宋体" w:hAnsi="宋体"/>
          <w:color w:val="auto"/>
          <w:szCs w:val="21"/>
          <w:highlight w:val="none"/>
        </w:rPr>
        <w:t xml:space="preserve">（1）为乙方提供办公用房及通讯设施（1部市内固定电话），并指定专人作为甲方联系人予以协调工作。加强与乙方沟通，交流情况，互通信息。</w:t>
      </w:r>
      <w:r/>
    </w:p>
    <w:p>
      <w:pPr>
        <w:ind w:firstLine="420"/>
        <w:spacing w:line="400" w:lineRule="exact"/>
      </w:pPr>
      <w:r>
        <w:rPr>
          <w:rFonts w:ascii="宋体" w:hAnsi="宋体"/>
          <w:color w:val="auto"/>
          <w:szCs w:val="21"/>
          <w:highlight w:val="none"/>
        </w:rPr>
        <w:t xml:space="preserve">（2）甲方应教育所属人员尊重乙方工作人员的劳动成果，积极配合乙方工作人员履行好合同所规定的职责和义务。</w:t>
      </w:r>
      <w:r/>
    </w:p>
    <w:p>
      <w:pPr>
        <w:ind w:firstLine="420"/>
        <w:spacing w:line="400" w:lineRule="exact"/>
      </w:pPr>
      <w:r>
        <w:rPr>
          <w:rFonts w:ascii="宋体" w:hAnsi="宋体"/>
          <w:color w:val="auto"/>
          <w:szCs w:val="21"/>
          <w:highlight w:val="none"/>
        </w:rPr>
        <w:t xml:space="preserve">2、乙方责任：</w:t>
      </w:r>
      <w:r/>
    </w:p>
    <w:p>
      <w:pPr>
        <w:ind w:firstLine="420"/>
        <w:spacing w:line="400" w:lineRule="exact"/>
      </w:pPr>
      <w:r>
        <w:rPr>
          <w:rFonts w:ascii="宋体" w:hAnsi="宋体"/>
          <w:color w:val="auto"/>
          <w:szCs w:val="21"/>
          <w:highlight w:val="none"/>
        </w:rPr>
        <w:t xml:space="preserve">（1）乙方在从事安保服务（道前院区）工作中应当做到文明工作、安全生产，采取必要的安全防范措施，合同期内若发生安全事故由乙方承担，与甲方无关。</w:t>
      </w:r>
      <w:r/>
    </w:p>
    <w:p>
      <w:pPr>
        <w:ind w:firstLine="420"/>
        <w:spacing w:line="400" w:lineRule="exact"/>
      </w:pPr>
      <w:r>
        <w:rPr>
          <w:rFonts w:ascii="宋体" w:hAnsi="宋体"/>
          <w:color w:val="auto"/>
          <w:szCs w:val="21"/>
          <w:highlight w:val="none"/>
        </w:rPr>
        <w:t xml:space="preserve">（2）乙方应及时调整不适应工作需求的安保服务（道前院区）人员及其员工。如甲方认为该员工不能胜任本职工作的，必须调整。</w:t>
      </w:r>
      <w:r/>
    </w:p>
    <w:p>
      <w:pPr>
        <w:ind w:firstLine="420"/>
        <w:spacing w:line="400" w:lineRule="exact"/>
      </w:pPr>
      <w:r>
        <w:rPr>
          <w:rFonts w:ascii="宋体" w:hAnsi="宋体"/>
          <w:color w:val="auto"/>
          <w:szCs w:val="21"/>
          <w:highlight w:val="none"/>
        </w:rPr>
        <w:t xml:space="preserve">（3）乙方应经常对员工进行岗位职责和安全教育，加强岗位责任考核。因乙方管理不当、员工违规操作、履职不到位、缺岗漏岗等原因发生设备损坏、被盗、人员伤亡、第三方损害等安全事故对甲方造成一定损失的，乙方需承担相应的赔偿责任。具体办法于合同签订后经甲乙双方协商后确定。</w:t>
      </w:r>
      <w:r/>
    </w:p>
    <w:p>
      <w:pPr>
        <w:ind w:firstLine="420"/>
        <w:spacing w:line="400" w:lineRule="exact"/>
      </w:pPr>
      <w:r>
        <w:rPr>
          <w:rFonts w:ascii="宋体" w:hAnsi="宋体"/>
          <w:color w:val="auto"/>
          <w:szCs w:val="21"/>
          <w:highlight w:val="none"/>
        </w:rPr>
        <w:t xml:space="preserve">（4）劳动用工合规义务</w:t>
      </w:r>
      <w:r/>
    </w:p>
    <w:p>
      <w:pPr>
        <w:ind w:firstLine="420"/>
        <w:spacing w:line="400" w:lineRule="exact"/>
      </w:pPr>
      <w:r>
        <w:rPr>
          <w:rFonts w:ascii="宋体" w:hAnsi="宋体"/>
          <w:color w:val="auto"/>
          <w:szCs w:val="21"/>
          <w:highlight w:val="none"/>
        </w:rPr>
        <w:t xml:space="preserve">① 乙方应依法与派驻本项目的全部员工签订书面劳动合同，按时足额支付劳动报酬（含加班工资），依法缴纳社会保险及住房公积金。因本项目安保服务需24小时不间断值守，乙方应根据岗位特点依法申请实行综合计算工时工作制或不定时工作制；未取得行政审批的，应按标准工时制度依法支付加班工资。</w:t>
      </w:r>
      <w:r/>
    </w:p>
    <w:p>
      <w:pPr>
        <w:ind w:firstLine="420"/>
        <w:spacing w:line="400" w:lineRule="exact"/>
      </w:pPr>
      <w:r>
        <w:rPr>
          <w:rFonts w:ascii="宋体" w:hAnsi="宋体"/>
          <w:color w:val="auto"/>
          <w:szCs w:val="21"/>
          <w:highlight w:val="none"/>
        </w:rPr>
        <w:t xml:space="preserve">② 乙方员工发生工伤、职业病、劳动争议的，由乙方负责处理并承担全部费用，与甲方无关。</w:t>
      </w:r>
      <w:r/>
    </w:p>
    <w:p>
      <w:pPr>
        <w:ind w:firstLine="420"/>
        <w:spacing w:line="400" w:lineRule="exact"/>
      </w:pPr>
      <w:r>
        <w:rPr>
          <w:rFonts w:ascii="宋体" w:hAnsi="宋体"/>
          <w:color w:val="auto"/>
          <w:szCs w:val="21"/>
          <w:highlight w:val="none"/>
        </w:rPr>
        <w:t xml:space="preserve">五、违约责任</w:t>
      </w:r>
      <w:r/>
    </w:p>
    <w:p>
      <w:pPr>
        <w:ind w:firstLine="420"/>
        <w:spacing w:line="400" w:lineRule="exact"/>
      </w:pPr>
      <w:r>
        <w:rPr>
          <w:rFonts w:ascii="宋体" w:hAnsi="宋体"/>
          <w:color w:val="auto"/>
          <w:szCs w:val="21"/>
          <w:highlight w:val="none"/>
        </w:rPr>
        <w:t xml:space="preserve">1、违约责任</w:t>
      </w:r>
      <w:r/>
    </w:p>
    <w:p>
      <w:pPr>
        <w:ind w:firstLine="420"/>
        <w:spacing w:line="400" w:lineRule="exact"/>
      </w:pPr>
      <w:r>
        <w:rPr>
          <w:rFonts w:ascii="宋体" w:hAnsi="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pPr>
      <w:r>
        <w:rPr>
          <w:rFonts w:ascii="宋体" w:hAnsi="宋体"/>
          <w:color w:val="auto"/>
          <w:szCs w:val="21"/>
          <w:highlight w:val="none"/>
        </w:rPr>
        <w:t xml:space="preserve">2、甲方违约责任</w:t>
      </w:r>
      <w:r/>
    </w:p>
    <w:p>
      <w:pPr>
        <w:ind w:firstLine="420"/>
        <w:spacing w:line="400" w:lineRule="exact"/>
      </w:pPr>
      <w:r>
        <w:rPr>
          <w:rFonts w:ascii="宋体" w:hAnsi="宋体"/>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pPr>
      <w:r>
        <w:rPr>
          <w:rFonts w:ascii="宋体" w:hAnsi="宋体"/>
          <w:color w:val="auto"/>
          <w:szCs w:val="21"/>
          <w:highlight w:val="none"/>
        </w:rPr>
        <w:t xml:space="preserve">（2）甲方逾期付款的应按照逾期付款金额的每天万分之四支付逾期付款违约金。</w:t>
      </w:r>
      <w:r/>
    </w:p>
    <w:p>
      <w:pPr>
        <w:ind w:firstLine="420"/>
        <w:spacing w:line="400" w:lineRule="exact"/>
      </w:pPr>
      <w:r>
        <w:rPr>
          <w:rFonts w:ascii="宋体" w:hAnsi="宋体"/>
          <w:color w:val="auto"/>
          <w:szCs w:val="21"/>
          <w:highlight w:val="none"/>
        </w:rPr>
        <w:t xml:space="preserve">3、乙方违约责任</w:t>
      </w:r>
      <w:r/>
    </w:p>
    <w:p>
      <w:pPr>
        <w:ind w:firstLine="420"/>
        <w:spacing w:line="400" w:lineRule="exact"/>
      </w:pPr>
      <w:r>
        <w:rPr>
          <w:rFonts w:ascii="宋体" w:hAnsi="宋体"/>
          <w:color w:val="auto"/>
          <w:szCs w:val="21"/>
          <w:highlight w:val="none"/>
        </w:rPr>
        <w:t xml:space="preserve">乙方不能履行合同从而影响甲方按期正常使用的，甲方有权解除合同，乙方应向甲方支付合同总价款10%的违约金；违约金不足以弥补甲方实际损失的，乙方还应就差额部分予以赔偿。</w:t>
      </w:r>
      <w:r/>
    </w:p>
    <w:p>
      <w:pPr>
        <w:ind w:firstLine="420"/>
        <w:spacing w:line="400" w:lineRule="exact"/>
      </w:pPr>
      <w:r>
        <w:rPr>
          <w:rFonts w:ascii="宋体" w:hAnsi="宋体"/>
          <w:color w:val="auto"/>
          <w:szCs w:val="21"/>
          <w:highlight w:val="none"/>
        </w:rPr>
        <w:t xml:space="preserve">   乙方发生下列情形之一的，甲方有权单方解除合同，乙方应向甲方支付合同总价款10%的违约金；违约金不足以弥补甲方实际损失的，乙方还应就差额部分予以赔偿：</w:t>
      </w:r>
      <w:r/>
    </w:p>
    <w:p>
      <w:pPr>
        <w:ind w:firstLine="420"/>
        <w:spacing w:line="400" w:lineRule="exact"/>
      </w:pPr>
      <w:r>
        <w:rPr>
          <w:rFonts w:ascii="宋体" w:hAnsi="宋体"/>
          <w:color w:val="auto"/>
          <w:szCs w:val="21"/>
          <w:highlight w:val="none"/>
        </w:rPr>
        <w:t xml:space="preserve">（1）未按合同约定人数配备人员，经甲方书面通知后7日内仍未整改的；</w:t>
      </w:r>
      <w:r/>
    </w:p>
    <w:p>
      <w:pPr>
        <w:ind w:firstLine="420"/>
        <w:spacing w:line="400" w:lineRule="exact"/>
      </w:pPr>
      <w:r>
        <w:rPr>
          <w:rFonts w:ascii="宋体" w:hAnsi="宋体"/>
          <w:color w:val="auto"/>
          <w:szCs w:val="21"/>
          <w:highlight w:val="none"/>
        </w:rPr>
        <w:t xml:space="preserve">（2）存在缺岗、人员资质不符合合同要求等情形，或未按甲方要求清退不合格人员的；乙方未按甲方要求清退不合格人员的，每逾期一日，应向甲方支付合同总价款0.1%的违约金，逾期超过7日的，甲方有权解除合同；</w:t>
      </w:r>
      <w:r/>
    </w:p>
    <w:p>
      <w:pPr>
        <w:ind w:firstLine="420"/>
        <w:spacing w:line="400" w:lineRule="exact"/>
      </w:pPr>
      <w:r>
        <w:rPr>
          <w:rFonts w:ascii="宋体" w:hAnsi="宋体"/>
          <w:color w:val="auto"/>
          <w:szCs w:val="21"/>
          <w:highlight w:val="none"/>
        </w:rPr>
        <w:t xml:space="preserve">（3）擅自将本合同项下服务转包或分包给第三方的；</w:t>
      </w:r>
      <w:r/>
    </w:p>
    <w:p>
      <w:pPr>
        <w:ind w:firstLine="420"/>
        <w:spacing w:line="400" w:lineRule="exact"/>
      </w:pPr>
      <w:r>
        <w:rPr>
          <w:rFonts w:ascii="宋体" w:hAnsi="宋体"/>
          <w:color w:val="auto"/>
          <w:szCs w:val="21"/>
          <w:highlight w:val="none"/>
        </w:rPr>
        <w:t xml:space="preserve">（4）发生重大安全事故、治安事件、消防事故或其他重大安保责任事故，且经认定乙方负有主要责任的；</w:t>
      </w:r>
      <w:r/>
    </w:p>
    <w:p>
      <w:pPr>
        <w:ind w:firstLine="420"/>
        <w:spacing w:line="400" w:lineRule="exact"/>
      </w:pPr>
      <w:r>
        <w:rPr>
          <w:rFonts w:ascii="宋体" w:hAnsi="宋体"/>
          <w:color w:val="auto"/>
          <w:szCs w:val="21"/>
          <w:highlight w:val="none"/>
        </w:rPr>
        <w:t xml:space="preserve">（5）因乙方原因导致甲方被行政处罚或遭受其他第三方索赔的；</w:t>
      </w:r>
      <w:r/>
    </w:p>
    <w:p>
      <w:pPr>
        <w:ind w:firstLine="420"/>
        <w:spacing w:line="400" w:lineRule="exact"/>
      </w:pPr>
      <w:r>
        <w:rPr>
          <w:rFonts w:ascii="宋体" w:hAnsi="宋体"/>
          <w:color w:val="auto"/>
          <w:szCs w:val="21"/>
          <w:highlight w:val="none"/>
        </w:rPr>
        <w:t xml:space="preserve">（6）乙方在投标文件或合同履行过程中提供虚假材料或作出虚假承诺的；</w:t>
      </w:r>
      <w:r/>
    </w:p>
    <w:p>
      <w:pPr>
        <w:ind w:firstLine="420"/>
        <w:spacing w:line="400" w:lineRule="exact"/>
      </w:pPr>
      <w:r>
        <w:rPr>
          <w:rFonts w:ascii="宋体" w:hAnsi="宋体"/>
          <w:color w:val="auto"/>
          <w:szCs w:val="21"/>
          <w:highlight w:val="none"/>
        </w:rPr>
        <w:t xml:space="preserve">上述违约行为累计发生3次以上的。</w:t>
      </w:r>
      <w:r/>
    </w:p>
    <w:p>
      <w:pPr>
        <w:ind w:firstLine="420"/>
        <w:spacing w:line="400" w:lineRule="exact"/>
      </w:pPr>
      <w:r>
        <w:rPr>
          <w:rFonts w:ascii="宋体" w:hAnsi="宋体"/>
          <w:color w:val="auto"/>
          <w:szCs w:val="21"/>
          <w:highlight w:val="none"/>
        </w:rPr>
        <w:t xml:space="preserve">4、不可抗力</w:t>
      </w:r>
      <w:r/>
    </w:p>
    <w:p>
      <w:pPr>
        <w:ind w:firstLine="420"/>
        <w:spacing w:line="400" w:lineRule="exact"/>
      </w:pPr>
      <w:r>
        <w:rPr>
          <w:rFonts w:ascii="宋体" w:hAnsi="宋体"/>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pPr>
      <w:r>
        <w:rPr>
          <w:rFonts w:ascii="宋体" w:hAnsi="宋体"/>
          <w:color w:val="auto"/>
          <w:szCs w:val="21"/>
          <w:highlight w:val="none"/>
        </w:rPr>
        <w:t xml:space="preserve">（2）合同一方因不可抗力不能履行合同的，应当及时通知对方，以减轻可能给对方造成的损失，并应当在合理期限内提供证明。</w:t>
      </w:r>
      <w:r/>
    </w:p>
    <w:p>
      <w:pPr>
        <w:ind w:firstLine="420"/>
        <w:spacing w:line="400" w:lineRule="exact"/>
      </w:pPr>
      <w:r>
        <w:rPr>
          <w:rFonts w:ascii="宋体" w:hAnsi="宋体"/>
          <w:color w:val="auto"/>
          <w:szCs w:val="21"/>
          <w:highlight w:val="none"/>
        </w:rPr>
        <w:t xml:space="preserve">六、合同的解除和转让</w:t>
      </w:r>
      <w:r/>
    </w:p>
    <w:p>
      <w:pPr>
        <w:ind w:firstLine="420"/>
        <w:spacing w:line="400" w:lineRule="exact"/>
      </w:pPr>
      <w:r>
        <w:rPr>
          <w:rFonts w:ascii="宋体" w:hAnsi="宋体"/>
          <w:color w:val="auto"/>
          <w:szCs w:val="21"/>
          <w:highlight w:val="none"/>
        </w:rPr>
        <w:t xml:space="preserve">1、合同的解除</w:t>
      </w:r>
      <w:r/>
    </w:p>
    <w:p>
      <w:pPr>
        <w:ind w:firstLine="420"/>
        <w:spacing w:line="400" w:lineRule="exact"/>
      </w:pPr>
      <w:r>
        <w:rPr>
          <w:rFonts w:ascii="宋体" w:hAnsi="宋体"/>
          <w:color w:val="auto"/>
          <w:szCs w:val="21"/>
          <w:highlight w:val="none"/>
        </w:rPr>
        <w:t xml:space="preserve">（1）有下列情形之一，合同一方可以解除合同：</w:t>
      </w:r>
      <w:r/>
    </w:p>
    <w:p>
      <w:pPr>
        <w:ind w:firstLine="420"/>
        <w:spacing w:line="400" w:lineRule="exact"/>
      </w:pPr>
      <w:r>
        <w:rPr>
          <w:rFonts w:ascii="宋体" w:hAnsi="宋体"/>
          <w:color w:val="auto"/>
          <w:szCs w:val="21"/>
          <w:highlight w:val="none"/>
        </w:rPr>
        <w:t xml:space="preserve">①因不可抗力致使不能实现合同目的，未受不可抗力影响的一方有权解除合同；</w:t>
      </w:r>
      <w:r/>
    </w:p>
    <w:p>
      <w:pPr>
        <w:ind w:firstLine="420"/>
        <w:spacing w:line="400" w:lineRule="exact"/>
      </w:pPr>
      <w:r>
        <w:rPr>
          <w:rFonts w:ascii="宋体" w:hAnsi="宋体"/>
          <w:color w:val="auto"/>
          <w:szCs w:val="21"/>
          <w:highlight w:val="none"/>
        </w:rPr>
        <w:t xml:space="preserve">②因合同一方违约导致合同不能履行，另一方有权解除合同；</w:t>
      </w:r>
      <w:r/>
    </w:p>
    <w:p>
      <w:pPr>
        <w:ind w:firstLine="420"/>
        <w:spacing w:line="400" w:lineRule="exact"/>
      </w:pPr>
      <w:r>
        <w:rPr>
          <w:rFonts w:ascii="宋体" w:hAnsi="宋体"/>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pPr>
      <w:r>
        <w:rPr>
          <w:rFonts w:ascii="宋体" w:hAnsi="宋体"/>
          <w:color w:val="auto"/>
          <w:szCs w:val="21"/>
          <w:highlight w:val="none"/>
        </w:rPr>
        <w:t xml:space="preserve">2、合同的转让</w:t>
      </w:r>
      <w:r/>
    </w:p>
    <w:p>
      <w:pPr>
        <w:ind w:firstLine="420"/>
        <w:spacing w:line="400" w:lineRule="exact"/>
      </w:pPr>
      <w:r>
        <w:rPr>
          <w:rFonts w:ascii="宋体" w:hAnsi="宋体"/>
          <w:color w:val="auto"/>
          <w:szCs w:val="21"/>
          <w:highlight w:val="none"/>
        </w:rPr>
        <w:t xml:space="preserve">合同不得转让。乙方不得将本合同项下的服务内容转包或违法分包；如需分包，须经甲方书面同意，且分包主体应具备履行相应服务内容所需的资质。未经甲方书面同意的分包，以及任何转包或违法分包行为，均构成乙方违约。</w:t>
      </w:r>
      <w:r/>
    </w:p>
    <w:p>
      <w:pPr>
        <w:ind w:firstLine="420"/>
        <w:spacing w:line="400" w:lineRule="exact"/>
      </w:pPr>
      <w:r>
        <w:rPr>
          <w:rFonts w:ascii="宋体" w:hAnsi="宋体"/>
          <w:color w:val="auto"/>
          <w:szCs w:val="21"/>
          <w:highlight w:val="none"/>
        </w:rPr>
        <w:t xml:space="preserve">七、合同的生效</w:t>
      </w:r>
      <w:r/>
    </w:p>
    <w:p>
      <w:pPr>
        <w:ind w:firstLine="420"/>
        <w:spacing w:line="400" w:lineRule="exact"/>
      </w:pPr>
      <w:r>
        <w:rPr>
          <w:rFonts w:ascii="宋体" w:hAnsi="宋体"/>
          <w:color w:val="auto"/>
          <w:szCs w:val="21"/>
          <w:highlight w:val="none"/>
        </w:rPr>
        <w:t xml:space="preserve">1、本合同在双方签字盖章后生效。</w:t>
      </w:r>
      <w:r/>
    </w:p>
    <w:p>
      <w:pPr>
        <w:ind w:firstLine="420"/>
        <w:spacing w:line="400" w:lineRule="exact"/>
      </w:pPr>
      <w:r>
        <w:rPr>
          <w:rFonts w:ascii="宋体" w:hAnsi="宋体"/>
          <w:color w:val="auto"/>
          <w:szCs w:val="21"/>
          <w:highlight w:val="none"/>
        </w:rPr>
        <w:t xml:space="preserve">八、争议解决</w:t>
      </w:r>
      <w:r/>
    </w:p>
    <w:p>
      <w:pPr>
        <w:ind w:firstLine="420"/>
        <w:spacing w:line="400" w:lineRule="exact"/>
      </w:pPr>
      <w:r>
        <w:rPr>
          <w:rFonts w:ascii="宋体" w:hAnsi="宋体"/>
          <w:color w:val="auto"/>
          <w:szCs w:val="21"/>
          <w:highlight w:val="none"/>
        </w:rPr>
        <w:t xml:space="preserve">因本合同引起的或与本合同有关的任何争议，双方协商解决；协商不成的，任何一方均有权向甲方所在地人民法院提起诉讼。</w:t>
      </w:r>
      <w:r/>
    </w:p>
    <w:p>
      <w:pPr>
        <w:ind w:firstLine="420"/>
        <w:spacing w:line="400" w:lineRule="exact"/>
      </w:pPr>
      <w:r>
        <w:rPr>
          <w:rFonts w:ascii="宋体" w:hAnsi="宋体"/>
          <w:color w:val="auto"/>
          <w:szCs w:val="21"/>
          <w:highlight w:val="none"/>
        </w:rPr>
        <w:t xml:space="preserve">九、附则</w:t>
      </w:r>
      <w:r/>
    </w:p>
    <w:p>
      <w:pPr>
        <w:ind w:firstLine="420"/>
        <w:spacing w:line="400" w:lineRule="exact"/>
      </w:pPr>
      <w:r>
        <w:rPr>
          <w:rFonts w:ascii="宋体" w:hAnsi="宋体"/>
          <w:color w:val="auto"/>
          <w:szCs w:val="21"/>
          <w:highlight w:val="none"/>
        </w:rPr>
        <w:t xml:space="preserve">1、合同份数</w:t>
      </w:r>
      <w:r/>
    </w:p>
    <w:p>
      <w:pPr>
        <w:ind w:firstLine="420"/>
        <w:spacing w:line="400" w:lineRule="exact"/>
      </w:pPr>
      <w:r>
        <w:rPr>
          <w:rFonts w:ascii="宋体" w:hAnsi="宋体"/>
          <w:color w:val="auto"/>
          <w:szCs w:val="21"/>
          <w:highlight w:val="none"/>
        </w:rPr>
        <w:t xml:space="preserve">本合同一式肆份，甲乙双方各执壹份，采购代理机构壹份，政府采购管理部门壹份。</w:t>
      </w:r>
      <w:r/>
    </w:p>
    <w:p>
      <w:pPr>
        <w:ind w:firstLine="420"/>
        <w:spacing w:line="400" w:lineRule="exact"/>
      </w:pPr>
      <w:r>
        <w:rPr>
          <w:rFonts w:ascii="宋体" w:hAnsi="宋体"/>
          <w:color w:val="auto"/>
          <w:szCs w:val="21"/>
          <w:highlight w:val="none"/>
        </w:rPr>
        <w:t xml:space="preserve">2、未尽事宜</w:t>
      </w:r>
      <w:r/>
    </w:p>
    <w:p>
      <w:pPr>
        <w:ind w:firstLine="420"/>
        <w:spacing w:line="400" w:lineRule="exact"/>
      </w:pPr>
      <w:r>
        <w:rPr>
          <w:rFonts w:ascii="宋体" w:hAnsi="宋体"/>
          <w:color w:val="auto"/>
          <w:szCs w:val="21"/>
          <w:highlight w:val="none"/>
        </w:rPr>
        <w:t xml:space="preserve">本合同未尽事宜应按《中华人民共和国民法典》、《中华人民共和国政府采购法》以及其他相关法律、法规之规定解释。</w:t>
      </w:r>
      <w:r/>
    </w:p>
    <w:p>
      <w:pPr>
        <w:ind w:firstLine="420"/>
        <w:spacing w:line="400" w:lineRule="exact"/>
      </w:pPr>
      <w:r>
        <w:rPr>
          <w:rFonts w:ascii="宋体" w:hAnsi="宋体"/>
          <w:color w:val="auto"/>
          <w:szCs w:val="21"/>
          <w:highlight w:val="none"/>
        </w:rPr>
      </w:r>
      <w:r/>
    </w:p>
    <w:p>
      <w:pPr>
        <w:ind w:firstLine="420"/>
        <w:spacing w:line="400" w:lineRule="exact"/>
      </w:pPr>
      <w:r>
        <w:rPr>
          <w:rFonts w:ascii="宋体" w:hAnsi="宋体"/>
          <w:color w:val="auto"/>
          <w:szCs w:val="21"/>
          <w:highlight w:val="none"/>
        </w:rPr>
        <w:t xml:space="preserve">（以下无正文）</w:t>
      </w:r>
      <w:r/>
    </w:p>
    <w:p>
      <w:pPr>
        <w:ind w:firstLine="420"/>
        <w:spacing w:line="400" w:lineRule="exact"/>
      </w:pPr>
      <w:r>
        <w:rPr>
          <w:rFonts w:ascii="宋体" w:hAnsi="宋体"/>
          <w:color w:val="auto"/>
          <w:szCs w:val="21"/>
          <w:highlight w:val="none"/>
        </w:rPr>
      </w:r>
      <w:r/>
    </w:p>
    <w:p>
      <w:pPr>
        <w:ind w:firstLine="420"/>
        <w:spacing w:line="400" w:lineRule="exact"/>
      </w:pPr>
      <w:r>
        <w:rPr>
          <w:rFonts w:ascii="宋体" w:hAnsi="宋体"/>
          <w:color w:val="auto"/>
          <w:szCs w:val="21"/>
          <w:highlight w:val="none"/>
        </w:rPr>
      </w:r>
      <w:r/>
    </w:p>
    <w:p>
      <w:pPr>
        <w:ind w:firstLine="420"/>
        <w:spacing w:line="400" w:lineRule="exact"/>
      </w:pPr>
      <w:r>
        <w:rPr>
          <w:rFonts w:ascii="宋体" w:hAnsi="宋体"/>
          <w:color w:val="auto"/>
          <w:szCs w:val="21"/>
          <w:highlight w:val="none"/>
        </w:rPr>
        <w:t xml:space="preserve">甲方：（公章或合同章）                  乙方：（公章或合同章）</w:t>
      </w:r>
      <w:r/>
    </w:p>
    <w:p>
      <w:pPr>
        <w:ind w:firstLine="420"/>
        <w:spacing w:line="400" w:lineRule="exact"/>
      </w:pPr>
      <w:r>
        <w:rPr>
          <w:rFonts w:ascii="宋体" w:hAnsi="宋体"/>
          <w:color w:val="auto"/>
          <w:szCs w:val="21"/>
          <w:highlight w:val="none"/>
        </w:rPr>
      </w:r>
      <w:r/>
    </w:p>
    <w:p>
      <w:pPr>
        <w:ind w:firstLine="420"/>
        <w:spacing w:line="400" w:lineRule="exact"/>
      </w:pPr>
      <w:r>
        <w:rPr>
          <w:rFonts w:ascii="宋体" w:hAnsi="宋体"/>
          <w:color w:val="auto"/>
          <w:szCs w:val="21"/>
          <w:highlight w:val="none"/>
        </w:rPr>
      </w:r>
      <w:r/>
    </w:p>
    <w:p>
      <w:pPr>
        <w:ind w:firstLine="420"/>
        <w:spacing w:line="400" w:lineRule="exact"/>
      </w:pPr>
      <w:r>
        <w:rPr>
          <w:rFonts w:ascii="宋体" w:hAnsi="宋体"/>
          <w:color w:val="auto"/>
          <w:szCs w:val="21"/>
          <w:highlight w:val="none"/>
        </w:rPr>
        <w:t xml:space="preserve">甲方代表签字：                          乙方代表签字：</w:t>
      </w:r>
      <w:r/>
    </w:p>
    <w:p>
      <w:pPr>
        <w:ind w:firstLine="420"/>
        <w:spacing w:line="400" w:lineRule="exact"/>
      </w:pPr>
      <w:r>
        <w:rPr>
          <w:rFonts w:ascii="宋体" w:hAnsi="宋体"/>
          <w:color w:val="auto"/>
          <w:szCs w:val="21"/>
          <w:highlight w:val="none"/>
        </w:rPr>
      </w:r>
      <w:r/>
    </w:p>
    <w:p>
      <w:pPr>
        <w:ind w:firstLine="420"/>
        <w:spacing w:line="400" w:lineRule="exact"/>
      </w:pPr>
      <w:r>
        <w:rPr>
          <w:rFonts w:ascii="宋体" w:hAnsi="宋体"/>
          <w:color w:val="auto"/>
          <w:szCs w:val="21"/>
          <w:highlight w:val="none"/>
        </w:rPr>
      </w:r>
      <w:r/>
    </w:p>
    <w:p>
      <w:pPr>
        <w:ind w:firstLine="420"/>
        <w:spacing w:line="400" w:lineRule="exact"/>
        <w:rPr>
          <w:rFonts w:hint="eastAsia" w:ascii="Times New Roman" w:hAnsi="Times New Roman" w:eastAsia="宋体"/>
          <w:b/>
          <w:bCs/>
          <w:color w:val="auto"/>
          <w:sz w:val="21"/>
          <w:szCs w:val="21"/>
          <w:highlight w:val="none"/>
        </w:rPr>
      </w:pPr>
      <w:r>
        <w:rPr>
          <w:rFonts w:ascii="宋体" w:hAnsi="宋体"/>
          <w:color w:val="auto"/>
          <w:szCs w:val="21"/>
          <w:highlight w:val="none"/>
        </w:rPr>
      </w:r>
      <w:r>
        <w:rPr>
          <w:rFonts w:ascii="Times New Roman" w:hAnsi="Times New Roman"/>
          <w:color w:val="auto"/>
          <w:szCs w:val="21"/>
          <w:highlight w:val="none"/>
        </w:rPr>
      </w:r>
      <w:bookmarkEnd w:id="14"/>
      <w:r>
        <w:rPr>
          <w:rFonts w:ascii="宋体" w:hAnsi="宋体"/>
          <w:color w:val="auto"/>
          <w:szCs w:val="21"/>
          <w:highlight w:val="none"/>
        </w:rPr>
      </w:r>
      <w:r/>
    </w:p>
    <w:p>
      <w:pPr>
        <w:rPr>
          <w:rFonts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2"/>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ascii="宋体" w:hAnsi="宋体"/>
          <w:color w:val="auto"/>
          <w:highlight w:val="none"/>
        </w:rPr>
      </w:pPr>
      <w:r>
        <w:rPr>
          <w:rFonts w:hint="eastAsia" w:ascii="宋体" w:hAnsi="宋体"/>
          <w:color w:val="auto"/>
          <w:highlight w:val="none"/>
        </w:rPr>
        <w:t xml:space="preserve">专门面向中小企业采购：</w:t>
      </w:r>
      <w:r/>
    </w:p>
    <w:p>
      <w:pPr>
        <w:ind w:firstLine="420"/>
        <w:jc w:val="left"/>
        <w:spacing w:line="380" w:lineRule="exact"/>
        <w:widowControl/>
        <w:rPr>
          <w:rFonts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（一）价格分：（10分）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投标报价得分=（评标基准价/投标报价）X价格权值X100（价格权值为10%）</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（二）服务技术方案（</w:t>
      </w:r>
      <w:r>
        <w:rPr>
          <w:rFonts w:hint="eastAsia" w:ascii="宋体" w:hAnsi="宋体"/>
          <w:b/>
          <w:bCs/>
          <w:color w:val="auto"/>
          <w:szCs w:val="21"/>
          <w:highlight w:val="none"/>
          <w:lang w:val="en-US" w:eastAsia="zh-CN"/>
        </w:rPr>
        <w:t xml:space="preserve">69</w:t>
      </w:r>
      <w:r>
        <w:rPr>
          <w:rFonts w:hint="eastAsia" w:ascii="宋体" w:hAnsi="宋体"/>
          <w:b/>
          <w:bCs/>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1、服务总体模式与项目管理运作设计方案（</w:t>
      </w:r>
      <w:r>
        <w:rPr>
          <w:rFonts w:hint="eastAsia" w:ascii="宋体" w:hAnsi="宋体"/>
          <w:b w:val="0"/>
          <w:bCs w:val="0"/>
          <w:color w:val="auto"/>
          <w:szCs w:val="21"/>
          <w:highlight w:val="none"/>
          <w:lang w:val="en-US" w:eastAsia="zh-CN"/>
        </w:rPr>
        <w:t xml:space="preserve">7</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针对本项目特点和需求进行对项目的</w:t>
      </w:r>
      <w:r>
        <w:rPr>
          <w:rFonts w:hint="eastAsia" w:ascii="宋体" w:hAnsi="宋体"/>
          <w:color w:val="auto"/>
          <w:szCs w:val="21"/>
          <w:highlight w:val="none"/>
          <w:lang w:val="en-US" w:eastAsia="zh-CN"/>
        </w:rPr>
        <w:t xml:space="preserve">服务总体模式</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项目管理运作</w:t>
      </w:r>
      <w:r>
        <w:rPr>
          <w:rFonts w:hint="eastAsia" w:ascii="宋体" w:hAnsi="宋体"/>
          <w:color w:val="auto"/>
          <w:szCs w:val="21"/>
          <w:highlight w:val="none"/>
        </w:rPr>
        <w:t xml:space="preserve">进行</w:t>
      </w:r>
      <w:r>
        <w:rPr>
          <w:rFonts w:hint="eastAsia" w:ascii="宋体" w:hAnsi="宋体"/>
          <w:color w:val="auto"/>
          <w:szCs w:val="21"/>
          <w:highlight w:val="none"/>
          <w:lang w:val="en-US" w:eastAsia="zh-CN"/>
        </w:rPr>
        <w:t xml:space="preserve">设计</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方案合理性、完善性、规范性、清晰性、可操作性一般，基本能满足项目需求的得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方案合理性、完善性、规范性、清晰性、可操作性有缺项的得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2、服务管理工作组织计划方案及管理方案（</w:t>
      </w:r>
      <w:r>
        <w:rPr>
          <w:rFonts w:hint="eastAsia" w:ascii="宋体" w:hAnsi="宋体"/>
          <w:b w:val="0"/>
          <w:bCs w:val="0"/>
          <w:color w:val="auto"/>
          <w:szCs w:val="21"/>
          <w:highlight w:val="none"/>
          <w:lang w:val="en-US" w:eastAsia="zh-CN"/>
        </w:rPr>
        <w:t xml:space="preserve">22</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详细的岗位安排计划（</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所设置的岗位能完全满足项目需求方案，方案完整合理得</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所设置的岗位基本满足项目需求，方案可操作性一般的3分；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所设置的岗位配置方案有缺项的得1分；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岗位方案比较（1</w:t>
      </w:r>
      <w:r>
        <w:rPr>
          <w:rFonts w:hint="eastAsia" w:ascii="宋体" w:hAnsi="宋体"/>
          <w:b w:val="0"/>
          <w:bCs w:val="0"/>
          <w:color w:val="auto"/>
          <w:szCs w:val="21"/>
          <w:highlight w:val="none"/>
          <w:lang w:val="en-US" w:eastAsia="zh-CN"/>
        </w:rPr>
        <w:t xml:space="preserve">0</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2.1有各个岗位的具体工作职责方案（</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工作职责方案规范、清晰的得</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工作职责划分不清晰得3分；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2.2岗位管理方案（</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岗位管理方案规范、清晰的</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完全贴合项目需求情况</w:t>
      </w:r>
      <w:r>
        <w:rPr>
          <w:rFonts w:hint="eastAsia" w:ascii="宋体" w:hAnsi="宋体"/>
          <w:b w:val="0"/>
          <w:bCs w:val="0"/>
          <w:color w:val="auto"/>
          <w:szCs w:val="21"/>
          <w:highlight w:val="none"/>
        </w:rPr>
        <w:t xml:space="preserve">得</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岗位管理方案可操作性一般</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仅部分满足采购项目需求得3</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岗位管理方案</w:t>
      </w:r>
      <w:r>
        <w:rPr>
          <w:rFonts w:hint="eastAsia" w:ascii="宋体" w:hAnsi="宋体"/>
          <w:b w:val="0"/>
          <w:bCs w:val="0"/>
          <w:color w:val="auto"/>
          <w:szCs w:val="21"/>
          <w:highlight w:val="none"/>
          <w:lang w:val="en-US" w:eastAsia="zh-CN"/>
        </w:rPr>
        <w:t xml:space="preserve">不合理，</w:t>
      </w:r>
      <w:r>
        <w:rPr>
          <w:rFonts w:hint="eastAsia" w:ascii="宋体" w:hAnsi="宋体"/>
          <w:b w:val="0"/>
          <w:bCs w:val="0"/>
          <w:color w:val="auto"/>
          <w:szCs w:val="21"/>
          <w:highlight w:val="none"/>
        </w:rPr>
        <w:t xml:space="preserve">有缺项的得</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服务的重点难点和解决措施（</w:t>
      </w:r>
      <w:r>
        <w:rPr>
          <w:rFonts w:hint="eastAsia" w:ascii="宋体" w:hAnsi="宋体"/>
          <w:b w:val="0"/>
          <w:bCs w:val="0"/>
          <w:color w:val="auto"/>
          <w:szCs w:val="21"/>
          <w:highlight w:val="none"/>
          <w:lang w:val="en-US" w:eastAsia="zh-CN"/>
        </w:rPr>
        <w:t xml:space="preserve">7</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针对本项目的服务重难点分析及对应的解决措施方案，重难点分析准确，对应的解决措施合理，优于采购项目需求的得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重难点分析较为准确，对应的解决措施较为合理，满足采购项目需求的得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重难点分析不够准确，对应的解决措施不够合理，仅部分满足采购项目需求的得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3、服务管理工作具体实施方案（</w:t>
      </w:r>
      <w:r>
        <w:rPr>
          <w:rFonts w:hint="eastAsia" w:ascii="宋体" w:hAnsi="宋体"/>
          <w:b w:val="0"/>
          <w:bCs w:val="0"/>
          <w:color w:val="auto"/>
          <w:szCs w:val="21"/>
          <w:highlight w:val="none"/>
          <w:lang w:val="en-US" w:eastAsia="zh-CN"/>
        </w:rPr>
        <w:t xml:space="preserve">25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服务人员的日常服务标准</w:t>
      </w:r>
      <w:r>
        <w:rPr>
          <w:rFonts w:hint="eastAsia" w:ascii="宋体" w:hAnsi="宋体"/>
          <w:b w:val="0"/>
          <w:bCs w:val="0"/>
          <w:color w:val="auto"/>
          <w:szCs w:val="21"/>
          <w:highlight w:val="none"/>
          <w:lang w:val="en-US" w:eastAsia="zh-CN"/>
        </w:rPr>
        <w:t xml:space="preserve">及监管措施</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val="en-US" w:eastAsia="zh-CN"/>
        </w:rPr>
        <w:t xml:space="preserve">10</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1.1有详细的、并适用本项目的日常服务标准方案（</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方案规范，内容完整清晰得</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w:t>
      </w:r>
      <w:r>
        <w:rPr>
          <w:rFonts w:hint="eastAsia" w:ascii="宋体" w:hAnsi="宋体"/>
          <w:b w:val="0"/>
          <w:bCs w:val="0"/>
          <w:color w:val="auto"/>
          <w:szCs w:val="21"/>
          <w:highlight w:val="none"/>
          <w:lang w:val="en-US" w:eastAsia="zh-CN"/>
        </w:rPr>
        <w:t xml:space="preserve">内容简单，考核内容不全得3</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方案可操作性有缺项的得1分；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1.2有可行的考核监管措施（</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考核措施</w:t>
      </w:r>
      <w:r>
        <w:rPr>
          <w:rFonts w:hint="eastAsia" w:ascii="宋体" w:hAnsi="宋体"/>
          <w:b w:val="0"/>
          <w:bCs w:val="0"/>
          <w:color w:val="auto"/>
          <w:szCs w:val="21"/>
          <w:highlight w:val="none"/>
        </w:rPr>
        <w:t xml:space="preserve">完整清晰</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考核内容全面</w:t>
      </w:r>
      <w:r>
        <w:rPr>
          <w:rFonts w:hint="eastAsia" w:ascii="宋体" w:hAnsi="宋体"/>
          <w:b w:val="0"/>
          <w:bCs w:val="0"/>
          <w:color w:val="auto"/>
          <w:szCs w:val="21"/>
          <w:highlight w:val="none"/>
        </w:rPr>
        <w:t xml:space="preserve">得</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考核措施内容简单</w:t>
      </w:r>
      <w:r>
        <w:rPr>
          <w:rFonts w:hint="eastAsia" w:ascii="宋体" w:hAnsi="宋体"/>
          <w:b w:val="0"/>
          <w:bCs w:val="0"/>
          <w:color w:val="auto"/>
          <w:szCs w:val="21"/>
          <w:highlight w:val="none"/>
        </w:rPr>
        <w:t xml:space="preserve">的</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考核措施</w:t>
      </w:r>
      <w:r>
        <w:rPr>
          <w:rFonts w:hint="eastAsia" w:ascii="宋体" w:hAnsi="宋体"/>
          <w:b w:val="0"/>
          <w:bCs w:val="0"/>
          <w:color w:val="auto"/>
          <w:szCs w:val="21"/>
          <w:highlight w:val="none"/>
        </w:rPr>
        <w:t xml:space="preserve">有缺项</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不具考核意义</w:t>
      </w:r>
      <w:r>
        <w:rPr>
          <w:rFonts w:hint="eastAsia" w:ascii="宋体" w:hAnsi="宋体"/>
          <w:b w:val="0"/>
          <w:bCs w:val="0"/>
          <w:color w:val="auto"/>
          <w:szCs w:val="21"/>
          <w:highlight w:val="none"/>
        </w:rPr>
        <w:t xml:space="preserve">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lang w:eastAsia="zh-CN"/>
        </w:rPr>
        <w:t xml:space="preserve">）</w:t>
      </w:r>
      <w:r>
        <w:rPr>
          <w:rFonts w:hint="eastAsia" w:ascii="宋体" w:hAnsi="宋体"/>
          <w:color w:val="auto"/>
          <w:szCs w:val="21"/>
          <w:highlight w:val="none"/>
        </w:rPr>
        <w:t xml:space="preserve">消防安全管理方案：</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消防安全管理方案应包含日常消防管理、消控室值守、义务消防队和微型消防站共建等方案措施。提供的消防安全管理方案措施详细合理，优于采购项目需求的得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提供的消防安全管理方案措施较为详细合理，满足采购项目需求的得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提供的消防安全管理方案措施简单，仅部分满足采购项目需求的得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lang w:eastAsia="zh-CN"/>
        </w:rPr>
        <w:t xml:space="preserve">）</w:t>
      </w:r>
      <w:r>
        <w:rPr>
          <w:rFonts w:hint="eastAsia" w:ascii="宋体" w:hAnsi="宋体"/>
          <w:color w:val="auto"/>
          <w:szCs w:val="21"/>
          <w:highlight w:val="none"/>
        </w:rPr>
        <w:t xml:space="preserve">设备、器材的配备情况比较：5分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投标单位拟为本项目所配置的工具、设备的物耗提供齐全、多样化切合实际并优于采购需求的得5分；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工具、设备的物耗提供基本能满足项目实施需要的得3分；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工具、设备的物耗提供单一、仅部分能满足项目需要的得1分；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不满足或者不提供不得分。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4</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停车场管理措施及方案（3分）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措施及方案最合理详细</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与</w:t>
      </w:r>
      <w:r>
        <w:rPr>
          <w:rFonts w:hint="eastAsia" w:ascii="宋体" w:hAnsi="宋体"/>
          <w:color w:val="auto"/>
          <w:szCs w:val="21"/>
          <w:highlight w:val="none"/>
        </w:rPr>
        <w:t xml:space="preserve">项目实际需求贴合</w:t>
      </w:r>
      <w:r>
        <w:rPr>
          <w:rFonts w:hint="eastAsia" w:ascii="宋体" w:hAnsi="宋体"/>
          <w:b w:val="0"/>
          <w:bCs w:val="0"/>
          <w:color w:val="auto"/>
          <w:szCs w:val="21"/>
          <w:highlight w:val="none"/>
        </w:rPr>
        <w:t xml:space="preserve">得3分；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措施及方案简单得1分；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无方案不得分。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4</w:t>
      </w:r>
      <w:r>
        <w:rPr>
          <w:rFonts w:hint="eastAsia" w:ascii="宋体" w:hAnsi="宋体"/>
          <w:b w:val="0"/>
          <w:bCs w:val="0"/>
          <w:color w:val="auto"/>
          <w:szCs w:val="21"/>
          <w:highlight w:val="none"/>
        </w:rPr>
        <w:t xml:space="preserve">、突发事件的应急措施及医患纠纷处置措施方案及经验（10分）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包括火警、治安事件、应急疏散及处置医患纠纷的预案，及遇各类突发情况时需调用外部增援力量的响应时间、距离远近、投入力量（包括但不限于：参与增援人员及物资的数量及种类等）以及处置经验能力证明的比较等内容。（5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方案合理规范、操作性强、外部增援响应时间与投入力量最优、处置经验（可提供类似经验证明材料）丰富成果显著，横向评审整体最优得5分；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方案合理性、可操作性、外部增援响应时间与投入力量、处置经验一般得3分；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方案合理性、可操作性、外部增援响应时间与投入力量较差、无处置经验得1分；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针对应急突发事件处置的演练支持方案比较：5分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由评委根据内容，对方案中各类应急预案演练计划、实施方案等(可提供参与其他项目的应急演练图片及演练培训记录表)。</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方案内容清晰、全面，完全符合项目实际需求得5分；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方案内容基本涵盖，基本符合项目实际需求得3分；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方案内容简单，不完整得1分；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、内部管理规章制度、培训管理办法（</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包括各类人员管理规章制度方案、服务人员安全文明规范方案、消防安全管理制度方案、服务档案管理制度方案、服务人员考核制度方案、详细的年度培训计划、培训管理办法。</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上述方案内容完整、规范、清晰、可操作性强的得</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上述方案内容基本完整、可操作性一般的得</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上述方案内容有缺陷、可操作性有缺项的得</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无相关内容不得分。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（三）项目经理</w:t>
      </w:r>
      <w:r>
        <w:rPr>
          <w:rFonts w:hint="eastAsia" w:ascii="宋体" w:hAnsi="宋体"/>
          <w:b/>
          <w:bCs/>
          <w:color w:val="auto"/>
          <w:szCs w:val="21"/>
          <w:highlight w:val="none"/>
          <w:lang w:val="en-US" w:eastAsia="zh-CN"/>
        </w:rPr>
        <w:t xml:space="preserve">配备情况</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①具有本科及以上学历，提供学信网截图的得</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②具有高级保安员（国家职业资格三级）证书的得</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③具有中级（国家职业资格四级）“建（构）筑物消防员”或“消防设施操作员”证书的得</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④具有应急管理部紧急救援促进中心颁发的应急救援员证书的得1分。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⑤具有政府安监部门（应急管理部门）或其认可的相关培训机构颁发的安全培训合格证书的得1分。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⑥具有同类项目管理3年及以上工作经验并提供</w:t>
      </w:r>
      <w:r>
        <w:rPr>
          <w:rFonts w:hint="eastAsia" w:ascii="宋体" w:hAnsi="宋体"/>
          <w:b w:val="0"/>
          <w:bCs w:val="0"/>
          <w:color w:val="auto"/>
          <w:szCs w:val="21"/>
          <w:highlight w:val="none"/>
          <w:lang w:val="en-US" w:eastAsia="zh-CN"/>
        </w:rPr>
        <w:t xml:space="preserve">业主</w:t>
      </w:r>
      <w:r>
        <w:rPr>
          <w:rFonts w:hint="eastAsia" w:ascii="宋体" w:hAnsi="宋体"/>
          <w:b w:val="0"/>
          <w:bCs w:val="0"/>
          <w:color w:val="auto"/>
          <w:szCs w:val="21"/>
          <w:highlight w:val="none"/>
        </w:rPr>
        <w:t xml:space="preserve">单位开具的证明材料的得</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注：以上国家职业资格证书或技能人才评价证书须提供证书复印件及全国联网查询https://jndj.osta.org.cn/网上查询到的对应工种的清晰完整的截图</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四</w:t>
      </w:r>
      <w:r>
        <w:rPr>
          <w:rFonts w:hint="eastAsia" w:ascii="宋体" w:hAnsi="宋体"/>
          <w:b/>
          <w:bCs/>
          <w:color w:val="auto"/>
          <w:szCs w:val="21"/>
          <w:highlight w:val="none"/>
        </w:rPr>
        <w:t xml:space="preserve">）投标人履约能力比较（</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w:t>
      </w:r>
      <w:r>
        <w:rPr>
          <w:rFonts w:hint="eastAsia" w:ascii="宋体" w:hAnsi="宋体"/>
          <w:b w:val="0"/>
          <w:bCs w:val="0"/>
          <w:color w:val="auto"/>
          <w:szCs w:val="21"/>
          <w:highlight w:val="none"/>
          <w:lang w:val="en-US" w:eastAsia="zh-CN"/>
        </w:rPr>
        <w:t xml:space="preserve">项目经验（5分）：</w:t>
      </w:r>
      <w:r>
        <w:rPr>
          <w:rFonts w:hint="eastAsia" w:ascii="宋体" w:hAnsi="宋体"/>
          <w:b w:val="0"/>
          <w:bCs w:val="0"/>
          <w:color w:val="auto"/>
          <w:szCs w:val="21"/>
          <w:highlight w:val="none"/>
        </w:rPr>
        <w:t xml:space="preserve">投标人2023年1月1日至今（以合同签订日期为准）在服务期内的或履约完成的同类服务项目业绩，有一份得</w:t>
      </w:r>
      <w:r>
        <w:rPr>
          <w:rFonts w:hint="eastAsia" w:ascii="宋体" w:hAnsi="宋体"/>
          <w:b w:val="0"/>
          <w:bCs w:val="0"/>
          <w:color w:val="auto"/>
          <w:szCs w:val="21"/>
          <w:highlight w:val="none"/>
          <w:lang w:val="en-US" w:eastAsia="zh-CN"/>
        </w:rPr>
        <w:t xml:space="preserve">0.5</w:t>
      </w:r>
      <w:r>
        <w:rPr>
          <w:rFonts w:hint="eastAsia" w:ascii="宋体" w:hAnsi="宋体"/>
          <w:b w:val="0"/>
          <w:bCs w:val="0"/>
          <w:color w:val="auto"/>
          <w:szCs w:val="21"/>
          <w:highlight w:val="none"/>
        </w:rPr>
        <w:t xml:space="preserve">分，最高</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分。（投标文件中须提供合同复印件及对应合同期内任意2个结算周期的销售发票资料复印件加盖投标人公章，提供不全不得分。）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2、投标人管理体系证书比较：4分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①质量管理体系证书。1分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②环境管理体系证书。1分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③职业健康安全管理体系认证。1分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④保安服务管理体系证书 GB/T42765 。1分</w:t>
      </w:r>
      <w:r/>
    </w:p>
    <w:p>
      <w:pPr>
        <w:ind w:firstLine="420"/>
        <w:spacing w:line="40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3、投标人获得政府管理部门颁发荣誉比较：6分</w:t>
      </w:r>
      <w:r/>
    </w:p>
    <w:p>
      <w:pPr>
        <w:ind w:firstLine="420"/>
        <w:spacing w:line="400" w:lineRule="exact"/>
        <w:rPr>
          <w:rFonts w:ascii="宋体" w:hAnsi="宋体"/>
          <w:b w:val="0"/>
          <w:bCs w:val="0"/>
          <w:color w:val="auto"/>
          <w:szCs w:val="21"/>
          <w:highlight w:val="none"/>
        </w:rPr>
      </w:pPr>
      <w:r>
        <w:rPr>
          <w:rFonts w:hint="eastAsia" w:ascii="宋体" w:hAnsi="宋体"/>
          <w:b w:val="0"/>
          <w:bCs w:val="0"/>
          <w:color w:val="auto"/>
          <w:szCs w:val="21"/>
          <w:highlight w:val="none"/>
        </w:rPr>
        <w:t xml:space="preserve">投标人获得政府部门颁发的荣誉情况：每个区级的得0.5分，每个市级的得1分，每个省级的得2分，每个国家级的得3分，最高得6分。（投标文件中提供荣誉证明材料复印件或官方网站查询页面截图，材料提供不全或未提供不得分。）</w:t>
      </w:r>
      <w:r/>
    </w:p>
    <w:p>
      <w:pPr>
        <w:ind w:firstLine="420"/>
        <w:spacing w:line="400" w:lineRule="exact"/>
        <w:rPr>
          <w:rFonts w:ascii="宋体" w:hAnsi="宋体"/>
          <w:b/>
          <w:bCs/>
          <w:color w:val="auto"/>
          <w:szCs w:val="21"/>
          <w:highlight w:val="none"/>
        </w:rPr>
      </w:pPr>
      <w:r>
        <w:rPr>
          <w:rFonts w:ascii="宋体" w:hAnsi="宋体"/>
          <w:b/>
          <w:bCs/>
          <w:color w:val="auto"/>
          <w:szCs w:val="21"/>
          <w:highlight w:val="none"/>
        </w:rPr>
      </w:r>
      <w:r/>
    </w:p>
    <w:p>
      <w:pPr>
        <w:ind w:firstLine="420"/>
        <w:spacing w:line="400" w:lineRule="exact"/>
        <w:rPr>
          <w:rFonts w:ascii="宋体" w:hAnsi="宋体"/>
          <w:b/>
          <w:bCs/>
          <w:color w:val="auto"/>
          <w:szCs w:val="21"/>
          <w:highlight w:val="none"/>
        </w:rPr>
      </w:pPr>
      <w:r>
        <w:rPr>
          <w:rFonts w:ascii="宋体" w:hAnsi="宋体"/>
          <w:b/>
          <w:bCs/>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5481"/>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6"/>
      </w:rPr>
      <w:framePr w:wrap="around" w:vAnchor="text" w:hAnchor="margin" w:xAlign="center" w:y="1"/>
    </w:pPr>
    <w:r>
      <w:rPr>
        <w:rStyle w:val="776"/>
      </w:rPr>
      <w:fldChar w:fldCharType="begin"/>
    </w:r>
    <w:r>
      <w:rPr>
        <w:rStyle w:val="776"/>
      </w:rPr>
      <w:instrText xml:space="preserve"> PAGE </w:instrText>
    </w:r>
    <w:r>
      <w:rPr>
        <w:rStyle w:val="776"/>
      </w:rPr>
      <w:fldChar w:fldCharType="separate"/>
    </w:r>
    <w:r>
      <w:rPr>
        <w:rStyle w:val="776"/>
      </w:rPr>
      <w:t xml:space="preserve">7</w:t>
    </w:r>
    <w:r>
      <w:rPr>
        <w:rStyle w:val="776"/>
      </w:rPr>
      <w:fldChar w:fldCharType="end"/>
    </w:r>
    <w:r/>
  </w:p>
  <w:p>
    <w:pPr>
      <w:pStyle w:val="7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6"/>
      </w:rPr>
      <w:framePr w:wrap="around" w:vAnchor="text" w:hAnchor="margin" w:xAlign="center" w:y="1"/>
    </w:pPr>
    <w:r>
      <w:rPr>
        <w:rStyle w:val="776"/>
      </w:rPr>
      <w:fldChar w:fldCharType="begin"/>
    </w:r>
    <w:r>
      <w:rPr>
        <w:rStyle w:val="776"/>
      </w:rPr>
      <w:instrText xml:space="preserve"> PAGE </w:instrText>
    </w:r>
    <w:r>
      <w:rPr>
        <w:rStyle w:val="776"/>
      </w:rPr>
      <w:fldChar w:fldCharType="separate"/>
    </w:r>
    <w:r>
      <w:rPr>
        <w:rStyle w:val="776"/>
      </w:rPr>
      <w:t xml:space="preserve">- 1 -</w:t>
    </w:r>
    <w:r>
      <w:rPr>
        <w:rStyle w:val="776"/>
      </w:rPr>
      <w:fldChar w:fldCharType="end"/>
    </w:r>
    <w:r/>
  </w:p>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Pr>
        <w:rFonts w:hint="eastAsia"/>
      </w:rPr>
      <w:t xml:space="preserve">第</w:t>
    </w:r>
    <w:r>
      <w:fldChar w:fldCharType="begin"/>
    </w:r>
    <w:r>
      <w:instrText xml:space="preserve">PAGE   \* MERGEFORMAT</w:instrText>
    </w:r>
    <w:r>
      <w:fldChar w:fldCharType="separate"/>
    </w:r>
    <w:r>
      <w:rPr>
        <w:lang w:val="zh-CN"/>
      </w:rPr>
      <w:t xml:space="preserve">41</w:t>
    </w:r>
    <w:r>
      <w:fldChar w:fldCharType="end"/>
    </w:r>
    <w:r>
      <w:rPr>
        <w:rFonts w:hint="eastAsia"/>
      </w:rPr>
      <w:t xml:space="preserve">页 共4</w:t>
    </w:r>
    <w:r>
      <w:rPr>
        <w:rFonts w:hint="eastAsia"/>
        <w:lang w:val="en-US" w:eastAsia="zh-CN"/>
      </w:rPr>
      <w:t xml:space="preserve">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Fonts w:hint="eastAsia" w:eastAsia="宋体"/>
        <w:u w:val="single"/>
        <w:lang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JSZC-320500-SZWK-G2026-0000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3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14"/>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31">
    <w:name w:val="Heading 1"/>
    <w:basedOn w:val="730"/>
    <w:next w:val="730"/>
    <w:link w:val="934"/>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2">
    <w:name w:val="Heading 2"/>
    <w:basedOn w:val="730"/>
    <w:next w:val="730"/>
    <w:link w:val="93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3">
    <w:name w:val="Heading 3"/>
    <w:basedOn w:val="730"/>
    <w:next w:val="730"/>
    <w:link w:val="936"/>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4">
    <w:name w:val="Heading 4"/>
    <w:basedOn w:val="730"/>
    <w:next w:val="730"/>
    <w:link w:val="93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5">
    <w:name w:val="Heading 5"/>
    <w:basedOn w:val="730"/>
    <w:next w:val="730"/>
    <w:link w:val="938"/>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6">
    <w:name w:val="Heading 6"/>
    <w:basedOn w:val="730"/>
    <w:next w:val="730"/>
    <w:link w:val="93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7">
    <w:name w:val="Heading 7"/>
    <w:basedOn w:val="730"/>
    <w:next w:val="730"/>
    <w:link w:val="940"/>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8">
    <w:name w:val="Heading 8"/>
    <w:basedOn w:val="730"/>
    <w:next w:val="730"/>
    <w:link w:val="813"/>
    <w:uiPriority w:val="9"/>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link w:val="814"/>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link w:val="941"/>
    <w:uiPriority w:val="0"/>
    <w:unhideWhenUsed/>
    <w:qFormat/>
    <w:pPr>
      <w:ind w:firstLine="420"/>
      <w:jc w:val="left"/>
    </w:pPr>
    <w:rPr>
      <w:rFonts w:ascii="楷体_GB2312" w:eastAsia="楷体_GB2312"/>
      <w:sz w:val="24"/>
      <w:szCs w:val="20"/>
    </w:rPr>
  </w:style>
  <w:style w:type="paragraph" w:styleId="744">
    <w:name w:val="Caption"/>
    <w:basedOn w:val="730"/>
    <w:next w:val="730"/>
    <w:uiPriority w:val="35"/>
    <w:semiHidden/>
    <w:unhideWhenUsed/>
    <w:qFormat/>
    <w:pPr>
      <w:spacing w:line="276" w:lineRule="auto"/>
    </w:pPr>
    <w:rPr>
      <w:b/>
      <w:bCs/>
      <w:color w:val="4f81bd"/>
      <w:sz w:val="18"/>
      <w:szCs w:val="18"/>
    </w:rPr>
  </w:style>
  <w:style w:type="paragraph" w:styleId="745">
    <w:name w:val="Document Map"/>
    <w:basedOn w:val="730"/>
    <w:link w:val="942"/>
    <w:uiPriority w:val="0"/>
    <w:unhideWhenUsed/>
    <w:qFormat/>
    <w:pPr>
      <w:jc w:val="left"/>
      <w:shd w:val="clear" w:color="auto" w:fill="000080"/>
      <w:widowControl/>
    </w:pPr>
    <w:rPr>
      <w:rFonts w:ascii="Times New Roman" w:hAnsi="Times New Roman"/>
      <w:sz w:val="24"/>
      <w:szCs w:val="24"/>
    </w:rPr>
  </w:style>
  <w:style w:type="paragraph" w:styleId="746">
    <w:name w:val="annotation text"/>
    <w:basedOn w:val="730"/>
    <w:link w:val="943"/>
    <w:uiPriority w:val="0"/>
    <w:unhideWhenUsed/>
    <w:qFormat/>
    <w:pPr>
      <w:jc w:val="left"/>
      <w:widowControl/>
    </w:pPr>
    <w:rPr>
      <w:rFonts w:ascii="Times New Roman" w:hAnsi="Times New Roman"/>
      <w:sz w:val="24"/>
      <w:szCs w:val="24"/>
    </w:rPr>
  </w:style>
  <w:style w:type="paragraph" w:styleId="747">
    <w:name w:val="Body Text"/>
    <w:basedOn w:val="730"/>
    <w:link w:val="944"/>
    <w:uiPriority w:val="99"/>
    <w:qFormat/>
    <w:pPr>
      <w:jc w:val="left"/>
      <w:spacing w:line="360" w:lineRule="auto"/>
      <w:widowControl/>
    </w:pPr>
    <w:rPr>
      <w:rFonts w:ascii="Times New Roman" w:hAnsi="Times New Roman"/>
      <w:sz w:val="24"/>
      <w:szCs w:val="20"/>
    </w:rPr>
  </w:style>
  <w:style w:type="paragraph" w:styleId="748">
    <w:name w:val="Body Text Indent"/>
    <w:basedOn w:val="730"/>
    <w:next w:val="730"/>
    <w:link w:val="945"/>
    <w:uiPriority w:val="0"/>
    <w:unhideWhenUsed/>
    <w:qFormat/>
    <w:pPr>
      <w:ind w:right="-159" w:firstLine="246"/>
      <w:spacing w:line="240" w:lineRule="atLeast"/>
    </w:pPr>
    <w:rPr>
      <w:rFonts w:ascii="Times New Roman" w:hAnsi="Times New Roman"/>
      <w:spacing w:val="20"/>
      <w:szCs w:val="24"/>
    </w:rPr>
  </w:style>
  <w:style w:type="paragraph" w:styleId="749">
    <w:name w:val="Block Text"/>
    <w:basedOn w:val="730"/>
    <w:uiPriority w:val="0"/>
    <w:unhideWhenUsed/>
    <w:qFormat/>
    <w:pPr>
      <w:ind w:left="630" w:right="-609" w:firstLine="420"/>
      <w:spacing w:line="360" w:lineRule="auto"/>
    </w:pPr>
    <w:rPr>
      <w:rFonts w:ascii="仿宋_GB2312" w:hAnsi="Times New Roman" w:eastAsia="仿宋_GB2312"/>
      <w:szCs w:val="20"/>
    </w:rPr>
  </w:style>
  <w:style w:type="paragraph" w:styleId="750">
    <w:name w:val="toc 5"/>
    <w:basedOn w:val="730"/>
    <w:next w:val="730"/>
    <w:uiPriority w:val="39"/>
    <w:unhideWhenUsed/>
    <w:qFormat/>
    <w:pPr>
      <w:ind w:left="1134"/>
      <w:spacing w:after="57"/>
    </w:pPr>
  </w:style>
  <w:style w:type="paragraph" w:styleId="751">
    <w:name w:val="toc 3"/>
    <w:basedOn w:val="730"/>
    <w:next w:val="730"/>
    <w:uiPriority w:val="39"/>
    <w:unhideWhenUsed/>
    <w:qFormat/>
    <w:pPr>
      <w:ind w:left="567"/>
      <w:spacing w:after="57"/>
    </w:pPr>
  </w:style>
  <w:style w:type="paragraph" w:styleId="752">
    <w:name w:val="Plain Text"/>
    <w:basedOn w:val="730"/>
    <w:link w:val="960"/>
    <w:uiPriority w:val="99"/>
    <w:qFormat/>
    <w:rPr>
      <w:rFonts w:ascii="宋体" w:hAnsi="Courier New" w:eastAsia="楷体_GB2312"/>
      <w:sz w:val="26"/>
      <w:szCs w:val="20"/>
    </w:rPr>
  </w:style>
  <w:style w:type="paragraph" w:styleId="753">
    <w:name w:val="toc 8"/>
    <w:basedOn w:val="730"/>
    <w:next w:val="730"/>
    <w:uiPriority w:val="39"/>
    <w:unhideWhenUsed/>
    <w:qFormat/>
    <w:pPr>
      <w:ind w:left="1984"/>
      <w:spacing w:after="57"/>
    </w:pPr>
  </w:style>
  <w:style w:type="paragraph" w:styleId="754">
    <w:name w:val="Date"/>
    <w:basedOn w:val="730"/>
    <w:next w:val="730"/>
    <w:link w:val="947"/>
    <w:uiPriority w:val="99"/>
    <w:unhideWhenUsed/>
    <w:qFormat/>
    <w:pPr>
      <w:ind w:left="100"/>
    </w:pPr>
    <w:rPr>
      <w:rFonts w:ascii="Times New Roman" w:hAnsi="Times New Roman"/>
      <w:b/>
      <w:bCs/>
      <w:spacing w:val="20"/>
      <w:szCs w:val="24"/>
    </w:rPr>
  </w:style>
  <w:style w:type="paragraph" w:styleId="755">
    <w:name w:val="Body Text Indent 2"/>
    <w:basedOn w:val="730"/>
    <w:link w:val="948"/>
    <w:uiPriority w:val="0"/>
    <w:unhideWhenUsed/>
    <w:qFormat/>
    <w:pPr>
      <w:ind w:firstLine="460"/>
      <w:jc w:val="left"/>
      <w:spacing w:line="360" w:lineRule="auto"/>
      <w:widowControl/>
    </w:pPr>
    <w:rPr>
      <w:rFonts w:ascii="Times New Roman" w:hAnsi="Times New Roman"/>
      <w:spacing w:val="20"/>
      <w:szCs w:val="24"/>
    </w:rPr>
  </w:style>
  <w:style w:type="paragraph" w:styleId="756">
    <w:name w:val="endnote text"/>
    <w:basedOn w:val="730"/>
    <w:link w:val="932"/>
    <w:uiPriority w:val="99"/>
    <w:semiHidden/>
    <w:unhideWhenUsed/>
    <w:qFormat/>
    <w:rPr>
      <w:sz w:val="20"/>
    </w:rPr>
  </w:style>
  <w:style w:type="paragraph" w:styleId="757">
    <w:name w:val="Balloon Text"/>
    <w:basedOn w:val="730"/>
    <w:link w:val="949"/>
    <w:uiPriority w:val="0"/>
    <w:unhideWhenUsed/>
    <w:qFormat/>
    <w:pPr>
      <w:jc w:val="left"/>
      <w:widowControl/>
    </w:pPr>
    <w:rPr>
      <w:rFonts w:ascii="Times New Roman" w:hAnsi="Times New Roman"/>
      <w:sz w:val="18"/>
      <w:szCs w:val="18"/>
    </w:rPr>
  </w:style>
  <w:style w:type="paragraph" w:styleId="758">
    <w:name w:val="Footer"/>
    <w:basedOn w:val="730"/>
    <w:link w:val="950"/>
    <w:uiPriority w:val="0"/>
    <w:unhideWhenUsed/>
    <w:qFormat/>
    <w:pPr>
      <w:jc w:val="left"/>
      <w:tabs>
        <w:tab w:val="center" w:pos="4153" w:leader="none"/>
        <w:tab w:val="right" w:pos="8306" w:leader="none"/>
      </w:tabs>
    </w:pPr>
    <w:rPr>
      <w:rFonts w:ascii="Times New Roman" w:hAnsi="Times New Roman"/>
      <w:sz w:val="18"/>
      <w:szCs w:val="18"/>
    </w:rPr>
  </w:style>
  <w:style w:type="paragraph" w:styleId="759">
    <w:name w:val="Header"/>
    <w:basedOn w:val="730"/>
    <w:link w:val="951"/>
    <w:uiPriority w:val="0"/>
    <w:unhideWhenUsed/>
    <w:qFormat/>
    <w:pPr>
      <w:jc w:val="center"/>
      <w:tabs>
        <w:tab w:val="center" w:pos="4153" w:leader="none"/>
        <w:tab w:val="right" w:pos="8306" w:leader="none"/>
      </w:tabs>
    </w:pPr>
    <w:rPr>
      <w:rFonts w:ascii="Times New Roman" w:hAnsi="Times New Roman"/>
      <w:sz w:val="18"/>
      <w:szCs w:val="18"/>
    </w:rPr>
  </w:style>
  <w:style w:type="paragraph" w:styleId="760">
    <w:name w:val="toc 1"/>
    <w:basedOn w:val="730"/>
    <w:next w:val="730"/>
    <w:uiPriority w:val="39"/>
    <w:unhideWhenUsed/>
    <w:qFormat/>
    <w:pPr>
      <w:spacing w:after="57"/>
    </w:pPr>
  </w:style>
  <w:style w:type="paragraph" w:styleId="761">
    <w:name w:val="toc 4"/>
    <w:basedOn w:val="730"/>
    <w:next w:val="730"/>
    <w:uiPriority w:val="39"/>
    <w:unhideWhenUsed/>
    <w:qFormat/>
    <w:pPr>
      <w:ind w:left="850"/>
      <w:spacing w:after="57"/>
    </w:pPr>
  </w:style>
  <w:style w:type="paragraph" w:styleId="762">
    <w:name w:val="Subtitle"/>
    <w:basedOn w:val="730"/>
    <w:next w:val="730"/>
    <w:link w:val="952"/>
    <w:uiPriority w:val="0"/>
    <w:qFormat/>
    <w:pPr>
      <w:ind w:left="1920" w:right="1920"/>
      <w:jc w:val="left"/>
      <w:keepLines/>
      <w:keepNext/>
      <w:spacing w:line="480" w:lineRule="auto"/>
      <w:widowControl/>
    </w:pPr>
    <w:rPr>
      <w:rFonts w:ascii="Times New Roman" w:hAnsi="Times New Roman" w:cs="宋体"/>
      <w:sz w:val="24"/>
      <w:szCs w:val="24"/>
    </w:rPr>
  </w:style>
  <w:style w:type="paragraph" w:styleId="763">
    <w:name w:val="footnote text"/>
    <w:basedOn w:val="730"/>
    <w:link w:val="931"/>
    <w:uiPriority w:val="99"/>
    <w:semiHidden/>
    <w:unhideWhenUsed/>
    <w:qFormat/>
    <w:pPr>
      <w:spacing w:after="40"/>
    </w:pPr>
    <w:rPr>
      <w:sz w:val="18"/>
    </w:rPr>
  </w:style>
  <w:style w:type="paragraph" w:styleId="764">
    <w:name w:val="toc 6"/>
    <w:basedOn w:val="730"/>
    <w:next w:val="730"/>
    <w:uiPriority w:val="39"/>
    <w:unhideWhenUsed/>
    <w:qFormat/>
    <w:pPr>
      <w:ind w:left="1417"/>
      <w:spacing w:after="57"/>
    </w:pPr>
  </w:style>
  <w:style w:type="paragraph" w:styleId="765">
    <w:name w:val="Body Text Indent 3"/>
    <w:basedOn w:val="730"/>
    <w:link w:val="953"/>
    <w:uiPriority w:val="99"/>
    <w:qFormat/>
    <w:pPr>
      <w:ind w:left="420"/>
      <w:spacing w:after="120"/>
    </w:pPr>
    <w:rPr>
      <w:rFonts w:ascii="Times New Roman" w:hAnsi="Times New Roman" w:eastAsia="楷体_GB2312"/>
      <w:sz w:val="16"/>
      <w:szCs w:val="16"/>
    </w:rPr>
  </w:style>
  <w:style w:type="paragraph" w:styleId="766">
    <w:name w:val="table of figures"/>
    <w:basedOn w:val="730"/>
    <w:next w:val="730"/>
    <w:uiPriority w:val="99"/>
    <w:unhideWhenUsed/>
    <w:qFormat/>
  </w:style>
  <w:style w:type="paragraph" w:styleId="767">
    <w:name w:val="toc 2"/>
    <w:basedOn w:val="730"/>
    <w:next w:val="730"/>
    <w:uiPriority w:val="39"/>
    <w:unhideWhenUsed/>
    <w:qFormat/>
    <w:pPr>
      <w:ind w:left="283"/>
      <w:spacing w:after="57"/>
    </w:pPr>
  </w:style>
  <w:style w:type="paragraph" w:styleId="768">
    <w:name w:val="toc 9"/>
    <w:basedOn w:val="730"/>
    <w:next w:val="730"/>
    <w:uiPriority w:val="39"/>
    <w:unhideWhenUsed/>
    <w:qFormat/>
    <w:pPr>
      <w:ind w:left="2268"/>
      <w:spacing w:after="57"/>
    </w:pPr>
  </w:style>
  <w:style w:type="paragraph" w:styleId="769">
    <w:name w:val="Body Text 2"/>
    <w:basedOn w:val="730"/>
    <w:link w:val="954"/>
    <w:uiPriority w:val="0"/>
    <w:unhideWhenUsed/>
    <w:qFormat/>
    <w:pPr>
      <w:jc w:val="left"/>
      <w:spacing w:after="120" w:line="480" w:lineRule="auto"/>
      <w:widowControl/>
    </w:pPr>
    <w:rPr>
      <w:rFonts w:ascii="Times New Roman" w:hAnsi="Times New Roman"/>
      <w:sz w:val="24"/>
      <w:szCs w:val="24"/>
    </w:rPr>
  </w:style>
  <w:style w:type="paragraph" w:styleId="770">
    <w:name w:val="Normal (Web)"/>
    <w:basedOn w:val="730"/>
    <w:uiPriority w:val="99"/>
    <w:unhideWhenUsed/>
    <w:qFormat/>
    <w:pPr>
      <w:jc w:val="left"/>
      <w:spacing w:before="100" w:beforeAutospacing="1" w:after="100" w:afterAutospacing="1"/>
      <w:widowControl/>
    </w:pPr>
    <w:rPr>
      <w:rFonts w:ascii="宋体" w:hAnsi="宋体" w:cs="宋体"/>
      <w:sz w:val="24"/>
      <w:szCs w:val="24"/>
    </w:rPr>
  </w:style>
  <w:style w:type="paragraph" w:styleId="771">
    <w:name w:val="Title"/>
    <w:basedOn w:val="730"/>
    <w:next w:val="730"/>
    <w:link w:val="955"/>
    <w:uiPriority w:val="0"/>
    <w:qFormat/>
    <w:pPr>
      <w:jc w:val="center"/>
      <w:spacing w:before="240" w:after="60"/>
      <w:widowControl/>
      <w:outlineLvl w:val="0"/>
    </w:pPr>
    <w:rPr>
      <w:rFonts w:ascii="Cambria" w:hAnsi="Cambria"/>
      <w:b/>
      <w:bCs/>
      <w:sz w:val="32"/>
      <w:szCs w:val="32"/>
    </w:rPr>
  </w:style>
  <w:style w:type="paragraph" w:styleId="772">
    <w:name w:val="annotation subject"/>
    <w:basedOn w:val="746"/>
    <w:next w:val="746"/>
    <w:link w:val="956"/>
    <w:uiPriority w:val="0"/>
    <w:unhideWhenUsed/>
    <w:qFormat/>
    <w:rPr>
      <w:b/>
      <w:bCs/>
    </w:rPr>
  </w:style>
  <w:style w:type="table" w:styleId="773">
    <w:name w:val="Table Grid"/>
    <w:basedOn w:val="7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uiPriority w:val="0"/>
    <w:qFormat/>
    <w:rPr>
      <w:b/>
    </w:rPr>
  </w:style>
  <w:style w:type="character" w:styleId="775">
    <w:name w:val="endnote reference"/>
    <w:uiPriority w:val="99"/>
    <w:semiHidden/>
    <w:unhideWhenUsed/>
    <w:qFormat/>
    <w:rPr>
      <w:vertAlign w:val="superscript"/>
    </w:rPr>
  </w:style>
  <w:style w:type="character" w:styleId="776">
    <w:name w:val="page number"/>
    <w:uiPriority w:val="99"/>
    <w:unhideWhenUsed/>
    <w:qFormat/>
  </w:style>
  <w:style w:type="character" w:styleId="777">
    <w:name w:val="Hyperlink"/>
    <w:uiPriority w:val="0"/>
    <w:unhideWhenUsed/>
    <w:qFormat/>
    <w:rPr>
      <w:color w:val="0000ff"/>
      <w:u w:val="single"/>
    </w:rPr>
  </w:style>
  <w:style w:type="character" w:styleId="778">
    <w:name w:val="annotation reference"/>
    <w:uiPriority w:val="0"/>
    <w:unhideWhenUsed/>
    <w:qFormat/>
    <w:rPr>
      <w:sz w:val="21"/>
      <w:szCs w:val="21"/>
    </w:rPr>
  </w:style>
  <w:style w:type="character" w:styleId="779">
    <w:name w:val="footnote reference"/>
    <w:uiPriority w:val="99"/>
    <w:unhideWhenUsed/>
    <w:qFormat/>
    <w:rPr>
      <w:vertAlign w:val="superscript"/>
    </w:rPr>
  </w:style>
  <w:style w:type="character" w:styleId="780" w:customStyle="1">
    <w:name w:val="Heading 8 Char"/>
    <w:basedOn w:val="740"/>
    <w:uiPriority w:val="9"/>
    <w:qFormat/>
    <w:rPr>
      <w:rFonts w:ascii="Arial" w:hAnsi="Arial" w:eastAsia="Arial" w:cs="Arial"/>
      <w:i/>
      <w:iCs/>
      <w:sz w:val="22"/>
      <w:szCs w:val="22"/>
    </w:rPr>
  </w:style>
  <w:style w:type="character" w:styleId="781" w:customStyle="1">
    <w:name w:val="Heading 9 Char"/>
    <w:basedOn w:val="740"/>
    <w:uiPriority w:val="9"/>
    <w:qFormat/>
    <w:rPr>
      <w:rFonts w:ascii="Arial" w:hAnsi="Arial" w:eastAsia="Arial" w:cs="Arial"/>
      <w:i/>
      <w:iCs/>
      <w:sz w:val="21"/>
      <w:szCs w:val="21"/>
    </w:rPr>
  </w:style>
  <w:style w:type="character" w:styleId="782" w:customStyle="1">
    <w:name w:val="Quote Char"/>
    <w:uiPriority w:val="29"/>
    <w:qFormat/>
    <w:rPr>
      <w:i/>
    </w:rPr>
  </w:style>
  <w:style w:type="character" w:styleId="783" w:customStyle="1">
    <w:name w:val="Intense Quote Char"/>
    <w:uiPriority w:val="30"/>
    <w:qFormat/>
    <w:rPr>
      <w:i/>
    </w:rPr>
  </w:style>
  <w:style w:type="table" w:styleId="784" w:customStyle="1">
    <w:name w:val="无格式表格 11"/>
    <w:basedOn w:val="74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4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4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74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网格表 31"/>
    <w:basedOn w:val="74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网格表 5 深色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网格表 6 彩色1"/>
    <w:basedOn w:val="74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网格表 7 彩色1"/>
    <w:basedOn w:val="74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清单表 21"/>
    <w:basedOn w:val="74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清单表 31"/>
    <w:basedOn w:val="74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41"/>
    <w:basedOn w:val="7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5 深色1"/>
    <w:basedOn w:val="74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清单表 6 彩色1"/>
    <w:basedOn w:val="74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清单表 7 彩色1"/>
    <w:basedOn w:val="74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标题1"/>
    <w:uiPriority w:val="39"/>
    <w:unhideWhenUsed/>
    <w:qFormat/>
    <w:rPr>
      <w:rFonts w:ascii="Calibri" w:hAnsi="Calibri" w:eastAsia="宋体" w:cs="Times New Roman"/>
      <w:lang w:val="en-US" w:eastAsia="zh-CN" w:bidi="ar-SA"/>
    </w:rPr>
  </w:style>
  <w:style w:type="character" w:styleId="806" w:customStyle="1">
    <w:name w:val="Heading 1 Char"/>
    <w:uiPriority w:val="9"/>
    <w:qFormat/>
    <w:rPr>
      <w:rFonts w:ascii="Arial" w:hAnsi="Arial" w:eastAsia="Arial" w:cs="Arial"/>
      <w:sz w:val="40"/>
      <w:szCs w:val="40"/>
    </w:rPr>
  </w:style>
  <w:style w:type="character" w:styleId="807" w:customStyle="1">
    <w:name w:val="Heading 2 Char"/>
    <w:uiPriority w:val="9"/>
    <w:qFormat/>
    <w:rPr>
      <w:rFonts w:ascii="Arial" w:hAnsi="Arial" w:eastAsia="Arial" w:cs="Arial"/>
      <w:sz w:val="34"/>
    </w:rPr>
  </w:style>
  <w:style w:type="character" w:styleId="808" w:customStyle="1">
    <w:name w:val="Heading 3 Char"/>
    <w:uiPriority w:val="9"/>
    <w:qFormat/>
    <w:rPr>
      <w:rFonts w:ascii="Arial" w:hAnsi="Arial" w:eastAsia="Arial" w:cs="Arial"/>
      <w:sz w:val="30"/>
      <w:szCs w:val="30"/>
    </w:rPr>
  </w:style>
  <w:style w:type="character" w:styleId="809" w:customStyle="1">
    <w:name w:val="Heading 4 Char"/>
    <w:uiPriority w:val="9"/>
    <w:qFormat/>
    <w:rPr>
      <w:rFonts w:ascii="Arial" w:hAnsi="Arial" w:eastAsia="Arial" w:cs="Arial"/>
      <w:b/>
      <w:bCs/>
      <w:sz w:val="26"/>
      <w:szCs w:val="26"/>
    </w:rPr>
  </w:style>
  <w:style w:type="character" w:styleId="810" w:customStyle="1">
    <w:name w:val="Heading 5 Char"/>
    <w:uiPriority w:val="9"/>
    <w:qFormat/>
    <w:rPr>
      <w:rFonts w:ascii="Arial" w:hAnsi="Arial" w:eastAsia="Arial" w:cs="Arial"/>
      <w:b/>
      <w:bCs/>
      <w:sz w:val="24"/>
      <w:szCs w:val="24"/>
    </w:rPr>
  </w:style>
  <w:style w:type="character" w:styleId="811" w:customStyle="1">
    <w:name w:val="Heading 6 Char"/>
    <w:uiPriority w:val="9"/>
    <w:qFormat/>
    <w:rPr>
      <w:rFonts w:ascii="Arial" w:hAnsi="Arial" w:eastAsia="Arial" w:cs="Arial"/>
      <w:b/>
      <w:bCs/>
      <w:sz w:val="22"/>
      <w:szCs w:val="22"/>
    </w:rPr>
  </w:style>
  <w:style w:type="character" w:styleId="812" w:customStyle="1">
    <w:name w:val="Heading 7 Char"/>
    <w:uiPriority w:val="9"/>
    <w:qFormat/>
    <w:rPr>
      <w:rFonts w:ascii="Arial" w:hAnsi="Arial" w:eastAsia="Arial" w:cs="Arial"/>
      <w:b/>
      <w:bCs/>
      <w:i/>
      <w:iCs/>
      <w:sz w:val="22"/>
      <w:szCs w:val="22"/>
    </w:rPr>
  </w:style>
  <w:style w:type="character" w:styleId="813" w:customStyle="1">
    <w:name w:val="标题 8 字符"/>
    <w:link w:val="738"/>
    <w:uiPriority w:val="9"/>
    <w:qFormat/>
    <w:rPr>
      <w:rFonts w:ascii="Arial" w:hAnsi="Arial" w:eastAsia="Arial" w:cs="Arial"/>
      <w:i/>
      <w:iCs/>
      <w:sz w:val="22"/>
      <w:szCs w:val="22"/>
    </w:rPr>
  </w:style>
  <w:style w:type="character" w:styleId="814" w:customStyle="1">
    <w:name w:val="标题 9 字符"/>
    <w:link w:val="739"/>
    <w:uiPriority w:val="9"/>
    <w:qFormat/>
    <w:rPr>
      <w:rFonts w:ascii="Arial" w:hAnsi="Arial" w:eastAsia="Arial" w:cs="Arial"/>
      <w:i/>
      <w:iCs/>
      <w:sz w:val="21"/>
      <w:szCs w:val="21"/>
    </w:rPr>
  </w:style>
  <w:style w:type="paragraph" w:styleId="81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6" w:customStyle="1">
    <w:name w:val="Title Char"/>
    <w:uiPriority w:val="10"/>
    <w:qFormat/>
    <w:rPr>
      <w:sz w:val="48"/>
      <w:szCs w:val="48"/>
    </w:rPr>
  </w:style>
  <w:style w:type="character" w:styleId="817" w:customStyle="1">
    <w:name w:val="Subtitle Char"/>
    <w:uiPriority w:val="11"/>
    <w:qFormat/>
    <w:rPr>
      <w:sz w:val="24"/>
      <w:szCs w:val="24"/>
    </w:rPr>
  </w:style>
  <w:style w:type="paragraph" w:styleId="818">
    <w:name w:val="Quote"/>
    <w:basedOn w:val="730"/>
    <w:next w:val="730"/>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30"/>
    <w:next w:val="730"/>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Header Char"/>
    <w:uiPriority w:val="99"/>
    <w:qFormat/>
  </w:style>
  <w:style w:type="character" w:styleId="823" w:customStyle="1">
    <w:name w:val="Footer Char"/>
    <w:uiPriority w:val="99"/>
    <w:qFormat/>
  </w:style>
  <w:style w:type="character" w:styleId="824" w:customStyle="1">
    <w:name w:val="Caption Char"/>
    <w:uiPriority w:val="99"/>
    <w:qFormat/>
  </w:style>
  <w:style w:type="table" w:styleId="8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List Table 1 Light - Accent 1"/>
    <w:uiPriority w:val="99"/>
    <w:qFormat/>
    <w:tblPr>
      <w:tblCellMar>
        <w:left w:w="0" w:type="dxa"/>
        <w:top w:w="0" w:type="dxa"/>
        <w:right w:w="0" w:type="dxa"/>
        <w:bottom w:w="0" w:type="dxa"/>
      </w:tblCellMar>
    </w:tblPr>
  </w:style>
  <w:style w:type="table" w:styleId="869" w:customStyle="1">
    <w:name w:val="List Table 1 Light - Accent 2"/>
    <w:uiPriority w:val="99"/>
    <w:qFormat/>
    <w:tblPr>
      <w:tblCellMar>
        <w:left w:w="0" w:type="dxa"/>
        <w:top w:w="0" w:type="dxa"/>
        <w:right w:w="0" w:type="dxa"/>
        <w:bottom w:w="0" w:type="dxa"/>
      </w:tblCellMar>
    </w:tblPr>
  </w:style>
  <w:style w:type="table" w:styleId="870" w:customStyle="1">
    <w:name w:val="List Table 1 Light - Accent 3"/>
    <w:uiPriority w:val="99"/>
    <w:qFormat/>
    <w:tblPr>
      <w:tblCellMar>
        <w:left w:w="0" w:type="dxa"/>
        <w:top w:w="0" w:type="dxa"/>
        <w:right w:w="0" w:type="dxa"/>
        <w:bottom w:w="0" w:type="dxa"/>
      </w:tblCellMar>
    </w:tblPr>
  </w:style>
  <w:style w:type="table" w:styleId="871" w:customStyle="1">
    <w:name w:val="List Table 1 Light - Accent 4"/>
    <w:uiPriority w:val="99"/>
    <w:qFormat/>
    <w:tblPr>
      <w:tblCellMar>
        <w:left w:w="0" w:type="dxa"/>
        <w:top w:w="0" w:type="dxa"/>
        <w:right w:w="0" w:type="dxa"/>
        <w:bottom w:w="0" w:type="dxa"/>
      </w:tblCellMar>
    </w:tblPr>
  </w:style>
  <w:style w:type="table" w:styleId="872" w:customStyle="1">
    <w:name w:val="List Table 1 Light - Accent 5"/>
    <w:uiPriority w:val="99"/>
    <w:qFormat/>
    <w:tblPr>
      <w:tblCellMar>
        <w:left w:w="0" w:type="dxa"/>
        <w:top w:w="0" w:type="dxa"/>
        <w:right w:w="0" w:type="dxa"/>
        <w:bottom w:w="0" w:type="dxa"/>
      </w:tblCellMar>
    </w:tblPr>
  </w:style>
  <w:style w:type="table" w:styleId="873" w:customStyle="1">
    <w:name w:val="List Table 1 Light - Accent 6"/>
    <w:uiPriority w:val="99"/>
    <w:qFormat/>
    <w:tblPr>
      <w:tblCellMar>
        <w:left w:w="0" w:type="dxa"/>
        <w:top w:w="0" w:type="dxa"/>
        <w:right w:w="0" w:type="dxa"/>
        <w:bottom w:w="0" w:type="dxa"/>
      </w:tblCellMar>
    </w:tbl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0" w:customStyle="1">
    <w:name w:val="Lined - Accent"/>
    <w:uiPriority w:val="99"/>
    <w:qFormat/>
    <w:rPr>
      <w:color w:val="404040"/>
    </w:rPr>
    <w:tblPr>
      <w:tblCellMar>
        <w:left w:w="0" w:type="dxa"/>
        <w:top w:w="0" w:type="dxa"/>
        <w:right w:w="0" w:type="dxa"/>
        <w:bottom w:w="0" w:type="dxa"/>
      </w:tblCellMar>
    </w:tblPr>
  </w:style>
  <w:style w:type="table" w:styleId="911" w:customStyle="1">
    <w:name w:val="Lined - Accent 1"/>
    <w:uiPriority w:val="99"/>
    <w:qFormat/>
    <w:rPr>
      <w:color w:val="404040"/>
    </w:rPr>
    <w:tblPr>
      <w:tblCellMar>
        <w:left w:w="0" w:type="dxa"/>
        <w:top w:w="0" w:type="dxa"/>
        <w:right w:w="0" w:type="dxa"/>
        <w:bottom w:w="0" w:type="dxa"/>
      </w:tblCellMar>
    </w:tblPr>
  </w:style>
  <w:style w:type="table" w:styleId="912" w:customStyle="1">
    <w:name w:val="Lined - Accent 2"/>
    <w:uiPriority w:val="99"/>
    <w:qFormat/>
    <w:rPr>
      <w:color w:val="404040"/>
    </w:rPr>
    <w:tblPr>
      <w:tblCellMar>
        <w:left w:w="0" w:type="dxa"/>
        <w:top w:w="0" w:type="dxa"/>
        <w:right w:w="0" w:type="dxa"/>
        <w:bottom w:w="0" w:type="dxa"/>
      </w:tblCellMar>
    </w:tblPr>
  </w:style>
  <w:style w:type="table" w:styleId="913" w:customStyle="1">
    <w:name w:val="Lined - Accent 3"/>
    <w:uiPriority w:val="99"/>
    <w:qFormat/>
    <w:rPr>
      <w:color w:val="404040"/>
    </w:rPr>
    <w:tblPr>
      <w:tblCellMar>
        <w:left w:w="0" w:type="dxa"/>
        <w:top w:w="0" w:type="dxa"/>
        <w:right w:w="0" w:type="dxa"/>
        <w:bottom w:w="0" w:type="dxa"/>
      </w:tblCellMar>
    </w:tblPr>
  </w:style>
  <w:style w:type="table" w:styleId="914" w:customStyle="1">
    <w:name w:val="Lined - Accent 4"/>
    <w:uiPriority w:val="99"/>
    <w:qFormat/>
    <w:rPr>
      <w:color w:val="404040"/>
    </w:rPr>
    <w:tblPr>
      <w:tblCellMar>
        <w:left w:w="0" w:type="dxa"/>
        <w:top w:w="0" w:type="dxa"/>
        <w:right w:w="0" w:type="dxa"/>
        <w:bottom w:w="0" w:type="dxa"/>
      </w:tblCellMar>
    </w:tblPr>
  </w:style>
  <w:style w:type="table" w:styleId="915" w:customStyle="1">
    <w:name w:val="Lined - Accent 5"/>
    <w:uiPriority w:val="99"/>
    <w:qFormat/>
    <w:rPr>
      <w:color w:val="404040"/>
    </w:rPr>
    <w:tblPr>
      <w:tblCellMar>
        <w:left w:w="0" w:type="dxa"/>
        <w:top w:w="0" w:type="dxa"/>
        <w:right w:w="0" w:type="dxa"/>
        <w:bottom w:w="0" w:type="dxa"/>
      </w:tblCellMar>
    </w:tblPr>
  </w:style>
  <w:style w:type="table" w:styleId="916" w:customStyle="1">
    <w:name w:val="Lined - Accent 6"/>
    <w:uiPriority w:val="99"/>
    <w:qFormat/>
    <w:rPr>
      <w:color w:val="404040"/>
    </w:rPr>
    <w:tblPr>
      <w:tblCellMar>
        <w:left w:w="0" w:type="dxa"/>
        <w:top w:w="0" w:type="dxa"/>
        <w:right w:w="0" w:type="dxa"/>
        <w:bottom w:w="0" w:type="dxa"/>
      </w:tblCellMar>
    </w:tblPr>
  </w:style>
  <w:style w:type="table" w:styleId="9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1" w:customStyle="1">
    <w:name w:val="脚注文本 字符"/>
    <w:link w:val="763"/>
    <w:uiPriority w:val="99"/>
    <w:qFormat/>
    <w:rPr>
      <w:sz w:val="18"/>
    </w:rPr>
  </w:style>
  <w:style w:type="character" w:styleId="932" w:customStyle="1">
    <w:name w:val="尾注文本 字符"/>
    <w:link w:val="756"/>
    <w:uiPriority w:val="99"/>
    <w:qFormat/>
    <w:rPr>
      <w:sz w:val="20"/>
    </w:rPr>
  </w:style>
  <w:style w:type="paragraph" w:styleId="933" w:customStyle="1">
    <w:name w:val="TOC 标题11"/>
    <w:uiPriority w:val="39"/>
    <w:unhideWhenUsed/>
    <w:qFormat/>
    <w:rPr>
      <w:rFonts w:ascii="Calibri" w:hAnsi="Calibri" w:eastAsia="宋体" w:cs="Times New Roman"/>
      <w:lang w:val="en-US" w:eastAsia="zh-CN" w:bidi="ar-SA"/>
    </w:rPr>
  </w:style>
  <w:style w:type="character" w:styleId="934" w:customStyle="1">
    <w:name w:val="标题 1 字符1"/>
    <w:link w:val="731"/>
    <w:uiPriority w:val="0"/>
    <w:qFormat/>
    <w:rPr>
      <w:rFonts w:ascii="Times New Roman" w:hAnsi="Times New Roman" w:eastAsia="楷体_GB2312"/>
      <w:b/>
      <w:sz w:val="44"/>
    </w:rPr>
  </w:style>
  <w:style w:type="character" w:styleId="935" w:customStyle="1">
    <w:name w:val="标题 2 字符1"/>
    <w:link w:val="732"/>
    <w:uiPriority w:val="0"/>
    <w:semiHidden/>
    <w:qFormat/>
    <w:rPr>
      <w:rFonts w:ascii="等线 Light" w:hAnsi="等线 Light" w:eastAsia="等线 Light"/>
      <w:b/>
      <w:bCs/>
      <w:sz w:val="32"/>
      <w:szCs w:val="32"/>
    </w:rPr>
  </w:style>
  <w:style w:type="character" w:styleId="936" w:customStyle="1">
    <w:name w:val="标题 3 字符1"/>
    <w:link w:val="733"/>
    <w:uiPriority w:val="0"/>
    <w:qFormat/>
    <w:rPr>
      <w:rFonts w:ascii="Times New Roman" w:hAnsi="Times New Roman"/>
      <w:b/>
      <w:bCs/>
      <w:sz w:val="32"/>
      <w:szCs w:val="32"/>
    </w:rPr>
  </w:style>
  <w:style w:type="character" w:styleId="937" w:customStyle="1">
    <w:name w:val="标题 4 字符1"/>
    <w:link w:val="734"/>
    <w:uiPriority w:val="0"/>
    <w:semiHidden/>
    <w:qFormat/>
    <w:rPr>
      <w:rFonts w:ascii="宋体" w:hAnsi="宋体" w:eastAsia="等线"/>
      <w:b/>
      <w:bCs/>
      <w:sz w:val="24"/>
      <w:szCs w:val="24"/>
      <w:u w:val="single"/>
    </w:rPr>
  </w:style>
  <w:style w:type="character" w:styleId="938" w:customStyle="1">
    <w:name w:val="标题 5 字符1"/>
    <w:link w:val="735"/>
    <w:uiPriority w:val="0"/>
    <w:qFormat/>
    <w:rPr>
      <w:rFonts w:ascii="Times New Roman" w:hAnsi="Times New Roman"/>
      <w:b/>
      <w:bCs/>
      <w:sz w:val="28"/>
      <w:szCs w:val="28"/>
    </w:rPr>
  </w:style>
  <w:style w:type="character" w:styleId="939" w:customStyle="1">
    <w:name w:val="标题 6 字符1"/>
    <w:link w:val="736"/>
    <w:uiPriority w:val="0"/>
    <w:qFormat/>
    <w:rPr>
      <w:rFonts w:ascii="Arial" w:hAnsi="Arial" w:eastAsia="黑体"/>
      <w:b/>
      <w:bCs/>
      <w:sz w:val="24"/>
      <w:szCs w:val="24"/>
    </w:rPr>
  </w:style>
  <w:style w:type="character" w:styleId="940" w:customStyle="1">
    <w:name w:val="标题 7 字符1"/>
    <w:link w:val="737"/>
    <w:uiPriority w:val="0"/>
    <w:semiHidden/>
    <w:qFormat/>
    <w:rPr>
      <w:rFonts w:ascii="Times New Roman" w:hAnsi="Times New Roman"/>
      <w:b/>
      <w:bCs/>
      <w:sz w:val="24"/>
      <w:szCs w:val="24"/>
    </w:rPr>
  </w:style>
  <w:style w:type="character" w:styleId="941" w:customStyle="1">
    <w:name w:val="正文缩进 字符"/>
    <w:link w:val="743"/>
    <w:uiPriority w:val="0"/>
    <w:qFormat/>
    <w:rPr>
      <w:rFonts w:ascii="楷体_GB2312" w:eastAsia="楷体_GB2312"/>
      <w:sz w:val="24"/>
    </w:rPr>
  </w:style>
  <w:style w:type="character" w:styleId="942" w:customStyle="1">
    <w:name w:val="文档结构图 字符"/>
    <w:link w:val="745"/>
    <w:uiPriority w:val="0"/>
    <w:qFormat/>
    <w:rPr>
      <w:rFonts w:ascii="Times New Roman" w:hAnsi="Times New Roman"/>
      <w:sz w:val="24"/>
      <w:szCs w:val="24"/>
      <w:shd w:val="clear" w:color="auto" w:fill="000080"/>
    </w:rPr>
  </w:style>
  <w:style w:type="character" w:styleId="943" w:customStyle="1">
    <w:name w:val="批注文字 字符1"/>
    <w:link w:val="746"/>
    <w:uiPriority w:val="0"/>
    <w:qFormat/>
    <w:rPr>
      <w:rFonts w:ascii="Times New Roman" w:hAnsi="Times New Roman"/>
      <w:sz w:val="24"/>
      <w:szCs w:val="24"/>
    </w:rPr>
  </w:style>
  <w:style w:type="character" w:styleId="944" w:customStyle="1">
    <w:name w:val="正文文本 字符"/>
    <w:link w:val="747"/>
    <w:uiPriority w:val="99"/>
    <w:qFormat/>
    <w:rPr>
      <w:rFonts w:ascii="Times New Roman" w:hAnsi="Times New Roman"/>
      <w:sz w:val="24"/>
    </w:rPr>
  </w:style>
  <w:style w:type="character" w:styleId="945" w:customStyle="1">
    <w:name w:val="正文文本缩进 字符2"/>
    <w:link w:val="748"/>
    <w:uiPriority w:val="0"/>
    <w:qFormat/>
    <w:rPr>
      <w:rFonts w:ascii="Times New Roman" w:hAnsi="Times New Roman"/>
      <w:spacing w:val="20"/>
      <w:sz w:val="21"/>
      <w:szCs w:val="24"/>
    </w:rPr>
  </w:style>
  <w:style w:type="character" w:styleId="946" w:customStyle="1">
    <w:name w:val="纯文本 字符"/>
    <w:uiPriority w:val="0"/>
    <w:qFormat/>
    <w:rPr>
      <w:rFonts w:ascii="宋体" w:hAnsi="Courier New" w:eastAsia="楷体_GB2312"/>
      <w:sz w:val="26"/>
    </w:rPr>
  </w:style>
  <w:style w:type="character" w:styleId="947" w:customStyle="1">
    <w:name w:val="日期 字符"/>
    <w:link w:val="754"/>
    <w:uiPriority w:val="99"/>
    <w:qFormat/>
    <w:rPr>
      <w:rFonts w:ascii="Times New Roman" w:hAnsi="Times New Roman"/>
      <w:b/>
      <w:bCs/>
      <w:spacing w:val="20"/>
      <w:sz w:val="21"/>
      <w:szCs w:val="24"/>
    </w:rPr>
  </w:style>
  <w:style w:type="character" w:styleId="948" w:customStyle="1">
    <w:name w:val="正文文本缩进 2 字符2"/>
    <w:link w:val="755"/>
    <w:uiPriority w:val="0"/>
    <w:qFormat/>
    <w:rPr>
      <w:rFonts w:ascii="Times New Roman" w:hAnsi="Times New Roman"/>
      <w:spacing w:val="20"/>
      <w:sz w:val="21"/>
      <w:szCs w:val="24"/>
    </w:rPr>
  </w:style>
  <w:style w:type="character" w:styleId="949" w:customStyle="1">
    <w:name w:val="批注框文本 字符"/>
    <w:link w:val="757"/>
    <w:uiPriority w:val="0"/>
    <w:qFormat/>
    <w:rPr>
      <w:rFonts w:ascii="Times New Roman" w:hAnsi="Times New Roman"/>
      <w:sz w:val="18"/>
      <w:szCs w:val="18"/>
    </w:rPr>
  </w:style>
  <w:style w:type="character" w:styleId="950" w:customStyle="1">
    <w:name w:val="页脚 字符"/>
    <w:link w:val="758"/>
    <w:uiPriority w:val="99"/>
    <w:qFormat/>
    <w:rPr>
      <w:rFonts w:ascii="Times New Roman" w:hAnsi="Times New Roman"/>
      <w:sz w:val="18"/>
      <w:szCs w:val="18"/>
    </w:rPr>
  </w:style>
  <w:style w:type="character" w:styleId="951" w:customStyle="1">
    <w:name w:val="页眉 字符2"/>
    <w:link w:val="759"/>
    <w:uiPriority w:val="99"/>
    <w:qFormat/>
    <w:rPr>
      <w:rFonts w:ascii="Times New Roman" w:hAnsi="Times New Roman"/>
      <w:sz w:val="18"/>
      <w:szCs w:val="18"/>
    </w:rPr>
  </w:style>
  <w:style w:type="character" w:styleId="952" w:customStyle="1">
    <w:name w:val="副标题 字符2"/>
    <w:link w:val="762"/>
    <w:uiPriority w:val="0"/>
    <w:qFormat/>
    <w:rPr>
      <w:rFonts w:ascii="Times New Roman" w:hAnsi="Times New Roman" w:cs="宋体"/>
      <w:sz w:val="24"/>
      <w:szCs w:val="24"/>
    </w:rPr>
  </w:style>
  <w:style w:type="character" w:styleId="953" w:customStyle="1">
    <w:name w:val="正文文本缩进 3 字符"/>
    <w:link w:val="765"/>
    <w:uiPriority w:val="99"/>
    <w:qFormat/>
    <w:rPr>
      <w:rFonts w:ascii="Times New Roman" w:hAnsi="Times New Roman" w:eastAsia="楷体_GB2312"/>
      <w:sz w:val="16"/>
      <w:szCs w:val="16"/>
    </w:rPr>
  </w:style>
  <w:style w:type="character" w:styleId="954" w:customStyle="1">
    <w:name w:val="正文文本 2 字符"/>
    <w:link w:val="769"/>
    <w:uiPriority w:val="0"/>
    <w:qFormat/>
    <w:rPr>
      <w:rFonts w:ascii="Times New Roman" w:hAnsi="Times New Roman"/>
      <w:sz w:val="24"/>
      <w:szCs w:val="24"/>
    </w:rPr>
  </w:style>
  <w:style w:type="character" w:styleId="955" w:customStyle="1">
    <w:name w:val="标题 字符"/>
    <w:link w:val="771"/>
    <w:uiPriority w:val="0"/>
    <w:qFormat/>
    <w:rPr>
      <w:rFonts w:ascii="Cambria" w:hAnsi="Cambria"/>
      <w:b/>
      <w:bCs/>
      <w:sz w:val="32"/>
      <w:szCs w:val="32"/>
    </w:rPr>
  </w:style>
  <w:style w:type="character" w:styleId="956" w:customStyle="1">
    <w:name w:val="批注主题 字符2"/>
    <w:link w:val="772"/>
    <w:uiPriority w:val="0"/>
    <w:qFormat/>
    <w:rPr>
      <w:rFonts w:ascii="Times New Roman" w:hAnsi="Times New Roman"/>
      <w:b/>
      <w:bCs/>
      <w:sz w:val="24"/>
      <w:szCs w:val="24"/>
    </w:rPr>
  </w:style>
  <w:style w:type="paragraph" w:styleId="957" w:customStyle="1">
    <w:name w:val="正文首行缩进 21"/>
    <w:basedOn w:val="748"/>
    <w:link w:val="958"/>
    <w:uiPriority w:val="99"/>
    <w:unhideWhenUsed/>
    <w:qFormat/>
    <w:pPr>
      <w:ind w:left="420" w:right="0" w:firstLine="420"/>
      <w:jc w:val="left"/>
      <w:spacing w:after="120" w:line="240" w:lineRule="auto"/>
      <w:widowControl/>
    </w:pPr>
    <w:rPr>
      <w:sz w:val="24"/>
    </w:rPr>
  </w:style>
  <w:style w:type="character" w:styleId="958" w:customStyle="1">
    <w:name w:val="正文文本首行缩进 2 字符1"/>
    <w:link w:val="957"/>
    <w:uiPriority w:val="99"/>
    <w:qFormat/>
    <w:rPr>
      <w:rFonts w:ascii="Times New Roman" w:hAnsi="Times New Roman"/>
      <w:spacing w:val="20"/>
      <w:sz w:val="24"/>
      <w:szCs w:val="24"/>
    </w:rPr>
  </w:style>
  <w:style w:type="character" w:styleId="959" w:customStyle="1">
    <w:name w:val="已访问的超链接1"/>
    <w:uiPriority w:val="0"/>
    <w:unhideWhenUsed/>
    <w:qFormat/>
    <w:rPr>
      <w:color w:val="800080"/>
      <w:u w:val="single"/>
    </w:rPr>
  </w:style>
  <w:style w:type="character" w:styleId="960" w:customStyle="1">
    <w:name w:val="纯文本 字符2"/>
    <w:link w:val="752"/>
    <w:uiPriority w:val="99"/>
    <w:qFormat/>
    <w:rPr>
      <w:rFonts w:ascii="宋体" w:hAnsi="Courier New" w:eastAsia="楷体_GB2312"/>
      <w:sz w:val="26"/>
    </w:rPr>
  </w:style>
  <w:style w:type="paragraph" w:styleId="961" w:customStyle="1">
    <w:name w:val="纯文本2"/>
    <w:basedOn w:val="730"/>
    <w:uiPriority w:val="0"/>
    <w:qFormat/>
    <w:pPr>
      <w:jc w:val="left"/>
      <w:widowControl/>
    </w:pPr>
    <w:rPr>
      <w:rFonts w:ascii="宋体" w:hAnsi="Courier New" w:eastAsia="楷体_GB2312"/>
      <w:sz w:val="26"/>
      <w:szCs w:val="20"/>
    </w:rPr>
  </w:style>
  <w:style w:type="character" w:styleId="962" w:customStyle="1">
    <w:name w:val="标题 1 字符"/>
    <w:uiPriority w:val="9"/>
    <w:qFormat/>
    <w:rPr>
      <w:b/>
      <w:bCs/>
      <w:sz w:val="44"/>
      <w:szCs w:val="44"/>
    </w:rPr>
  </w:style>
  <w:style w:type="character" w:styleId="963" w:customStyle="1">
    <w:name w:val="标题 2 字符"/>
    <w:uiPriority w:val="9"/>
    <w:semiHidden/>
    <w:qFormat/>
    <w:rPr>
      <w:rFonts w:ascii="Cambria" w:hAnsi="Cambria" w:eastAsia="宋体" w:cs="Times New Roman"/>
      <w:b/>
      <w:bCs/>
      <w:sz w:val="32"/>
      <w:szCs w:val="32"/>
    </w:rPr>
  </w:style>
  <w:style w:type="character" w:styleId="964" w:customStyle="1">
    <w:name w:val="标题 3 字符"/>
    <w:uiPriority w:val="9"/>
    <w:semiHidden/>
    <w:qFormat/>
    <w:rPr>
      <w:b/>
      <w:bCs/>
      <w:sz w:val="32"/>
      <w:szCs w:val="32"/>
    </w:rPr>
  </w:style>
  <w:style w:type="character" w:styleId="965" w:customStyle="1">
    <w:name w:val="标题 4 字符"/>
    <w:uiPriority w:val="9"/>
    <w:semiHidden/>
    <w:qFormat/>
    <w:rPr>
      <w:rFonts w:ascii="Cambria" w:hAnsi="Cambria" w:eastAsia="宋体" w:cs="Times New Roman"/>
      <w:b/>
      <w:bCs/>
      <w:sz w:val="28"/>
      <w:szCs w:val="28"/>
    </w:rPr>
  </w:style>
  <w:style w:type="character" w:styleId="966" w:customStyle="1">
    <w:name w:val="标题 5 字符"/>
    <w:uiPriority w:val="9"/>
    <w:semiHidden/>
    <w:qFormat/>
    <w:rPr>
      <w:b/>
      <w:bCs/>
      <w:sz w:val="28"/>
      <w:szCs w:val="28"/>
    </w:rPr>
  </w:style>
  <w:style w:type="character" w:styleId="967" w:customStyle="1">
    <w:name w:val="标题 6 字符"/>
    <w:uiPriority w:val="9"/>
    <w:semiHidden/>
    <w:qFormat/>
    <w:rPr>
      <w:rFonts w:ascii="Cambria" w:hAnsi="Cambria" w:eastAsia="宋体" w:cs="Times New Roman"/>
      <w:b/>
      <w:bCs/>
      <w:sz w:val="24"/>
      <w:szCs w:val="24"/>
    </w:rPr>
  </w:style>
  <w:style w:type="character" w:styleId="968" w:customStyle="1">
    <w:name w:val="标题 7 字符"/>
    <w:uiPriority w:val="9"/>
    <w:semiHidden/>
    <w:qFormat/>
    <w:rPr>
      <w:b/>
      <w:bCs/>
      <w:sz w:val="24"/>
      <w:szCs w:val="24"/>
    </w:rPr>
  </w:style>
  <w:style w:type="paragraph" w:styleId="969" w:customStyle="1">
    <w:name w:val="msonormal"/>
    <w:basedOn w:val="730"/>
    <w:uiPriority w:val="0"/>
    <w:qFormat/>
    <w:pPr>
      <w:jc w:val="left"/>
      <w:spacing w:before="100" w:beforeAutospacing="1" w:after="100" w:afterAutospacing="1"/>
      <w:widowControl/>
    </w:pPr>
    <w:rPr>
      <w:rFonts w:ascii="宋体" w:hAnsi="宋体" w:cs="宋体"/>
      <w:sz w:val="24"/>
      <w:szCs w:val="24"/>
    </w:rPr>
  </w:style>
  <w:style w:type="character" w:styleId="970" w:customStyle="1">
    <w:name w:val="批注文字 字符"/>
    <w:uiPriority w:val="0"/>
    <w:qFormat/>
    <w:rPr>
      <w:sz w:val="21"/>
      <w:szCs w:val="22"/>
    </w:rPr>
  </w:style>
  <w:style w:type="character" w:styleId="971" w:customStyle="1">
    <w:name w:val="页眉 字符"/>
    <w:uiPriority w:val="0"/>
    <w:qFormat/>
    <w:rPr>
      <w:sz w:val="18"/>
      <w:szCs w:val="18"/>
    </w:rPr>
  </w:style>
  <w:style w:type="character" w:styleId="972" w:customStyle="1">
    <w:name w:val="正文文本缩进 字符"/>
    <w:uiPriority w:val="0"/>
    <w:qFormat/>
    <w:rPr>
      <w:sz w:val="21"/>
      <w:szCs w:val="22"/>
    </w:rPr>
  </w:style>
  <w:style w:type="character" w:styleId="973" w:customStyle="1">
    <w:name w:val="副标题 字符"/>
    <w:uiPriority w:val="0"/>
    <w:qFormat/>
    <w:rPr>
      <w:rFonts w:ascii="Cambria" w:hAnsi="Cambria" w:cs="Times New Roman"/>
      <w:b/>
      <w:bCs/>
      <w:sz w:val="32"/>
      <w:szCs w:val="32"/>
    </w:rPr>
  </w:style>
  <w:style w:type="character" w:styleId="974" w:customStyle="1">
    <w:name w:val="正文文本首行缩进 2 字符"/>
    <w:uiPriority w:val="99"/>
    <w:qFormat/>
  </w:style>
  <w:style w:type="character" w:styleId="975" w:customStyle="1">
    <w:name w:val="正文文本缩进 2 字符"/>
    <w:uiPriority w:val="0"/>
    <w:qFormat/>
    <w:rPr>
      <w:sz w:val="21"/>
      <w:szCs w:val="22"/>
    </w:rPr>
  </w:style>
  <w:style w:type="character" w:styleId="976" w:customStyle="1">
    <w:name w:val="批注主题 字符"/>
    <w:uiPriority w:val="0"/>
    <w:qFormat/>
    <w:rPr>
      <w:b/>
      <w:bCs/>
      <w:sz w:val="21"/>
      <w:szCs w:val="22"/>
    </w:rPr>
  </w:style>
  <w:style w:type="character" w:styleId="977" w:customStyle="1">
    <w:name w:val="列出段落 字符"/>
    <w:link w:val="978"/>
    <w:uiPriority w:val="34"/>
    <w:qFormat/>
    <w:rPr>
      <w:rFonts w:cs="Calibri"/>
      <w:sz w:val="21"/>
      <w:szCs w:val="22"/>
    </w:rPr>
  </w:style>
  <w:style w:type="paragraph" w:styleId="978">
    <w:name w:val="List Paragraph"/>
    <w:basedOn w:val="730"/>
    <w:link w:val="977"/>
    <w:uiPriority w:val="0"/>
    <w:qFormat/>
    <w:pPr>
      <w:ind w:firstLine="420"/>
    </w:pPr>
  </w:style>
  <w:style w:type="paragraph" w:styleId="979" w:customStyle="1">
    <w:name w:val="Plain Text1"/>
    <w:basedOn w:val="730"/>
    <w:uiPriority w:val="0"/>
    <w:qFormat/>
    <w:rPr>
      <w:rFonts w:ascii="宋体" w:hAnsi="Courier New" w:eastAsia="楷体_GB2312"/>
      <w:sz w:val="26"/>
      <w:szCs w:val="20"/>
    </w:rPr>
  </w:style>
  <w:style w:type="paragraph" w:styleId="980" w:customStyle="1">
    <w:name w:val="Char1 Char Char Char"/>
    <w:basedOn w:val="730"/>
    <w:uiPriority w:val="0"/>
    <w:qFormat/>
    <w:rPr>
      <w:rFonts w:ascii="Times New Roman" w:hAnsi="Times New Roman"/>
      <w:szCs w:val="24"/>
    </w:rPr>
  </w:style>
  <w:style w:type="paragraph" w:styleId="981" w:customStyle="1">
    <w:name w:val="符号列表"/>
    <w:basedOn w:val="73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2" w:customStyle="1">
    <w:name w:val="xl71"/>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段"/>
    <w:next w:val="730"/>
    <w:uiPriority w:val="0"/>
    <w:qFormat/>
    <w:pPr>
      <w:ind w:firstLine="200"/>
      <w:jc w:val="both"/>
      <w:spacing w:line="360" w:lineRule="auto"/>
    </w:pPr>
    <w:rPr>
      <w:rFonts w:ascii="宋体" w:hAnsi="宋体" w:eastAsia="宋体" w:cs="宋体"/>
      <w:sz w:val="24"/>
      <w:szCs w:val="22"/>
      <w:lang w:val="en-US" w:eastAsia="zh-CN" w:bidi="ar-SA"/>
    </w:rPr>
  </w:style>
  <w:style w:type="paragraph" w:styleId="984" w:customStyle="1">
    <w:name w:val="纯文本3"/>
    <w:basedOn w:val="730"/>
    <w:uiPriority w:val="0"/>
    <w:qFormat/>
    <w:pPr>
      <w:jc w:val="left"/>
      <w:widowControl/>
    </w:pPr>
    <w:rPr>
      <w:rFonts w:ascii="宋体" w:hAnsi="Courier New" w:eastAsia="楷体_GB2312"/>
      <w:sz w:val="26"/>
      <w:szCs w:val="20"/>
    </w:rPr>
  </w:style>
  <w:style w:type="paragraph" w:styleId="985" w:customStyle="1">
    <w:name w:val="xl94"/>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6" w:customStyle="1">
    <w:name w:val="列出段落1"/>
    <w:basedOn w:val="730"/>
    <w:uiPriority w:val="0"/>
    <w:qFormat/>
    <w:pPr>
      <w:ind w:firstLine="420"/>
    </w:pPr>
  </w:style>
  <w:style w:type="paragraph" w:styleId="987" w:customStyle="1">
    <w:name w:val="xl82"/>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8" w:customStyle="1">
    <w:name w:val="xl101"/>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customStyle="1">
    <w:name w:val="Char Char2"/>
    <w:basedOn w:val="745"/>
    <w:uiPriority w:val="0"/>
    <w:qFormat/>
    <w:pPr>
      <w:spacing w:line="360" w:lineRule="auto"/>
    </w:pPr>
    <w:rPr>
      <w:rFonts w:ascii="等线" w:hAnsi="等线" w:eastAsia="等线"/>
    </w:rPr>
  </w:style>
  <w:style w:type="paragraph" w:styleId="990" w:customStyle="1">
    <w:name w:val="xl99"/>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1" w:customStyle="1">
    <w:name w:val="Char"/>
    <w:basedOn w:val="745"/>
    <w:uiPriority w:val="0"/>
    <w:qFormat/>
    <w:pPr>
      <w:jc w:val="both"/>
      <w:spacing w:line="360" w:lineRule="auto"/>
      <w:widowControl w:val="off"/>
    </w:pPr>
    <w:rPr>
      <w:sz w:val="21"/>
    </w:rPr>
  </w:style>
  <w:style w:type="paragraph" w:styleId="992" w:customStyle="1">
    <w:name w:val="xl100"/>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customStyle="1">
    <w:name w:val="xl8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4" w:customStyle="1">
    <w:name w:val="xl98"/>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72"/>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6" w:customStyle="1">
    <w:name w:val="xl9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7" w:customStyle="1">
    <w:name w:val="xl90"/>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8" w:customStyle="1">
    <w:name w:val="xl102"/>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9" w:customStyle="1">
    <w:name w:val="正文文本 3 Char"/>
    <w:link w:val="1000"/>
    <w:uiPriority w:val="0"/>
    <w:qFormat/>
    <w:rPr>
      <w:rFonts w:ascii="仿宋_GB2312" w:eastAsia="仿宋_GB2312"/>
      <w:sz w:val="16"/>
      <w:szCs w:val="16"/>
    </w:rPr>
  </w:style>
  <w:style w:type="paragraph" w:styleId="1000" w:customStyle="1">
    <w:name w:val="正文文本 31"/>
    <w:basedOn w:val="730"/>
    <w:link w:val="999"/>
    <w:uiPriority w:val="0"/>
    <w:qFormat/>
    <w:pPr>
      <w:spacing w:after="120"/>
      <w:widowControl/>
    </w:pPr>
    <w:rPr>
      <w:rFonts w:ascii="仿宋_GB2312" w:eastAsia="仿宋_GB2312"/>
      <w:sz w:val="16"/>
      <w:szCs w:val="16"/>
    </w:rPr>
  </w:style>
  <w:style w:type="paragraph" w:styleId="1001" w:customStyle="1">
    <w:name w:val="xl79"/>
    <w:basedOn w:val="73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customStyle="1">
    <w:name w:val="Char1"/>
    <w:basedOn w:val="730"/>
    <w:uiPriority w:val="0"/>
    <w:qFormat/>
    <w:rPr>
      <w:rFonts w:ascii="Tahoma" w:hAnsi="Tahoma"/>
      <w:sz w:val="24"/>
      <w:szCs w:val="20"/>
    </w:rPr>
  </w:style>
  <w:style w:type="paragraph" w:styleId="1003" w:customStyle="1">
    <w:name w:val="a6"/>
    <w:basedOn w:val="730"/>
    <w:uiPriority w:val="0"/>
    <w:qFormat/>
    <w:pPr>
      <w:jc w:val="left"/>
      <w:spacing w:before="100" w:beforeAutospacing="1" w:after="100" w:afterAutospacing="1"/>
      <w:widowControl/>
    </w:pPr>
    <w:rPr>
      <w:rFonts w:ascii="宋体" w:hAnsi="宋体" w:cs="宋体"/>
      <w:sz w:val="24"/>
      <w:szCs w:val="24"/>
    </w:rPr>
  </w:style>
  <w:style w:type="paragraph" w:styleId="1004" w:customStyle="1">
    <w:name w:val="_Style 107"/>
    <w:next w:val="730"/>
    <w:uiPriority w:val="0"/>
    <w:qFormat/>
    <w:rPr>
      <w:rFonts w:ascii="Times New Roman" w:hAnsi="Times New Roman" w:eastAsia="宋体" w:cs="Times New Roman"/>
      <w:sz w:val="24"/>
      <w:szCs w:val="24"/>
      <w:lang w:val="en-US" w:eastAsia="zh-CN" w:bidi="ar-SA"/>
    </w:rPr>
  </w:style>
  <w:style w:type="paragraph" w:styleId="1005" w:customStyle="1">
    <w:name w:val="xl97"/>
    <w:basedOn w:val="73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6" w:customStyle="1">
    <w:name w:val="正文2"/>
    <w:basedOn w:val="730"/>
    <w:uiPriority w:val="0"/>
    <w:qFormat/>
    <w:pPr>
      <w:ind w:firstLine="200"/>
      <w:jc w:val="left"/>
      <w:spacing w:after="160" w:line="360" w:lineRule="auto"/>
      <w:widowControl/>
    </w:pPr>
    <w:rPr>
      <w:rFonts w:ascii="Verdana" w:hAnsi="Verdana" w:eastAsia="黑体"/>
      <w:szCs w:val="20"/>
      <w:lang w:eastAsia="en-US"/>
    </w:rPr>
  </w:style>
  <w:style w:type="paragraph" w:styleId="1007" w:customStyle="1">
    <w:name w:val="正文1"/>
    <w:basedOn w:val="730"/>
    <w:next w:val="730"/>
    <w:uiPriority w:val="0"/>
    <w:qFormat/>
    <w:pPr>
      <w:ind w:left="420" w:firstLine="527"/>
      <w:spacing w:before="120" w:line="360" w:lineRule="auto"/>
    </w:pPr>
    <w:rPr>
      <w:rFonts w:ascii="宋体" w:hAnsi="宋体"/>
      <w:sz w:val="24"/>
      <w:szCs w:val="20"/>
    </w:rPr>
  </w:style>
  <w:style w:type="paragraph" w:styleId="1008" w:customStyle="1">
    <w:name w:val="xl8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customStyle="1">
    <w:name w:val="_Style 49"/>
    <w:basedOn w:val="745"/>
    <w:uiPriority w:val="0"/>
    <w:qFormat/>
    <w:pPr>
      <w:spacing w:line="360" w:lineRule="auto"/>
    </w:pPr>
  </w:style>
  <w:style w:type="paragraph" w:styleId="1010" w:customStyle="1">
    <w:name w:val="xl9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1" w:customStyle="1">
    <w:name w:val="xl88"/>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2" w:customStyle="1">
    <w:name w:val="xl8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3" w:customStyle="1">
    <w:name w:val="xl7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Char Char Char Char Char Char Char Char Char Char"/>
    <w:basedOn w:val="730"/>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5" w:customStyle="1">
    <w:name w:val="Char Char Char Char Char Char Char Char Char1 Char"/>
    <w:basedOn w:val="745"/>
    <w:uiPriority w:val="0"/>
    <w:qFormat/>
    <w:pPr>
      <w:jc w:val="both"/>
      <w:spacing w:line="360" w:lineRule="auto"/>
      <w:widowControl w:val="off"/>
    </w:pPr>
    <w:rPr>
      <w:rFonts w:ascii="Tahoma" w:hAnsi="Tahoma"/>
    </w:rPr>
  </w:style>
  <w:style w:type="paragraph" w:styleId="1016" w:customStyle="1">
    <w:name w:val="xl103"/>
    <w:basedOn w:val="73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7" w:customStyle="1">
    <w:name w:val="xl96"/>
    <w:basedOn w:val="73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8" w:customStyle="1">
    <w:name w:val="xl76"/>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9" w:customStyle="1">
    <w:name w:val="xl84"/>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0" w:customStyle="1">
    <w:name w:val="表格 Char"/>
    <w:link w:val="1021"/>
    <w:uiPriority w:val="0"/>
    <w:qFormat/>
    <w:rPr>
      <w:rFonts w:ascii="仿宋" w:hAnsi="仿宋" w:eastAsia="仿宋"/>
      <w:sz w:val="21"/>
      <w:szCs w:val="22"/>
    </w:rPr>
  </w:style>
  <w:style w:type="paragraph" w:styleId="1021" w:customStyle="1">
    <w:name w:val="表格"/>
    <w:link w:val="1020"/>
    <w:uiPriority w:val="0"/>
    <w:qFormat/>
    <w:pPr>
      <w:jc w:val="center"/>
    </w:pPr>
    <w:rPr>
      <w:rFonts w:ascii="仿宋" w:hAnsi="仿宋" w:eastAsia="仿宋" w:cs="Times New Roman"/>
      <w:sz w:val="21"/>
      <w:szCs w:val="22"/>
      <w:lang w:val="en-US" w:eastAsia="zh-CN" w:bidi="ar-SA"/>
    </w:rPr>
  </w:style>
  <w:style w:type="character" w:styleId="1022" w:customStyle="1">
    <w:name w:val="1级 Char Char"/>
    <w:link w:val="1023"/>
    <w:uiPriority w:val="0"/>
    <w:qFormat/>
    <w:rPr>
      <w:rFonts w:cs="Calibri"/>
      <w:sz w:val="36"/>
      <w:szCs w:val="36"/>
      <w:lang w:eastAsia="en-US" w:bidi="en-US"/>
    </w:rPr>
  </w:style>
  <w:style w:type="paragraph" w:styleId="1023" w:customStyle="1">
    <w:name w:val="1级"/>
    <w:basedOn w:val="730"/>
    <w:link w:val="1022"/>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4" w:customStyle="1">
    <w:name w:val="xl67"/>
    <w:basedOn w:val="73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5" w:customStyle="1">
    <w:name w:val="表格文字"/>
    <w:basedOn w:val="730"/>
    <w:uiPriority w:val="0"/>
    <w:qFormat/>
    <w:pPr>
      <w:jc w:val="left"/>
      <w:spacing w:line="288" w:lineRule="auto"/>
    </w:pPr>
    <w:rPr>
      <w:rFonts w:ascii="宋体" w:hAnsi="Times New Roman"/>
      <w:sz w:val="34"/>
      <w:szCs w:val="20"/>
    </w:rPr>
  </w:style>
  <w:style w:type="paragraph" w:styleId="1026" w:customStyle="1">
    <w:name w:val="默认段落字体 Para Char Char Char Char Char Char Char Char Char Char Char Char Char"/>
    <w:basedOn w:val="730"/>
    <w:uiPriority w:val="0"/>
    <w:qFormat/>
    <w:rPr>
      <w:rFonts w:ascii="等线" w:hAnsi="等线" w:eastAsia="等线"/>
      <w:szCs w:val="24"/>
    </w:rPr>
  </w:style>
  <w:style w:type="paragraph" w:styleId="1027" w:customStyle="1">
    <w:name w:val="纯文本5"/>
    <w:basedOn w:val="730"/>
    <w:uiPriority w:val="0"/>
    <w:qFormat/>
    <w:rPr>
      <w:rFonts w:ascii="宋体" w:hAnsi="Courier New" w:eastAsia="楷体_GB2312"/>
      <w:sz w:val="26"/>
      <w:szCs w:val="20"/>
      <w:lang w:val="zh-CN"/>
    </w:rPr>
  </w:style>
  <w:style w:type="paragraph" w:styleId="1028" w:customStyle="1">
    <w:name w:val="_Style 12"/>
    <w:basedOn w:val="745"/>
    <w:uiPriority w:val="0"/>
    <w:qFormat/>
    <w:pPr>
      <w:spacing w:line="360" w:lineRule="auto"/>
    </w:pPr>
  </w:style>
  <w:style w:type="paragraph" w:styleId="1029" w:customStyle="1">
    <w:name w:val="Char Char Char"/>
    <w:basedOn w:val="730"/>
    <w:uiPriority w:val="0"/>
    <w:qFormat/>
    <w:pPr>
      <w:ind w:left="795" w:hanging="360"/>
      <w:tabs>
        <w:tab w:val="left" w:pos="795" w:leader="none"/>
      </w:tabs>
    </w:pPr>
    <w:rPr>
      <w:rFonts w:ascii="Times New Roman" w:hAnsi="Times New Roman"/>
      <w:sz w:val="24"/>
      <w:szCs w:val="24"/>
    </w:rPr>
  </w:style>
  <w:style w:type="paragraph" w:styleId="1030" w:customStyle="1">
    <w:name w:val="xl89"/>
    <w:basedOn w:val="73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1" w:customStyle="1">
    <w:name w:val="xl63"/>
    <w:basedOn w:val="730"/>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70"/>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Char Char Char1 Char Char Char Char"/>
    <w:basedOn w:val="730"/>
    <w:uiPriority w:val="0"/>
    <w:qFormat/>
    <w:pPr>
      <w:jc w:val="left"/>
      <w:spacing w:after="160" w:line="240" w:lineRule="exact"/>
      <w:widowControl/>
    </w:pPr>
    <w:rPr>
      <w:rFonts w:ascii="Times New Roman" w:hAnsi="Times New Roman"/>
      <w:sz w:val="24"/>
      <w:szCs w:val="24"/>
    </w:rPr>
  </w:style>
  <w:style w:type="paragraph" w:styleId="1034" w:customStyle="1">
    <w:name w:val="Char Char Char Char"/>
    <w:basedOn w:val="745"/>
    <w:uiPriority w:val="0"/>
    <w:qFormat/>
    <w:pPr>
      <w:jc w:val="both"/>
      <w:spacing w:line="360" w:lineRule="auto"/>
      <w:widowControl w:val="off"/>
    </w:pPr>
    <w:rPr>
      <w:szCs w:val="20"/>
    </w:rPr>
  </w:style>
  <w:style w:type="paragraph" w:styleId="1035" w:customStyle="1">
    <w:name w:val="xl83"/>
    <w:basedOn w:val="73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6" w:customStyle="1">
    <w:name w:val="p0"/>
    <w:basedOn w:val="730"/>
    <w:uiPriority w:val="0"/>
    <w:qFormat/>
    <w:pPr>
      <w:jc w:val="left"/>
      <w:widowControl/>
    </w:pPr>
    <w:rPr>
      <w:rFonts w:ascii="Times New Roman" w:hAnsi="Times New Roman"/>
      <w:sz w:val="24"/>
      <w:szCs w:val="24"/>
    </w:rPr>
  </w:style>
  <w:style w:type="paragraph" w:styleId="1037" w:customStyle="1">
    <w:name w:val="xl74"/>
    <w:basedOn w:val="730"/>
    <w:uiPriority w:val="0"/>
    <w:qFormat/>
    <w:pPr>
      <w:jc w:val="left"/>
      <w:spacing w:before="100" w:beforeAutospacing="1" w:after="100" w:afterAutospacing="1"/>
      <w:widowControl/>
    </w:pPr>
    <w:rPr>
      <w:rFonts w:ascii="宋体" w:hAnsi="宋体" w:cs="宋体"/>
      <w:sz w:val="24"/>
      <w:szCs w:val="24"/>
    </w:rPr>
  </w:style>
  <w:style w:type="paragraph" w:styleId="1038" w:customStyle="1">
    <w:name w:val="xl68"/>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9" w:customStyle="1">
    <w:name w:val="xl75"/>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0" w:customStyle="1">
    <w:name w:val="_Style 3"/>
    <w:basedOn w:val="730"/>
    <w:uiPriority w:val="0"/>
    <w:qFormat/>
    <w:pPr>
      <w:ind w:left="795" w:hanging="360"/>
      <w:tabs>
        <w:tab w:val="left" w:pos="540" w:leader="none"/>
        <w:tab w:val="left" w:pos="795" w:leader="none"/>
      </w:tabs>
    </w:pPr>
    <w:rPr>
      <w:rFonts w:ascii="Times New Roman" w:hAnsi="Times New Roman"/>
      <w:sz w:val="24"/>
      <w:szCs w:val="24"/>
    </w:rPr>
  </w:style>
  <w:style w:type="paragraph" w:styleId="1041" w:customStyle="1">
    <w:name w:val="_Style 1"/>
    <w:basedOn w:val="730"/>
    <w:uiPriority w:val="34"/>
    <w:qFormat/>
    <w:pPr>
      <w:ind w:firstLine="420"/>
      <w:jc w:val="left"/>
      <w:widowControl/>
    </w:pPr>
    <w:rPr>
      <w:rFonts w:ascii="Times New Roman" w:hAnsi="Times New Roman"/>
      <w:sz w:val="24"/>
      <w:szCs w:val="24"/>
    </w:rPr>
  </w:style>
  <w:style w:type="paragraph" w:styleId="1042" w:customStyle="1">
    <w:name w:val="xl104"/>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3" w:customStyle="1">
    <w:name w:val="xl73"/>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_Style 79"/>
    <w:basedOn w:val="730"/>
    <w:uiPriority w:val="0"/>
    <w:qFormat/>
    <w:pPr>
      <w:spacing w:after="160" w:line="240" w:lineRule="exact"/>
    </w:pPr>
    <w:rPr>
      <w:rFonts w:ascii="Times New Roman" w:hAnsi="Times New Roman"/>
      <w:szCs w:val="24"/>
    </w:rPr>
  </w:style>
  <w:style w:type="paragraph" w:styleId="1045" w:customStyle="1">
    <w:name w:val="纯文本1"/>
    <w:basedOn w:val="730"/>
    <w:uiPriority w:val="0"/>
    <w:qFormat/>
    <w:rPr>
      <w:rFonts w:ascii="宋体" w:hAnsi="Courier New" w:eastAsia="楷体_GB2312"/>
      <w:sz w:val="28"/>
      <w:szCs w:val="20"/>
    </w:rPr>
  </w:style>
  <w:style w:type="paragraph" w:styleId="1046" w:customStyle="1">
    <w:name w:val="xl78"/>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xl6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8" w:customStyle="1">
    <w:name w:val="p18"/>
    <w:basedOn w:val="730"/>
    <w:uiPriority w:val="0"/>
    <w:qFormat/>
    <w:pPr>
      <w:ind w:firstLine="420"/>
      <w:jc w:val="left"/>
      <w:widowControl/>
    </w:pPr>
    <w:rPr>
      <w:rFonts w:ascii="Times New Roman" w:hAnsi="Times New Roman"/>
      <w:sz w:val="24"/>
      <w:szCs w:val="24"/>
    </w:rPr>
  </w:style>
  <w:style w:type="paragraph" w:styleId="1049" w:customStyle="1">
    <w:name w:val="xl93"/>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默认段落字体 Para Char Char Char Char Char Char Char Char Char1 Char Char Char Char Char Char Char"/>
    <w:basedOn w:val="745"/>
    <w:uiPriority w:val="0"/>
    <w:qFormat/>
    <w:pPr>
      <w:jc w:val="both"/>
      <w:widowControl w:val="off"/>
    </w:pPr>
    <w:rPr>
      <w:sz w:val="21"/>
    </w:rPr>
  </w:style>
  <w:style w:type="paragraph" w:styleId="1051" w:customStyle="1">
    <w:name w:val="font5"/>
    <w:basedOn w:val="730"/>
    <w:uiPriority w:val="0"/>
    <w:qFormat/>
    <w:pPr>
      <w:jc w:val="left"/>
      <w:spacing w:before="100" w:beforeAutospacing="1" w:after="100" w:afterAutospacing="1"/>
      <w:widowControl/>
    </w:pPr>
    <w:rPr>
      <w:rFonts w:ascii="宋体" w:hAnsi="宋体" w:cs="宋体"/>
      <w:sz w:val="18"/>
      <w:szCs w:val="18"/>
    </w:rPr>
  </w:style>
  <w:style w:type="paragraph" w:styleId="1052"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3" w:customStyle="1">
    <w:name w:val="正文文本_"/>
    <w:link w:val="1054"/>
    <w:uiPriority w:val="0"/>
    <w:qFormat/>
    <w:rPr>
      <w:rFonts w:ascii="MingLiU" w:hAnsi="MingLiU" w:eastAsia="MingLiU"/>
      <w:szCs w:val="21"/>
      <w:shd w:val="clear" w:color="auto" w:fill="ffffff"/>
    </w:rPr>
  </w:style>
  <w:style w:type="paragraph" w:styleId="1054" w:customStyle="1">
    <w:name w:val="正文文本1"/>
    <w:basedOn w:val="730"/>
    <w:link w:val="1053"/>
    <w:uiPriority w:val="0"/>
    <w:qFormat/>
    <w:pPr>
      <w:jc w:val="left"/>
      <w:spacing w:line="403" w:lineRule="exact"/>
      <w:shd w:val="clear" w:color="auto" w:fill="ffffff"/>
    </w:pPr>
    <w:rPr>
      <w:rFonts w:ascii="MingLiU" w:hAnsi="MingLiU" w:eastAsia="MingLiU"/>
      <w:sz w:val="20"/>
      <w:szCs w:val="21"/>
    </w:rPr>
  </w:style>
  <w:style w:type="paragraph" w:styleId="1055" w:customStyle="1">
    <w:name w:val="xl81"/>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6" w:customStyle="1">
    <w:name w:val="Char Char1 Char Char Char Char Char Char Char"/>
    <w:basedOn w:val="730"/>
    <w:uiPriority w:val="0"/>
    <w:qFormat/>
    <w:rPr>
      <w:rFonts w:ascii="Tahoma" w:hAnsi="Tahoma" w:eastAsia="等线"/>
      <w:sz w:val="24"/>
      <w:szCs w:val="20"/>
    </w:rPr>
  </w:style>
  <w:style w:type="paragraph" w:styleId="1057" w:customStyle="1">
    <w:name w:val="xl91"/>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8" w:customStyle="1">
    <w:name w:val="xl69"/>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4"/>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0" w:customStyle="1">
    <w:name w:val="_Style 36"/>
    <w:basedOn w:val="745"/>
    <w:uiPriority w:val="0"/>
    <w:qFormat/>
    <w:pPr>
      <w:spacing w:line="360" w:lineRule="auto"/>
    </w:pPr>
  </w:style>
  <w:style w:type="paragraph" w:styleId="1061" w:customStyle="1">
    <w:name w:val="_Style 26"/>
    <w:basedOn w:val="745"/>
    <w:uiPriority w:val="0"/>
    <w:qFormat/>
    <w:pPr>
      <w:spacing w:line="360" w:lineRule="auto"/>
    </w:pPr>
  </w:style>
  <w:style w:type="paragraph" w:styleId="1062" w:customStyle="1">
    <w:name w:val="H-TextFormat"/>
    <w:uiPriority w:val="0"/>
    <w:qFormat/>
    <w:rPr>
      <w:rFonts w:ascii="Arial" w:hAnsi="Arial" w:eastAsia="宋体" w:cs="Times New Roman"/>
      <w:sz w:val="22"/>
      <w:lang w:val="en-GB" w:eastAsia="en-US" w:bidi="ar-SA"/>
    </w:rPr>
  </w:style>
  <w:style w:type="paragraph" w:styleId="1063" w:customStyle="1">
    <w:name w:val="文字"/>
    <w:basedOn w:val="730"/>
    <w:uiPriority w:val="0"/>
    <w:qFormat/>
    <w:pPr>
      <w:ind w:right="-210" w:firstLine="556"/>
      <w:spacing w:line="312" w:lineRule="auto"/>
      <w:tabs>
        <w:tab w:val="left" w:pos="8520" w:leader="none"/>
      </w:tabs>
    </w:pPr>
    <w:rPr>
      <w:rFonts w:ascii="宋体" w:hAnsi="宋体"/>
      <w:sz w:val="28"/>
      <w:szCs w:val="20"/>
    </w:rPr>
  </w:style>
  <w:style w:type="paragraph" w:styleId="1064" w:customStyle="1">
    <w:name w:val="xl8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5" w:customStyle="1">
    <w:name w:val="xl65"/>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6" w:customStyle="1">
    <w:name w:val="批注框文本 Char"/>
    <w:uiPriority w:val="0"/>
    <w:qFormat/>
    <w:rPr>
      <w:sz w:val="18"/>
      <w:szCs w:val="18"/>
    </w:rPr>
  </w:style>
  <w:style w:type="character" w:styleId="1067" w:customStyle="1">
    <w:name w:val="纯文本 Char2"/>
    <w:uiPriority w:val="99"/>
    <w:semiHidden/>
    <w:qFormat/>
    <w:rPr>
      <w:rFonts w:hint="eastAsia" w:ascii="宋体" w:hAnsi="Courier New" w:eastAsia="宋体" w:cs="Courier New"/>
      <w:sz w:val="21"/>
      <w:szCs w:val="21"/>
    </w:rPr>
  </w:style>
  <w:style w:type="character" w:styleId="1068" w:customStyle="1">
    <w:name w:val="批注文字 Char"/>
    <w:uiPriority w:val="0"/>
    <w:qFormat/>
    <w:rPr>
      <w:sz w:val="24"/>
      <w:szCs w:val="24"/>
    </w:rPr>
  </w:style>
  <w:style w:type="character" w:styleId="1069" w:customStyle="1">
    <w:name w:val="纯文本 Char"/>
    <w:uiPriority w:val="0"/>
    <w:qFormat/>
    <w:rPr>
      <w:rFonts w:hint="eastAsia" w:ascii="宋体" w:hAnsi="Courier New" w:eastAsia="楷体_GB2312"/>
      <w:sz w:val="26"/>
    </w:rPr>
  </w:style>
  <w:style w:type="character" w:styleId="1070" w:customStyle="1">
    <w:name w:val="文档结构图 Char"/>
    <w:uiPriority w:val="0"/>
    <w:qFormat/>
    <w:rPr>
      <w:sz w:val="24"/>
      <w:szCs w:val="24"/>
      <w:shd w:val="clear" w:color="auto" w:fill="000080"/>
    </w:rPr>
  </w:style>
  <w:style w:type="character" w:styleId="1071"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2" w:customStyle="1">
    <w:name w:val="页脚 Char"/>
    <w:uiPriority w:val="0"/>
    <w:qFormat/>
    <w:rPr>
      <w:sz w:val="18"/>
      <w:szCs w:val="18"/>
    </w:rPr>
  </w:style>
  <w:style w:type="character" w:styleId="1073" w:customStyle="1">
    <w:name w:val="标题 Char"/>
    <w:uiPriority w:val="0"/>
    <w:qFormat/>
    <w:rPr>
      <w:rFonts w:ascii="Cambria" w:hAnsi="Cambria"/>
      <w:b/>
      <w:bCs/>
      <w:sz w:val="32"/>
      <w:szCs w:val="32"/>
    </w:rPr>
  </w:style>
  <w:style w:type="character" w:styleId="1074" w:customStyle="1">
    <w:name w:val="Plain Text Char Char"/>
    <w:uiPriority w:val="0"/>
    <w:qFormat/>
    <w:rPr>
      <w:rFonts w:hint="eastAsia" w:ascii="宋体" w:hAnsi="Courier New" w:eastAsia="楷体_GB2312"/>
      <w:sz w:val="26"/>
    </w:rPr>
  </w:style>
  <w:style w:type="character" w:styleId="1075" w:customStyle="1">
    <w:name w:val="正文文本 Char"/>
    <w:uiPriority w:val="0"/>
    <w:qFormat/>
    <w:rPr>
      <w:sz w:val="24"/>
      <w:szCs w:val="24"/>
    </w:rPr>
  </w:style>
  <w:style w:type="character" w:styleId="1076" w:customStyle="1">
    <w:name w:val="font01"/>
    <w:uiPriority w:val="0"/>
    <w:qFormat/>
    <w:rPr>
      <w:rFonts w:hint="eastAsia" w:ascii="宋体" w:hAnsi="宋体" w:eastAsia="宋体" w:cs="宋体"/>
      <w:color w:val="000000"/>
      <w:sz w:val="24"/>
      <w:szCs w:val="24"/>
      <w:u w:val="none"/>
    </w:rPr>
  </w:style>
  <w:style w:type="character" w:styleId="1077" w:customStyle="1">
    <w:name w:val="font71"/>
    <w:uiPriority w:val="0"/>
    <w:qFormat/>
    <w:rPr>
      <w:rFonts w:ascii="Times New Roman" w:hAnsi="Times New Roman" w:cs="Times New Roman"/>
      <w:color w:val="000000"/>
      <w:sz w:val="24"/>
      <w:szCs w:val="24"/>
      <w:u w:val="none"/>
    </w:rPr>
  </w:style>
  <w:style w:type="character" w:styleId="1078" w:customStyle="1">
    <w:name w:val="正文文本缩进 3 字符2"/>
    <w:uiPriority w:val="0"/>
    <w:qFormat/>
    <w:rPr>
      <w:sz w:val="24"/>
      <w:szCs w:val="24"/>
    </w:rPr>
  </w:style>
  <w:style w:type="character" w:styleId="1079" w:customStyle="1">
    <w:name w:val="标题 2 Char"/>
    <w:uiPriority w:val="0"/>
    <w:semiHidden/>
    <w:qFormat/>
    <w:rPr>
      <w:rFonts w:ascii="Cambria" w:hAnsi="Cambria" w:eastAsia="宋体" w:cs="Times New Roman"/>
      <w:b/>
      <w:bCs/>
      <w:sz w:val="32"/>
      <w:szCs w:val="32"/>
    </w:rPr>
  </w:style>
  <w:style w:type="paragraph" w:styleId="1080" w:customStyle="1">
    <w:name w:val="2级"/>
    <w:basedOn w:val="1023"/>
    <w:link w:val="1081"/>
    <w:uiPriority w:val="0"/>
    <w:qFormat/>
    <w:pPr>
      <w:ind w:firstLine="420"/>
      <w:tabs>
        <w:tab w:val="left" w:pos="960" w:leader="none"/>
      </w:tabs>
      <w:outlineLvl w:val="1"/>
    </w:pPr>
    <w:rPr>
      <w:sz w:val="32"/>
      <w:szCs w:val="32"/>
    </w:rPr>
  </w:style>
  <w:style w:type="character" w:styleId="1081" w:customStyle="1">
    <w:name w:val="2级 Char Char"/>
    <w:link w:val="1080"/>
    <w:uiPriority w:val="0"/>
    <w:qFormat/>
    <w:rPr>
      <w:rFonts w:cs="Calibri"/>
      <w:sz w:val="32"/>
      <w:szCs w:val="32"/>
      <w:lang w:eastAsia="en-US" w:bidi="en-US"/>
    </w:rPr>
  </w:style>
  <w:style w:type="character" w:styleId="1082" w:customStyle="1">
    <w:name w:val="正文文本缩进 2 Char1"/>
    <w:uiPriority w:val="0"/>
    <w:semiHidden/>
    <w:qFormat/>
    <w:rPr>
      <w:rFonts w:hint="eastAsia" w:ascii="等线" w:hAnsi="等线" w:eastAsia="等线" w:cs="Times New Roman"/>
      <w:sz w:val="24"/>
      <w:szCs w:val="24"/>
    </w:rPr>
  </w:style>
  <w:style w:type="character" w:styleId="1083" w:customStyle="1">
    <w:name w:val="日期 Char"/>
    <w:uiPriority w:val="99"/>
    <w:qFormat/>
    <w:rPr>
      <w:b/>
      <w:bCs/>
      <w:spacing w:val="20"/>
      <w:sz w:val="21"/>
      <w:szCs w:val="24"/>
    </w:rPr>
  </w:style>
  <w:style w:type="character" w:styleId="1084" w:customStyle="1">
    <w:name w:val="正文文本 2 Char"/>
    <w:uiPriority w:val="0"/>
    <w:qFormat/>
    <w:rPr>
      <w:sz w:val="24"/>
      <w:szCs w:val="24"/>
    </w:rPr>
  </w:style>
  <w:style w:type="character" w:styleId="1085" w:customStyle="1">
    <w:name w:val="纯文本 字符1"/>
    <w:uiPriority w:val="99"/>
    <w:semiHidden/>
    <w:qFormat/>
    <w:rPr>
      <w:rFonts w:hint="eastAsia" w:ascii="等线" w:hAnsi="Courier New" w:eastAsia="等线" w:cs="Courier New"/>
      <w:sz w:val="24"/>
      <w:szCs w:val="24"/>
    </w:rPr>
  </w:style>
  <w:style w:type="character" w:styleId="1086" w:customStyle="1">
    <w:name w:val="批注框文本 字符1"/>
    <w:uiPriority w:val="99"/>
    <w:semiHidden/>
    <w:qFormat/>
    <w:rPr>
      <w:sz w:val="18"/>
      <w:szCs w:val="18"/>
    </w:rPr>
  </w:style>
  <w:style w:type="character" w:styleId="1087" w:customStyle="1">
    <w:name w:val="文档结构图 字符1"/>
    <w:uiPriority w:val="99"/>
    <w:semiHidden/>
    <w:qFormat/>
    <w:rPr>
      <w:rFonts w:hint="eastAsia" w:ascii="Microsoft YaHei UI" w:hAnsi="Microsoft YaHei UI" w:eastAsia="Microsoft YaHei UI"/>
      <w:sz w:val="18"/>
      <w:szCs w:val="18"/>
    </w:rPr>
  </w:style>
  <w:style w:type="character" w:styleId="1088" w:customStyle="1">
    <w:name w:val="正文文本缩进 3 字符1"/>
    <w:uiPriority w:val="0"/>
    <w:qFormat/>
    <w:rPr>
      <w:sz w:val="16"/>
      <w:szCs w:val="16"/>
    </w:rPr>
  </w:style>
  <w:style w:type="character" w:styleId="1089" w:customStyle="1">
    <w:name w:val="批注主题 字符1"/>
    <w:uiPriority w:val="99"/>
    <w:semiHidden/>
    <w:qFormat/>
    <w:rPr>
      <w:b/>
      <w:bCs/>
      <w:sz w:val="24"/>
      <w:szCs w:val="24"/>
    </w:rPr>
  </w:style>
  <w:style w:type="character" w:styleId="1090" w:customStyle="1">
    <w:name w:val="日期 字符1"/>
    <w:uiPriority w:val="99"/>
    <w:semiHidden/>
    <w:qFormat/>
    <w:rPr>
      <w:sz w:val="24"/>
      <w:szCs w:val="24"/>
    </w:rPr>
  </w:style>
  <w:style w:type="character" w:styleId="1091" w:customStyle="1">
    <w:name w:val="正文文本缩进 2 字符1"/>
    <w:uiPriority w:val="99"/>
    <w:semiHidden/>
    <w:qFormat/>
    <w:rPr>
      <w:sz w:val="24"/>
      <w:szCs w:val="24"/>
    </w:rPr>
  </w:style>
  <w:style w:type="character" w:styleId="1092" w:customStyle="1">
    <w:name w:val="正文文本 2 字符1"/>
    <w:uiPriority w:val="99"/>
    <w:semiHidden/>
    <w:qFormat/>
    <w:rPr>
      <w:sz w:val="24"/>
      <w:szCs w:val="24"/>
    </w:rPr>
  </w:style>
  <w:style w:type="character" w:styleId="1093" w:customStyle="1">
    <w:name w:val="正文文本缩进 字符1"/>
    <w:uiPriority w:val="99"/>
    <w:semiHidden/>
    <w:qFormat/>
    <w:rPr>
      <w:sz w:val="24"/>
      <w:szCs w:val="24"/>
    </w:rPr>
  </w:style>
  <w:style w:type="character" w:styleId="1094" w:customStyle="1">
    <w:name w:val="副标题 字符1"/>
    <w:uiPriority w:val="11"/>
    <w:qFormat/>
    <w:rPr>
      <w:rFonts w:hint="eastAsia" w:ascii="等线" w:hAnsi="等线" w:eastAsia="等线" w:cs="Times New Roman"/>
      <w:b/>
      <w:bCs/>
      <w:sz w:val="32"/>
      <w:szCs w:val="32"/>
    </w:rPr>
  </w:style>
  <w:style w:type="character" w:styleId="1095" w:customStyle="1">
    <w:name w:val="正文文本 字符1"/>
    <w:uiPriority w:val="99"/>
    <w:semiHidden/>
    <w:qFormat/>
    <w:rPr>
      <w:sz w:val="24"/>
      <w:szCs w:val="24"/>
    </w:rPr>
  </w:style>
  <w:style w:type="character" w:styleId="1096" w:customStyle="1">
    <w:name w:val="标题 字符1"/>
    <w:uiPriority w:val="10"/>
    <w:qFormat/>
    <w:rPr>
      <w:rFonts w:hint="eastAsia" w:ascii="等线 Light" w:hAnsi="等线 Light" w:eastAsia="等线 Light" w:cs="Times New Roman"/>
      <w:b/>
      <w:bCs/>
      <w:sz w:val="32"/>
      <w:szCs w:val="32"/>
    </w:rPr>
  </w:style>
  <w:style w:type="character" w:styleId="1097" w:customStyle="1">
    <w:name w:val="页眉 字符1"/>
    <w:uiPriority w:val="99"/>
    <w:semiHidden/>
    <w:qFormat/>
    <w:rPr>
      <w:sz w:val="18"/>
      <w:szCs w:val="18"/>
    </w:rPr>
  </w:style>
  <w:style w:type="character" w:styleId="1098" w:customStyle="1">
    <w:name w:val="页脚 字符1"/>
    <w:uiPriority w:val="99"/>
    <w:semiHidden/>
    <w:qFormat/>
    <w:rPr>
      <w:sz w:val="18"/>
      <w:szCs w:val="18"/>
    </w:rPr>
  </w:style>
  <w:style w:type="table" w:styleId="1099" w:customStyle="1">
    <w:name w:val="网格型1"/>
    <w:basedOn w:val="741"/>
    <w:uiPriority w:val="0"/>
    <w:qFormat/>
    <w:pPr>
      <w:jc w:val="both"/>
      <w:widowControl w:val="off"/>
    </w:pPr>
    <w:tblPr/>
  </w:style>
  <w:style w:type="paragraph" w:styleId="1100" w:customStyle="1">
    <w:name w:val="font0"/>
    <w:basedOn w:val="73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1" w:customStyle="1">
    <w:name w:val="font1"/>
    <w:basedOn w:val="730"/>
    <w:uiPriority w:val="0"/>
    <w:qFormat/>
    <w:pPr>
      <w:jc w:val="left"/>
      <w:spacing w:before="100" w:beforeAutospacing="1" w:after="100" w:afterAutospacing="1"/>
      <w:widowControl/>
    </w:pPr>
    <w:rPr>
      <w:rFonts w:ascii="宋体" w:hAnsi="宋体" w:cs="宋体"/>
      <w:color w:val="000000"/>
      <w:sz w:val="22"/>
    </w:rPr>
  </w:style>
  <w:style w:type="paragraph" w:styleId="1102" w:customStyle="1">
    <w:name w:val="font2"/>
    <w:basedOn w:val="73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3" w:customStyle="1">
    <w:name w:val="et3"/>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4" w:customStyle="1">
    <w:name w:val="et4"/>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5" w:customStyle="1">
    <w:name w:val="et5"/>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7" w:customStyle="1">
    <w:name w:val="et7"/>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8" w:customStyle="1">
    <w:name w:val="et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9" w:customStyle="1">
    <w:name w:val="font3"/>
    <w:basedOn w:val="730"/>
    <w:uiPriority w:val="0"/>
    <w:qFormat/>
    <w:pPr>
      <w:jc w:val="left"/>
      <w:spacing w:before="100" w:beforeAutospacing="1" w:after="100" w:afterAutospacing="1"/>
      <w:widowControl/>
    </w:pPr>
    <w:rPr>
      <w:rFonts w:cs="Calibri"/>
      <w:color w:val="000000"/>
      <w:szCs w:val="21"/>
    </w:rPr>
  </w:style>
  <w:style w:type="paragraph" w:styleId="1110" w:customStyle="1">
    <w:name w:val="font4"/>
    <w:basedOn w:val="730"/>
    <w:uiPriority w:val="0"/>
    <w:qFormat/>
    <w:pPr>
      <w:jc w:val="left"/>
      <w:spacing w:before="100" w:beforeAutospacing="1" w:after="100" w:afterAutospacing="1"/>
      <w:widowControl/>
    </w:pPr>
    <w:rPr>
      <w:rFonts w:ascii="宋体" w:hAnsi="宋体" w:cs="宋体"/>
      <w:color w:val="000000"/>
      <w:szCs w:val="21"/>
    </w:rPr>
  </w:style>
  <w:style w:type="character" w:styleId="1111" w:customStyle="1">
    <w:name w:val="font31"/>
    <w:uiPriority w:val="0"/>
    <w:qFormat/>
    <w:rPr>
      <w:rFonts w:ascii="Calibri" w:hAnsi="Calibri" w:cs="Calibri"/>
      <w:color w:val="000000"/>
      <w:sz w:val="21"/>
      <w:szCs w:val="21"/>
      <w:u w:val="none"/>
    </w:rPr>
  </w:style>
  <w:style w:type="character" w:styleId="1112" w:customStyle="1">
    <w:name w:val="font41"/>
    <w:uiPriority w:val="0"/>
    <w:qFormat/>
    <w:rPr>
      <w:rFonts w:hint="eastAsia" w:ascii="宋体" w:hAnsi="宋体" w:eastAsia="宋体"/>
      <w:color w:val="000000"/>
      <w:sz w:val="21"/>
      <w:szCs w:val="21"/>
      <w:u w:val="none"/>
    </w:rPr>
  </w:style>
  <w:style w:type="paragraph" w:styleId="1113" w:customStyle="1">
    <w:name w:val="修订1"/>
    <w:uiPriority w:val="99"/>
    <w:unhideWhenUsed/>
    <w:qFormat/>
    <w:rPr>
      <w:rFonts w:ascii="Calibri" w:hAnsi="Calibri" w:eastAsia="宋体" w:cs="Times New Roman"/>
      <w:sz w:val="21"/>
      <w:szCs w:val="22"/>
      <w:lang w:val="en-US" w:eastAsia="zh-CN" w:bidi="ar-SA"/>
    </w:rPr>
  </w:style>
  <w:style w:type="character" w:styleId="1114" w:customStyle="1">
    <w:name w:val="font21"/>
    <w:basedOn w:val="740"/>
    <w:uiPriority w:val="0"/>
    <w:qFormat/>
    <w:rPr>
      <w:rFonts w:ascii="Times New Roman" w:hAnsi="Times New Roman" w:cs="Times New Roman"/>
      <w:color w:val="000000"/>
      <w:sz w:val="21"/>
      <w:szCs w:val="21"/>
      <w:u w:val="none"/>
    </w:rPr>
  </w:style>
  <w:style w:type="character" w:styleId="1115" w:customStyle="1">
    <w:name w:val="font11"/>
    <w:basedOn w:val="740"/>
    <w:uiPriority w:val="0"/>
    <w:qFormat/>
    <w:rPr>
      <w:rFonts w:hint="eastAsia" w:ascii="宋体" w:hAnsi="宋体" w:eastAsia="宋体" w:cs="宋体"/>
      <w:color w:val="000000"/>
      <w:sz w:val="24"/>
      <w:szCs w:val="24"/>
      <w:u w:val="none"/>
    </w:rPr>
  </w:style>
  <w:style w:type="character" w:styleId="1116"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7" w:customStyle="1">
    <w:name w:val="修订2"/>
    <w:hidden/>
    <w:uiPriority w:val="99"/>
    <w:unhideWhenUsed/>
    <w:qFormat/>
    <w:rPr>
      <w:rFonts w:ascii="Calibri" w:hAnsi="Calibri" w:eastAsia="宋体" w:cs="Times New Roman"/>
      <w:sz w:val="21"/>
      <w:szCs w:val="22"/>
      <w:lang w:val="en-US" w:eastAsia="zh-CN" w:bidi="ar-SA"/>
    </w:rPr>
  </w:style>
  <w:style w:type="character" w:styleId="1118" w:customStyle="1">
    <w:name w:val="font141"/>
    <w:basedOn w:val="740"/>
    <w:uiPriority w:val="0"/>
    <w:qFormat/>
    <w:rPr>
      <w:rFonts w:hint="eastAsia" w:ascii="方正仿宋_GB2312" w:hAnsi="方正仿宋_GB2312" w:eastAsia="方正仿宋_GB2312" w:cs="方正仿宋_GB2312"/>
      <w:b/>
      <w:bCs/>
      <w:color w:val="000000"/>
      <w:sz w:val="22"/>
      <w:szCs w:val="22"/>
      <w:u w:val="none"/>
    </w:rPr>
  </w:style>
  <w:style w:type="character" w:styleId="1119" w:customStyle="1">
    <w:name w:val="font131"/>
    <w:basedOn w:val="740"/>
    <w:uiPriority w:val="0"/>
    <w:qFormat/>
    <w:rPr>
      <w:rFonts w:hint="eastAsia" w:ascii="方正仿宋_GB2312" w:hAnsi="方正仿宋_GB2312" w:eastAsia="方正仿宋_GB2312" w:cs="方正仿宋_GB2312"/>
      <w:b/>
      <w:bCs/>
      <w:color w:val="000000"/>
      <w:sz w:val="22"/>
      <w:szCs w:val="22"/>
      <w:u w:val="none"/>
    </w:rPr>
  </w:style>
  <w:style w:type="character" w:styleId="1120" w:customStyle="1">
    <w:name w:val="font61"/>
    <w:basedOn w:val="740"/>
    <w:uiPriority w:val="0"/>
    <w:qFormat/>
    <w:rPr>
      <w:rFonts w:hint="default" w:ascii="Times New Roman" w:hAnsi="Times New Roman" w:cs="Times New Roman"/>
      <w:b/>
      <w:bCs/>
      <w:color w:val="000000"/>
      <w:sz w:val="32"/>
      <w:szCs w:val="32"/>
      <w:u w:val="none"/>
    </w:rPr>
  </w:style>
  <w:style w:type="character" w:styleId="1121" w:customStyle="1">
    <w:name w:val="font51"/>
    <w:basedOn w:val="740"/>
    <w:uiPriority w:val="0"/>
    <w:qFormat/>
    <w:rPr>
      <w:rFonts w:hint="eastAsia" w:ascii="方正仿宋_GB2312" w:hAnsi="方正仿宋_GB2312" w:eastAsia="方正仿宋_GB2312" w:cs="方正仿宋_GB2312"/>
      <w:b/>
      <w:bCs/>
      <w:color w:val="000000"/>
      <w:sz w:val="32"/>
      <w:szCs w:val="32"/>
      <w:u w:val="none"/>
    </w:rPr>
  </w:style>
  <w:style w:type="character" w:styleId="1122" w:customStyle="1">
    <w:name w:val="font122"/>
    <w:basedOn w:val="740"/>
    <w:uiPriority w:val="0"/>
    <w:qFormat/>
    <w:rPr>
      <w:rFonts w:hint="eastAsia" w:ascii="方正仿宋_GB2312" w:hAnsi="方正仿宋_GB2312" w:eastAsia="方正仿宋_GB2312" w:cs="方正仿宋_GB2312"/>
      <w:color w:val="000000"/>
      <w:sz w:val="22"/>
      <w:szCs w:val="22"/>
      <w:u w:val="none"/>
    </w:rPr>
  </w:style>
  <w:style w:type="character" w:styleId="1123" w:customStyle="1">
    <w:name w:val="font12"/>
    <w:basedOn w:val="740"/>
    <w:uiPriority w:val="0"/>
    <w:qFormat/>
    <w:rPr>
      <w:rFonts w:hint="default" w:ascii="Times New Roman" w:hAnsi="Times New Roman" w:cs="Times New Roman"/>
      <w:color w:val="000000"/>
      <w:sz w:val="22"/>
      <w:szCs w:val="22"/>
      <w:u w:val="none"/>
    </w:rPr>
  </w:style>
  <w:style w:type="character" w:styleId="1124" w:customStyle="1">
    <w:name w:val="font91"/>
    <w:basedOn w:val="740"/>
    <w:uiPriority w:val="0"/>
    <w:qFormat/>
    <w:rPr>
      <w:rFonts w:hint="default" w:ascii="Times New Roman" w:hAnsi="Times New Roman" w:cs="Times New Roman"/>
      <w:color w:val="000000"/>
      <w:sz w:val="22"/>
      <w:szCs w:val="22"/>
      <w:u w:val="none"/>
    </w:rPr>
  </w:style>
  <w:style w:type="character" w:styleId="1125" w:customStyle="1">
    <w:name w:val="font111"/>
    <w:basedOn w:val="740"/>
    <w:uiPriority w:val="0"/>
    <w:qFormat/>
    <w:rPr>
      <w:rFonts w:hint="default" w:ascii="Times New Roman" w:hAnsi="Times New Roman" w:cs="Times New Roman"/>
      <w:b/>
      <w:bCs/>
      <w:color w:val="000000"/>
      <w:sz w:val="22"/>
      <w:szCs w:val="22"/>
      <w:u w:val="none"/>
    </w:rPr>
  </w:style>
  <w:style w:type="character" w:styleId="1126" w:customStyle="1">
    <w:name w:val="15"/>
    <w:uiPriority w:val="0"/>
    <w:qFormat/>
    <w:rPr>
      <w:rFonts w:hint="eastAsia" w:ascii="宋体" w:hAnsi="宋体" w:eastAsia="宋体"/>
      <w:b/>
      <w:color w:val="000000"/>
      <w:sz w:val="20"/>
      <w:szCs w:val="20"/>
    </w:rPr>
  </w:style>
  <w:style w:type="character" w:styleId="1127" w:customStyle="1">
    <w:name w:val="16"/>
    <w:uiPriority w:val="0"/>
    <w:qFormat/>
    <w:rPr>
      <w:rFonts w:ascii="Calibri" w:hAnsi="Calibri"/>
      <w:b/>
      <w:color w:val="000000"/>
      <w:sz w:val="20"/>
      <w:szCs w:val="20"/>
    </w:rPr>
  </w:style>
  <w:style w:type="character" w:styleId="1128" w:customStyle="1">
    <w:name w:val="17"/>
    <w:uiPriority w:val="0"/>
    <w:qFormat/>
    <w:rPr>
      <w:rFonts w:hint="eastAsia" w:ascii="宋体" w:hAnsi="宋体" w:eastAsia="宋体"/>
      <w:color w:val="000000"/>
      <w:sz w:val="20"/>
      <w:szCs w:val="20"/>
    </w:rPr>
  </w:style>
  <w:style w:type="paragraph" w:styleId="1129" w:customStyle="1">
    <w:name w:val="纯文本111"/>
    <w:basedOn w:val="730"/>
    <w:uiPriority w:val="0"/>
    <w:qFormat/>
    <w:rPr>
      <w:rFonts w:ascii="宋体" w:hAnsi="Courier New" w:eastAsia="楷体_GB2312"/>
      <w:sz w:val="26"/>
      <w:szCs w:val="20"/>
    </w:rPr>
  </w:style>
  <w:style w:type="character" w:styleId="1130" w:customStyle="1">
    <w:name w:val="font151"/>
    <w:basedOn w:val="740"/>
    <w:uiPriority w:val="0"/>
    <w:qFormat/>
    <w:rPr>
      <w:rFonts w:hint="eastAsia" w:ascii="黑体" w:hAnsi="宋体" w:eastAsia="黑体" w:cs="黑体"/>
      <w:b/>
      <w:bCs/>
      <w:color w:val="000000"/>
      <w:sz w:val="24"/>
      <w:szCs w:val="24"/>
      <w:u w:val="none"/>
    </w:rPr>
  </w:style>
  <w:style w:type="character" w:styleId="1131" w:customStyle="1">
    <w:name w:val="font161"/>
    <w:basedOn w:val="740"/>
    <w:uiPriority w:val="0"/>
    <w:qFormat/>
    <w:rPr>
      <w:rFonts w:hint="eastAsia" w:ascii="宋体" w:hAnsi="宋体" w:eastAsia="宋体" w:cs="宋体"/>
      <w:color w:val="000000"/>
      <w:sz w:val="20"/>
      <w:szCs w:val="20"/>
      <w:u w:val="none"/>
    </w:r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296D238-2BDA-4EC2-8B6A-D6D0BCA2168C}"/>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86186</dc:creator>
  <cp:lastModifiedBy>陈璐佳</cp:lastModifiedBy>
  <cp:revision>3</cp:revision>
  <dcterms:created xsi:type="dcterms:W3CDTF">2023-03-31T07:02:00Z</dcterms:created>
  <dcterms:modified xsi:type="dcterms:W3CDTF">2026-08-27T05:40:04Z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eyJoZGlkIjoiMGRiMDY0MzVlZWVjY2YxNzE4MWI5ZGY5NThlNDUxODMiLCJ1c2VySWQiOiIxMDAxNjEzNDY2In0=</vt:lpwstr>
  </property>
  <property fmtid="{D5CDD505-2E9C-101B-9397-08002B2CF9AE}" pid="3" name="KSOProductBuildVer">
    <vt:lpwstr>2052-12.1.0.28043</vt:lpwstr>
  </property>
  <property fmtid="{D5CDD505-2E9C-101B-9397-08002B2CF9AE}" pid="4" name="ICV">
    <vt:lpwstr>0643128EC3B34EE48449BBC0F842998F_13</vt:lpwstr>
  </property>
</Properties>
</file>