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t xml:space="preserve"> </w:t>
      </w:r>
      <w:bookmarkStart w:id="0" w:name="_Toc120614210"/>
      <w:r/>
      <w:bookmarkStart w:id="1" w:name="_Toc523127445"/>
      <w:r/>
      <w:bookmarkStart w:id="2" w:name="_Toc20823272"/>
      <w:r/>
      <w:bookmarkStart w:id="3" w:name="_Toc479757206"/>
      <w:r/>
      <w:bookmarkStart w:id="4" w:name="_Toc16938516"/>
      <w:r/>
      <w:bookmarkStart w:id="5" w:name="_Toc513029200"/>
      <w:r/>
      <w:r/>
    </w:p>
    <w:p>
      <w:pPr>
        <w:pStyle w:val="924"/>
      </w:pPr>
      <w:r/>
      <w:r/>
    </w:p>
    <w:p>
      <w:pPr>
        <w:pStyle w:val="94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color w:val="auto"/>
          <w:sz w:val="32"/>
          <w:szCs w:val="32"/>
        </w:rPr>
        <w:t xml:space="preserve">南京鼓楼医院全院患者管理和智能随访系统</w:t>
      </w:r>
      <w:r>
        <w:rPr>
          <w:b/>
          <w:color w:val="auto"/>
          <w:sz w:val="32"/>
          <w:szCs w:val="32"/>
        </w:rPr>
        <w:t xml:space="preserve">  </w:t>
      </w:r>
      <w:r/>
    </w:p>
    <w:p>
      <w:pPr>
        <w:ind w:firstLine="1506"/>
        <w:rPr>
          <w:b/>
          <w:color w:val="auto"/>
          <w:sz w:val="30"/>
          <w:szCs w:val="30"/>
        </w:rPr>
      </w:pPr>
      <w:r>
        <w:rPr>
          <w:rFonts w:hint="eastAsia"/>
          <w:b/>
          <w:sz w:val="30"/>
          <w:szCs w:val="30"/>
        </w:rPr>
        <w:t xml:space="preserve">项目编号：</w:t>
      </w:r>
      <w:r>
        <w:rPr>
          <w:b/>
          <w:color w:val="auto"/>
          <w:sz w:val="32"/>
          <w:szCs w:val="32"/>
        </w:rPr>
        <w:t xml:space="preserve">JSZC-320100-JZCG-G2026-0336 </w:t>
      </w:r>
      <w:r>
        <w:rPr>
          <w:b/>
          <w:color w:val="auto"/>
          <w:sz w:val="30"/>
          <w:szCs w:val="30"/>
        </w:rPr>
        <w:t xml:space="preserve"> </w:t>
      </w:r>
      <w:r>
        <w:rPr>
          <w:rFonts w:hint="eastAsia"/>
          <w:b/>
          <w:sz w:val="30"/>
          <w:szCs w:val="30"/>
        </w:rPr>
        <w:t xml:space="preserve"> </w:t>
      </w:r>
      <w:r>
        <w:rPr>
          <w:b/>
          <w:color w:val="auto"/>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color w:val="auto"/>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41"/>
        <w:ind w:firstLine="0"/>
        <w:jc w:val="center"/>
        <w:rPr>
          <w:b/>
          <w:bCs/>
          <w:sz w:val="32"/>
        </w:rPr>
      </w:pPr>
      <w:r>
        <w:rPr>
          <w:rFonts w:hint="eastAsia"/>
          <w:b/>
          <w:bCs/>
          <w:sz w:val="32"/>
        </w:rPr>
        <w:t xml:space="preserve">南京市公共资源交易中心</w:t>
      </w:r>
      <w:r/>
    </w:p>
    <w:p>
      <w:pPr>
        <w:jc w:val="center"/>
        <w:rPr>
          <w:b/>
          <w:color w:val="auto"/>
          <w:sz w:val="32"/>
          <w:szCs w:val="32"/>
        </w:rPr>
      </w:pPr>
      <w:r>
        <w:rPr>
          <w:b/>
          <w:color w:val="auto"/>
          <w:sz w:val="32"/>
          <w:szCs w:val="32"/>
        </w:rPr>
        <w:t xml:space="preserve">2026</w:t>
      </w:r>
      <w:r>
        <w:rPr>
          <w:rFonts w:hint="eastAsia"/>
          <w:b/>
          <w:color w:val="auto"/>
          <w:sz w:val="32"/>
          <w:szCs w:val="32"/>
        </w:rPr>
        <w:t xml:space="preserve">年</w:t>
      </w:r>
      <w:r>
        <w:rPr>
          <w:b/>
          <w:color w:val="auto"/>
          <w:sz w:val="32"/>
          <w:szCs w:val="32"/>
        </w:rPr>
        <w:t xml:space="preserve">9</w:t>
      </w:r>
      <w:r>
        <w:rPr>
          <w:rFonts w:hint="eastAsia"/>
          <w:b/>
          <w:color w:val="auto"/>
          <w:sz w:val="32"/>
          <w:szCs w:val="32"/>
        </w:rPr>
        <w:t xml:space="preserve">月</w:t>
      </w:r>
      <w:r/>
    </w:p>
    <w:p>
      <w:pPr>
        <w:jc w:val="left"/>
        <w:spacing w:before="120" w:after="120" w:line="360" w:lineRule="auto"/>
        <w:rPr>
          <w:rFonts w:ascii="Arial" w:hAnsi="Arial"/>
          <w:color w:val="auto"/>
          <w:sz w:val="24"/>
          <w:szCs w:val="24"/>
          <w:u w:val="single"/>
        </w:rPr>
      </w:pPr>
      <w:r>
        <w:rPr>
          <w:rFonts w:ascii="Arial" w:hAnsi="Arial"/>
          <w:color w:val="auto"/>
          <w:sz w:val="24"/>
          <w:szCs w:val="24"/>
        </w:rPr>
        <w:t xml:space="preserve">                        </w:t>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center"/>
        <w:spacing w:before="120" w:after="120" w:line="360" w:lineRule="auto"/>
        <w:rPr>
          <w:rFonts w:ascii="Arial" w:hAnsi="Arial"/>
          <w:color w:val="auto"/>
          <w:sz w:val="24"/>
          <w:szCs w:val="24"/>
        </w:rPr>
      </w:pPr>
      <w:r>
        <w:rPr>
          <w:rFonts w:ascii="Arial" w:hAnsi="Arial"/>
          <w:color w:val="auto"/>
          <w:sz w:val="24"/>
          <w:szCs w:val="24"/>
        </w:rPr>
      </w:r>
      <w:r>
        <w:rPr>
          <w:rFonts w:ascii="Arial" w:hAnsi="Arial"/>
          <w:color w:val="auto"/>
          <w:sz w:val="24"/>
          <w:szCs w:val="24"/>
        </w:rPr>
      </w:r>
      <w:r/>
    </w:p>
    <w:p>
      <w:pPr>
        <w:jc w:val="center"/>
        <w:spacing w:before="120" w:after="120" w:line="360" w:lineRule="auto"/>
        <w:rPr>
          <w:rFonts w:ascii="Arial" w:hAnsi="Arial"/>
          <w:color w:val="auto"/>
          <w:sz w:val="24"/>
          <w:szCs w:val="24"/>
        </w:rPr>
      </w:pPr>
      <w:r>
        <w:rPr>
          <w:rFonts w:ascii="Arial" w:hAnsi="Arial"/>
          <w:color w:val="auto"/>
          <w:sz w:val="24"/>
          <w:szCs w:val="24"/>
        </w:rPr>
      </w:r>
      <w:r>
        <w:rPr>
          <w:rFonts w:ascii="Arial" w:hAnsi="Arial"/>
          <w:color w:val="auto"/>
          <w:sz w:val="24"/>
          <w:szCs w:val="24"/>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pStyle w:val="924"/>
      </w:pPr>
      <w:r/>
      <w:r/>
    </w:p>
    <w:p>
      <w:pPr>
        <w:jc w:val="center"/>
        <w:spacing w:line="480" w:lineRule="auto"/>
        <w:rPr>
          <w:rFonts w:ascii="黑体" w:hAnsi="Arial" w:eastAsia="黑体"/>
          <w:b/>
          <w:color w:val="auto"/>
          <w:sz w:val="44"/>
        </w:rPr>
        <w:outlineLvl w:val="0"/>
      </w:pPr>
      <w:r>
        <w:rPr>
          <w:rFonts w:hint="eastAsia" w:ascii="黑体" w:hAnsi="Arial" w:eastAsia="黑体"/>
          <w:b/>
          <w:color w:val="auto"/>
          <w:sz w:val="44"/>
        </w:rPr>
        <w:t xml:space="preserve">总</w:t>
      </w:r>
      <w:r>
        <w:rPr>
          <w:rFonts w:ascii="黑体" w:hAnsi="Arial" w:eastAsia="黑体"/>
          <w:b/>
          <w:color w:val="auto"/>
          <w:sz w:val="44"/>
        </w:rPr>
        <w:t xml:space="preserve">  </w:t>
      </w:r>
      <w:r>
        <w:rPr>
          <w:rFonts w:hint="eastAsia" w:ascii="黑体" w:hAnsi="Arial" w:eastAsia="黑体"/>
          <w:b/>
          <w:color w:val="auto"/>
          <w:sz w:val="44"/>
        </w:rPr>
        <w:t xml:space="preserve">目</w:t>
      </w:r>
      <w:r>
        <w:rPr>
          <w:rFonts w:ascii="黑体" w:hAnsi="Arial" w:eastAsia="黑体"/>
          <w:b/>
          <w:color w:val="auto"/>
          <w:sz w:val="44"/>
        </w:rPr>
        <w:t xml:space="preserve">  </w:t>
      </w:r>
      <w:r>
        <w:rPr>
          <w:rFonts w:hint="eastAsia" w:ascii="黑体" w:hAnsi="Arial" w:eastAsia="黑体"/>
          <w:b/>
          <w:color w:val="auto"/>
          <w:sz w:val="44"/>
        </w:rPr>
        <w:t xml:space="preserve">录</w:t>
      </w:r>
      <w:r/>
    </w:p>
    <w:p>
      <w:pPr>
        <w:spacing w:line="480" w:lineRule="auto"/>
        <w:rPr>
          <w:rFonts w:ascii="仿宋_GB2312" w:hAnsi="Arial" w:eastAsia="仿宋_GB2312"/>
          <w:b/>
          <w:color w:val="auto"/>
          <w:sz w:val="28"/>
        </w:rPr>
      </w:pPr>
      <w:r>
        <w:rPr>
          <w:rFonts w:ascii="仿宋_GB2312" w:hAnsi="Arial" w:eastAsia="仿宋_GB2312"/>
          <w:b/>
          <w:color w:val="auto"/>
          <w:sz w:val="28"/>
        </w:rPr>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color w:val="auto"/>
          <w:sz w:val="36"/>
        </w:rPr>
        <w:t xml:space="preserve">2</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color w:val="auto"/>
          <w:sz w:val="36"/>
          <w:lang w:eastAsia="zh-CN"/>
        </w:rPr>
        <w:t xml:space="preserve">4</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color w:val="auto"/>
          <w:sz w:val="36"/>
          <w:lang w:eastAsia="zh-CN"/>
        </w:rPr>
        <w:t xml:space="preserve">1</w:t>
      </w:r>
      <w:r>
        <w:rPr>
          <w:rFonts w:hint="eastAsia" w:ascii="黑体" w:hAnsi="宋体" w:eastAsia="黑体"/>
          <w:color w:val="auto"/>
          <w:sz w:val="36"/>
          <w:lang w:val="en-US" w:eastAsia="zh-CN"/>
        </w:rPr>
        <w:t xml:space="preserve">4</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color w:val="auto"/>
          <w:sz w:val="36"/>
          <w:lang w:eastAsia="zh-CN"/>
        </w:rPr>
        <w:t xml:space="preserve">1</w:t>
      </w:r>
      <w:r>
        <w:rPr>
          <w:rFonts w:hint="eastAsia" w:ascii="黑体" w:hAnsi="宋体" w:eastAsia="黑体"/>
          <w:color w:val="auto"/>
          <w:sz w:val="36"/>
          <w:lang w:val="en-US" w:eastAsia="zh-CN"/>
        </w:rPr>
        <w:t xml:space="preserve">7</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color w:val="auto"/>
          <w:sz w:val="36"/>
          <w:lang w:eastAsia="zh-CN"/>
        </w:rPr>
        <w:t xml:space="preserve">3</w:t>
      </w:r>
      <w:r>
        <w:rPr>
          <w:rFonts w:hint="eastAsia" w:ascii="黑体" w:hAnsi="宋体" w:eastAsia="黑体"/>
          <w:color w:val="auto"/>
          <w:sz w:val="36"/>
          <w:lang w:val="en-US" w:eastAsia="zh-CN"/>
        </w:rPr>
        <w:t xml:space="preserve">2</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color w:val="auto"/>
          <w:sz w:val="36"/>
          <w:lang w:eastAsia="zh-CN"/>
        </w:rPr>
        <w:t xml:space="preserve">3</w:t>
      </w:r>
      <w:r>
        <w:rPr>
          <w:rFonts w:hint="eastAsia" w:ascii="黑体" w:hAnsi="宋体" w:eastAsia="黑体"/>
          <w:color w:val="auto"/>
          <w:sz w:val="36"/>
          <w:lang w:val="en-US" w:eastAsia="zh-CN"/>
        </w:rPr>
        <w:t xml:space="preserve">6</w:t>
      </w:r>
      <w:r/>
    </w:p>
    <w:p>
      <w:r/>
      <w:r/>
    </w:p>
    <w:p>
      <w:r/>
      <w:r/>
    </w:p>
    <w:p>
      <w:r/>
      <w:r/>
    </w:p>
    <w:p>
      <w:r/>
      <w:r/>
    </w:p>
    <w:p>
      <w:r/>
      <w:r/>
    </w:p>
    <w:p>
      <w:pPr>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投标邀请</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1.项目编号：JSZC-320100-JZCG-G2026-0336</w:t>
      </w:r>
      <w:r/>
    </w:p>
    <w:p>
      <w:pPr>
        <w:ind w:firstLine="480"/>
        <w:rPr>
          <w:rFonts w:hint="eastAsia" w:ascii="宋体" w:hAnsi="宋体"/>
          <w:sz w:val="24"/>
          <w:szCs w:val="24"/>
        </w:rPr>
      </w:pPr>
      <w:r>
        <w:rPr>
          <w:rFonts w:hint="eastAsia" w:ascii="宋体" w:hAnsi="宋体"/>
          <w:sz w:val="24"/>
          <w:szCs w:val="24"/>
        </w:rPr>
        <w:t xml:space="preserve">2.项目名称：南京鼓楼医院全院患者管理和智能随访系统</w:t>
      </w:r>
      <w:r>
        <w:rPr>
          <w:b/>
          <w:color w:val="auto"/>
          <w:sz w:val="32"/>
          <w:szCs w:val="32"/>
        </w:rPr>
        <w:t xml:space="preserve">  </w:t>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color w:val="auto"/>
          <w:sz w:val="24"/>
          <w:szCs w:val="24"/>
        </w:rPr>
        <w:t xml:space="preserve">150万元</w:t>
      </w:r>
      <w:r/>
    </w:p>
    <w:p>
      <w:pPr>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color w:val="auto"/>
          <w:sz w:val="24"/>
          <w:szCs w:val="24"/>
        </w:rPr>
        <w:t xml:space="preserve">135万元</w:t>
      </w:r>
      <w:r/>
    </w:p>
    <w:p>
      <w:pPr>
        <w:ind w:firstLine="480"/>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color w:val="auto"/>
          <w:sz w:val="24"/>
          <w:szCs w:val="24"/>
        </w:rPr>
        <w:t xml:space="preserve">为支撑医院从传统院内诊疗服务向患者全周期连续服务、专病精细化管理和区域协同服务延伸，医院建设全院患者管理和智能随访系统，依托医院现有HIS、EMR、LIS、PACS、数据湖/CDR、互联网医院、随访系统、区域协同平台等数据基础，构建统一患者画像、标签体系、专病队列和智能语音随访能力，形成"患者识别—画像构建—标签生成—队列纳入—随访计划—智能触达—异常预警—人工干预—结果回填—持续优化"的闭环管理机制。</w:t>
      </w:r>
      <w:r>
        <w:rPr>
          <w:rFonts w:hint="eastAsia" w:ascii="宋体" w:hAnsi="宋体" w:cs="宋体"/>
          <w:sz w:val="24"/>
          <w:szCs w:val="24"/>
        </w:rPr>
        <w:t xml:space="preserve">（详细内容见本招标文件第四章） </w:t>
      </w:r>
      <w:r/>
    </w:p>
    <w:p>
      <w:pPr>
        <w:ind w:firstLine="480"/>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olor w:val="auto"/>
          <w:sz w:val="24"/>
          <w:szCs w:val="24"/>
        </w:rPr>
        <w:t xml:space="preserve">120天（系统开发及初验时间为合同签订后30天内，初验合格试运行3个月进行终验。</w:t>
      </w:r>
      <w:r>
        <w:rPr>
          <w:rFonts w:hint="eastAsia" w:ascii="宋体" w:hAnsi="宋体" w:cs="宋体"/>
          <w:color w:val="auto"/>
          <w:sz w:val="24"/>
          <w:szCs w:val="24"/>
        </w:rPr>
        <w:t xml:space="preserve">）</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color w:val="auto"/>
          <w:sz w:val="24"/>
          <w:szCs w:val="24"/>
        </w:rPr>
        <w:t xml:space="preserve">不接受</w:t>
      </w:r>
      <w:r>
        <w:rPr>
          <w:rFonts w:hint="eastAsia" w:ascii="宋体" w:hAnsi="宋体" w:cs="宋体"/>
          <w:sz w:val="24"/>
          <w:szCs w:val="24"/>
        </w:rPr>
        <w:t xml:space="preserve">联合体投标。</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color w:val="auto"/>
          <w:sz w:val="24"/>
          <w:szCs w:val="24"/>
        </w:rPr>
        <w:t xml:space="preserve">不接受</w:t>
      </w:r>
      <w:r>
        <w:rPr>
          <w:rFonts w:hint="eastAsia" w:ascii="宋体" w:hAnsi="宋体" w:cs="宋体"/>
          <w:sz w:val="24"/>
          <w:szCs w:val="24"/>
        </w:rPr>
        <w:t xml:space="preserve">进口产品投标。</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9.本项目不允许分包。</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bookmarkStart w:id="12" w:name="_Toc38985264"/>
      <w:r/>
      <w:bookmarkStart w:id="13" w:name="_Toc28359003"/>
      <w:r/>
      <w:bookmarkStart w:id="14" w:name="_Toc28359080"/>
      <w:r/>
      <w:bookmarkStart w:id="15" w:name="_Toc35393791"/>
      <w:r/>
      <w:bookmarkStart w:id="16" w:name="_Toc35393622"/>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5393792"/>
      <w:r/>
      <w:bookmarkStart w:id="18" w:name="_Toc35393623"/>
      <w:r/>
      <w:bookmarkStart w:id="19" w:name="_Toc28359081"/>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auto"/>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color w:val="auto"/>
          <w:sz w:val="24"/>
          <w:szCs w:val="24"/>
          <w:lang w:val="zh-CN"/>
        </w:rPr>
        <w:t xml:space="preserve">无。</w:t>
      </w:r>
      <w:r/>
    </w:p>
    <w:p>
      <w:pPr>
        <w:ind w:firstLine="480"/>
        <w:rPr>
          <w:rFonts w:hint="eastAsia" w:ascii="宋体" w:hAnsi="宋体"/>
          <w:color w:val="auto"/>
          <w:sz w:val="24"/>
          <w:szCs w:val="24"/>
        </w:rPr>
      </w:pPr>
      <w:r>
        <w:rPr>
          <w:rFonts w:hint="eastAsia" w:ascii="宋体" w:hAnsi="宋体"/>
          <w:sz w:val="24"/>
          <w:szCs w:val="24"/>
        </w:rPr>
        <w:t xml:space="preserve">（三）本项目的特定资格要求：</w:t>
      </w:r>
      <w:r>
        <w:rPr>
          <w:rFonts w:hint="eastAsia" w:ascii="宋体" w:hAnsi="宋体"/>
          <w:color w:val="auto"/>
          <w:sz w:val="24"/>
          <w:szCs w:val="24"/>
          <w:lang w:val="zh-CN"/>
        </w:rPr>
        <w:t xml:space="preserve">无。</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hint="eastAsia" w:ascii="宋体" w:hAnsi="宋体"/>
          <w:bCs/>
          <w:sz w:val="24"/>
          <w:szCs w:val="24"/>
          <w:u w:val="single"/>
        </w:rPr>
      </w:pPr>
      <w:r/>
      <w:bookmarkStart w:id="27" w:name="_Toc28359084"/>
      <w:r/>
      <w:bookmarkStart w:id="28" w:name="_Toc38985267"/>
      <w:r/>
      <w:bookmarkStart w:id="29" w:name="_Toc28359007"/>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6</w:t>
      </w:r>
      <w:r>
        <w:rPr>
          <w:rFonts w:hint="eastAsia" w:ascii="宋体" w:hAnsi="宋体"/>
          <w:bCs/>
          <w:color w:val="auto"/>
          <w:sz w:val="24"/>
          <w:szCs w:val="24"/>
        </w:rPr>
        <w:t xml:space="preserve">年</w:t>
      </w: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0</w:t>
      </w:r>
      <w:r>
        <w:rPr>
          <w:rFonts w:hint="eastAsia" w:ascii="宋体" w:hAnsi="宋体"/>
          <w:bCs/>
          <w:color w:val="auto"/>
          <w:sz w:val="24"/>
          <w:szCs w:val="24"/>
        </w:rPr>
        <w:t xml:space="preserve">月15</w:t>
      </w:r>
      <w:r>
        <w:rPr>
          <w:rFonts w:hint="eastAsia" w:ascii="宋体" w:hAnsi="宋体"/>
          <w:bCs/>
          <w:color w:val="auto"/>
          <w:sz w:val="24"/>
          <w:szCs w:val="24"/>
        </w:rPr>
        <w:t xml:space="preserve">日14</w:t>
      </w:r>
      <w:r>
        <w:rPr>
          <w:rFonts w:hint="eastAsia"/>
          <w:bCs/>
          <w:color w:val="auto"/>
          <w:sz w:val="24"/>
          <w:szCs w:val="24"/>
        </w:rPr>
        <w:t xml:space="preserve">时00</w:t>
      </w:r>
      <w:r>
        <w:rPr>
          <w:rFonts w:hint="eastAsia" w:ascii="宋体" w:hAnsi="宋体"/>
          <w:bCs/>
          <w:color w:val="auto"/>
          <w:sz w:val="24"/>
          <w:szCs w:val="24"/>
        </w:rPr>
        <w:t xml:space="preserve">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4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rPr>
      </w:pPr>
      <w:r>
        <w:rPr>
          <w:rFonts w:hint="eastAsia" w:ascii="宋体" w:hAnsi="宋体"/>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，如对采购需求有疑问，请咨询采购人。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5.</w:t>
      </w:r>
      <w:r>
        <w:rPr>
          <w:rFonts w:hint="eastAsia" w:ascii="宋体" w:hAnsi="宋体"/>
          <w:b/>
          <w:bCs/>
          <w:color w:val="auto"/>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rPr>
          <w:rFonts w:hint="eastAsia" w:ascii="宋体" w:hAnsi="宋体"/>
          <w:color w:val="auto"/>
          <w:sz w:val="24"/>
        </w:rPr>
      </w:pPr>
      <w:r>
        <w:rPr>
          <w:rFonts w:hint="eastAsia" w:ascii="宋体" w:hAnsi="宋体"/>
          <w:color w:val="auto"/>
          <w:sz w:val="24"/>
        </w:rPr>
        <w:t xml:space="preserve">采购人《质疑函》收件人：张老师，收件地址：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玄武区双龙巷5号4楼410</w:t>
      </w:r>
      <w:r>
        <w:rPr>
          <w:rFonts w:hint="eastAsia" w:ascii="宋体" w:hAnsi="宋体" w:cs="宋体"/>
          <w:color w:val="auto"/>
          <w:sz w:val="24"/>
          <w:szCs w:val="24"/>
        </w:rPr>
        <w:t xml:space="preserve">，</w:t>
      </w:r>
      <w:r>
        <w:rPr>
          <w:rFonts w:hint="eastAsia" w:ascii="宋体" w:hAnsi="宋体"/>
          <w:color w:val="auto"/>
          <w:sz w:val="24"/>
        </w:rPr>
        <w:t xml:space="preserve">联系电话：025-83105006。</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交易中心《质疑函》收件人：南京市公共资源交易中心政府集中采购处，收件地址：南京市建邺区江东中路265号南京市公共资源交易中心北门，联系电话：025-68505926。</w:t>
      </w:r>
      <w:r/>
    </w:p>
    <w:p>
      <w:pPr>
        <w:pStyle w:val="84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sz w:val="24"/>
          <w:szCs w:val="24"/>
        </w:rPr>
      </w:pPr>
      <w:r/>
      <w:bookmarkStart w:id="40" w:name="_Toc28359009"/>
      <w:r/>
      <w:bookmarkStart w:id="41" w:name="_Toc28359086"/>
      <w:r>
        <w:rPr>
          <w:rFonts w:hint="eastAsia" w:ascii="宋体" w:hAnsi="宋体"/>
          <w:sz w:val="24"/>
          <w:szCs w:val="24"/>
        </w:rPr>
        <w:t xml:space="preserve">名  称：</w:t>
      </w:r>
      <w:r>
        <w:rPr>
          <w:rFonts w:hint="eastAsia" w:ascii="宋体" w:hAnsi="宋体"/>
          <w:color w:val="auto"/>
          <w:sz w:val="24"/>
          <w:szCs w:val="24"/>
        </w:rPr>
        <w:t xml:space="preserve">南京鼓楼医院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鼓楼区中山路321号 </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color w:val="auto"/>
          <w:sz w:val="24"/>
          <w:szCs w:val="24"/>
        </w:rPr>
        <w:t xml:space="preserve">张老师 </w:t>
      </w:r>
      <w:r/>
    </w:p>
    <w:p>
      <w:pPr>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color w:val="auto"/>
          <w:sz w:val="24"/>
          <w:szCs w:val="24"/>
        </w:rPr>
        <w:t xml:space="preserve">025-83105006 </w:t>
      </w:r>
      <w:r/>
    </w:p>
    <w:p>
      <w:pPr>
        <w:ind w:firstLine="480"/>
        <w:rPr>
          <w:rFonts w:hint="eastAsia" w:ascii="宋体" w:hAnsi="宋体"/>
          <w:sz w:val="24"/>
          <w:szCs w:val="24"/>
        </w:rPr>
      </w:pPr>
      <w:r>
        <w:rPr>
          <w:rFonts w:hint="eastAsia" w:ascii="宋体" w:hAnsi="宋体"/>
          <w:sz w:val="24"/>
          <w:szCs w:val="24"/>
        </w:rPr>
        <w:t xml:space="preserve">2.交易中心</w:t>
      </w:r>
      <w:bookmarkEnd w:id="40"/>
      <w:r/>
      <w:bookmarkEnd w:id="41"/>
      <w:r/>
      <w:bookmarkEnd w:id="1"/>
      <w:r/>
      <w:bookmarkEnd w:id="2"/>
      <w:r/>
      <w:bookmarkEnd w:id="3"/>
      <w:r/>
      <w:bookmarkEnd w:id="4"/>
      <w:r/>
      <w:bookmarkEnd w:id="5"/>
      <w:r/>
      <w:r/>
    </w:p>
    <w:p>
      <w:pPr>
        <w:ind w:firstLine="480"/>
        <w:rPr>
          <w:rFonts w:hint="eastAsia" w:ascii="宋体" w:hAnsi="宋体"/>
          <w:sz w:val="24"/>
          <w:szCs w:val="24"/>
        </w:rPr>
      </w:pPr>
      <w:r/>
      <w:bookmarkStart w:id="42" w:name="_Hlt16619350"/>
      <w:r/>
      <w:bookmarkStart w:id="43" w:name="_Toc20823346"/>
      <w:r/>
      <w:bookmarkStart w:id="44" w:name="_Toc120614244"/>
      <w:r/>
      <w:bookmarkStart w:id="45" w:name="_Toc16938590"/>
      <w:r/>
      <w:bookmarkStart w:id="46" w:name="_Toc462564139"/>
      <w:r/>
      <w:bookmarkStart w:id="47" w:name="_Toc479757211"/>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路265号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联系人：邹女士 </w:t>
      </w:r>
      <w:r/>
    </w:p>
    <w:p>
      <w:pPr>
        <w:ind w:firstLine="480"/>
      </w:pPr>
      <w:r>
        <w:rPr>
          <w:rFonts w:hint="eastAsia" w:ascii="宋体" w:hAnsi="宋体"/>
          <w:sz w:val="24"/>
          <w:szCs w:val="24"/>
        </w:rPr>
        <w:t xml:space="preserve">联系电话：025-68505810 </w:t>
      </w:r>
      <w:r/>
    </w:p>
    <w:p>
      <w:pPr>
        <w:pStyle w:val="924"/>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rPr>
        <w:t xml:space="preserve">第二章  投标人须知</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投标文件应包括资格证明文件、符合性证明文件、开标一览表、投标分项报价表、响应及偏离表、投标函、法定代表人授权委托书。</w:t>
      </w:r>
      <w:r/>
    </w:p>
    <w:p>
      <w:pPr>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auto"/>
          <w:sz w:val="24"/>
          <w:lang w:val="zh-CN"/>
        </w:rPr>
        <w:t xml:space="preserve">对</w:t>
      </w:r>
      <w:r>
        <w:rPr>
          <w:rFonts w:hint="eastAsia" w:ascii="宋体" w:hAnsi="宋体"/>
          <w:color w:val="auto"/>
          <w:sz w:val="24"/>
        </w:rPr>
        <w:t xml:space="preserve">通过</w:t>
      </w:r>
      <w:r>
        <w:rPr>
          <w:rFonts w:hint="eastAsia" w:ascii="宋体" w:hAnsi="宋体"/>
          <w:color w:val="auto"/>
          <w:sz w:val="24"/>
          <w:lang w:val="zh-CN"/>
        </w:rPr>
        <w:t xml:space="preserve">资格</w:t>
      </w:r>
      <w:r>
        <w:rPr>
          <w:rFonts w:hint="eastAsia" w:ascii="宋体" w:hAnsi="宋体"/>
          <w:color w:val="auto"/>
          <w:sz w:val="24"/>
        </w:rPr>
        <w:t xml:space="preserve">审查</w:t>
      </w:r>
      <w:r>
        <w:rPr>
          <w:rFonts w:hint="eastAsia" w:ascii="宋体" w:hAnsi="宋体"/>
          <w:color w:val="auto"/>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color w:val="auto"/>
          <w:sz w:val="24"/>
          <w:szCs w:val="22"/>
          <w:u w:val="single"/>
          <w:lang w:val="zh-CN"/>
        </w:rPr>
        <w:t xml:space="preserve">50%</w:t>
      </w:r>
      <w:r>
        <w:rPr>
          <w:rFonts w:hint="eastAsia" w:ascii="宋体" w:hAnsi="宋体"/>
          <w:sz w:val="24"/>
          <w:szCs w:val="22"/>
          <w:lang w:val="zh-CN"/>
        </w:rPr>
        <w:t xml:space="preserve">的，即投标报价&lt;全部通过符合性审查投标人投标报价平均值×</w:t>
      </w:r>
      <w:r>
        <w:rPr>
          <w:rFonts w:hint="eastAsia" w:ascii="宋体" w:hAnsi="宋体"/>
          <w:color w:val="auto"/>
          <w:sz w:val="24"/>
          <w:szCs w:val="22"/>
          <w:u w:val="single"/>
          <w:lang w:val="zh-CN"/>
        </w:rPr>
        <w:t xml:space="preserve">50%</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color w:val="auto"/>
          <w:sz w:val="24"/>
          <w:szCs w:val="22"/>
          <w:u w:val="single"/>
          <w:lang w:val="zh-CN"/>
        </w:rPr>
        <w:t xml:space="preserve">50%</w:t>
      </w:r>
      <w:r>
        <w:rPr>
          <w:rFonts w:hint="eastAsia" w:ascii="宋体" w:hAnsi="宋体"/>
          <w:sz w:val="24"/>
          <w:szCs w:val="22"/>
          <w:lang w:val="zh-CN"/>
        </w:rPr>
        <w:t xml:space="preserve">的，即投标报价&lt;通过符合性审查的次低报价投标人投标报价×</w:t>
      </w:r>
      <w:r>
        <w:rPr>
          <w:rFonts w:hint="eastAsia" w:ascii="宋体" w:hAnsi="宋体"/>
          <w:color w:val="auto"/>
          <w:sz w:val="24"/>
          <w:szCs w:val="22"/>
          <w:u w:val="single"/>
          <w:lang w:val="zh-CN"/>
        </w:rPr>
        <w:t xml:space="preserve">50%</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color w:val="auto"/>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color w:val="auto"/>
          <w:sz w:val="24"/>
          <w:szCs w:val="22"/>
          <w:u w:val="single"/>
          <w:lang w:val="zh-CN"/>
        </w:rPr>
        <w:t xml:space="preserve">45%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auto"/>
          <w:sz w:val="24"/>
        </w:rPr>
        <w:t xml:space="preserve">南京市财政局</w:t>
      </w:r>
      <w:r>
        <w:rPr>
          <w:rFonts w:hint="eastAsia" w:ascii="宋体" w:hAnsi="宋体"/>
          <w:b/>
          <w:bCs/>
          <w:sz w:val="24"/>
        </w:rPr>
        <w:t xml:space="preserve">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4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9"/>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4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9"/>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color w:val="auto"/>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479757207"/>
      <w:r/>
      <w:bookmarkStart w:id="51" w:name="_Toc513029242"/>
      <w:r/>
      <w:bookmarkStart w:id="52" w:name="_Toc20823314"/>
      <w:r/>
      <w:bookmarkStart w:id="53" w:name="_Toc16938558"/>
      <w:r/>
      <w:r/>
    </w:p>
    <w:p>
      <w:pPr>
        <w:pStyle w:val="850"/>
        <w:ind w:firstLine="422"/>
        <w:rPr>
          <w:rFonts w:hint="eastAsia"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val="zh-CN"/>
        </w:rPr>
        <w:t xml:space="preserve">.数据交易说明</w:t>
      </w:r>
      <w:r/>
    </w:p>
    <w:p>
      <w:pPr>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p>
    <w:p>
      <w:pPr>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p>
    <w:p>
      <w:pPr>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24"/>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auto"/>
          <w:sz w:val="36"/>
          <w:szCs w:val="36"/>
          <w:lang w:val="en-US"/>
        </w:rPr>
        <w:t xml:space="preserve">文本</w:t>
      </w:r>
      <w:r/>
    </w:p>
    <w:p>
      <w:pPr>
        <w:jc w:val="center"/>
        <w:spacing w:before="145" w:after="145"/>
        <w:rPr>
          <w:rFonts w:hint="eastAsia" w:ascii="宋体" w:hAnsi="宋体"/>
          <w:bCs/>
          <w:color w:val="auto"/>
          <w:sz w:val="24"/>
        </w:rPr>
      </w:pPr>
      <w:r/>
      <w:bookmarkStart w:id="54" w:name="_Toc16938559"/>
      <w:r/>
      <w:bookmarkStart w:id="55" w:name="_Toc20823315"/>
      <w:r/>
      <w:bookmarkStart w:id="56" w:name="_Toc513029243"/>
      <w:r>
        <w:rPr>
          <w:rFonts w:hint="eastAsia" w:ascii="宋体" w:hAnsi="宋体"/>
          <w:bCs/>
          <w:color w:val="auto"/>
          <w:sz w:val="24"/>
        </w:rPr>
        <w:t xml:space="preserve">以下为本项目的合同条款，合同双方不得对招标、投标文件内容作实质性修改。</w:t>
      </w:r>
      <w:r/>
    </w:p>
    <w:p>
      <w:pPr>
        <w:pStyle w:val="924"/>
        <w:ind w:left="0"/>
      </w:pPr>
      <w:r/>
      <w:r/>
    </w:p>
    <w:p>
      <w:pPr>
        <w:jc w:val="center"/>
        <w:spacing w:before="145" w:after="145"/>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hint="eastAsia" w:ascii="宋体" w:hAnsi="宋体" w:cs="Courier New"/>
          <w:color w:val="auto"/>
          <w:sz w:val="24"/>
          <w:szCs w:val="24"/>
        </w:rPr>
      </w:pPr>
      <w:r>
        <w:rPr>
          <w:rFonts w:hint="eastAsia" w:ascii="宋体" w:hAnsi="宋体" w:cs="Courier New"/>
          <w:color w:val="auto"/>
          <w:sz w:val="24"/>
          <w:szCs w:val="24"/>
        </w:rPr>
        <w:t xml:space="preserve">合同编号：</w:t>
      </w:r>
      <w:r/>
    </w:p>
    <w:p>
      <w:pPr>
        <w:spacing w:before="145" w:after="145"/>
        <w:rPr>
          <w:rFonts w:hint="eastAsia" w:ascii="宋体" w:hAnsi="宋体" w:cs="Courier New"/>
          <w:color w:val="auto"/>
          <w:sz w:val="24"/>
          <w:szCs w:val="24"/>
        </w:rPr>
      </w:pPr>
      <w:r>
        <w:rPr>
          <w:rFonts w:hint="eastAsia" w:ascii="宋体" w:hAnsi="宋体" w:cs="Courier New"/>
          <w:color w:val="auto"/>
          <w:sz w:val="24"/>
          <w:szCs w:val="24"/>
        </w:rPr>
        <w:t xml:space="preserve">项目名称：                                       项目编号：</w:t>
      </w:r>
      <w:r/>
    </w:p>
    <w:p>
      <w:pPr>
        <w:jc w:val="left"/>
        <w:spacing w:before="145" w:after="145"/>
        <w:rPr>
          <w:rFonts w:hint="eastAsia" w:ascii="宋体" w:hAnsi="宋体" w:cs="Courier New"/>
          <w:color w:val="auto"/>
          <w:sz w:val="24"/>
          <w:szCs w:val="24"/>
        </w:rPr>
      </w:pPr>
      <w:r>
        <w:rPr>
          <w:rFonts w:hint="eastAsia" w:ascii="宋体" w:hAnsi="宋体" w:cs="Courier New"/>
          <w:color w:val="auto"/>
          <w:sz w:val="24"/>
          <w:szCs w:val="24"/>
        </w:rPr>
        <w:t xml:space="preserve">甲方（买方）：</w:t>
      </w:r>
      <w:r/>
    </w:p>
    <w:p>
      <w:pPr>
        <w:jc w:val="left"/>
        <w:spacing w:before="145" w:after="145"/>
        <w:rPr>
          <w:rFonts w:hint="eastAsia" w:ascii="宋体" w:hAnsi="宋体" w:cs="Courier New"/>
          <w:color w:val="auto"/>
          <w:sz w:val="24"/>
          <w:szCs w:val="24"/>
        </w:rPr>
      </w:pPr>
      <w:r>
        <w:rPr>
          <w:rFonts w:hint="eastAsia" w:ascii="宋体" w:hAnsi="宋体" w:cs="Courier New"/>
          <w:color w:val="auto"/>
          <w:sz w:val="24"/>
          <w:szCs w:val="24"/>
        </w:rPr>
        <w:t xml:space="preserve">乙方（卖方）：</w:t>
      </w:r>
      <w:r/>
    </w:p>
    <w:p>
      <w:pPr>
        <w:rPr>
          <w:rFonts w:hint="eastAsia" w:ascii="宋体" w:hAnsi="宋体" w:cs="Courier New"/>
          <w:b/>
          <w:color w:val="auto"/>
          <w:sz w:val="24"/>
          <w:szCs w:val="24"/>
        </w:rPr>
      </w:pPr>
      <w:r>
        <w:rPr>
          <w:rFonts w:hint="eastAsia" w:ascii="宋体" w:hAnsi="宋体" w:cs="Courier New"/>
          <w:b/>
          <w:color w:val="auto"/>
          <w:sz w:val="24"/>
          <w:szCs w:val="24"/>
        </w:rPr>
        <w:t xml:space="preserve">    </w:t>
      </w:r>
      <w:r>
        <w:rPr>
          <w:rFonts w:hint="eastAsia" w:ascii="宋体" w:hAnsi="宋体" w:cs="Courier New"/>
          <w:color w:val="auto"/>
          <w:sz w:val="24"/>
          <w:szCs w:val="24"/>
        </w:rPr>
        <w:t xml:space="preserve">甲、乙双方根据南京市公共资源交易中心组织的</w:t>
      </w:r>
      <w:r>
        <w:rPr>
          <w:rFonts w:hint="eastAsia" w:hAnsi="宋体" w:cs="Courier New"/>
          <w:sz w:val="24"/>
          <w:szCs w:val="24"/>
        </w:rPr>
        <w:t xml:space="preserve">____________________</w:t>
      </w:r>
      <w:r>
        <w:rPr>
          <w:rFonts w:hint="eastAsia" w:ascii="宋体" w:hAnsi="宋体" w:cs="Courier New"/>
          <w:color w:val="auto"/>
          <w:sz w:val="24"/>
          <w:szCs w:val="24"/>
        </w:rPr>
        <w:t xml:space="preserve">项目公开招标结果，签署本合同。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rPr>
          <w:rFonts w:hint="eastAsia"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1.3 标的数量（规模）：按招标文件及投标文件执行。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 履行时间（期限）：按招标文件及投标文件执行。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1.5 履行地点：甲方指定地点。</w:t>
      </w:r>
      <w:r/>
    </w:p>
    <w:p>
      <w:pPr>
        <w:rPr>
          <w:rFonts w:hint="eastAsia" w:ascii="宋体" w:hAnsi="宋体" w:cs="Courier New"/>
          <w:color w:val="auto"/>
          <w:sz w:val="24"/>
          <w:szCs w:val="24"/>
        </w:rPr>
      </w:pPr>
      <w:r>
        <w:rPr>
          <w:rFonts w:hint="eastAsia" w:ascii="宋体" w:hAnsi="宋体" w:cs="Courier New"/>
          <w:color w:val="auto"/>
          <w:sz w:val="24"/>
          <w:szCs w:val="24"/>
        </w:rPr>
        <w:t xml:space="preserve">1.6 履行方式：按招标文件及投标文件执行。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70"/>
        <w:rPr>
          <w:rFonts w:hint="eastAsia" w:hAnsi="宋体"/>
          <w:color w:val="auto"/>
          <w:sz w:val="24"/>
          <w:szCs w:val="24"/>
        </w:rPr>
      </w:pPr>
      <w:r>
        <w:rPr>
          <w:rFonts w:hint="eastAsia" w:hAnsi="宋体"/>
          <w:color w:val="auto"/>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hint="eastAsia" w:ascii="宋体" w:hAnsi="宋体" w:cs="Courier New"/>
          <w:color w:val="auto"/>
          <w:sz w:val="24"/>
          <w:szCs w:val="24"/>
        </w:rPr>
      </w:pPr>
      <w:r>
        <w:rPr>
          <w:rFonts w:hint="eastAsia" w:ascii="宋体" w:hAnsi="宋体" w:cs="Courier New"/>
          <w:sz w:val="24"/>
          <w:szCs w:val="24"/>
        </w:rPr>
        <w:t xml:space="preserve">6.1</w:t>
      </w:r>
      <w:r>
        <w:rPr>
          <w:rFonts w:hint="eastAsia" w:ascii="宋体" w:hAnsi="宋体" w:cs="Courier New"/>
          <w:color w:val="auto"/>
          <w:sz w:val="24"/>
          <w:szCs w:val="24"/>
        </w:rPr>
        <w:t xml:space="preserve"> 签订合同时，乙方按照合同金额</w:t>
      </w:r>
      <w:r>
        <w:rPr>
          <w:rFonts w:hint="eastAsia" w:ascii="宋体" w:hAnsi="宋体" w:cs="Courier New"/>
          <w:color w:val="auto"/>
          <w:sz w:val="24"/>
          <w:szCs w:val="24"/>
          <w:u w:val="single"/>
        </w:rPr>
        <w:t xml:space="preserve">10</w:t>
      </w:r>
      <w:r>
        <w:rPr>
          <w:rFonts w:hint="eastAsia" w:ascii="宋体" w:hAnsi="宋体" w:cs="Courier New"/>
          <w:color w:val="auto"/>
          <w:sz w:val="24"/>
          <w:szCs w:val="24"/>
        </w:rPr>
        <w:t xml:space="preserve">%缴纳履约保证金。合同履行结束后，甲方按以下约定退还：</w:t>
      </w:r>
      <w:r/>
    </w:p>
    <w:p>
      <w:pPr>
        <w:rPr>
          <w:rFonts w:hint="eastAsia" w:ascii="宋体" w:hAnsi="宋体" w:cs="Courier New"/>
          <w:color w:val="auto"/>
          <w:sz w:val="24"/>
          <w:szCs w:val="24"/>
        </w:rPr>
      </w:pPr>
      <w:r>
        <w:rPr>
          <w:rFonts w:hint="eastAsia" w:ascii="宋体" w:hAnsi="宋体" w:cs="Courier New"/>
          <w:sz w:val="24"/>
          <w:szCs w:val="24"/>
        </w:rPr>
        <w:t xml:space="preserve">6.1.1</w:t>
      </w:r>
      <w:r>
        <w:rPr>
          <w:rFonts w:hint="eastAsia" w:ascii="宋体" w:hAnsi="宋体" w:cs="Courier New"/>
          <w:color w:val="auto"/>
          <w:sz w:val="24"/>
          <w:szCs w:val="24"/>
        </w:rPr>
        <w:t xml:space="preserve"> 退还时间及条件：</w:t>
      </w:r>
      <w:r>
        <w:rPr>
          <w:rFonts w:hint="eastAsia" w:ascii="宋体" w:hAnsi="宋体" w:cs="Courier New"/>
          <w:sz w:val="24"/>
          <w:szCs w:val="24"/>
        </w:rPr>
        <w:t xml:space="preserve">终验</w:t>
      </w:r>
      <w:r>
        <w:rPr>
          <w:rFonts w:hint="eastAsia" w:ascii="宋体" w:hAnsi="宋体" w:cs="Courier New"/>
          <w:color w:val="auto"/>
          <w:sz w:val="24"/>
          <w:szCs w:val="24"/>
        </w:rPr>
        <w:t xml:space="preserve">合格且合同履行期结束后5个工作日内。</w:t>
      </w:r>
      <w:r/>
    </w:p>
    <w:p>
      <w:pPr>
        <w:rPr>
          <w:rFonts w:hint="eastAsia" w:ascii="宋体" w:hAnsi="宋体" w:cs="Courier New"/>
          <w:color w:val="auto"/>
          <w:sz w:val="24"/>
          <w:szCs w:val="24"/>
        </w:rPr>
      </w:pPr>
      <w:r>
        <w:rPr>
          <w:rFonts w:hint="eastAsia" w:ascii="宋体" w:hAnsi="宋体" w:cs="Courier New"/>
          <w:sz w:val="24"/>
          <w:szCs w:val="24"/>
        </w:rPr>
        <w:t xml:space="preserve">6.1.2</w:t>
      </w:r>
      <w:r>
        <w:rPr>
          <w:rFonts w:hint="eastAsia" w:ascii="宋体" w:hAnsi="宋体" w:cs="Courier New"/>
          <w:color w:val="auto"/>
          <w:sz w:val="24"/>
          <w:szCs w:val="24"/>
        </w:rPr>
        <w:t xml:space="preserve"> 退还方式：扣除违约费用后一次性无息退还。</w:t>
      </w:r>
      <w:r/>
    </w:p>
    <w:p>
      <w:pPr>
        <w:rPr>
          <w:rFonts w:hint="eastAsia" w:ascii="宋体" w:hAnsi="宋体" w:cs="Courier New"/>
          <w:color w:val="auto"/>
          <w:sz w:val="24"/>
          <w:szCs w:val="24"/>
        </w:rPr>
      </w:pPr>
      <w:r>
        <w:rPr>
          <w:rFonts w:hint="eastAsia" w:ascii="宋体" w:hAnsi="宋体" w:cs="Courier New"/>
          <w:sz w:val="24"/>
          <w:szCs w:val="24"/>
        </w:rPr>
        <w:t xml:space="preserve">6.1.3</w:t>
      </w:r>
      <w:r>
        <w:rPr>
          <w:rFonts w:hint="eastAsia" w:ascii="宋体" w:hAnsi="宋体" w:cs="Courier New"/>
          <w:color w:val="auto"/>
          <w:sz w:val="24"/>
          <w:szCs w:val="24"/>
        </w:rPr>
        <w:t xml:space="preserve"> 不予退还的情形：合同约定的交付期内未履约完成、验收不合格、整改不到位等情形。</w:t>
      </w:r>
      <w:r/>
    </w:p>
    <w:p>
      <w:pPr>
        <w:rPr>
          <w:rFonts w:hint="eastAsia" w:ascii="宋体" w:hAnsi="宋体" w:cs="Courier New"/>
          <w:color w:val="auto"/>
          <w:sz w:val="24"/>
          <w:szCs w:val="24"/>
        </w:rPr>
      </w:pPr>
      <w:r>
        <w:rPr>
          <w:rFonts w:hint="eastAsia" w:ascii="宋体" w:hAnsi="宋体" w:cs="Courier New"/>
          <w:sz w:val="24"/>
          <w:szCs w:val="24"/>
        </w:rPr>
        <w:t xml:space="preserve">6.1.4</w:t>
      </w:r>
      <w:r>
        <w:rPr>
          <w:rFonts w:hint="eastAsia" w:ascii="宋体" w:hAnsi="宋体" w:cs="Courier New"/>
          <w:color w:val="auto"/>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乙方不得将合同标的转包给他人履行，否则甲方有权终止合同。</w:t>
      </w:r>
      <w:r/>
    </w:p>
    <w:p>
      <w:pPr>
        <w:rPr>
          <w:rFonts w:hint="eastAsia" w:ascii="宋体" w:hAnsi="宋体" w:cs="Courier New"/>
          <w:color w:val="auto"/>
          <w:sz w:val="24"/>
          <w:szCs w:val="24"/>
        </w:rPr>
      </w:pPr>
      <w:r>
        <w:rPr>
          <w:rFonts w:hint="eastAsia" w:ascii="宋体" w:hAnsi="宋体" w:cs="Courier New"/>
          <w:color w:val="auto"/>
          <w:sz w:val="24"/>
          <w:szCs w:val="24"/>
        </w:rPr>
        <w:t xml:space="preserve">7.2 除招标文件允许的分包情况外，乙方不得将合同标的分包给他人履行，否则甲方有权终止合同。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870"/>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color w:val="auto"/>
          <w:sz w:val="24"/>
          <w:szCs w:val="24"/>
        </w:rPr>
      </w:pPr>
      <w:r>
        <w:rPr>
          <w:rFonts w:hint="eastAsia" w:ascii="宋体" w:hAnsi="宋体" w:cs="Courier New"/>
          <w:sz w:val="24"/>
          <w:szCs w:val="24"/>
        </w:rPr>
        <w:t xml:space="preserve">8.1.1</w:t>
      </w:r>
      <w:r>
        <w:rPr>
          <w:rFonts w:hint="eastAsia" w:ascii="宋体" w:hAnsi="宋体" w:cs="Courier New"/>
          <w:color w:val="auto"/>
          <w:sz w:val="24"/>
          <w:szCs w:val="24"/>
        </w:rPr>
        <w:t xml:space="preserve"> 合同签订且服务团队人员到位后，甲方支付合同总价款的60%作为预付款。</w:t>
      </w:r>
      <w:r/>
    </w:p>
    <w:p>
      <w:pPr>
        <w:pStyle w:val="870"/>
        <w:spacing w:line="264" w:lineRule="auto"/>
        <w:rPr>
          <w:rFonts w:hint="eastAsia" w:hAnsi="宋体"/>
          <w:color w:val="auto"/>
          <w:sz w:val="24"/>
          <w:szCs w:val="24"/>
        </w:rPr>
      </w:pPr>
      <w:r>
        <w:rPr>
          <w:rFonts w:hint="eastAsia" w:hAnsi="宋体"/>
          <w:sz w:val="24"/>
          <w:szCs w:val="24"/>
        </w:rPr>
        <w:t xml:space="preserve">8.1.2</w:t>
      </w:r>
      <w:r>
        <w:rPr>
          <w:rFonts w:hint="eastAsia" w:hAnsi="宋体"/>
          <w:color w:val="auto"/>
          <w:sz w:val="24"/>
          <w:szCs w:val="24"/>
        </w:rPr>
        <w:t xml:space="preserve"> 系统开发完成并</w:t>
      </w:r>
      <w:r>
        <w:rPr>
          <w:rFonts w:hint="eastAsia" w:hAnsi="宋体"/>
          <w:sz w:val="24"/>
          <w:szCs w:val="24"/>
        </w:rPr>
        <w:t xml:space="preserve">初验</w:t>
      </w:r>
      <w:r>
        <w:rPr>
          <w:rFonts w:hint="eastAsia" w:hAnsi="宋体"/>
          <w:color w:val="auto"/>
          <w:sz w:val="24"/>
          <w:szCs w:val="24"/>
        </w:rPr>
        <w:t xml:space="preserve">合格后，甲方支付合同总价款的40%。</w:t>
      </w:r>
      <w:r/>
    </w:p>
    <w:p>
      <w:pPr>
        <w:pStyle w:val="870"/>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870"/>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如有必要，甲方可邀请参加本项目投标的其他投标人或第三方专业机构及专家参与验收，相关意见将作为验收结论的参考。</w:t>
      </w:r>
      <w:r/>
    </w:p>
    <w:p>
      <w:pPr>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auto"/>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宋体" w:hAnsi="宋体" w:cs="Courier New"/>
          <w:color w:val="auto"/>
          <w:sz w:val="24"/>
          <w:szCs w:val="24"/>
          <w:lang w:val="zh-CN"/>
        </w:rPr>
      </w:pPr>
      <w:r>
        <w:rPr>
          <w:rFonts w:hint="eastAsia" w:ascii="宋体" w:hAnsi="宋体" w:cs="Courier New"/>
          <w:color w:val="auto"/>
          <w:sz w:val="24"/>
          <w:szCs w:val="24"/>
          <w:lang w:val="zh-CN"/>
        </w:rPr>
      </w:r>
      <w:r/>
    </w:p>
    <w:p>
      <w:pPr>
        <w:rPr>
          <w:rFonts w:hint="eastAsia" w:ascii="宋体" w:hAnsi="宋体" w:cs="Courier New"/>
          <w:color w:val="auto"/>
          <w:sz w:val="24"/>
          <w:szCs w:val="24"/>
        </w:rPr>
      </w:pPr>
      <w:r>
        <w:rPr>
          <w:rFonts w:hint="eastAsia" w:ascii="宋体" w:hAnsi="宋体" w:cs="Courier New"/>
          <w:color w:val="auto"/>
          <w:sz w:val="24"/>
          <w:szCs w:val="24"/>
        </w:rPr>
        <w:t xml:space="preserve">十一、违约责任</w:t>
      </w:r>
      <w:r/>
    </w:p>
    <w:p>
      <w:pPr>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0.1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auto"/>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十四、合同生效及其他</w:t>
      </w:r>
      <w:r/>
    </w:p>
    <w:p>
      <w:pPr>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870"/>
        <w:spacing w:before="120" w:after="120"/>
        <w:rPr>
          <w:rFonts w:hint="eastAsia" w:hAnsi="宋体"/>
          <w:sz w:val="24"/>
          <w:szCs w:val="24"/>
        </w:rPr>
      </w:pPr>
      <w:r>
        <w:rPr>
          <w:rFonts w:hint="eastAsia" w:hAnsi="宋体"/>
          <w:sz w:val="24"/>
          <w:szCs w:val="24"/>
        </w:rPr>
        <w:t xml:space="preserve">  </w:t>
      </w:r>
      <w:bookmarkEnd w:id="54"/>
      <w:r/>
      <w:bookmarkEnd w:id="55"/>
      <w:r/>
      <w:bookmarkEnd w:id="56"/>
      <w:r/>
      <w:r/>
    </w:p>
    <w:p>
      <w:pPr>
        <w:pStyle w:val="870"/>
        <w:ind w:firstLine="240"/>
        <w:spacing w:before="120" w:after="120"/>
        <w:rPr>
          <w:rFonts w:hint="eastAsia" w:hAnsi="宋体"/>
          <w:sz w:val="24"/>
          <w:szCs w:val="24"/>
        </w:rPr>
      </w:pPr>
      <w:r>
        <w:rPr>
          <w:rFonts w:hint="eastAsia" w:hAnsi="宋体"/>
          <w:sz w:val="24"/>
          <w:szCs w:val="24"/>
        </w:rPr>
        <w:t xml:space="preserve">甲方：（公章）                       乙方：（公章） </w:t>
      </w:r>
      <w:r/>
    </w:p>
    <w:p>
      <w:pPr>
        <w:pStyle w:val="870"/>
        <w:spacing w:before="120" w:after="120"/>
        <w:rPr>
          <w:rFonts w:hint="eastAsia" w:hAnsi="宋体"/>
          <w:sz w:val="24"/>
          <w:szCs w:val="24"/>
        </w:rPr>
      </w:pPr>
      <w:r>
        <w:rPr>
          <w:rFonts w:hint="eastAsia" w:hAnsi="宋体"/>
          <w:sz w:val="24"/>
          <w:szCs w:val="24"/>
        </w:rPr>
        <w:t xml:space="preserve">  地址：                               地址： </w:t>
      </w:r>
      <w:r/>
    </w:p>
    <w:p>
      <w:pPr>
        <w:pStyle w:val="870"/>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70"/>
        <w:ind w:firstLine="240"/>
        <w:spacing w:before="120" w:after="120"/>
        <w:rPr>
          <w:rFonts w:hint="eastAsia" w:hAnsi="宋体"/>
          <w:sz w:val="24"/>
          <w:szCs w:val="24"/>
        </w:rPr>
      </w:pPr>
      <w:r>
        <w:rPr>
          <w:rFonts w:hint="eastAsia" w:hAnsi="宋体"/>
          <w:sz w:val="24"/>
          <w:szCs w:val="24"/>
        </w:rPr>
        <w:t xml:space="preserve">联系电话：                           联系电话：          </w:t>
      </w:r>
      <w:r/>
    </w:p>
    <w:p>
      <w:pPr>
        <w:pStyle w:val="870"/>
        <w:spacing w:before="120" w:after="120"/>
        <w:rPr>
          <w:rFonts w:hint="eastAsia" w:hAnsi="宋体"/>
          <w:sz w:val="24"/>
          <w:szCs w:val="24"/>
        </w:rPr>
      </w:pPr>
      <w:r>
        <w:rPr>
          <w:rFonts w:hint="eastAsia" w:hAnsi="宋体"/>
          <w:sz w:val="24"/>
          <w:szCs w:val="24"/>
        </w:rPr>
        <w:t xml:space="preserve">                                          </w:t>
      </w:r>
      <w:r/>
    </w:p>
    <w:p>
      <w:pPr>
        <w:pStyle w:val="870"/>
        <w:ind w:firstLine="5280"/>
        <w:spacing w:before="120" w:after="120"/>
        <w:rPr>
          <w:rFonts w:hint="eastAsia" w:hAnsi="宋体"/>
          <w:sz w:val="24"/>
          <w:szCs w:val="24"/>
        </w:rPr>
      </w:pPr>
      <w:r>
        <w:rPr>
          <w:rFonts w:hint="eastAsia" w:hAnsi="宋体"/>
          <w:sz w:val="24"/>
          <w:szCs w:val="24"/>
        </w:rPr>
        <w:t xml:space="preserve">签订日期：</w:t>
      </w:r>
      <w:r/>
    </w:p>
    <w:p>
      <w:pPr>
        <w:pStyle w:val="870"/>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870"/>
        <w:ind w:firstLine="840"/>
        <w:jc w:val="left"/>
        <w:spacing w:before="120" w:after="120"/>
        <w:rPr>
          <w:rFonts w:hint="eastAsia" w:hAnsi="宋体"/>
          <w:color w:val="auto"/>
          <w:sz w:val="24"/>
          <w:szCs w:val="24"/>
        </w:rPr>
      </w:pPr>
      <w:r>
        <w:rPr>
          <w:rFonts w:hint="eastAsia" w:hAnsi="宋体"/>
          <w:color w:val="auto"/>
          <w:sz w:val="24"/>
          <w:szCs w:val="24"/>
        </w:rPr>
        <w:t xml:space="preserve">如遇招标文件及合同未约定事项，双方可友好协商签订补充协议。</w:t>
      </w:r>
      <w:r/>
    </w:p>
    <w:p>
      <w:pPr>
        <w:pStyle w:val="970"/>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hAnsi="宋体"/>
          <w:color w:val="auto"/>
          <w:sz w:val="24"/>
          <w:szCs w:val="24"/>
        </w:rPr>
        <w:br w:type="page" w:clear="all"/>
      </w:r>
      <w:r>
        <w:rPr>
          <w:rFonts w:hint="eastAsia" w:ascii="方正小标宋简体" w:hAnsi="方正小标宋简体" w:eastAsia="方正小标宋简体" w:cs="方正小标宋简体"/>
          <w:color w:val="auto"/>
          <w:sz w:val="36"/>
          <w:szCs w:val="36"/>
        </w:rPr>
        <w:t xml:space="preserve">第</w:t>
      </w:r>
      <w:bookmarkEnd w:id="42"/>
      <w:r>
        <w:rPr>
          <w:rFonts w:hint="eastAsia" w:ascii="方正小标宋简体" w:hAnsi="方正小标宋简体" w:eastAsia="方正小标宋简体" w:cs="方正小标宋简体"/>
          <w:color w:val="auto"/>
          <w:sz w:val="36"/>
          <w:szCs w:val="36"/>
        </w:rPr>
        <w:t xml:space="preserve">四章  采购需求</w:t>
      </w:r>
      <w:bookmarkEnd w:id="43"/>
      <w:r/>
      <w:bookmarkEnd w:id="44"/>
      <w:r/>
      <w:bookmarkEnd w:id="45"/>
      <w:r/>
      <w:r/>
    </w:p>
    <w:p>
      <w:pPr>
        <w:ind w:firstLine="480"/>
        <w:spacing w:line="264" w:lineRule="auto"/>
        <w:rPr>
          <w:rFonts w:hint="eastAsia" w:ascii="黑体" w:hAnsi="黑体" w:eastAsia="黑体" w:cs="黑体"/>
          <w:color w:val="auto"/>
          <w:sz w:val="24"/>
          <w:szCs w:val="24"/>
        </w:rPr>
      </w:pPr>
      <w:r/>
      <w:bookmarkStart w:id="57" w:name="_Toc49090575"/>
      <w:r/>
      <w:bookmarkStart w:id="58"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为支撑医院从传统院内诊疗服务向患者全周期连续服务、专病精细化管理和区域协同服务延伸，医院建设全院患者管理和智能随访系统，该系统由患者画像平台与智能语音随访专病管理平台两部分组成。平台应通过医院现有数据湖统一获取来源于HIS、EMR、LIS、PACS、CDR、互联网医院、历史随访系统及区域协同平台等的初始业务数据，构建统一患者画像、标签体系、专病队列和公共随访能力，形成“患者识别—画像构建—标签生成—队列纳入—随访计划—智能触达—异常预警—人工干预—结果回填—持续优化”的闭环管理机制。</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本项目应坚持“统一平台、分层建设、数据归院、规则可控、临床共治、能力开放、闭环运营”的原则。患者画像、标签体系和专病队列作为医院患者服务核心数据资产，应由医院统一管理；智能语音随访和专病随访计划作为应用能力，应基于医院统一画像、标签和队列开展服务，并将执行结果回填医院平台，避免形成新的数据孤岛。</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患者画像与标签公共服务、随访公共服务均应定位为医院级基础能力，向医院现有及后续建设的所有授权业务系统开放。患者画像平台提供统一患者识别、画像、标签、队列及按条件供数服务；智能语音随访专病管理平台提供随访计划、问卷话术、任务调度、执行、结果反馈及异常处理服务。本项目专病管理应用和其他业务系统均可复用上述公共服务。</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通过本项目建设，形成面向重点人群和专病患者的统一画像、标签、队列和智能随访闭环能力。具体目标包括：</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 建立患者360画像，形成患者基本信息、诊疗信息、检验检查、用药、手术、随访、风险、服务状态等综合视图，支持按角色配置展示视图。</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 建设统一标签体系，实现标签定义、分类、计算、版本、溯源、治理和服务开放，支持标签冲突检测、影响分析和生命周期管理。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 建设专病队列管理能力，支持高危孕产妇、糖尿病、脑卒中、认知障碍等重点人群自动筛选、动态纳入、风险分层和效果评估。</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4. 建设专病随访计划管理能力，支持基于患者画像、标签、风险等级和队列状态生成个性化随访计划，并支持临床科室参与计划制定与审核。</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5. 建设智能语音随访能力，支持自动外呼、多轮对话、语音识别、语义理解、异常识别、结果结构化回填，支持人工兜底机制。</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6. 建设随访闭环管理能力，实现随访任务生成、执行、异常预警、人工复核、结果回填、管理看板展示和质控报告生成。</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7. 建设开放接口，为后续患者端移动应用、区域转诊会诊系统、AI智能体平台、专病运营管理系统等提供统一患者数据服务和公共随访服务；授权系统通过业务配置及标准接口接入即可复用随访能力，无须重新开发随访引擎，并与医院统一AI模型网关对接。</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8. 沉淀医院自有患者画像模型、标签体系、队列规则、随访计划、风险分层标准和专病数据集，依托医院现有数据湖形成可扩展的患者服务数据资产和服务能力，支撑高质量数据集申报与科研转化。</w:t>
      </w:r>
      <w:r/>
    </w:p>
    <w:p>
      <w:pPr>
        <w:pStyle w:val="857"/>
        <w:rPr>
          <w:rFonts w:hint="eastAsia"/>
        </w:rPr>
      </w:pPr>
      <w:r>
        <w:rPr>
          <w:rFonts w:hint="eastAsia"/>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68"/>
        <w:tblW w:w="516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4"/>
        <w:gridCol w:w="758"/>
        <w:gridCol w:w="719"/>
        <w:gridCol w:w="1056"/>
        <w:gridCol w:w="1069"/>
        <w:gridCol w:w="1329"/>
        <w:gridCol w:w="1099"/>
        <w:gridCol w:w="1133"/>
        <w:gridCol w:w="1010"/>
      </w:tblGrid>
      <w:tr>
        <w:trPr>
          <w:trHeight w:val="470"/>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67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政府强制采购节能产品（如有）</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675" w:type="pct"/>
            <w:vAlign w:val="center"/>
            <w:textDirection w:val="lrTb"/>
            <w:noWrap w:val="false"/>
          </w:tcPr>
          <w:p>
            <w:pPr>
              <w:spacing w:line="264" w:lineRule="auto"/>
              <w:rPr>
                <w:rFonts w:hint="eastAsia" w:ascii="宋体" w:hAnsi="宋体"/>
                <w:bCs/>
                <w:sz w:val="24"/>
                <w:szCs w:val="24"/>
              </w:rPr>
            </w:pPr>
            <w:r>
              <w:rPr>
                <w:rFonts w:hint="eastAsia" w:ascii="宋体" w:hAnsi="宋体"/>
                <w:bCs/>
                <w:sz w:val="24"/>
                <w:szCs w:val="24"/>
              </w:rPr>
              <w:t xml:space="preserve">全院患者和智能随访系统</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color w:val="auto"/>
                <w:sz w:val="24"/>
                <w:szCs w:val="24"/>
              </w:rPr>
              <w:t xml:space="preserve">主要产品</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1070"/>
        <w:gridCol w:w="7513"/>
      </w:tblGrid>
      <w:tr>
        <w:trPr>
          <w:jc w:val="center"/>
          <w:trHeight w:val="285"/>
        </w:trPr>
        <w:tc>
          <w:tcPr>
            <w:tcW w:w="108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总体要求</w:t>
            </w:r>
            <w:r/>
          </w:p>
        </w:tc>
        <w:tc>
          <w:tcPr>
            <w:tcW w:w="1070"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模块要求</w:t>
            </w:r>
            <w:r/>
          </w:p>
        </w:tc>
        <w:tc>
          <w:tcPr>
            <w:tcW w:w="7513"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详细技术参数</w:t>
            </w:r>
            <w:r/>
          </w:p>
        </w:tc>
      </w:tr>
      <w:tr>
        <w:trPr>
          <w:jc w:val="center"/>
          <w:trHeight w:val="1995"/>
        </w:trPr>
        <w:tc>
          <w:tcPr>
            <w:gridSpan w:val="2"/>
            <w:tcW w:w="215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技术架构要求</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平台须具备高度的开放性与兼容性，能够无缝适配医院现有的数据底座技术栈（涵盖数据湖/CDR存储、实时计算引擎、消息总线等核心组件）。承建方应优先复用医院已建成的数据基础设施，并全面支持主流、通用的数据库、中间件及云平台标准，确保平台在现有IT架构下的平滑部署与高效运行。</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应支持对接Vertica、Apache Doris、StarRocks等数据平台，并逐项说明所支持的平台、版本、读写方式、标签计算及查询方案。项目必须完成医院实际采用的平台及指定版本的适配验证，不得以新增或替换数据平台作为实施前提；多平台兼容不要求医院同时部署上述全部平台。</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 平台数据存储层须支持向医院数据湖的标准化回流，回流数据包括但不限于：患者主索引映射关系、标签计算结果、队列成员清单、风险分层记录、随访结果、数据质量报告；画像、标签、队列结果以治理后的特征宽表形态沉淀在数据湖之内。</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 支持API服务管理、事件驱动、日志监控告警、备份恢复；</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 支持后续多院区、集团医院和区域协同扩展；</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 平台须采用开放、解耦的架构设计，遵循行业通用的技术标准与接口规范，支持医院后续各类应用系统的自主选型与灵活接入，保障医院在信息化建设中的技术中立性与生态扩展权。</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 数据湖统一供数：患者画像构建和标签生成所需的全部初始业务数据，应统一由医院现有数据湖提供。初始业务数据指来自既有业务系统的患者基础信息、诊疗记录、检验检查、病历、医嘱用药及历史随访等原始业务数据，其后续增量更新同样沿用统一供数路径。画像平台不应另建绕过数据湖的独立原始业务数据采集链路；所需数据尚未纳入数据湖的，应先通过医院统一数据接入流程补充后供给。</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 系统新增数据：医院在本系统配置的标签规则、人工维护标签，以及新产生的随访结果等属于系统新增数据，可在相应业务环节产生，不受初始业务数据供给路径限制；应按本章规定纳入医院统一数据管理并回流。</w:t>
            </w:r>
            <w:r/>
          </w:p>
        </w:tc>
      </w:tr>
      <w:tr>
        <w:trPr>
          <w:jc w:val="center"/>
          <w:trHeight w:val="54"/>
        </w:trPr>
        <w:tc>
          <w:tcPr>
            <w:gridSpan w:val="2"/>
            <w:tcW w:w="215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总体业务流程</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平台应支持以下闭环流程：</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 从医院现有数据湖统一获取患者诊疗、检查检验、病历、用药、历史随访、转诊等初始业务数据，作为患者画像构建和标签生成的数据输入；数据湖尚未纳入的数据，先通过医院统一数据接入流程补充后供给。</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 患者画像平台完成患者身份识别、患者画像构建、标签生成和专病队列纳入。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 患者画像平台根据患者标签、风险等级和专病队列状态产生标准化业务事件（如风险等级变化、队列纳入/退出、检验异常等），由随访公共服务按已发布规则将事件转化为随访任务或随访建议；其他授权下游应用按各自业务规则订阅和使用中性事件。</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 随访公共服务根据授权业务系统提交的患者统一ID、业务关联编号和经审核的随访模板，或根据订阅的患者业务事件，获取必要的画像、标签、队列和风险信息，匹配随访计划并生成随访任务。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 智能语音随访专病管理平台根据专病随访计划执行智能语音随访。</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 智能语音随访专病管理平台识别患者回答、异常情况、复诊需求、用药问题、依从性问题等。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 随访公共服务将随访结果结构化回填患者画像平台，并按统一数据回流机制归集至医院数据湖；向发起随访的授权业务系统返回状态、结构化结果及异常事件。</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8. 患者画像平台根据回填结果更新患者标签、风险等级和队列状态，登记通用任务状态并产生中性业务事件；后续随访任务由随访公共服务按已发布规则生成。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9. 对异常患者触发人工复核、复诊提醒。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10. 平台形成管理看板和质控报告，实现持续优化。</w:t>
            </w:r>
            <w:r/>
          </w:p>
        </w:tc>
      </w:tr>
      <w:tr>
        <w:trPr>
          <w:jc w:val="center"/>
          <w:trHeight w:val="90"/>
        </w:trPr>
        <w:tc>
          <w:tcPr>
            <w:tcW w:w="1086" w:type="dxa"/>
            <w:vAlign w:val="center"/>
            <w:vMerge w:val="restart"/>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患者画像、标签与专病队列平台</w:t>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患者360画像</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应构建患者360画像，至少包括：</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1.基本信息：人口学信息、联系方式、居住地、医保类型、家庭联系人等。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2.就诊信息：门诊、急诊、住院、互联网医院、体检等历史记录。</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3.诊断信息：主要诊断、既往诊断、专病诊断、并发症等。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4.病历信息：病程、出院小结、手术记录、护理记录、知情同意等摘要信息。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5.医嘱用药：长期用药、近期用药、特殊药品、依从性相关信息。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6.检验检查：关键检验指标、影像检查、病理、功能检查等。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7.手术操作：手术名称、级别、时间、术后情况等。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8.妇幼专病信息：孕产史、孕周、高危因素、产检记录、分娩结局、产后随访等。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9.慢病信息：糖尿病、高血压、脑卒中、认知障碍等相关指标和病程轨迹。</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10.随访信息：随访计划、随访结果、异常回答、患者反馈、失访情况等。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11.转诊协同信息：转诊申请、会诊记录、接收情况、回转结果等。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12.风险信息：高危标签、风险等级、异常事件、预警记录、人工复核结果。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13.服务状态：所属队列、管理计划、任务状态、责任团队、服务进度。</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14.患者画像应支持按业务场景进行视图配置，至少提供医生视图、护士视图、随访视图、管理视图、区域协同视图五类角色视图，并支持按角色权限配置展示字段。</w:t>
            </w:r>
            <w:r/>
          </w:p>
        </w:tc>
      </w:tr>
      <w:tr>
        <w:trPr>
          <w:jc w:val="center"/>
          <w:trHeight w:val="90"/>
        </w:trPr>
        <w:tc>
          <w:tcPr>
            <w:tcW w:w="1086" w:type="dxa"/>
            <w:vAlign w:val="center"/>
            <w:vMerge w:val="continue"/>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标签体系管理</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1.标签分类配置：支持按标签维度（如健康状态、诊疗行为、生活方式、风险预测等）2.建立多层级标签分类体系，定义一级、二级、三级分类结构及其关系，配置标签元信息模型。</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3.标签标准定义与管理：配置每个标签的标准名称、类型（事实型、模型型、预测型、动态型）、定义、适用范围、数据来源类型、时间属性、是否动态、可解释性标注、标签版本等，实现统一规范化管理。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4.标签编码与溯源规则制定：建立标签唯一标识符（编码）、标签生成逻辑的可追溯元规则，支持标准映射（如ICD、LOINC、国标码等）与自定义业务编码体系。</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5.标签属性与权重管理：管理标签的核心属性（类型、状态、动态周期、时间戳）及权重配置、优先级与互斥、组合规则，满足标签冲突解决、多标签融合的策略需要，支持配置自动优先级计算逻辑。</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6.标签属性与元数据管理：定义标签名称、编码、类型（事实/模型/预测/动态）、单位、来源、生成方式、数据口径等元信息，并建立标准化元数据字典。</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7.标签可视化与查询管理：提供标签多维展现界面，支持标签按维度筛选、条件查询、交叉组合查看，适配个体画像、群体分析等不同标签视图需求。</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8.标签生命周期管理：支持标签的创建、发布、启用、更新、废弃等生命周期流程控制，保障数据标签在系统中的可控性和时效性。</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标签体系的分类、定义、编码、权重、元数据与生命周期管理均须通过管理端由医院自主配置完成，不得依赖承建方代码级开发；标签冲突检测与影响分析须提供可视化结果。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9.标签维度应覆盖本章患者360画像列出的基本信息、就诊信息、诊断信息、病历信息、医嘱用药、检验检查、手术操作、妇幼专病信息、慢病信息、随访信息、转诊协同信息、风险信息和服务状态13类信息；支持以各类信息中的授权字段及其组合定义、计算和筛选标签，并由医院自主扩展标签维度。</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10.支持授权人员通过管理端及标准接口对单个患者或批量患者进行标签赋予、修改、操作时间。人工维护标签、规则生成标签和模型生成标签应区分来源，均纳入统一标签体系并按要求回流数据湖。</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11.支持配置人工标签与自动标签的冲突处理、优先级及覆盖策略。经人工确认、修改或驳回的AI结果，以人工处置为准，人工操作记录优先于AI结果；自动重算不得绕过既定策略覆盖人工维护结果。</w:t>
            </w:r>
            <w:r/>
          </w:p>
        </w:tc>
      </w:tr>
      <w:tr>
        <w:trPr>
          <w:jc w:val="center"/>
          <w:trHeight w:val="557"/>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标签生成</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医学规则标签生成：基于预设医学知识库与标准规则（如指南、正常值区间、标准临床路径）自动化生成健康标签，支持配置逻辑表达式（如if-then规则）、多条件组合规则、阈值触发机制，实现基础健康状态、慢病标记、临床行为等标签的自动生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模型推理标签生成：利用AI模型、知识图谱或统计学习方法对多源数据进行多维计算、特征融合与标签推理，适用于风险预测、复杂状态判断、潜在状态识别等标签生成。支持模型接入、标签输出标准化、结果溯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时序标签生成引擎：针对患者的时序性健康数据（如连续血压、复诊频次、疾病转归等）建立事件轨迹分析与逻辑规则推理，生成时序状态标签，如"病情加重趋势""近期风险上升""近期指标恶化""3个月内两次住院"等标签。</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3.复合标签计算引擎：支持多标签组合、规则聚合与分层筛选，生成复合标签（如"近1年内3次以上血压异常"），适用于高阶画像与策略分群等应用场景。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4.标签批量生成与更新：支持面向个体或人群的标签批量计算、定时更新与校验处理，适配高并发数据接入情形，提升系统自动化效率。</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5.标签生成规则配置引擎：提供标签生成规则的图形化配置接口，支持规则参数化建模、可视化逻辑配置、规则调试与验证，增强规则生成灵活性与可维护性。</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6.标签推理与派生机制：支持标签之间的关系建模（如继承、组合、排斥等）与标签间逻辑推理（如A标签与B标签共现派生出C标签），用于增强标签网络表达能力与高阶标签生成。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7.标签生成任务调度管理：实现标签生成任务的定时调度、批量运行、失败重试、依赖控制、执行日志记录，支持按标签类型或人群分组执行策略，保证大规模标签生成过程的可控性与稳定性。</w:t>
            </w:r>
            <w:r/>
          </w:p>
        </w:tc>
      </w:tr>
      <w:tr>
        <w:trPr>
          <w:jc w:val="center"/>
          <w:trHeight w:val="2400"/>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专病队列管理</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ascii="宋体" w:hAnsi="宋体" w:cs="宋体"/>
              </w:rPr>
              <w:t xml:space="preserve">▲</w:t>
            </w:r>
            <w:r>
              <w:rPr>
                <w:rFonts w:hint="eastAsia" w:ascii="宋体" w:hAnsi="宋体" w:cs="宋体"/>
                <w:color w:val="auto"/>
                <w:spacing w:val="-6"/>
                <w:sz w:val="20"/>
                <w:szCs w:val="20"/>
              </w:rPr>
              <w:t xml:space="preserve">1.应支持重点人群和专病队列管理。队列应支持：队列定义、纳入规则、排除规则、退出规则、风险分层、动态更新、人工调整、版本管理、成员查询、接口开放、队列效果分析。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首期应重点建设并不少于以下五个专病队列：高危孕产妇队列、妊娠期糖尿病队列、糖尿病慢病管理队列、脑卒中高危或卒中后管理队列、认知障碍或阿尔茨海默病风险队列。其中，高危孕产妇队列应作为重点试点场景，支持基于孕产史、孕周、诊断、检验检查、产检记录、高危因素、既往病史、并发症、随访结果等信息进行自动筛选和风险分层，并在合同签订后</w:t>
            </w:r>
            <w:r>
              <w:rPr>
                <w:rFonts w:hint="eastAsia" w:ascii="宋体" w:hAnsi="宋体" w:cs="宋体"/>
                <w:color w:val="auto"/>
                <w:spacing w:val="-6"/>
                <w:sz w:val="20"/>
                <w:szCs w:val="20"/>
                <w:lang w:val="en-US" w:eastAsia="zh-CN"/>
              </w:rPr>
              <w:t xml:space="preserve">30天</w:t>
            </w:r>
            <w:r>
              <w:rPr>
                <w:rFonts w:hint="eastAsia" w:ascii="宋体" w:hAnsi="宋体" w:cs="宋体"/>
                <w:color w:val="auto"/>
                <w:spacing w:val="-6"/>
                <w:sz w:val="20"/>
                <w:szCs w:val="20"/>
              </w:rPr>
              <w:t xml:space="preserve">内上线运行。</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3.队列成员应支持动态更新（更新时效不超过T+1）与风险分层调整，队列规则变更须支持版本管理与影响分析。</w:t>
            </w:r>
            <w:r/>
          </w:p>
        </w:tc>
      </w:tr>
      <w:tr>
        <w:trPr>
          <w:jc w:val="center"/>
          <w:trHeight w:val="3242"/>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中性事件与任务状态登记接口</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1.患者画像平台仅维护领域中立的业务事件与任务状态登记能力，不持有随访专属语义。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画像平台负责管理：事件或任务ID、患者统一ID、所属队列、风险等级、触发原因、事件类型、任务状态、回填状态、异常状态、审计信息。推荐随访类型、推荐随访时间、随访计划匹配、话术等随访专属内容由智能语音随访专病管理平台负责，不在画像平台维护。画像平台不负责具体语音外呼执行，也不生成随访计划，仅通过事件总线和标准任务状态接口，为智能语音随访专病管理平台及其他下游应用（移动端、诊前评估、区域转诊、科研、AI智能体等）提供一致服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3.患者画像平台应以面向特征的服务范式对外供数，至少满足：（1）双向特征检索，既支持按患者统一ID获取其全部标签与特征，也支持按一组特征、标签、队列条件批量检索符合的患者及其特征值，以满</w:t>
            </w:r>
            <w:r>
              <w:rPr>
                <w:rFonts w:hint="eastAsia" w:ascii="宋体" w:hAnsi="宋体" w:cs="宋体"/>
                <w:color w:val="auto"/>
                <w:spacing w:val="-6"/>
                <w:sz w:val="20"/>
                <w:szCs w:val="20"/>
              </w:rPr>
              <w:t xml:space="preserve">足运营、科研和模型训练的按特征供数需求；（2）在线与离线两种供给方式，在线接口满足临床与移动端实时低延迟调用，离线接口满足科研导出、模型训练等大批量数据供给，并给出各自的并发与时延指标；（3）时点正确性（point-in-time），支持按指定历史时点查询患者标签、特征、队列成员及相关任务状态信息，保证科研队列可复现，并避免AI训练中的特征穿越与标签泄漏；（4）接口契约与版本化治理，对外接口须版本化并保持向后兼容，变更须结合标签影响分析向已接入的消费方提前通知，确保画像平台可独立演进而不影响随访等下游应用。</w:t>
            </w:r>
            <w:r/>
          </w:p>
        </w:tc>
      </w:tr>
      <w:tr>
        <w:trPr>
          <w:jc w:val="center"/>
          <w:trHeight w:val="557"/>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事件推送能力</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1.平台应支持基于事件的业务触发和数据推送。</w:t>
            </w:r>
            <w:r/>
          </w:p>
          <w:p>
            <w:pPr>
              <w:jc w:val="left"/>
              <w:spacing w:line="260" w:lineRule="exact"/>
              <w:widowControl/>
              <w:rPr>
                <w:rFonts w:hint="eastAsia" w:ascii="宋体" w:hAnsi="宋体" w:cs="宋体"/>
                <w:color w:val="auto"/>
                <w:spacing w:val="-6"/>
                <w:sz w:val="20"/>
                <w:szCs w:val="20"/>
              </w:rPr>
            </w:pPr>
            <w:r>
              <w:rPr>
                <w:rFonts w:ascii="宋体" w:hAnsi="宋体" w:cs="宋体"/>
              </w:rPr>
              <w:t xml:space="preserve">▲</w:t>
            </w:r>
            <w:r>
              <w:rPr>
                <w:rFonts w:hint="eastAsia" w:ascii="宋体" w:hAnsi="宋体" w:cs="宋体"/>
                <w:color w:val="auto"/>
                <w:spacing w:val="-6"/>
                <w:sz w:val="20"/>
                <w:szCs w:val="20"/>
              </w:rPr>
              <w:t xml:space="preserve">2.应至少支持：患者建档事件、诊断确认事件、检验检查异常事件、标签更新事件、风险等级变化事件、队列纳入事件、随访任务生成事件、随访结果回填事件、异常随访事件、人工复核完成事件、服务计划更新事件。事件应支持订阅、推送、失败重试、日志追踪和权限控制。</w:t>
            </w:r>
            <w:r/>
          </w:p>
        </w:tc>
      </w:tr>
      <w:tr>
        <w:trPr>
          <w:jc w:val="center"/>
          <w:trHeight w:val="570"/>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管理端配置工具</w:t>
            </w:r>
            <w:r/>
          </w:p>
        </w:tc>
        <w:tc>
          <w:tcPr>
            <w:tcW w:w="7513" w:type="dxa"/>
            <w:vAlign w:val="center"/>
            <w:textDirection w:val="lrTb"/>
            <w:noWrap w:val="false"/>
          </w:tcPr>
          <w:p>
            <w:pPr>
              <w:jc w:val="left"/>
              <w:spacing w:line="260" w:lineRule="exact"/>
              <w:widowControl/>
            </w:pPr>
            <w:r>
              <w:rPr>
                <w:rFonts w:hint="eastAsia"/>
              </w:rPr>
              <w:t xml:space="preserve">1.平台应提供管理端，用于医院管理人员、业务人员和技术人员进行配置和管理。管理端应支持：标签配置、队列配置、规则配置、风险分层配置、数据源管理、接口管理、权限管理、数据质量管理、运行监控、统计分析、人工复核、版本管理。</w:t>
            </w:r>
            <w:r/>
          </w:p>
          <w:p>
            <w:pPr>
              <w:jc w:val="left"/>
              <w:spacing w:line="260" w:lineRule="exact"/>
              <w:widowControl/>
            </w:pPr>
            <w:r>
              <w:rPr>
                <w:rFonts w:hint="eastAsia"/>
              </w:rPr>
              <w:t xml:space="preserve">2.管理端还应支持单个及批量人工标签维护、查看标签的类别、提取规则。</w:t>
            </w:r>
            <w:r/>
          </w:p>
          <w:p>
            <w:pPr>
              <w:jc w:val="left"/>
              <w:spacing w:line="260" w:lineRule="exact"/>
              <w:widowControl/>
              <w:rPr>
                <w:rFonts w:hint="eastAsia" w:ascii="宋体" w:hAnsi="宋体" w:cs="宋体"/>
                <w:color w:val="auto"/>
                <w:spacing w:val="-6"/>
                <w:sz w:val="20"/>
                <w:szCs w:val="20"/>
              </w:rPr>
            </w:pPr>
            <w:r>
              <w:rPr>
                <w:rFonts w:hint="eastAsia"/>
              </w:rPr>
              <w:t xml:space="preserve">管理端应具备良好的易用性，支持业务人员在授权范围内进行低代码或配置化维护，减少后续对厂商定制开发的依赖。常规维护操作（标签新建、规则调整、队列配置）须由医院业务人员（非开发人员）在培训后独立完成，操作成功率不低于90%，并在验收环节实际验证。</w:t>
            </w:r>
            <w:r/>
          </w:p>
        </w:tc>
      </w:tr>
      <w:tr>
        <w:trPr>
          <w:jc w:val="center"/>
          <w:trHeight w:val="570"/>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统计分析与看板</w:t>
            </w:r>
            <w:r/>
          </w:p>
        </w:tc>
        <w:tc>
          <w:tcPr>
            <w:tcW w:w="7513" w:type="dxa"/>
            <w:vAlign w:val="center"/>
            <w:textDirection w:val="lrTb"/>
            <w:noWrap w:val="false"/>
          </w:tcPr>
          <w:p>
            <w:pPr>
              <w:jc w:val="left"/>
              <w:spacing w:line="260" w:lineRule="exact"/>
              <w:widowControl/>
            </w:pPr>
            <w:r>
              <w:rPr>
                <w:rFonts w:ascii="宋体" w:hAnsi="宋体" w:cs="宋体"/>
              </w:rPr>
              <w:t xml:space="preserve">▲</w:t>
            </w:r>
            <w:r>
              <w:rPr>
                <w:rFonts w:hint="eastAsia"/>
              </w:rPr>
              <w:t xml:space="preserve">1.平台应提供患者画像、标签和队列相关统计分析能力。至少应支持：全院患者画像总览、重点人群规模统计、专病队列规模统计、高危人群趋势分析、标签分布分析、风险等级分布分析、队列纳入和退出分析、标签命中率分析、数据质量分析、随访系统调用情况分析、外部系统接口调用情况分析、队列服务效果分析。看板应支持按院区、科室、病种、人群、时间、风险等级等维度筛选。</w:t>
            </w:r>
            <w:r/>
          </w:p>
          <w:p>
            <w:pPr>
              <w:jc w:val="left"/>
              <w:spacing w:line="260" w:lineRule="exact"/>
              <w:widowControl/>
            </w:pPr>
            <w:r>
              <w:rPr>
                <w:rFonts w:hint="eastAsia"/>
              </w:rPr>
              <w:t xml:space="preserve">2.平台须向医院运营管理数据中台（或AI智慧运行管理中心）推送队列规模变化、风险等级分布、标签命中率、数据质量评分等运营指标，推送接口与统计口径须在实施阶段与医院书面确认。</w:t>
            </w:r>
            <w:r/>
          </w:p>
        </w:tc>
      </w:tr>
      <w:tr>
        <w:trPr>
          <w:jc w:val="center"/>
          <w:trHeight w:val="3705"/>
        </w:trPr>
        <w:tc>
          <w:tcPr>
            <w:tcW w:w="1086" w:type="dxa"/>
            <w:vAlign w:val="center"/>
            <w:vMerge w:val="restart"/>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智能语音随访与专病随访计划</w:t>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智能随访能力平台</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ascii="宋体" w:hAnsi="宋体" w:cs="宋体"/>
              </w:rPr>
              <w:t xml:space="preserve">▲</w:t>
            </w:r>
            <w:r>
              <w:rPr>
                <w:rFonts w:hint="eastAsia" w:ascii="宋体" w:hAnsi="宋体" w:cs="宋体"/>
                <w:color w:val="auto"/>
                <w:spacing w:val="-6"/>
                <w:sz w:val="20"/>
                <w:szCs w:val="20"/>
              </w:rPr>
              <w:t xml:space="preserve">1.语音合成引擎</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多发音人：支持多个发音人音库，满足多场景合成播报需要。</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中英文、数字混读：支持中英文混合播报。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录音与合成音拼接：支持实现录音与合成音的自然拼接。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语速设置：支持合成语速的快慢调节。</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合成标记语言：支持配置发音词典、停顿优化等参数设置的标记语言。</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中英文语音合成自然度：支持医学AI能力平台中英文语音合成自然度达到4.5分及以上。</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2.语音识别引擎</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中文连续听写：支持中文连续语音听写识别，标准或带口音普通话的免切换。</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识别服务功能：支持中文汉字、数字串、数值、英文单词字母的日常用语和医疗专业术语混合识别，为医疗用户提供全方面的语音识别服务。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医疗识别知识库：支持针对医疗场景的术语，如药品、疾病名称、检查检验指标等，定制专项的识别资源包。</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语音识别准确率：支持医疗场景下的语音识别准确率达到94%及以上。</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3.语义理解引擎</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语义分析：支持人机交互场景下，使用语义理解引擎了解患者说话意图，语义理解的正确率达到95%及以上。</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语义知识库：支持根据医疗场景的问答内容，定制专项语义知识库。</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4.语音外呼交互流程管理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话术流程管理：支持在平台进行话术问答流程设计、语音引擎调用，实现话术的增、删、改、查。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多轮会话管理：支持人机交互过程中，AI机器人结合话术设计及患者前后回答内容，自动控制交互流程，实现多个问题多轮互动，单次随访有效对话不少于5轮，交互正确率达到96%及以上。</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话术智能打断：支持针对人机交互过程中患者可能抢答，可实现智能打断。</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外呼任务调度：支持平台多任务并行处理，针对批量外呼时，平台可自动将外呼任务进行排队处理，确保平台的稳定与高效。并发外呼能力不低于20路，并支持扩展至不低于100路。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5.外呼号码线路管理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主叫号码接入：支持平台支持通过互联网、专线等方式将运营商外呼线路接入到SBC设备，再与外呼平台连接，打通通讯路径。</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线路并发管理：支持配置各个主叫号码的并发路数，包括配置AI电话和人工电话。</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接入医院号码：支持通过增加网关设备接入医院号码进行外呼，支持接入数字中继线路、PSTN线路、IMS固话等线路资源。</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6.大模型能力应用</w:t>
            </w:r>
            <w:r>
              <w:rPr>
                <w:rFonts w:hint="eastAsia" w:ascii="宋体" w:hAnsi="宋体" w:cs="宋体"/>
                <w:color w:val="auto"/>
                <w:spacing w:val="-6"/>
                <w:sz w:val="20"/>
                <w:szCs w:val="20"/>
              </w:rPr>
              <w:tab/>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外呼大模型话术：支持结合大模型能力在电话随访中根据患者的回答动态生成个性化回复，实现患者疑问的解答及个性化宣教。</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支持通过大模型实现随访问题的动态调度，如询问患者症状时患者回答了复诊情况，后续复诊问题可自动跳过。</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7.用户中心</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用户管理：支持系统管理员可新增用户，支持excel批量导入、批量导出、批量启用禁用等操作。支持修改用户信息、设置机构、设置角色、重置密码等操作。支持通过角色、状态、手机号、姓名搜索用户。</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机构管理：支持维护机构信息，包括医院、院区、科室、病区等层级的维护。支持展示机构信息、关联该机构下用户信息。支持对应机构用户增删改查操作。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角色管理：支持新增自定义角色，包括应用权限、模块权限等。支持对角色中的模块设置特定操作权限，例如导出、拉取等。支持展示角色名称、角色类型、关联应用、关联机构等信息。支持对角色的批量删除、修改、查看、通过角色名称搜索功能。</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安全管理：支持设置用户设定时间内无操作，自动退出账号。支持设置账号登录失败次数，超过次数设置验证码录入。支持设置账号登录失败锁定账号时长。支持对账号密码长度、字符、有效期等设置。支持对账号登录日志记录，包括登录IP、日志内容、记录时间的查看。</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8.单位配置</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知识库分配：支持医院、院区、科室等维度的知识库配置。支持分配电话模板、短信模板、问卷模板、人工随访模板、微信模板、专病路径模板、宣教模板、满意度方案等配置。支持模板的增删查以及内容预览等功能。</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号码管理：支持展示号码区域、号码明细、号码类型、并发路数、运营商、上线时间、备注等内容。支持对号码的增删改查以及号码停用等。支持配置号码AI线路并发路数，人工并发路数。支持号码组管理，绑定机构和号码之间的关系。支持对异地号码拨打规则管理。可修改、删除、增加号码规则。</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使用量管理：支持对机构的每日电话、短信使用量管理，以及使用总量的设置。支持默认提供每日1000通电话、1000条短信。支持设置电话总量提醒，例如剩余量不足20%，发送短信提醒等。支持设置每条短信的短信字数，默认每条短信130个字。支持以服务包的形式设置总使用量。</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账号数据范围配置：支持按医院、科室、病区维度配置各个账号的数据范围。</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★9.黑白名单管理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系统黑名单管理：支持管理外呼黑名单。黑名单类型包括空号和限呼名单。支持展示电话号码，姓名、所属机构、限制类型、添加时间等。支持黑名单的增删改查。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白名单管理：支持设置外呼白名单，在不超出运营商限制的范围内不限制白名单的电话次数。支持设置账号白名单，白名单的账号执行任务的时间不受限制，24小时内可发送任务。支持设置账号脱敏白名单，白名单账号下的患者信息脱敏展示。支持设置账号优先级配置，在多任务需要执行时，根据账号的优先级可以优先执行该账号下的任务。支持白名单增删改查，以及批量导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10.数据对接管理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患者数据对接：支持视图和接口两种方式的患者数据对接。支持和HIS等院内系统对接。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支持和院内的数据集成平台对接。</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外呼能力对接：支持开放电话外呼能力，支持三方系统通过接口方式创建电话任务。支持执行的电话结果回推给三方系统。支持三方对接的鉴权、密钥等信息管理。并可支持账号管理，修改，禁用、删除等操作。支持回推任务管理，记录回推的批次id、任务时间、推送次数、推送状态、推送时间等查看。支持回推任务的详细推送报文查看。支持回推失败的任务重推操作。</w:t>
            </w:r>
            <w:r/>
          </w:p>
        </w:tc>
      </w:tr>
      <w:tr>
        <w:trPr>
          <w:jc w:val="center"/>
          <w:trHeight w:val="855"/>
        </w:trPr>
        <w:tc>
          <w:tcPr>
            <w:tcW w:w="1086" w:type="dxa"/>
            <w:vAlign w:val="center"/>
            <w:vMerge w:val="continue"/>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r>
            <w:r/>
          </w:p>
        </w:tc>
        <w:tc>
          <w:tcPr>
            <w:tcW w:w="1070"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出院随访</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1.随访总览</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数据展示：支持展示新增患者数、随访人次、随访覆盖率、服务总人次、服务中患者数。</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待办任务：支持展示待办任务类型以及待办任务数，包括以下待办：异常患者、人工随访等。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服务方式统计：支持环状图展示AI电话、短信、微信、人工随访所占随访比例。</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随访覆盖率统计：支持柱状图展示就诊人数和随访覆盖率之间的关系。</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2.患者信息管理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患者档案：支持以列表形式展示系统内所有的患者数据。支持根据就诊类型、患者姓名电话、主治医生等维度进行患者筛序。支持列表展示姓名、电话、性别、年龄、最近诊断时间、诊断、科室、主治医生等。支持设置列表展示字段，支持设置列表筛选字段。</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门诊/出院患者：支持以列表形式展示所有门诊/出院患者。根据任务分组为：待处理、服务中、服务结束。支持列表展示患者姓名、电话等基本信息、就诊流水号、诊断、科室、医生、门诊/出院时间等信息。支持按照就诊类型、门诊/出院日期、科室、就诊流水号、患者姓名电话等信息筛选。支持设置列表展示字段，支持设置列表筛选字段。</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HIS对接患者数据：支持在门诊/出院患者通过HIS对接患者信息。包括患者基本信息、门诊记录、出院小结等诊疗数据。</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手动新增患者数据：支持手动增加患者数据，包括患者的基本信息、诊疗数据等。支持手动批量表格导入患者数据，提供导入模板。</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患者详情展示：支持患者档案、门诊/出院患者点击患者查看详情。支持患者详情页面展示患者姓名、电话等基本信息，以及出院小结、康复计划等。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黑名单：支持针对患者死亡、患者依从性差、号码错误等情况构建全院黑名单库，以降低对患者及家属的干扰。全院黑名单库全院系统用户共享共管。支持AI机器人与患者对话中，发现患者态度差不愿配合随访、家属接听表达患者去世情况时，系统可自动判别并将患者加入黑名单。支持从HIS系统中获取患者死亡情况时，可自动将患者加入黑名单，后期不再随访。支持用户在使用系统时发现有患者依从性差等情况时，可在随访结果页面手动添加到黑名单库，后期不再进行随访。</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3.随访知识库管理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话术库展示：支持展示该账号下所有话术模板。展示话术名称、话术简介、病种名称。</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支持话术预览，支持按照病种和话术名称筛选话术。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话术库编辑：支持管理权限对话术的分类管理、删除操作。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短信库展示：支持展示该账号下所有短信模板。展示短信模板名称、短信状态、短信内容等。支持按照短信模板名称和短信ID筛选。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短信库编辑：支持管理权限对短信库的分类管理和删除。</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库展示：支持展示该账号下所有问卷模板。展示问卷名称、问题个数、模板来源、病种名称等。支持问卷分类管理、预览、复制、编辑、删除、新增、升级问卷操作。支持按照病种名称、问卷模板名称的维度筛选问卷。</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创建问卷：支持新建问卷，新建的问卷经过管理权限审核之后可以使用。</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问卷题型：支持问卷类型有：单选题、多选题、填空题、评分题、组合单选题、组合多选题、组合填空题、组合打分题等。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问卷关联：支持问卷中各题目之间的关联设置，可设置跳转问题。</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问卷分值配置：支持为问卷每题设置分值，支持设置各题评分权重，计算总分值。</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问卷评分解读：支持根据问卷得分设置不同得分区间的解读建议。</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问卷选项解读：支持为问卷每题的答案设置选项解读，可以为宣教文章，或者自由定义解读内容。</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科室病种库：支持管理权限维护科室病种映射表。支持展示病种名称、对应诊断信息。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科室病种操作：支持管理权限对维护的病种进行删除操作。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手术名称管理：支持维护手术名称和术式信息之间的映射关系，方便路径管理。支持excel批量导入术式信息。支持增删改查手术名称映射表。</w:t>
            </w:r>
            <w:r/>
          </w:p>
          <w:p>
            <w:pPr>
              <w:jc w:val="left"/>
              <w:spacing w:line="260" w:lineRule="exact"/>
              <w:widowControl/>
              <w:rPr>
                <w:rFonts w:hint="eastAsia" w:ascii="宋体" w:hAnsi="宋体" w:cs="宋体"/>
                <w:color w:val="auto"/>
                <w:spacing w:val="-6"/>
                <w:sz w:val="20"/>
                <w:szCs w:val="20"/>
              </w:rPr>
            </w:pPr>
            <w:r/>
            <w:bookmarkStart w:id="59" w:name="OLE_LINK4"/>
            <w:r>
              <w:rPr>
                <w:rFonts w:hint="eastAsia"/>
              </w:rPr>
              <w:t xml:space="preserve">▲</w:t>
            </w:r>
            <w:bookmarkEnd w:id="59"/>
            <w:r>
              <w:rPr>
                <w:rFonts w:hint="eastAsia" w:ascii="宋体" w:hAnsi="宋体" w:cs="宋体"/>
                <w:color w:val="auto"/>
                <w:spacing w:val="-6"/>
                <w:sz w:val="20"/>
                <w:szCs w:val="20"/>
              </w:rPr>
              <w:t xml:space="preserve">4.专病随访路径管理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专病随访路径展示：支持以列表形式展示该账号下所有的专病随访路径。支持按照科室维度展示专病随访路径。支持展示路径名称、版本号、病种名称等。支持列表按照病种、路径名称、版本号筛选路径。支持编辑、删除专病路径。</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专病随访路径新增：支持以主诊断为条件的新增管理路径。支持设置路径名称、路径版本号、对应病种名称。支持设置管理路径适用范围，包括门诊、出院等。支持设置各节点任务的执行时间、执行内容、执行方式等。支持电话随访、短信提醒等方式执行随访任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支持对执行方式的模板预览，如短信模板、电话话术模板、问卷模板等。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路径使用启停设置：支持每个路径是否可以使用的设置，路径停用，不影响已生成的任务。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免审路径设置：支持设置路径免审设置，表示该路径无需审核即可使用。</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通用路径设置：支持将某路径设置为兜底通用路径。在患者无法入到合适组别时，启动该兜底路径。以保证入组患者都可以有可执行的随访路径，做到应访尽访。</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5</w:t>
            </w:r>
            <w:r>
              <w:rPr>
                <w:rFonts w:hint="eastAsia" w:ascii="宋体" w:hAnsi="宋体" w:cs="宋体"/>
                <w:color w:val="auto"/>
                <w:spacing w:val="-6"/>
                <w:sz w:val="20"/>
                <w:szCs w:val="20"/>
              </w:rPr>
              <w:t xml:space="preserve">.高危孕产妇随访计划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支持按孕周、风险等级、产检状态、并发症等生成随访计划；支持高危因素确认、产检提醒、异常症状询问、用药和生活方式提醒、产后随访；支持异常回答升级；支持与区域协同或转诊系统联动。</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6</w:t>
            </w:r>
            <w:r>
              <w:rPr>
                <w:rFonts w:hint="eastAsia" w:ascii="宋体" w:hAnsi="宋体" w:cs="宋体"/>
                <w:color w:val="auto"/>
                <w:spacing w:val="-6"/>
                <w:sz w:val="20"/>
                <w:szCs w:val="20"/>
              </w:rPr>
              <w:t xml:space="preserve">.糖尿病随访计划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支持血糖监测提醒、用药依从性随访、饮食运动宣教、并发症风险提示、复诊提醒、异常血糖反馈、人工干预升级。</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7</w:t>
            </w:r>
            <w:r>
              <w:rPr>
                <w:rFonts w:hint="eastAsia" w:ascii="宋体" w:hAnsi="宋体" w:cs="宋体"/>
                <w:color w:val="auto"/>
                <w:spacing w:val="-6"/>
                <w:sz w:val="20"/>
                <w:szCs w:val="20"/>
              </w:rPr>
              <w:t xml:space="preserve">.脑卒中随访计划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支持危险因素随访、血压血脂血糖相关提醒、抗栓降压调脂用药依从性随访、康复训练提醒、复诊提醒、再发风险异常提示、人工干预升级。</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8</w:t>
            </w:r>
            <w:r>
              <w:rPr>
                <w:rFonts w:hint="eastAsia" w:ascii="宋体" w:hAnsi="宋体" w:cs="宋体"/>
                <w:color w:val="auto"/>
                <w:spacing w:val="-6"/>
                <w:sz w:val="20"/>
                <w:szCs w:val="20"/>
              </w:rPr>
              <w:t xml:space="preserve">.认知障碍随访计划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应支持量表或简易评估提醒、用药依从性随访、照护者随访、日常功能变化询问、复诊提醒、异常情况升级、家庭照护宣教。</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9</w:t>
            </w:r>
            <w:r>
              <w:rPr>
                <w:rFonts w:hint="eastAsia" w:ascii="宋体" w:hAnsi="宋体" w:cs="宋体"/>
                <w:color w:val="auto"/>
                <w:spacing w:val="-6"/>
                <w:sz w:val="20"/>
                <w:szCs w:val="20"/>
              </w:rPr>
              <w:t xml:space="preserve">.创建随访任务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自动创建随访任务：支持根据患者的主诊断，结合随访路径自动创建对应的随访计划，根据随访计划中的时间点自动执行随访任务。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手动创建随访任务：支持在院患者、门诊/出院患者列表中选中需要随访的患者，人工创建随访计划。支持设置随访任务的任务节点、执行路径、执行时间、重拔设置、是否发送短信、短信模板选择等。支持将配置好的随访任务保存在随访方案列表中。</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未接通自动重呼：支持AI电话最高2次自动重呼机制，重呼时间间隔可设置。</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历史方案复用：支持创建随访方案时，保存方案，以及选择历史方案，可快速填充随访方案内容，减少编辑工作量。</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人工随访：支持人工电话系统内一键随访患者/家属，系统保存人工随访电话音频，支持快速记录随访结果、随访状态、备注等。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w:t>
            </w:r>
            <w:r>
              <w:rPr>
                <w:rFonts w:hint="eastAsia" w:ascii="宋体" w:hAnsi="宋体" w:cs="宋体"/>
                <w:spacing w:val="-6"/>
                <w:sz w:val="20"/>
                <w:szCs w:val="20"/>
              </w:rPr>
              <w:t xml:space="preserve">0</w:t>
            </w:r>
            <w:r>
              <w:rPr>
                <w:rFonts w:hint="eastAsia" w:ascii="宋体" w:hAnsi="宋体" w:cs="宋体"/>
                <w:color w:val="auto"/>
                <w:spacing w:val="-6"/>
                <w:sz w:val="20"/>
                <w:szCs w:val="20"/>
              </w:rPr>
              <w:t xml:space="preserve">.任务管理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任务记录：支持以列表形式展示所有任务。任务根据执行情况分组为：未执行、执行中、已执行。支持列表展示患者姓名、电话等患者基本信息，入院时间、门诊/住院时间、就诊类型等诊疗信息。支持列表任务筛选，筛选维度包括：患者姓名电话、科室、随访模板等。支持设置列表展示字段以及设置列表筛选字段。</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随访异常待办：支持以列表形式展示有随访异常任务的患者，根据异常是否处理分组为：未处理、已处理。支持根据患者姓名电话、就诊类型、诊断、主治医生、科室名称等维度的列表筛选。支持在详情页面查看患者已随访内容并再次进行人工随访，可标注随访状态。</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人工随访待办：支持以列表形式展示需要人工随访待办任务的患者。支持根据随访时间、就诊类型、诊断、姓名电话、科室等维度的列表筛选。支持设置列表展示字段以及设置列表筛选字段。支持通过人工随访模板录入的随访结果结构化存储至系统。支持在详情页面拨打人工随访电话，并填写随访模板内容，更新人工随访状态和备注等。支持在详情页面展示患者基本信息，诊疗记录等，方便人工随访时了解患者信息。</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任务操作：支持未执行任务支持选中批量删除。支持已执行任务支持详情查看，任务详情展示患者姓名电话等基本信息、随访情况明细查看。支持执行失败的电话任务重新拨打。</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任务详情展示：支持电话任务音频回听、转写文字查看、随访结构化结果查看。支持电话任务拨打人工电话，标记人工电话接通状态以及备注等。支持短信、问卷、宣教文章等内容查看。</w:t>
            </w:r>
            <w:r/>
          </w:p>
          <w:p>
            <w:pPr>
              <w:jc w:val="left"/>
              <w:spacing w:line="260" w:lineRule="exact"/>
              <w:widowControl/>
              <w:rPr>
                <w:rFonts w:hint="eastAsia" w:ascii="宋体" w:hAnsi="宋体" w:cs="宋体"/>
                <w:color w:val="auto"/>
                <w:spacing w:val="-6"/>
                <w:sz w:val="20"/>
                <w:szCs w:val="20"/>
              </w:rPr>
            </w:pPr>
            <w:r>
              <w:rPr>
                <w:rFonts w:hint="eastAsia"/>
              </w:rPr>
              <w:t xml:space="preserve">★</w:t>
            </w:r>
            <w:r>
              <w:rPr>
                <w:rFonts w:hint="eastAsia" w:ascii="宋体" w:hAnsi="宋体" w:cs="宋体"/>
                <w:color w:val="auto"/>
                <w:spacing w:val="-6"/>
                <w:sz w:val="20"/>
                <w:szCs w:val="20"/>
              </w:rPr>
              <w:t xml:space="preserve">1</w:t>
            </w:r>
            <w:r>
              <w:rPr>
                <w:rFonts w:hint="eastAsia" w:ascii="宋体" w:hAnsi="宋体" w:cs="宋体"/>
                <w:spacing w:val="-6"/>
                <w:sz w:val="20"/>
                <w:szCs w:val="20"/>
              </w:rPr>
              <w:t xml:space="preserve">1</w:t>
            </w:r>
            <w:r>
              <w:rPr>
                <w:rFonts w:hint="eastAsia" w:ascii="宋体" w:hAnsi="宋体" w:cs="宋体"/>
                <w:color w:val="auto"/>
                <w:spacing w:val="-6"/>
                <w:sz w:val="20"/>
                <w:szCs w:val="20"/>
              </w:rPr>
              <w:t xml:space="preserve">.随访异常结果自动提醒</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根据患者是否接通电话、患者在人机交互中是否回答有出现病情未控制的情况，系统可将此异常情况自动筛查出来，生成待办任务，由护士进一步人工跟进处理。</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异常回答识别：自动识别患者自述异常症状、关键指标异常、用药中断、情绪异常等。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w:t>
            </w:r>
            <w:r>
              <w:rPr>
                <w:rFonts w:hint="eastAsia" w:ascii="宋体" w:hAnsi="宋体" w:cs="宋体"/>
                <w:spacing w:val="-6"/>
                <w:sz w:val="20"/>
                <w:szCs w:val="20"/>
              </w:rPr>
              <w:t xml:space="preserve">2</w:t>
            </w:r>
            <w:r>
              <w:rPr>
                <w:rFonts w:hint="eastAsia" w:ascii="宋体" w:hAnsi="宋体" w:cs="宋体"/>
                <w:color w:val="auto"/>
                <w:spacing w:val="-6"/>
                <w:sz w:val="20"/>
                <w:szCs w:val="20"/>
              </w:rPr>
              <w:t xml:space="preserve">.数据统计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外呼任务统计：支持按照时间段筛选任务，展示阶段性智能外呼的呼叫人数、接通人次、整体接通率等。支持按接通结果分类进行统计，包括：正常回答、自动留言、接通不便、号码错误、中断、不愿配合等多维度。支持查看每次外呼的具体信息，包括外呼接通情况、患者回复的分类结果、人机对话的音频、患者回答的明细内容等。支持对部分特殊人员（如异常不愿配合等）加入限呼名单。支持对明细列表中的电话任务导出excel表格，并可配置导出字段。支持在明细列表选中患者创建新的任务，对未接通患者支持电话任务重呼。</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短信任务统计：支持按任务时间段、短信模板等进行筛选，直观展示短信随访情况等。支持搜索展示短信随访详细信息，包括患者信息（姓名、电话等）、科室等。支持明细列表配置导出表头并导出excel表格。</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问卷任务统计：支持按照任务时间段、任务状态、问卷模板名称等筛选，直观展示问卷随访情况等。支持统计问卷回收情况，包括已填写、已失效、进行中问卷占比。支持针对已回收问卷的每个问卷选项填写比例与人数统计；针对未回收问卷，可进行再次发送、详情名单导出等操作。支持查看问卷明细，包括患者信息（姓名、电话）、问卷内容等，支持配置导出表头并导出明细。支持查看未回收问卷方案执行情况，包括未回收原因、任务开始时间、任务截止时间等。</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人工随访统计：支持按照任务时间段模板名称等筛选人工随访任务。支持查看人工随访任务的执行情况，包括：已填写、已失效、进行中的占比。支持查看每个任务的详细情况，包括各分项结果的回答统计。支持对人工随访任务详情列表配置表头并导出明细内容。支持展示每个任务的详情，听取互动录音，查验调查结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出院随访任务成功率统计</w:t>
            </w:r>
            <w:r>
              <w:rPr>
                <w:rFonts w:hint="eastAsia" w:ascii="宋体" w:hAnsi="宋体" w:cs="宋体"/>
                <w:color w:val="auto"/>
                <w:spacing w:val="-6"/>
                <w:sz w:val="20"/>
                <w:szCs w:val="20"/>
              </w:rPr>
              <w:tab/>
            </w:r>
            <w:r>
              <w:rPr>
                <w:rFonts w:hint="eastAsia" w:ascii="宋体" w:hAnsi="宋体" w:cs="宋体"/>
                <w:color w:val="auto"/>
                <w:spacing w:val="-6"/>
                <w:sz w:val="20"/>
                <w:szCs w:val="20"/>
              </w:rPr>
              <w:t xml:space="preserve">：支持出院随访成功率统计支持按月和按季度查看数据。</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支持展示随访数据总览：包含随访总次数、智能外呼、短信随访、问卷随访、人工随访，以及统计对应的成功率。随访成功率趋势图：以折线图形式展示随访总次数、智能外呼、短信随访、问卷随访、人工随访，默认显示随访总次数。列表展示就诊/出院人数、随访计划人数、随访覆盖率(人)、随访成功率(人)、随访任务数、随访任务成功率、随访失败原因占比查看。列表支持Excel导出，导出字段与页面展示内容保持一致。</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门诊随访任务成功率统计：门诊随访任务的统计数据和展示形式同出院随访任务成功率统计。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全部患者随访任务成功率统计：全部随访任务的统计数据和展示形式同出院随访任务成功率统计。</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异常干预数据分析：支持查看系统筛查出来的随访异常患者数、异常筛查率。支持查看异常的原因分类，包含随访病情异常、复诊依从性异常、用药依从性异常、睡眠情况异常、电话未接通、电话中断。支持针对异常患者，可查看AI干预处理次数、人工干预次数、未处理数等。支持对人工干预异常任务及时性的统计，例如人工1周内、2周内、2周以上的处理数以及所占比例等。（</w:t>
            </w:r>
            <w:r>
              <w:rPr>
                <w:rFonts w:hint="eastAsia" w:ascii="宋体" w:hAnsi="宋体" w:cs="宋体"/>
                <w:color w:val="auto"/>
                <w:spacing w:val="-6"/>
                <w:sz w:val="20"/>
                <w:szCs w:val="20"/>
                <w:lang w:val="en-US" w:eastAsia="zh-CN"/>
              </w:rPr>
              <w:t xml:space="preserve">中标后</w:t>
            </w:r>
            <w:r>
              <w:rPr>
                <w:rFonts w:hint="eastAsia" w:ascii="宋体" w:hAnsi="宋体" w:cs="宋体"/>
                <w:color w:val="auto"/>
                <w:spacing w:val="-6"/>
                <w:sz w:val="20"/>
                <w:szCs w:val="20"/>
              </w:rPr>
              <w:t xml:space="preserve">提供功能截图）</w:t>
            </w:r>
            <w:r/>
          </w:p>
        </w:tc>
      </w:tr>
      <w:tr>
        <w:trPr>
          <w:jc w:val="center"/>
          <w:trHeight w:val="393"/>
        </w:trPr>
        <w:tc>
          <w:tcPr>
            <w:gridSpan w:val="2"/>
            <w:tcW w:w="215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AI能力要求</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 平台应提供AI辅助能力，并将其严格应用于患者画像、标签及队列管理的增强与优化。所有AI算法的应用须遵循可解释性原则，确保模型逻辑、决策依据及输出结果对临床业务人员完全透明、可追溯，从而构建安全、可信且符合临床规范的智能化数据管理体系。应支持：非结构化病历文本结构化抽取；患者摘要自动生成；专病风险因素辅助识别；标签建议生成；队列纳入建议；异常信息识别；患者画像摘要接口；语音识别与语义理解；随访结果智能质检。</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2. 结果可解释：向临床或管理人员展示AI判断的关键依据（如“该患者被标记为高危孕产妇，依据为：孕周≥28周+既往剖宫产史+本次妊娠合并妊娠期高血压”），而非仅展示结论。</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3. 决策可干预：任何AI生成的标签、队列纳入建议、风险分层结果，必须支持人工确认、修改或驳回，人工操作记录优先于AI结果。</w:t>
            </w:r>
            <w:r/>
          </w:p>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4. 责任归属：平台须严格遵循“人机协同、医师主导”的合规原则，明确AI辅助结果仅作为临床参考，执业医师始终是临床决策的唯一责任主体；平台应建立AI建议与临床最终决策的闭环对照记录机制，完整留存决策轨迹与反馈数据，为后续AI模型的持续迭代优化提供数据支撑。</w:t>
            </w:r>
            <w:r/>
          </w:p>
          <w:p>
            <w:pPr>
              <w:jc w:val="left"/>
              <w:spacing w:line="260" w:lineRule="exact"/>
              <w:widowControl/>
              <w:rPr>
                <w:rFonts w:ascii="宋体" w:hAnsi="宋体" w:cs="宋体"/>
                <w:spacing w:val="-6"/>
                <w:sz w:val="20"/>
                <w:szCs w:val="20"/>
              </w:rPr>
            </w:pPr>
            <w:r>
              <w:rPr>
                <w:rFonts w:hint="eastAsia" w:ascii="宋体" w:hAnsi="宋体" w:cs="宋体"/>
                <w:color w:val="auto"/>
                <w:spacing w:val="-6"/>
                <w:sz w:val="20"/>
                <w:szCs w:val="20"/>
              </w:rPr>
              <w:t xml:space="preserve">5. 与医院AI底座对接：平台须全面接入并严格依托医院统一AI模型网关进行AI能力调用，确保与医院现有AI基础设施的无缝对接、集中纳管及安全合规。</w:t>
            </w:r>
            <w:r/>
          </w:p>
          <w:p>
            <w:pPr>
              <w:jc w:val="left"/>
              <w:spacing w:line="260" w:lineRule="exact"/>
              <w:widowControl/>
              <w:rPr>
                <w:rFonts w:hint="eastAsia" w:ascii="宋体" w:hAnsi="宋体" w:cs="宋体"/>
                <w:color w:val="auto"/>
                <w:spacing w:val="-6"/>
                <w:sz w:val="20"/>
                <w:szCs w:val="20"/>
              </w:rPr>
            </w:pPr>
            <w:r>
              <w:rPr>
                <w:rFonts w:hint="eastAsia" w:ascii="宋体" w:hAnsi="宋体" w:cs="宋体"/>
                <w:spacing w:val="-6"/>
                <w:sz w:val="20"/>
                <w:szCs w:val="20"/>
              </w:rPr>
              <w:t xml:space="preserve">6.</w:t>
            </w:r>
            <w:r>
              <w:rPr>
                <w:rFonts w:hint="eastAsia" w:ascii="宋体" w:hAnsi="宋体" w:cs="宋体"/>
                <w:color w:val="auto"/>
                <w:spacing w:val="-6"/>
                <w:sz w:val="20"/>
                <w:szCs w:val="20"/>
              </w:rPr>
              <w:t xml:space="preserve">若涉及模型训练数据回流，平台应提供标准化的数据流转接口，并严格遵循医院数据安全审批机制，实现数据回流的全流程合规管控与可追溯，确保数据资产的绝对安全。</w:t>
            </w:r>
            <w:r/>
          </w:p>
        </w:tc>
      </w:tr>
      <w:tr>
        <w:trPr>
          <w:jc w:val="center"/>
          <w:trHeight w:val="2565"/>
        </w:trPr>
        <w:tc>
          <w:tcPr>
            <w:gridSpan w:val="2"/>
            <w:tcW w:w="215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系统集成</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 患者画像平台和智能语音随访专病管理平台必须实现统一集成。</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2. 完整一体化方案：本项目包含“患者画像平台”与“智能语音随访专病管理平台”两部分，投标人须对两部分提供完整的一体化解决方案并完整报价，仅对其中一部分报价的视为未完整响应；两部分采用不同厂商产品的，投标人作为总集成方须明确各方职责与接口分工，并对项目整体集成、数据回填、验收与售后承担总责。</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3. 统一患者ID：智能语音随访专病管理平台须全面接入并严格遵循医院画像平台的统一患者ID标准，实现与医院患者主索引（EMPI）体系的无缝对接与数据同源，保障跨业务场景下患者身份的精准识别与数据一致性。</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4. 统一标签和队列：智能语音随访专病管理平台须全面接入并调用患者画像平台提供的标准化标签体系与专病队列服务，不得自建独立的标签与队列体系，保障全院标签体系与专病队列的集中化、标准化管理。</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5. 统一结果回填：智能语音随访专病管理平台所有随访结果必须结构化回填患者画像平台。患者画像平台应根据回填结果更新患者画像、标签、风险等级和队列状态。</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6. 统一审计：患者画像平台和智能语音随访专病管理平台均应记录接口调用、数据读取、随访执行、结果回填、人工复核、内容修改和规则变更等日志，日志留存期限不少于3年。</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7. 统一权限：两部分应接入医院统一身份认证和权限体系，支持按角色、科室、病种、院区、数据范围进行权限控制。</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8. 统一AI底座对接：平台所涉及的AI能力（包括但不限于语音识别、语义理解、异常识别等）须全面接入并严格依托医院统一AI模型网关进行标准化调用，确保所有AI算力与算法的集中纳管、安全合规及可追溯。</w:t>
            </w:r>
            <w:r/>
          </w:p>
        </w:tc>
      </w:tr>
      <w:tr>
        <w:trPr>
          <w:jc w:val="center"/>
          <w:trHeight w:val="132"/>
        </w:trPr>
        <w:tc>
          <w:tcPr>
            <w:gridSpan w:val="2"/>
            <w:tcW w:w="2156" w:type="dxa"/>
            <w:vAlign w:val="center"/>
            <w:textDirection w:val="lrTb"/>
            <w:noWrap w:val="false"/>
          </w:tcPr>
          <w:p>
            <w:pPr>
              <w:jc w:val="center"/>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系统合规与技术约束要求</w:t>
            </w:r>
            <w:r/>
          </w:p>
        </w:tc>
        <w:tc>
          <w:tcPr>
            <w:tcW w:w="7513" w:type="dxa"/>
            <w:vAlign w:val="center"/>
            <w:textDirection w:val="lrTb"/>
            <w:noWrap w:val="false"/>
          </w:tcPr>
          <w:p>
            <w:pPr>
              <w:jc w:val="left"/>
              <w:spacing w:line="260" w:lineRule="exact"/>
              <w:widowControl/>
              <w:rPr>
                <w:rFonts w:hint="eastAsia" w:ascii="宋体" w:hAnsi="宋体" w:cs="宋体"/>
                <w:color w:val="auto"/>
                <w:spacing w:val="-6"/>
                <w:sz w:val="20"/>
                <w:szCs w:val="20"/>
              </w:rPr>
            </w:pPr>
            <w:r>
              <w:rPr>
                <w:rFonts w:hint="eastAsia" w:ascii="宋体" w:hAnsi="宋体" w:cs="宋体"/>
                <w:color w:val="auto"/>
                <w:spacing w:val="-6"/>
                <w:sz w:val="20"/>
                <w:szCs w:val="20"/>
              </w:rPr>
              <w:t xml:space="preserve">1. 统一患者主库建设：系统应基于患者画像平台的统一患者ID进行构建，全面对接并调用平台提供的患者主索引服务，确保全院患者身份识别的唯一性与数据同源。</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2. 标签与队列体系协同：系统应作为标签和队列的“消费者”，全面依托患者画像平台提供的标签与队列服务进行业务触发；同时建立完善的随访数据回流机制，确保随访结果实时、结构化回填至患者画像平台，保障底层数据架构的统一与共享。</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3. 关键成果与资产交付：承建方须完整交付项目核心资产，包括标签定义、队列规则、随访计划配置、接口文档及数据字典等，确保医院拥有完整的技术掌控力与数据主权。</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4. 数据导出与迁移支持：系统须提供完善的数据导出与迁移工具，无条件支持医院随时导出患者画像、标签、队列、随访结果及随访历史等核心数据，保障医院数据资产的自由流转。</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5. 数据授权与模型合规：系统须实施严格的数据授权与访问控制，基于医院数据训练或微调的模型资产归医院所有；承建方须履行排他性保密义务，确保相关数据及模型仅用于本院项目，保障医院核心数据资产的绝对安全与独立。</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6. 开放架构与生态兼容：系统应采用微服务、容器化等业界主流的开放技术架构，提供标准化的API接口，全面支持医院未来在移动端、转诊会诊、AI智能体等多元化场景下的自主扩展与第三方应用无缝对接，保障医院信息化建设的自主可控。</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7. 审计日志与数据溯源：系统须具备完善的安全审计与数据溯源能力，提供完整的操作审计日志，确保所有数据流转、规则修改及业务操作均可追溯，保障系统运行的合规性与透明度。</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8. 第三方系统开放集成：系统须遵循开放、标准的技术规范，提供完善的集成接口与数据交互协议，支持与医院现有及未来规划的业务系统进行无缝集成与协同，确保架构的灵活性与可扩展性。</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9. 内容审核与版本化管理：系统应建立多级审核发布机制与完善的版本化管理功能，所有随访计划、问卷及话术须经临床科室与信息部门联合审核确认后方可生效执行，确保业务规则的权威性、适用性及可追溯性。</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10. 随访结果结构化回填：系统须建立完善的数据回流机制，随访产生的所有结构化结果、异常标记及质控数据，均需按标准协议实时回填至患者画像平台，实现跨系统的数据互通与业务闭环。</w:t>
            </w:r>
            <w:r>
              <w:rPr>
                <w:rFonts w:hint="eastAsia" w:ascii="宋体" w:hAnsi="宋体" w:cs="宋体"/>
                <w:color w:val="auto"/>
                <w:spacing w:val="-6"/>
                <w:sz w:val="20"/>
                <w:szCs w:val="20"/>
              </w:rPr>
              <w:br/>
            </w:r>
            <w:r>
              <w:rPr>
                <w:rFonts w:hint="eastAsia" w:ascii="宋体" w:hAnsi="宋体" w:cs="宋体"/>
                <w:color w:val="auto"/>
                <w:spacing w:val="-6"/>
                <w:sz w:val="20"/>
                <w:szCs w:val="20"/>
              </w:rPr>
              <w:t xml:space="preserve">11. 基础设施适配与兼容：系统应适配医院现有数据底座技术栈，全面支持在国产化环境及主流数据库、中间件上部署，优先利用医院已建基础设施，保障技术架构的开放性与自主可控。</w:t>
            </w:r>
            <w:r>
              <w:rPr>
                <w:rFonts w:hint="eastAsia" w:ascii="宋体" w:hAnsi="宋体" w:cs="宋体"/>
                <w:color w:val="auto"/>
                <w:spacing w:val="-6"/>
                <w:sz w:val="20"/>
                <w:szCs w:val="20"/>
              </w:rPr>
              <w:br/>
            </w:r>
            <w:r>
              <w:rPr>
                <w:rFonts w:hint="eastAsia"/>
              </w:rPr>
              <w:t xml:space="preserve">★</w:t>
            </w:r>
            <w:r>
              <w:rPr>
                <w:rFonts w:hint="eastAsia" w:ascii="宋体" w:hAnsi="宋体" w:cs="宋体"/>
                <w:color w:val="auto"/>
                <w:spacing w:val="-6"/>
                <w:sz w:val="20"/>
                <w:szCs w:val="20"/>
              </w:rPr>
              <w:t xml:space="preserve">12. 数据安全与隐私保护：系统应构建严密的安全边界，确保所有患者数据的流转与交互均在医院授权的安全域内完成；如涉及云端语音外呼等外部服务调用，需经医院安全评估，并保障患者核心数据始终驻留在院内环境，实现外部服务调用与院内数据资产的严格隔离。</w:t>
            </w:r>
            <w:r/>
          </w:p>
        </w:tc>
      </w:tr>
    </w:tbl>
    <w:p>
      <w:pPr>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1.报价要求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）供应商的报价须包含本项目在实施及实际使用过程中（试运行期间及运维期内）所产生的通信费、</w:t>
      </w:r>
      <w:r>
        <w:rPr>
          <w:rFonts w:ascii="宋体" w:hAnsi="宋体" w:cs="宋体"/>
          <w:bCs/>
          <w:sz w:val="24"/>
          <w:szCs w:val="24"/>
        </w:rPr>
        <w:t xml:space="preserve">ASR</w:t>
      </w:r>
      <w:r>
        <w:rPr>
          <w:rFonts w:hint="eastAsia" w:ascii="宋体" w:hAnsi="宋体" w:cs="宋体"/>
          <w:bCs/>
          <w:sz w:val="24"/>
          <w:szCs w:val="24"/>
        </w:rPr>
        <w:t xml:space="preserve">、</w:t>
      </w:r>
      <w:r>
        <w:rPr>
          <w:rFonts w:ascii="宋体" w:hAnsi="宋体" w:cs="宋体"/>
          <w:bCs/>
          <w:sz w:val="24"/>
          <w:szCs w:val="24"/>
        </w:rPr>
        <w:t xml:space="preserve">TTS</w:t>
      </w:r>
      <w:r>
        <w:rPr>
          <w:rFonts w:hint="eastAsia" w:ascii="宋体" w:hAnsi="宋体" w:cs="宋体"/>
          <w:bCs/>
          <w:sz w:val="24"/>
          <w:szCs w:val="24"/>
        </w:rPr>
        <w:t xml:space="preserve">等费用。</w:t>
      </w:r>
      <w:r>
        <w:rPr>
          <w:rStyle w:val="891"/>
          <w:rFonts w:ascii="宋体" w:hAnsi="宋体" w:cs="宋体"/>
          <w:b w:val="0"/>
          <w:bCs w:val="0"/>
          <w:sz w:val="24"/>
          <w:szCs w:val="24"/>
        </w:rPr>
        <w:t xml:space="preserve">3 年运维服务期届满之后，如</w:t>
      </w:r>
      <w:r>
        <w:rPr>
          <w:rStyle w:val="891"/>
          <w:rFonts w:hint="eastAsia" w:ascii="宋体" w:hAnsi="宋体" w:cs="宋体"/>
          <w:b w:val="0"/>
          <w:bCs w:val="0"/>
          <w:sz w:val="24"/>
          <w:szCs w:val="24"/>
        </w:rPr>
        <w:t xml:space="preserve">院方</w:t>
      </w:r>
      <w:r>
        <w:rPr>
          <w:rStyle w:val="891"/>
          <w:rFonts w:ascii="宋体" w:hAnsi="宋体" w:cs="宋体"/>
          <w:b w:val="0"/>
          <w:bCs w:val="0"/>
          <w:sz w:val="24"/>
          <w:szCs w:val="24"/>
        </w:rPr>
        <w:t xml:space="preserve">继续使用语音外呼、ASR、TTS 能力，相关资源费用由双方另行协商结算。</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（4）供应商报价除包含招标文件中列明的项目外还应包括保障服务正常运行应当具有的物资和服务，对服务正常运行应当具有的物资和服务理解不一致的以采购单位理解为准。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2.实施要求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（1）总体要求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（2）质量要求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①供应商提供的系统能够根据采购人实际需求与医院各院区所有信息系统、集成</w:t>
      </w:r>
      <w:r>
        <w:rPr>
          <w:rFonts w:hint="eastAsia" w:ascii="宋体" w:hAnsi="宋体" w:cs="宋体"/>
          <w:bCs/>
          <w:sz w:val="24"/>
          <w:szCs w:val="24"/>
        </w:rPr>
        <w:t xml:space="preserve">平台做对接及集成（对接人：周工 ；联系电话：025-83106666转60621）：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②本章中所列技术要求为医院项目初步需求，具体需求以国家最新政策标准为准。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（3）验收要求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②软件安装、调试达到技术规范书规定的指标后，可进行验收测试。验收规范 (包括计划、项目、指标、方式和测试仪器等)应由投标人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（4）运维要求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运维期：供应商应确保本次采购所有项目的安全稳定运行，提供3年运维服务（自验收报告签字确认日起，开始进入维保期，相关费用包含在本次报价中）。维保期内，本合同项目所有技术和服务发生任何非人为故障，由供应商负责系统恢复。</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②响应要求</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4677"/>
        <w:gridCol w:w="1701"/>
        <w:gridCol w:w="1418"/>
      </w:tblGrid>
      <w:tr>
        <w:trPr>
          <w:jc w:val="center"/>
          <w:tblHeader/>
        </w:trPr>
        <w:tc>
          <w:tcPr>
            <w:tcW w:w="1555" w:type="dxa"/>
            <w:vAlign w:val="center"/>
            <w:textDirection w:val="lrTb"/>
            <w:noWrap w:val="false"/>
          </w:tcPr>
          <w:p>
            <w:pPr>
              <w:jc w:val="center"/>
              <w:spacing w:before="40" w:after="40"/>
              <w:rPr>
                <w:rFonts w:hint="eastAsia" w:ascii="宋体" w:hAnsi="宋体"/>
              </w:rPr>
            </w:pPr>
            <w:r>
              <w:rPr>
                <w:rFonts w:ascii="宋体" w:hAnsi="宋体"/>
                <w:b/>
                <w:sz w:val="20"/>
              </w:rPr>
              <w:t xml:space="preserve">故障级别</w:t>
            </w:r>
            <w:r/>
          </w:p>
        </w:tc>
        <w:tc>
          <w:tcPr>
            <w:tcW w:w="4677" w:type="dxa"/>
            <w:vAlign w:val="center"/>
            <w:textDirection w:val="lrTb"/>
            <w:noWrap w:val="false"/>
          </w:tcPr>
          <w:p>
            <w:pPr>
              <w:jc w:val="center"/>
              <w:spacing w:before="40" w:after="40"/>
              <w:rPr>
                <w:rFonts w:hint="eastAsia" w:ascii="宋体" w:hAnsi="宋体"/>
              </w:rPr>
            </w:pPr>
            <w:r>
              <w:rPr>
                <w:rFonts w:ascii="宋体" w:hAnsi="宋体"/>
                <w:b/>
                <w:sz w:val="20"/>
              </w:rPr>
              <w:t xml:space="preserve">定义</w:t>
            </w:r>
            <w:r/>
          </w:p>
        </w:tc>
        <w:tc>
          <w:tcPr>
            <w:tcW w:w="1701" w:type="dxa"/>
            <w:vAlign w:val="center"/>
            <w:textDirection w:val="lrTb"/>
            <w:noWrap w:val="false"/>
          </w:tcPr>
          <w:p>
            <w:pPr>
              <w:jc w:val="center"/>
              <w:spacing w:before="40" w:after="40"/>
              <w:rPr>
                <w:rFonts w:hint="eastAsia" w:ascii="宋体" w:hAnsi="宋体"/>
              </w:rPr>
            </w:pPr>
            <w:r>
              <w:rPr>
                <w:rFonts w:ascii="宋体" w:hAnsi="宋体"/>
                <w:b/>
                <w:sz w:val="20"/>
              </w:rPr>
              <w:t xml:space="preserve">响应时限</w:t>
            </w:r>
            <w:r/>
          </w:p>
        </w:tc>
        <w:tc>
          <w:tcPr>
            <w:tcW w:w="1418" w:type="dxa"/>
            <w:vAlign w:val="center"/>
            <w:textDirection w:val="lrTb"/>
            <w:noWrap w:val="false"/>
          </w:tcPr>
          <w:p>
            <w:pPr>
              <w:jc w:val="center"/>
              <w:spacing w:before="40" w:after="40"/>
              <w:rPr>
                <w:rFonts w:hint="eastAsia" w:ascii="宋体" w:hAnsi="宋体"/>
              </w:rPr>
            </w:pPr>
            <w:r>
              <w:rPr>
                <w:rFonts w:ascii="宋体" w:hAnsi="宋体"/>
                <w:b/>
                <w:sz w:val="20"/>
              </w:rPr>
              <w:t xml:space="preserve">解决时限</w:t>
            </w:r>
            <w:r/>
          </w:p>
        </w:tc>
      </w:tr>
      <w:tr>
        <w:trPr>
          <w:jc w:val="center"/>
        </w:trPr>
        <w:tc>
          <w:tcPr>
            <w:tcW w:w="1555" w:type="dxa"/>
            <w:vAlign w:val="center"/>
            <w:textDirection w:val="lrTb"/>
            <w:noWrap w:val="false"/>
          </w:tcPr>
          <w:p>
            <w:pPr>
              <w:jc w:val="center"/>
              <w:spacing w:before="40" w:after="40"/>
              <w:rPr>
                <w:rFonts w:hint="eastAsia" w:ascii="宋体" w:hAnsi="宋体"/>
              </w:rPr>
            </w:pPr>
            <w:r>
              <w:rPr>
                <w:rFonts w:ascii="宋体" w:hAnsi="宋体"/>
                <w:sz w:val="20"/>
              </w:rPr>
              <w:t xml:space="preserve">一级（致命）</w:t>
            </w:r>
            <w:r/>
          </w:p>
        </w:tc>
        <w:tc>
          <w:tcPr>
            <w:tcW w:w="4677" w:type="dxa"/>
            <w:vAlign w:val="center"/>
            <w:textDirection w:val="lrTb"/>
            <w:noWrap w:val="false"/>
          </w:tcPr>
          <w:p>
            <w:pPr>
              <w:spacing w:before="40" w:after="40"/>
              <w:rPr>
                <w:rFonts w:hint="eastAsia" w:ascii="宋体" w:hAnsi="宋体"/>
              </w:rPr>
            </w:pPr>
            <w:r>
              <w:rPr>
                <w:rFonts w:ascii="宋体" w:hAnsi="宋体"/>
                <w:sz w:val="20"/>
              </w:rPr>
              <w:t xml:space="preserve">系统整体不可用、数据丢失或外呼业务完全中断</w:t>
            </w:r>
            <w:r/>
          </w:p>
        </w:tc>
        <w:tc>
          <w:tcPr>
            <w:tcW w:w="1701" w:type="dxa"/>
            <w:vAlign w:val="center"/>
            <w:textDirection w:val="lrTb"/>
            <w:noWrap w:val="false"/>
          </w:tcPr>
          <w:p>
            <w:pPr>
              <w:jc w:val="center"/>
              <w:spacing w:before="40" w:after="40"/>
              <w:rPr>
                <w:rFonts w:hint="eastAsia" w:ascii="宋体" w:hAnsi="宋体"/>
              </w:rPr>
            </w:pPr>
            <w:r>
              <w:rPr>
                <w:rFonts w:ascii="宋体" w:hAnsi="宋体"/>
                <w:sz w:val="20"/>
              </w:rPr>
              <w:t xml:space="preserve">30分钟内</w:t>
            </w:r>
            <w:r/>
          </w:p>
        </w:tc>
        <w:tc>
          <w:tcPr>
            <w:tcW w:w="1418" w:type="dxa"/>
            <w:vAlign w:val="center"/>
            <w:textDirection w:val="lrTb"/>
            <w:noWrap w:val="false"/>
          </w:tcPr>
          <w:p>
            <w:pPr>
              <w:jc w:val="center"/>
              <w:spacing w:before="40" w:after="40"/>
              <w:rPr>
                <w:rFonts w:hint="eastAsia" w:ascii="宋体" w:hAnsi="宋体"/>
              </w:rPr>
            </w:pPr>
            <w:r>
              <w:rPr>
                <w:rFonts w:ascii="宋体" w:hAnsi="宋体"/>
                <w:sz w:val="20"/>
              </w:rPr>
              <w:t xml:space="preserve">4小时内</w:t>
            </w:r>
            <w:r/>
          </w:p>
        </w:tc>
      </w:tr>
      <w:tr>
        <w:trPr>
          <w:jc w:val="center"/>
        </w:trPr>
        <w:tc>
          <w:tcPr>
            <w:tcW w:w="1555" w:type="dxa"/>
            <w:vAlign w:val="center"/>
            <w:textDirection w:val="lrTb"/>
            <w:noWrap w:val="false"/>
          </w:tcPr>
          <w:p>
            <w:pPr>
              <w:jc w:val="center"/>
              <w:spacing w:before="40" w:after="40"/>
              <w:rPr>
                <w:rFonts w:hint="eastAsia" w:ascii="宋体" w:hAnsi="宋体"/>
                <w:sz w:val="20"/>
              </w:rPr>
            </w:pPr>
            <w:r>
              <w:rPr>
                <w:rFonts w:ascii="宋体" w:hAnsi="宋体"/>
                <w:sz w:val="20"/>
              </w:rPr>
              <w:t xml:space="preserve">二级（严重）</w:t>
            </w:r>
            <w:r/>
          </w:p>
        </w:tc>
        <w:tc>
          <w:tcPr>
            <w:tcW w:w="4677" w:type="dxa"/>
            <w:vAlign w:val="center"/>
            <w:textDirection w:val="lrTb"/>
            <w:noWrap w:val="false"/>
          </w:tcPr>
          <w:p>
            <w:pPr>
              <w:jc w:val="center"/>
              <w:spacing w:before="40" w:after="40"/>
              <w:rPr>
                <w:rFonts w:hint="eastAsia" w:ascii="宋体" w:hAnsi="宋体"/>
                <w:sz w:val="20"/>
              </w:rPr>
            </w:pPr>
            <w:r>
              <w:rPr>
                <w:rFonts w:ascii="宋体" w:hAnsi="宋体"/>
                <w:sz w:val="20"/>
              </w:rPr>
              <w:t xml:space="preserve">部分核心功能不可用，影响随访业务正常开展</w:t>
            </w:r>
            <w:r/>
          </w:p>
        </w:tc>
        <w:tc>
          <w:tcPr>
            <w:tcW w:w="1701" w:type="dxa"/>
            <w:vAlign w:val="center"/>
            <w:textDirection w:val="lrTb"/>
            <w:noWrap w:val="false"/>
          </w:tcPr>
          <w:p>
            <w:pPr>
              <w:jc w:val="center"/>
              <w:spacing w:before="40" w:after="40"/>
              <w:rPr>
                <w:rFonts w:hint="eastAsia" w:ascii="宋体" w:hAnsi="宋体"/>
                <w:sz w:val="20"/>
              </w:rPr>
            </w:pPr>
            <w:r>
              <w:rPr>
                <w:rFonts w:ascii="宋体" w:hAnsi="宋体"/>
                <w:sz w:val="20"/>
              </w:rPr>
              <w:t xml:space="preserve">30分钟内</w:t>
            </w:r>
            <w:r/>
          </w:p>
        </w:tc>
        <w:tc>
          <w:tcPr>
            <w:tcW w:w="1418" w:type="dxa"/>
            <w:vAlign w:val="center"/>
            <w:textDirection w:val="lrTb"/>
            <w:noWrap w:val="false"/>
          </w:tcPr>
          <w:p>
            <w:pPr>
              <w:jc w:val="center"/>
              <w:spacing w:before="40" w:after="40"/>
              <w:rPr>
                <w:rFonts w:hint="eastAsia" w:ascii="宋体" w:hAnsi="宋体"/>
                <w:sz w:val="20"/>
              </w:rPr>
            </w:pPr>
            <w:r>
              <w:rPr>
                <w:rFonts w:ascii="宋体" w:hAnsi="宋体"/>
                <w:sz w:val="20"/>
              </w:rPr>
              <w:t xml:space="preserve">8小时内</w:t>
            </w:r>
            <w:r/>
          </w:p>
        </w:tc>
      </w:tr>
      <w:tr>
        <w:trPr>
          <w:jc w:val="center"/>
        </w:trPr>
        <w:tc>
          <w:tcPr>
            <w:tcW w:w="1555" w:type="dxa"/>
            <w:vAlign w:val="center"/>
            <w:textDirection w:val="lrTb"/>
            <w:noWrap w:val="false"/>
          </w:tcPr>
          <w:p>
            <w:pPr>
              <w:jc w:val="center"/>
              <w:spacing w:before="40" w:after="40"/>
              <w:rPr>
                <w:rFonts w:hint="eastAsia" w:ascii="宋体" w:hAnsi="宋体"/>
                <w:sz w:val="20"/>
              </w:rPr>
            </w:pPr>
            <w:r>
              <w:rPr>
                <w:rFonts w:ascii="宋体" w:hAnsi="宋体"/>
                <w:sz w:val="20"/>
              </w:rPr>
              <w:t xml:space="preserve">三级（一般）</w:t>
            </w:r>
            <w:r/>
          </w:p>
        </w:tc>
        <w:tc>
          <w:tcPr>
            <w:tcW w:w="4677" w:type="dxa"/>
            <w:vAlign w:val="center"/>
            <w:textDirection w:val="lrTb"/>
            <w:noWrap w:val="false"/>
          </w:tcPr>
          <w:p>
            <w:pPr>
              <w:jc w:val="center"/>
              <w:spacing w:before="40" w:after="40"/>
              <w:rPr>
                <w:rFonts w:hint="eastAsia" w:ascii="宋体" w:hAnsi="宋体"/>
                <w:sz w:val="20"/>
              </w:rPr>
            </w:pPr>
            <w:r>
              <w:rPr>
                <w:rFonts w:ascii="宋体" w:hAnsi="宋体"/>
                <w:sz w:val="20"/>
              </w:rPr>
              <w:t xml:space="preserve">单一功能异常，存在可用替代方案</w:t>
            </w:r>
            <w:r/>
          </w:p>
        </w:tc>
        <w:tc>
          <w:tcPr>
            <w:tcW w:w="1701" w:type="dxa"/>
            <w:vAlign w:val="center"/>
            <w:textDirection w:val="lrTb"/>
            <w:noWrap w:val="false"/>
          </w:tcPr>
          <w:p>
            <w:pPr>
              <w:jc w:val="center"/>
              <w:spacing w:before="40" w:after="40"/>
              <w:rPr>
                <w:rFonts w:hint="eastAsia" w:ascii="宋体" w:hAnsi="宋体"/>
                <w:sz w:val="20"/>
              </w:rPr>
            </w:pPr>
            <w:r>
              <w:rPr>
                <w:rFonts w:ascii="宋体" w:hAnsi="宋体"/>
                <w:sz w:val="20"/>
              </w:rPr>
              <w:t xml:space="preserve">2小时内</w:t>
            </w:r>
            <w:r/>
          </w:p>
        </w:tc>
        <w:tc>
          <w:tcPr>
            <w:tcW w:w="1418" w:type="dxa"/>
            <w:vAlign w:val="center"/>
            <w:textDirection w:val="lrTb"/>
            <w:noWrap w:val="false"/>
          </w:tcPr>
          <w:p>
            <w:pPr>
              <w:jc w:val="center"/>
              <w:spacing w:before="40" w:after="40"/>
              <w:rPr>
                <w:rFonts w:hint="eastAsia" w:ascii="宋体" w:hAnsi="宋体"/>
                <w:sz w:val="20"/>
              </w:rPr>
            </w:pPr>
            <w:r>
              <w:rPr>
                <w:rFonts w:ascii="宋体" w:hAnsi="宋体"/>
                <w:sz w:val="20"/>
              </w:rPr>
              <w:t xml:space="preserve">24小时内</w:t>
            </w:r>
            <w:r/>
          </w:p>
        </w:tc>
      </w:tr>
      <w:tr>
        <w:trPr>
          <w:jc w:val="center"/>
        </w:trPr>
        <w:tc>
          <w:tcPr>
            <w:tcW w:w="1555" w:type="dxa"/>
            <w:vAlign w:val="center"/>
            <w:textDirection w:val="lrTb"/>
            <w:noWrap w:val="false"/>
          </w:tcPr>
          <w:p>
            <w:pPr>
              <w:jc w:val="center"/>
              <w:spacing w:before="40" w:after="40"/>
              <w:rPr>
                <w:rFonts w:hint="eastAsia" w:ascii="宋体" w:hAnsi="宋体"/>
                <w:sz w:val="20"/>
              </w:rPr>
            </w:pPr>
            <w:r>
              <w:rPr>
                <w:rFonts w:ascii="宋体" w:hAnsi="宋体"/>
                <w:sz w:val="20"/>
              </w:rPr>
              <w:t xml:space="preserve">四级（咨询）</w:t>
            </w:r>
            <w:r/>
          </w:p>
        </w:tc>
        <w:tc>
          <w:tcPr>
            <w:tcW w:w="4677" w:type="dxa"/>
            <w:vAlign w:val="center"/>
            <w:textDirection w:val="lrTb"/>
            <w:noWrap w:val="false"/>
          </w:tcPr>
          <w:p>
            <w:pPr>
              <w:jc w:val="center"/>
              <w:spacing w:before="40" w:after="40"/>
              <w:rPr>
                <w:rFonts w:hint="eastAsia" w:ascii="宋体" w:hAnsi="宋体"/>
                <w:sz w:val="20"/>
              </w:rPr>
            </w:pPr>
            <w:r>
              <w:rPr>
                <w:rFonts w:ascii="宋体" w:hAnsi="宋体"/>
                <w:sz w:val="20"/>
              </w:rPr>
              <w:t xml:space="preserve">使用咨询与优化建议</w:t>
            </w:r>
            <w:r/>
          </w:p>
        </w:tc>
        <w:tc>
          <w:tcPr>
            <w:tcW w:w="1701" w:type="dxa"/>
            <w:vAlign w:val="center"/>
            <w:textDirection w:val="lrTb"/>
            <w:noWrap w:val="false"/>
          </w:tcPr>
          <w:p>
            <w:pPr>
              <w:jc w:val="center"/>
              <w:spacing w:before="40" w:after="40"/>
              <w:rPr>
                <w:rFonts w:hint="eastAsia" w:ascii="宋体" w:hAnsi="宋体"/>
                <w:sz w:val="20"/>
              </w:rPr>
            </w:pPr>
            <w:r>
              <w:rPr>
                <w:rFonts w:ascii="宋体" w:hAnsi="宋体"/>
                <w:sz w:val="20"/>
              </w:rPr>
              <w:t xml:space="preserve">8小时内</w:t>
            </w:r>
            <w:r/>
          </w:p>
        </w:tc>
        <w:tc>
          <w:tcPr>
            <w:tcW w:w="1418" w:type="dxa"/>
            <w:vAlign w:val="center"/>
            <w:textDirection w:val="lrTb"/>
            <w:noWrap w:val="false"/>
          </w:tcPr>
          <w:p>
            <w:pPr>
              <w:jc w:val="center"/>
              <w:spacing w:before="40" w:after="40"/>
              <w:rPr>
                <w:rFonts w:hint="eastAsia" w:ascii="宋体" w:hAnsi="宋体"/>
                <w:sz w:val="20"/>
              </w:rPr>
            </w:pPr>
            <w:r>
              <w:rPr>
                <w:rFonts w:ascii="宋体" w:hAnsi="宋体"/>
                <w:sz w:val="20"/>
              </w:rPr>
              <w:t xml:space="preserve">双方协商确定</w:t>
            </w:r>
            <w:r/>
          </w:p>
        </w:tc>
      </w:tr>
    </w:tbl>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③供应商须提供定期回访服务，对采购人提出的合理优化建议应提供升级服务。</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⑤本采购项目出保后每年的维护费不超过合同总金额的5%。</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⑥质保期内供应商提供的系统软件升级，保证采购人使用最新版本软件。质保期满后软件版本内终身升级。</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（5）人员要求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①项目经理：1人，不得兼任其他岗位。 </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②技术负责人1人，不得兼任其他岗位。  </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③开发实施人员：不少于5人，具有信息化工作经验，项目开发期间须2人驻场服务。 </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④项目组所有人员必须为供应商正式工作人员，不得兼任其他项目工作，未经采购人同意，人员不得更换。 </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（6）知识产权及保密要求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④采购人与供应商都拥有本项目定制开发部分的知识产权。交付项应包括但不限于如下内容：满足采购人需求的、完整的、可最终良好运行的系统。系统运行、管理、维护相关的各项技术文件和管理规范。应包括：系统实施计划、系统需求调研报告、系统上线测试报告、试运行报告、验收报告、系统操作手册等技术及项目管理文档。提供项目的最终版本部署包及产品永久授权。</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⑤项目建设过程中形成的患者画像模型、标签体系、标签定义、队列规则、风险分层规则、随访计划、随访结果、数据字典、接口文档、业务流程配置、统计口径、运行数据、审计日志等成果归医院所有。</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⑥承建方应向医院移交完整的数据字典、标签字典、规则字典、随访计划字典、接口文档、部署文档、运维文档、培训资料和源配置文件。</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⑦医院有权在本院及集团医院、区域协同场景中使用、扩展和集成相关成果。</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⑧承建方须确保平台具备完善的数据自主权保障机制，全面支持医院对标签、规则、队列、随访计划、画像数据及随访结果等核心业务数据的自由导出与平滑迁移。承建方应主动开放标准的数据导出接口与迁移工具，实现业务数据与平台架构的解耦，保障数据资产的安全、完整与可移植性。</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⑨涉及第三方组件、算法模型、知识库、工具软件的，应明确授权范围、使用期限、升级方式和费用边界，相关授权费用须包含在投标总价内。</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⑩平台须确立基于医院数据训练或微调的专病识别、标签推荐、语音识别及随访质检等模型的知识产权归属机制。上述模型的所有衍生资产（包括但不限于模型参数、训练脚本、特征工程逻辑等）均须明确归属于医院所有。承建方应提供完善的技术隔离与数据安全保障机制，确保上述医院专属模型资产严格限定在医院内部使用，保障医院数据资产与知识产权的排他性、安全性与合规性。</w:t>
      </w:r>
      <w:r/>
    </w:p>
    <w:p>
      <w:pPr>
        <w:ind w:firstLine="480"/>
        <w:spacing w:line="264" w:lineRule="auto"/>
        <w:rPr>
          <w:rFonts w:hint="eastAsia" w:ascii="宋体" w:hAnsi="宋体" w:cs="宋体"/>
          <w:bCs/>
          <w:sz w:val="24"/>
          <w:szCs w:val="24"/>
        </w:rPr>
        <w:outlineLvl w:val="2"/>
      </w:pPr>
      <w:r>
        <w:rPr>
          <w:rFonts w:ascii="Cambria Math" w:hAnsi="Cambria Math" w:cs="Cambria Math"/>
          <w:bCs/>
          <w:sz w:val="24"/>
          <w:szCs w:val="24"/>
        </w:rPr>
        <w:t xml:space="preserve">⑪</w:t>
      </w:r>
      <w:r>
        <w:rPr>
          <w:rFonts w:hint="eastAsia" w:ascii="宋体" w:hAnsi="宋体" w:cs="宋体"/>
          <w:bCs/>
          <w:sz w:val="24"/>
          <w:szCs w:val="24"/>
        </w:rPr>
        <w:t xml:space="preserve">数据销毁：项目终止或合同到期后，承建方须在30日内销毁所有医院数据副本（包括测试环境、备份、日志中的患者数据），并提交由医院认可的第三方机构出具的销毁证明。</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（7）验收标准与流程</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①验收流程</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项目验收分为初步验收、试运行、最终验收三个阶段。</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②初步验收标准：全部功能上线并对照投标响应条款100%核验；各项实质性技术要求逐项通过验证；交付文档齐全并完成移交。</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③试运行标准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试运行3个月，试运行期间系统可用性不低于99.9%，未发生一级（致命）故障；</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④最终验收标准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本章全部量化指标达成并提供验证记录；数据回流、备份与迁移能力验证通过；验收小组由临床、护理、信息等部门代表及必要时外聘专家组成。</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⑤验收不通过处理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验收不通过的，承建方须限期整改并重新验收；两次验收不通过的，医院有权解除合同并依据合同追究其违约责任。</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⑦</w:t>
      </w:r>
      <w:r>
        <w:rPr>
          <w:rFonts w:ascii="宋体" w:hAnsi="宋体" w:cs="宋体"/>
          <w:bCs/>
          <w:sz w:val="24"/>
          <w:szCs w:val="24"/>
        </w:rPr>
        <w:t xml:space="preserve">下表所列指标为本项目最低技术要求，作为测试与验收的依据；投标人须在响应文件中逐项承诺达成方式与实现路径。</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350"/>
        <w:gridCol w:w="2500"/>
        <w:gridCol w:w="2650"/>
        <w:gridCol w:w="1900"/>
      </w:tblGrid>
      <w:tr>
        <w:trPr>
          <w:jc w:val="center"/>
          <w:tblHeader/>
        </w:trPr>
        <w:tc>
          <w:tcPr>
            <w:tcW w:w="620" w:type="dxa"/>
            <w:vAlign w:val="center"/>
            <w:textDirection w:val="lrTb"/>
            <w:noWrap w:val="false"/>
          </w:tcPr>
          <w:p>
            <w:pPr>
              <w:jc w:val="center"/>
              <w:spacing w:before="40" w:after="40"/>
              <w:rPr>
                <w:rFonts w:hint="eastAsia" w:ascii="宋体" w:hAnsi="宋体"/>
              </w:rPr>
            </w:pPr>
            <w:r>
              <w:rPr>
                <w:rFonts w:ascii="宋体" w:hAnsi="宋体"/>
                <w:b/>
                <w:sz w:val="20"/>
              </w:rPr>
              <w:t xml:space="preserve">序号</w:t>
            </w:r>
            <w:r/>
          </w:p>
        </w:tc>
        <w:tc>
          <w:tcPr>
            <w:tcW w:w="1350" w:type="dxa"/>
            <w:vAlign w:val="center"/>
            <w:textDirection w:val="lrTb"/>
            <w:noWrap w:val="false"/>
          </w:tcPr>
          <w:p>
            <w:pPr>
              <w:jc w:val="center"/>
              <w:spacing w:before="40" w:after="40"/>
              <w:rPr>
                <w:rFonts w:hint="eastAsia" w:ascii="宋体" w:hAnsi="宋体"/>
              </w:rPr>
            </w:pPr>
            <w:r>
              <w:rPr>
                <w:rFonts w:ascii="宋体" w:hAnsi="宋体"/>
                <w:b/>
                <w:sz w:val="20"/>
              </w:rPr>
              <w:t xml:space="preserve">指标类别</w:t>
            </w:r>
            <w:r/>
          </w:p>
        </w:tc>
        <w:tc>
          <w:tcPr>
            <w:tcW w:w="2500" w:type="dxa"/>
            <w:vAlign w:val="center"/>
            <w:textDirection w:val="lrTb"/>
            <w:noWrap w:val="false"/>
          </w:tcPr>
          <w:p>
            <w:pPr>
              <w:jc w:val="center"/>
              <w:spacing w:before="40" w:after="40"/>
              <w:rPr>
                <w:rFonts w:hint="eastAsia" w:ascii="宋体" w:hAnsi="宋体"/>
              </w:rPr>
            </w:pPr>
            <w:r>
              <w:rPr>
                <w:rFonts w:ascii="宋体" w:hAnsi="宋体"/>
                <w:b/>
                <w:sz w:val="20"/>
              </w:rPr>
              <w:t xml:space="preserve">指标项</w:t>
            </w:r>
            <w:r/>
          </w:p>
        </w:tc>
        <w:tc>
          <w:tcPr>
            <w:tcW w:w="2650" w:type="dxa"/>
            <w:vAlign w:val="center"/>
            <w:textDirection w:val="lrTb"/>
            <w:noWrap w:val="false"/>
          </w:tcPr>
          <w:p>
            <w:pPr>
              <w:jc w:val="center"/>
              <w:spacing w:before="40" w:after="40"/>
              <w:rPr>
                <w:rFonts w:hint="eastAsia" w:ascii="宋体" w:hAnsi="宋体"/>
              </w:rPr>
            </w:pPr>
            <w:r>
              <w:rPr>
                <w:rFonts w:ascii="宋体" w:hAnsi="宋体"/>
                <w:b/>
                <w:sz w:val="20"/>
              </w:rPr>
              <w:t xml:space="preserve">指标要求</w:t>
            </w:r>
            <w:r/>
          </w:p>
        </w:tc>
        <w:tc>
          <w:tcPr>
            <w:tcW w:w="1900" w:type="dxa"/>
            <w:vAlign w:val="center"/>
            <w:textDirection w:val="lrTb"/>
            <w:noWrap w:val="false"/>
          </w:tcPr>
          <w:p>
            <w:pPr>
              <w:jc w:val="center"/>
              <w:spacing w:before="40" w:after="40"/>
              <w:rPr>
                <w:rFonts w:hint="eastAsia" w:ascii="宋体" w:hAnsi="宋体"/>
              </w:rPr>
            </w:pPr>
            <w:r>
              <w:rPr>
                <w:rFonts w:ascii="宋体" w:hAnsi="宋体"/>
                <w:b/>
                <w:sz w:val="20"/>
              </w:rPr>
              <w:t xml:space="preserve">验证方式</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患者识别</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患者统一ID匹配准确率</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≥99.5%</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样本数据测试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2</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患者画像</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13类画像信息要素覆盖率</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100%</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功能与接口核验</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3</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标签管理</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业务人员独立完成标签规则配置发布</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单条不超过1个工作日</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操作验证</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4</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标签计算</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全院标签日批量计算完成时限</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不超过2小时</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性能测试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5</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专病队列</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队列成员动态更新时效</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T+1</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数据核验</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6</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接口服务</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在线接口年度可用性</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≥99.9%</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试运行监测</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7</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接口服务</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单接口P95响应时间</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≤500毫秒</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性能测试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8</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智能外呼</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并发外呼能力</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≥20路，可扩展至≥100路</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外呼测试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9</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语音识别</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普通话识别准确率（安静环境）</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≥85%</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样本集测试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10</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语音识别</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本地方言支持</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至少1种本地常用方言</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功能验证</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11</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多轮对话</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有效对话轮次</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≥5轮，支持打断与追问</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外呼测试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12</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异常识别</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异常回答识别准确率</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≥80%</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样本集测试</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13</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结果回填</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结构化回填字段覆盖率</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100%</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接口核验</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14</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录音管理</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全程录音率与留存期限</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录音率100%，留存≥2年</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功能核验</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15</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系统性能</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系统年度可用性</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≥99.9%</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试运行监测</w:t>
            </w:r>
            <w:r/>
          </w:p>
        </w:tc>
      </w:tr>
      <w:tr>
        <w:trPr>
          <w:jc w:val="center"/>
        </w:trPr>
        <w:tc>
          <w:tcPr>
            <w:tcW w:w="620" w:type="dxa"/>
            <w:vAlign w:val="center"/>
            <w:textDirection w:val="lrTb"/>
            <w:noWrap w:val="false"/>
          </w:tcPr>
          <w:p>
            <w:pPr>
              <w:jc w:val="center"/>
              <w:spacing w:before="40" w:after="40"/>
              <w:rPr>
                <w:rFonts w:hint="eastAsia" w:ascii="宋体" w:hAnsi="宋体"/>
              </w:rPr>
            </w:pPr>
            <w:r>
              <w:rPr>
                <w:rFonts w:hint="eastAsia" w:ascii="宋体" w:hAnsi="宋体"/>
                <w:color w:val="auto"/>
                <w:sz w:val="20"/>
              </w:rPr>
              <w:t xml:space="preserve">16</w:t>
            </w:r>
            <w:r/>
          </w:p>
        </w:tc>
        <w:tc>
          <w:tcPr>
            <w:tcW w:w="13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系统性能</w:t>
            </w:r>
            <w:r/>
          </w:p>
        </w:tc>
        <w:tc>
          <w:tcPr>
            <w:tcW w:w="25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并发用户数支持</w:t>
            </w:r>
            <w:r/>
          </w:p>
        </w:tc>
        <w:tc>
          <w:tcPr>
            <w:tcW w:w="265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≥100</w:t>
            </w:r>
            <w:r/>
          </w:p>
        </w:tc>
        <w:tc>
          <w:tcPr>
            <w:tcW w:w="1900" w:type="dxa"/>
            <w:vAlign w:val="center"/>
            <w:textDirection w:val="lrTb"/>
            <w:noWrap w:val="false"/>
          </w:tcPr>
          <w:p>
            <w:pPr>
              <w:spacing w:before="40" w:after="40"/>
              <w:rPr>
                <w:rFonts w:hint="eastAsia" w:ascii="宋体" w:hAnsi="宋体"/>
              </w:rPr>
            </w:pPr>
            <w:r>
              <w:rPr>
                <w:rFonts w:hint="eastAsia" w:ascii="宋体" w:hAnsi="宋体"/>
                <w:color w:val="auto"/>
                <w:sz w:val="20"/>
              </w:rPr>
              <w:t xml:space="preserve">性能测试</w:t>
            </w:r>
            <w:r/>
          </w:p>
        </w:tc>
      </w:tr>
    </w:tbl>
    <w:p>
      <w:pPr>
        <w:pStyle w:val="857"/>
        <w:rPr>
          <w:rFonts w:hint="eastAsia"/>
        </w:rPr>
      </w:pPr>
      <w:r>
        <w:rPr>
          <w:rFonts w:hint="eastAsia"/>
        </w:rPr>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（8）信创适配要求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项目涉及的软件、硬件产品满足信创要求。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（9）网络安全等级保护测评要求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供应商配合采购人，做好系统通过等保测评相关准备工作。</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（10）网络安全和数据安全要求，外包网络安全管理要求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（11）系统培训要求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（十二）安全与合规要求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平台应满足国家和医院关于网络安全、数据安全、个人信息保护、医疗数据管理的相关要求，并满足下列要求：</w:t>
      </w:r>
      <w:r/>
    </w:p>
    <w:p>
      <w:pPr>
        <w:numPr>
          <w:ilvl w:val="0"/>
          <w:numId w:val="5"/>
        </w:numPr>
        <w:spacing w:line="264" w:lineRule="auto"/>
        <w:rPr>
          <w:rFonts w:hint="eastAsia" w:ascii="宋体" w:hAnsi="宋体" w:cs="宋体"/>
          <w:sz w:val="24"/>
          <w:szCs w:val="24"/>
        </w:rPr>
      </w:pPr>
      <w:r>
        <w:rPr>
          <w:rFonts w:hint="eastAsia" w:ascii="宋体" w:hAnsi="宋体" w:cs="宋体"/>
          <w:sz w:val="24"/>
          <w:szCs w:val="24"/>
        </w:rPr>
        <w:t xml:space="preserve">用户身份认证、角色权限管理、最小授权、数据访问控制；</w:t>
      </w:r>
      <w:r/>
    </w:p>
    <w:p>
      <w:pPr>
        <w:numPr>
          <w:ilvl w:val="0"/>
          <w:numId w:val="5"/>
        </w:numPr>
        <w:spacing w:line="264" w:lineRule="auto"/>
        <w:rPr>
          <w:rFonts w:hint="eastAsia" w:ascii="宋体" w:hAnsi="宋体" w:cs="宋体"/>
          <w:sz w:val="24"/>
          <w:szCs w:val="24"/>
        </w:rPr>
      </w:pPr>
      <w:r>
        <w:rPr>
          <w:rFonts w:hint="eastAsia" w:ascii="宋体" w:hAnsi="宋体" w:cs="宋体"/>
          <w:sz w:val="24"/>
          <w:szCs w:val="24"/>
        </w:rPr>
        <w:t xml:space="preserve">敏感数据脱敏、数据传输加密、数据存储安全；</w:t>
      </w:r>
      <w:r/>
    </w:p>
    <w:p>
      <w:pPr>
        <w:numPr>
          <w:ilvl w:val="0"/>
          <w:numId w:val="5"/>
        </w:numPr>
        <w:spacing w:line="264" w:lineRule="auto"/>
        <w:rPr>
          <w:rFonts w:hint="eastAsia" w:ascii="宋体" w:hAnsi="宋体" w:cs="宋体"/>
          <w:sz w:val="24"/>
          <w:szCs w:val="24"/>
        </w:rPr>
      </w:pPr>
      <w:r>
        <w:rPr>
          <w:rFonts w:hint="eastAsia" w:ascii="宋体" w:hAnsi="宋体" w:cs="宋体"/>
          <w:sz w:val="24"/>
          <w:szCs w:val="24"/>
        </w:rPr>
        <w:t xml:space="preserve">操作日志、接口调用审计、标签和规则变更审计；</w:t>
      </w:r>
      <w:r/>
    </w:p>
    <w:p>
      <w:pPr>
        <w:numPr>
          <w:ilvl w:val="0"/>
          <w:numId w:val="5"/>
        </w:numPr>
        <w:spacing w:line="264" w:lineRule="auto"/>
        <w:rPr>
          <w:rFonts w:hint="eastAsia" w:ascii="宋体" w:hAnsi="宋体" w:cs="宋体"/>
          <w:sz w:val="24"/>
          <w:szCs w:val="24"/>
        </w:rPr>
      </w:pPr>
      <w:r>
        <w:rPr>
          <w:rFonts w:hint="eastAsia" w:ascii="宋体" w:hAnsi="宋体" w:cs="宋体"/>
          <w:sz w:val="24"/>
          <w:szCs w:val="24"/>
        </w:rPr>
        <w:t xml:space="preserve">患者隐私保护、数据导出审批、异常访问告警；</w:t>
      </w:r>
      <w:r/>
    </w:p>
    <w:p>
      <w:pPr>
        <w:numPr>
          <w:ilvl w:val="0"/>
          <w:numId w:val="5"/>
        </w:numPr>
        <w:spacing w:line="264" w:lineRule="auto"/>
        <w:rPr>
          <w:rFonts w:hint="eastAsia" w:ascii="宋体" w:hAnsi="宋体" w:cs="宋体"/>
          <w:sz w:val="24"/>
          <w:szCs w:val="24"/>
        </w:rPr>
      </w:pPr>
      <w:r>
        <w:rPr>
          <w:rFonts w:hint="eastAsia" w:ascii="宋体" w:hAnsi="宋体" w:cs="宋体"/>
          <w:sz w:val="24"/>
          <w:szCs w:val="24"/>
        </w:rPr>
        <w:t xml:space="preserve">系统安全加固、等保测评配合、安全漏洞整改；</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⑥智能语音随访涉及患者触达时，应支持患者身份核验、授权管理、退订机制、敏感内容控制和人工兜底机制；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⑦通话录音安全管理：录音存储加密、访问权限控制、留存期限管理（不少于2年）、超期自动销毁；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⑧平台须严格限定患者数据在院内安全环境内流转，杜绝未经授权的院外传输。调用云厂商语音外呼资源时，须通过医院安全评估，并采用数据不落地技术，确保患者数据不在云厂商环境中留存，保障数据主权与隐私安全。</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3.付款条件</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以合同文本内容为准。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4.交付时间及地点</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（1）交付时间：系统开发及初验时间为合同签订后30天内，初验合格试运行3个月进行终验。</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（2）交付地点：采购人指定地点。</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5.履约保证金</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以合同文本内容为准。</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6.其他要求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pStyle w:val="924"/>
        <w:rPr>
          <w:lang w:val="en-US"/>
        </w:rPr>
      </w:pPr>
      <w:r>
        <w:rPr>
          <w:lang w:val="en-US"/>
        </w:rPr>
      </w:r>
      <w:r/>
    </w:p>
    <w:p>
      <w:r/>
      <w:r/>
    </w:p>
    <w:p>
      <w:pPr>
        <w:pStyle w:val="924"/>
        <w:rPr>
          <w:rFonts w:hint="eastAsia" w:ascii="宋体" w:hAnsi="宋体" w:eastAsia="宋体"/>
          <w:sz w:val="24"/>
          <w:szCs w:val="24"/>
        </w:rPr>
      </w:pPr>
      <w:r>
        <w:rPr>
          <w:rFonts w:hint="eastAsia" w:ascii="宋体" w:hAnsi="宋体" w:eastAsia="宋体"/>
          <w:sz w:val="24"/>
          <w:szCs w:val="24"/>
        </w:rPr>
      </w:r>
      <w:r/>
    </w:p>
    <w:p>
      <w:pPr>
        <w:rPr>
          <w:rFonts w:hint="eastAsia" w:ascii="宋体" w:hAnsi="宋体" w:cs="宋体"/>
          <w:sz w:val="24"/>
          <w:szCs w:val="24"/>
        </w:rPr>
      </w:pPr>
      <w:r>
        <w:rPr>
          <w:rFonts w:hint="eastAsia" w:ascii="宋体" w:hAnsi="宋体" w:cs="宋体"/>
          <w:sz w:val="24"/>
          <w:szCs w:val="24"/>
        </w:rPr>
      </w:r>
      <w:r/>
    </w:p>
    <w:p>
      <w:pPr>
        <w:pStyle w:val="924"/>
        <w:rPr>
          <w:rFonts w:hint="eastAsia" w:ascii="宋体" w:hAnsi="宋体" w:eastAsia="宋体"/>
          <w:sz w:val="24"/>
          <w:szCs w:val="24"/>
        </w:rPr>
      </w:pPr>
      <w:r>
        <w:rPr>
          <w:rFonts w:hint="eastAsia" w:ascii="宋体" w:hAnsi="宋体" w:eastAsia="宋体"/>
          <w:sz w:val="24"/>
          <w:szCs w:val="24"/>
        </w:rPr>
      </w:r>
      <w:r/>
    </w:p>
    <w:p>
      <w:pPr>
        <w:rPr>
          <w:rFonts w:hint="eastAsia" w:ascii="宋体" w:hAnsi="宋体" w:cs="宋体"/>
          <w:sz w:val="24"/>
          <w:szCs w:val="24"/>
        </w:rPr>
      </w:pPr>
      <w:r>
        <w:rPr>
          <w:rFonts w:hint="eastAsia" w:ascii="宋体" w:hAnsi="宋体" w:cs="宋体"/>
          <w:sz w:val="24"/>
          <w:szCs w:val="24"/>
        </w:rPr>
      </w:r>
      <w:r/>
    </w:p>
    <w:p>
      <w:pPr>
        <w:pStyle w:val="924"/>
        <w:rPr>
          <w:rFonts w:hint="eastAsia" w:ascii="宋体" w:hAnsi="宋体" w:eastAsia="宋体"/>
          <w:sz w:val="24"/>
          <w:szCs w:val="24"/>
        </w:rPr>
      </w:pPr>
      <w:r>
        <w:rPr>
          <w:rFonts w:hint="eastAsia" w:ascii="宋体" w:hAnsi="宋体" w:eastAsia="宋体"/>
          <w:sz w:val="24"/>
          <w:szCs w:val="24"/>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rPr>
        <w:br w:type="page" w:clear="all"/>
      </w:r>
      <w:bookmarkStart w:id="60" w:name="_Toc120614281"/>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color w:val="auto"/>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cs="宋体"/>
          <w:b/>
          <w:bCs/>
          <w:color w:val="auto"/>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auto"/>
          <w:sz w:val="24"/>
          <w:szCs w:val="24"/>
        </w:rPr>
        <w:t xml:space="preserve">10%</w:t>
      </w:r>
      <w:r>
        <w:rPr>
          <w:rFonts w:hint="eastAsia" w:ascii="宋体" w:hAnsi="宋体" w:cs="宋体"/>
          <w:sz w:val="24"/>
          <w:szCs w:val="24"/>
        </w:rPr>
        <w:t xml:space="preserve">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四、评标标准</w:t>
      </w:r>
      <w:r/>
    </w:p>
    <w:p>
      <w:pPr>
        <w:spacing w:line="264" w:lineRule="auto"/>
      </w:pPr>
      <w:r/>
      <w:r/>
    </w:p>
    <w:tbl>
      <w:tblPr>
        <w:tblStyle w:val="85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rPr>
              <w:t xml:space="preserve">产</w:t>
            </w:r>
            <w:r>
              <w:rPr>
                <w:rFonts w:hint="eastAsia"/>
                <w:color w:val="auto"/>
              </w:rPr>
              <w:t xml:space="preserve">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w:t>
            </w:r>
            <w:r>
              <w:rPr>
                <w:rStyle w:val="896"/>
                <w:rFonts w:hint="eastAsia" w:ascii="宋体" w:hAnsi="宋体" w:cs="宋体"/>
                <w:lang w:eastAsia="zh-CN"/>
              </w:rPr>
              <w:t xml:space="preserve">（</w:t>
            </w:r>
            <w:r>
              <w:rPr>
                <w:rStyle w:val="896"/>
                <w:rFonts w:hint="eastAsia" w:ascii="宋体" w:hAnsi="宋体" w:cs="宋体"/>
                <w:lang w:val="en-US" w:eastAsia="zh-CN"/>
              </w:rPr>
              <w:t xml:space="preserve">共4个</w:t>
            </w:r>
            <w:r>
              <w:rPr>
                <w:rStyle w:val="896"/>
                <w:rFonts w:hint="eastAsia" w:ascii="宋体" w:hAnsi="宋体" w:cs="宋体"/>
                <w:lang w:eastAsia="zh-CN"/>
              </w:rPr>
              <w:t xml:space="preserve">）</w:t>
            </w:r>
            <w:r>
              <w:rPr>
                <w:rFonts w:ascii="宋体" w:hAnsi="宋体" w:cs="宋体"/>
              </w:rPr>
              <w:t xml:space="preserve">指标为必须满足项，如有负偏离将作为无效投标</w:t>
            </w:r>
            <w:r>
              <w:rPr>
                <w:rFonts w:hint="eastAsia" w:ascii="宋体" w:hAnsi="宋体" w:cs="宋体"/>
              </w:rPr>
              <w:t xml:space="preserve">，</w:t>
            </w:r>
            <w:r>
              <w:rPr>
                <w:rFonts w:ascii="宋体" w:hAnsi="宋体" w:cs="宋体"/>
              </w:rPr>
              <w:t xml:space="preserve">打▲</w:t>
            </w:r>
            <w:r>
              <w:rPr>
                <w:rStyle w:val="896"/>
                <w:rFonts w:hint="eastAsia" w:ascii="宋体" w:hAnsi="宋体" w:cs="宋体"/>
                <w:lang w:eastAsia="zh-CN"/>
              </w:rPr>
              <w:t xml:space="preserve">（</w:t>
            </w:r>
            <w:r>
              <w:rPr>
                <w:rStyle w:val="896"/>
                <w:rFonts w:hint="eastAsia" w:ascii="宋体" w:hAnsi="宋体" w:cs="宋体"/>
                <w:lang w:val="en-US" w:eastAsia="zh-CN"/>
              </w:rPr>
              <w:t xml:space="preserve">共5个</w:t>
            </w:r>
            <w:r>
              <w:rPr>
                <w:rStyle w:val="896"/>
                <w:rFonts w:hint="eastAsia" w:ascii="宋体" w:hAnsi="宋体" w:cs="宋体"/>
                <w:lang w:eastAsia="zh-CN"/>
              </w:rPr>
              <w:t xml:space="preserve">）</w:t>
            </w:r>
            <w:r>
              <w:rPr>
                <w:rFonts w:ascii="宋体" w:hAnsi="宋体" w:cs="宋体"/>
              </w:rPr>
              <w:t xml:space="preserve">指标为重要指标，</w:t>
            </w:r>
            <w:r>
              <w:rPr>
                <w:rFonts w:hint="eastAsia" w:ascii="宋体" w:hAnsi="宋体" w:cs="宋体"/>
              </w:rPr>
              <w:t xml:space="preserve">有1项负偏离扣2分，其余指标</w:t>
            </w:r>
            <w:r>
              <w:rPr>
                <w:rFonts w:hint="eastAsia" w:ascii="宋体" w:hAnsi="宋体" w:cs="宋体"/>
                <w:lang w:eastAsia="zh-CN"/>
              </w:rPr>
              <w:t xml:space="preserve">（</w:t>
            </w:r>
            <w:r>
              <w:rPr>
                <w:rFonts w:hint="eastAsia" w:ascii="宋体" w:hAnsi="宋体" w:cs="宋体"/>
                <w:lang w:val="en-US" w:eastAsia="zh-CN"/>
              </w:rPr>
              <w:t xml:space="preserve">共100个</w:t>
            </w:r>
            <w:r>
              <w:rPr>
                <w:rFonts w:hint="eastAsia" w:ascii="宋体" w:hAnsi="宋体" w:cs="宋体"/>
                <w:lang w:eastAsia="zh-CN"/>
              </w:rPr>
              <w:t xml:space="preserve">）</w:t>
            </w:r>
            <w:r>
              <w:rPr>
                <w:rFonts w:hint="eastAsia" w:ascii="宋体" w:hAnsi="宋体" w:cs="宋体"/>
              </w:rPr>
              <w:t xml:space="preserve">有1项负偏离扣0.25分。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auto"/>
              </w:rPr>
              <w:t xml:space="preserve">35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rPr>
              <w:t xml:space="preserve">需求理解</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据本项目采购需求编制方案，内容包含：1.业务需求分析；2.建设目标分析；3.建设依据、必要性分析。以上每项内容逐项评分：</w:t>
            </w:r>
            <w:r/>
          </w:p>
          <w:p>
            <w:r>
              <w:rPr>
                <w:rFonts w:hint="eastAsia"/>
              </w:rPr>
              <w:t xml:space="preserve">业务需求分析内容完整深刻、针对性强、紧贴采购需求，且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4"/>
              <w:spacing w:line="264" w:lineRule="auto"/>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2.</w:t>
            </w:r>
            <w:r>
              <w:rPr>
                <w:rFonts w:hint="eastAsia" w:ascii="宋体" w:hAnsi="宋体" w:cs="宋体"/>
                <w:spacing w:val="-2"/>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实施方案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根据本项目采购需求中“实施要求”编制方案，内容包含1.实施流程；2.实施进度安排；3.验收措施。以上每项内容逐项评分：</w:t>
            </w:r>
            <w:r/>
          </w:p>
          <w:p>
            <w:r>
              <w:t xml:space="preserve">方案内容</w:t>
            </w:r>
            <w:r>
              <w:rPr>
                <w:rFonts w:hint="eastAsia"/>
              </w:rPr>
              <w:t xml:space="preserve">制定规范完整，各环节衔接顺畅并贴合项目实际，且</w:t>
            </w:r>
            <w:r>
              <w:t xml:space="preserve">专门针对本项目，</w:t>
            </w:r>
            <w:r>
              <w:rPr>
                <w:rFonts w:hint="eastAsia"/>
              </w:rPr>
              <w:t xml:space="preserve">契合</w:t>
            </w:r>
            <w:r>
              <w:t xml:space="preserve">采购需求视为符合；</w:t>
            </w:r>
            <w:r/>
          </w:p>
          <w:p>
            <w:r>
              <w:t xml:space="preserve">方案内容属于通用类，非专门针对本项目，部分</w:t>
            </w:r>
            <w:r>
              <w:rPr>
                <w:rFonts w:hint="eastAsia"/>
              </w:rPr>
              <w:t xml:space="preserve">契合采购需求</w:t>
            </w:r>
            <w:r>
              <w:t xml:space="preserve">视为部分符合；</w:t>
            </w:r>
            <w:r/>
          </w:p>
          <w:p>
            <w:r>
              <w:t xml:space="preserve">方案内容非专门针对本项目</w:t>
            </w:r>
            <w:r>
              <w:rPr>
                <w:rFonts w:hint="eastAsia"/>
              </w:rPr>
              <w:t xml:space="preserve">，脱离</w:t>
            </w:r>
            <w:r>
              <w:t xml:space="preserve">采购需求视为不符合。</w:t>
            </w:r>
            <w:r/>
          </w:p>
          <w:p>
            <w:pPr>
              <w:jc w:val="left"/>
              <w:spacing w:line="264" w:lineRule="auto"/>
              <w:rPr>
                <w:lang w:val="zh-CN"/>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b/>
                <w:bCs/>
                <w:spacing w:val="-2"/>
                <w:lang w:eastAsia="zh-CN"/>
              </w:rPr>
            </w:pPr>
            <w:r>
              <w:rPr>
                <w:rFonts w:hint="eastAsia" w:ascii="宋体" w:hAnsi="宋体" w:cs="宋体"/>
                <w:b w:val="0"/>
                <w:bCs w:val="0"/>
                <w:spacing w:val="-2"/>
              </w:rPr>
              <w:t xml:space="preserve">2.</w:t>
            </w:r>
            <w:r>
              <w:rPr>
                <w:rFonts w:hint="eastAsia" w:ascii="宋体" w:hAnsi="宋体" w:cs="宋体"/>
                <w:b w:val="0"/>
                <w:bCs w:val="0"/>
                <w:spacing w:val="-2"/>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rPr>
                <w:b/>
                <w:bCs/>
              </w:rPr>
            </w:pPr>
            <w:r>
              <w:rPr>
                <w:rFonts w:hint="eastAsia"/>
              </w:rPr>
              <w:t xml:space="preserve">总体技术方案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根据本项目采购需求中“技术要求”编制方案，内容包括：1.总体架构和性能设计；2.用户界面和应用功能设计；3.系统部署和安全防护设计。以上每项内容逐项评分：</w:t>
            </w:r>
            <w:r/>
          </w:p>
          <w:p>
            <w:r>
              <w:t xml:space="preserve">方案内容</w:t>
            </w:r>
            <w:r>
              <w:rPr>
                <w:rFonts w:hint="eastAsia"/>
              </w:rPr>
              <w:t xml:space="preserve">制定清晰完整，提供架构图层次分明，且</w:t>
            </w:r>
            <w:r>
              <w:t xml:space="preserve">专门针对本项目，</w:t>
            </w:r>
            <w:r>
              <w:rPr>
                <w:rFonts w:hint="eastAsia"/>
              </w:rPr>
              <w:t xml:space="preserve">契合</w:t>
            </w:r>
            <w:r>
              <w:t xml:space="preserve">采购需求视为符合；方案内容属于通用类，非专门针对本</w:t>
            </w:r>
            <w:bookmarkStart w:id="76" w:name="_GoBack"/>
            <w:r/>
            <w:bookmarkEnd w:id="76"/>
            <w:r>
              <w:t xml:space="preserve">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b/>
                <w:bCs/>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4"/>
              </w:rPr>
            </w:pPr>
            <w:r>
              <w:rPr>
                <w:rFonts w:hint="eastAsia" w:ascii="宋体" w:hAnsi="宋体" w:cs="宋体"/>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rPr>
              <w:t xml:space="preserve">运维服务方案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根据本项目采购需求中“运维要求”编制方案，内容包含：</w:t>
            </w:r>
            <w:r>
              <w:t xml:space="preserve">1.</w:t>
            </w:r>
            <w:r>
              <w:rPr>
                <w:rFonts w:hint="eastAsia"/>
              </w:rPr>
              <w:t xml:space="preserve">技术支持；</w:t>
            </w:r>
            <w:r>
              <w:t xml:space="preserve">2.</w:t>
            </w:r>
            <w:r>
              <w:rPr>
                <w:rFonts w:hint="eastAsia"/>
              </w:rPr>
              <w:t xml:space="preserve">保障措施。以上每项内容逐项评分：</w:t>
            </w:r>
            <w:r/>
          </w:p>
          <w:p>
            <w:r>
              <w:t xml:space="preserve">方案内容</w:t>
            </w:r>
            <w:r>
              <w:rPr>
                <w:rFonts w:hint="eastAsia"/>
              </w:rPr>
              <w:t xml:space="preserve">提供专业技术支持，精准解决技术难题</w:t>
            </w:r>
            <w:r>
              <w:t xml:space="preserve">，</w:t>
            </w:r>
            <w:r>
              <w:rPr>
                <w:rFonts w:hint="eastAsia"/>
              </w:rPr>
              <w:t xml:space="preserve">保障措施全面，契合</w:t>
            </w:r>
            <w:r>
              <w:t xml:space="preserve">采购需求视为符合；方案内容</w:t>
            </w:r>
            <w:r>
              <w:rPr>
                <w:rFonts w:hint="eastAsia"/>
              </w:rPr>
              <w:t xml:space="preserve">提供基本技术支持，能够响应一般，技术需求保障措施基本到位</w:t>
            </w:r>
            <w:r>
              <w:t xml:space="preserve">视为</w:t>
            </w:r>
            <w:r>
              <w:rPr>
                <w:rFonts w:hint="eastAsia"/>
              </w:rPr>
              <w:t xml:space="preserve">部分</w:t>
            </w:r>
            <w:r>
              <w:t xml:space="preserve">符合；方案内容非专门针对本项目</w:t>
            </w:r>
            <w:r>
              <w:rPr>
                <w:rFonts w:hint="eastAsia"/>
              </w:rPr>
              <w:t xml:space="preserve">，脱离</w:t>
            </w:r>
            <w:r>
              <w:t xml:space="preserve">采购需求视为不符合。</w:t>
            </w:r>
            <w:r/>
          </w:p>
          <w:p>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根据本项目采购需求中“培训要求”编制方案，内容包含：</w:t>
            </w:r>
            <w:r>
              <w:t xml:space="preserve">1.</w:t>
            </w:r>
            <w:r>
              <w:rPr>
                <w:rFonts w:hint="eastAsia"/>
              </w:rPr>
              <w:t xml:space="preserve">培训计划；</w:t>
            </w:r>
            <w:r>
              <w:t xml:space="preserve">2.</w:t>
            </w:r>
            <w:r>
              <w:rPr>
                <w:rFonts w:hint="eastAsia"/>
              </w:rPr>
              <w:t xml:space="preserve">培训内容；</w:t>
            </w:r>
            <w:r>
              <w:t xml:space="preserve">3.</w:t>
            </w:r>
            <w:r>
              <w:rPr>
                <w:rFonts w:hint="eastAsia"/>
              </w:rPr>
              <w:t xml:space="preserve">培训质量保障措施。以上每项内容逐项评分：</w:t>
            </w:r>
            <w:r/>
          </w:p>
          <w:p>
            <w:r>
              <w:rPr>
                <w:rFonts w:hint="eastAsia"/>
              </w:rPr>
              <w:t xml:space="preserve">方案内容细化到不同角色，培训内容系统深入，契合采购需求视为符合；方案内容有角色区分但不够详细，培训内容覆盖基础操作但深度不足，视为部分符合；方案内容非专门针对本项目，脱离采购需求视为不符合。</w:t>
            </w:r>
            <w:r/>
          </w:p>
          <w:p>
            <w:r>
              <w:rPr>
                <w:rFonts w:hint="eastAsia"/>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color w:val="auto"/>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lang w:bidi="zh-CN"/>
              </w:rPr>
            </w:pPr>
            <w:r>
              <w:rPr>
                <w:rFonts w:ascii="宋体" w:hAnsi="宋体" w:cs="宋体"/>
              </w:rPr>
              <w:t xml:space="preserve">投标人提供2023年1月1日（含）以来</w:t>
            </w:r>
            <w:r>
              <w:rPr>
                <w:rFonts w:hint="eastAsia" w:ascii="宋体" w:hAnsi="宋体" w:cs="宋体"/>
                <w:sz w:val="21"/>
                <w:szCs w:val="21"/>
              </w:rPr>
              <w:t xml:space="preserve">患者随访</w:t>
            </w:r>
            <w:r>
              <w:rPr>
                <w:rFonts w:hint="eastAsia" w:ascii="宋体" w:hAnsi="宋体" w:cs="宋体"/>
              </w:rPr>
              <w:t xml:space="preserve">或</w:t>
            </w:r>
            <w:r>
              <w:rPr>
                <w:rFonts w:hint="eastAsia" w:ascii="宋体" w:hAnsi="宋体" w:cs="宋体"/>
                <w:sz w:val="21"/>
                <w:szCs w:val="21"/>
              </w:rPr>
              <w:t xml:space="preserve">专病患者管理</w:t>
            </w:r>
            <w:r>
              <w:rPr>
                <w:rFonts w:hint="eastAsia" w:ascii="宋体" w:hAnsi="宋体" w:cs="宋体"/>
              </w:rPr>
              <w:t xml:space="preserve">或</w:t>
            </w:r>
            <w:r>
              <w:rPr>
                <w:rFonts w:hint="eastAsia" w:ascii="宋体" w:hAnsi="宋体" w:cs="宋体"/>
                <w:sz w:val="21"/>
                <w:szCs w:val="21"/>
              </w:rPr>
              <w:t xml:space="preserve">慢病</w:t>
            </w:r>
            <w:r>
              <w:rPr>
                <w:rFonts w:hint="eastAsia" w:ascii="宋体" w:hAnsi="宋体" w:cs="宋体"/>
              </w:rPr>
              <w:t xml:space="preserve">患者</w:t>
            </w:r>
            <w:r>
              <w:rPr>
                <w:rFonts w:hint="eastAsia" w:ascii="宋体" w:hAnsi="宋体" w:cs="宋体"/>
                <w:sz w:val="21"/>
                <w:szCs w:val="21"/>
              </w:rPr>
              <w:t xml:space="preserve">管理类</w:t>
            </w:r>
            <w:r>
              <w:rPr>
                <w:rFonts w:ascii="宋体" w:hAnsi="宋体" w:cs="宋体"/>
              </w:rPr>
              <w:t xml:space="preserve">项目业绩，每提供1个得2分，最高得4分。（时间以合同签订时间为准，提供有效合同</w:t>
            </w:r>
            <w:r>
              <w:rPr>
                <w:rFonts w:hint="eastAsia" w:ascii="宋体" w:hAnsi="宋体" w:cs="宋体"/>
              </w:rPr>
              <w:t xml:space="preserve">及验收报告</w:t>
            </w:r>
            <w:r>
              <w:rPr>
                <w:rFonts w:ascii="宋体" w:hAnsi="宋体" w:cs="宋体"/>
              </w:rPr>
              <w:t xml:space="preserve">，合同页须清晰可见相应内容））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ascii="宋体" w:hAnsi="宋体" w:cs="宋体"/>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w:t>
            </w:r>
            <w:r>
              <w:rPr>
                <w:color w:val="auto"/>
              </w:rPr>
              <w:t xml:space="preserve">1</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拟投入本项目的项目经理具备:</w:t>
            </w:r>
            <w:r/>
          </w:p>
          <w:p>
            <w:pPr>
              <w:spacing w:line="264" w:lineRule="auto"/>
            </w:pPr>
            <w:r>
              <w:rPr>
                <w:rFonts w:hint="eastAsia"/>
              </w:rPr>
              <w:t xml:space="preserve">工信部门和人社部门发放的高级工程师、工信部门发放的信息安全工程师、工信部门和人社部门发放的信息系统项目管理师、中国网络安全审查认证和市场监管大数据中心发放的CISAW信息安全保障人员（应急服务）专业级、中国信息安全测评中心发放的</w:t>
            </w:r>
            <w:r>
              <w:rPr>
                <w:rFonts w:ascii="宋体" w:hAnsi="宋体" w:cs="宋体"/>
              </w:rPr>
              <w:t xml:space="preserve">注册信息安全</w:t>
            </w:r>
            <w:r>
              <w:rPr>
                <w:rFonts w:hint="eastAsia" w:ascii="宋体" w:hAnsi="宋体" w:cs="宋体"/>
              </w:rPr>
              <w:t xml:space="preserve">管理人员</w:t>
            </w:r>
            <w:r>
              <w:rPr>
                <w:rFonts w:ascii="宋体" w:hAnsi="宋体" w:cs="宋体"/>
              </w:rPr>
              <w:t xml:space="preserve">CISP-CIS</w:t>
            </w:r>
            <w:r>
              <w:rPr>
                <w:rFonts w:hint="eastAsia" w:ascii="宋体" w:hAnsi="宋体" w:cs="宋体"/>
              </w:rPr>
              <w:t xml:space="preserve">O</w:t>
            </w:r>
            <w:r>
              <w:rPr>
                <w:rFonts w:hint="eastAsia"/>
              </w:rPr>
              <w:t xml:space="preserve">, 每提供1个得1分，最多得5分。</w:t>
            </w:r>
            <w:r/>
          </w:p>
          <w:p>
            <w:pPr>
              <w:spacing w:line="264" w:lineRule="auto"/>
              <w:rPr>
                <w:b/>
                <w:bCs/>
              </w:rPr>
            </w:pPr>
            <w:r>
              <w:rPr>
                <w:rFonts w:hint="eastAsia"/>
              </w:rPr>
              <w:t xml:space="preserve">（提供人员证书及投标人为其缴纳的2026年1月以来任意一个月的社保证明材料，缺任意一项不得分）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w:t>
            </w:r>
            <w:r>
              <w:rPr>
                <w:color w:val="auto"/>
              </w:rPr>
              <w:t xml:space="preserve">2</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拟投入本项目的项目技术负责人具备：</w:t>
            </w:r>
            <w:r/>
          </w:p>
          <w:p>
            <w:pPr>
              <w:spacing w:line="264" w:lineRule="auto"/>
            </w:pPr>
            <w:r>
              <w:rPr>
                <w:rFonts w:hint="eastAsia"/>
              </w:rPr>
              <w:t xml:space="preserve">工信部门和人社部门发放的通信工程师、人社部门发放的网络工程师、工信部门和人社部门发放的信息系统项目管理师、中国电子技术标准化研究院发放的ITSS-信息技术应用创新服务工程师、中国电子技术标准化研究院发放的ITSS-IT服务工程师，每提供1个得1分，最多得5分。</w:t>
            </w:r>
            <w:r/>
          </w:p>
          <w:p>
            <w:pPr>
              <w:spacing w:line="264" w:lineRule="auto"/>
            </w:pPr>
            <w:r>
              <w:rPr>
                <w:rFonts w:hint="eastAsia"/>
              </w:rPr>
              <w:t xml:space="preserve">（提供人员证书及投标人为其缴纳的2026年1月以来任意一个月的社保证明材料，缺任意一项不得分）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w:t>
            </w:r>
            <w:r>
              <w:rPr>
                <w:color w:val="auto"/>
              </w:rPr>
              <w:t xml:space="preserve">3</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拟投入本项目的项目技术项目组成员（项目经理和技术负责人除外）具备：</w:t>
            </w:r>
            <w:r/>
          </w:p>
          <w:p>
            <w:pPr>
              <w:spacing w:line="264" w:lineRule="auto"/>
              <w:rPr>
                <w:rFonts w:hint="eastAsia" w:ascii="宋体" w:hAnsi="宋体" w:cs="宋体"/>
              </w:rPr>
            </w:pPr>
            <w:r>
              <w:rPr>
                <w:rFonts w:hint="eastAsia" w:ascii="宋体" w:hAnsi="宋体" w:cs="宋体"/>
              </w:rPr>
              <w:t xml:space="preserve">人社部门发放的网络工程师、中国信息安全测评中心发放的注册信息安全工程师 CISP-CISE的、人社部门发放的软件设计师、工信部门发放的系统架构师、人社部门发放的系统分析师的每提供一个证书得1分，最高5分。</w:t>
            </w:r>
            <w:r/>
          </w:p>
          <w:p>
            <w:pPr>
              <w:spacing w:line="264" w:lineRule="auto"/>
              <w:rPr>
                <w:rFonts w:hint="eastAsia" w:ascii="宋体" w:hAnsi="宋体" w:cs="宋体"/>
                <w:b/>
                <w:bCs/>
              </w:rPr>
            </w:pPr>
            <w:r>
              <w:rPr>
                <w:rFonts w:hint="eastAsia" w:ascii="宋体" w:hAnsi="宋体" w:cs="宋体"/>
              </w:rPr>
              <w:t xml:space="preserve">（一人多证及一证多人不重复得分。提供上述人员名单及证书及投标人为其缴纳的2026年1月以来任意一个月的社保证明材料，</w:t>
            </w:r>
            <w:r>
              <w:rPr>
                <w:rFonts w:hint="eastAsia"/>
              </w:rPr>
              <w:t xml:space="preserve">缺任意一项不得分</w:t>
            </w:r>
            <w:r>
              <w:rPr>
                <w:rFonts w:hint="eastAsia"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w:t>
            </w:r>
            <w:r>
              <w:rPr>
                <w:color w:val="auto"/>
              </w:rPr>
              <w:t xml:space="preserve">4</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投标人具有本项目相关的软件著作权证书，软件名称包括“数据专区管理、医疗AI智能分析、AI智能中台”等，每提供1个证书得2分，最多得6分。 </w:t>
            </w:r>
            <w:r/>
          </w:p>
          <w:p>
            <w:pPr>
              <w:spacing w:line="264" w:lineRule="auto"/>
            </w:pPr>
            <w:r>
              <w:rPr>
                <w:rFonts w:hint="eastAsia" w:ascii="宋体" w:hAnsi="宋体" w:cs="宋体"/>
              </w:rPr>
              <w:t xml:space="preserve">（同类证书不重复得分，所提供证书“软件名称”与评分细则规定不同时，应提供符合上述要求的内容（功能）说明及关键信息，否则不予认可。）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auto"/>
                <w:spacing w:val="-2"/>
              </w:rPr>
            </w:pPr>
            <w:r>
              <w:rPr>
                <w:rFonts w:hint="eastAsia" w:ascii="宋体" w:hAnsi="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64" w:lineRule="auto"/>
      </w:pPr>
      <w:r/>
      <w:r/>
    </w:p>
    <w:p>
      <w:pPr>
        <w:pStyle w:val="924"/>
      </w:pPr>
      <w:r/>
      <w:r/>
    </w:p>
    <w:p>
      <w:r/>
      <w:r/>
    </w:p>
    <w:p>
      <w:pPr>
        <w:pStyle w:val="924"/>
      </w:pPr>
      <w:r/>
      <w:r/>
    </w:p>
    <w:p>
      <w:r/>
      <w:r/>
    </w:p>
    <w:p>
      <w:pPr>
        <w:pStyle w:val="924"/>
      </w:pPr>
      <w:r/>
      <w:r/>
    </w:p>
    <w:p>
      <w:r/>
      <w:r/>
    </w:p>
    <w:p>
      <w:pPr>
        <w:pStyle w:val="924"/>
      </w:pPr>
      <w:r/>
      <w:r/>
    </w:p>
    <w:p>
      <w:pPr>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第六章  投标</w:t>
      </w:r>
      <w:bookmarkEnd w:id="57"/>
      <w:r/>
      <w:bookmarkEnd w:id="58"/>
      <w:r/>
      <w:bookmarkEnd w:id="60"/>
      <w:r>
        <w:rPr>
          <w:rFonts w:hint="eastAsia" w:ascii="方正小标宋简体" w:hAnsi="方正小标宋简体" w:eastAsia="方正小标宋简体" w:cs="方正小标宋简体"/>
          <w:color w:val="auto"/>
          <w:sz w:val="36"/>
          <w:szCs w:val="36"/>
        </w:rPr>
        <w:t xml:space="preserve">文件格式</w:t>
      </w:r>
      <w:r/>
    </w:p>
    <w:p>
      <w:pPr>
        <w:jc w:val="center"/>
        <w:rPr>
          <w:rFonts w:hint="eastAsia" w:ascii="宋体" w:hAnsi="宋体"/>
          <w:b/>
          <w:sz w:val="72"/>
        </w:rPr>
      </w:pPr>
      <w:r/>
      <w:bookmarkStart w:id="61" w:name="_Hlt26671244"/>
      <w:r/>
      <w:bookmarkEnd w:id="61"/>
      <w:r/>
      <w:bookmarkStart w:id="62" w:name="_Hlt26955039"/>
      <w:r/>
      <w:bookmarkEnd w:id="62"/>
      <w:r/>
      <w:bookmarkStart w:id="63" w:name="_Toc120614282"/>
      <w:r/>
      <w:bookmarkStart w:id="64" w:name="_Toc26554094"/>
      <w:r/>
      <w:bookmarkStart w:id="65"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十、关于符合本国产品标准的声明函（如有）</w:t>
      </w:r>
      <w:r/>
    </w:p>
    <w:p>
      <w:pPr>
        <w:pStyle w:val="857"/>
        <w:rPr>
          <w:rFonts w:hint="eastAsia"/>
        </w:rPr>
      </w:pPr>
      <w:r>
        <w:rPr>
          <w:rFonts w:hint="eastAsia"/>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30"/>
        <w:rPr>
          <w:rFonts w:hint="eastAsia"/>
          <w:sz w:val="24"/>
        </w:rPr>
      </w:pPr>
      <w:r>
        <w:rPr>
          <w:rFonts w:hint="eastAsia"/>
          <w:sz w:val="24"/>
        </w:rPr>
      </w:r>
      <w:r/>
    </w:p>
    <w:p>
      <w:pPr>
        <w:pStyle w:val="930"/>
        <w:rPr>
          <w:rFonts w:hint="eastAsia"/>
          <w:sz w:val="24"/>
        </w:rPr>
      </w:pPr>
      <w:r>
        <w:rPr>
          <w:rFonts w:hint="eastAsia"/>
          <w:sz w:val="24"/>
        </w:rPr>
      </w:r>
      <w:r/>
    </w:p>
    <w:p>
      <w:pPr>
        <w:pStyle w:val="930"/>
        <w:rPr>
          <w:rFonts w:hint="eastAsia"/>
          <w:sz w:val="24"/>
        </w:rPr>
      </w:pPr>
      <w:r>
        <w:rPr>
          <w:rFonts w:hint="eastAsia"/>
          <w:sz w:val="24"/>
        </w:rPr>
      </w:r>
      <w:r/>
    </w:p>
    <w:p>
      <w:pPr>
        <w:pStyle w:val="930"/>
        <w:rPr>
          <w:rFonts w:hint="eastAsia"/>
          <w:sz w:val="24"/>
        </w:rPr>
      </w:pPr>
      <w:r>
        <w:rPr>
          <w:rFonts w:hint="eastAsia"/>
          <w:sz w:val="24"/>
        </w:rPr>
      </w:r>
      <w:r/>
    </w:p>
    <w:p>
      <w:pPr>
        <w:pStyle w:val="930"/>
        <w:rPr>
          <w:rFonts w:hint="eastAsia"/>
          <w:sz w:val="24"/>
        </w:rPr>
      </w:pPr>
      <w:r>
        <w:rPr>
          <w:rFonts w:hint="eastAsia"/>
          <w:sz w:val="24"/>
        </w:rPr>
      </w:r>
      <w:r/>
    </w:p>
    <w:p>
      <w:pPr>
        <w:ind w:firstLine="480"/>
        <w:spacing w:line="440" w:lineRule="exact"/>
        <w:rPr>
          <w:rFonts w:hint="eastAsia" w:ascii="宋体" w:hAnsi="宋体"/>
          <w:sz w:val="24"/>
        </w:rPr>
      </w:pPr>
      <w:r>
        <w:rPr>
          <w:rFonts w:hint="eastAsia" w:ascii="宋体" w:hAnsi="宋体"/>
          <w:sz w:val="24"/>
        </w:rPr>
      </w:r>
      <w:bookmarkEnd w:id="63"/>
      <w:r/>
      <w:bookmarkEnd w:id="64"/>
      <w:r/>
      <w:bookmarkEnd w:id="65"/>
      <w:r/>
      <w:r/>
    </w:p>
    <w:p>
      <w:pPr>
        <w:jc w:val="left"/>
        <w:spacing w:line="360" w:lineRule="auto"/>
        <w:rPr>
          <w:rFonts w:hint="eastAsia" w:ascii="黑体" w:hAnsi="黑体" w:eastAsia="黑体"/>
          <w:sz w:val="32"/>
          <w:szCs w:val="32"/>
        </w:rPr>
      </w:pPr>
      <w:r/>
      <w:bookmarkStart w:id="66" w:name="_Toc120614284"/>
      <w:r>
        <w:rPr>
          <w:rFonts w:hint="eastAsia" w:ascii="黑体" w:hAnsi="黑体" w:eastAsia="黑体"/>
          <w:sz w:val="32"/>
          <w:szCs w:val="32"/>
        </w:rPr>
        <w:br w:type="page" w:clear="all"/>
      </w: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信用承诺函</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（投标人名称）郑重承诺，我公司（单位）符合下列要求：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67"/>
        <w:rPr>
          <w:color w:val="auto"/>
          <w:sz w:val="24"/>
          <w:szCs w:val="24"/>
        </w:rPr>
      </w:pPr>
      <w:r>
        <w:rPr>
          <w:color w:val="auto"/>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auto"/>
          <w:sz w:val="24"/>
          <w:szCs w:val="24"/>
        </w:rPr>
        <w:t xml:space="preserve">日</w:t>
      </w:r>
      <w:r>
        <w:rPr>
          <w:color w:val="auto"/>
          <w:sz w:val="24"/>
          <w:szCs w:val="24"/>
        </w:rPr>
        <w:t xml:space="preserve">  </w:t>
      </w:r>
      <w:r>
        <w:rPr>
          <w:rFonts w:hint="eastAsia"/>
          <w:color w:val="auto"/>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法定代表人授权委托书</w:t>
      </w:r>
      <w:r/>
    </w:p>
    <w:p>
      <w:pPr>
        <w:pStyle w:val="939"/>
        <w:ind w:firstLine="480"/>
        <w:spacing w:line="420" w:lineRule="exact"/>
        <w:rPr>
          <w:sz w:val="24"/>
          <w:szCs w:val="24"/>
        </w:rPr>
      </w:pPr>
      <w:r>
        <w:rPr>
          <w:sz w:val="24"/>
          <w:szCs w:val="24"/>
        </w:rPr>
      </w:r>
      <w:r/>
    </w:p>
    <w:p>
      <w:pPr>
        <w:pStyle w:val="939"/>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39"/>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39"/>
        <w:ind w:firstLine="480"/>
        <w:spacing w:line="480" w:lineRule="exact"/>
        <w:rPr>
          <w:sz w:val="24"/>
          <w:szCs w:val="24"/>
        </w:rPr>
      </w:pPr>
      <w:r>
        <w:rPr>
          <w:rFonts w:hint="eastAsia"/>
          <w:sz w:val="24"/>
          <w:szCs w:val="24"/>
        </w:rPr>
        <w:t xml:space="preserve">代理人无转委托权。</w:t>
      </w:r>
      <w:r/>
    </w:p>
    <w:p>
      <w:pPr>
        <w:pStyle w:val="939"/>
        <w:ind w:firstLine="480"/>
        <w:spacing w:line="480" w:lineRule="exact"/>
        <w:rPr>
          <w:sz w:val="24"/>
          <w:szCs w:val="24"/>
        </w:rPr>
      </w:pPr>
      <w:r>
        <w:rPr>
          <w:rFonts w:hint="eastAsia"/>
          <w:sz w:val="24"/>
          <w:szCs w:val="24"/>
        </w:rPr>
        <w:t xml:space="preserve">投标人名称（加盖公章）：________________</w:t>
      </w:r>
      <w:r/>
    </w:p>
    <w:p>
      <w:pPr>
        <w:pStyle w:val="939"/>
        <w:ind w:firstLine="480"/>
        <w:spacing w:line="480" w:lineRule="exact"/>
        <w:rPr>
          <w:sz w:val="24"/>
          <w:szCs w:val="24"/>
        </w:rPr>
      </w:pPr>
      <w:r>
        <w:rPr>
          <w:rFonts w:hint="eastAsia"/>
          <w:sz w:val="24"/>
          <w:szCs w:val="24"/>
        </w:rPr>
        <w:t xml:space="preserve">法定代表人（单位负责人）（签字或签章）：________________</w:t>
      </w:r>
      <w:r/>
    </w:p>
    <w:p>
      <w:pPr>
        <w:pStyle w:val="939"/>
        <w:ind w:firstLine="480"/>
        <w:spacing w:line="480" w:lineRule="exact"/>
        <w:rPr>
          <w:sz w:val="24"/>
          <w:szCs w:val="24"/>
        </w:rPr>
      </w:pPr>
      <w:r>
        <w:rPr>
          <w:rFonts w:hint="eastAsia"/>
          <w:sz w:val="24"/>
          <w:szCs w:val="24"/>
        </w:rPr>
        <w:t xml:space="preserve">代理人（签字或签章）：________________ </w:t>
      </w:r>
      <w:r/>
    </w:p>
    <w:p>
      <w:pPr>
        <w:pStyle w:val="939"/>
        <w:ind w:firstLine="480"/>
        <w:spacing w:line="480" w:lineRule="exact"/>
        <w:rPr>
          <w:sz w:val="24"/>
          <w:szCs w:val="24"/>
        </w:rPr>
      </w:pPr>
      <w:r>
        <w:rPr>
          <w:rFonts w:hint="eastAsia"/>
          <w:sz w:val="24"/>
          <w:szCs w:val="24"/>
        </w:rPr>
        <w:t xml:space="preserve">日期：_____年______月______日</w:t>
      </w:r>
      <w:r/>
    </w:p>
    <w:p>
      <w:pPr>
        <w:pStyle w:val="939"/>
        <w:ind w:firstLine="480"/>
        <w:spacing w:line="480" w:lineRule="exact"/>
        <w:rPr>
          <w:sz w:val="24"/>
          <w:szCs w:val="24"/>
        </w:rPr>
      </w:pPr>
      <w:r>
        <w:rPr>
          <w:rFonts w:hint="eastAsia"/>
          <w:sz w:val="24"/>
          <w:szCs w:val="24"/>
        </w:rPr>
        <w:t xml:space="preserve">附：法定代表人（单位负责人）及代理人有效身份证明文件</w:t>
      </w:r>
      <w:r/>
    </w:p>
    <w:p>
      <w:pPr>
        <w:pStyle w:val="860"/>
        <w:ind w:firstLine="0"/>
      </w:pPr>
      <w:r/>
      <w:r/>
    </w:p>
    <w:p>
      <w:pPr>
        <w:pStyle w:val="939"/>
        <w:ind w:firstLine="480"/>
        <w:spacing w:line="480" w:lineRule="exact"/>
        <w:rPr>
          <w:sz w:val="24"/>
          <w:szCs w:val="24"/>
        </w:rPr>
      </w:pPr>
      <w:r>
        <w:rPr>
          <w:sz w:val="24"/>
          <w:szCs w:val="24"/>
        </w:rPr>
      </w:r>
      <w:r/>
    </w:p>
    <w:p>
      <w:pPr>
        <w:pStyle w:val="939"/>
        <w:ind w:firstLine="480"/>
        <w:spacing w:line="480" w:lineRule="exact"/>
        <w:rPr>
          <w:sz w:val="24"/>
          <w:szCs w:val="24"/>
        </w:rPr>
      </w:pPr>
      <w:r>
        <w:rPr>
          <w:rFonts w:hint="eastAsia"/>
          <w:sz w:val="24"/>
          <w:szCs w:val="24"/>
        </w:rPr>
        <w:t xml:space="preserve">说明：</w:t>
      </w:r>
      <w:r/>
    </w:p>
    <w:p>
      <w:pPr>
        <w:pStyle w:val="939"/>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39"/>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9"/>
        <w:ind w:firstLine="480"/>
        <w:spacing w:line="480" w:lineRule="exact"/>
        <w:rPr>
          <w:sz w:val="24"/>
          <w:szCs w:val="24"/>
        </w:rPr>
      </w:pPr>
      <w:r>
        <w:rPr>
          <w:rFonts w:hint="eastAsia"/>
          <w:sz w:val="24"/>
          <w:szCs w:val="24"/>
        </w:rPr>
        <w:t xml:space="preserve">3.投标人为自然人的，可不提供本《法定代表人授权委托书》。</w:t>
      </w:r>
      <w:r/>
    </w:p>
    <w:p>
      <w:pPr>
        <w:pStyle w:val="939"/>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39"/>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941"/>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41"/>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auto"/>
          <w:u w:val="single"/>
        </w:rPr>
        <w:t xml:space="preserve">            </w:t>
      </w:r>
      <w:r>
        <w:rPr>
          <w:rFonts w:hint="eastAsia" w:ascii="宋体" w:hAnsi="宋体"/>
          <w:color w:val="auto"/>
        </w:rPr>
        <w:t xml:space="preserve">（项目编号）</w:t>
      </w:r>
      <w:r>
        <w:rPr>
          <w:rFonts w:hint="eastAsia" w:ascii="宋体" w:hAnsi="宋体"/>
          <w:color w:val="auto"/>
          <w:u w:val="single"/>
        </w:rPr>
        <w:t xml:space="preserve">                </w:t>
      </w:r>
      <w:r>
        <w:rPr>
          <w:rFonts w:hint="eastAsia" w:ascii="宋体" w:hAnsi="宋体"/>
          <w:color w:val="auto"/>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41"/>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p>
    <w:p>
      <w:pPr>
        <w:pStyle w:val="94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auto"/>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7"/>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auto"/>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41"/>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41"/>
        <w:spacing w:before="0" w:after="0" w:line="420" w:lineRule="exact"/>
        <w:rPr>
          <w:rFonts w:hint="eastAsia" w:ascii="宋体" w:hAnsi="宋体"/>
          <w:szCs w:val="21"/>
        </w:rPr>
      </w:pPr>
      <w:r>
        <w:rPr>
          <w:rFonts w:hint="eastAsia" w:ascii="宋体" w:hAnsi="宋体"/>
          <w:szCs w:val="21"/>
        </w:rPr>
        <w:t xml:space="preserve">地  址：</w:t>
      </w:r>
      <w:r/>
    </w:p>
    <w:p>
      <w:pPr>
        <w:pStyle w:val="941"/>
        <w:spacing w:before="0" w:after="0" w:line="420" w:lineRule="exact"/>
        <w:rPr>
          <w:rFonts w:hint="eastAsia" w:ascii="宋体" w:hAnsi="宋体"/>
          <w:szCs w:val="21"/>
        </w:rPr>
      </w:pPr>
      <w:r>
        <w:rPr>
          <w:rFonts w:hint="eastAsia" w:ascii="宋体" w:hAnsi="宋体"/>
          <w:szCs w:val="21"/>
        </w:rPr>
        <w:t xml:space="preserve">邮  编：</w:t>
      </w:r>
      <w:r/>
    </w:p>
    <w:p>
      <w:pPr>
        <w:pStyle w:val="941"/>
        <w:spacing w:before="0" w:after="0" w:line="420" w:lineRule="exact"/>
        <w:rPr>
          <w:rFonts w:hint="eastAsia" w:ascii="宋体" w:hAnsi="宋体"/>
          <w:szCs w:val="21"/>
          <w:u w:val="single"/>
        </w:rPr>
      </w:pPr>
      <w:r>
        <w:rPr>
          <w:rFonts w:hint="eastAsia" w:ascii="宋体" w:hAnsi="宋体"/>
          <w:szCs w:val="21"/>
        </w:rPr>
        <w:t xml:space="preserve">电  话：</w:t>
      </w:r>
      <w:r/>
    </w:p>
    <w:p>
      <w:pPr>
        <w:pStyle w:val="941"/>
        <w:spacing w:before="0" w:after="0" w:line="420" w:lineRule="exact"/>
        <w:rPr>
          <w:rFonts w:hint="eastAsia" w:ascii="宋体" w:hAnsi="宋体"/>
          <w:szCs w:val="21"/>
          <w:u w:val="single"/>
        </w:rPr>
      </w:pPr>
      <w:r>
        <w:rPr>
          <w:rFonts w:hint="eastAsia" w:ascii="宋体" w:hAnsi="宋体"/>
          <w:szCs w:val="21"/>
        </w:rPr>
        <w:t xml:space="preserve">传  真：</w:t>
      </w:r>
      <w:r/>
    </w:p>
    <w:p>
      <w:pPr>
        <w:pStyle w:val="941"/>
        <w:spacing w:before="0" w:after="0" w:line="420" w:lineRule="exact"/>
        <w:rPr>
          <w:rFonts w:hint="eastAsia" w:ascii="宋体" w:hAnsi="宋体"/>
          <w:szCs w:val="21"/>
          <w:u w:val="single"/>
        </w:rPr>
      </w:pPr>
      <w:r>
        <w:rPr>
          <w:rFonts w:hint="eastAsia" w:ascii="宋体" w:hAnsi="宋体"/>
          <w:szCs w:val="21"/>
        </w:rPr>
        <w:t xml:space="preserve">开户行：</w:t>
      </w:r>
      <w:r/>
    </w:p>
    <w:p>
      <w:pPr>
        <w:pStyle w:val="941"/>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41"/>
        <w:spacing w:before="0" w:after="0" w:line="420" w:lineRule="exact"/>
        <w:rPr>
          <w:rFonts w:hint="eastAsia" w:ascii="宋体" w:hAnsi="宋体"/>
          <w:szCs w:val="21"/>
        </w:rPr>
      </w:pPr>
      <w:r>
        <w:rPr>
          <w:rFonts w:hint="eastAsia" w:ascii="宋体" w:hAnsi="宋体"/>
          <w:szCs w:val="21"/>
        </w:rPr>
        <w:t xml:space="preserve">日  期：</w:t>
      </w:r>
      <w:r/>
    </w:p>
    <w:p>
      <w:pPr>
        <w:pStyle w:val="941"/>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w:t>
      </w:r>
      <w:r/>
    </w:p>
    <w:tbl>
      <w:tblPr>
        <w:tblStyle w:val="85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41"/>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57"/>
        <w:rPr>
          <w:rFonts w:hint="eastAsia"/>
        </w:rPr>
      </w:pPr>
      <w:r>
        <w:rPr>
          <w:rFonts w:hint="eastAsia"/>
        </w:rPr>
      </w:r>
      <w:r/>
    </w:p>
    <w:p>
      <w:pPr>
        <w:spacing w:line="360" w:lineRule="auto"/>
        <w:rPr>
          <w:rFonts w:ascii="黑体" w:eastAsia="黑体"/>
          <w:color w:val="auto"/>
          <w:sz w:val="32"/>
          <w:szCs w:val="32"/>
        </w:rPr>
      </w:pPr>
      <w:r>
        <w:rPr>
          <w:rFonts w:ascii="黑体" w:eastAsia="黑体"/>
          <w:color w:val="auto"/>
          <w:sz w:val="32"/>
          <w:szCs w:val="32"/>
        </w:rPr>
      </w:r>
      <w:r/>
    </w:p>
    <w:p>
      <w:pPr>
        <w:pStyle w:val="857"/>
        <w:rPr>
          <w:rFonts w:hint="eastAsia"/>
        </w:rPr>
      </w:pPr>
      <w:r>
        <w:rPr>
          <w:rFonts w:hint="eastAsia"/>
        </w:rPr>
      </w:r>
      <w:r/>
    </w:p>
    <w:p>
      <w:r/>
      <w:r/>
    </w:p>
    <w:p>
      <w:pPr>
        <w:pStyle w:val="857"/>
        <w:rPr>
          <w:rFonts w:hint="eastAsia"/>
        </w:rPr>
      </w:pPr>
      <w:r>
        <w:rPr>
          <w:rFonts w:hint="eastAsia"/>
        </w:rPr>
      </w:r>
      <w:r/>
    </w:p>
    <w:p>
      <w:pPr>
        <w:pStyle w:val="924"/>
        <w:rPr>
          <w:rFonts w:ascii="黑体" w:eastAsia="黑体" w:cs="Times New Roman"/>
          <w:color w:val="auto"/>
          <w:sz w:val="32"/>
          <w:szCs w:val="32"/>
          <w:lang w:val="en-US"/>
        </w:rPr>
      </w:pPr>
      <w:r>
        <w:rPr>
          <w:rFonts w:ascii="黑体" w:eastAsia="黑体" w:cs="Times New Roman"/>
          <w:color w:val="auto"/>
          <w:sz w:val="32"/>
          <w:szCs w:val="32"/>
          <w:lang w:val="en-US"/>
        </w:rPr>
      </w:r>
      <w:r/>
    </w:p>
    <w:p>
      <w:pPr>
        <w:rPr>
          <w:rFonts w:ascii="黑体" w:eastAsia="黑体"/>
          <w:color w:val="auto"/>
          <w:sz w:val="32"/>
          <w:szCs w:val="32"/>
        </w:rPr>
      </w:pPr>
      <w:r>
        <w:rPr>
          <w:rFonts w:ascii="黑体" w:eastAsia="黑体"/>
          <w:color w:val="auto"/>
          <w:sz w:val="32"/>
          <w:szCs w:val="32"/>
        </w:rPr>
      </w:r>
      <w:r/>
    </w:p>
    <w:p>
      <w:pPr>
        <w:pStyle w:val="924"/>
        <w:rPr>
          <w:rFonts w:ascii="黑体" w:eastAsia="黑体" w:cs="Times New Roman"/>
          <w:color w:val="auto"/>
          <w:sz w:val="32"/>
          <w:szCs w:val="32"/>
          <w:lang w:val="en-US"/>
        </w:rPr>
      </w:pPr>
      <w:r>
        <w:rPr>
          <w:rFonts w:ascii="黑体" w:eastAsia="黑体" w:cs="Times New Roman"/>
          <w:color w:val="auto"/>
          <w:sz w:val="32"/>
          <w:szCs w:val="32"/>
          <w:lang w:val="en-US"/>
        </w:rPr>
      </w:r>
      <w:r/>
    </w:p>
    <w:p>
      <w:pPr>
        <w:pStyle w:val="924"/>
        <w:rPr>
          <w:rFonts w:ascii="黑体" w:eastAsia="黑体" w:cs="Times New Roman"/>
          <w:color w:val="auto"/>
          <w:sz w:val="32"/>
          <w:szCs w:val="32"/>
          <w:lang w:val="en-US"/>
        </w:rPr>
      </w:pPr>
      <w:r>
        <w:rPr>
          <w:rFonts w:ascii="黑体" w:eastAsia="黑体" w:cs="Times New Roman"/>
          <w:color w:val="auto"/>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投标分项报价表</w:t>
      </w:r>
      <w:r/>
    </w:p>
    <w:p>
      <w:pPr>
        <w:ind w:right="180" w:firstLine="480"/>
        <w:spacing w:line="360" w:lineRule="auto"/>
        <w:rPr>
          <w:rFonts w:hint="eastAsia" w:ascii="宋体" w:hAnsi="宋体"/>
          <w:sz w:val="24"/>
          <w:szCs w:val="24"/>
        </w:rPr>
      </w:pPr>
      <w:r/>
      <w:bookmarkStart w:id="67" w:name="OLE_LINK3"/>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67"/>
      <w:r/>
      <w:r/>
    </w:p>
    <w:tbl>
      <w:tblPr>
        <w:tblStyle w:val="856"/>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spacing w:line="360" w:lineRule="auto"/>
        <w:rPr>
          <w:rFonts w:hint="eastAsia" w:ascii="宋体" w:hAnsi="宋体"/>
          <w:sz w:val="24"/>
        </w:rPr>
      </w:pPr>
      <w:r>
        <w:rPr>
          <w:rFonts w:hint="eastAsia" w:ascii="宋体" w:hAnsi="宋体"/>
          <w:sz w:val="24"/>
        </w:rPr>
      </w:r>
      <w:r/>
    </w:p>
    <w:p>
      <w:pPr>
        <w:pStyle w:val="886"/>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886"/>
        <w:ind w:firstLine="480"/>
        <w:jc w:val="both"/>
        <w:spacing w:before="0" w:beforeAutospacing="0" w:after="0" w:afterAutospacing="0" w:line="360" w:lineRule="auto"/>
        <w:rPr>
          <w:rFonts w:hint="eastAsia"/>
          <w:color w:val="auto"/>
        </w:rPr>
      </w:pPr>
      <w:r>
        <w:rPr>
          <w:rFonts w:hint="eastAsia"/>
          <w:color w:val="auto"/>
        </w:rPr>
        <w:t xml:space="preserve">1.“投标总报价”应包括为完成整个项目所产生的所有费用，招标文件另有规定的除外。</w:t>
      </w:r>
      <w:r/>
    </w:p>
    <w:p>
      <w:pPr>
        <w:pStyle w:val="886"/>
        <w:ind w:firstLine="480"/>
        <w:jc w:val="both"/>
        <w:spacing w:before="0" w:beforeAutospacing="0" w:after="0" w:afterAutospacing="0" w:line="360" w:lineRule="auto"/>
        <w:rPr>
          <w:rFonts w:hint="eastAsia"/>
          <w:color w:val="auto"/>
        </w:rPr>
      </w:pPr>
      <w:r>
        <w:rPr>
          <w:rFonts w:hint="eastAsia"/>
          <w:color w:val="auto"/>
        </w:rPr>
        <w:t xml:space="preserve">2.《投标分项报价表》中“投标总价”应当与《开标一览表》中“投标总报价”一致。</w:t>
      </w:r>
      <w:r/>
    </w:p>
    <w:p>
      <w:pPr>
        <w:pStyle w:val="886"/>
        <w:ind w:firstLine="480"/>
        <w:jc w:val="both"/>
        <w:spacing w:before="0" w:beforeAutospacing="0" w:after="0" w:afterAutospacing="0" w:line="360" w:lineRule="auto"/>
        <w:rPr>
          <w:rFonts w:hint="eastAsia"/>
          <w:b/>
          <w:bCs/>
        </w:rPr>
      </w:pPr>
      <w:r>
        <w:rPr>
          <w:rFonts w:hint="eastAsia"/>
          <w:color w:val="auto"/>
        </w:rPr>
        <w:t xml:space="preserve">3.</w:t>
      </w:r>
      <w:r>
        <w:rPr>
          <w:rFonts w:hint="eastAsia"/>
          <w:b/>
          <w:bCs/>
        </w:rPr>
        <w:t xml:space="preserve">《投标分项报价表》中的分项名称须与“第四章采购需求-项目清单”中的分项名称一一对应，如有缺项、漏项，视为无效投标。</w:t>
      </w:r>
      <w:r/>
    </w:p>
    <w:p>
      <w:pPr>
        <w:jc w:val="center"/>
        <w:spacing w:line="360" w:lineRule="auto"/>
        <w:rPr>
          <w:rFonts w:ascii="黑体" w:eastAsia="黑体"/>
          <w:color w:val="auto"/>
          <w:sz w:val="32"/>
          <w:szCs w:val="32"/>
        </w:rPr>
      </w:pPr>
      <w:r>
        <w:rPr>
          <w:rFonts w:ascii="黑体" w:eastAsia="黑体"/>
          <w:color w:val="auto"/>
          <w:sz w:val="32"/>
          <w:szCs w:val="32"/>
        </w:rPr>
      </w:r>
      <w:r/>
    </w:p>
    <w:p>
      <w:pPr>
        <w:rPr>
          <w:rFonts w:hint="eastAsia" w:ascii="黑体" w:hAnsi="黑体" w:eastAsia="黑体"/>
          <w:iCs/>
          <w:sz w:val="32"/>
          <w:szCs w:val="32"/>
        </w:rPr>
      </w:pPr>
      <w:r>
        <w:rPr>
          <w:rFonts w:hint="eastAsia" w:ascii="黑体" w:hAnsi="黑体" w:eastAsia="黑体"/>
          <w:iCs/>
          <w:sz w:val="32"/>
          <w:szCs w:val="32"/>
        </w:rPr>
        <w:br w:type="page" w:clear="all"/>
      </w:r>
      <w:bookmarkEnd w:id="46"/>
      <w:r/>
      <w:bookmarkEnd w:id="47"/>
      <w:r/>
      <w:bookmarkEnd w:id="66"/>
      <w:r>
        <w:rPr>
          <w:rFonts w:hint="eastAsia" w:ascii="黑体" w:hAnsi="黑体" w:eastAsia="黑体"/>
          <w:iCs/>
          <w:sz w:val="32"/>
          <w:szCs w:val="32"/>
        </w:rPr>
        <w:t xml:space="preserve">六、技术要求响应及偏离表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rPr>
          <w:rFonts w:hint="eastAsia"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857"/>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6"/>
        <w:jc w:val="both"/>
        <w:spacing w:before="0" w:beforeAutospacing="0" w:after="0" w:afterAutospacing="0"/>
        <w:rPr>
          <w:rFonts w:hint="eastAsia"/>
        </w:rPr>
      </w:pPr>
      <w:r>
        <w:rPr>
          <w:rFonts w:hint="eastAsia"/>
        </w:rPr>
      </w:r>
      <w:r/>
    </w:p>
    <w:p>
      <w:pPr>
        <w:pStyle w:val="886"/>
        <w:ind w:firstLine="480"/>
        <w:jc w:val="both"/>
        <w:spacing w:before="0" w:beforeAutospacing="0" w:after="0" w:afterAutospacing="0" w:line="360" w:lineRule="auto"/>
        <w:rPr>
          <w:rFonts w:hint="eastAsia"/>
        </w:rPr>
      </w:pPr>
      <w:r>
        <w:t xml:space="preserve">备注： </w:t>
      </w:r>
      <w:r/>
    </w:p>
    <w:p>
      <w:pPr>
        <w:pStyle w:val="886"/>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88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86"/>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rPr>
            </w:pPr>
            <w:r/>
            <w:bookmarkStart w:id="68" w:name="_Hlt26955056"/>
            <w:r/>
            <w:bookmarkEnd w:id="68"/>
            <w:r/>
            <w:bookmarkStart w:id="69" w:name="_Hlt26671372"/>
            <w:r/>
            <w:bookmarkEnd w:id="69"/>
            <w:r/>
            <w:bookmarkStart w:id="70" w:name="_Hlt26609391"/>
            <w:r/>
            <w:bookmarkEnd w:id="70"/>
            <w:r/>
            <w:bookmarkStart w:id="71" w:name="_Hlt26671343"/>
            <w:r/>
            <w:bookmarkEnd w:id="71"/>
            <w:r/>
            <w:bookmarkStart w:id="72" w:name="_Hlt26782999"/>
            <w:r/>
            <w:bookmarkEnd w:id="72"/>
            <w:r/>
            <w:bookmarkStart w:id="73" w:name="_Hlt26955064"/>
            <w:r/>
            <w:bookmarkEnd w:id="73"/>
            <w:r/>
            <w:bookmarkStart w:id="74" w:name="_Hlt24879081"/>
            <w:r/>
            <w:bookmarkEnd w:id="74"/>
            <w:r/>
            <w:bookmarkStart w:id="75" w:name="_Hlt26580838"/>
            <w:r/>
            <w:bookmarkEnd w:id="75"/>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857"/>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6"/>
        <w:ind w:firstLine="480"/>
        <w:jc w:val="both"/>
        <w:spacing w:before="0" w:beforeAutospacing="0" w:after="0" w:afterAutospacing="0" w:line="360" w:lineRule="auto"/>
        <w:rPr>
          <w:rFonts w:hint="eastAsia"/>
        </w:rPr>
      </w:pPr>
      <w:r>
        <w:rPr>
          <w:rFonts w:hint="eastAsia"/>
        </w:rPr>
        <w:t xml:space="preserve">备注： </w:t>
      </w:r>
      <w:r/>
    </w:p>
    <w:p>
      <w:pPr>
        <w:pStyle w:val="886"/>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886"/>
        <w:ind w:firstLine="480"/>
        <w:jc w:val="both"/>
        <w:spacing w:before="0" w:beforeAutospacing="0" w:after="0" w:afterAutospacing="0" w:line="360" w:lineRule="auto"/>
        <w:rPr>
          <w:rFonts w:hint="eastAsia"/>
        </w:rPr>
      </w:pPr>
      <w:r>
        <w:rPr>
          <w:rFonts w:hint="eastAsia"/>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24"/>
        <w:rPr>
          <w:rFonts w:ascii="宋体" w:hAnsi="宋体" w:cs="仿宋"/>
          <w:b/>
          <w:bCs/>
          <w:color w:val="auto"/>
          <w:sz w:val="32"/>
          <w:szCs w:val="32"/>
        </w:rPr>
      </w:pPr>
      <w:r>
        <w:rPr>
          <w:rFonts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24"/>
        <w:rPr>
          <w:color w:val="auto"/>
        </w:rPr>
      </w:pPr>
      <w:r>
        <w:rPr>
          <w:color w:val="auto"/>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4"/>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auto"/>
          <w:sz w:val="24"/>
          <w:szCs w:val="24"/>
        </w:rPr>
        <w:t xml:space="preserve">日</w:t>
      </w:r>
      <w:r>
        <w:rPr>
          <w:color w:val="auto"/>
          <w:sz w:val="24"/>
          <w:szCs w:val="24"/>
        </w:rPr>
        <w:t xml:space="preserve">    </w:t>
      </w:r>
      <w:r>
        <w:rPr>
          <w:rFonts w:hint="eastAsia"/>
          <w:color w:val="auto"/>
          <w:sz w:val="24"/>
          <w:szCs w:val="24"/>
        </w:rPr>
        <w:t xml:space="preserve">期：</w:t>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4"/>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auto"/>
          <w:sz w:val="24"/>
          <w:szCs w:val="24"/>
        </w:rPr>
        <w:t xml:space="preserve">日</w:t>
      </w:r>
      <w:r>
        <w:rPr>
          <w:color w:val="auto"/>
          <w:sz w:val="24"/>
          <w:szCs w:val="24"/>
        </w:rPr>
        <w:t xml:space="preserve">    </w:t>
      </w:r>
      <w:r>
        <w:rPr>
          <w:rFonts w:hint="eastAsia"/>
          <w:color w:val="auto"/>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numPr>
          <w:ilvl w:val="0"/>
          <w:numId w:val="6"/>
        </w:numPr>
        <w:ind w:firstLine="640"/>
        <w:jc w:val="left"/>
        <w:widowControl/>
        <w:rPr>
          <w:rFonts w:hint="eastAsia" w:ascii="宋体" w:hAnsi="宋体" w:cs="宋体"/>
          <w:color w:val="auto"/>
          <w:sz w:val="24"/>
          <w:szCs w:val="24"/>
          <w:lang w:bidi="ar"/>
        </w:rPr>
      </w:pPr>
      <w:r>
        <w:rPr>
          <w:rFonts w:hint="eastAsia" w:ascii="黑体" w:hAnsi="黑体" w:eastAsia="黑体"/>
          <w:iCs/>
          <w:sz w:val="32"/>
          <w:szCs w:val="32"/>
        </w:rPr>
        <w:br w:type="page" w:clear="all"/>
      </w:r>
      <w:r/>
    </w:p>
    <w:p>
      <w:pPr>
        <w:jc w:val="center"/>
        <w:widowControl/>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jc w:val="left"/>
        <w:spacing w:line="360" w:lineRule="auto"/>
        <w:rPr>
          <w:rFonts w:hint="eastAsia" w:ascii="宋体" w:hAnsi="宋体"/>
          <w:sz w:val="24"/>
        </w:rPr>
      </w:pPr>
      <w:r>
        <w:rPr>
          <w:rFonts w:hint="eastAsia" w:ascii="黑体" w:hAnsi="黑体" w:eastAsia="黑体"/>
          <w:sz w:val="32"/>
          <w:szCs w:val="32"/>
        </w:rPr>
        <w:t xml:space="preserve">十、关于符合本国产品标准的声明函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94"/>
          <w:rFonts w:hint="eastAsia"/>
          <w:i w:val="0"/>
          <w:u w:val="single"/>
          <w:shd w:val="clear" w:color="auto" w:fill="ffffff"/>
        </w:rPr>
        <w:t xml:space="preserve">（产品名称1）</w:t>
      </w:r>
      <w:r>
        <w:rPr>
          <w:rStyle w:val="89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4"/>
          <w:rFonts w:hint="eastAsia"/>
          <w:i w:val="0"/>
          <w:u w:val="single"/>
          <w:shd w:val="clear" w:color="auto" w:fill="ffffff"/>
        </w:rPr>
        <w:t xml:space="preserve">（厂名）</w:t>
      </w:r>
      <w:r>
        <w:rPr>
          <w:rStyle w:val="894"/>
          <w:rFonts w:hint="eastAsia"/>
          <w:i w:val="0"/>
          <w:shd w:val="clear" w:color="auto" w:fill="ffffff"/>
          <w:vertAlign w:val="superscript"/>
        </w:rPr>
        <w:t xml:space="preserve">2</w:t>
      </w:r>
      <w:r>
        <w:rPr>
          <w:rFonts w:hint="eastAsia"/>
          <w:shd w:val="clear" w:color="auto" w:fill="ffffff"/>
        </w:rPr>
        <w:t xml:space="preserve">，厂址为</w:t>
      </w:r>
      <w:r>
        <w:rPr>
          <w:rStyle w:val="894"/>
          <w:rFonts w:hint="eastAsia"/>
          <w:i w:val="0"/>
          <w:u w:val="single"/>
          <w:shd w:val="clear" w:color="auto" w:fill="ffffff"/>
        </w:rPr>
        <w:t xml:space="preserve">（生产厂址）</w:t>
      </w:r>
      <w:r>
        <w:rPr>
          <w:rFonts w:hint="eastAsia"/>
          <w:shd w:val="clear" w:color="auto" w:fill="ffffff"/>
        </w:rPr>
        <w:t xml:space="preserve">。</w:t>
      </w:r>
      <w:r>
        <w:rPr>
          <w:rStyle w:val="894"/>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4"/>
          <w:rFonts w:hint="eastAsia"/>
          <w:u w:val="single"/>
          <w:shd w:val="clear" w:color="auto" w:fill="ffffff"/>
        </w:rPr>
        <w:t xml:space="preserve">（规定比例）</w:t>
      </w:r>
      <w:r>
        <w:rPr>
          <w:rStyle w:val="894"/>
          <w:rFonts w:hint="eastAsia"/>
          <w:i w:val="0"/>
          <w:shd w:val="clear" w:color="auto" w:fill="ffffff"/>
          <w:vertAlign w:val="superscript"/>
        </w:rPr>
        <w:t xml:space="preserve">3</w:t>
      </w:r>
      <w:r>
        <w:rPr>
          <w:rFonts w:hint="eastAsia"/>
          <w:shd w:val="clear" w:color="auto" w:fill="ffffff"/>
        </w:rPr>
        <w:t xml:space="preserve">。</w:t>
      </w:r>
      <w:r>
        <w:rPr>
          <w:rStyle w:val="894"/>
          <w:rFonts w:hint="eastAsia"/>
          <w:u w:val="single"/>
          <w:shd w:val="clear" w:color="auto" w:fill="ffffff"/>
        </w:rPr>
        <w:t xml:space="preserve">（产品名称1）</w:t>
      </w:r>
      <w:r>
        <w:rPr>
          <w:rFonts w:hint="eastAsia"/>
          <w:shd w:val="clear" w:color="auto" w:fill="ffffff"/>
        </w:rPr>
        <w:t xml:space="preserve">的</w:t>
      </w:r>
      <w:r>
        <w:rPr>
          <w:rStyle w:val="894"/>
          <w:rFonts w:hint="eastAsia"/>
          <w:u w:val="single"/>
          <w:shd w:val="clear" w:color="auto" w:fill="ffffff"/>
        </w:rPr>
        <w:t xml:space="preserve">（关键组件）</w:t>
      </w:r>
      <w:r>
        <w:rPr>
          <w:rStyle w:val="894"/>
          <w:rFonts w:hint="eastAsia"/>
          <w:i w:val="0"/>
          <w:shd w:val="clear" w:color="auto" w:fill="ffffff"/>
          <w:vertAlign w:val="superscript"/>
        </w:rPr>
        <w:t xml:space="preserve">4</w:t>
      </w:r>
      <w:r>
        <w:rPr>
          <w:rFonts w:hint="eastAsia"/>
          <w:shd w:val="clear" w:color="auto" w:fill="ffffff"/>
        </w:rPr>
        <w:t xml:space="preserve">在中国境内生产。</w:t>
      </w:r>
      <w:r>
        <w:rPr>
          <w:rStyle w:val="894"/>
          <w:rFonts w:hint="eastAsia"/>
          <w:u w:val="single"/>
          <w:shd w:val="clear" w:color="auto" w:fill="ffffff"/>
        </w:rPr>
        <w:t xml:space="preserve">（产品名称1）</w:t>
      </w:r>
      <w:r>
        <w:rPr>
          <w:rFonts w:hint="eastAsia"/>
          <w:shd w:val="clear" w:color="auto" w:fill="ffffff"/>
        </w:rPr>
        <w:t xml:space="preserve">的</w:t>
      </w:r>
      <w:r>
        <w:rPr>
          <w:rStyle w:val="894"/>
          <w:rFonts w:hint="eastAsia"/>
          <w:u w:val="single"/>
          <w:shd w:val="clear" w:color="auto" w:fill="ffffff"/>
        </w:rPr>
        <w:t xml:space="preserve">（关键工序）</w:t>
      </w:r>
      <w:r>
        <w:rPr>
          <w:rStyle w:val="894"/>
          <w:rFonts w:hint="eastAsia"/>
          <w:i w:val="0"/>
          <w:shd w:val="clear" w:color="auto" w:fill="ffffff"/>
          <w:vertAlign w:val="superscript"/>
        </w:rPr>
        <w:t xml:space="preserve">5</w:t>
      </w:r>
      <w:r>
        <w:rPr>
          <w:rFonts w:hint="eastAsia"/>
          <w:shd w:val="clear" w:color="auto" w:fill="ffffff"/>
        </w:rPr>
        <w:t xml:space="preserve">在中国境内完成。</w:t>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94"/>
          <w:rFonts w:hint="eastAsia"/>
          <w:i w:val="0"/>
          <w:u w:val="single"/>
          <w:shd w:val="clear" w:color="auto" w:fill="ffffff"/>
        </w:rPr>
        <w:t xml:space="preserve">（产品名称2）</w:t>
      </w:r>
      <w:r>
        <w:rPr>
          <w:rFonts w:hint="eastAsia"/>
          <w:shd w:val="clear" w:color="auto" w:fill="ffffff"/>
        </w:rPr>
        <w:t xml:space="preserve">，生产厂为</w:t>
      </w:r>
      <w:r>
        <w:rPr>
          <w:rStyle w:val="894"/>
          <w:rFonts w:hint="eastAsia"/>
          <w:i w:val="0"/>
          <w:u w:val="single"/>
          <w:shd w:val="clear" w:color="auto" w:fill="ffffff"/>
        </w:rPr>
        <w:t xml:space="preserve">（厂名）</w:t>
      </w:r>
      <w:r>
        <w:rPr>
          <w:rFonts w:hint="eastAsia"/>
          <w:shd w:val="clear" w:color="auto" w:fill="ffffff"/>
        </w:rPr>
        <w:t xml:space="preserve">，厂址为</w:t>
      </w:r>
      <w:r>
        <w:rPr>
          <w:rStyle w:val="894"/>
          <w:rFonts w:hint="eastAsia"/>
          <w:i w:val="0"/>
          <w:u w:val="single"/>
          <w:shd w:val="clear" w:color="auto" w:fill="ffffff"/>
        </w:rPr>
        <w:t xml:space="preserve">（生产厂址）</w:t>
      </w:r>
      <w:r>
        <w:rPr>
          <w:rFonts w:hint="eastAsia"/>
          <w:shd w:val="clear" w:color="auto" w:fill="ffffff"/>
        </w:rPr>
        <w:t xml:space="preserve">。</w:t>
      </w:r>
      <w:r>
        <w:rPr>
          <w:rStyle w:val="894"/>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4"/>
          <w:rFonts w:hint="eastAsia"/>
          <w:u w:val="single"/>
          <w:shd w:val="clear" w:color="auto" w:fill="ffffff"/>
        </w:rPr>
        <w:t xml:space="preserve">（规定比例）</w:t>
      </w:r>
      <w:r>
        <w:rPr>
          <w:rFonts w:hint="eastAsia"/>
          <w:shd w:val="clear" w:color="auto" w:fill="ffffff"/>
        </w:rPr>
        <w:t xml:space="preserve">。</w:t>
      </w:r>
      <w:r>
        <w:rPr>
          <w:rStyle w:val="894"/>
          <w:rFonts w:hint="eastAsia"/>
          <w:u w:val="single"/>
          <w:shd w:val="clear" w:color="auto" w:fill="ffffff"/>
        </w:rPr>
        <w:t xml:space="preserve">（产品名称2）</w:t>
      </w:r>
      <w:r>
        <w:rPr>
          <w:rFonts w:hint="eastAsia"/>
          <w:shd w:val="clear" w:color="auto" w:fill="ffffff"/>
        </w:rPr>
        <w:t xml:space="preserve">的</w:t>
      </w:r>
      <w:r>
        <w:rPr>
          <w:rStyle w:val="894"/>
          <w:rFonts w:hint="eastAsia"/>
          <w:u w:val="single"/>
          <w:shd w:val="clear" w:color="auto" w:fill="ffffff"/>
        </w:rPr>
        <w:t xml:space="preserve">（关键组件）</w:t>
      </w:r>
      <w:r>
        <w:rPr>
          <w:rFonts w:hint="eastAsia"/>
          <w:shd w:val="clear" w:color="auto" w:fill="ffffff"/>
        </w:rPr>
        <w:t xml:space="preserve">在中国境内生产。</w:t>
      </w:r>
      <w:r>
        <w:rPr>
          <w:rStyle w:val="894"/>
          <w:rFonts w:hint="eastAsia"/>
          <w:u w:val="single"/>
          <w:shd w:val="clear" w:color="auto" w:fill="ffffff"/>
        </w:rPr>
        <w:t xml:space="preserve">（产品名称2）</w:t>
      </w:r>
      <w:r>
        <w:rPr>
          <w:rFonts w:hint="eastAsia"/>
          <w:shd w:val="clear" w:color="auto" w:fill="ffffff"/>
        </w:rPr>
        <w:t xml:space="preserve">的</w:t>
      </w:r>
      <w:r>
        <w:rPr>
          <w:rStyle w:val="894"/>
          <w:rFonts w:hint="eastAsia"/>
          <w:u w:val="single"/>
          <w:shd w:val="clear" w:color="auto" w:fill="ffffff"/>
        </w:rPr>
        <w:t xml:space="preserve">（关键工序）</w:t>
      </w:r>
      <w:r>
        <w:rPr>
          <w:rFonts w:hint="eastAsia"/>
          <w:shd w:val="clear" w:color="auto" w:fill="ffffff"/>
        </w:rPr>
        <w:t xml:space="preserve">在中国境内完成。</w:t>
      </w:r>
      <w:r/>
    </w:p>
    <w:p>
      <w:pPr>
        <w:pStyle w:val="88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8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88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8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8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2"/>
        <w:rFonts w:hint="eastAsia"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３５</w:t>
    </w:r>
    <w:r>
      <w:rPr>
        <w:rFonts w:ascii="宋体" w:hAnsi="宋体"/>
      </w:rPr>
      <w:fldChar w:fldCharType="end"/>
    </w:r>
    <w:r/>
  </w:p>
  <w:p>
    <w:pPr>
      <w:pStyle w:val="87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1"/>
      <w:isLgl w:val="false"/>
      <w:suff w:val="nothing"/>
      <w:lvlText w:val=""/>
      <w:lvlJc w:val="left"/>
      <w:pPr>
        <w:ind w:left="0" w:firstLine="0"/>
      </w:pPr>
      <w:rPr>
        <w:rFonts w:hint="eastAsia"/>
      </w:rPr>
    </w:lvl>
    <w:lvl w:ilvl="6">
      <w:start w:val="1"/>
      <w:numFmt w:val="none"/>
      <w:pStyle w:val="852"/>
      <w:isLgl w:val="false"/>
      <w:suff w:val="nothing"/>
      <w:lvlText w:val=""/>
      <w:lvlJc w:val="left"/>
      <w:pPr>
        <w:ind w:left="0" w:firstLine="0"/>
      </w:pPr>
      <w:rPr>
        <w:rFonts w:hint="eastAsia"/>
      </w:rPr>
    </w:lvl>
    <w:lvl w:ilvl="7">
      <w:start w:val="1"/>
      <w:numFmt w:val="none"/>
      <w:pStyle w:val="853"/>
      <w:isLgl w:val="false"/>
      <w:suff w:val="nothing"/>
      <w:lvlText w:val=""/>
      <w:lvlJc w:val="left"/>
      <w:pPr>
        <w:ind w:left="0" w:firstLine="0"/>
      </w:pPr>
      <w:rPr>
        <w:rFonts w:hint="eastAsia"/>
      </w:rPr>
    </w:lvl>
    <w:lvl w:ilvl="8">
      <w:start w:val="1"/>
      <w:numFmt w:val="none"/>
      <w:pStyle w:val="854"/>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76"/>
    <w:uiPriority w:val="99"/>
  </w:style>
  <w:style w:type="character" w:styleId="710">
    <w:name w:val="Footer Char"/>
    <w:basedOn w:val="855"/>
    <w:link w:val="875"/>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75"/>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1"/>
      <w:lang w:val="en-US" w:eastAsia="zh-CN" w:bidi="ar-SA"/>
    </w:rPr>
  </w:style>
  <w:style w:type="paragraph" w:styleId="846">
    <w:name w:val="Heading 1"/>
    <w:basedOn w:val="845"/>
    <w:next w:val="845"/>
    <w:link w:val="899"/>
    <w:uiPriority w:val="0"/>
    <w:qFormat/>
    <w:pPr>
      <w:jc w:val="center"/>
      <w:keepNext/>
      <w:outlineLvl w:val="0"/>
    </w:pPr>
    <w:rPr>
      <w:rFonts w:ascii="楷体_GB2312" w:eastAsia="楷体_GB2312"/>
      <w:sz w:val="28"/>
      <w:szCs w:val="28"/>
    </w:rPr>
  </w:style>
  <w:style w:type="paragraph" w:styleId="847">
    <w:name w:val="Heading 2"/>
    <w:basedOn w:val="845"/>
    <w:next w:val="860"/>
    <w:link w:val="9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60"/>
    <w:link w:val="902"/>
    <w:uiPriority w:val="0"/>
    <w:qFormat/>
    <w:pPr>
      <w:keepLines/>
      <w:keepNext/>
      <w:spacing w:before="260" w:after="260" w:line="416" w:lineRule="auto"/>
      <w:outlineLvl w:val="2"/>
    </w:pPr>
    <w:rPr>
      <w:b/>
      <w:bCs/>
      <w:sz w:val="32"/>
      <w:szCs w:val="32"/>
    </w:rPr>
  </w:style>
  <w:style w:type="paragraph" w:styleId="849">
    <w:name w:val="Heading 4"/>
    <w:basedOn w:val="845"/>
    <w:next w:val="860"/>
    <w:link w:val="903"/>
    <w:uiPriority w:val="0"/>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60"/>
    <w:link w:val="904"/>
    <w:uiPriority w:val="0"/>
    <w:qFormat/>
    <w:pPr>
      <w:keepNext/>
      <w:outlineLvl w:val="4"/>
    </w:pPr>
    <w:rPr>
      <w:rFonts w:ascii="宋体"/>
      <w:color w:val="000000"/>
      <w:sz w:val="28"/>
      <w:szCs w:val="28"/>
    </w:rPr>
  </w:style>
  <w:style w:type="paragraph" w:styleId="851">
    <w:name w:val="Heading 6"/>
    <w:basedOn w:val="845"/>
    <w:next w:val="845"/>
    <w:link w:val="9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2">
    <w:name w:val="Heading 7"/>
    <w:basedOn w:val="845"/>
    <w:next w:val="845"/>
    <w:link w:val="906"/>
    <w:uiPriority w:val="0"/>
    <w:qFormat/>
    <w:pPr>
      <w:numPr>
        <w:ilvl w:val="6"/>
        <w:numId w:val="1"/>
      </w:numPr>
      <w:keepLines/>
      <w:keepNext/>
      <w:spacing w:before="240" w:after="64" w:line="320" w:lineRule="auto"/>
      <w:outlineLvl w:val="6"/>
    </w:pPr>
    <w:rPr>
      <w:b/>
      <w:bCs/>
      <w:sz w:val="24"/>
      <w:szCs w:val="24"/>
    </w:rPr>
  </w:style>
  <w:style w:type="paragraph" w:styleId="853">
    <w:name w:val="Heading 8"/>
    <w:basedOn w:val="845"/>
    <w:next w:val="845"/>
    <w:link w:val="9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4">
    <w:name w:val="Heading 9"/>
    <w:basedOn w:val="845"/>
    <w:next w:val="845"/>
    <w:link w:val="908"/>
    <w:uiPriority w:val="0"/>
    <w:qFormat/>
    <w:pPr>
      <w:numPr>
        <w:ilvl w:val="8"/>
        <w:numId w:val="1"/>
      </w:numPr>
      <w:keepLines/>
      <w:keepNext/>
      <w:spacing w:before="240" w:after="64" w:line="320" w:lineRule="auto"/>
      <w:outlineLvl w:val="8"/>
    </w:pPr>
    <w:rPr>
      <w:rFonts w:ascii="Arial" w:hAnsi="Arial" w:eastAsia="黑体"/>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Body Text First Indent 2"/>
    <w:basedOn w:val="858"/>
    <w:next w:val="845"/>
    <w:link w:val="898"/>
    <w:uiPriority w:val="0"/>
    <w:qFormat/>
    <w:pPr>
      <w:ind w:firstLine="420"/>
      <w:spacing w:line="360" w:lineRule="auto"/>
    </w:pPr>
    <w:rPr>
      <w:rFonts w:ascii="宋体" w:hAnsi="宋体" w:eastAsia="宋体"/>
      <w:sz w:val="21"/>
      <w:szCs w:val="20"/>
    </w:rPr>
  </w:style>
  <w:style w:type="paragraph" w:styleId="858">
    <w:name w:val="Body Text Indent"/>
    <w:basedOn w:val="845"/>
    <w:next w:val="859"/>
    <w:link w:val="897"/>
    <w:uiPriority w:val="0"/>
    <w:qFormat/>
    <w:pPr>
      <w:ind w:firstLine="645"/>
    </w:pPr>
    <w:rPr>
      <w:rFonts w:ascii="楷体_GB2312" w:eastAsia="楷体_GB2312"/>
      <w:sz w:val="32"/>
      <w:szCs w:val="32"/>
    </w:rPr>
  </w:style>
  <w:style w:type="paragraph" w:styleId="859">
    <w:name w:val="envelope return"/>
    <w:basedOn w:val="845"/>
    <w:uiPriority w:val="0"/>
    <w:qFormat/>
    <w:rPr>
      <w:rFonts w:ascii="Arial" w:hAnsi="Arial" w:cs="宋体"/>
    </w:rPr>
  </w:style>
  <w:style w:type="paragraph" w:styleId="860">
    <w:name w:val="Normal Indent"/>
    <w:basedOn w:val="845"/>
    <w:link w:val="901"/>
    <w:uiPriority w:val="0"/>
    <w:qFormat/>
    <w:pPr>
      <w:ind w:firstLine="420"/>
    </w:pPr>
  </w:style>
  <w:style w:type="paragraph" w:styleId="861">
    <w:name w:val="List 3"/>
    <w:basedOn w:val="845"/>
    <w:uiPriority w:val="0"/>
    <w:qFormat/>
    <w:pPr>
      <w:ind w:left="100" w:hanging="200"/>
    </w:pPr>
  </w:style>
  <w:style w:type="paragraph" w:styleId="862">
    <w:name w:val="toc 7"/>
    <w:basedOn w:val="845"/>
    <w:next w:val="845"/>
    <w:uiPriority w:val="0"/>
    <w:semiHidden/>
    <w:qFormat/>
    <w:pPr>
      <w:ind w:left="1260"/>
      <w:jc w:val="left"/>
    </w:pPr>
  </w:style>
  <w:style w:type="paragraph" w:styleId="863">
    <w:name w:val="Document Map"/>
    <w:basedOn w:val="845"/>
    <w:link w:val="909"/>
    <w:uiPriority w:val="0"/>
    <w:semiHidden/>
    <w:qFormat/>
    <w:pPr>
      <w:shd w:val="clear" w:color="auto" w:fill="000080"/>
    </w:pPr>
  </w:style>
  <w:style w:type="paragraph" w:styleId="864">
    <w:name w:val="annotation text"/>
    <w:basedOn w:val="845"/>
    <w:link w:val="910"/>
    <w:uiPriority w:val="0"/>
    <w:semiHidden/>
    <w:qFormat/>
    <w:pPr>
      <w:jc w:val="left"/>
    </w:pPr>
  </w:style>
  <w:style w:type="paragraph" w:styleId="865">
    <w:name w:val="Body Text 3"/>
    <w:basedOn w:val="845"/>
    <w:link w:val="911"/>
    <w:uiPriority w:val="0"/>
    <w:qFormat/>
    <w:rPr>
      <w:rFonts w:ascii="仿宋_GB2312" w:hAnsi="Arial" w:eastAsia="仿宋_GB2312"/>
      <w:sz w:val="32"/>
      <w:szCs w:val="32"/>
    </w:rPr>
  </w:style>
  <w:style w:type="paragraph" w:styleId="866">
    <w:name w:val="Body Text"/>
    <w:basedOn w:val="845"/>
    <w:link w:val="912"/>
    <w:uiPriority w:val="0"/>
    <w:qFormat/>
    <w:rPr>
      <w:rFonts w:ascii="楷体_GB2312" w:hAnsi="Arial" w:eastAsia="楷体_GB2312"/>
      <w:sz w:val="28"/>
      <w:szCs w:val="28"/>
    </w:rPr>
  </w:style>
  <w:style w:type="paragraph" w:styleId="867">
    <w:name w:val="List 2"/>
    <w:basedOn w:val="845"/>
    <w:uiPriority w:val="0"/>
    <w:qFormat/>
    <w:pPr>
      <w:ind w:left="100" w:hanging="200"/>
    </w:pPr>
  </w:style>
  <w:style w:type="paragraph" w:styleId="868">
    <w:name w:val="toc 5"/>
    <w:basedOn w:val="845"/>
    <w:next w:val="845"/>
    <w:uiPriority w:val="0"/>
    <w:semiHidden/>
    <w:qFormat/>
    <w:pPr>
      <w:ind w:left="840"/>
      <w:jc w:val="left"/>
    </w:pPr>
  </w:style>
  <w:style w:type="paragraph" w:styleId="869">
    <w:name w:val="toc 3"/>
    <w:basedOn w:val="845"/>
    <w:next w:val="845"/>
    <w:uiPriority w:val="0"/>
    <w:semiHidden/>
    <w:qFormat/>
    <w:pPr>
      <w:ind w:left="420"/>
      <w:jc w:val="left"/>
    </w:pPr>
    <w:rPr>
      <w:i/>
      <w:iCs/>
      <w:szCs w:val="24"/>
    </w:rPr>
  </w:style>
  <w:style w:type="paragraph" w:styleId="870">
    <w:name w:val="Plain Text"/>
    <w:basedOn w:val="845"/>
    <w:link w:val="913"/>
    <w:uiPriority w:val="0"/>
    <w:qFormat/>
    <w:rPr>
      <w:rFonts w:ascii="宋体" w:hAnsi="Courier New" w:cs="Courier New"/>
    </w:rPr>
  </w:style>
  <w:style w:type="paragraph" w:styleId="871">
    <w:name w:val="toc 8"/>
    <w:basedOn w:val="845"/>
    <w:next w:val="845"/>
    <w:uiPriority w:val="0"/>
    <w:semiHidden/>
    <w:qFormat/>
    <w:pPr>
      <w:ind w:left="1470"/>
      <w:jc w:val="left"/>
    </w:pPr>
  </w:style>
  <w:style w:type="paragraph" w:styleId="872">
    <w:name w:val="Date"/>
    <w:basedOn w:val="845"/>
    <w:next w:val="845"/>
    <w:link w:val="914"/>
    <w:uiPriority w:val="0"/>
    <w:qFormat/>
    <w:rPr>
      <w:sz w:val="24"/>
      <w:szCs w:val="24"/>
    </w:rPr>
  </w:style>
  <w:style w:type="paragraph" w:styleId="873">
    <w:name w:val="Body Text Indent 2"/>
    <w:basedOn w:val="845"/>
    <w:link w:val="915"/>
    <w:uiPriority w:val="0"/>
    <w:qFormat/>
    <w:pPr>
      <w:ind w:left="630" w:firstLine="645"/>
    </w:pPr>
    <w:rPr>
      <w:rFonts w:ascii="Arial" w:hAnsi="Arial" w:eastAsia="仿宋_GB2312" w:cs="Arial"/>
      <w:sz w:val="32"/>
      <w:szCs w:val="32"/>
    </w:rPr>
  </w:style>
  <w:style w:type="paragraph" w:styleId="874">
    <w:name w:val="Balloon Text"/>
    <w:basedOn w:val="845"/>
    <w:link w:val="916"/>
    <w:uiPriority w:val="0"/>
    <w:semiHidden/>
    <w:qFormat/>
    <w:rPr>
      <w:sz w:val="18"/>
      <w:szCs w:val="18"/>
    </w:rPr>
  </w:style>
  <w:style w:type="paragraph" w:styleId="875">
    <w:name w:val="Footer"/>
    <w:basedOn w:val="845"/>
    <w:link w:val="917"/>
    <w:uiPriority w:val="0"/>
    <w:qFormat/>
    <w:pPr>
      <w:jc w:val="left"/>
      <w:tabs>
        <w:tab w:val="center" w:pos="4153" w:leader="none"/>
        <w:tab w:val="right" w:pos="8306" w:leader="none"/>
      </w:tabs>
    </w:pPr>
    <w:rPr>
      <w:sz w:val="18"/>
      <w:szCs w:val="18"/>
    </w:rPr>
  </w:style>
  <w:style w:type="paragraph" w:styleId="876">
    <w:name w:val="Header"/>
    <w:basedOn w:val="845"/>
    <w:link w:val="918"/>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5"/>
    <w:next w:val="845"/>
    <w:uiPriority w:val="0"/>
    <w:semiHidden/>
    <w:qFormat/>
    <w:pPr>
      <w:jc w:val="left"/>
      <w:spacing w:before="120" w:after="120" w:line="400" w:lineRule="exact"/>
      <w:tabs>
        <w:tab w:val="right" w:pos="8720" w:leader="dot"/>
      </w:tabs>
    </w:pPr>
    <w:rPr>
      <w:rFonts w:ascii="宋体" w:hAnsi="宋体"/>
      <w:caps/>
      <w:sz w:val="24"/>
      <w:szCs w:val="24"/>
    </w:rPr>
  </w:style>
  <w:style w:type="paragraph" w:styleId="878">
    <w:name w:val="toc 4"/>
    <w:basedOn w:val="845"/>
    <w:next w:val="845"/>
    <w:uiPriority w:val="0"/>
    <w:semiHidden/>
    <w:qFormat/>
    <w:pPr>
      <w:ind w:left="630"/>
      <w:jc w:val="left"/>
    </w:pPr>
  </w:style>
  <w:style w:type="paragraph" w:styleId="879">
    <w:name w:val="List"/>
    <w:basedOn w:val="845"/>
    <w:uiPriority w:val="0"/>
    <w:qFormat/>
    <w:pPr>
      <w:ind w:left="200" w:hanging="200"/>
    </w:pPr>
  </w:style>
  <w:style w:type="paragraph" w:styleId="880">
    <w:name w:val="toc 6"/>
    <w:basedOn w:val="845"/>
    <w:next w:val="845"/>
    <w:uiPriority w:val="0"/>
    <w:semiHidden/>
    <w:qFormat/>
    <w:pPr>
      <w:ind w:left="1050"/>
      <w:jc w:val="left"/>
    </w:pPr>
  </w:style>
  <w:style w:type="paragraph" w:styleId="881">
    <w:name w:val="Body Text Indent 3"/>
    <w:basedOn w:val="845"/>
    <w:link w:val="919"/>
    <w:uiPriority w:val="0"/>
    <w:qFormat/>
    <w:pPr>
      <w:ind w:left="645" w:firstLine="645"/>
    </w:pPr>
    <w:rPr>
      <w:rFonts w:ascii="Arial" w:hAnsi="Arial" w:eastAsia="仿宋_GB2312" w:cs="Arial"/>
      <w:color w:val="ffff00"/>
      <w:sz w:val="32"/>
      <w:szCs w:val="32"/>
    </w:rPr>
  </w:style>
  <w:style w:type="paragraph" w:styleId="882">
    <w:name w:val="table of figures"/>
    <w:basedOn w:val="845"/>
    <w:next w:val="845"/>
    <w:uiPriority w:val="0"/>
    <w:semiHidden/>
    <w:qFormat/>
    <w:pPr>
      <w:ind w:left="840" w:hanging="420"/>
    </w:pPr>
  </w:style>
  <w:style w:type="paragraph" w:styleId="883">
    <w:name w:val="toc 2"/>
    <w:basedOn w:val="845"/>
    <w:next w:val="845"/>
    <w:uiPriority w:val="0"/>
    <w:semiHidden/>
    <w:qFormat/>
    <w:pPr>
      <w:ind w:left="210"/>
      <w:jc w:val="left"/>
    </w:pPr>
    <w:rPr>
      <w:smallCaps/>
      <w:szCs w:val="24"/>
    </w:rPr>
  </w:style>
  <w:style w:type="paragraph" w:styleId="884">
    <w:name w:val="toc 9"/>
    <w:basedOn w:val="845"/>
    <w:next w:val="845"/>
    <w:uiPriority w:val="0"/>
    <w:semiHidden/>
    <w:qFormat/>
    <w:pPr>
      <w:ind w:left="1680"/>
      <w:jc w:val="left"/>
    </w:pPr>
  </w:style>
  <w:style w:type="paragraph" w:styleId="885">
    <w:name w:val="Body Text 2"/>
    <w:basedOn w:val="845"/>
    <w:link w:val="920"/>
    <w:uiPriority w:val="0"/>
    <w:qFormat/>
    <w:pPr>
      <w:jc w:val="center"/>
      <w:widowControl/>
    </w:pPr>
    <w:rPr>
      <w:rFonts w:ascii="楷体_GB2312" w:eastAsia="楷体_GB2312"/>
      <w:sz w:val="28"/>
      <w:szCs w:val="28"/>
    </w:rPr>
  </w:style>
  <w:style w:type="paragraph" w:styleId="886">
    <w:name w:val="Normal (Web)"/>
    <w:basedOn w:val="845"/>
    <w:uiPriority w:val="99"/>
    <w:qFormat/>
    <w:pPr>
      <w:jc w:val="left"/>
      <w:spacing w:before="100" w:beforeAutospacing="1" w:after="100" w:afterAutospacing="1"/>
      <w:widowControl/>
    </w:pPr>
    <w:rPr>
      <w:rFonts w:ascii="宋体" w:hAnsi="宋体" w:cs="宋体"/>
      <w:sz w:val="24"/>
      <w:szCs w:val="24"/>
    </w:rPr>
  </w:style>
  <w:style w:type="paragraph" w:styleId="887">
    <w:name w:val="index 1"/>
    <w:basedOn w:val="845"/>
    <w:next w:val="845"/>
    <w:uiPriority w:val="0"/>
    <w:semiHidden/>
    <w:qFormat/>
    <w:pPr>
      <w:spacing w:line="240" w:lineRule="atLeast"/>
    </w:pPr>
    <w:rPr>
      <w:b/>
      <w:bCs/>
    </w:rPr>
  </w:style>
  <w:style w:type="paragraph" w:styleId="888">
    <w:name w:val="annotation subject"/>
    <w:basedOn w:val="864"/>
    <w:next w:val="864"/>
    <w:link w:val="921"/>
    <w:uiPriority w:val="0"/>
    <w:semiHidden/>
    <w:qFormat/>
    <w:rPr>
      <w:b/>
      <w:bCs/>
    </w:rPr>
  </w:style>
  <w:style w:type="paragraph" w:styleId="889">
    <w:name w:val="Body Text First Indent"/>
    <w:basedOn w:val="845"/>
    <w:link w:val="922"/>
    <w:uiPriority w:val="0"/>
    <w:qFormat/>
    <w:pPr>
      <w:ind w:firstLine="200"/>
      <w:spacing w:line="360" w:lineRule="auto"/>
    </w:pPr>
    <w:rPr>
      <w:rFonts w:ascii="仿宋_GB2312" w:eastAsia="仿宋_GB2312"/>
      <w:sz w:val="30"/>
      <w:szCs w:val="30"/>
    </w:rPr>
  </w:style>
  <w:style w:type="table" w:styleId="890">
    <w:name w:val="Table Grid"/>
    <w:basedOn w:val="8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b/>
      <w:bCs/>
    </w:rPr>
  </w:style>
  <w:style w:type="character" w:styleId="892">
    <w:name w:val="page number"/>
    <w:uiPriority w:val="0"/>
    <w:qFormat/>
  </w:style>
  <w:style w:type="character" w:styleId="893">
    <w:name w:val="FollowedHyperlink"/>
    <w:uiPriority w:val="0"/>
    <w:qFormat/>
    <w:rPr>
      <w:color w:val="800080"/>
      <w:u w:val="single"/>
    </w:rPr>
  </w:style>
  <w:style w:type="character" w:styleId="894">
    <w:name w:val="Emphasis"/>
    <w:uiPriority w:val="0"/>
    <w:qFormat/>
    <w:rPr>
      <w:i/>
    </w:rPr>
  </w:style>
  <w:style w:type="character" w:styleId="895">
    <w:name w:val="Hyperlink"/>
    <w:uiPriority w:val="0"/>
    <w:qFormat/>
    <w:rPr>
      <w:color w:val="0000ff"/>
      <w:u w:val="single"/>
    </w:rPr>
  </w:style>
  <w:style w:type="character" w:styleId="896">
    <w:name w:val="annotation reference"/>
    <w:uiPriority w:val="0"/>
    <w:semiHidden/>
    <w:qFormat/>
    <w:rPr>
      <w:sz w:val="21"/>
      <w:szCs w:val="21"/>
    </w:rPr>
  </w:style>
  <w:style w:type="character" w:styleId="897" w:customStyle="1">
    <w:name w:val="正文文本缩进 字符"/>
    <w:link w:val="858"/>
    <w:uiPriority w:val="0"/>
    <w:qFormat/>
    <w:rPr>
      <w:rFonts w:ascii="楷体_GB2312" w:hAnsi="Times New Roman" w:eastAsia="楷体_GB2312" w:cs="Times New Roman"/>
      <w:sz w:val="32"/>
      <w:szCs w:val="32"/>
    </w:rPr>
  </w:style>
  <w:style w:type="character" w:styleId="898" w:customStyle="1">
    <w:name w:val="正文文本首行缩进 2 字符"/>
    <w:link w:val="857"/>
    <w:uiPriority w:val="0"/>
    <w:qFormat/>
    <w:rPr>
      <w:rFonts w:ascii="宋体" w:hAnsi="宋体" w:eastAsia="宋体" w:cs="Times New Roman"/>
      <w:sz w:val="32"/>
      <w:szCs w:val="20"/>
    </w:rPr>
  </w:style>
  <w:style w:type="character" w:styleId="899" w:customStyle="1">
    <w:name w:val="标题 1 字符"/>
    <w:link w:val="846"/>
    <w:uiPriority w:val="0"/>
    <w:qFormat/>
    <w:rPr>
      <w:rFonts w:ascii="楷体_GB2312" w:hAnsi="Times New Roman" w:eastAsia="楷体_GB2312" w:cs="Times New Roman"/>
      <w:sz w:val="28"/>
      <w:szCs w:val="28"/>
    </w:rPr>
  </w:style>
  <w:style w:type="character" w:styleId="900" w:customStyle="1">
    <w:name w:val="标题 2 字符"/>
    <w:link w:val="847"/>
    <w:uiPriority w:val="0"/>
    <w:qFormat/>
    <w:rPr>
      <w:rFonts w:ascii="Arial" w:hAnsi="Arial" w:eastAsia="幼圆" w:cs="Arial"/>
      <w:b/>
      <w:bCs/>
      <w:sz w:val="44"/>
      <w:szCs w:val="44"/>
    </w:rPr>
  </w:style>
  <w:style w:type="character" w:styleId="901" w:customStyle="1">
    <w:name w:val="正文缩进 字符"/>
    <w:link w:val="860"/>
    <w:uiPriority w:val="0"/>
    <w:qFormat/>
    <w:rPr>
      <w:rFonts w:ascii="Times New Roman" w:hAnsi="Times New Roman" w:eastAsia="宋体" w:cs="Times New Roman"/>
      <w:szCs w:val="21"/>
    </w:rPr>
  </w:style>
  <w:style w:type="character" w:styleId="902" w:customStyle="1">
    <w:name w:val="标题 3 字符"/>
    <w:link w:val="848"/>
    <w:uiPriority w:val="0"/>
    <w:qFormat/>
    <w:rPr>
      <w:rFonts w:ascii="Times New Roman" w:hAnsi="Times New Roman" w:eastAsia="宋体" w:cs="Times New Roman"/>
      <w:b/>
      <w:bCs/>
      <w:sz w:val="32"/>
      <w:szCs w:val="32"/>
    </w:rPr>
  </w:style>
  <w:style w:type="character" w:styleId="903" w:customStyle="1">
    <w:name w:val="标题 4 字符"/>
    <w:link w:val="849"/>
    <w:uiPriority w:val="0"/>
    <w:qFormat/>
    <w:rPr>
      <w:rFonts w:ascii="Arial" w:hAnsi="Arial" w:eastAsia="黑体" w:cs="Arial"/>
      <w:b/>
      <w:bCs/>
      <w:sz w:val="28"/>
      <w:szCs w:val="28"/>
    </w:rPr>
  </w:style>
  <w:style w:type="character" w:styleId="904" w:customStyle="1">
    <w:name w:val="标题 5 字符"/>
    <w:link w:val="850"/>
    <w:uiPriority w:val="0"/>
    <w:qFormat/>
    <w:rPr>
      <w:rFonts w:ascii="宋体" w:hAnsi="Times New Roman" w:eastAsia="宋体" w:cs="Times New Roman"/>
      <w:color w:val="000000"/>
      <w:sz w:val="28"/>
      <w:szCs w:val="28"/>
    </w:rPr>
  </w:style>
  <w:style w:type="character" w:styleId="905" w:customStyle="1">
    <w:name w:val="标题 6 字符"/>
    <w:link w:val="851"/>
    <w:uiPriority w:val="0"/>
    <w:qFormat/>
    <w:rPr>
      <w:rFonts w:ascii="Arial" w:hAnsi="Arial" w:eastAsia="黑体" w:cs="Times New Roman"/>
      <w:b/>
      <w:bCs/>
      <w:sz w:val="24"/>
      <w:szCs w:val="24"/>
    </w:rPr>
  </w:style>
  <w:style w:type="character" w:styleId="906" w:customStyle="1">
    <w:name w:val="标题 7 字符"/>
    <w:link w:val="852"/>
    <w:uiPriority w:val="0"/>
    <w:qFormat/>
    <w:rPr>
      <w:rFonts w:ascii="Times New Roman" w:hAnsi="Times New Roman" w:eastAsia="宋体" w:cs="Times New Roman"/>
      <w:b/>
      <w:bCs/>
      <w:sz w:val="24"/>
      <w:szCs w:val="24"/>
    </w:rPr>
  </w:style>
  <w:style w:type="character" w:styleId="907" w:customStyle="1">
    <w:name w:val="标题 8 字符"/>
    <w:link w:val="853"/>
    <w:uiPriority w:val="0"/>
    <w:qFormat/>
    <w:rPr>
      <w:rFonts w:ascii="Arial" w:hAnsi="Arial" w:eastAsia="黑体" w:cs="Times New Roman"/>
      <w:sz w:val="24"/>
      <w:szCs w:val="24"/>
    </w:rPr>
  </w:style>
  <w:style w:type="character" w:styleId="908" w:customStyle="1">
    <w:name w:val="标题 9 字符"/>
    <w:link w:val="854"/>
    <w:uiPriority w:val="0"/>
    <w:qFormat/>
    <w:rPr>
      <w:rFonts w:ascii="Arial" w:hAnsi="Arial" w:eastAsia="黑体" w:cs="Times New Roman"/>
      <w:szCs w:val="21"/>
    </w:rPr>
  </w:style>
  <w:style w:type="character" w:styleId="909" w:customStyle="1">
    <w:name w:val="文档结构图 字符"/>
    <w:link w:val="863"/>
    <w:uiPriority w:val="0"/>
    <w:semiHidden/>
    <w:qFormat/>
    <w:rPr>
      <w:rFonts w:ascii="Times New Roman" w:hAnsi="Times New Roman" w:eastAsia="宋体" w:cs="Times New Roman"/>
      <w:szCs w:val="21"/>
      <w:shd w:val="clear" w:color="auto" w:fill="000080"/>
    </w:rPr>
  </w:style>
  <w:style w:type="character" w:styleId="910" w:customStyle="1">
    <w:name w:val="批注文字 字符"/>
    <w:link w:val="864"/>
    <w:uiPriority w:val="0"/>
    <w:semiHidden/>
    <w:qFormat/>
    <w:rPr>
      <w:rFonts w:ascii="Times New Roman" w:hAnsi="Times New Roman" w:eastAsia="宋体" w:cs="Times New Roman"/>
      <w:szCs w:val="21"/>
    </w:rPr>
  </w:style>
  <w:style w:type="character" w:styleId="911" w:customStyle="1">
    <w:name w:val="正文文本 3 字符"/>
    <w:link w:val="865"/>
    <w:uiPriority w:val="0"/>
    <w:qFormat/>
    <w:rPr>
      <w:rFonts w:ascii="仿宋_GB2312" w:hAnsi="Arial" w:eastAsia="仿宋_GB2312" w:cs="Times New Roman"/>
      <w:sz w:val="32"/>
      <w:szCs w:val="32"/>
    </w:rPr>
  </w:style>
  <w:style w:type="character" w:styleId="912" w:customStyle="1">
    <w:name w:val="正文文本 字符"/>
    <w:link w:val="866"/>
    <w:uiPriority w:val="0"/>
    <w:qFormat/>
    <w:rPr>
      <w:rFonts w:ascii="楷体_GB2312" w:hAnsi="Arial" w:eastAsia="楷体_GB2312" w:cs="Times New Roman"/>
      <w:sz w:val="28"/>
      <w:szCs w:val="28"/>
    </w:rPr>
  </w:style>
  <w:style w:type="character" w:styleId="913" w:customStyle="1">
    <w:name w:val="纯文本 字符"/>
    <w:link w:val="870"/>
    <w:uiPriority w:val="0"/>
    <w:qFormat/>
    <w:rPr>
      <w:rFonts w:ascii="宋体" w:hAnsi="Courier New" w:eastAsia="宋体" w:cs="Courier New"/>
      <w:szCs w:val="21"/>
    </w:rPr>
  </w:style>
  <w:style w:type="character" w:styleId="914" w:customStyle="1">
    <w:name w:val="日期 字符"/>
    <w:link w:val="872"/>
    <w:uiPriority w:val="0"/>
    <w:qFormat/>
    <w:rPr>
      <w:rFonts w:ascii="Times New Roman" w:hAnsi="Times New Roman" w:eastAsia="宋体" w:cs="Times New Roman"/>
      <w:sz w:val="24"/>
      <w:szCs w:val="24"/>
    </w:rPr>
  </w:style>
  <w:style w:type="character" w:styleId="915" w:customStyle="1">
    <w:name w:val="正文文本缩进 2 字符"/>
    <w:link w:val="873"/>
    <w:uiPriority w:val="0"/>
    <w:qFormat/>
    <w:rPr>
      <w:rFonts w:ascii="Arial" w:hAnsi="Arial" w:eastAsia="仿宋_GB2312" w:cs="Arial"/>
      <w:sz w:val="32"/>
      <w:szCs w:val="32"/>
    </w:rPr>
  </w:style>
  <w:style w:type="character" w:styleId="916" w:customStyle="1">
    <w:name w:val="批注框文本 字符"/>
    <w:link w:val="874"/>
    <w:uiPriority w:val="0"/>
    <w:semiHidden/>
    <w:qFormat/>
    <w:rPr>
      <w:rFonts w:ascii="Times New Roman" w:hAnsi="Times New Roman" w:eastAsia="宋体" w:cs="Times New Roman"/>
      <w:sz w:val="18"/>
      <w:szCs w:val="18"/>
    </w:rPr>
  </w:style>
  <w:style w:type="character" w:styleId="917" w:customStyle="1">
    <w:name w:val="页脚 字符"/>
    <w:link w:val="875"/>
    <w:uiPriority w:val="0"/>
    <w:qFormat/>
    <w:rPr>
      <w:rFonts w:ascii="Times New Roman" w:hAnsi="Times New Roman" w:eastAsia="宋体" w:cs="Times New Roman"/>
      <w:sz w:val="18"/>
      <w:szCs w:val="18"/>
    </w:rPr>
  </w:style>
  <w:style w:type="character" w:styleId="918" w:customStyle="1">
    <w:name w:val="页眉 字符"/>
    <w:link w:val="876"/>
    <w:uiPriority w:val="0"/>
    <w:qFormat/>
    <w:rPr>
      <w:rFonts w:ascii="Times New Roman" w:hAnsi="Times New Roman" w:eastAsia="宋体" w:cs="Times New Roman"/>
      <w:sz w:val="18"/>
      <w:szCs w:val="18"/>
    </w:rPr>
  </w:style>
  <w:style w:type="character" w:styleId="919" w:customStyle="1">
    <w:name w:val="正文文本缩进 3 字符"/>
    <w:link w:val="881"/>
    <w:uiPriority w:val="0"/>
    <w:qFormat/>
    <w:rPr>
      <w:rFonts w:ascii="Arial" w:hAnsi="Arial" w:eastAsia="仿宋_GB2312" w:cs="Arial"/>
      <w:color w:val="ffff00"/>
      <w:sz w:val="32"/>
      <w:szCs w:val="32"/>
    </w:rPr>
  </w:style>
  <w:style w:type="character" w:styleId="920" w:customStyle="1">
    <w:name w:val="正文文本 2 字符"/>
    <w:link w:val="885"/>
    <w:uiPriority w:val="0"/>
    <w:qFormat/>
    <w:rPr>
      <w:rFonts w:ascii="楷体_GB2312" w:hAnsi="Times New Roman" w:eastAsia="楷体_GB2312" w:cs="Times New Roman"/>
      <w:sz w:val="28"/>
      <w:szCs w:val="28"/>
    </w:rPr>
  </w:style>
  <w:style w:type="character" w:styleId="921" w:customStyle="1">
    <w:name w:val="批注主题 字符"/>
    <w:link w:val="888"/>
    <w:uiPriority w:val="0"/>
    <w:semiHidden/>
    <w:qFormat/>
    <w:rPr>
      <w:rFonts w:ascii="Times New Roman" w:hAnsi="Times New Roman" w:eastAsia="宋体" w:cs="Times New Roman"/>
      <w:b/>
      <w:bCs/>
      <w:szCs w:val="21"/>
    </w:rPr>
  </w:style>
  <w:style w:type="character" w:styleId="922" w:customStyle="1">
    <w:name w:val="正文文本首行缩进 字符"/>
    <w:link w:val="889"/>
    <w:uiPriority w:val="0"/>
    <w:qFormat/>
    <w:rPr>
      <w:rFonts w:ascii="仿宋_GB2312" w:hAnsi="Times New Roman" w:eastAsia="仿宋_GB2312" w:cs="Times New Roman"/>
      <w:sz w:val="30"/>
      <w:szCs w:val="30"/>
    </w:rPr>
  </w:style>
  <w:style w:type="paragraph" w:styleId="923" w:customStyle="1">
    <w:name w:val="正文1"/>
    <w:basedOn w:val="845"/>
    <w:uiPriority w:val="0"/>
    <w:qFormat/>
    <w:pPr>
      <w:ind w:left="350"/>
    </w:pPr>
    <w:rPr>
      <w:sz w:val="20"/>
      <w:szCs w:val="24"/>
    </w:rPr>
  </w:style>
  <w:style w:type="paragraph" w:styleId="924" w:customStyle="1">
    <w:name w:val="索引 41"/>
    <w:basedOn w:val="845"/>
    <w:next w:val="845"/>
    <w:uiPriority w:val="0"/>
    <w:semiHidden/>
    <w:qFormat/>
    <w:pPr>
      <w:ind w:left="1260"/>
    </w:pPr>
    <w:rPr>
      <w:rFonts w:ascii="Calibri" w:hAnsi="Calibri" w:eastAsia="Calibri" w:cs="宋体"/>
      <w:sz w:val="20"/>
      <w:lang w:val="zh-CN"/>
    </w:rPr>
  </w:style>
  <w:style w:type="paragraph" w:styleId="925" w:customStyle="1">
    <w:name w:val="正文首行缩进 21"/>
    <w:basedOn w:val="926"/>
    <w:next w:val="845"/>
    <w:uiPriority w:val="0"/>
    <w:qFormat/>
    <w:pPr>
      <w:ind w:firstLine="420"/>
      <w:spacing w:line="360" w:lineRule="auto"/>
    </w:pPr>
    <w:rPr>
      <w:rFonts w:ascii="宋体" w:hAnsi="宋体" w:eastAsia="宋体"/>
      <w:sz w:val="21"/>
      <w:szCs w:val="20"/>
    </w:rPr>
  </w:style>
  <w:style w:type="paragraph" w:styleId="926" w:customStyle="1">
    <w:name w:val="正文文本缩进11"/>
    <w:basedOn w:val="845"/>
    <w:next w:val="927"/>
    <w:uiPriority w:val="0"/>
    <w:qFormat/>
    <w:pPr>
      <w:ind w:firstLine="645"/>
    </w:pPr>
    <w:rPr>
      <w:rFonts w:ascii="楷体_GB2312" w:eastAsia="楷体_GB2312"/>
      <w:sz w:val="32"/>
      <w:szCs w:val="32"/>
    </w:rPr>
  </w:style>
  <w:style w:type="paragraph" w:styleId="927" w:customStyle="1">
    <w:name w:val="寄信人地址1"/>
    <w:basedOn w:val="845"/>
    <w:uiPriority w:val="0"/>
    <w:qFormat/>
    <w:rPr>
      <w:rFonts w:ascii="Arial" w:hAnsi="Arial" w:cs="宋体"/>
    </w:rPr>
  </w:style>
  <w:style w:type="paragraph" w:styleId="928" w:customStyle="1">
    <w:name w:val="标题 41"/>
    <w:basedOn w:val="845"/>
    <w:next w:val="929"/>
    <w:uiPriority w:val="0"/>
    <w:qFormat/>
    <w:pPr>
      <w:keepLines/>
      <w:keepNext/>
      <w:spacing w:before="280" w:after="290" w:line="376" w:lineRule="auto"/>
      <w:outlineLvl w:val="3"/>
    </w:pPr>
    <w:rPr>
      <w:rFonts w:ascii="Arial" w:hAnsi="Arial" w:eastAsia="黑体" w:cs="Arial"/>
      <w:b/>
      <w:bCs/>
      <w:sz w:val="28"/>
      <w:szCs w:val="28"/>
    </w:rPr>
  </w:style>
  <w:style w:type="paragraph" w:styleId="929" w:customStyle="1">
    <w:name w:val="正文缩进1"/>
    <w:basedOn w:val="845"/>
    <w:uiPriority w:val="0"/>
    <w:qFormat/>
    <w:pPr>
      <w:ind w:firstLine="420"/>
    </w:pPr>
  </w:style>
  <w:style w:type="paragraph" w:styleId="930" w:customStyle="1">
    <w:name w:val="正文文本12"/>
    <w:basedOn w:val="845"/>
    <w:uiPriority w:val="1"/>
    <w:qFormat/>
    <w:pPr>
      <w:ind w:left="120"/>
    </w:pPr>
    <w:rPr>
      <w:rFonts w:ascii="宋体" w:hAnsi="宋体" w:cs="宋体"/>
      <w:lang w:val="zh-CN" w:bidi="zh-CN"/>
    </w:rPr>
  </w:style>
  <w:style w:type="character" w:styleId="931" w:customStyle="1">
    <w:name w:val="font5 Char"/>
    <w:uiPriority w:val="0"/>
    <w:qFormat/>
    <w:rPr>
      <w:rFonts w:ascii="宋体" w:hAnsi="宋体" w:eastAsia="宋体"/>
      <w:sz w:val="28"/>
      <w:szCs w:val="28"/>
      <w:lang w:val="en-US" w:eastAsia="zh-CN" w:bidi="ar-SA"/>
    </w:rPr>
  </w:style>
  <w:style w:type="character" w:styleId="932" w:customStyle="1">
    <w:name w:val="二级目录 Char"/>
    <w:link w:val="933"/>
    <w:uiPriority w:val="0"/>
    <w:qFormat/>
    <w:rPr>
      <w:b/>
      <w:sz w:val="30"/>
      <w:szCs w:val="28"/>
    </w:rPr>
  </w:style>
  <w:style w:type="paragraph" w:styleId="933" w:customStyle="1">
    <w:name w:val="二级目录"/>
    <w:next w:val="845"/>
    <w:link w:val="93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4" w:customStyle="1">
    <w:name w:val="列出段落 Char"/>
    <w:link w:val="935"/>
    <w:uiPriority w:val="0"/>
    <w:qFormat/>
    <w:rPr>
      <w:rFonts w:ascii="Calibri" w:hAnsi="Calibri"/>
      <w:sz w:val="24"/>
      <w:szCs w:val="24"/>
      <w:lang w:eastAsia="en-US" w:bidi="en-US"/>
    </w:rPr>
  </w:style>
  <w:style w:type="paragraph" w:styleId="935" w:customStyle="1">
    <w:name w:val="列出段落1"/>
    <w:basedOn w:val="845"/>
    <w:link w:val="934"/>
    <w:uiPriority w:val="0"/>
    <w:qFormat/>
    <w:pPr>
      <w:contextualSpacing/>
      <w:ind w:left="720"/>
      <w:jc w:val="left"/>
      <w:widowControl/>
    </w:pPr>
    <w:rPr>
      <w:rFonts w:ascii="Calibri" w:hAnsi="Calibri"/>
      <w:sz w:val="24"/>
      <w:szCs w:val="24"/>
      <w:lang w:eastAsia="en-US" w:bidi="en-US"/>
    </w:rPr>
  </w:style>
  <w:style w:type="paragraph" w:styleId="936" w:customStyle="1">
    <w:name w:val="Body Text(ch)"/>
    <w:basedOn w:val="845"/>
    <w:next w:val="866"/>
    <w:uiPriority w:val="0"/>
    <w:qFormat/>
    <w:pPr>
      <w:spacing w:after="120"/>
    </w:pPr>
    <w:rPr>
      <w:rFonts w:ascii="宋体" w:hAnsi="Arial"/>
      <w:bCs/>
      <w:iCs/>
      <w:szCs w:val="24"/>
    </w:rPr>
  </w:style>
  <w:style w:type="paragraph" w:styleId="937" w:customStyle="1">
    <w:name w:val="xl27"/>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8" w:customStyle="1">
    <w:name w:val="xl26"/>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9" w:customStyle="1">
    <w:name w:val="Char"/>
    <w:basedOn w:val="845"/>
    <w:uiPriority w:val="0"/>
    <w:qFormat/>
    <w:pPr>
      <w:ind w:firstLine="200"/>
      <w:tabs>
        <w:tab w:val="left" w:pos="360" w:leader="none"/>
      </w:tabs>
    </w:pPr>
    <w:rPr>
      <w:sz w:val="28"/>
      <w:szCs w:val="30"/>
    </w:rPr>
  </w:style>
  <w:style w:type="paragraph" w:styleId="940" w:customStyle="1">
    <w:name w:val="Char1"/>
    <w:basedOn w:val="863"/>
    <w:uiPriority w:val="0"/>
    <w:qFormat/>
    <w:rPr>
      <w:rFonts w:ascii="Tahoma" w:hAnsi="Tahoma"/>
      <w:sz w:val="24"/>
      <w:szCs w:val="24"/>
    </w:rPr>
  </w:style>
  <w:style w:type="paragraph" w:styleId="941"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942" w:customStyle="1">
    <w:name w:val="table_lines"/>
    <w:basedOn w:val="845"/>
    <w:uiPriority w:val="0"/>
    <w:qFormat/>
    <w:pPr>
      <w:jc w:val="left"/>
      <w:widowControl/>
    </w:pPr>
    <w:rPr>
      <w:sz w:val="20"/>
      <w:szCs w:val="20"/>
      <w:lang w:val="de-DE" w:eastAsia="de-DE"/>
    </w:rPr>
  </w:style>
  <w:style w:type="paragraph" w:styleId="9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4" w:customStyle="1">
    <w:name w:val="font7"/>
    <w:basedOn w:val="845"/>
    <w:uiPriority w:val="0"/>
    <w:qFormat/>
    <w:pPr>
      <w:jc w:val="left"/>
      <w:spacing w:before="100" w:beforeAutospacing="1" w:after="100" w:afterAutospacing="1"/>
      <w:widowControl/>
    </w:pPr>
    <w:rPr>
      <w:rFonts w:hint="eastAsia" w:ascii="宋体" w:hAnsi="宋体"/>
      <w:sz w:val="18"/>
      <w:szCs w:val="18"/>
    </w:rPr>
  </w:style>
  <w:style w:type="paragraph" w:styleId="945" w:customStyle="1">
    <w:name w:val="Char Char Char Char"/>
    <w:basedOn w:val="863"/>
    <w:uiPriority w:val="0"/>
    <w:qFormat/>
    <w:pPr>
      <w:spacing w:line="360" w:lineRule="auto"/>
    </w:pPr>
    <w:rPr>
      <w:rFonts w:ascii="Tahoma" w:hAnsi="Tahoma"/>
      <w:sz w:val="24"/>
      <w:szCs w:val="24"/>
    </w:rPr>
  </w:style>
  <w:style w:type="paragraph" w:styleId="946">
    <w:name w:val="List Paragraph"/>
    <w:basedOn w:val="845"/>
    <w:uiPriority w:val="0"/>
    <w:qFormat/>
    <w:pPr>
      <w:contextualSpacing/>
      <w:ind w:left="720"/>
      <w:jc w:val="left"/>
      <w:widowControl/>
    </w:pPr>
    <w:rPr>
      <w:rFonts w:ascii="Calibri" w:hAnsi="Calibri"/>
      <w:sz w:val="24"/>
      <w:szCs w:val="24"/>
      <w:lang w:eastAsia="en-US" w:bidi="en-US"/>
    </w:rPr>
  </w:style>
  <w:style w:type="paragraph" w:styleId="947" w:customStyle="1">
    <w:name w:val="4"/>
    <w:basedOn w:val="845"/>
    <w:next w:val="881"/>
    <w:uiPriority w:val="0"/>
    <w:qFormat/>
    <w:pPr>
      <w:ind w:firstLine="420"/>
      <w:spacing w:line="360" w:lineRule="auto"/>
    </w:pPr>
    <w:rPr>
      <w:color w:val="ff0000"/>
      <w:sz w:val="24"/>
      <w:szCs w:val="24"/>
    </w:rPr>
  </w:style>
  <w:style w:type="paragraph" w:styleId="948" w:customStyle="1">
    <w:name w:val="普通 (Web)"/>
    <w:basedOn w:val="845"/>
    <w:uiPriority w:val="0"/>
    <w:qFormat/>
    <w:pPr>
      <w:jc w:val="left"/>
      <w:spacing w:before="100" w:beforeAutospacing="1" w:after="100" w:afterAutospacing="1"/>
      <w:widowControl/>
    </w:pPr>
    <w:rPr>
      <w:rFonts w:ascii="宋体" w:hAnsi="宋体"/>
      <w:sz w:val="24"/>
      <w:szCs w:val="24"/>
    </w:rPr>
  </w:style>
  <w:style w:type="paragraph" w:styleId="949" w:customStyle="1">
    <w:name w:val="Char Char Char Char Char Char Char Char Char Char"/>
    <w:basedOn w:val="845"/>
    <w:uiPriority w:val="0"/>
    <w:qFormat/>
    <w:pPr>
      <w:spacing w:line="360" w:lineRule="auto"/>
    </w:pPr>
    <w:rPr>
      <w:sz w:val="24"/>
      <w:szCs w:val="20"/>
    </w:rPr>
  </w:style>
  <w:style w:type="paragraph" w:styleId="950" w:customStyle="1">
    <w:name w:val="样式1"/>
    <w:basedOn w:val="845"/>
    <w:uiPriority w:val="0"/>
    <w:qFormat/>
    <w:pPr>
      <w:numPr>
        <w:ilvl w:val="0"/>
        <w:numId w:val="3"/>
      </w:numPr>
    </w:pPr>
    <w:rPr>
      <w:rFonts w:ascii="宋体" w:hAnsi="宋体"/>
    </w:rPr>
  </w:style>
  <w:style w:type="paragraph" w:styleId="951" w:customStyle="1">
    <w:name w:val="font6"/>
    <w:basedOn w:val="845"/>
    <w:uiPriority w:val="0"/>
    <w:qFormat/>
    <w:pPr>
      <w:jc w:val="left"/>
      <w:spacing w:before="100" w:beforeAutospacing="1" w:after="100" w:afterAutospacing="1"/>
      <w:widowControl/>
    </w:pPr>
    <w:rPr>
      <w:rFonts w:hint="eastAsia" w:ascii="宋体" w:hAnsi="宋体"/>
      <w:sz w:val="28"/>
      <w:szCs w:val="28"/>
      <w:u w:val="single"/>
    </w:rPr>
  </w:style>
  <w:style w:type="paragraph" w:styleId="952"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4" w:customStyle="1">
    <w:name w:val="标题3"/>
    <w:basedOn w:val="845"/>
    <w:next w:val="845"/>
    <w:uiPriority w:val="0"/>
    <w:qFormat/>
    <w:pPr>
      <w:ind w:firstLine="624"/>
      <w:spacing w:line="590" w:lineRule="atLeast"/>
    </w:pPr>
    <w:rPr>
      <w:rFonts w:ascii="方正黑体_GBK" w:eastAsia="方正黑体_GBK"/>
      <w:sz w:val="32"/>
      <w:szCs w:val="32"/>
    </w:rPr>
  </w:style>
  <w:style w:type="paragraph" w:styleId="955" w:customStyle="1">
    <w:name w:val="xl24"/>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6" w:customStyle="1">
    <w:name w:val="xl29"/>
    <w:basedOn w:val="84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7" w:customStyle="1">
    <w:name w:val="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958" w:customStyle="1">
    <w:name w:val="xl28"/>
    <w:basedOn w:val="8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9" w:customStyle="1">
    <w:name w:val="Char Char Char Char Char Char Char Char1"/>
    <w:basedOn w:val="845"/>
    <w:uiPriority w:val="0"/>
    <w:qFormat/>
    <w:pPr>
      <w:jc w:val="left"/>
      <w:spacing w:after="160" w:line="240" w:lineRule="exact"/>
      <w:widowControl/>
    </w:pPr>
    <w:rPr>
      <w:rFonts w:ascii="Verdana" w:hAnsi="Verdana"/>
      <w:sz w:val="20"/>
      <w:szCs w:val="20"/>
      <w:lang w:eastAsia="en-US"/>
    </w:rPr>
  </w:style>
  <w:style w:type="paragraph" w:styleId="960" w:customStyle="1">
    <w:name w:val="xl30"/>
    <w:basedOn w:val="845"/>
    <w:uiPriority w:val="0"/>
    <w:qFormat/>
    <w:pPr>
      <w:jc w:val="center"/>
      <w:spacing w:before="100" w:beforeAutospacing="1" w:after="100" w:afterAutospacing="1"/>
      <w:widowControl/>
    </w:pPr>
    <w:rPr>
      <w:rFonts w:ascii="宋体" w:hAnsi="宋体"/>
      <w:b/>
      <w:bCs/>
      <w:sz w:val="36"/>
      <w:szCs w:val="36"/>
    </w:rPr>
  </w:style>
  <w:style w:type="paragraph" w:styleId="961" w:customStyle="1">
    <w:name w:val="Char Char Char Char1"/>
    <w:basedOn w:val="863"/>
    <w:uiPriority w:val="0"/>
    <w:qFormat/>
    <w:pPr>
      <w:spacing w:line="360" w:lineRule="auto"/>
    </w:pPr>
    <w:rPr>
      <w:rFonts w:ascii="Tahoma" w:hAnsi="Tahoma"/>
      <w:sz w:val="24"/>
      <w:szCs w:val="24"/>
    </w:rPr>
  </w:style>
  <w:style w:type="paragraph" w:styleId="962" w:customStyle="1">
    <w:name w:val="table_1stline"/>
    <w:basedOn w:val="845"/>
    <w:uiPriority w:val="0"/>
    <w:qFormat/>
    <w:pPr>
      <w:jc w:val="left"/>
      <w:spacing w:before="120"/>
      <w:widowControl/>
    </w:pPr>
    <w:rPr>
      <w:bCs/>
      <w:sz w:val="20"/>
      <w:szCs w:val="20"/>
      <w:lang w:val="de-DE" w:eastAsia="de-DE"/>
    </w:rPr>
  </w:style>
  <w:style w:type="paragraph" w:styleId="963" w:customStyle="1">
    <w:name w:val="font5"/>
    <w:basedOn w:val="845"/>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标题1"/>
    <w:basedOn w:val="845"/>
    <w:next w:val="8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修订1"/>
    <w:uiPriority w:val="99"/>
    <w:semiHidden/>
    <w:qFormat/>
    <w:rPr>
      <w:rFonts w:ascii="Times New Roman" w:hAnsi="Times New Roman" w:eastAsia="宋体" w:cs="Times New Roman"/>
      <w:sz w:val="21"/>
      <w:szCs w:val="21"/>
      <w:lang w:val="en-US" w:eastAsia="zh-CN" w:bidi="ar-SA"/>
    </w:rPr>
  </w:style>
  <w:style w:type="paragraph" w:styleId="96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7" w:customStyle="1">
    <w:name w:val="正文文本 211"/>
    <w:basedOn w:val="845"/>
    <w:uiPriority w:val="99"/>
    <w:qFormat/>
    <w:pPr>
      <w:jc w:val="center"/>
    </w:pPr>
    <w:rPr>
      <w:b/>
      <w:bCs/>
      <w:sz w:val="20"/>
      <w:szCs w:val="20"/>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正文文本1"/>
    <w:basedOn w:val="845"/>
    <w:next w:val="845"/>
    <w:uiPriority w:val="0"/>
    <w:semiHidden/>
    <w:qFormat/>
    <w:rPr>
      <w:rFonts w:ascii="Arial" w:hAnsi="Arial" w:eastAsia="Arial" w:cs="Arial"/>
      <w:lang w:eastAsia="en-US"/>
    </w:rPr>
  </w:style>
  <w:style w:type="paragraph" w:styleId="970" w:customStyle="1">
    <w:name w:val="纯文本1"/>
    <w:basedOn w:val="845"/>
    <w:uiPriority w:val="0"/>
    <w:qFormat/>
    <w:rPr>
      <w:rFonts w:ascii="宋体" w:hAnsi="Courier New" w:cs="Courier New"/>
    </w:rPr>
  </w:style>
  <w:style w:type="table" w:styleId="971" w:customStyle="1">
    <w:name w:val="网格型1"/>
    <w:basedOn w:val="972"/>
    <w:uiPriority w:val="0"/>
    <w:qFormat/>
    <w:pPr>
      <w:jc w:val="both"/>
      <w:widowControl w:val="off"/>
    </w:pPr>
    <w:tblPr/>
  </w:style>
  <w:style w:type="table" w:styleId="972" w:customStyle="1">
    <w:name w:val="普通表格1"/>
    <w:uiPriority w:val="99"/>
    <w:unhideWhenUsed/>
    <w:qFormat/>
    <w:tblPr>
      <w:tblCellMar>
        <w:left w:w="0" w:type="dxa"/>
        <w:top w:w="0" w:type="dxa"/>
        <w:right w:w="0" w:type="dxa"/>
        <w:bottom w:w="0" w:type="dxa"/>
      </w:tblCellMar>
    </w:tblPr>
  </w:style>
  <w:style w:type="character" w:styleId="973" w:customStyle="1">
    <w:name w:val="15"/>
    <w:basedOn w:val="855"/>
    <w:uiPriority w:val="0"/>
    <w:qFormat/>
    <w:rPr>
      <w:rFonts w:hint="default" w:ascii="Times New Roman" w:hAnsi="Times New Roman" w:cs="Times New Roman"/>
    </w:rPr>
  </w:style>
  <w:style w:type="paragraph" w:styleId="974" w:customStyle="1">
    <w:name w:val="正文首行缩进 211"/>
    <w:basedOn w:val="926"/>
    <w:next w:val="845"/>
    <w:uiPriority w:val="0"/>
    <w:qFormat/>
    <w:pPr>
      <w:ind w:firstLine="420"/>
      <w:spacing w:line="360" w:lineRule="auto"/>
    </w:pPr>
    <w:rPr>
      <w:rFonts w:ascii="宋体" w:hAnsi="宋体" w:eastAsia="宋体"/>
      <w:szCs w:val="20"/>
    </w:rPr>
  </w:style>
  <w:style w:type="paragraph" w:styleId="975" w:customStyle="1">
    <w:name w:val="Table Paragraph"/>
    <w:basedOn w:val="845"/>
    <w:uiPriority w:val="1"/>
    <w:qFormat/>
    <w:pPr>
      <w:jc w:val="left"/>
    </w:pPr>
    <w:rPr>
      <w:rFonts w:ascii="宋体" w:hAnsi="宋体" w:cs="宋体"/>
      <w:sz w:val="22"/>
      <w:szCs w:val="22"/>
      <w:lang w:val="zh-CN" w:bidi="zh-CN"/>
    </w:rPr>
  </w:style>
  <w:style w:type="paragraph" w:styleId="976"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7</cp:revision>
  <dcterms:created xsi:type="dcterms:W3CDTF">2026-09-18T10:27:00Z</dcterms:created>
  <dcterms:modified xsi:type="dcterms:W3CDTF">2026-09-23T07:58:07Z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A8463306CF0941E0B7BB6C704551ECA5_13</vt:lpwstr>
  </property>
  <property fmtid="{D5CDD505-2E9C-101B-9397-08002B2CF9AE}" pid="4" name="KSOTemplateDocerSaveRecord">
    <vt:lpwstr>eyJoZGlkIjoiMGMxMjA4NTg1OGUyYzRlYTcxYzMxZTM5YzY1ZDdmZjgiLCJ1c2VySWQiOiIyNTM5NzI5MTQifQ==</vt:lpwstr>
  </property>
</Properties>
</file>