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隶书"/>
          <w:b/>
          <w:bCs/>
          <w:color w:val="000000"/>
          <w:sz w:val="72"/>
          <w:szCs w:val="72"/>
        </w:rPr>
      </w:pPr>
      <w:r>
        <w:rPr>
          <w:rFonts w:eastAsia="隶书"/>
          <w:b/>
          <w:bCs/>
          <w:color w:val="000000"/>
          <w:sz w:val="72"/>
          <w:szCs w:val="72"/>
        </w:rPr>
      </w:r>
      <w:r/>
    </w:p>
    <w:p>
      <w:pPr>
        <w:jc w:val="center"/>
        <w:spacing w:line="360" w:lineRule="auto"/>
        <w:rPr>
          <w:rFonts w:eastAsia="隶书"/>
          <w:color w:val="000000"/>
          <w:sz w:val="84"/>
          <w:szCs w:val="84"/>
        </w:rPr>
      </w:pPr>
      <w:r>
        <w:rPr>
          <w:rFonts w:eastAsia="隶书"/>
          <w:sz w:val="72"/>
          <w:szCs w:val="22"/>
        </w:rPr>
        <w:t xml:space="preserve">江苏省特种设备安全监督检验研究院</w:t>
      </w:r>
      <w:r/>
    </w:p>
    <w:p>
      <w:pPr>
        <w:jc w:val="center"/>
        <w:spacing w:line="360" w:lineRule="auto"/>
        <w:rPr>
          <w:rFonts w:eastAsia="隶书"/>
          <w:color w:val="000000"/>
          <w:sz w:val="84"/>
          <w:szCs w:val="84"/>
        </w:rPr>
      </w:pPr>
      <w:r>
        <w:rPr>
          <w:rFonts w:eastAsia="隶书"/>
          <w:color w:val="000000"/>
          <w:sz w:val="84"/>
          <w:szCs w:val="84"/>
        </w:rPr>
      </w:r>
      <w:r/>
    </w:p>
    <w:p>
      <w:pPr>
        <w:jc w:val="center"/>
        <w:spacing w:line="360" w:lineRule="auto"/>
        <w:rPr>
          <w:rFonts w:eastAsia="隶书"/>
          <w:color w:val="000000"/>
          <w:sz w:val="72"/>
        </w:rPr>
      </w:pPr>
      <w:r>
        <w:rPr>
          <w:rFonts w:eastAsia="隶书"/>
          <w:sz w:val="48"/>
          <w:szCs w:val="48"/>
        </w:rPr>
        <w:t xml:space="preserve">水介质检验检测设备</w:t>
      </w:r>
      <w:r/>
    </w:p>
    <w:p>
      <w:pPr>
        <w:jc w:val="center"/>
        <w:spacing w:line="360" w:lineRule="auto"/>
        <w:rPr>
          <w:color w:val="000000"/>
          <w:sz w:val="72"/>
        </w:rPr>
      </w:pPr>
      <w:r>
        <w:rPr>
          <w:color w:val="000000"/>
          <w:sz w:val="72"/>
        </w:rPr>
      </w:r>
      <w:r/>
    </w:p>
    <w:p>
      <w:pPr>
        <w:jc w:val="center"/>
        <w:spacing w:line="360" w:lineRule="auto"/>
        <w:rPr>
          <w:rFonts w:eastAsia="隶书"/>
          <w:color w:val="000000"/>
          <w:sz w:val="96"/>
          <w:szCs w:val="96"/>
        </w:rPr>
      </w:pPr>
      <w:r>
        <w:rPr>
          <w:rFonts w:eastAsia="隶书"/>
          <w:sz w:val="96"/>
          <w:szCs w:val="96"/>
        </w:rPr>
        <w:t xml:space="preserve">招 标 文 件</w:t>
      </w:r>
      <w:r/>
    </w:p>
    <w:p>
      <w:pPr>
        <w:jc w:val="center"/>
        <w:spacing w:line="360" w:lineRule="auto"/>
        <w:rPr>
          <w:rFonts w:eastAsia="隶书"/>
          <w:color w:val="000000"/>
          <w:sz w:val="96"/>
          <w:szCs w:val="96"/>
        </w:rPr>
      </w:pPr>
      <w:r>
        <w:rPr>
          <w:rFonts w:eastAsia="隶书"/>
          <w:color w:val="000000"/>
          <w:sz w:val="96"/>
          <w:szCs w:val="96"/>
        </w:rPr>
      </w:r>
      <w:r/>
    </w:p>
    <w:p>
      <w:pPr>
        <w:jc w:val="center"/>
        <w:spacing w:line="360" w:lineRule="auto"/>
        <w:rPr>
          <w:rFonts w:eastAsia="隶书"/>
          <w:color w:val="000000"/>
          <w:sz w:val="96"/>
          <w:szCs w:val="96"/>
        </w:rPr>
      </w:pPr>
      <w:r>
        <w:rPr>
          <w:rFonts w:eastAsia="隶书"/>
          <w:color w:val="000000"/>
          <w:sz w:val="96"/>
          <w:szCs w:val="96"/>
        </w:rPr>
      </w:r>
      <w:r/>
    </w:p>
    <w:p>
      <w:pPr>
        <w:jc w:val="center"/>
        <w:spacing w:line="360" w:lineRule="auto"/>
        <w:rPr>
          <w:rFonts w:eastAsia="隶书"/>
          <w:color w:val="000000"/>
          <w:sz w:val="36"/>
        </w:rPr>
      </w:pPr>
      <w:r>
        <w:rPr>
          <w:rFonts w:eastAsia="隶书"/>
          <w:color w:val="000000"/>
          <w:sz w:val="36"/>
        </w:rPr>
        <w:t xml:space="preserve">招标编号：4297-2641SUMEC307/01、02、03</w:t>
      </w:r>
      <w:r/>
    </w:p>
    <w:p>
      <w:pPr>
        <w:jc w:val="center"/>
        <w:spacing w:line="360" w:lineRule="auto"/>
        <w:rPr>
          <w:rFonts w:eastAsia="隶书"/>
          <w:color w:val="000000"/>
          <w:sz w:val="36"/>
        </w:rPr>
      </w:pPr>
      <w:r>
        <w:rPr>
          <w:rFonts w:eastAsia="隶书"/>
          <w:color w:val="000000"/>
          <w:sz w:val="36"/>
        </w:rPr>
        <w:t xml:space="preserve">（</w:t>
      </w:r>
      <w:r>
        <w:rPr>
          <w:rFonts w:hint="eastAsia" w:eastAsia="隶书"/>
          <w:color w:val="000000"/>
          <w:sz w:val="36"/>
          <w:lang w:eastAsia="zh-CN"/>
        </w:rPr>
        <w:t xml:space="preserve">公告编号：JSZC-320000-JSSB-G2026-0002</w:t>
      </w:r>
      <w:r>
        <w:rPr>
          <w:rFonts w:eastAsia="隶书"/>
          <w:color w:val="000000"/>
          <w:sz w:val="36"/>
        </w:rPr>
        <w:t xml:space="preserve"> ）</w:t>
      </w:r>
      <w:r/>
    </w:p>
    <w:p>
      <w:pPr>
        <w:spacing w:line="360" w:lineRule="auto"/>
        <w:rPr>
          <w:rFonts w:eastAsia="隶书"/>
          <w:color w:val="000000"/>
          <w:szCs w:val="21"/>
        </w:rPr>
      </w:pPr>
      <w:r>
        <w:rPr>
          <w:rFonts w:eastAsia="隶书"/>
          <w:color w:val="000000"/>
          <w:szCs w:val="21"/>
        </w:rPr>
      </w:r>
      <w:r/>
    </w:p>
    <w:p>
      <w:pPr>
        <w:spacing w:line="360" w:lineRule="auto"/>
        <w:rPr>
          <w:rFonts w:eastAsia="隶书"/>
          <w:color w:val="000000"/>
          <w:sz w:val="32"/>
        </w:rPr>
      </w:pPr>
      <w:r>
        <w:rPr>
          <w:rFonts w:eastAsia="隶书"/>
          <w:color w:val="000000"/>
          <w:sz w:val="32"/>
        </w:rPr>
      </w:r>
      <w:r/>
    </w:p>
    <w:p>
      <w:pPr>
        <w:spacing w:line="360" w:lineRule="auto"/>
        <w:rPr>
          <w:rFonts w:eastAsia="隶书"/>
          <w:color w:val="000000"/>
          <w:sz w:val="32"/>
        </w:rPr>
      </w:pPr>
      <w:r>
        <w:rPr>
          <w:rFonts w:eastAsia="隶书"/>
          <w:color w:val="000000"/>
          <w:sz w:val="32"/>
        </w:rPr>
      </w:r>
      <w:r/>
    </w:p>
    <w:p>
      <w:pPr>
        <w:jc w:val="center"/>
        <w:spacing w:line="360" w:lineRule="auto"/>
        <w:rPr>
          <w:rFonts w:eastAsia="隶书"/>
          <w:color w:val="000000"/>
          <w:sz w:val="32"/>
        </w:rPr>
      </w:pPr>
      <w:r>
        <w:rPr>
          <w:rFonts w:eastAsia="隶书"/>
          <w:color w:val="000000"/>
          <w:sz w:val="32"/>
        </w:rPr>
        <w:t xml:space="preserve">采购代理机构：江苏美达机电贸易有限公司</w:t>
      </w:r>
      <w:r/>
    </w:p>
    <w:p>
      <w:pPr>
        <w:jc w:val="center"/>
        <w:spacing w:line="360" w:lineRule="auto"/>
        <w:rPr>
          <w:rFonts w:eastAsia="隶书"/>
          <w:color w:val="000000"/>
          <w:sz w:val="32"/>
        </w:rPr>
      </w:pPr>
      <w:r>
        <w:rPr>
          <w:rFonts w:eastAsia="隶书"/>
          <w:color w:val="000000"/>
          <w:sz w:val="32"/>
        </w:rPr>
        <w:t xml:space="preserve">2026年08月</w:t>
      </w:r>
      <w:r/>
    </w:p>
    <w:p>
      <w:pPr>
        <w:jc w:val="center"/>
        <w:spacing w:line="440" w:lineRule="exact"/>
        <w:rPr>
          <w:rFonts w:eastAsia="黑体"/>
          <w:color w:val="000000"/>
          <w:sz w:val="32"/>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4" w:right="1134" w:bottom="1134" w:left="1134" w:header="851" w:footer="992" w:gutter="0"/>
          <w:cols w:num="1" w:sep="0" w:space="720" w:equalWidth="1"/>
          <w:docGrid w:linePitch="360"/>
        </w:sectPr>
      </w:pPr>
      <w:r>
        <w:rPr>
          <w:rFonts w:eastAsia="黑体"/>
          <w:color w:val="000000"/>
          <w:sz w:val="32"/>
        </w:rPr>
      </w:r>
      <w:r/>
    </w:p>
    <w:p>
      <w:pPr>
        <w:jc w:val="center"/>
        <w:spacing w:line="440" w:lineRule="exact"/>
        <w:rPr>
          <w:rFonts w:eastAsia="黑体"/>
          <w:b/>
          <w:color w:val="000000"/>
          <w:sz w:val="32"/>
        </w:rPr>
      </w:pPr>
      <w:r>
        <w:rPr>
          <w:b/>
          <w:color w:val="000000"/>
          <w:sz w:val="32"/>
        </w:rPr>
        <w:t xml:space="preserve">目   录</w:t>
      </w:r>
      <w:r/>
    </w:p>
    <w:p>
      <w:pPr>
        <w:pStyle w:val="1429"/>
        <w:tabs>
          <w:tab w:val="right" w:pos="9406" w:leader="dot"/>
        </w:tabs>
        <w:rPr>
          <w:rFonts w:eastAsiaTheme="minorEastAsia"/>
          <w:sz w:val="24"/>
          <w:szCs w:val="24"/>
          <w14:ligatures w14:val="standardContextual"/>
        </w:rPr>
      </w:pPr>
      <w:r>
        <w:rPr>
          <w:rFonts w:eastAsia="黑体"/>
          <w:bCs/>
          <w:color w:val="000000"/>
          <w:sz w:val="24"/>
          <w:szCs w:val="24"/>
        </w:rPr>
        <w:fldChar w:fldCharType="begin"/>
      </w:r>
      <w:r>
        <w:rPr>
          <w:rFonts w:eastAsia="黑体"/>
          <w:bCs/>
          <w:color w:val="000000"/>
          <w:sz w:val="24"/>
          <w:szCs w:val="24"/>
        </w:rPr>
        <w:instrText xml:space="preserve">TOC \o "1-3" \h \u </w:instrText>
      </w:r>
      <w:r>
        <w:rPr>
          <w:rFonts w:eastAsia="黑体"/>
          <w:bCs/>
          <w:color w:val="000000"/>
          <w:sz w:val="24"/>
          <w:szCs w:val="24"/>
        </w:rPr>
        <w:fldChar w:fldCharType="separate"/>
      </w:r>
      <w:r>
        <w:fldChar w:fldCharType="begin"/>
      </w:r>
      <w:r>
        <w:instrText xml:space="preserve"> HYPERLINK \l "_Toc231822725" </w:instrText>
      </w:r>
      <w:r>
        <w:fldChar w:fldCharType="separate"/>
      </w:r>
      <w:r>
        <w:rPr>
          <w:rStyle w:val="1445"/>
          <w:b/>
          <w:sz w:val="24"/>
          <w:szCs w:val="24"/>
        </w:rPr>
        <w:t xml:space="preserve">第一章 招标公告</w:t>
      </w:r>
      <w:r>
        <w:rPr>
          <w:sz w:val="24"/>
          <w:szCs w:val="24"/>
        </w:rPr>
        <w:tab/>
      </w:r>
      <w:r>
        <w:rPr>
          <w:sz w:val="24"/>
          <w:szCs w:val="24"/>
        </w:rPr>
        <w:fldChar w:fldCharType="begin"/>
      </w:r>
      <w:r>
        <w:rPr>
          <w:sz w:val="24"/>
          <w:szCs w:val="24"/>
        </w:rPr>
        <w:instrText xml:space="preserve"> PAGEREF _Toc231822725 \h </w:instrText>
      </w:r>
      <w:r>
        <w:rPr>
          <w:sz w:val="24"/>
          <w:szCs w:val="24"/>
        </w:rPr>
        <w:fldChar w:fldCharType="separate"/>
      </w:r>
      <w:r>
        <w:rPr>
          <w:sz w:val="24"/>
          <w:szCs w:val="24"/>
        </w:rPr>
        <w:t xml:space="preserve">3</w:t>
      </w:r>
      <w:r>
        <w:rPr>
          <w:sz w:val="24"/>
          <w:szCs w:val="24"/>
        </w:rPr>
        <w:fldChar w:fldCharType="end"/>
      </w:r>
      <w:r>
        <w:rPr>
          <w:sz w:val="24"/>
          <w:szCs w:val="24"/>
        </w:rPr>
        <w:fldChar w:fldCharType="end"/>
      </w:r>
      <w:r/>
    </w:p>
    <w:p>
      <w:pPr>
        <w:pStyle w:val="1434"/>
        <w:ind w:left="420"/>
        <w:tabs>
          <w:tab w:val="right" w:pos="9406" w:leader="dot"/>
        </w:tabs>
        <w:rPr>
          <w:rFonts w:eastAsiaTheme="minorEastAsia"/>
          <w:sz w:val="24"/>
          <w:szCs w:val="24"/>
          <w14:ligatures w14:val="standardContextual"/>
        </w:rPr>
      </w:pPr>
      <w:r>
        <w:fldChar w:fldCharType="begin"/>
      </w:r>
      <w:r>
        <w:instrText xml:space="preserve"> HYPERLINK \l "_Toc231822726" </w:instrText>
      </w:r>
      <w:r>
        <w:fldChar w:fldCharType="separate"/>
      </w:r>
      <w:r>
        <w:rPr>
          <w:rStyle w:val="1445"/>
          <w:sz w:val="24"/>
          <w:szCs w:val="24"/>
        </w:rPr>
        <w:t xml:space="preserve">一、项目基本情况</w:t>
      </w:r>
      <w:r>
        <w:rPr>
          <w:sz w:val="24"/>
          <w:szCs w:val="24"/>
        </w:rPr>
        <w:tab/>
      </w:r>
      <w:r>
        <w:rPr>
          <w:sz w:val="24"/>
          <w:szCs w:val="24"/>
        </w:rPr>
        <w:fldChar w:fldCharType="begin"/>
      </w:r>
      <w:r>
        <w:rPr>
          <w:sz w:val="24"/>
          <w:szCs w:val="24"/>
        </w:rPr>
        <w:instrText xml:space="preserve"> PAGEREF _Toc231822726 \h </w:instrText>
      </w:r>
      <w:r>
        <w:rPr>
          <w:sz w:val="24"/>
          <w:szCs w:val="24"/>
        </w:rPr>
        <w:fldChar w:fldCharType="separate"/>
      </w:r>
      <w:r>
        <w:rPr>
          <w:sz w:val="24"/>
          <w:szCs w:val="24"/>
        </w:rPr>
        <w:t xml:space="preserve">3</w:t>
      </w:r>
      <w:r>
        <w:rPr>
          <w:sz w:val="24"/>
          <w:szCs w:val="24"/>
        </w:rPr>
        <w:fldChar w:fldCharType="end"/>
      </w:r>
      <w:r>
        <w:rPr>
          <w:sz w:val="24"/>
          <w:szCs w:val="24"/>
        </w:rPr>
        <w:fldChar w:fldCharType="end"/>
      </w:r>
      <w:r/>
    </w:p>
    <w:p>
      <w:pPr>
        <w:pStyle w:val="1434"/>
        <w:ind w:left="420"/>
        <w:tabs>
          <w:tab w:val="right" w:pos="9406" w:leader="dot"/>
        </w:tabs>
        <w:rPr>
          <w:rFonts w:eastAsiaTheme="minorEastAsia"/>
          <w:sz w:val="24"/>
          <w:szCs w:val="24"/>
          <w14:ligatures w14:val="standardContextual"/>
        </w:rPr>
      </w:pPr>
      <w:r>
        <w:fldChar w:fldCharType="begin"/>
      </w:r>
      <w:r>
        <w:instrText xml:space="preserve"> HYPERLINK \l "_Toc231822727" </w:instrText>
      </w:r>
      <w:r>
        <w:fldChar w:fldCharType="separate"/>
      </w:r>
      <w:r>
        <w:rPr>
          <w:rStyle w:val="1445"/>
          <w:sz w:val="24"/>
          <w:szCs w:val="24"/>
        </w:rPr>
        <w:t xml:space="preserve">二、申请人的资格要求：</w:t>
      </w:r>
      <w:r>
        <w:rPr>
          <w:sz w:val="24"/>
          <w:szCs w:val="24"/>
        </w:rPr>
        <w:tab/>
      </w:r>
      <w:r>
        <w:rPr>
          <w:sz w:val="24"/>
          <w:szCs w:val="24"/>
        </w:rPr>
        <w:fldChar w:fldCharType="begin"/>
      </w:r>
      <w:r>
        <w:rPr>
          <w:sz w:val="24"/>
          <w:szCs w:val="24"/>
        </w:rPr>
        <w:instrText xml:space="preserve"> PAGEREF _Toc231822727 \h </w:instrText>
      </w:r>
      <w:r>
        <w:rPr>
          <w:sz w:val="24"/>
          <w:szCs w:val="24"/>
        </w:rPr>
        <w:fldChar w:fldCharType="separate"/>
      </w:r>
      <w:r>
        <w:rPr>
          <w:sz w:val="24"/>
          <w:szCs w:val="24"/>
        </w:rPr>
        <w:t xml:space="preserve">4</w:t>
      </w:r>
      <w:r>
        <w:rPr>
          <w:sz w:val="24"/>
          <w:szCs w:val="24"/>
        </w:rPr>
        <w:fldChar w:fldCharType="end"/>
      </w:r>
      <w:r>
        <w:rPr>
          <w:sz w:val="24"/>
          <w:szCs w:val="24"/>
        </w:rPr>
        <w:fldChar w:fldCharType="end"/>
      </w:r>
      <w:r/>
    </w:p>
    <w:p>
      <w:pPr>
        <w:pStyle w:val="1434"/>
        <w:ind w:left="420"/>
        <w:tabs>
          <w:tab w:val="right" w:pos="9406" w:leader="dot"/>
        </w:tabs>
        <w:rPr>
          <w:rFonts w:eastAsiaTheme="minorEastAsia"/>
          <w:sz w:val="24"/>
          <w:szCs w:val="24"/>
          <w14:ligatures w14:val="standardContextual"/>
        </w:rPr>
      </w:pPr>
      <w:r>
        <w:fldChar w:fldCharType="begin"/>
      </w:r>
      <w:r>
        <w:instrText xml:space="preserve"> HYPERLINK \l "_Toc231822728" </w:instrText>
      </w:r>
      <w:r>
        <w:fldChar w:fldCharType="separate"/>
      </w:r>
      <w:r>
        <w:rPr>
          <w:rStyle w:val="1445"/>
          <w:sz w:val="24"/>
          <w:szCs w:val="24"/>
        </w:rPr>
        <w:t xml:space="preserve">三、获取招标文件</w:t>
      </w:r>
      <w:r>
        <w:rPr>
          <w:sz w:val="24"/>
          <w:szCs w:val="24"/>
        </w:rPr>
        <w:tab/>
      </w:r>
      <w:r>
        <w:rPr>
          <w:sz w:val="24"/>
          <w:szCs w:val="24"/>
        </w:rPr>
        <w:fldChar w:fldCharType="begin"/>
      </w:r>
      <w:r>
        <w:rPr>
          <w:sz w:val="24"/>
          <w:szCs w:val="24"/>
        </w:rPr>
        <w:instrText xml:space="preserve"> PAGEREF _Toc231822728 \h </w:instrText>
      </w:r>
      <w:r>
        <w:rPr>
          <w:sz w:val="24"/>
          <w:szCs w:val="24"/>
        </w:rPr>
        <w:fldChar w:fldCharType="separate"/>
      </w:r>
      <w:r>
        <w:rPr>
          <w:sz w:val="24"/>
          <w:szCs w:val="24"/>
        </w:rPr>
        <w:t xml:space="preserve">4</w:t>
      </w:r>
      <w:r>
        <w:rPr>
          <w:sz w:val="24"/>
          <w:szCs w:val="24"/>
        </w:rPr>
        <w:fldChar w:fldCharType="end"/>
      </w:r>
      <w:r>
        <w:rPr>
          <w:sz w:val="24"/>
          <w:szCs w:val="24"/>
        </w:rPr>
        <w:fldChar w:fldCharType="end"/>
      </w:r>
      <w:r/>
    </w:p>
    <w:p>
      <w:pPr>
        <w:pStyle w:val="1434"/>
        <w:ind w:left="420"/>
        <w:tabs>
          <w:tab w:val="right" w:pos="9406" w:leader="dot"/>
        </w:tabs>
        <w:rPr>
          <w:rFonts w:eastAsiaTheme="minorEastAsia"/>
          <w:sz w:val="24"/>
          <w:szCs w:val="24"/>
          <w14:ligatures w14:val="standardContextual"/>
        </w:rPr>
      </w:pPr>
      <w:r>
        <w:fldChar w:fldCharType="begin"/>
      </w:r>
      <w:r>
        <w:instrText xml:space="preserve"> HYPERLINK \l "_Toc231822729" </w:instrText>
      </w:r>
      <w:r>
        <w:fldChar w:fldCharType="separate"/>
      </w:r>
      <w:r>
        <w:rPr>
          <w:rStyle w:val="1445"/>
          <w:sz w:val="24"/>
          <w:szCs w:val="24"/>
        </w:rPr>
        <w:t xml:space="preserve">四、提交投标文件截止时间、开标时间和地点</w:t>
      </w:r>
      <w:r>
        <w:rPr>
          <w:sz w:val="24"/>
          <w:szCs w:val="24"/>
        </w:rPr>
        <w:tab/>
      </w:r>
      <w:r>
        <w:rPr>
          <w:sz w:val="24"/>
          <w:szCs w:val="24"/>
        </w:rPr>
        <w:fldChar w:fldCharType="begin"/>
      </w:r>
      <w:r>
        <w:rPr>
          <w:sz w:val="24"/>
          <w:szCs w:val="24"/>
        </w:rPr>
        <w:instrText xml:space="preserve"> PAGEREF _Toc231822729 \h </w:instrText>
      </w:r>
      <w:r>
        <w:rPr>
          <w:sz w:val="24"/>
          <w:szCs w:val="24"/>
        </w:rPr>
        <w:fldChar w:fldCharType="separate"/>
      </w:r>
      <w:r>
        <w:rPr>
          <w:sz w:val="24"/>
          <w:szCs w:val="24"/>
        </w:rPr>
        <w:t xml:space="preserve">5</w:t>
      </w:r>
      <w:r>
        <w:rPr>
          <w:sz w:val="24"/>
          <w:szCs w:val="24"/>
        </w:rPr>
        <w:fldChar w:fldCharType="end"/>
      </w:r>
      <w:r>
        <w:rPr>
          <w:sz w:val="24"/>
          <w:szCs w:val="24"/>
        </w:rPr>
        <w:fldChar w:fldCharType="end"/>
      </w:r>
      <w:r/>
    </w:p>
    <w:p>
      <w:pPr>
        <w:pStyle w:val="1434"/>
        <w:ind w:left="420"/>
        <w:tabs>
          <w:tab w:val="right" w:pos="9406" w:leader="dot"/>
        </w:tabs>
        <w:rPr>
          <w:rFonts w:eastAsiaTheme="minorEastAsia"/>
          <w:sz w:val="24"/>
          <w:szCs w:val="24"/>
          <w14:ligatures w14:val="standardContextual"/>
        </w:rPr>
      </w:pPr>
      <w:r>
        <w:fldChar w:fldCharType="begin"/>
      </w:r>
      <w:r>
        <w:instrText xml:space="preserve"> HYPERLINK \l "_Toc231822730" </w:instrText>
      </w:r>
      <w:r>
        <w:fldChar w:fldCharType="separate"/>
      </w:r>
      <w:r>
        <w:rPr>
          <w:rStyle w:val="1445"/>
          <w:sz w:val="24"/>
          <w:szCs w:val="24"/>
        </w:rPr>
        <w:t xml:space="preserve">五、公告期限</w:t>
      </w:r>
      <w:r>
        <w:rPr>
          <w:sz w:val="24"/>
          <w:szCs w:val="24"/>
        </w:rPr>
        <w:tab/>
      </w:r>
      <w:r>
        <w:rPr>
          <w:sz w:val="24"/>
          <w:szCs w:val="24"/>
        </w:rPr>
        <w:fldChar w:fldCharType="begin"/>
      </w:r>
      <w:r>
        <w:rPr>
          <w:sz w:val="24"/>
          <w:szCs w:val="24"/>
        </w:rPr>
        <w:instrText xml:space="preserve"> PAGEREF _Toc231822730 \h </w:instrText>
      </w:r>
      <w:r>
        <w:rPr>
          <w:sz w:val="24"/>
          <w:szCs w:val="24"/>
        </w:rPr>
        <w:fldChar w:fldCharType="separate"/>
      </w:r>
      <w:r>
        <w:rPr>
          <w:sz w:val="24"/>
          <w:szCs w:val="24"/>
        </w:rPr>
        <w:t xml:space="preserve">5</w:t>
      </w:r>
      <w:r>
        <w:rPr>
          <w:sz w:val="24"/>
          <w:szCs w:val="24"/>
        </w:rPr>
        <w:fldChar w:fldCharType="end"/>
      </w:r>
      <w:r>
        <w:rPr>
          <w:sz w:val="24"/>
          <w:szCs w:val="24"/>
        </w:rPr>
        <w:fldChar w:fldCharType="end"/>
      </w:r>
      <w:r/>
    </w:p>
    <w:p>
      <w:pPr>
        <w:pStyle w:val="1434"/>
        <w:ind w:left="420"/>
        <w:tabs>
          <w:tab w:val="right" w:pos="9406" w:leader="dot"/>
        </w:tabs>
        <w:rPr>
          <w:rFonts w:eastAsiaTheme="minorEastAsia"/>
          <w:sz w:val="24"/>
          <w:szCs w:val="24"/>
          <w14:ligatures w14:val="standardContextual"/>
        </w:rPr>
      </w:pPr>
      <w:r>
        <w:fldChar w:fldCharType="begin"/>
      </w:r>
      <w:r>
        <w:instrText xml:space="preserve"> HYPERLINK \l "_Toc231822731" </w:instrText>
      </w:r>
      <w:r>
        <w:fldChar w:fldCharType="separate"/>
      </w:r>
      <w:r>
        <w:rPr>
          <w:rStyle w:val="1445"/>
          <w:sz w:val="24"/>
          <w:szCs w:val="24"/>
        </w:rPr>
        <w:t xml:space="preserve">六、其他补充事宜</w:t>
      </w:r>
      <w:r>
        <w:rPr>
          <w:sz w:val="24"/>
          <w:szCs w:val="24"/>
        </w:rPr>
        <w:tab/>
      </w:r>
      <w:r>
        <w:rPr>
          <w:sz w:val="24"/>
          <w:szCs w:val="24"/>
        </w:rPr>
        <w:fldChar w:fldCharType="begin"/>
      </w:r>
      <w:r>
        <w:rPr>
          <w:sz w:val="24"/>
          <w:szCs w:val="24"/>
        </w:rPr>
        <w:instrText xml:space="preserve"> PAGEREF _Toc231822731 \h </w:instrText>
      </w:r>
      <w:r>
        <w:rPr>
          <w:sz w:val="24"/>
          <w:szCs w:val="24"/>
        </w:rPr>
        <w:fldChar w:fldCharType="separate"/>
      </w:r>
      <w:r>
        <w:rPr>
          <w:sz w:val="24"/>
          <w:szCs w:val="24"/>
        </w:rPr>
        <w:t xml:space="preserve">6</w:t>
      </w:r>
      <w:r>
        <w:rPr>
          <w:sz w:val="24"/>
          <w:szCs w:val="24"/>
        </w:rPr>
        <w:fldChar w:fldCharType="end"/>
      </w:r>
      <w:r>
        <w:rPr>
          <w:sz w:val="24"/>
          <w:szCs w:val="24"/>
        </w:rPr>
        <w:fldChar w:fldCharType="end"/>
      </w:r>
      <w:r/>
    </w:p>
    <w:p>
      <w:pPr>
        <w:pStyle w:val="1434"/>
        <w:ind w:left="420"/>
        <w:tabs>
          <w:tab w:val="right" w:pos="9406" w:leader="dot"/>
        </w:tabs>
        <w:rPr>
          <w:rFonts w:eastAsiaTheme="minorEastAsia"/>
          <w:sz w:val="24"/>
          <w:szCs w:val="24"/>
          <w14:ligatures w14:val="standardContextual"/>
        </w:rPr>
      </w:pPr>
      <w:r>
        <w:fldChar w:fldCharType="begin"/>
      </w:r>
      <w:r>
        <w:instrText xml:space="preserve"> HYPERLINK \l "_Toc231822732" </w:instrText>
      </w:r>
      <w:r>
        <w:fldChar w:fldCharType="separate"/>
      </w:r>
      <w:r>
        <w:rPr>
          <w:rStyle w:val="1445"/>
          <w:sz w:val="24"/>
          <w:szCs w:val="24"/>
        </w:rPr>
        <w:t xml:space="preserve">七、对本次招标提出询问，请按以下方式联系。</w:t>
      </w:r>
      <w:r>
        <w:rPr>
          <w:sz w:val="24"/>
          <w:szCs w:val="24"/>
        </w:rPr>
        <w:tab/>
      </w:r>
      <w:r>
        <w:rPr>
          <w:sz w:val="24"/>
          <w:szCs w:val="24"/>
        </w:rPr>
        <w:fldChar w:fldCharType="begin"/>
      </w:r>
      <w:r>
        <w:rPr>
          <w:sz w:val="24"/>
          <w:szCs w:val="24"/>
        </w:rPr>
        <w:instrText xml:space="preserve"> PAGEREF _Toc231822732 \h </w:instrText>
      </w:r>
      <w:r>
        <w:rPr>
          <w:sz w:val="24"/>
          <w:szCs w:val="24"/>
        </w:rPr>
        <w:fldChar w:fldCharType="separate"/>
      </w:r>
      <w:r>
        <w:rPr>
          <w:sz w:val="24"/>
          <w:szCs w:val="24"/>
        </w:rPr>
        <w:t xml:space="preserve">6</w:t>
      </w:r>
      <w:r>
        <w:rPr>
          <w:sz w:val="24"/>
          <w:szCs w:val="24"/>
        </w:rPr>
        <w:fldChar w:fldCharType="end"/>
      </w:r>
      <w:r>
        <w:rPr>
          <w:sz w:val="24"/>
          <w:szCs w:val="24"/>
        </w:rPr>
        <w:fldChar w:fldCharType="end"/>
      </w:r>
      <w:r/>
    </w:p>
    <w:p>
      <w:pPr>
        <w:pStyle w:val="1429"/>
        <w:tabs>
          <w:tab w:val="right" w:pos="9406" w:leader="dot"/>
        </w:tabs>
        <w:rPr>
          <w:rFonts w:eastAsiaTheme="minorEastAsia"/>
          <w:sz w:val="24"/>
          <w:szCs w:val="24"/>
          <w14:ligatures w14:val="standardContextual"/>
        </w:rPr>
      </w:pPr>
      <w:r>
        <w:fldChar w:fldCharType="begin"/>
      </w:r>
      <w:r>
        <w:instrText xml:space="preserve"> HYPERLINK \l "_Toc231822733" </w:instrText>
      </w:r>
      <w:r>
        <w:fldChar w:fldCharType="separate"/>
      </w:r>
      <w:r>
        <w:rPr>
          <w:rStyle w:val="1445"/>
          <w:b/>
          <w:sz w:val="24"/>
          <w:szCs w:val="24"/>
        </w:rPr>
        <w:t xml:space="preserve">第二章 投标人须知</w:t>
      </w:r>
      <w:r>
        <w:rPr>
          <w:sz w:val="24"/>
          <w:szCs w:val="24"/>
        </w:rPr>
        <w:tab/>
      </w:r>
      <w:r>
        <w:rPr>
          <w:sz w:val="24"/>
          <w:szCs w:val="24"/>
        </w:rPr>
        <w:fldChar w:fldCharType="begin"/>
      </w:r>
      <w:r>
        <w:rPr>
          <w:sz w:val="24"/>
          <w:szCs w:val="24"/>
        </w:rPr>
        <w:instrText xml:space="preserve"> PAGEREF _Toc231822733 \h </w:instrText>
      </w:r>
      <w:r>
        <w:rPr>
          <w:sz w:val="24"/>
          <w:szCs w:val="24"/>
        </w:rPr>
        <w:fldChar w:fldCharType="separate"/>
      </w:r>
      <w:r>
        <w:rPr>
          <w:sz w:val="24"/>
          <w:szCs w:val="24"/>
        </w:rPr>
        <w:t xml:space="preserve">7</w:t>
      </w:r>
      <w:r>
        <w:rPr>
          <w:sz w:val="24"/>
          <w:szCs w:val="24"/>
        </w:rPr>
        <w:fldChar w:fldCharType="end"/>
      </w:r>
      <w:r>
        <w:rPr>
          <w:sz w:val="24"/>
          <w:szCs w:val="24"/>
        </w:rPr>
        <w:fldChar w:fldCharType="end"/>
      </w:r>
      <w:r/>
    </w:p>
    <w:p>
      <w:pPr>
        <w:pStyle w:val="1434"/>
        <w:ind w:left="420"/>
        <w:tabs>
          <w:tab w:val="right" w:pos="9406" w:leader="dot"/>
        </w:tabs>
        <w:rPr>
          <w:rFonts w:eastAsiaTheme="minorEastAsia"/>
          <w:sz w:val="24"/>
          <w:szCs w:val="24"/>
          <w14:ligatures w14:val="standardContextual"/>
        </w:rPr>
      </w:pPr>
      <w:r>
        <w:fldChar w:fldCharType="begin"/>
      </w:r>
      <w:r>
        <w:instrText xml:space="preserve"> HYPERLINK \l "_Toc231822734" </w:instrText>
      </w:r>
      <w:r>
        <w:fldChar w:fldCharType="separate"/>
      </w:r>
      <w:r>
        <w:rPr>
          <w:rStyle w:val="1445"/>
          <w:sz w:val="24"/>
          <w:szCs w:val="24"/>
        </w:rPr>
        <w:t xml:space="preserve">一、总则</w:t>
      </w:r>
      <w:r>
        <w:rPr>
          <w:sz w:val="24"/>
          <w:szCs w:val="24"/>
        </w:rPr>
        <w:tab/>
      </w:r>
      <w:r>
        <w:rPr>
          <w:sz w:val="24"/>
          <w:szCs w:val="24"/>
        </w:rPr>
        <w:fldChar w:fldCharType="begin"/>
      </w:r>
      <w:r>
        <w:rPr>
          <w:sz w:val="24"/>
          <w:szCs w:val="24"/>
        </w:rPr>
        <w:instrText xml:space="preserve"> PAGEREF _Toc231822734 \h </w:instrText>
      </w:r>
      <w:r>
        <w:rPr>
          <w:sz w:val="24"/>
          <w:szCs w:val="24"/>
        </w:rPr>
        <w:fldChar w:fldCharType="separate"/>
      </w:r>
      <w:r>
        <w:rPr>
          <w:sz w:val="24"/>
          <w:szCs w:val="24"/>
        </w:rPr>
        <w:t xml:space="preserve">9</w:t>
      </w:r>
      <w:r>
        <w:rPr>
          <w:sz w:val="24"/>
          <w:szCs w:val="24"/>
        </w:rPr>
        <w:fldChar w:fldCharType="end"/>
      </w:r>
      <w:r>
        <w:rPr>
          <w:sz w:val="24"/>
          <w:szCs w:val="24"/>
        </w:rPr>
        <w:fldChar w:fldCharType="end"/>
      </w:r>
      <w:r/>
    </w:p>
    <w:p>
      <w:pPr>
        <w:pStyle w:val="1434"/>
        <w:ind w:left="420"/>
        <w:tabs>
          <w:tab w:val="right" w:pos="9406" w:leader="dot"/>
        </w:tabs>
        <w:rPr>
          <w:rFonts w:eastAsiaTheme="minorEastAsia"/>
          <w:sz w:val="24"/>
          <w:szCs w:val="24"/>
          <w14:ligatures w14:val="standardContextual"/>
        </w:rPr>
      </w:pPr>
      <w:r>
        <w:fldChar w:fldCharType="begin"/>
      </w:r>
      <w:r>
        <w:instrText xml:space="preserve"> HYPERLINK \l "_Toc231822735" </w:instrText>
      </w:r>
      <w:r>
        <w:fldChar w:fldCharType="separate"/>
      </w:r>
      <w:r>
        <w:rPr>
          <w:rStyle w:val="1445"/>
          <w:sz w:val="24"/>
          <w:szCs w:val="24"/>
        </w:rPr>
        <w:t xml:space="preserve">二、招标文件</w:t>
      </w:r>
      <w:r>
        <w:rPr>
          <w:sz w:val="24"/>
          <w:szCs w:val="24"/>
        </w:rPr>
        <w:tab/>
      </w:r>
      <w:r>
        <w:rPr>
          <w:sz w:val="24"/>
          <w:szCs w:val="24"/>
        </w:rPr>
        <w:fldChar w:fldCharType="begin"/>
      </w:r>
      <w:r>
        <w:rPr>
          <w:sz w:val="24"/>
          <w:szCs w:val="24"/>
        </w:rPr>
        <w:instrText xml:space="preserve"> PAGEREF _Toc231822735 \h </w:instrText>
      </w:r>
      <w:r>
        <w:rPr>
          <w:sz w:val="24"/>
          <w:szCs w:val="24"/>
        </w:rPr>
        <w:fldChar w:fldCharType="separate"/>
      </w:r>
      <w:r>
        <w:rPr>
          <w:sz w:val="24"/>
          <w:szCs w:val="24"/>
        </w:rPr>
        <w:t xml:space="preserve">11</w:t>
      </w:r>
      <w:r>
        <w:rPr>
          <w:sz w:val="24"/>
          <w:szCs w:val="24"/>
        </w:rPr>
        <w:fldChar w:fldCharType="end"/>
      </w:r>
      <w:r>
        <w:rPr>
          <w:sz w:val="24"/>
          <w:szCs w:val="24"/>
        </w:rPr>
        <w:fldChar w:fldCharType="end"/>
      </w:r>
      <w:r/>
    </w:p>
    <w:p>
      <w:pPr>
        <w:pStyle w:val="1434"/>
        <w:ind w:left="420"/>
        <w:tabs>
          <w:tab w:val="right" w:pos="9406" w:leader="dot"/>
        </w:tabs>
        <w:rPr>
          <w:rFonts w:eastAsiaTheme="minorEastAsia"/>
          <w:sz w:val="24"/>
          <w:szCs w:val="24"/>
          <w14:ligatures w14:val="standardContextual"/>
        </w:rPr>
      </w:pPr>
      <w:r>
        <w:fldChar w:fldCharType="begin"/>
      </w:r>
      <w:r>
        <w:instrText xml:space="preserve"> HYPERLINK \l "_Toc231822736" </w:instrText>
      </w:r>
      <w:r>
        <w:fldChar w:fldCharType="separate"/>
      </w:r>
      <w:r>
        <w:rPr>
          <w:rStyle w:val="1445"/>
          <w:sz w:val="24"/>
          <w:szCs w:val="24"/>
        </w:rPr>
        <w:t xml:space="preserve">三、投标文件的编制</w:t>
      </w:r>
      <w:r>
        <w:rPr>
          <w:sz w:val="24"/>
          <w:szCs w:val="24"/>
        </w:rPr>
        <w:tab/>
      </w:r>
      <w:r>
        <w:rPr>
          <w:sz w:val="24"/>
          <w:szCs w:val="24"/>
        </w:rPr>
        <w:fldChar w:fldCharType="begin"/>
      </w:r>
      <w:r>
        <w:rPr>
          <w:sz w:val="24"/>
          <w:szCs w:val="24"/>
        </w:rPr>
        <w:instrText xml:space="preserve"> PAGEREF _Toc231822736 \h </w:instrText>
      </w:r>
      <w:r>
        <w:rPr>
          <w:sz w:val="24"/>
          <w:szCs w:val="24"/>
        </w:rPr>
        <w:fldChar w:fldCharType="separate"/>
      </w:r>
      <w:r>
        <w:rPr>
          <w:sz w:val="24"/>
          <w:szCs w:val="24"/>
        </w:rPr>
        <w:t xml:space="preserve">12</w:t>
      </w:r>
      <w:r>
        <w:rPr>
          <w:sz w:val="24"/>
          <w:szCs w:val="24"/>
        </w:rPr>
        <w:fldChar w:fldCharType="end"/>
      </w:r>
      <w:r>
        <w:rPr>
          <w:sz w:val="24"/>
          <w:szCs w:val="24"/>
        </w:rPr>
        <w:fldChar w:fldCharType="end"/>
      </w:r>
      <w:r/>
    </w:p>
    <w:p>
      <w:pPr>
        <w:pStyle w:val="1434"/>
        <w:ind w:left="420"/>
        <w:tabs>
          <w:tab w:val="right" w:pos="9406" w:leader="dot"/>
        </w:tabs>
        <w:rPr>
          <w:rFonts w:eastAsiaTheme="minorEastAsia"/>
          <w:sz w:val="24"/>
          <w:szCs w:val="24"/>
          <w14:ligatures w14:val="standardContextual"/>
        </w:rPr>
      </w:pPr>
      <w:r>
        <w:fldChar w:fldCharType="begin"/>
      </w:r>
      <w:r>
        <w:instrText xml:space="preserve"> HYPERLINK \l "_Toc231822737" </w:instrText>
      </w:r>
      <w:r>
        <w:fldChar w:fldCharType="separate"/>
      </w:r>
      <w:r>
        <w:rPr>
          <w:rStyle w:val="1445"/>
          <w:sz w:val="24"/>
          <w:szCs w:val="24"/>
        </w:rPr>
        <w:t xml:space="preserve">四、投标文件的递交</w:t>
      </w:r>
      <w:r>
        <w:rPr>
          <w:sz w:val="24"/>
          <w:szCs w:val="24"/>
        </w:rPr>
        <w:tab/>
      </w:r>
      <w:r>
        <w:rPr>
          <w:sz w:val="24"/>
          <w:szCs w:val="24"/>
        </w:rPr>
        <w:fldChar w:fldCharType="begin"/>
      </w:r>
      <w:r>
        <w:rPr>
          <w:sz w:val="24"/>
          <w:szCs w:val="24"/>
        </w:rPr>
        <w:instrText xml:space="preserve"> PAGEREF _Toc231822737 \h </w:instrText>
      </w:r>
      <w:r>
        <w:rPr>
          <w:sz w:val="24"/>
          <w:szCs w:val="24"/>
        </w:rPr>
        <w:fldChar w:fldCharType="separate"/>
      </w:r>
      <w:r>
        <w:rPr>
          <w:sz w:val="24"/>
          <w:szCs w:val="24"/>
        </w:rPr>
        <w:t xml:space="preserve">14</w:t>
      </w:r>
      <w:r>
        <w:rPr>
          <w:sz w:val="24"/>
          <w:szCs w:val="24"/>
        </w:rPr>
        <w:fldChar w:fldCharType="end"/>
      </w:r>
      <w:r>
        <w:rPr>
          <w:sz w:val="24"/>
          <w:szCs w:val="24"/>
        </w:rPr>
        <w:fldChar w:fldCharType="end"/>
      </w:r>
      <w:r/>
    </w:p>
    <w:p>
      <w:pPr>
        <w:pStyle w:val="1434"/>
        <w:ind w:left="420"/>
        <w:tabs>
          <w:tab w:val="right" w:pos="9406" w:leader="dot"/>
        </w:tabs>
        <w:rPr>
          <w:rFonts w:eastAsiaTheme="minorEastAsia"/>
          <w:sz w:val="24"/>
          <w:szCs w:val="24"/>
          <w14:ligatures w14:val="standardContextual"/>
        </w:rPr>
      </w:pPr>
      <w:r>
        <w:fldChar w:fldCharType="begin"/>
      </w:r>
      <w:r>
        <w:instrText xml:space="preserve"> HYPERLINK \l "_Toc231822738" </w:instrText>
      </w:r>
      <w:r>
        <w:fldChar w:fldCharType="separate"/>
      </w:r>
      <w:r>
        <w:rPr>
          <w:rStyle w:val="1445"/>
          <w:sz w:val="24"/>
          <w:szCs w:val="24"/>
        </w:rPr>
        <w:t xml:space="preserve">五、开标与评标</w:t>
      </w:r>
      <w:r>
        <w:rPr>
          <w:sz w:val="24"/>
          <w:szCs w:val="24"/>
        </w:rPr>
        <w:tab/>
      </w:r>
      <w:r>
        <w:rPr>
          <w:sz w:val="24"/>
          <w:szCs w:val="24"/>
        </w:rPr>
        <w:fldChar w:fldCharType="begin"/>
      </w:r>
      <w:r>
        <w:rPr>
          <w:sz w:val="24"/>
          <w:szCs w:val="24"/>
        </w:rPr>
        <w:instrText xml:space="preserve"> PAGEREF _Toc231822738 \h </w:instrText>
      </w:r>
      <w:r>
        <w:rPr>
          <w:sz w:val="24"/>
          <w:szCs w:val="24"/>
        </w:rPr>
        <w:fldChar w:fldCharType="separate"/>
      </w:r>
      <w:r>
        <w:rPr>
          <w:sz w:val="24"/>
          <w:szCs w:val="24"/>
        </w:rPr>
        <w:t xml:space="preserve">15</w:t>
      </w:r>
      <w:r>
        <w:rPr>
          <w:sz w:val="24"/>
          <w:szCs w:val="24"/>
        </w:rPr>
        <w:fldChar w:fldCharType="end"/>
      </w:r>
      <w:r>
        <w:rPr>
          <w:sz w:val="24"/>
          <w:szCs w:val="24"/>
        </w:rPr>
        <w:fldChar w:fldCharType="end"/>
      </w:r>
      <w:r/>
    </w:p>
    <w:p>
      <w:pPr>
        <w:pStyle w:val="1434"/>
        <w:ind w:left="420"/>
        <w:tabs>
          <w:tab w:val="right" w:pos="9406" w:leader="dot"/>
        </w:tabs>
        <w:rPr>
          <w:rFonts w:eastAsiaTheme="minorEastAsia"/>
          <w:sz w:val="24"/>
          <w:szCs w:val="24"/>
          <w14:ligatures w14:val="standardContextual"/>
        </w:rPr>
      </w:pPr>
      <w:r>
        <w:fldChar w:fldCharType="begin"/>
      </w:r>
      <w:r>
        <w:instrText xml:space="preserve"> HYPERLINK \l "_Toc231822739" </w:instrText>
      </w:r>
      <w:r>
        <w:fldChar w:fldCharType="separate"/>
      </w:r>
      <w:r>
        <w:rPr>
          <w:rStyle w:val="1445"/>
          <w:sz w:val="24"/>
          <w:szCs w:val="24"/>
        </w:rPr>
        <w:t xml:space="preserve">六、授标</w:t>
      </w:r>
      <w:r>
        <w:rPr>
          <w:sz w:val="24"/>
          <w:szCs w:val="24"/>
        </w:rPr>
        <w:tab/>
      </w:r>
      <w:r>
        <w:rPr>
          <w:sz w:val="24"/>
          <w:szCs w:val="24"/>
        </w:rPr>
        <w:fldChar w:fldCharType="begin"/>
      </w:r>
      <w:r>
        <w:rPr>
          <w:sz w:val="24"/>
          <w:szCs w:val="24"/>
        </w:rPr>
        <w:instrText xml:space="preserve"> PAGEREF _Toc231822739 \h </w:instrText>
      </w:r>
      <w:r>
        <w:rPr>
          <w:sz w:val="24"/>
          <w:szCs w:val="24"/>
        </w:rPr>
        <w:fldChar w:fldCharType="separate"/>
      </w:r>
      <w:r>
        <w:rPr>
          <w:sz w:val="24"/>
          <w:szCs w:val="24"/>
        </w:rPr>
        <w:t xml:space="preserve">19</w:t>
      </w:r>
      <w:r>
        <w:rPr>
          <w:sz w:val="24"/>
          <w:szCs w:val="24"/>
        </w:rPr>
        <w:fldChar w:fldCharType="end"/>
      </w:r>
      <w:r>
        <w:rPr>
          <w:sz w:val="24"/>
          <w:szCs w:val="24"/>
        </w:rPr>
        <w:fldChar w:fldCharType="end"/>
      </w:r>
      <w:r/>
    </w:p>
    <w:p>
      <w:pPr>
        <w:pStyle w:val="1434"/>
        <w:ind w:left="420"/>
        <w:tabs>
          <w:tab w:val="right" w:pos="9406" w:leader="dot"/>
        </w:tabs>
        <w:rPr>
          <w:rFonts w:eastAsiaTheme="minorEastAsia"/>
          <w:sz w:val="24"/>
          <w:szCs w:val="24"/>
          <w14:ligatures w14:val="standardContextual"/>
        </w:rPr>
      </w:pPr>
      <w:r>
        <w:fldChar w:fldCharType="begin"/>
      </w:r>
      <w:r>
        <w:instrText xml:space="preserve"> HYPERLINK \l "_Toc231822740" </w:instrText>
      </w:r>
      <w:r>
        <w:fldChar w:fldCharType="separate"/>
      </w:r>
      <w:r>
        <w:rPr>
          <w:rStyle w:val="1445"/>
          <w:sz w:val="24"/>
          <w:szCs w:val="24"/>
        </w:rPr>
        <w:t xml:space="preserve">七、质疑</w:t>
      </w:r>
      <w:r>
        <w:rPr>
          <w:sz w:val="24"/>
          <w:szCs w:val="24"/>
        </w:rPr>
        <w:tab/>
      </w:r>
      <w:r>
        <w:rPr>
          <w:sz w:val="24"/>
          <w:szCs w:val="24"/>
        </w:rPr>
        <w:fldChar w:fldCharType="begin"/>
      </w:r>
      <w:r>
        <w:rPr>
          <w:sz w:val="24"/>
          <w:szCs w:val="24"/>
        </w:rPr>
        <w:instrText xml:space="preserve"> PAGEREF _Toc231822740 \h </w:instrText>
      </w:r>
      <w:r>
        <w:rPr>
          <w:sz w:val="24"/>
          <w:szCs w:val="24"/>
        </w:rPr>
        <w:fldChar w:fldCharType="separate"/>
      </w:r>
      <w:r>
        <w:rPr>
          <w:sz w:val="24"/>
          <w:szCs w:val="24"/>
        </w:rPr>
        <w:t xml:space="preserve">21</w:t>
      </w:r>
      <w:r>
        <w:rPr>
          <w:sz w:val="24"/>
          <w:szCs w:val="24"/>
        </w:rPr>
        <w:fldChar w:fldCharType="end"/>
      </w:r>
      <w:r>
        <w:rPr>
          <w:sz w:val="24"/>
          <w:szCs w:val="24"/>
        </w:rPr>
        <w:fldChar w:fldCharType="end"/>
      </w:r>
      <w:r/>
    </w:p>
    <w:p>
      <w:pPr>
        <w:pStyle w:val="1429"/>
        <w:tabs>
          <w:tab w:val="right" w:pos="9406" w:leader="dot"/>
        </w:tabs>
        <w:rPr>
          <w:rFonts w:eastAsiaTheme="minorEastAsia"/>
          <w:sz w:val="24"/>
          <w:szCs w:val="24"/>
          <w14:ligatures w14:val="standardContextual"/>
        </w:rPr>
      </w:pPr>
      <w:r>
        <w:fldChar w:fldCharType="begin"/>
      </w:r>
      <w:r>
        <w:instrText xml:space="preserve"> HYPERLINK \l "_Toc231822741" </w:instrText>
      </w:r>
      <w:r>
        <w:fldChar w:fldCharType="separate"/>
      </w:r>
      <w:r>
        <w:rPr>
          <w:rStyle w:val="1445"/>
          <w:b/>
          <w:sz w:val="24"/>
          <w:szCs w:val="24"/>
        </w:rPr>
        <w:t xml:space="preserve">第三章 评标标准</w:t>
      </w:r>
      <w:r>
        <w:rPr>
          <w:sz w:val="24"/>
          <w:szCs w:val="24"/>
        </w:rPr>
        <w:tab/>
      </w:r>
      <w:r>
        <w:rPr>
          <w:sz w:val="24"/>
          <w:szCs w:val="24"/>
        </w:rPr>
        <w:fldChar w:fldCharType="begin"/>
      </w:r>
      <w:r>
        <w:rPr>
          <w:sz w:val="24"/>
          <w:szCs w:val="24"/>
        </w:rPr>
        <w:instrText xml:space="preserve"> PAGEREF _Toc231822741 \h </w:instrText>
      </w:r>
      <w:r>
        <w:rPr>
          <w:sz w:val="24"/>
          <w:szCs w:val="24"/>
        </w:rPr>
        <w:fldChar w:fldCharType="separate"/>
      </w:r>
      <w:r>
        <w:rPr>
          <w:sz w:val="24"/>
          <w:szCs w:val="24"/>
        </w:rPr>
        <w:t xml:space="preserve">23</w:t>
      </w:r>
      <w:r>
        <w:rPr>
          <w:sz w:val="24"/>
          <w:szCs w:val="24"/>
        </w:rPr>
        <w:fldChar w:fldCharType="end"/>
      </w:r>
      <w:r>
        <w:rPr>
          <w:sz w:val="24"/>
          <w:szCs w:val="24"/>
        </w:rPr>
        <w:fldChar w:fldCharType="end"/>
      </w:r>
      <w:r/>
    </w:p>
    <w:p>
      <w:pPr>
        <w:pStyle w:val="1429"/>
        <w:tabs>
          <w:tab w:val="right" w:pos="9406" w:leader="dot"/>
        </w:tabs>
        <w:rPr>
          <w:rFonts w:eastAsiaTheme="minorEastAsia"/>
          <w:sz w:val="24"/>
          <w:szCs w:val="24"/>
          <w14:ligatures w14:val="standardContextual"/>
        </w:rPr>
      </w:pPr>
      <w:r>
        <w:fldChar w:fldCharType="begin"/>
      </w:r>
      <w:r>
        <w:instrText xml:space="preserve"> HYPERLINK \l "_Toc231822742" </w:instrText>
      </w:r>
      <w:r>
        <w:fldChar w:fldCharType="separate"/>
      </w:r>
      <w:r>
        <w:rPr>
          <w:rStyle w:val="1445"/>
          <w:b/>
          <w:sz w:val="24"/>
          <w:szCs w:val="24"/>
        </w:rPr>
        <w:t xml:space="preserve">第四章 招标技术规格及要求</w:t>
      </w:r>
      <w:r>
        <w:rPr>
          <w:sz w:val="24"/>
          <w:szCs w:val="24"/>
        </w:rPr>
        <w:tab/>
      </w:r>
      <w:r>
        <w:rPr>
          <w:sz w:val="24"/>
          <w:szCs w:val="24"/>
        </w:rPr>
        <w:fldChar w:fldCharType="begin"/>
      </w:r>
      <w:r>
        <w:rPr>
          <w:sz w:val="24"/>
          <w:szCs w:val="24"/>
        </w:rPr>
        <w:instrText xml:space="preserve"> PAGEREF _Toc231822742 \h </w:instrText>
      </w:r>
      <w:r>
        <w:rPr>
          <w:sz w:val="24"/>
          <w:szCs w:val="24"/>
        </w:rPr>
        <w:fldChar w:fldCharType="separate"/>
      </w:r>
      <w:r>
        <w:rPr>
          <w:sz w:val="24"/>
          <w:szCs w:val="24"/>
        </w:rPr>
        <w:t xml:space="preserve">25</w:t>
      </w:r>
      <w:r>
        <w:rPr>
          <w:sz w:val="24"/>
          <w:szCs w:val="24"/>
        </w:rPr>
        <w:fldChar w:fldCharType="end"/>
      </w:r>
      <w:r>
        <w:rPr>
          <w:sz w:val="24"/>
          <w:szCs w:val="24"/>
        </w:rPr>
        <w:fldChar w:fldCharType="end"/>
      </w:r>
      <w:r/>
    </w:p>
    <w:p>
      <w:pPr>
        <w:pStyle w:val="1429"/>
        <w:tabs>
          <w:tab w:val="right" w:pos="9406" w:leader="dot"/>
        </w:tabs>
        <w:rPr>
          <w:rFonts w:eastAsiaTheme="minorEastAsia"/>
          <w:sz w:val="24"/>
          <w:szCs w:val="24"/>
          <w14:ligatures w14:val="standardContextual"/>
        </w:rPr>
      </w:pPr>
      <w:r>
        <w:fldChar w:fldCharType="begin"/>
      </w:r>
      <w:r>
        <w:instrText xml:space="preserve"> HYPERLINK \l "_Toc231822743" </w:instrText>
      </w:r>
      <w:r>
        <w:fldChar w:fldCharType="separate"/>
      </w:r>
      <w:r>
        <w:rPr>
          <w:rStyle w:val="1445"/>
          <w:b/>
          <w:sz w:val="24"/>
          <w:szCs w:val="24"/>
        </w:rPr>
        <w:t xml:space="preserve">第五章 政府采购合同</w:t>
      </w:r>
      <w:r>
        <w:rPr>
          <w:sz w:val="24"/>
          <w:szCs w:val="24"/>
        </w:rPr>
        <w:tab/>
      </w:r>
      <w:r>
        <w:rPr>
          <w:sz w:val="24"/>
          <w:szCs w:val="24"/>
        </w:rPr>
        <w:fldChar w:fldCharType="begin"/>
      </w:r>
      <w:r>
        <w:rPr>
          <w:sz w:val="24"/>
          <w:szCs w:val="24"/>
        </w:rPr>
        <w:instrText xml:space="preserve"> PAGEREF _Toc231822743 \h </w:instrText>
      </w:r>
      <w:r>
        <w:rPr>
          <w:sz w:val="24"/>
          <w:szCs w:val="24"/>
        </w:rPr>
        <w:fldChar w:fldCharType="separate"/>
      </w:r>
      <w:r>
        <w:rPr>
          <w:sz w:val="24"/>
          <w:szCs w:val="24"/>
        </w:rPr>
        <w:t xml:space="preserve">57</w:t>
      </w:r>
      <w:r>
        <w:rPr>
          <w:sz w:val="24"/>
          <w:szCs w:val="24"/>
        </w:rPr>
        <w:fldChar w:fldCharType="end"/>
      </w:r>
      <w:r>
        <w:rPr>
          <w:sz w:val="24"/>
          <w:szCs w:val="24"/>
        </w:rPr>
        <w:fldChar w:fldCharType="end"/>
      </w:r>
      <w:r/>
    </w:p>
    <w:p>
      <w:pPr>
        <w:pStyle w:val="1429"/>
        <w:tabs>
          <w:tab w:val="right" w:pos="9406" w:leader="dot"/>
        </w:tabs>
        <w:rPr>
          <w:rFonts w:eastAsiaTheme="minorEastAsia"/>
          <w:sz w:val="24"/>
          <w:szCs w:val="24"/>
          <w14:ligatures w14:val="standardContextual"/>
        </w:rPr>
      </w:pPr>
      <w:r>
        <w:fldChar w:fldCharType="begin"/>
      </w:r>
      <w:r>
        <w:instrText xml:space="preserve"> HYPERLINK \l "_Toc231822744" </w:instrText>
      </w:r>
      <w:r>
        <w:fldChar w:fldCharType="separate"/>
      </w:r>
      <w:r>
        <w:rPr>
          <w:rStyle w:val="1445"/>
          <w:b/>
          <w:sz w:val="24"/>
          <w:szCs w:val="24"/>
        </w:rPr>
        <w:t xml:space="preserve">第六章 投标文件格式及附件</w:t>
      </w:r>
      <w:r>
        <w:rPr>
          <w:sz w:val="24"/>
          <w:szCs w:val="24"/>
        </w:rPr>
        <w:tab/>
      </w:r>
      <w:r>
        <w:rPr>
          <w:sz w:val="24"/>
          <w:szCs w:val="24"/>
        </w:rPr>
        <w:fldChar w:fldCharType="begin"/>
      </w:r>
      <w:r>
        <w:rPr>
          <w:sz w:val="24"/>
          <w:szCs w:val="24"/>
        </w:rPr>
        <w:instrText xml:space="preserve"> PAGEREF _Toc231822744 \h </w:instrText>
      </w:r>
      <w:r>
        <w:rPr>
          <w:sz w:val="24"/>
          <w:szCs w:val="24"/>
        </w:rPr>
        <w:fldChar w:fldCharType="separate"/>
      </w:r>
      <w:r>
        <w:rPr>
          <w:sz w:val="24"/>
          <w:szCs w:val="24"/>
        </w:rPr>
        <w:t xml:space="preserve">64</w:t>
      </w:r>
      <w:r>
        <w:rPr>
          <w:sz w:val="24"/>
          <w:szCs w:val="24"/>
        </w:rPr>
        <w:fldChar w:fldCharType="end"/>
      </w:r>
      <w:r>
        <w:rPr>
          <w:sz w:val="24"/>
          <w:szCs w:val="24"/>
        </w:rPr>
        <w:fldChar w:fldCharType="end"/>
      </w:r>
      <w:r/>
    </w:p>
    <w:p>
      <w:pPr>
        <w:pStyle w:val="1434"/>
        <w:ind w:left="420"/>
        <w:tabs>
          <w:tab w:val="right" w:pos="9406" w:leader="dot"/>
        </w:tabs>
        <w:rPr>
          <w:rFonts w:eastAsiaTheme="minorEastAsia"/>
          <w:sz w:val="24"/>
          <w:szCs w:val="24"/>
          <w14:ligatures w14:val="standardContextual"/>
        </w:rPr>
      </w:pPr>
      <w:r>
        <w:fldChar w:fldCharType="begin"/>
      </w:r>
      <w:r>
        <w:instrText xml:space="preserve"> HYPERLINK \l "_Toc231822745" </w:instrText>
      </w:r>
      <w:r>
        <w:fldChar w:fldCharType="separate"/>
      </w:r>
      <w:r>
        <w:rPr>
          <w:rStyle w:val="1445"/>
          <w:sz w:val="24"/>
          <w:szCs w:val="24"/>
        </w:rPr>
        <w:t xml:space="preserve">附件一 投标函格式</w:t>
      </w:r>
      <w:r>
        <w:rPr>
          <w:sz w:val="24"/>
          <w:szCs w:val="24"/>
        </w:rPr>
        <w:tab/>
      </w:r>
      <w:r>
        <w:rPr>
          <w:sz w:val="24"/>
          <w:szCs w:val="24"/>
        </w:rPr>
        <w:fldChar w:fldCharType="begin"/>
      </w:r>
      <w:r>
        <w:rPr>
          <w:sz w:val="24"/>
          <w:szCs w:val="24"/>
        </w:rPr>
        <w:instrText xml:space="preserve"> PAGEREF _Toc231822745 \h </w:instrText>
      </w:r>
      <w:r>
        <w:rPr>
          <w:sz w:val="24"/>
          <w:szCs w:val="24"/>
        </w:rPr>
        <w:fldChar w:fldCharType="separate"/>
      </w:r>
      <w:r>
        <w:rPr>
          <w:sz w:val="24"/>
          <w:szCs w:val="24"/>
        </w:rPr>
        <w:t xml:space="preserve">66</w:t>
      </w:r>
      <w:r>
        <w:rPr>
          <w:sz w:val="24"/>
          <w:szCs w:val="24"/>
        </w:rPr>
        <w:fldChar w:fldCharType="end"/>
      </w:r>
      <w:r>
        <w:rPr>
          <w:sz w:val="24"/>
          <w:szCs w:val="24"/>
        </w:rPr>
        <w:fldChar w:fldCharType="end"/>
      </w:r>
      <w:r/>
    </w:p>
    <w:p>
      <w:pPr>
        <w:pStyle w:val="1434"/>
        <w:ind w:left="420"/>
        <w:tabs>
          <w:tab w:val="right" w:pos="9406" w:leader="dot"/>
        </w:tabs>
        <w:rPr>
          <w:rFonts w:eastAsiaTheme="minorEastAsia"/>
          <w:sz w:val="24"/>
          <w:szCs w:val="24"/>
          <w14:ligatures w14:val="standardContextual"/>
        </w:rPr>
      </w:pPr>
      <w:r>
        <w:fldChar w:fldCharType="begin"/>
      </w:r>
      <w:r>
        <w:instrText xml:space="preserve"> HYPERLINK \l "_Toc231822746" </w:instrText>
      </w:r>
      <w:r>
        <w:fldChar w:fldCharType="separate"/>
      </w:r>
      <w:r>
        <w:rPr>
          <w:rStyle w:val="1445"/>
          <w:sz w:val="24"/>
          <w:szCs w:val="24"/>
        </w:rPr>
        <w:t xml:space="preserve">附件二 开标一览表</w:t>
      </w:r>
      <w:r>
        <w:rPr>
          <w:sz w:val="24"/>
          <w:szCs w:val="24"/>
        </w:rPr>
        <w:tab/>
      </w:r>
      <w:r>
        <w:rPr>
          <w:sz w:val="24"/>
          <w:szCs w:val="24"/>
        </w:rPr>
        <w:fldChar w:fldCharType="begin"/>
      </w:r>
      <w:r>
        <w:rPr>
          <w:sz w:val="24"/>
          <w:szCs w:val="24"/>
        </w:rPr>
        <w:instrText xml:space="preserve"> PAGEREF _Toc231822746 \h </w:instrText>
      </w:r>
      <w:r>
        <w:rPr>
          <w:sz w:val="24"/>
          <w:szCs w:val="24"/>
        </w:rPr>
        <w:fldChar w:fldCharType="separate"/>
      </w:r>
      <w:r>
        <w:rPr>
          <w:sz w:val="24"/>
          <w:szCs w:val="24"/>
        </w:rPr>
        <w:t xml:space="preserve">67</w:t>
      </w:r>
      <w:r>
        <w:rPr>
          <w:sz w:val="24"/>
          <w:szCs w:val="24"/>
        </w:rPr>
        <w:fldChar w:fldCharType="end"/>
      </w:r>
      <w:r>
        <w:rPr>
          <w:sz w:val="24"/>
          <w:szCs w:val="24"/>
        </w:rPr>
        <w:fldChar w:fldCharType="end"/>
      </w:r>
      <w:r/>
    </w:p>
    <w:p>
      <w:pPr>
        <w:pStyle w:val="1434"/>
        <w:ind w:left="420"/>
        <w:tabs>
          <w:tab w:val="right" w:pos="9406" w:leader="dot"/>
        </w:tabs>
        <w:rPr>
          <w:rFonts w:eastAsiaTheme="minorEastAsia"/>
          <w:sz w:val="24"/>
          <w:szCs w:val="24"/>
          <w14:ligatures w14:val="standardContextual"/>
        </w:rPr>
      </w:pPr>
      <w:r>
        <w:fldChar w:fldCharType="begin"/>
      </w:r>
      <w:r>
        <w:instrText xml:space="preserve"> HYPERLINK \l "_Toc231822747" </w:instrText>
      </w:r>
      <w:r>
        <w:fldChar w:fldCharType="separate"/>
      </w:r>
      <w:r>
        <w:rPr>
          <w:rStyle w:val="1445"/>
          <w:sz w:val="24"/>
          <w:szCs w:val="24"/>
        </w:rPr>
        <w:t xml:space="preserve">附件三 分项报价表</w:t>
      </w:r>
      <w:r>
        <w:rPr>
          <w:sz w:val="24"/>
          <w:szCs w:val="24"/>
        </w:rPr>
        <w:tab/>
      </w:r>
      <w:r>
        <w:rPr>
          <w:sz w:val="24"/>
          <w:szCs w:val="24"/>
        </w:rPr>
        <w:fldChar w:fldCharType="begin"/>
      </w:r>
      <w:r>
        <w:rPr>
          <w:sz w:val="24"/>
          <w:szCs w:val="24"/>
        </w:rPr>
        <w:instrText xml:space="preserve"> PAGEREF _Toc231822747 \h </w:instrText>
      </w:r>
      <w:r>
        <w:rPr>
          <w:sz w:val="24"/>
          <w:szCs w:val="24"/>
        </w:rPr>
        <w:fldChar w:fldCharType="separate"/>
      </w:r>
      <w:r>
        <w:rPr>
          <w:sz w:val="24"/>
          <w:szCs w:val="24"/>
        </w:rPr>
        <w:t xml:space="preserve">68</w:t>
      </w:r>
      <w:r>
        <w:rPr>
          <w:sz w:val="24"/>
          <w:szCs w:val="24"/>
        </w:rPr>
        <w:fldChar w:fldCharType="end"/>
      </w:r>
      <w:r>
        <w:rPr>
          <w:sz w:val="24"/>
          <w:szCs w:val="24"/>
        </w:rPr>
        <w:fldChar w:fldCharType="end"/>
      </w:r>
      <w:r/>
    </w:p>
    <w:p>
      <w:pPr>
        <w:pStyle w:val="1434"/>
        <w:ind w:left="420"/>
        <w:tabs>
          <w:tab w:val="right" w:pos="9406" w:leader="dot"/>
        </w:tabs>
        <w:rPr>
          <w:rFonts w:eastAsiaTheme="minorEastAsia"/>
          <w:sz w:val="24"/>
          <w:szCs w:val="24"/>
          <w14:ligatures w14:val="standardContextual"/>
        </w:rPr>
      </w:pPr>
      <w:r>
        <w:fldChar w:fldCharType="begin"/>
      </w:r>
      <w:r>
        <w:instrText xml:space="preserve"> HYPERLINK \l "_Toc231822748" </w:instrText>
      </w:r>
      <w:r>
        <w:fldChar w:fldCharType="separate"/>
      </w:r>
      <w:r>
        <w:rPr>
          <w:rStyle w:val="1445"/>
          <w:sz w:val="24"/>
          <w:szCs w:val="24"/>
        </w:rPr>
        <w:t xml:space="preserve">附件四 商务条款偏离表</w:t>
      </w:r>
      <w:r>
        <w:rPr>
          <w:sz w:val="24"/>
          <w:szCs w:val="24"/>
        </w:rPr>
        <w:tab/>
      </w:r>
      <w:r>
        <w:rPr>
          <w:sz w:val="24"/>
          <w:szCs w:val="24"/>
        </w:rPr>
        <w:fldChar w:fldCharType="begin"/>
      </w:r>
      <w:r>
        <w:rPr>
          <w:sz w:val="24"/>
          <w:szCs w:val="24"/>
        </w:rPr>
        <w:instrText xml:space="preserve"> PAGEREF _Toc231822748 \h </w:instrText>
      </w:r>
      <w:r>
        <w:rPr>
          <w:sz w:val="24"/>
          <w:szCs w:val="24"/>
        </w:rPr>
        <w:fldChar w:fldCharType="separate"/>
      </w:r>
      <w:r>
        <w:rPr>
          <w:sz w:val="24"/>
          <w:szCs w:val="24"/>
        </w:rPr>
        <w:t xml:space="preserve">69</w:t>
      </w:r>
      <w:r>
        <w:rPr>
          <w:sz w:val="24"/>
          <w:szCs w:val="24"/>
        </w:rPr>
        <w:fldChar w:fldCharType="end"/>
      </w:r>
      <w:r>
        <w:rPr>
          <w:sz w:val="24"/>
          <w:szCs w:val="24"/>
        </w:rPr>
        <w:fldChar w:fldCharType="end"/>
      </w:r>
      <w:r/>
    </w:p>
    <w:p>
      <w:pPr>
        <w:pStyle w:val="1434"/>
        <w:ind w:left="420"/>
        <w:tabs>
          <w:tab w:val="right" w:pos="9406" w:leader="dot"/>
        </w:tabs>
        <w:rPr>
          <w:rFonts w:eastAsiaTheme="minorEastAsia"/>
          <w:sz w:val="24"/>
          <w:szCs w:val="24"/>
          <w14:ligatures w14:val="standardContextual"/>
        </w:rPr>
      </w:pPr>
      <w:r>
        <w:fldChar w:fldCharType="begin"/>
      </w:r>
      <w:r>
        <w:instrText xml:space="preserve"> HYPERLINK \l "_Toc231822749" </w:instrText>
      </w:r>
      <w:r>
        <w:fldChar w:fldCharType="separate"/>
      </w:r>
      <w:r>
        <w:rPr>
          <w:rStyle w:val="1445"/>
          <w:sz w:val="24"/>
          <w:szCs w:val="24"/>
        </w:rPr>
        <w:t xml:space="preserve">附件五 技术条款偏离表</w:t>
      </w:r>
      <w:r>
        <w:rPr>
          <w:sz w:val="24"/>
          <w:szCs w:val="24"/>
        </w:rPr>
        <w:tab/>
      </w:r>
      <w:r>
        <w:rPr>
          <w:sz w:val="24"/>
          <w:szCs w:val="24"/>
        </w:rPr>
        <w:fldChar w:fldCharType="begin"/>
      </w:r>
      <w:r>
        <w:rPr>
          <w:sz w:val="24"/>
          <w:szCs w:val="24"/>
        </w:rPr>
        <w:instrText xml:space="preserve"> PAGEREF _Toc231822749 \h </w:instrText>
      </w:r>
      <w:r>
        <w:rPr>
          <w:sz w:val="24"/>
          <w:szCs w:val="24"/>
        </w:rPr>
        <w:fldChar w:fldCharType="separate"/>
      </w:r>
      <w:r>
        <w:rPr>
          <w:sz w:val="24"/>
          <w:szCs w:val="24"/>
        </w:rPr>
        <w:t xml:space="preserve">70</w:t>
      </w:r>
      <w:r>
        <w:rPr>
          <w:sz w:val="24"/>
          <w:szCs w:val="24"/>
        </w:rPr>
        <w:fldChar w:fldCharType="end"/>
      </w:r>
      <w:r>
        <w:rPr>
          <w:sz w:val="24"/>
          <w:szCs w:val="24"/>
        </w:rPr>
        <w:fldChar w:fldCharType="end"/>
      </w:r>
      <w:r/>
    </w:p>
    <w:p>
      <w:pPr>
        <w:pStyle w:val="1434"/>
        <w:ind w:left="420"/>
        <w:tabs>
          <w:tab w:val="right" w:pos="9406" w:leader="dot"/>
        </w:tabs>
        <w:rPr>
          <w:rFonts w:eastAsiaTheme="minorEastAsia"/>
          <w:sz w:val="24"/>
          <w:szCs w:val="24"/>
          <w14:ligatures w14:val="standardContextual"/>
        </w:rPr>
      </w:pPr>
      <w:r>
        <w:fldChar w:fldCharType="begin"/>
      </w:r>
      <w:r>
        <w:instrText xml:space="preserve"> HYPERLINK \l "_Toc231822750" </w:instrText>
      </w:r>
      <w:r>
        <w:fldChar w:fldCharType="separate"/>
      </w:r>
      <w:r>
        <w:rPr>
          <w:rStyle w:val="1445"/>
          <w:sz w:val="24"/>
          <w:szCs w:val="24"/>
        </w:rPr>
        <w:t xml:space="preserve">附件六 拟参与本项目服务人员一览表</w:t>
      </w:r>
      <w:r>
        <w:rPr>
          <w:sz w:val="24"/>
          <w:szCs w:val="24"/>
        </w:rPr>
        <w:tab/>
      </w:r>
      <w:r>
        <w:rPr>
          <w:sz w:val="24"/>
          <w:szCs w:val="24"/>
        </w:rPr>
        <w:fldChar w:fldCharType="begin"/>
      </w:r>
      <w:r>
        <w:rPr>
          <w:sz w:val="24"/>
          <w:szCs w:val="24"/>
        </w:rPr>
        <w:instrText xml:space="preserve"> PAGEREF _Toc231822750 \h </w:instrText>
      </w:r>
      <w:r>
        <w:rPr>
          <w:sz w:val="24"/>
          <w:szCs w:val="24"/>
        </w:rPr>
        <w:fldChar w:fldCharType="separate"/>
      </w:r>
      <w:r>
        <w:rPr>
          <w:sz w:val="24"/>
          <w:szCs w:val="24"/>
        </w:rPr>
        <w:t xml:space="preserve">71</w:t>
      </w:r>
      <w:r>
        <w:rPr>
          <w:sz w:val="24"/>
          <w:szCs w:val="24"/>
        </w:rPr>
        <w:fldChar w:fldCharType="end"/>
      </w:r>
      <w:r>
        <w:rPr>
          <w:sz w:val="24"/>
          <w:szCs w:val="24"/>
        </w:rPr>
        <w:fldChar w:fldCharType="end"/>
      </w:r>
      <w:r/>
    </w:p>
    <w:p>
      <w:pPr>
        <w:pStyle w:val="1434"/>
        <w:ind w:left="420"/>
        <w:tabs>
          <w:tab w:val="right" w:pos="9406" w:leader="dot"/>
        </w:tabs>
        <w:rPr>
          <w:rFonts w:eastAsiaTheme="minorEastAsia"/>
          <w:sz w:val="24"/>
          <w:szCs w:val="24"/>
          <w14:ligatures w14:val="standardContextual"/>
        </w:rPr>
      </w:pPr>
      <w:r>
        <w:fldChar w:fldCharType="begin"/>
      </w:r>
      <w:r>
        <w:instrText xml:space="preserve"> HYPERLINK \l "_Toc231822751" </w:instrText>
      </w:r>
      <w:r>
        <w:fldChar w:fldCharType="separate"/>
      </w:r>
      <w:r>
        <w:rPr>
          <w:rStyle w:val="1445"/>
          <w:sz w:val="24"/>
          <w:szCs w:val="24"/>
        </w:rPr>
        <w:t xml:space="preserve">附件七 投标人类似业绩情况表</w:t>
      </w:r>
      <w:r>
        <w:rPr>
          <w:sz w:val="24"/>
          <w:szCs w:val="24"/>
        </w:rPr>
        <w:tab/>
      </w:r>
      <w:r>
        <w:rPr>
          <w:sz w:val="24"/>
          <w:szCs w:val="24"/>
        </w:rPr>
        <w:fldChar w:fldCharType="begin"/>
      </w:r>
      <w:r>
        <w:rPr>
          <w:sz w:val="24"/>
          <w:szCs w:val="24"/>
        </w:rPr>
        <w:instrText xml:space="preserve"> PAGEREF _Toc231822751 \h </w:instrText>
      </w:r>
      <w:r>
        <w:rPr>
          <w:sz w:val="24"/>
          <w:szCs w:val="24"/>
        </w:rPr>
        <w:fldChar w:fldCharType="separate"/>
      </w:r>
      <w:r>
        <w:rPr>
          <w:sz w:val="24"/>
          <w:szCs w:val="24"/>
        </w:rPr>
        <w:t xml:space="preserve">72</w:t>
      </w:r>
      <w:r>
        <w:rPr>
          <w:sz w:val="24"/>
          <w:szCs w:val="24"/>
        </w:rPr>
        <w:fldChar w:fldCharType="end"/>
      </w:r>
      <w:r>
        <w:rPr>
          <w:sz w:val="24"/>
          <w:szCs w:val="24"/>
        </w:rPr>
        <w:fldChar w:fldCharType="end"/>
      </w:r>
      <w:r/>
    </w:p>
    <w:p>
      <w:pPr>
        <w:pStyle w:val="1434"/>
        <w:ind w:left="420"/>
        <w:tabs>
          <w:tab w:val="right" w:pos="9406" w:leader="dot"/>
        </w:tabs>
        <w:rPr>
          <w:rFonts w:eastAsiaTheme="minorEastAsia"/>
          <w:sz w:val="24"/>
          <w:szCs w:val="24"/>
          <w14:ligatures w14:val="standardContextual"/>
        </w:rPr>
      </w:pPr>
      <w:r>
        <w:fldChar w:fldCharType="begin"/>
      </w:r>
      <w:r>
        <w:instrText xml:space="preserve"> HYPERLINK \l "_Toc231822752" </w:instrText>
      </w:r>
      <w:r>
        <w:fldChar w:fldCharType="separate"/>
      </w:r>
      <w:r>
        <w:rPr>
          <w:rStyle w:val="1445"/>
          <w:sz w:val="24"/>
          <w:szCs w:val="24"/>
        </w:rPr>
        <w:t xml:space="preserve">附件八 政府采购政策</w:t>
      </w:r>
      <w:r>
        <w:rPr>
          <w:sz w:val="24"/>
          <w:szCs w:val="24"/>
        </w:rPr>
        <w:tab/>
      </w:r>
      <w:r>
        <w:rPr>
          <w:sz w:val="24"/>
          <w:szCs w:val="24"/>
        </w:rPr>
        <w:fldChar w:fldCharType="begin"/>
      </w:r>
      <w:r>
        <w:rPr>
          <w:sz w:val="24"/>
          <w:szCs w:val="24"/>
        </w:rPr>
        <w:instrText xml:space="preserve"> PAGEREF _Toc231822752 \h </w:instrText>
      </w:r>
      <w:r>
        <w:rPr>
          <w:sz w:val="24"/>
          <w:szCs w:val="24"/>
        </w:rPr>
        <w:fldChar w:fldCharType="separate"/>
      </w:r>
      <w:r>
        <w:rPr>
          <w:sz w:val="24"/>
          <w:szCs w:val="24"/>
        </w:rPr>
        <w:t xml:space="preserve">73</w:t>
      </w:r>
      <w:r>
        <w:rPr>
          <w:sz w:val="24"/>
          <w:szCs w:val="24"/>
        </w:rPr>
        <w:fldChar w:fldCharType="end"/>
      </w:r>
      <w:r>
        <w:rPr>
          <w:sz w:val="24"/>
          <w:szCs w:val="24"/>
        </w:rPr>
        <w:fldChar w:fldCharType="end"/>
      </w:r>
      <w:r/>
    </w:p>
    <w:p>
      <w:pPr>
        <w:pStyle w:val="1434"/>
        <w:ind w:left="420"/>
        <w:tabs>
          <w:tab w:val="right" w:pos="9406" w:leader="dot"/>
        </w:tabs>
        <w:rPr>
          <w:rFonts w:eastAsiaTheme="minorEastAsia"/>
          <w:sz w:val="24"/>
          <w:szCs w:val="24"/>
          <w14:ligatures w14:val="standardContextual"/>
        </w:rPr>
      </w:pPr>
      <w:r>
        <w:fldChar w:fldCharType="begin"/>
      </w:r>
      <w:r>
        <w:instrText xml:space="preserve"> HYPERLINK \l "_Toc231822753" </w:instrText>
      </w:r>
      <w:r>
        <w:fldChar w:fldCharType="separate"/>
      </w:r>
      <w:r>
        <w:rPr>
          <w:rStyle w:val="1445"/>
          <w:sz w:val="24"/>
          <w:szCs w:val="24"/>
          <w:lang w:val="zh-CN"/>
        </w:rPr>
        <w:t xml:space="preserve">附件</w:t>
      </w:r>
      <w:r>
        <w:rPr>
          <w:rStyle w:val="1445"/>
          <w:sz w:val="24"/>
          <w:szCs w:val="24"/>
        </w:rPr>
        <w:t xml:space="preserve">九</w:t>
      </w:r>
      <w:r>
        <w:rPr>
          <w:rStyle w:val="1445"/>
          <w:sz w:val="24"/>
          <w:szCs w:val="24"/>
          <w:lang w:val="zh-CN"/>
        </w:rPr>
        <w:t xml:space="preserve"> 资格证明文件</w:t>
      </w:r>
      <w:r>
        <w:rPr>
          <w:sz w:val="24"/>
          <w:szCs w:val="24"/>
        </w:rPr>
        <w:tab/>
      </w:r>
      <w:r>
        <w:rPr>
          <w:sz w:val="24"/>
          <w:szCs w:val="24"/>
        </w:rPr>
        <w:fldChar w:fldCharType="begin"/>
      </w:r>
      <w:r>
        <w:rPr>
          <w:sz w:val="24"/>
          <w:szCs w:val="24"/>
        </w:rPr>
        <w:instrText xml:space="preserve"> PAGEREF _Toc231822753 \h </w:instrText>
      </w:r>
      <w:r>
        <w:rPr>
          <w:sz w:val="24"/>
          <w:szCs w:val="24"/>
        </w:rPr>
        <w:fldChar w:fldCharType="separate"/>
      </w:r>
      <w:r>
        <w:rPr>
          <w:sz w:val="24"/>
          <w:szCs w:val="24"/>
        </w:rPr>
        <w:t xml:space="preserve">76</w:t>
      </w:r>
      <w:r>
        <w:rPr>
          <w:sz w:val="24"/>
          <w:szCs w:val="24"/>
        </w:rPr>
        <w:fldChar w:fldCharType="end"/>
      </w:r>
      <w:r>
        <w:rPr>
          <w:sz w:val="24"/>
          <w:szCs w:val="24"/>
        </w:rPr>
        <w:fldChar w:fldCharType="end"/>
      </w:r>
      <w:r/>
    </w:p>
    <w:p>
      <w:pPr>
        <w:pStyle w:val="1434"/>
        <w:ind w:left="420"/>
        <w:tabs>
          <w:tab w:val="right" w:pos="9406" w:leader="dot"/>
        </w:tabs>
        <w:rPr>
          <w:rFonts w:eastAsiaTheme="minorEastAsia"/>
          <w:sz w:val="24"/>
          <w:szCs w:val="24"/>
          <w14:ligatures w14:val="standardContextual"/>
        </w:rPr>
      </w:pPr>
      <w:r>
        <w:fldChar w:fldCharType="begin"/>
      </w:r>
      <w:r>
        <w:instrText xml:space="preserve"> HYPERLINK \l "_Toc231822754" </w:instrText>
      </w:r>
      <w:r>
        <w:fldChar w:fldCharType="separate"/>
      </w:r>
      <w:r>
        <w:rPr>
          <w:rStyle w:val="1445"/>
          <w:sz w:val="24"/>
          <w:szCs w:val="24"/>
        </w:rPr>
        <w:t xml:space="preserve">附件十 其他相关文件</w:t>
      </w:r>
      <w:r>
        <w:rPr>
          <w:sz w:val="24"/>
          <w:szCs w:val="24"/>
        </w:rPr>
        <w:tab/>
      </w:r>
      <w:r>
        <w:rPr>
          <w:sz w:val="24"/>
          <w:szCs w:val="24"/>
        </w:rPr>
        <w:fldChar w:fldCharType="begin"/>
      </w:r>
      <w:r>
        <w:rPr>
          <w:sz w:val="24"/>
          <w:szCs w:val="24"/>
        </w:rPr>
        <w:instrText xml:space="preserve"> PAGEREF _Toc231822754 \h </w:instrText>
      </w:r>
      <w:r>
        <w:rPr>
          <w:sz w:val="24"/>
          <w:szCs w:val="24"/>
        </w:rPr>
        <w:fldChar w:fldCharType="separate"/>
      </w:r>
      <w:r>
        <w:rPr>
          <w:sz w:val="24"/>
          <w:szCs w:val="24"/>
        </w:rPr>
        <w:t xml:space="preserve">87</w:t>
      </w:r>
      <w:r>
        <w:rPr>
          <w:sz w:val="24"/>
          <w:szCs w:val="24"/>
        </w:rPr>
        <w:fldChar w:fldCharType="end"/>
      </w:r>
      <w:r>
        <w:rPr>
          <w:sz w:val="24"/>
          <w:szCs w:val="24"/>
        </w:rPr>
        <w:fldChar w:fldCharType="end"/>
      </w:r>
      <w:r/>
    </w:p>
    <w:p>
      <w:pPr>
        <w:jc w:val="center"/>
        <w:spacing w:line="440" w:lineRule="exact"/>
        <w:rPr>
          <w:rFonts w:eastAsia="黑体"/>
          <w:bCs/>
          <w:color w:val="000000"/>
        </w:rPr>
      </w:pPr>
      <w:r>
        <w:rPr>
          <w:rFonts w:eastAsia="黑体"/>
          <w:bCs/>
          <w:color w:val="000000"/>
          <w:sz w:val="24"/>
          <w:szCs w:val="24"/>
        </w:rPr>
        <w:fldChar w:fldCharType="end"/>
      </w:r>
      <w:bookmarkStart w:id="0" w:name="_Toc4696384"/>
      <w:r/>
      <w:bookmarkStart w:id="1" w:name="_Toc20619"/>
      <w:r/>
      <w:bookmarkStart w:id="2" w:name="_Toc11991"/>
      <w:r/>
      <w:bookmarkStart w:id="3" w:name="_Toc24606"/>
      <w:r/>
      <w:bookmarkStart w:id="4" w:name="_Toc13535"/>
      <w:r/>
      <w:bookmarkStart w:id="5" w:name="_Toc7777"/>
      <w:r/>
      <w:bookmarkStart w:id="6" w:name="_Toc15509"/>
      <w:r/>
      <w:bookmarkStart w:id="7" w:name="_Toc20112"/>
      <w:r/>
      <w:bookmarkStart w:id="8" w:name="_Toc19726"/>
      <w:r/>
      <w:bookmarkStart w:id="9" w:name="_Toc22298"/>
      <w:r/>
      <w:r/>
    </w:p>
    <w:p>
      <w:pPr>
        <w:spacing w:line="440" w:lineRule="exact"/>
        <w:rPr>
          <w:rFonts w:eastAsia="黑体"/>
          <w:bCs/>
          <w:color w:val="000000"/>
        </w:rPr>
      </w:pPr>
      <w:r>
        <w:rPr>
          <w:rFonts w:eastAsia="黑体"/>
          <w:bCs/>
          <w:color w:val="000000"/>
        </w:rPr>
      </w:r>
      <w:r/>
    </w:p>
    <w:p>
      <w:pPr>
        <w:spacing w:line="440" w:lineRule="exact"/>
        <w:rPr>
          <w:rFonts w:eastAsia="黑体"/>
          <w:bCs/>
          <w:color w:val="000000"/>
        </w:rPr>
      </w:pPr>
      <w:r>
        <w:rPr>
          <w:rFonts w:eastAsia="黑体"/>
          <w:bCs/>
          <w:color w:val="000000"/>
        </w:rPr>
      </w:r>
      <w:r/>
    </w:p>
    <w:p>
      <w:pPr>
        <w:spacing w:line="440" w:lineRule="exact"/>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center"/>
        <w:spacing w:line="440" w:lineRule="exact"/>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br w:type="page" w:clear="all"/>
      </w:r>
      <w:r/>
    </w:p>
    <w:p>
      <w:pPr>
        <w:jc w:val="center"/>
        <w:spacing w:line="440" w:lineRule="exact"/>
        <w:rPr>
          <w:b/>
          <w:color w:val="000000"/>
          <w:sz w:val="28"/>
          <w:szCs w:val="28"/>
        </w:rPr>
        <w:outlineLvl w:val="0"/>
      </w:pPr>
      <w:r/>
      <w:bookmarkStart w:id="10" w:name="_Toc231822725"/>
      <w:r>
        <w:rPr>
          <w:b/>
          <w:color w:val="000000"/>
          <w:sz w:val="28"/>
          <w:szCs w:val="28"/>
        </w:rPr>
        <w:t xml:space="preserve">第一章 招标公告</w:t>
      </w:r>
      <w:bookmarkEnd w:id="0"/>
      <w:r/>
      <w:bookmarkEnd w:id="1"/>
      <w:r/>
      <w:bookmarkEnd w:id="10"/>
      <w:r/>
      <w:r/>
    </w:p>
    <w:p>
      <w:pPr>
        <w:spacing w:line="360" w:lineRule="auto"/>
        <w:rPr>
          <w:b/>
          <w:bCs/>
          <w:szCs w:val="21"/>
        </w:rPr>
      </w:pPr>
      <w:r/>
      <w:bookmarkStart w:id="11" w:name="_Toc21304"/>
      <w:r>
        <w:rPr>
          <w:b/>
          <w:bCs/>
          <w:szCs w:val="21"/>
        </w:rPr>
        <w:t xml:space="preserve">项目概况</w:t>
      </w:r>
      <w:bookmarkEnd w:id="11"/>
      <w:r/>
      <w:r/>
    </w:p>
    <w:p>
      <w:pPr>
        <w:ind w:firstLine="420"/>
        <w:spacing w:line="360" w:lineRule="auto"/>
        <w:rPr>
          <w:szCs w:val="21"/>
          <w:u w:val="single"/>
        </w:rPr>
        <w:pBdr>
          <w:top w:val="single" w:color="auto" w:sz="4" w:space="0"/>
          <w:left w:val="single" w:color="auto" w:sz="4" w:space="0"/>
          <w:bottom w:val="single" w:color="auto" w:sz="4" w:space="0"/>
          <w:right w:val="single" w:color="auto" w:sz="4" w:space="0"/>
        </w:pBdr>
      </w:pPr>
      <w:r/>
      <w:bookmarkStart w:id="12" w:name="_Hlk24379207"/>
      <w:r/>
      <w:bookmarkStart w:id="13" w:name="_Toc35393790"/>
      <w:r/>
      <w:bookmarkStart w:id="14" w:name="_Toc15613"/>
      <w:r/>
      <w:bookmarkStart w:id="15" w:name="_Toc28359079"/>
      <w:r/>
      <w:bookmarkStart w:id="16" w:name="_Toc35393621"/>
      <w:r/>
      <w:bookmarkStart w:id="17" w:name="_Toc28359002"/>
      <w:r/>
      <w:bookmarkStart w:id="18" w:name="_Toc20859"/>
      <w:r>
        <w:rPr>
          <w:szCs w:val="21"/>
          <w:u w:val="single"/>
        </w:rPr>
        <w:t xml:space="preserve">江苏省特种设备安全监督检验研究院 水介质检验检测设备招标项目的潜在投标人应在江苏省南京市长江路198号苏美达大厦6楼西获取招标文件，并于2026年08月27日09点30分（北京时间）前递交投标文件。</w:t>
      </w:r>
      <w:bookmarkEnd w:id="12"/>
      <w:r/>
      <w:bookmarkEnd w:id="13"/>
      <w:r/>
      <w:bookmarkEnd w:id="14"/>
      <w:r/>
      <w:bookmarkEnd w:id="15"/>
      <w:r/>
      <w:bookmarkEnd w:id="16"/>
      <w:r/>
      <w:bookmarkEnd w:id="17"/>
      <w:r/>
      <w:bookmarkEnd w:id="18"/>
      <w:r/>
      <w:r/>
    </w:p>
    <w:p>
      <w:pPr>
        <w:pStyle w:val="1399"/>
      </w:pPr>
      <w:r/>
      <w:bookmarkStart w:id="19" w:name="_Toc231822726"/>
      <w:r/>
      <w:bookmarkStart w:id="20" w:name="_Toc28359080"/>
      <w:r/>
      <w:bookmarkStart w:id="21" w:name="_Toc5396"/>
      <w:r/>
      <w:bookmarkStart w:id="22" w:name="_Toc3342"/>
      <w:r/>
      <w:bookmarkStart w:id="23" w:name="_Toc28359003"/>
      <w:r/>
      <w:bookmarkStart w:id="24" w:name="_Toc35393791"/>
      <w:r/>
      <w:bookmarkStart w:id="25" w:name="_Toc35393622"/>
      <w:r>
        <w:t xml:space="preserve">一、项目基本情况</w:t>
      </w:r>
      <w:bookmarkEnd w:id="19"/>
      <w:r/>
      <w:r/>
    </w:p>
    <w:p>
      <w:pPr>
        <w:ind w:firstLine="210"/>
        <w:spacing w:line="360" w:lineRule="auto"/>
        <w:rPr>
          <w:szCs w:val="21"/>
        </w:rPr>
      </w:pPr>
      <w:r>
        <w:rPr>
          <w:szCs w:val="21"/>
        </w:rPr>
        <w:t xml:space="preserve">1、项目编号：4297-2641SUMEC307/01、02、03（</w:t>
      </w:r>
      <w:r>
        <w:rPr>
          <w:rFonts w:hint="eastAsia"/>
          <w:szCs w:val="21"/>
          <w:lang w:eastAsia="zh-CN"/>
        </w:rPr>
        <w:t xml:space="preserve">公告编号：JSZC-320000-JSSB-G2026-0002</w:t>
      </w:r>
      <w:r>
        <w:rPr>
          <w:szCs w:val="21"/>
        </w:rPr>
        <w:t xml:space="preserve"> ）</w:t>
      </w:r>
      <w:r/>
    </w:p>
    <w:p>
      <w:pPr>
        <w:ind w:firstLine="210"/>
        <w:spacing w:line="360" w:lineRule="auto"/>
        <w:rPr>
          <w:szCs w:val="21"/>
        </w:rPr>
      </w:pPr>
      <w:r>
        <w:rPr>
          <w:szCs w:val="21"/>
        </w:rPr>
        <w:t xml:space="preserve">2、项目名称：水介质检验检测设备</w:t>
      </w:r>
      <w:bookmarkStart w:id="249" w:name="_GoBack"/>
      <w:r/>
      <w:bookmarkEnd w:id="249"/>
      <w:r/>
      <w:r/>
    </w:p>
    <w:p>
      <w:pPr>
        <w:ind w:firstLine="210"/>
        <w:spacing w:line="360" w:lineRule="auto"/>
        <w:rPr>
          <w:szCs w:val="21"/>
        </w:rPr>
      </w:pPr>
      <w:r>
        <w:rPr>
          <w:szCs w:val="21"/>
        </w:rPr>
        <w:t xml:space="preserve">3、采购方式：公开招标</w:t>
      </w:r>
      <w:r/>
    </w:p>
    <w:p>
      <w:pPr>
        <w:ind w:firstLine="210"/>
        <w:spacing w:line="360" w:lineRule="auto"/>
        <w:rPr>
          <w:szCs w:val="21"/>
        </w:rPr>
      </w:pPr>
      <w:r>
        <w:rPr>
          <w:szCs w:val="21"/>
        </w:rPr>
        <w:t xml:space="preserve">4、预算金额：</w:t>
      </w:r>
      <w:bookmarkStart w:id="26" w:name="OLE_LINK2"/>
      <w:r>
        <w:rPr>
          <w:szCs w:val="21"/>
        </w:rPr>
        <w:t xml:space="preserve">315.71</w:t>
      </w:r>
      <w:bookmarkEnd w:id="26"/>
      <w:r>
        <w:rPr>
          <w:szCs w:val="21"/>
        </w:rPr>
        <w:t xml:space="preserve">万元（包1：122.66万元；包2：115.6万元；包3：77.45万元）（单位：人民币）</w:t>
      </w:r>
      <w:r/>
    </w:p>
    <w:p>
      <w:pPr>
        <w:ind w:firstLine="210"/>
        <w:spacing w:line="360" w:lineRule="auto"/>
        <w:rPr>
          <w:szCs w:val="21"/>
        </w:rPr>
      </w:pPr>
      <w:r>
        <w:rPr>
          <w:szCs w:val="21"/>
        </w:rPr>
        <w:t xml:space="preserve">5、最高限价：315.71万元</w:t>
      </w:r>
      <w:bookmarkStart w:id="27" w:name="OLE_LINK7"/>
      <w:r>
        <w:rPr>
          <w:szCs w:val="21"/>
        </w:rPr>
        <w:t xml:space="preserve">（包1：122.66万元；包2：115.6万元；包3：77.45万元）</w:t>
      </w:r>
      <w:bookmarkEnd w:id="27"/>
      <w:r>
        <w:rPr>
          <w:szCs w:val="21"/>
        </w:rPr>
        <w:t xml:space="preserve">（单位：人民币），</w:t>
      </w:r>
      <w:r>
        <w:rPr>
          <w:b/>
          <w:szCs w:val="21"/>
        </w:rPr>
        <w:t xml:space="preserve">投标人所投报价不得超过每个品目所对应的预算金额，否则作无效投标处理。</w:t>
      </w:r>
      <w:r/>
    </w:p>
    <w:p>
      <w:pPr>
        <w:ind w:firstLine="210"/>
        <w:spacing w:line="360" w:lineRule="auto"/>
        <w:rPr>
          <w:szCs w:val="21"/>
        </w:rPr>
      </w:pPr>
      <w:r>
        <w:rPr>
          <w:szCs w:val="21"/>
        </w:rPr>
        <w:t xml:space="preserve">6、采购需求：本项目共分为3个分包，投标人可兼投兼中，具体需求见下表。</w:t>
      </w:r>
      <w:r/>
    </w:p>
    <w:tbl>
      <w:tblPr>
        <w:tblStyle w:val="1405"/>
        <w:tblW w:w="5121" w:type="pct"/>
        <w:tblInd w:w="0" w:type="dxa"/>
        <w:tblLayout w:type="autofit"/>
        <w:tblCellMar>
          <w:left w:w="108" w:type="dxa"/>
          <w:top w:w="0" w:type="dxa"/>
          <w:right w:w="108" w:type="dxa"/>
          <w:bottom w:w="0" w:type="dxa"/>
        </w:tblCellMar>
        <w:tblLook w:val="04A0" w:firstRow="1" w:lastRow="0" w:firstColumn="1" w:lastColumn="0" w:noHBand="0" w:noVBand="1"/>
      </w:tblPr>
      <w:tblGrid>
        <w:gridCol w:w="459"/>
        <w:gridCol w:w="651"/>
        <w:gridCol w:w="2733"/>
        <w:gridCol w:w="945"/>
        <w:gridCol w:w="872"/>
        <w:gridCol w:w="438"/>
        <w:gridCol w:w="1452"/>
        <w:gridCol w:w="1133"/>
        <w:gridCol w:w="1182"/>
      </w:tblGrid>
      <w:tr>
        <w:trPr>
          <w:trHeight w:val="725"/>
        </w:trPr>
        <w:tc>
          <w:tcPr>
            <w:tcBorders>
              <w:top w:val="single" w:color="auto" w:sz="4" w:space="0"/>
              <w:left w:val="single" w:color="auto" w:sz="4" w:space="0"/>
              <w:bottom w:val="single" w:color="auto" w:sz="4" w:space="0"/>
              <w:right w:val="single" w:color="auto" w:sz="4" w:space="0"/>
            </w:tcBorders>
            <w:tcW w:w="233"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分包</w:t>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品目</w:t>
            </w:r>
            <w:r/>
          </w:p>
        </w:tc>
        <w:tc>
          <w:tcPr>
            <w:tcBorders>
              <w:top w:val="single" w:color="auto" w:sz="4" w:space="0"/>
              <w:left w:val="single" w:color="auto" w:sz="4" w:space="0"/>
              <w:bottom w:val="single" w:color="auto" w:sz="4" w:space="0"/>
              <w:right w:val="single" w:color="auto" w:sz="4" w:space="0"/>
            </w:tcBorders>
            <w:tcW w:w="1385"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设备名称</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数量</w:t>
            </w:r>
            <w:r/>
          </w:p>
          <w:p>
            <w:pPr>
              <w:ind w:right="-107"/>
              <w:jc w:val="center"/>
              <w:tabs>
                <w:tab w:val="left" w:pos="4788" w:leader="none"/>
              </w:tabs>
              <w:rPr>
                <w:rFonts w:eastAsiaTheme="minorEastAsia"/>
                <w:bCs/>
                <w:szCs w:val="21"/>
              </w:rPr>
            </w:pPr>
            <w:r>
              <w:rPr>
                <w:rFonts w:eastAsiaTheme="minorEastAsia"/>
                <w:bCs/>
                <w:szCs w:val="21"/>
              </w:rPr>
              <w:t xml:space="preserve">(台/套)</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spacing w:line="360" w:lineRule="auto"/>
              <w:tabs>
                <w:tab w:val="left" w:pos="4788" w:leader="none"/>
              </w:tabs>
              <w:rPr>
                <w:rFonts w:eastAsiaTheme="minorEastAsia"/>
                <w:bCs/>
                <w:szCs w:val="21"/>
              </w:rPr>
            </w:pPr>
            <w:r>
              <w:rPr>
                <w:rFonts w:eastAsiaTheme="minorEastAsia"/>
                <w:bCs/>
                <w:szCs w:val="21"/>
              </w:rPr>
              <w:t xml:space="preserve">简要技术要求</w:t>
            </w:r>
            <w:r/>
          </w:p>
        </w:tc>
        <w:tc>
          <w:tcPr>
            <w:tcBorders>
              <w:top w:val="single" w:color="auto" w:sz="4" w:space="0"/>
              <w:left w:val="single" w:color="auto" w:sz="4" w:space="0"/>
              <w:bottom w:val="single" w:color="auto" w:sz="4" w:space="0"/>
              <w:right w:val="single" w:color="auto" w:sz="4" w:space="0"/>
            </w:tcBorders>
            <w:tcW w:w="222" w:type="pct"/>
            <w:vAlign w:val="center"/>
            <w:textDirection w:val="lrTb"/>
            <w:noWrap w:val="false"/>
          </w:tcPr>
          <w:p>
            <w:pPr>
              <w:jc w:val="center"/>
              <w:spacing w:line="360" w:lineRule="auto"/>
              <w:tabs>
                <w:tab w:val="left" w:pos="4788" w:leader="none"/>
              </w:tabs>
              <w:rPr>
                <w:rFonts w:eastAsiaTheme="minorEastAsia"/>
                <w:bCs/>
                <w:szCs w:val="21"/>
              </w:rPr>
            </w:pPr>
            <w:r>
              <w:rPr>
                <w:rFonts w:eastAsiaTheme="minorEastAsia"/>
                <w:bCs/>
                <w:szCs w:val="21"/>
              </w:rPr>
              <w:t xml:space="preserve">用途</w:t>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项目预算金额</w:t>
            </w:r>
            <w:r/>
          </w:p>
          <w:p>
            <w:pPr>
              <w:ind w:right="-107"/>
              <w:jc w:val="center"/>
              <w:tabs>
                <w:tab w:val="left" w:pos="4788" w:leader="none"/>
              </w:tabs>
              <w:rPr>
                <w:rFonts w:eastAsiaTheme="minorEastAsia"/>
                <w:bCs/>
                <w:szCs w:val="21"/>
              </w:rPr>
            </w:pPr>
            <w:r>
              <w:rPr>
                <w:rFonts w:eastAsiaTheme="minorEastAsia"/>
                <w:bCs/>
                <w:szCs w:val="21"/>
              </w:rPr>
              <w:t xml:space="preserve">(万元/人民币)</w:t>
            </w: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合同履行期限</w:t>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备注</w:t>
            </w:r>
            <w:r/>
          </w:p>
        </w:tc>
      </w:tr>
      <w:tr>
        <w:trPr>
          <w:trHeight w:val="219"/>
        </w:trPr>
        <w:tc>
          <w:tcPr>
            <w:tcBorders>
              <w:top w:val="single" w:color="auto" w:sz="4" w:space="0"/>
              <w:left w:val="single" w:color="auto" w:sz="4" w:space="0"/>
              <w:right w:val="single" w:color="auto" w:sz="4" w:space="0"/>
            </w:tcBorders>
            <w:tcW w:w="233" w:type="pct"/>
            <w:vAlign w:val="center"/>
            <w:vMerge w:val="restart"/>
            <w:textDirection w:val="lrTb"/>
            <w:noWrap/>
          </w:tcPr>
          <w:p>
            <w:pPr>
              <w:jc w:val="center"/>
              <w:rPr>
                <w:rFonts w:eastAsiaTheme="minorEastAsia"/>
              </w:rPr>
            </w:pPr>
            <w:r>
              <w:rPr>
                <w:rFonts w:eastAsiaTheme="minorEastAsia"/>
              </w:rPr>
              <w:t xml:space="preserve">01</w:t>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tcPr>
          <w:p>
            <w:pPr>
              <w:jc w:val="center"/>
              <w:rPr>
                <w:rFonts w:eastAsiaTheme="minorEastAsia"/>
              </w:rPr>
            </w:pPr>
            <w:r>
              <w:rPr>
                <w:rFonts w:eastAsiaTheme="minorEastAsia"/>
              </w:rPr>
              <w:t xml:space="preserve">一</w:t>
            </w:r>
            <w:r/>
          </w:p>
        </w:tc>
        <w:tc>
          <w:tcPr>
            <w:tcBorders>
              <w:top w:val="single" w:color="auto" w:sz="4" w:space="0"/>
              <w:left w:val="single" w:color="auto" w:sz="4" w:space="0"/>
              <w:bottom w:val="single" w:color="auto" w:sz="4" w:space="0"/>
              <w:right w:val="single" w:color="auto" w:sz="4" w:space="0"/>
            </w:tcBorders>
            <w:tcW w:w="1385" w:type="pct"/>
            <w:vAlign w:val="center"/>
            <w:textDirection w:val="lrTb"/>
            <w:noWrap w:val="false"/>
          </w:tcPr>
          <w:p>
            <w:pPr>
              <w:jc w:val="center"/>
              <w:rPr>
                <w:rFonts w:eastAsiaTheme="minorEastAsia"/>
              </w:rPr>
            </w:pPr>
            <w:r>
              <w:t xml:space="preserve">可见分光光度计</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Fonts w:eastAsiaTheme="minorEastAsia"/>
              </w:rPr>
            </w:pPr>
            <w:r>
              <w:rPr>
                <w:rFonts w:eastAsiaTheme="minorEastAsia"/>
              </w:rPr>
              <w:t xml:space="preserve">1</w:t>
            </w:r>
            <w:r/>
          </w:p>
        </w:tc>
        <w:tc>
          <w:tcPr>
            <w:tcBorders>
              <w:top w:val="single" w:color="auto" w:sz="4" w:space="0"/>
              <w:left w:val="single" w:color="auto" w:sz="4" w:space="0"/>
              <w:right w:val="single" w:color="auto" w:sz="4" w:space="0"/>
            </w:tcBorders>
            <w:tcW w:w="442" w:type="pct"/>
            <w:vAlign w:val="center"/>
            <w:vMerge w:val="restart"/>
            <w:textDirection w:val="lrTb"/>
            <w:noWrap w:val="false"/>
          </w:tcPr>
          <w:p>
            <w:pPr>
              <w:jc w:val="center"/>
              <w:rPr>
                <w:rFonts w:eastAsiaTheme="minorEastAsia"/>
              </w:rPr>
            </w:pPr>
            <w:r>
              <w:rPr>
                <w:rFonts w:eastAsiaTheme="minorEastAsia"/>
              </w:rPr>
              <w:t xml:space="preserve">详见招标文件第四章招标技术规格及要求</w:t>
            </w:r>
            <w:r/>
          </w:p>
        </w:tc>
        <w:tc>
          <w:tcPr>
            <w:tcBorders>
              <w:top w:val="single" w:color="auto" w:sz="4" w:space="0"/>
              <w:left w:val="single" w:color="auto" w:sz="4" w:space="0"/>
              <w:right w:val="single" w:color="auto" w:sz="4" w:space="0"/>
            </w:tcBorders>
            <w:tcW w:w="222" w:type="pct"/>
            <w:vAlign w:val="center"/>
            <w:vMerge w:val="restart"/>
            <w:textDirection w:val="lrTb"/>
            <w:noWrap w:val="false"/>
          </w:tcPr>
          <w:p>
            <w:pPr>
              <w:jc w:val="center"/>
              <w:spacing w:line="360" w:lineRule="auto"/>
              <w:tabs>
                <w:tab w:val="left" w:pos="4788" w:leader="none"/>
              </w:tabs>
              <w:rPr>
                <w:rFonts w:eastAsiaTheme="minorEastAsia"/>
                <w:bCs/>
                <w:szCs w:val="21"/>
              </w:rPr>
            </w:pPr>
            <w:r>
              <w:rPr>
                <w:rFonts w:eastAsiaTheme="minorEastAsia"/>
                <w:bCs/>
                <w:szCs w:val="21"/>
              </w:rPr>
              <w:t xml:space="preserve">检测</w:t>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rPr>
                <w:rFonts w:eastAsiaTheme="minorEastAsia"/>
                <w:bCs/>
                <w:szCs w:val="21"/>
              </w:rPr>
            </w:pPr>
            <w:r>
              <w:rPr>
                <w:rFonts w:eastAsiaTheme="minorEastAsia"/>
                <w:bCs/>
                <w:szCs w:val="21"/>
              </w:rPr>
              <w:t xml:space="preserve">4.93</w:t>
            </w:r>
            <w:r/>
          </w:p>
        </w:tc>
        <w:tc>
          <w:tcPr>
            <w:tcBorders>
              <w:top w:val="single" w:color="auto" w:sz="4" w:space="0"/>
              <w:left w:val="single" w:color="auto" w:sz="4" w:space="0"/>
              <w:right w:val="single" w:color="auto" w:sz="4" w:space="0"/>
            </w:tcBorders>
            <w:tcW w:w="574" w:type="pct"/>
            <w:vAlign w:val="center"/>
            <w:vMerge w:val="restart"/>
            <w:textDirection w:val="lrTb"/>
            <w:noWrap w:val="false"/>
          </w:tcPr>
          <w:p>
            <w:pPr>
              <w:ind w:right="-107"/>
              <w:jc w:val="center"/>
              <w:tabs>
                <w:tab w:val="left" w:pos="4788" w:leader="none"/>
              </w:tabs>
              <w:rPr>
                <w:rFonts w:eastAsiaTheme="minorEastAsia"/>
                <w:bCs/>
                <w:szCs w:val="21"/>
              </w:rPr>
            </w:pPr>
            <w:r>
              <w:rPr>
                <w:szCs w:val="21"/>
              </w:rPr>
              <w:t xml:space="preserve">合同签订后3个月内货到江苏省特种设备安全监督检验研究院指定地点</w:t>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19"/>
        </w:trPr>
        <w:tc>
          <w:tcPr>
            <w:tcBorders>
              <w:left w:val="single" w:color="auto" w:sz="4" w:space="0"/>
              <w:right w:val="single" w:color="auto" w:sz="4" w:space="0"/>
            </w:tcBorders>
            <w:tcW w:w="23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tcPr>
          <w:p>
            <w:pPr>
              <w:jc w:val="center"/>
              <w:rPr>
                <w:rFonts w:eastAsiaTheme="minorEastAsia"/>
              </w:rPr>
            </w:pPr>
            <w:r>
              <w:rPr>
                <w:rFonts w:eastAsiaTheme="minorEastAsia"/>
              </w:rPr>
              <w:t xml:space="preserve">二</w:t>
            </w:r>
            <w:r/>
          </w:p>
        </w:tc>
        <w:tc>
          <w:tcPr>
            <w:tcBorders>
              <w:top w:val="single" w:color="auto" w:sz="4" w:space="0"/>
              <w:left w:val="single" w:color="auto" w:sz="4" w:space="0"/>
              <w:bottom w:val="single" w:color="auto" w:sz="4" w:space="0"/>
              <w:right w:val="single" w:color="auto" w:sz="4" w:space="0"/>
            </w:tcBorders>
            <w:tcW w:w="1385" w:type="pct"/>
            <w:vAlign w:val="center"/>
            <w:textDirection w:val="lrTb"/>
            <w:noWrap w:val="false"/>
          </w:tcPr>
          <w:p>
            <w:pPr>
              <w:jc w:val="center"/>
              <w:rPr>
                <w:rFonts w:eastAsiaTheme="minorEastAsia"/>
              </w:rPr>
            </w:pPr>
            <w:r>
              <w:t xml:space="preserve">碳硫分析仪</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Fonts w:eastAsiaTheme="minorEastAsia"/>
              </w:rPr>
            </w:pPr>
            <w:r>
              <w:rPr>
                <w:rFonts w:eastAsiaTheme="minorEastAsia"/>
              </w:rPr>
              <w:t xml:space="preserve">1</w:t>
            </w:r>
            <w:r/>
          </w:p>
        </w:tc>
        <w:tc>
          <w:tcPr>
            <w:tcBorders>
              <w:left w:val="single" w:color="auto" w:sz="4" w:space="0"/>
              <w:right w:val="single" w:color="auto" w:sz="4" w:space="0"/>
            </w:tcBorders>
            <w:tcW w:w="442" w:type="pct"/>
            <w:vAlign w:val="center"/>
            <w:vMerge w:val="continue"/>
            <w:textDirection w:val="lrTb"/>
            <w:noWrap w:val="false"/>
          </w:tcPr>
          <w:p>
            <w:pPr>
              <w:jc w:val="center"/>
              <w:rPr>
                <w:rFonts w:eastAsiaTheme="minorEastAsia"/>
              </w:rPr>
            </w:pPr>
            <w:r>
              <w:rPr>
                <w:rFonts w:eastAsiaTheme="minorEastAsia"/>
              </w:rPr>
            </w:r>
            <w:r/>
          </w:p>
        </w:tc>
        <w:tc>
          <w:tcPr>
            <w:tcBorders>
              <w:left w:val="single" w:color="auto" w:sz="4" w:space="0"/>
              <w:right w:val="single" w:color="auto" w:sz="4" w:space="0"/>
            </w:tcBorders>
            <w:tcW w:w="222" w:type="pct"/>
            <w:vAlign w:val="center"/>
            <w:vMerge w:val="continue"/>
            <w:textDirection w:val="lrTb"/>
            <w:noWrap w:val="false"/>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rPr>
                <w:rFonts w:eastAsiaTheme="minorEastAsia"/>
                <w:bCs/>
                <w:szCs w:val="21"/>
              </w:rPr>
            </w:pPr>
            <w:r>
              <w:rPr>
                <w:rFonts w:eastAsiaTheme="minorEastAsia"/>
                <w:bCs/>
                <w:szCs w:val="21"/>
              </w:rPr>
              <w:t xml:space="preserve">19.5</w:t>
            </w:r>
            <w:r/>
          </w:p>
        </w:tc>
        <w:tc>
          <w:tcPr>
            <w:tcBorders>
              <w:left w:val="single" w:color="auto" w:sz="4" w:space="0"/>
              <w:right w:val="single" w:color="auto" w:sz="4" w:space="0"/>
            </w:tcBorders>
            <w:tcW w:w="574"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19"/>
        </w:trPr>
        <w:tc>
          <w:tcPr>
            <w:tcBorders>
              <w:left w:val="single" w:color="auto" w:sz="4" w:space="0"/>
              <w:right w:val="single" w:color="auto" w:sz="4" w:space="0"/>
            </w:tcBorders>
            <w:tcW w:w="23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tcPr>
          <w:p>
            <w:pPr>
              <w:jc w:val="center"/>
              <w:rPr>
                <w:rFonts w:eastAsiaTheme="minorEastAsia"/>
              </w:rPr>
            </w:pPr>
            <w:r>
              <w:rPr>
                <w:rFonts w:eastAsiaTheme="minorEastAsia"/>
              </w:rPr>
              <w:t xml:space="preserve">三</w:t>
            </w:r>
            <w:r/>
          </w:p>
        </w:tc>
        <w:tc>
          <w:tcPr>
            <w:tcBorders>
              <w:top w:val="single" w:color="auto" w:sz="4" w:space="0"/>
              <w:left w:val="single" w:color="auto" w:sz="4" w:space="0"/>
              <w:bottom w:val="single" w:color="auto" w:sz="4" w:space="0"/>
              <w:right w:val="single" w:color="auto" w:sz="4" w:space="0"/>
            </w:tcBorders>
            <w:tcW w:w="1385" w:type="pct"/>
            <w:vAlign w:val="center"/>
            <w:textDirection w:val="lrTb"/>
            <w:noWrap w:val="false"/>
          </w:tcPr>
          <w:p>
            <w:pPr>
              <w:jc w:val="center"/>
              <w:rPr>
                <w:rFonts w:eastAsiaTheme="minorEastAsia"/>
              </w:rPr>
            </w:pPr>
            <w:r>
              <w:t xml:space="preserve">微波消解器</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Fonts w:eastAsiaTheme="minorEastAsia"/>
              </w:rPr>
            </w:pPr>
            <w:r>
              <w:rPr>
                <w:rFonts w:eastAsiaTheme="minorEastAsia"/>
              </w:rPr>
              <w:t xml:space="preserve">1</w:t>
            </w:r>
            <w:r/>
          </w:p>
        </w:tc>
        <w:tc>
          <w:tcPr>
            <w:tcBorders>
              <w:left w:val="single" w:color="auto" w:sz="4" w:space="0"/>
              <w:right w:val="single" w:color="auto" w:sz="4" w:space="0"/>
            </w:tcBorders>
            <w:tcW w:w="442" w:type="pct"/>
            <w:vAlign w:val="center"/>
            <w:vMerge w:val="continue"/>
            <w:textDirection w:val="lrTb"/>
            <w:noWrap w:val="false"/>
          </w:tcPr>
          <w:p>
            <w:pPr>
              <w:jc w:val="center"/>
              <w:rPr>
                <w:rFonts w:eastAsiaTheme="minorEastAsia"/>
              </w:rPr>
            </w:pPr>
            <w:r>
              <w:rPr>
                <w:rFonts w:eastAsiaTheme="minorEastAsia"/>
              </w:rPr>
            </w:r>
            <w:r/>
          </w:p>
        </w:tc>
        <w:tc>
          <w:tcPr>
            <w:tcBorders>
              <w:left w:val="single" w:color="auto" w:sz="4" w:space="0"/>
              <w:right w:val="single" w:color="auto" w:sz="4" w:space="0"/>
            </w:tcBorders>
            <w:tcW w:w="222" w:type="pct"/>
            <w:vAlign w:val="center"/>
            <w:vMerge w:val="continue"/>
            <w:textDirection w:val="lrTb"/>
            <w:noWrap w:val="false"/>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rPr>
                <w:rFonts w:eastAsiaTheme="minorEastAsia"/>
                <w:bCs/>
                <w:szCs w:val="21"/>
              </w:rPr>
            </w:pPr>
            <w:r>
              <w:rPr>
                <w:rFonts w:eastAsiaTheme="minorEastAsia"/>
                <w:bCs/>
                <w:szCs w:val="21"/>
              </w:rPr>
              <w:t xml:space="preserve">28</w:t>
            </w:r>
            <w:r/>
          </w:p>
        </w:tc>
        <w:tc>
          <w:tcPr>
            <w:tcBorders>
              <w:left w:val="single" w:color="auto" w:sz="4" w:space="0"/>
              <w:right w:val="single" w:color="auto" w:sz="4" w:space="0"/>
            </w:tcBorders>
            <w:tcW w:w="574"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19"/>
        </w:trPr>
        <w:tc>
          <w:tcPr>
            <w:tcBorders>
              <w:left w:val="single" w:color="auto" w:sz="4" w:space="0"/>
              <w:right w:val="single" w:color="auto" w:sz="4" w:space="0"/>
            </w:tcBorders>
            <w:tcW w:w="23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tcPr>
          <w:p>
            <w:pPr>
              <w:jc w:val="center"/>
              <w:rPr>
                <w:rFonts w:eastAsiaTheme="minorEastAsia"/>
              </w:rPr>
            </w:pPr>
            <w:r>
              <w:rPr>
                <w:rFonts w:eastAsiaTheme="minorEastAsia"/>
              </w:rPr>
              <w:t xml:space="preserve">四</w:t>
            </w:r>
            <w:r/>
          </w:p>
        </w:tc>
        <w:tc>
          <w:tcPr>
            <w:tcBorders>
              <w:top w:val="single" w:color="auto" w:sz="4" w:space="0"/>
              <w:left w:val="single" w:color="auto" w:sz="4" w:space="0"/>
              <w:bottom w:val="single" w:color="auto" w:sz="4" w:space="0"/>
              <w:right w:val="single" w:color="auto" w:sz="4" w:space="0"/>
            </w:tcBorders>
            <w:tcW w:w="1385" w:type="pct"/>
            <w:vAlign w:val="center"/>
            <w:textDirection w:val="lrTb"/>
            <w:noWrap w:val="false"/>
          </w:tcPr>
          <w:p>
            <w:pPr>
              <w:jc w:val="center"/>
              <w:rPr>
                <w:rFonts w:eastAsiaTheme="minorEastAsia"/>
              </w:rPr>
            </w:pPr>
            <w:r>
              <w:t xml:space="preserve">便携式酸度计</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Fonts w:eastAsiaTheme="minorEastAsia"/>
              </w:rPr>
            </w:pPr>
            <w:r>
              <w:rPr>
                <w:rFonts w:eastAsiaTheme="minorEastAsia"/>
              </w:rPr>
              <w:t xml:space="preserve">3</w:t>
            </w:r>
            <w:r/>
          </w:p>
        </w:tc>
        <w:tc>
          <w:tcPr>
            <w:tcBorders>
              <w:left w:val="single" w:color="auto" w:sz="4" w:space="0"/>
              <w:right w:val="single" w:color="auto" w:sz="4" w:space="0"/>
            </w:tcBorders>
            <w:tcW w:w="442" w:type="pct"/>
            <w:vAlign w:val="center"/>
            <w:vMerge w:val="continue"/>
            <w:textDirection w:val="lrTb"/>
            <w:noWrap w:val="false"/>
          </w:tcPr>
          <w:p>
            <w:pPr>
              <w:jc w:val="center"/>
              <w:rPr>
                <w:rFonts w:eastAsiaTheme="minorEastAsia"/>
              </w:rPr>
            </w:pPr>
            <w:r>
              <w:rPr>
                <w:rFonts w:eastAsiaTheme="minorEastAsia"/>
              </w:rPr>
            </w:r>
            <w:r/>
          </w:p>
        </w:tc>
        <w:tc>
          <w:tcPr>
            <w:tcBorders>
              <w:left w:val="single" w:color="auto" w:sz="4" w:space="0"/>
              <w:right w:val="single" w:color="auto" w:sz="4" w:space="0"/>
            </w:tcBorders>
            <w:tcW w:w="222" w:type="pct"/>
            <w:vAlign w:val="center"/>
            <w:vMerge w:val="continue"/>
            <w:textDirection w:val="lrTb"/>
            <w:noWrap w:val="false"/>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rPr>
                <w:rFonts w:eastAsiaTheme="minorEastAsia"/>
                <w:bCs/>
                <w:szCs w:val="21"/>
              </w:rPr>
            </w:pPr>
            <w:r>
              <w:rPr>
                <w:rFonts w:eastAsiaTheme="minorEastAsia"/>
                <w:bCs/>
                <w:szCs w:val="21"/>
              </w:rPr>
              <w:t xml:space="preserve">1.8</w:t>
            </w:r>
            <w:r/>
          </w:p>
        </w:tc>
        <w:tc>
          <w:tcPr>
            <w:tcBorders>
              <w:left w:val="single" w:color="auto" w:sz="4" w:space="0"/>
              <w:right w:val="single" w:color="auto" w:sz="4" w:space="0"/>
            </w:tcBorders>
            <w:tcW w:w="574"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19"/>
        </w:trPr>
        <w:tc>
          <w:tcPr>
            <w:tcBorders>
              <w:left w:val="single" w:color="auto" w:sz="4" w:space="0"/>
              <w:right w:val="single" w:color="auto" w:sz="4" w:space="0"/>
            </w:tcBorders>
            <w:tcW w:w="23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tcPr>
          <w:p>
            <w:pPr>
              <w:jc w:val="center"/>
              <w:rPr>
                <w:rFonts w:eastAsiaTheme="minorEastAsia"/>
              </w:rPr>
            </w:pPr>
            <w:r>
              <w:rPr>
                <w:rFonts w:eastAsiaTheme="minorEastAsia"/>
              </w:rPr>
              <w:t xml:space="preserve">五</w:t>
            </w:r>
            <w:r/>
          </w:p>
        </w:tc>
        <w:tc>
          <w:tcPr>
            <w:tcBorders>
              <w:top w:val="single" w:color="auto" w:sz="4" w:space="0"/>
              <w:left w:val="single" w:color="auto" w:sz="4" w:space="0"/>
              <w:bottom w:val="single" w:color="auto" w:sz="4" w:space="0"/>
              <w:right w:val="single" w:color="auto" w:sz="4" w:space="0"/>
            </w:tcBorders>
            <w:tcW w:w="1385" w:type="pct"/>
            <w:vAlign w:val="center"/>
            <w:textDirection w:val="lrTb"/>
            <w:noWrap w:val="false"/>
          </w:tcPr>
          <w:p>
            <w:pPr>
              <w:jc w:val="center"/>
              <w:rPr>
                <w:rFonts w:eastAsiaTheme="minorEastAsia"/>
              </w:rPr>
            </w:pPr>
            <w:r>
              <w:t xml:space="preserve">台式酸度计</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Fonts w:eastAsiaTheme="minorEastAsia"/>
              </w:rPr>
            </w:pPr>
            <w:r>
              <w:rPr>
                <w:rFonts w:eastAsiaTheme="minorEastAsia"/>
              </w:rPr>
              <w:t xml:space="preserve">1</w:t>
            </w:r>
            <w:r/>
          </w:p>
        </w:tc>
        <w:tc>
          <w:tcPr>
            <w:tcBorders>
              <w:left w:val="single" w:color="auto" w:sz="4" w:space="0"/>
              <w:right w:val="single" w:color="auto" w:sz="4" w:space="0"/>
            </w:tcBorders>
            <w:tcW w:w="442" w:type="pct"/>
            <w:vAlign w:val="center"/>
            <w:vMerge w:val="continue"/>
            <w:textDirection w:val="lrTb"/>
            <w:noWrap w:val="false"/>
          </w:tcPr>
          <w:p>
            <w:pPr>
              <w:jc w:val="center"/>
              <w:rPr>
                <w:rFonts w:eastAsiaTheme="minorEastAsia"/>
              </w:rPr>
            </w:pPr>
            <w:r>
              <w:rPr>
                <w:rFonts w:eastAsiaTheme="minorEastAsia"/>
              </w:rPr>
            </w:r>
            <w:r/>
          </w:p>
        </w:tc>
        <w:tc>
          <w:tcPr>
            <w:tcBorders>
              <w:left w:val="single" w:color="auto" w:sz="4" w:space="0"/>
              <w:right w:val="single" w:color="auto" w:sz="4" w:space="0"/>
            </w:tcBorders>
            <w:tcW w:w="222" w:type="pct"/>
            <w:vAlign w:val="center"/>
            <w:vMerge w:val="continue"/>
            <w:textDirection w:val="lrTb"/>
            <w:noWrap w:val="false"/>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rPr>
                <w:rFonts w:eastAsiaTheme="minorEastAsia"/>
                <w:bCs/>
                <w:szCs w:val="21"/>
              </w:rPr>
            </w:pPr>
            <w:r>
              <w:rPr>
                <w:rFonts w:eastAsiaTheme="minorEastAsia"/>
                <w:bCs/>
                <w:szCs w:val="21"/>
              </w:rPr>
              <w:t xml:space="preserve">0.6</w:t>
            </w:r>
            <w:r/>
          </w:p>
        </w:tc>
        <w:tc>
          <w:tcPr>
            <w:tcBorders>
              <w:left w:val="single" w:color="auto" w:sz="4" w:space="0"/>
              <w:right w:val="single" w:color="auto" w:sz="4" w:space="0"/>
            </w:tcBorders>
            <w:tcW w:w="574"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19"/>
        </w:trPr>
        <w:tc>
          <w:tcPr>
            <w:tcBorders>
              <w:left w:val="single" w:color="auto" w:sz="4" w:space="0"/>
              <w:right w:val="single" w:color="auto" w:sz="4" w:space="0"/>
            </w:tcBorders>
            <w:tcW w:w="23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tcPr>
          <w:p>
            <w:pPr>
              <w:jc w:val="center"/>
              <w:rPr>
                <w:rFonts w:eastAsiaTheme="minorEastAsia"/>
              </w:rPr>
            </w:pPr>
            <w:r>
              <w:rPr>
                <w:rFonts w:eastAsiaTheme="minorEastAsia"/>
              </w:rPr>
              <w:t xml:space="preserve">六</w:t>
            </w:r>
            <w:r/>
          </w:p>
        </w:tc>
        <w:tc>
          <w:tcPr>
            <w:tcBorders>
              <w:top w:val="single" w:color="auto" w:sz="4" w:space="0"/>
              <w:left w:val="single" w:color="auto" w:sz="4" w:space="0"/>
              <w:bottom w:val="single" w:color="auto" w:sz="4" w:space="0"/>
              <w:right w:val="single" w:color="auto" w:sz="4" w:space="0"/>
            </w:tcBorders>
            <w:tcW w:w="1385" w:type="pct"/>
            <w:vAlign w:val="center"/>
            <w:textDirection w:val="lrTb"/>
            <w:noWrap w:val="false"/>
          </w:tcPr>
          <w:p>
            <w:pPr>
              <w:jc w:val="center"/>
              <w:rPr>
                <w:rFonts w:eastAsiaTheme="minorEastAsia"/>
              </w:rPr>
            </w:pPr>
            <w:r>
              <w:t xml:space="preserve">蒸馏水器</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Fonts w:eastAsiaTheme="minorEastAsia"/>
              </w:rPr>
            </w:pPr>
            <w:r>
              <w:rPr>
                <w:rFonts w:eastAsiaTheme="minorEastAsia"/>
              </w:rPr>
              <w:t xml:space="preserve">1</w:t>
            </w:r>
            <w:r/>
          </w:p>
        </w:tc>
        <w:tc>
          <w:tcPr>
            <w:tcBorders>
              <w:left w:val="single" w:color="auto" w:sz="4" w:space="0"/>
              <w:right w:val="single" w:color="auto" w:sz="4" w:space="0"/>
            </w:tcBorders>
            <w:tcW w:w="442" w:type="pct"/>
            <w:vAlign w:val="center"/>
            <w:vMerge w:val="continue"/>
            <w:textDirection w:val="lrTb"/>
            <w:noWrap w:val="false"/>
          </w:tcPr>
          <w:p>
            <w:pPr>
              <w:jc w:val="center"/>
              <w:rPr>
                <w:rFonts w:eastAsiaTheme="minorEastAsia"/>
              </w:rPr>
            </w:pPr>
            <w:r>
              <w:rPr>
                <w:rFonts w:eastAsiaTheme="minorEastAsia"/>
              </w:rPr>
            </w:r>
            <w:r/>
          </w:p>
        </w:tc>
        <w:tc>
          <w:tcPr>
            <w:tcBorders>
              <w:left w:val="single" w:color="auto" w:sz="4" w:space="0"/>
              <w:right w:val="single" w:color="auto" w:sz="4" w:space="0"/>
            </w:tcBorders>
            <w:tcW w:w="222" w:type="pct"/>
            <w:vAlign w:val="center"/>
            <w:vMerge w:val="continue"/>
            <w:textDirection w:val="lrTb"/>
            <w:noWrap w:val="false"/>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rPr>
                <w:rFonts w:eastAsiaTheme="minorEastAsia"/>
                <w:bCs/>
                <w:szCs w:val="21"/>
              </w:rPr>
            </w:pPr>
            <w:r>
              <w:rPr>
                <w:rFonts w:eastAsiaTheme="minorEastAsia"/>
                <w:bCs/>
                <w:szCs w:val="21"/>
              </w:rPr>
              <w:t xml:space="preserve">0.4</w:t>
            </w:r>
            <w:r/>
          </w:p>
        </w:tc>
        <w:tc>
          <w:tcPr>
            <w:tcBorders>
              <w:left w:val="single" w:color="auto" w:sz="4" w:space="0"/>
              <w:right w:val="single" w:color="auto" w:sz="4" w:space="0"/>
            </w:tcBorders>
            <w:tcW w:w="574"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19"/>
        </w:trPr>
        <w:tc>
          <w:tcPr>
            <w:tcBorders>
              <w:left w:val="single" w:color="auto" w:sz="4" w:space="0"/>
              <w:right w:val="single" w:color="auto" w:sz="4" w:space="0"/>
            </w:tcBorders>
            <w:tcW w:w="23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tcPr>
          <w:p>
            <w:pPr>
              <w:jc w:val="center"/>
              <w:rPr>
                <w:rFonts w:eastAsiaTheme="minorEastAsia"/>
              </w:rPr>
            </w:pPr>
            <w:r>
              <w:rPr>
                <w:rFonts w:eastAsiaTheme="minorEastAsia"/>
              </w:rPr>
              <w:t xml:space="preserve">七</w:t>
            </w:r>
            <w:r/>
          </w:p>
        </w:tc>
        <w:tc>
          <w:tcPr>
            <w:tcBorders>
              <w:top w:val="single" w:color="auto" w:sz="4" w:space="0"/>
              <w:left w:val="single" w:color="auto" w:sz="4" w:space="0"/>
              <w:bottom w:val="single" w:color="auto" w:sz="4" w:space="0"/>
              <w:right w:val="single" w:color="auto" w:sz="4" w:space="0"/>
            </w:tcBorders>
            <w:tcW w:w="1385" w:type="pct"/>
            <w:vAlign w:val="center"/>
            <w:textDirection w:val="lrTb"/>
            <w:noWrap w:val="false"/>
          </w:tcPr>
          <w:p>
            <w:pPr>
              <w:jc w:val="center"/>
              <w:rPr>
                <w:rFonts w:eastAsiaTheme="minorEastAsia"/>
              </w:rPr>
            </w:pPr>
            <w:r>
              <w:t xml:space="preserve">便携式电导率仪A</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Fonts w:eastAsiaTheme="minorEastAsia"/>
              </w:rPr>
            </w:pPr>
            <w:r>
              <w:rPr>
                <w:rFonts w:eastAsiaTheme="minorEastAsia"/>
              </w:rPr>
              <w:t xml:space="preserve">2</w:t>
            </w:r>
            <w:r/>
          </w:p>
        </w:tc>
        <w:tc>
          <w:tcPr>
            <w:tcBorders>
              <w:left w:val="single" w:color="auto" w:sz="4" w:space="0"/>
              <w:right w:val="single" w:color="auto" w:sz="4" w:space="0"/>
            </w:tcBorders>
            <w:tcW w:w="442" w:type="pct"/>
            <w:vAlign w:val="center"/>
            <w:vMerge w:val="continue"/>
            <w:textDirection w:val="lrTb"/>
            <w:noWrap w:val="false"/>
          </w:tcPr>
          <w:p>
            <w:pPr>
              <w:jc w:val="center"/>
              <w:rPr>
                <w:rFonts w:eastAsiaTheme="minorEastAsia"/>
              </w:rPr>
            </w:pPr>
            <w:r>
              <w:rPr>
                <w:rFonts w:eastAsiaTheme="minorEastAsia"/>
              </w:rPr>
            </w:r>
            <w:r/>
          </w:p>
        </w:tc>
        <w:tc>
          <w:tcPr>
            <w:tcBorders>
              <w:left w:val="single" w:color="auto" w:sz="4" w:space="0"/>
              <w:right w:val="single" w:color="auto" w:sz="4" w:space="0"/>
            </w:tcBorders>
            <w:tcW w:w="222" w:type="pct"/>
            <w:vAlign w:val="center"/>
            <w:vMerge w:val="continue"/>
            <w:textDirection w:val="lrTb"/>
            <w:noWrap w:val="false"/>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rPr>
                <w:rFonts w:eastAsiaTheme="minorEastAsia"/>
                <w:bCs/>
                <w:szCs w:val="21"/>
              </w:rPr>
            </w:pPr>
            <w:r>
              <w:rPr>
                <w:rFonts w:eastAsiaTheme="minorEastAsia"/>
                <w:bCs/>
                <w:szCs w:val="21"/>
              </w:rPr>
              <w:t xml:space="preserve">1.4</w:t>
            </w:r>
            <w:r/>
          </w:p>
        </w:tc>
        <w:tc>
          <w:tcPr>
            <w:tcBorders>
              <w:left w:val="single" w:color="auto" w:sz="4" w:space="0"/>
              <w:right w:val="single" w:color="auto" w:sz="4" w:space="0"/>
            </w:tcBorders>
            <w:tcW w:w="574"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19"/>
        </w:trPr>
        <w:tc>
          <w:tcPr>
            <w:tcBorders>
              <w:left w:val="single" w:color="auto" w:sz="4" w:space="0"/>
              <w:right w:val="single" w:color="auto" w:sz="4" w:space="0"/>
            </w:tcBorders>
            <w:tcW w:w="23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tcPr>
          <w:p>
            <w:pPr>
              <w:jc w:val="center"/>
              <w:rPr>
                <w:rFonts w:eastAsiaTheme="minorEastAsia"/>
              </w:rPr>
            </w:pPr>
            <w:r>
              <w:rPr>
                <w:rFonts w:eastAsiaTheme="minorEastAsia"/>
              </w:rPr>
              <w:t xml:space="preserve">八</w:t>
            </w:r>
            <w:r/>
          </w:p>
        </w:tc>
        <w:tc>
          <w:tcPr>
            <w:tcBorders>
              <w:top w:val="single" w:color="auto" w:sz="4" w:space="0"/>
              <w:left w:val="single" w:color="auto" w:sz="4" w:space="0"/>
              <w:bottom w:val="single" w:color="auto" w:sz="4" w:space="0"/>
              <w:right w:val="single" w:color="auto" w:sz="4" w:space="0"/>
            </w:tcBorders>
            <w:tcW w:w="1385" w:type="pct"/>
            <w:vAlign w:val="center"/>
            <w:textDirection w:val="lrTb"/>
            <w:noWrap w:val="false"/>
          </w:tcPr>
          <w:p>
            <w:pPr>
              <w:jc w:val="center"/>
              <w:rPr>
                <w:rFonts w:eastAsiaTheme="minorEastAsia"/>
              </w:rPr>
            </w:pPr>
            <w:r>
              <w:t xml:space="preserve">便携式电导率仪B</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Fonts w:eastAsiaTheme="minorEastAsia"/>
              </w:rPr>
            </w:pPr>
            <w:r>
              <w:rPr>
                <w:rFonts w:eastAsiaTheme="minorEastAsia"/>
              </w:rPr>
              <w:t xml:space="preserve">1</w:t>
            </w:r>
            <w:r/>
          </w:p>
        </w:tc>
        <w:tc>
          <w:tcPr>
            <w:tcBorders>
              <w:left w:val="single" w:color="auto" w:sz="4" w:space="0"/>
              <w:right w:val="single" w:color="auto" w:sz="4" w:space="0"/>
            </w:tcBorders>
            <w:tcW w:w="442" w:type="pct"/>
            <w:vAlign w:val="center"/>
            <w:vMerge w:val="continue"/>
            <w:textDirection w:val="lrTb"/>
            <w:noWrap w:val="false"/>
          </w:tcPr>
          <w:p>
            <w:pPr>
              <w:jc w:val="center"/>
              <w:rPr>
                <w:rFonts w:eastAsiaTheme="minorEastAsia"/>
              </w:rPr>
            </w:pPr>
            <w:r>
              <w:rPr>
                <w:rFonts w:eastAsiaTheme="minorEastAsia"/>
              </w:rPr>
            </w:r>
            <w:r/>
          </w:p>
        </w:tc>
        <w:tc>
          <w:tcPr>
            <w:tcBorders>
              <w:left w:val="single" w:color="auto" w:sz="4" w:space="0"/>
              <w:right w:val="single" w:color="auto" w:sz="4" w:space="0"/>
            </w:tcBorders>
            <w:tcW w:w="222" w:type="pct"/>
            <w:vAlign w:val="center"/>
            <w:vMerge w:val="continue"/>
            <w:textDirection w:val="lrTb"/>
            <w:noWrap w:val="false"/>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rPr>
                <w:rFonts w:eastAsiaTheme="minorEastAsia"/>
                <w:bCs/>
                <w:szCs w:val="21"/>
              </w:rPr>
            </w:pPr>
            <w:r>
              <w:rPr>
                <w:rFonts w:eastAsiaTheme="minorEastAsia"/>
                <w:bCs/>
                <w:szCs w:val="21"/>
              </w:rPr>
              <w:t xml:space="preserve">0.25</w:t>
            </w:r>
            <w:r/>
          </w:p>
        </w:tc>
        <w:tc>
          <w:tcPr>
            <w:tcBorders>
              <w:left w:val="single" w:color="auto" w:sz="4" w:space="0"/>
              <w:right w:val="single" w:color="auto" w:sz="4" w:space="0"/>
            </w:tcBorders>
            <w:tcW w:w="574"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19"/>
        </w:trPr>
        <w:tc>
          <w:tcPr>
            <w:tcBorders>
              <w:left w:val="single" w:color="auto" w:sz="4" w:space="0"/>
              <w:right w:val="single" w:color="auto" w:sz="4" w:space="0"/>
            </w:tcBorders>
            <w:tcW w:w="23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tcPr>
          <w:p>
            <w:pPr>
              <w:jc w:val="center"/>
              <w:rPr>
                <w:rFonts w:eastAsiaTheme="minorEastAsia"/>
              </w:rPr>
            </w:pPr>
            <w:r>
              <w:rPr>
                <w:rFonts w:eastAsiaTheme="minorEastAsia"/>
              </w:rPr>
              <w:t xml:space="preserve">九</w:t>
            </w:r>
            <w:r/>
          </w:p>
        </w:tc>
        <w:tc>
          <w:tcPr>
            <w:tcBorders>
              <w:top w:val="single" w:color="auto" w:sz="4" w:space="0"/>
              <w:left w:val="single" w:color="auto" w:sz="4" w:space="0"/>
              <w:bottom w:val="single" w:color="auto" w:sz="4" w:space="0"/>
              <w:right w:val="single" w:color="auto" w:sz="4" w:space="0"/>
            </w:tcBorders>
            <w:tcW w:w="1385" w:type="pct"/>
            <w:vAlign w:val="center"/>
            <w:textDirection w:val="lrTb"/>
            <w:noWrap w:val="false"/>
          </w:tcPr>
          <w:p>
            <w:pPr>
              <w:jc w:val="center"/>
              <w:rPr>
                <w:rFonts w:eastAsiaTheme="minorEastAsia"/>
              </w:rPr>
            </w:pPr>
            <w:r>
              <w:t xml:space="preserve">便携式溶解氧测定仪</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Fonts w:eastAsiaTheme="minorEastAsia"/>
              </w:rPr>
            </w:pPr>
            <w:r>
              <w:rPr>
                <w:rFonts w:eastAsiaTheme="minorEastAsia"/>
              </w:rPr>
              <w:t xml:space="preserve">4</w:t>
            </w:r>
            <w:r/>
          </w:p>
        </w:tc>
        <w:tc>
          <w:tcPr>
            <w:tcBorders>
              <w:left w:val="single" w:color="auto" w:sz="4" w:space="0"/>
              <w:right w:val="single" w:color="auto" w:sz="4" w:space="0"/>
            </w:tcBorders>
            <w:tcW w:w="442" w:type="pct"/>
            <w:vAlign w:val="center"/>
            <w:vMerge w:val="continue"/>
            <w:textDirection w:val="lrTb"/>
            <w:noWrap w:val="false"/>
          </w:tcPr>
          <w:p>
            <w:pPr>
              <w:jc w:val="center"/>
              <w:rPr>
                <w:rFonts w:eastAsiaTheme="minorEastAsia"/>
              </w:rPr>
            </w:pPr>
            <w:r>
              <w:rPr>
                <w:rFonts w:eastAsiaTheme="minorEastAsia"/>
              </w:rPr>
            </w:r>
            <w:r/>
          </w:p>
        </w:tc>
        <w:tc>
          <w:tcPr>
            <w:tcBorders>
              <w:left w:val="single" w:color="auto" w:sz="4" w:space="0"/>
              <w:right w:val="single" w:color="auto" w:sz="4" w:space="0"/>
            </w:tcBorders>
            <w:tcW w:w="222" w:type="pct"/>
            <w:vAlign w:val="center"/>
            <w:vMerge w:val="continue"/>
            <w:textDirection w:val="lrTb"/>
            <w:noWrap w:val="false"/>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rPr>
                <w:rFonts w:eastAsiaTheme="minorEastAsia"/>
                <w:bCs/>
                <w:szCs w:val="21"/>
              </w:rPr>
            </w:pPr>
            <w:r>
              <w:rPr>
                <w:rFonts w:eastAsiaTheme="minorEastAsia"/>
                <w:bCs/>
                <w:szCs w:val="21"/>
              </w:rPr>
              <w:t xml:space="preserve">14.4</w:t>
            </w:r>
            <w:r/>
          </w:p>
        </w:tc>
        <w:tc>
          <w:tcPr>
            <w:tcBorders>
              <w:left w:val="single" w:color="auto" w:sz="4" w:space="0"/>
              <w:right w:val="single" w:color="auto" w:sz="4" w:space="0"/>
            </w:tcBorders>
            <w:tcW w:w="574"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19"/>
        </w:trPr>
        <w:tc>
          <w:tcPr>
            <w:tcBorders>
              <w:left w:val="single" w:color="auto" w:sz="4" w:space="0"/>
              <w:right w:val="single" w:color="auto" w:sz="4" w:space="0"/>
            </w:tcBorders>
            <w:tcW w:w="23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tcPr>
          <w:p>
            <w:pPr>
              <w:jc w:val="center"/>
              <w:rPr>
                <w:rFonts w:eastAsiaTheme="minorEastAsia"/>
              </w:rPr>
            </w:pPr>
            <w:r>
              <w:rPr>
                <w:rFonts w:eastAsiaTheme="minorEastAsia"/>
              </w:rPr>
              <w:t xml:space="preserve">十</w:t>
            </w:r>
            <w:r/>
          </w:p>
        </w:tc>
        <w:tc>
          <w:tcPr>
            <w:tcBorders>
              <w:top w:val="single" w:color="auto" w:sz="4" w:space="0"/>
              <w:left w:val="single" w:color="auto" w:sz="4" w:space="0"/>
              <w:bottom w:val="single" w:color="auto" w:sz="4" w:space="0"/>
              <w:right w:val="single" w:color="auto" w:sz="4" w:space="0"/>
            </w:tcBorders>
            <w:tcW w:w="1385" w:type="pct"/>
            <w:vAlign w:val="center"/>
            <w:textDirection w:val="lrTb"/>
            <w:noWrap w:val="false"/>
          </w:tcPr>
          <w:p>
            <w:pPr>
              <w:jc w:val="center"/>
              <w:rPr>
                <w:rFonts w:eastAsiaTheme="minorEastAsia"/>
              </w:rPr>
            </w:pPr>
            <w:r>
              <w:t xml:space="preserve">原子吸收光谱仪</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Fonts w:eastAsiaTheme="minorEastAsia"/>
              </w:rPr>
            </w:pPr>
            <w:r>
              <w:rPr>
                <w:rFonts w:eastAsiaTheme="minorEastAsia"/>
              </w:rPr>
              <w:t xml:space="preserve">1</w:t>
            </w:r>
            <w:r/>
          </w:p>
        </w:tc>
        <w:tc>
          <w:tcPr>
            <w:tcBorders>
              <w:left w:val="single" w:color="auto" w:sz="4" w:space="0"/>
              <w:right w:val="single" w:color="auto" w:sz="4" w:space="0"/>
            </w:tcBorders>
            <w:tcW w:w="442" w:type="pct"/>
            <w:vAlign w:val="center"/>
            <w:vMerge w:val="continue"/>
            <w:textDirection w:val="lrTb"/>
            <w:noWrap w:val="false"/>
          </w:tcPr>
          <w:p>
            <w:pPr>
              <w:jc w:val="center"/>
              <w:rPr>
                <w:rFonts w:eastAsiaTheme="minorEastAsia"/>
              </w:rPr>
            </w:pPr>
            <w:r>
              <w:rPr>
                <w:rFonts w:eastAsiaTheme="minorEastAsia"/>
              </w:rPr>
            </w:r>
            <w:r/>
          </w:p>
        </w:tc>
        <w:tc>
          <w:tcPr>
            <w:tcBorders>
              <w:left w:val="single" w:color="auto" w:sz="4" w:space="0"/>
              <w:right w:val="single" w:color="auto" w:sz="4" w:space="0"/>
            </w:tcBorders>
            <w:tcW w:w="222" w:type="pct"/>
            <w:vAlign w:val="center"/>
            <w:vMerge w:val="continue"/>
            <w:textDirection w:val="lrTb"/>
            <w:noWrap w:val="false"/>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rPr>
                <w:rFonts w:eastAsiaTheme="minorEastAsia"/>
                <w:bCs/>
                <w:szCs w:val="21"/>
              </w:rPr>
            </w:pPr>
            <w:r>
              <w:rPr>
                <w:rFonts w:eastAsiaTheme="minorEastAsia"/>
                <w:bCs/>
                <w:szCs w:val="21"/>
              </w:rPr>
              <w:t xml:space="preserve">29.8</w:t>
            </w:r>
            <w:r/>
          </w:p>
        </w:tc>
        <w:tc>
          <w:tcPr>
            <w:tcBorders>
              <w:left w:val="single" w:color="auto" w:sz="4" w:space="0"/>
              <w:right w:val="single" w:color="auto" w:sz="4" w:space="0"/>
            </w:tcBorders>
            <w:tcW w:w="574"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ind w:right="-107"/>
              <w:jc w:val="center"/>
              <w:tabs>
                <w:tab w:val="left" w:pos="4788" w:leader="none"/>
              </w:tabs>
              <w:rPr>
                <w:rFonts w:eastAsiaTheme="minorEastAsia"/>
                <w:bCs/>
                <w:szCs w:val="21"/>
              </w:rPr>
            </w:pPr>
            <w:r>
              <w:t xml:space="preserve">核心产品</w:t>
            </w:r>
            <w:r/>
          </w:p>
        </w:tc>
      </w:tr>
      <w:tr>
        <w:trPr>
          <w:trHeight w:val="219"/>
        </w:trPr>
        <w:tc>
          <w:tcPr>
            <w:tcBorders>
              <w:left w:val="single" w:color="auto" w:sz="4" w:space="0"/>
              <w:right w:val="single" w:color="auto" w:sz="4" w:space="0"/>
            </w:tcBorders>
            <w:tcW w:w="23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tcPr>
          <w:p>
            <w:pPr>
              <w:jc w:val="center"/>
              <w:rPr>
                <w:rFonts w:eastAsiaTheme="minorEastAsia"/>
              </w:rPr>
            </w:pPr>
            <w:r>
              <w:rPr>
                <w:rFonts w:eastAsiaTheme="minorEastAsia"/>
              </w:rPr>
              <w:t xml:space="preserve">十一</w:t>
            </w:r>
            <w:r/>
          </w:p>
        </w:tc>
        <w:tc>
          <w:tcPr>
            <w:tcBorders>
              <w:top w:val="single" w:color="auto" w:sz="4" w:space="0"/>
              <w:left w:val="single" w:color="auto" w:sz="4" w:space="0"/>
              <w:bottom w:val="single" w:color="auto" w:sz="4" w:space="0"/>
              <w:right w:val="single" w:color="auto" w:sz="4" w:space="0"/>
            </w:tcBorders>
            <w:tcW w:w="1385" w:type="pct"/>
            <w:vAlign w:val="center"/>
            <w:textDirection w:val="lrTb"/>
            <w:noWrap w:val="false"/>
          </w:tcPr>
          <w:p>
            <w:pPr>
              <w:jc w:val="center"/>
              <w:rPr>
                <w:rFonts w:eastAsiaTheme="minorEastAsia"/>
              </w:rPr>
            </w:pPr>
            <w:r>
              <w:t xml:space="preserve">铁含量分析仪</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Fonts w:eastAsiaTheme="minorEastAsia"/>
              </w:rPr>
            </w:pPr>
            <w:r>
              <w:rPr>
                <w:rFonts w:eastAsiaTheme="minorEastAsia"/>
              </w:rPr>
              <w:t xml:space="preserve">1</w:t>
            </w:r>
            <w:r/>
          </w:p>
        </w:tc>
        <w:tc>
          <w:tcPr>
            <w:tcBorders>
              <w:left w:val="single" w:color="auto" w:sz="4" w:space="0"/>
              <w:right w:val="single" w:color="auto" w:sz="4" w:space="0"/>
            </w:tcBorders>
            <w:tcW w:w="442" w:type="pct"/>
            <w:vAlign w:val="center"/>
            <w:vMerge w:val="continue"/>
            <w:textDirection w:val="lrTb"/>
            <w:noWrap w:val="false"/>
          </w:tcPr>
          <w:p>
            <w:pPr>
              <w:jc w:val="center"/>
              <w:rPr>
                <w:rFonts w:eastAsiaTheme="minorEastAsia"/>
              </w:rPr>
            </w:pPr>
            <w:r>
              <w:rPr>
                <w:rFonts w:eastAsiaTheme="minorEastAsia"/>
              </w:rPr>
            </w:r>
            <w:r/>
          </w:p>
        </w:tc>
        <w:tc>
          <w:tcPr>
            <w:tcBorders>
              <w:left w:val="single" w:color="auto" w:sz="4" w:space="0"/>
              <w:right w:val="single" w:color="auto" w:sz="4" w:space="0"/>
            </w:tcBorders>
            <w:tcW w:w="222" w:type="pct"/>
            <w:vAlign w:val="center"/>
            <w:vMerge w:val="continue"/>
            <w:textDirection w:val="lrTb"/>
            <w:noWrap w:val="false"/>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rPr>
                <w:rFonts w:eastAsiaTheme="minorEastAsia"/>
                <w:bCs/>
                <w:szCs w:val="21"/>
              </w:rPr>
            </w:pPr>
            <w:r>
              <w:rPr>
                <w:rFonts w:eastAsiaTheme="minorEastAsia"/>
                <w:bCs/>
                <w:szCs w:val="21"/>
              </w:rPr>
              <w:t xml:space="preserve">1.26</w:t>
            </w:r>
            <w:r/>
          </w:p>
        </w:tc>
        <w:tc>
          <w:tcPr>
            <w:tcBorders>
              <w:left w:val="single" w:color="auto" w:sz="4" w:space="0"/>
              <w:right w:val="single" w:color="auto" w:sz="4" w:space="0"/>
            </w:tcBorders>
            <w:tcW w:w="574"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19"/>
        </w:trPr>
        <w:tc>
          <w:tcPr>
            <w:tcBorders>
              <w:left w:val="single" w:color="auto" w:sz="4" w:space="0"/>
              <w:right w:val="single" w:color="auto" w:sz="4" w:space="0"/>
            </w:tcBorders>
            <w:tcW w:w="23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tcPr>
          <w:p>
            <w:pPr>
              <w:jc w:val="center"/>
              <w:rPr>
                <w:rFonts w:eastAsiaTheme="minorEastAsia"/>
              </w:rPr>
            </w:pPr>
            <w:r>
              <w:rPr>
                <w:rFonts w:eastAsiaTheme="minorEastAsia"/>
              </w:rPr>
              <w:t xml:space="preserve">十二</w:t>
            </w:r>
            <w:r/>
          </w:p>
        </w:tc>
        <w:tc>
          <w:tcPr>
            <w:tcBorders>
              <w:top w:val="single" w:color="auto" w:sz="4" w:space="0"/>
              <w:left w:val="single" w:color="auto" w:sz="4" w:space="0"/>
              <w:bottom w:val="single" w:color="auto" w:sz="4" w:space="0"/>
              <w:right w:val="single" w:color="auto" w:sz="4" w:space="0"/>
            </w:tcBorders>
            <w:tcW w:w="1385" w:type="pct"/>
            <w:vAlign w:val="center"/>
            <w:textDirection w:val="lrTb"/>
            <w:noWrap w:val="false"/>
          </w:tcPr>
          <w:p>
            <w:pPr>
              <w:jc w:val="center"/>
              <w:rPr>
                <w:rFonts w:eastAsiaTheme="minorEastAsia"/>
              </w:rPr>
            </w:pPr>
            <w:r>
              <w:t xml:space="preserve">磷酸根分析仪</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Fonts w:eastAsiaTheme="minorEastAsia"/>
              </w:rPr>
            </w:pPr>
            <w:r>
              <w:rPr>
                <w:rFonts w:eastAsiaTheme="minorEastAsia"/>
              </w:rPr>
              <w:t xml:space="preserve">1</w:t>
            </w:r>
            <w:r/>
          </w:p>
        </w:tc>
        <w:tc>
          <w:tcPr>
            <w:tcBorders>
              <w:left w:val="single" w:color="auto" w:sz="4" w:space="0"/>
              <w:right w:val="single" w:color="auto" w:sz="4" w:space="0"/>
            </w:tcBorders>
            <w:tcW w:w="442" w:type="pct"/>
            <w:vAlign w:val="center"/>
            <w:vMerge w:val="continue"/>
            <w:textDirection w:val="lrTb"/>
            <w:noWrap w:val="false"/>
          </w:tcPr>
          <w:p>
            <w:pPr>
              <w:jc w:val="center"/>
              <w:rPr>
                <w:rFonts w:eastAsiaTheme="minorEastAsia"/>
              </w:rPr>
            </w:pPr>
            <w:r>
              <w:rPr>
                <w:rFonts w:eastAsiaTheme="minorEastAsia"/>
              </w:rPr>
            </w:r>
            <w:r/>
          </w:p>
        </w:tc>
        <w:tc>
          <w:tcPr>
            <w:tcBorders>
              <w:left w:val="single" w:color="auto" w:sz="4" w:space="0"/>
              <w:right w:val="single" w:color="auto" w:sz="4" w:space="0"/>
            </w:tcBorders>
            <w:tcW w:w="222" w:type="pct"/>
            <w:vAlign w:val="center"/>
            <w:vMerge w:val="continue"/>
            <w:textDirection w:val="lrTb"/>
            <w:noWrap w:val="false"/>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rPr>
                <w:rFonts w:eastAsiaTheme="minorEastAsia"/>
                <w:bCs/>
                <w:szCs w:val="21"/>
              </w:rPr>
            </w:pPr>
            <w:r>
              <w:rPr>
                <w:rFonts w:eastAsiaTheme="minorEastAsia"/>
                <w:bCs/>
                <w:szCs w:val="21"/>
              </w:rPr>
              <w:t xml:space="preserve">1.26</w:t>
            </w:r>
            <w:r/>
          </w:p>
        </w:tc>
        <w:tc>
          <w:tcPr>
            <w:tcBorders>
              <w:left w:val="single" w:color="auto" w:sz="4" w:space="0"/>
              <w:right w:val="single" w:color="auto" w:sz="4" w:space="0"/>
            </w:tcBorders>
            <w:tcW w:w="574"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19"/>
        </w:trPr>
        <w:tc>
          <w:tcPr>
            <w:tcBorders>
              <w:left w:val="single" w:color="auto" w:sz="4" w:space="0"/>
              <w:right w:val="single" w:color="auto" w:sz="4" w:space="0"/>
            </w:tcBorders>
            <w:tcW w:w="23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tcPr>
          <w:p>
            <w:pPr>
              <w:jc w:val="center"/>
              <w:rPr>
                <w:rFonts w:eastAsiaTheme="minorEastAsia"/>
              </w:rPr>
            </w:pPr>
            <w:r>
              <w:rPr>
                <w:rFonts w:eastAsiaTheme="minorEastAsia"/>
              </w:rPr>
              <w:t xml:space="preserve">十三</w:t>
            </w:r>
            <w:r/>
          </w:p>
        </w:tc>
        <w:tc>
          <w:tcPr>
            <w:tcBorders>
              <w:top w:val="single" w:color="auto" w:sz="4" w:space="0"/>
              <w:left w:val="single" w:color="auto" w:sz="4" w:space="0"/>
              <w:bottom w:val="single" w:color="auto" w:sz="4" w:space="0"/>
              <w:right w:val="single" w:color="auto" w:sz="4" w:space="0"/>
            </w:tcBorders>
            <w:tcW w:w="1385" w:type="pct"/>
            <w:vAlign w:val="center"/>
            <w:textDirection w:val="lrTb"/>
            <w:noWrap w:val="false"/>
          </w:tcPr>
          <w:p>
            <w:pPr>
              <w:jc w:val="center"/>
              <w:rPr>
                <w:rFonts w:eastAsiaTheme="minorEastAsia"/>
              </w:rPr>
            </w:pPr>
            <w:r>
              <w:t xml:space="preserve">硅酸根分析仪</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Fonts w:eastAsiaTheme="minorEastAsia"/>
              </w:rPr>
            </w:pPr>
            <w:r>
              <w:rPr>
                <w:rFonts w:eastAsiaTheme="minorEastAsia"/>
              </w:rPr>
              <w:t xml:space="preserve">1</w:t>
            </w:r>
            <w:r/>
          </w:p>
        </w:tc>
        <w:tc>
          <w:tcPr>
            <w:tcBorders>
              <w:left w:val="single" w:color="auto" w:sz="4" w:space="0"/>
              <w:right w:val="single" w:color="auto" w:sz="4" w:space="0"/>
            </w:tcBorders>
            <w:tcW w:w="442" w:type="pct"/>
            <w:vAlign w:val="center"/>
            <w:vMerge w:val="continue"/>
            <w:textDirection w:val="lrTb"/>
            <w:noWrap w:val="false"/>
          </w:tcPr>
          <w:p>
            <w:pPr>
              <w:jc w:val="center"/>
              <w:rPr>
                <w:rFonts w:eastAsiaTheme="minorEastAsia"/>
              </w:rPr>
            </w:pPr>
            <w:r>
              <w:rPr>
                <w:rFonts w:eastAsiaTheme="minorEastAsia"/>
              </w:rPr>
            </w:r>
            <w:r/>
          </w:p>
        </w:tc>
        <w:tc>
          <w:tcPr>
            <w:tcBorders>
              <w:left w:val="single" w:color="auto" w:sz="4" w:space="0"/>
              <w:right w:val="single" w:color="auto" w:sz="4" w:space="0"/>
            </w:tcBorders>
            <w:tcW w:w="222" w:type="pct"/>
            <w:vAlign w:val="center"/>
            <w:vMerge w:val="continue"/>
            <w:textDirection w:val="lrTb"/>
            <w:noWrap w:val="false"/>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rPr>
                <w:rFonts w:eastAsiaTheme="minorEastAsia"/>
                <w:bCs/>
                <w:szCs w:val="21"/>
              </w:rPr>
            </w:pPr>
            <w:r>
              <w:rPr>
                <w:rFonts w:eastAsiaTheme="minorEastAsia"/>
                <w:bCs/>
                <w:szCs w:val="21"/>
              </w:rPr>
              <w:t xml:space="preserve">1.26</w:t>
            </w:r>
            <w:r/>
          </w:p>
        </w:tc>
        <w:tc>
          <w:tcPr>
            <w:tcBorders>
              <w:left w:val="single" w:color="auto" w:sz="4" w:space="0"/>
              <w:right w:val="single" w:color="auto" w:sz="4" w:space="0"/>
            </w:tcBorders>
            <w:tcW w:w="574"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19"/>
        </w:trPr>
        <w:tc>
          <w:tcPr>
            <w:tcBorders>
              <w:left w:val="single" w:color="auto" w:sz="4" w:space="0"/>
              <w:right w:val="single" w:color="auto" w:sz="4" w:space="0"/>
            </w:tcBorders>
            <w:tcW w:w="23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tcPr>
          <w:p>
            <w:pPr>
              <w:jc w:val="center"/>
              <w:rPr>
                <w:rFonts w:eastAsiaTheme="minorEastAsia"/>
              </w:rPr>
            </w:pPr>
            <w:r>
              <w:rPr>
                <w:rFonts w:eastAsiaTheme="minorEastAsia"/>
              </w:rPr>
              <w:t xml:space="preserve">十四</w:t>
            </w:r>
            <w:r/>
          </w:p>
        </w:tc>
        <w:tc>
          <w:tcPr>
            <w:tcBorders>
              <w:top w:val="single" w:color="auto" w:sz="4" w:space="0"/>
              <w:left w:val="single" w:color="auto" w:sz="4" w:space="0"/>
              <w:bottom w:val="single" w:color="auto" w:sz="4" w:space="0"/>
              <w:right w:val="single" w:color="auto" w:sz="4" w:space="0"/>
            </w:tcBorders>
            <w:tcW w:w="1385" w:type="pct"/>
            <w:vAlign w:val="center"/>
            <w:textDirection w:val="lrTb"/>
            <w:noWrap w:val="false"/>
          </w:tcPr>
          <w:p>
            <w:pPr>
              <w:jc w:val="center"/>
              <w:rPr>
                <w:rFonts w:eastAsiaTheme="minorEastAsia"/>
              </w:rPr>
            </w:pPr>
            <w:r>
              <w:t xml:space="preserve">联氨分析仪</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Fonts w:eastAsiaTheme="minorEastAsia"/>
              </w:rPr>
            </w:pPr>
            <w:r>
              <w:rPr>
                <w:rFonts w:eastAsiaTheme="minorEastAsia"/>
              </w:rPr>
              <w:t xml:space="preserve">1</w:t>
            </w:r>
            <w:r/>
          </w:p>
        </w:tc>
        <w:tc>
          <w:tcPr>
            <w:tcBorders>
              <w:left w:val="single" w:color="auto" w:sz="4" w:space="0"/>
              <w:right w:val="single" w:color="auto" w:sz="4" w:space="0"/>
            </w:tcBorders>
            <w:tcW w:w="442" w:type="pct"/>
            <w:vAlign w:val="center"/>
            <w:vMerge w:val="continue"/>
            <w:textDirection w:val="lrTb"/>
            <w:noWrap w:val="false"/>
          </w:tcPr>
          <w:p>
            <w:pPr>
              <w:jc w:val="center"/>
              <w:rPr>
                <w:rFonts w:eastAsiaTheme="minorEastAsia"/>
              </w:rPr>
            </w:pPr>
            <w:r>
              <w:rPr>
                <w:rFonts w:eastAsiaTheme="minorEastAsia"/>
              </w:rPr>
            </w:r>
            <w:r/>
          </w:p>
        </w:tc>
        <w:tc>
          <w:tcPr>
            <w:tcBorders>
              <w:left w:val="single" w:color="auto" w:sz="4" w:space="0"/>
              <w:right w:val="single" w:color="auto" w:sz="4" w:space="0"/>
            </w:tcBorders>
            <w:tcW w:w="222" w:type="pct"/>
            <w:vAlign w:val="center"/>
            <w:vMerge w:val="continue"/>
            <w:textDirection w:val="lrTb"/>
            <w:noWrap w:val="false"/>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rPr>
                <w:rFonts w:eastAsiaTheme="minorEastAsia"/>
                <w:bCs/>
                <w:szCs w:val="21"/>
              </w:rPr>
            </w:pPr>
            <w:r>
              <w:rPr>
                <w:rFonts w:eastAsiaTheme="minorEastAsia"/>
                <w:bCs/>
                <w:szCs w:val="21"/>
              </w:rPr>
              <w:t xml:space="preserve">1.26</w:t>
            </w:r>
            <w:r/>
          </w:p>
        </w:tc>
        <w:tc>
          <w:tcPr>
            <w:tcBorders>
              <w:left w:val="single" w:color="auto" w:sz="4" w:space="0"/>
              <w:right w:val="single" w:color="auto" w:sz="4" w:space="0"/>
            </w:tcBorders>
            <w:tcW w:w="574"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19"/>
        </w:trPr>
        <w:tc>
          <w:tcPr>
            <w:tcBorders>
              <w:left w:val="single" w:color="auto" w:sz="4" w:space="0"/>
              <w:right w:val="single" w:color="auto" w:sz="4" w:space="0"/>
            </w:tcBorders>
            <w:tcW w:w="23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tcPr>
          <w:p>
            <w:pPr>
              <w:jc w:val="center"/>
              <w:rPr>
                <w:rFonts w:eastAsiaTheme="minorEastAsia"/>
              </w:rPr>
            </w:pPr>
            <w:r>
              <w:rPr>
                <w:rFonts w:eastAsiaTheme="minorEastAsia"/>
              </w:rPr>
              <w:t xml:space="preserve">十五</w:t>
            </w:r>
            <w:r/>
          </w:p>
        </w:tc>
        <w:tc>
          <w:tcPr>
            <w:tcBorders>
              <w:top w:val="single" w:color="auto" w:sz="4" w:space="0"/>
              <w:left w:val="single" w:color="auto" w:sz="4" w:space="0"/>
              <w:bottom w:val="single" w:color="auto" w:sz="4" w:space="0"/>
              <w:right w:val="single" w:color="auto" w:sz="4" w:space="0"/>
            </w:tcBorders>
            <w:tcW w:w="1385" w:type="pct"/>
            <w:vAlign w:val="center"/>
            <w:textDirection w:val="lrTb"/>
            <w:noWrap w:val="false"/>
          </w:tcPr>
          <w:p>
            <w:pPr>
              <w:jc w:val="center"/>
              <w:rPr>
                <w:rFonts w:eastAsiaTheme="minorEastAsia"/>
              </w:rPr>
            </w:pPr>
            <w:r>
              <w:t xml:space="preserve">铜离子测定仪</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Fonts w:eastAsiaTheme="minorEastAsia"/>
              </w:rPr>
            </w:pPr>
            <w:r>
              <w:rPr>
                <w:rFonts w:eastAsiaTheme="minorEastAsia"/>
              </w:rPr>
              <w:t xml:space="preserve">1</w:t>
            </w:r>
            <w:r/>
          </w:p>
        </w:tc>
        <w:tc>
          <w:tcPr>
            <w:tcBorders>
              <w:left w:val="single" w:color="auto" w:sz="4" w:space="0"/>
              <w:right w:val="single" w:color="auto" w:sz="4" w:space="0"/>
            </w:tcBorders>
            <w:tcW w:w="442" w:type="pct"/>
            <w:vAlign w:val="center"/>
            <w:vMerge w:val="continue"/>
            <w:textDirection w:val="lrTb"/>
            <w:noWrap w:val="false"/>
          </w:tcPr>
          <w:p>
            <w:pPr>
              <w:jc w:val="center"/>
              <w:rPr>
                <w:rFonts w:eastAsiaTheme="minorEastAsia"/>
              </w:rPr>
            </w:pPr>
            <w:r>
              <w:rPr>
                <w:rFonts w:eastAsiaTheme="minorEastAsia"/>
              </w:rPr>
            </w:r>
            <w:r/>
          </w:p>
        </w:tc>
        <w:tc>
          <w:tcPr>
            <w:tcBorders>
              <w:left w:val="single" w:color="auto" w:sz="4" w:space="0"/>
              <w:right w:val="single" w:color="auto" w:sz="4" w:space="0"/>
            </w:tcBorders>
            <w:tcW w:w="222" w:type="pct"/>
            <w:vAlign w:val="center"/>
            <w:vMerge w:val="continue"/>
            <w:textDirection w:val="lrTb"/>
            <w:noWrap w:val="false"/>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rPr>
                <w:rFonts w:eastAsiaTheme="minorEastAsia"/>
                <w:bCs/>
                <w:szCs w:val="21"/>
              </w:rPr>
            </w:pPr>
            <w:r>
              <w:rPr>
                <w:rFonts w:eastAsiaTheme="minorEastAsia"/>
                <w:bCs/>
                <w:szCs w:val="21"/>
              </w:rPr>
              <w:t xml:space="preserve">1.26</w:t>
            </w:r>
            <w:r/>
          </w:p>
        </w:tc>
        <w:tc>
          <w:tcPr>
            <w:tcBorders>
              <w:left w:val="single" w:color="auto" w:sz="4" w:space="0"/>
              <w:right w:val="single" w:color="auto" w:sz="4" w:space="0"/>
            </w:tcBorders>
            <w:tcW w:w="574"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19"/>
        </w:trPr>
        <w:tc>
          <w:tcPr>
            <w:tcBorders>
              <w:left w:val="single" w:color="auto" w:sz="4" w:space="0"/>
              <w:right w:val="single" w:color="auto" w:sz="4" w:space="0"/>
            </w:tcBorders>
            <w:tcW w:w="23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tcPr>
          <w:p>
            <w:pPr>
              <w:jc w:val="center"/>
              <w:rPr>
                <w:rFonts w:eastAsiaTheme="minorEastAsia"/>
              </w:rPr>
            </w:pPr>
            <w:r>
              <w:rPr>
                <w:rFonts w:eastAsiaTheme="minorEastAsia"/>
              </w:rPr>
              <w:t xml:space="preserve">十六</w:t>
            </w:r>
            <w:r/>
          </w:p>
        </w:tc>
        <w:tc>
          <w:tcPr>
            <w:tcBorders>
              <w:top w:val="single" w:color="auto" w:sz="4" w:space="0"/>
              <w:left w:val="single" w:color="auto" w:sz="4" w:space="0"/>
              <w:bottom w:val="single" w:color="auto" w:sz="4" w:space="0"/>
              <w:right w:val="single" w:color="auto" w:sz="4" w:space="0"/>
            </w:tcBorders>
            <w:tcW w:w="1385" w:type="pct"/>
            <w:vAlign w:val="center"/>
            <w:textDirection w:val="lrTb"/>
            <w:noWrap w:val="false"/>
          </w:tcPr>
          <w:p>
            <w:pPr>
              <w:jc w:val="center"/>
              <w:rPr>
                <w:rFonts w:eastAsiaTheme="minorEastAsia"/>
              </w:rPr>
            </w:pPr>
            <w:r>
              <w:t xml:space="preserve">总有机碳ToC测定仪</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Fonts w:eastAsiaTheme="minorEastAsia"/>
              </w:rPr>
            </w:pPr>
            <w:r>
              <w:rPr>
                <w:rFonts w:eastAsiaTheme="minorEastAsia"/>
              </w:rPr>
              <w:t xml:space="preserve">1</w:t>
            </w:r>
            <w:r/>
          </w:p>
        </w:tc>
        <w:tc>
          <w:tcPr>
            <w:tcBorders>
              <w:left w:val="single" w:color="auto" w:sz="4" w:space="0"/>
              <w:right w:val="single" w:color="auto" w:sz="4" w:space="0"/>
            </w:tcBorders>
            <w:tcW w:w="442" w:type="pct"/>
            <w:vAlign w:val="center"/>
            <w:vMerge w:val="continue"/>
            <w:textDirection w:val="lrTb"/>
            <w:noWrap w:val="false"/>
          </w:tcPr>
          <w:p>
            <w:pPr>
              <w:jc w:val="center"/>
              <w:rPr>
                <w:rFonts w:eastAsiaTheme="minorEastAsia"/>
              </w:rPr>
            </w:pPr>
            <w:r>
              <w:rPr>
                <w:rFonts w:eastAsiaTheme="minorEastAsia"/>
              </w:rPr>
            </w:r>
            <w:r/>
          </w:p>
        </w:tc>
        <w:tc>
          <w:tcPr>
            <w:tcBorders>
              <w:left w:val="single" w:color="auto" w:sz="4" w:space="0"/>
              <w:right w:val="single" w:color="auto" w:sz="4" w:space="0"/>
            </w:tcBorders>
            <w:tcW w:w="222" w:type="pct"/>
            <w:vAlign w:val="center"/>
            <w:vMerge w:val="continue"/>
            <w:textDirection w:val="lrTb"/>
            <w:noWrap w:val="false"/>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rPr>
                <w:rFonts w:eastAsiaTheme="minorEastAsia"/>
                <w:bCs/>
                <w:szCs w:val="21"/>
              </w:rPr>
            </w:pPr>
            <w:r>
              <w:rPr>
                <w:rFonts w:eastAsiaTheme="minorEastAsia"/>
                <w:bCs/>
                <w:szCs w:val="21"/>
              </w:rPr>
              <w:t xml:space="preserve">6.8</w:t>
            </w:r>
            <w:r/>
          </w:p>
        </w:tc>
        <w:tc>
          <w:tcPr>
            <w:tcBorders>
              <w:left w:val="single" w:color="auto" w:sz="4" w:space="0"/>
              <w:right w:val="single" w:color="auto" w:sz="4" w:space="0"/>
            </w:tcBorders>
            <w:tcW w:w="574"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19"/>
        </w:trPr>
        <w:tc>
          <w:tcPr>
            <w:tcBorders>
              <w:left w:val="single" w:color="auto" w:sz="4" w:space="0"/>
              <w:right w:val="single" w:color="auto" w:sz="4" w:space="0"/>
            </w:tcBorders>
            <w:tcW w:w="23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tcPr>
          <w:p>
            <w:pPr>
              <w:jc w:val="center"/>
              <w:rPr>
                <w:rFonts w:eastAsiaTheme="minorEastAsia"/>
              </w:rPr>
            </w:pPr>
            <w:r>
              <w:rPr>
                <w:rFonts w:eastAsiaTheme="minorEastAsia"/>
              </w:rPr>
              <w:t xml:space="preserve">十七</w:t>
            </w:r>
            <w:r/>
          </w:p>
        </w:tc>
        <w:tc>
          <w:tcPr>
            <w:tcBorders>
              <w:top w:val="single" w:color="auto" w:sz="4" w:space="0"/>
              <w:left w:val="single" w:color="auto" w:sz="4" w:space="0"/>
              <w:bottom w:val="single" w:color="auto" w:sz="4" w:space="0"/>
              <w:right w:val="single" w:color="auto" w:sz="4" w:space="0"/>
            </w:tcBorders>
            <w:tcW w:w="1385" w:type="pct"/>
            <w:vAlign w:val="center"/>
            <w:textDirection w:val="lrTb"/>
            <w:noWrap w:val="false"/>
          </w:tcPr>
          <w:p>
            <w:pPr>
              <w:jc w:val="center"/>
              <w:rPr>
                <w:rFonts w:eastAsiaTheme="minorEastAsia"/>
              </w:rPr>
            </w:pPr>
            <w:r>
              <w:t xml:space="preserve">紫外分光光度计</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Fonts w:eastAsiaTheme="minorEastAsia"/>
              </w:rPr>
            </w:pPr>
            <w:r>
              <w:rPr>
                <w:rFonts w:eastAsiaTheme="minorEastAsia"/>
              </w:rPr>
              <w:t xml:space="preserve">1</w:t>
            </w:r>
            <w:r/>
          </w:p>
        </w:tc>
        <w:tc>
          <w:tcPr>
            <w:tcBorders>
              <w:left w:val="single" w:color="auto" w:sz="4" w:space="0"/>
              <w:right w:val="single" w:color="auto" w:sz="4" w:space="0"/>
            </w:tcBorders>
            <w:tcW w:w="442" w:type="pct"/>
            <w:vAlign w:val="center"/>
            <w:vMerge w:val="continue"/>
            <w:textDirection w:val="lrTb"/>
            <w:noWrap w:val="false"/>
          </w:tcPr>
          <w:p>
            <w:pPr>
              <w:jc w:val="center"/>
              <w:rPr>
                <w:rFonts w:eastAsiaTheme="minorEastAsia"/>
              </w:rPr>
            </w:pPr>
            <w:r>
              <w:rPr>
                <w:rFonts w:eastAsiaTheme="minorEastAsia"/>
              </w:rPr>
            </w:r>
            <w:r/>
          </w:p>
        </w:tc>
        <w:tc>
          <w:tcPr>
            <w:tcBorders>
              <w:left w:val="single" w:color="auto" w:sz="4" w:space="0"/>
              <w:right w:val="single" w:color="auto" w:sz="4" w:space="0"/>
            </w:tcBorders>
            <w:tcW w:w="222" w:type="pct"/>
            <w:vAlign w:val="center"/>
            <w:vMerge w:val="continue"/>
            <w:textDirection w:val="lrTb"/>
            <w:noWrap w:val="false"/>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rPr>
                <w:rFonts w:eastAsiaTheme="minorEastAsia"/>
                <w:bCs/>
                <w:szCs w:val="21"/>
              </w:rPr>
            </w:pPr>
            <w:r>
              <w:rPr>
                <w:rFonts w:eastAsiaTheme="minorEastAsia"/>
                <w:bCs/>
                <w:szCs w:val="21"/>
              </w:rPr>
              <w:t xml:space="preserve">7.5</w:t>
            </w:r>
            <w:r/>
          </w:p>
        </w:tc>
        <w:tc>
          <w:tcPr>
            <w:tcBorders>
              <w:left w:val="single" w:color="auto" w:sz="4" w:space="0"/>
              <w:right w:val="single" w:color="auto" w:sz="4" w:space="0"/>
            </w:tcBorders>
            <w:tcW w:w="574"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19"/>
        </w:trPr>
        <w:tc>
          <w:tcPr>
            <w:tcBorders>
              <w:left w:val="single" w:color="auto" w:sz="4" w:space="0"/>
              <w:bottom w:val="single" w:color="auto" w:sz="4" w:space="0"/>
              <w:right w:val="single" w:color="auto" w:sz="4" w:space="0"/>
            </w:tcBorders>
            <w:tcW w:w="23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tcPr>
          <w:p>
            <w:pPr>
              <w:jc w:val="center"/>
              <w:rPr>
                <w:rFonts w:eastAsiaTheme="minorEastAsia"/>
              </w:rPr>
            </w:pPr>
            <w:r>
              <w:rPr>
                <w:rFonts w:eastAsiaTheme="minorEastAsia"/>
              </w:rPr>
              <w:t xml:space="preserve">十八</w:t>
            </w:r>
            <w:r/>
          </w:p>
        </w:tc>
        <w:tc>
          <w:tcPr>
            <w:tcBorders>
              <w:top w:val="single" w:color="auto" w:sz="4" w:space="0"/>
              <w:left w:val="single" w:color="auto" w:sz="4" w:space="0"/>
              <w:bottom w:val="single" w:color="auto" w:sz="4" w:space="0"/>
              <w:right w:val="single" w:color="auto" w:sz="4" w:space="0"/>
            </w:tcBorders>
            <w:tcW w:w="1385" w:type="pct"/>
            <w:vAlign w:val="center"/>
            <w:textDirection w:val="lrTb"/>
            <w:noWrap w:val="false"/>
          </w:tcPr>
          <w:p>
            <w:pPr>
              <w:jc w:val="center"/>
            </w:pPr>
            <w:r>
              <w:t xml:space="preserve">浊度计</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Fonts w:eastAsiaTheme="minorEastAsia"/>
              </w:rPr>
            </w:pPr>
            <w:r>
              <w:rPr>
                <w:rFonts w:eastAsiaTheme="minorEastAsia"/>
              </w:rPr>
              <w:t xml:space="preserve">1</w:t>
            </w:r>
            <w:r/>
          </w:p>
        </w:tc>
        <w:tc>
          <w:tcPr>
            <w:tcBorders>
              <w:left w:val="single" w:color="auto" w:sz="4" w:space="0"/>
              <w:bottom w:val="single" w:color="auto" w:sz="4" w:space="0"/>
              <w:right w:val="single" w:color="auto" w:sz="4" w:space="0"/>
            </w:tcBorders>
            <w:tcW w:w="442" w:type="pct"/>
            <w:vAlign w:val="center"/>
            <w:vMerge w:val="continue"/>
            <w:textDirection w:val="lrTb"/>
            <w:noWrap w:val="false"/>
          </w:tcPr>
          <w:p>
            <w:pPr>
              <w:jc w:val="center"/>
              <w:rPr>
                <w:rFonts w:eastAsiaTheme="minorEastAsia"/>
              </w:rPr>
            </w:pPr>
            <w:r>
              <w:rPr>
                <w:rFonts w:eastAsiaTheme="minorEastAsia"/>
              </w:rPr>
            </w:r>
            <w:r/>
          </w:p>
        </w:tc>
        <w:tc>
          <w:tcPr>
            <w:tcBorders>
              <w:left w:val="single" w:color="auto" w:sz="4" w:space="0"/>
              <w:bottom w:val="single" w:color="auto" w:sz="4" w:space="0"/>
              <w:right w:val="single" w:color="auto" w:sz="4" w:space="0"/>
            </w:tcBorders>
            <w:tcW w:w="222" w:type="pct"/>
            <w:vAlign w:val="center"/>
            <w:vMerge w:val="continue"/>
            <w:textDirection w:val="lrTb"/>
            <w:noWrap w:val="false"/>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rPr>
                <w:rFonts w:eastAsiaTheme="minorEastAsia"/>
                <w:bCs/>
                <w:szCs w:val="21"/>
              </w:rPr>
            </w:pPr>
            <w:r>
              <w:rPr>
                <w:rFonts w:eastAsiaTheme="minorEastAsia"/>
                <w:bCs/>
                <w:szCs w:val="21"/>
              </w:rPr>
              <w:t xml:space="preserve">0.98</w:t>
            </w:r>
            <w:r/>
          </w:p>
        </w:tc>
        <w:tc>
          <w:tcPr>
            <w:tcBorders>
              <w:left w:val="single" w:color="auto" w:sz="4" w:space="0"/>
              <w:bottom w:val="single" w:color="auto" w:sz="4" w:space="0"/>
              <w:right w:val="single" w:color="auto" w:sz="4" w:space="0"/>
            </w:tcBorders>
            <w:tcW w:w="574"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19"/>
        </w:trPr>
        <w:tc>
          <w:tcPr>
            <w:tcBorders>
              <w:top w:val="single" w:color="auto" w:sz="4" w:space="0"/>
              <w:left w:val="single" w:color="auto" w:sz="4" w:space="0"/>
              <w:bottom w:val="single" w:color="auto" w:sz="4" w:space="0"/>
              <w:right w:val="single" w:color="auto" w:sz="4" w:space="0"/>
            </w:tcBorders>
            <w:tcW w:w="233" w:type="pct"/>
            <w:vAlign w:val="center"/>
            <w:vMerge w:val="restart"/>
            <w:textDirection w:val="lrTb"/>
            <w:noWrap/>
          </w:tcPr>
          <w:p>
            <w:pPr>
              <w:jc w:val="center"/>
              <w:rPr>
                <w:rFonts w:eastAsiaTheme="minorEastAsia"/>
              </w:rPr>
            </w:pPr>
            <w:r>
              <w:rPr>
                <w:rFonts w:eastAsiaTheme="minorEastAsia"/>
              </w:rPr>
              <w:t xml:space="preserve">02</w:t>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tcPr>
          <w:p>
            <w:pPr>
              <w:jc w:val="center"/>
              <w:rPr>
                <w:rFonts w:eastAsiaTheme="minorEastAsia"/>
              </w:rPr>
            </w:pPr>
            <w:r>
              <w:rPr>
                <w:rFonts w:eastAsiaTheme="minorEastAsia"/>
              </w:rPr>
              <w:t xml:space="preserve">一</w:t>
            </w:r>
            <w:r/>
          </w:p>
        </w:tc>
        <w:tc>
          <w:tcPr>
            <w:tcBorders>
              <w:top w:val="single" w:color="auto" w:sz="4" w:space="0"/>
              <w:left w:val="single" w:color="auto" w:sz="4" w:space="0"/>
              <w:bottom w:val="single" w:color="auto" w:sz="4" w:space="0"/>
              <w:right w:val="single" w:color="auto" w:sz="4" w:space="0"/>
            </w:tcBorders>
            <w:tcW w:w="1385" w:type="pct"/>
            <w:vAlign w:val="center"/>
            <w:textDirection w:val="lrTb"/>
            <w:noWrap w:val="false"/>
          </w:tcPr>
          <w:p>
            <w:pPr>
              <w:jc w:val="center"/>
            </w:pPr>
            <w:r>
              <w:t xml:space="preserve">自动电位滴定仪A</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widowControl/>
              <w:rPr>
                <w:rFonts w:eastAsiaTheme="minorEastAsia"/>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442" w:type="pct"/>
            <w:vAlign w:val="center"/>
            <w:vMerge w:val="continue"/>
            <w:textDirection w:val="lrTb"/>
            <w:noWrap w:val="false"/>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222" w:type="pct"/>
            <w:vAlign w:val="center"/>
            <w:vMerge w:val="continue"/>
            <w:textDirection w:val="lrTb"/>
            <w:noWrap w:val="false"/>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rPr>
                <w:rFonts w:eastAsiaTheme="minorEastAsia"/>
                <w:bCs/>
                <w:szCs w:val="21"/>
              </w:rPr>
            </w:pPr>
            <w:r>
              <w:rPr>
                <w:rFonts w:eastAsiaTheme="minorEastAsia"/>
                <w:bCs/>
                <w:szCs w:val="21"/>
              </w:rPr>
              <w:t xml:space="preserve">38.8</w:t>
            </w:r>
            <w:r/>
          </w:p>
        </w:tc>
        <w:tc>
          <w:tcPr>
            <w:tcBorders>
              <w:top w:val="single" w:color="auto" w:sz="4" w:space="0"/>
              <w:left w:val="single" w:color="auto" w:sz="4" w:space="0"/>
              <w:bottom w:val="single" w:color="auto" w:sz="4" w:space="0"/>
              <w:right w:val="single" w:color="auto" w:sz="4" w:space="0"/>
            </w:tcBorders>
            <w:tcW w:w="574"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ind w:right="-107"/>
              <w:jc w:val="center"/>
              <w:tabs>
                <w:tab w:val="left" w:pos="4788" w:leader="none"/>
              </w:tabs>
            </w:pPr>
            <w:r>
              <w:t xml:space="preserve">核心产品</w:t>
            </w:r>
            <w:r/>
          </w:p>
        </w:tc>
      </w:tr>
      <w:tr>
        <w:trPr>
          <w:trHeight w:val="219"/>
        </w:trPr>
        <w:tc>
          <w:tcPr>
            <w:tcBorders>
              <w:top w:val="single" w:color="auto" w:sz="4" w:space="0"/>
              <w:left w:val="single" w:color="auto" w:sz="4" w:space="0"/>
              <w:bottom w:val="single" w:color="auto" w:sz="4" w:space="0"/>
              <w:right w:val="single" w:color="auto" w:sz="4" w:space="0"/>
            </w:tcBorders>
            <w:tcW w:w="23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tcPr>
          <w:p>
            <w:pPr>
              <w:jc w:val="center"/>
              <w:rPr>
                <w:rFonts w:eastAsiaTheme="minorEastAsia"/>
              </w:rPr>
            </w:pPr>
            <w:r>
              <w:rPr>
                <w:rFonts w:eastAsiaTheme="minorEastAsia"/>
              </w:rPr>
              <w:t xml:space="preserve">二</w:t>
            </w:r>
            <w:r/>
          </w:p>
        </w:tc>
        <w:tc>
          <w:tcPr>
            <w:tcBorders>
              <w:top w:val="single" w:color="auto" w:sz="4" w:space="0"/>
              <w:left w:val="single" w:color="auto" w:sz="4" w:space="0"/>
              <w:bottom w:val="single" w:color="auto" w:sz="4" w:space="0"/>
              <w:right w:val="single" w:color="auto" w:sz="4" w:space="0"/>
            </w:tcBorders>
            <w:tcW w:w="1385" w:type="pct"/>
            <w:vAlign w:val="center"/>
            <w:textDirection w:val="lrTb"/>
            <w:noWrap w:val="false"/>
          </w:tcPr>
          <w:p>
            <w:pPr>
              <w:jc w:val="center"/>
            </w:pPr>
            <w:r>
              <w:t xml:space="preserve">自动电位滴定仪B</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widowControl/>
              <w:rPr>
                <w:rFonts w:eastAsiaTheme="minorEastAsia"/>
              </w:rPr>
            </w:pPr>
            <w:r>
              <w:rPr>
                <w:rFonts w:eastAsiaTheme="minorEastAsia"/>
                <w:bCs/>
                <w:szCs w:val="21"/>
              </w:rPr>
              <w:t xml:space="preserve">2</w:t>
            </w:r>
            <w:r/>
          </w:p>
        </w:tc>
        <w:tc>
          <w:tcPr>
            <w:tcBorders>
              <w:top w:val="single" w:color="auto" w:sz="4" w:space="0"/>
              <w:left w:val="single" w:color="auto" w:sz="4" w:space="0"/>
              <w:bottom w:val="single" w:color="auto" w:sz="4" w:space="0"/>
              <w:right w:val="single" w:color="auto" w:sz="4" w:space="0"/>
            </w:tcBorders>
            <w:tcW w:w="442" w:type="pct"/>
            <w:vAlign w:val="center"/>
            <w:vMerge w:val="continue"/>
            <w:textDirection w:val="lrTb"/>
            <w:noWrap w:val="false"/>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222" w:type="pct"/>
            <w:vAlign w:val="center"/>
            <w:vMerge w:val="continue"/>
            <w:textDirection w:val="lrTb"/>
            <w:noWrap w:val="false"/>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rPr>
                <w:rFonts w:eastAsiaTheme="minorEastAsia"/>
                <w:bCs/>
                <w:szCs w:val="21"/>
              </w:rPr>
            </w:pPr>
            <w:r>
              <w:rPr>
                <w:rFonts w:eastAsiaTheme="minorEastAsia"/>
                <w:bCs/>
                <w:szCs w:val="21"/>
              </w:rPr>
              <w:t xml:space="preserve">17.96</w:t>
            </w:r>
            <w:r/>
          </w:p>
        </w:tc>
        <w:tc>
          <w:tcPr>
            <w:tcBorders>
              <w:top w:val="single" w:color="auto" w:sz="4" w:space="0"/>
              <w:left w:val="single" w:color="auto" w:sz="4" w:space="0"/>
              <w:bottom w:val="single" w:color="auto" w:sz="4" w:space="0"/>
              <w:right w:val="single" w:color="auto" w:sz="4" w:space="0"/>
            </w:tcBorders>
            <w:tcW w:w="574"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ind w:right="-107"/>
              <w:jc w:val="center"/>
              <w:tabs>
                <w:tab w:val="left" w:pos="4788" w:leader="none"/>
              </w:tabs>
            </w:pPr>
            <w:r/>
            <w:r/>
          </w:p>
        </w:tc>
      </w:tr>
      <w:tr>
        <w:trPr>
          <w:trHeight w:val="219"/>
        </w:trPr>
        <w:tc>
          <w:tcPr>
            <w:tcBorders>
              <w:top w:val="single" w:color="auto" w:sz="4" w:space="0"/>
              <w:left w:val="single" w:color="auto" w:sz="4" w:space="0"/>
              <w:bottom w:val="single" w:color="auto" w:sz="4" w:space="0"/>
              <w:right w:val="single" w:color="auto" w:sz="4" w:space="0"/>
            </w:tcBorders>
            <w:tcW w:w="23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tcPr>
          <w:p>
            <w:pPr>
              <w:jc w:val="center"/>
              <w:rPr>
                <w:rFonts w:eastAsiaTheme="minorEastAsia"/>
              </w:rPr>
            </w:pPr>
            <w:r>
              <w:rPr>
                <w:rFonts w:eastAsiaTheme="minorEastAsia"/>
              </w:rPr>
              <w:t xml:space="preserve">三</w:t>
            </w:r>
            <w:r/>
          </w:p>
        </w:tc>
        <w:tc>
          <w:tcPr>
            <w:tcBorders>
              <w:top w:val="single" w:color="auto" w:sz="4" w:space="0"/>
              <w:left w:val="single" w:color="auto" w:sz="4" w:space="0"/>
              <w:bottom w:val="single" w:color="auto" w:sz="4" w:space="0"/>
              <w:right w:val="single" w:color="auto" w:sz="4" w:space="0"/>
            </w:tcBorders>
            <w:tcW w:w="1385" w:type="pct"/>
            <w:vAlign w:val="center"/>
            <w:textDirection w:val="lrTb"/>
            <w:noWrap w:val="false"/>
          </w:tcPr>
          <w:p>
            <w:pPr>
              <w:jc w:val="center"/>
            </w:pPr>
            <w:r>
              <w:t xml:space="preserve">残炭测定仪</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widowControl/>
              <w:rPr>
                <w:rFonts w:eastAsiaTheme="minorEastAsia"/>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442" w:type="pct"/>
            <w:vAlign w:val="center"/>
            <w:vMerge w:val="continue"/>
            <w:textDirection w:val="lrTb"/>
            <w:noWrap w:val="false"/>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222" w:type="pct"/>
            <w:vAlign w:val="center"/>
            <w:vMerge w:val="continue"/>
            <w:textDirection w:val="lrTb"/>
            <w:noWrap w:val="false"/>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rPr>
                <w:rFonts w:eastAsiaTheme="minorEastAsia"/>
                <w:bCs/>
                <w:szCs w:val="21"/>
              </w:rPr>
            </w:pPr>
            <w:r>
              <w:rPr>
                <w:rFonts w:eastAsiaTheme="minorEastAsia"/>
                <w:bCs/>
                <w:szCs w:val="21"/>
              </w:rPr>
              <w:t xml:space="preserve">9.98</w:t>
            </w:r>
            <w:r/>
          </w:p>
        </w:tc>
        <w:tc>
          <w:tcPr>
            <w:tcBorders>
              <w:top w:val="single" w:color="auto" w:sz="4" w:space="0"/>
              <w:left w:val="single" w:color="auto" w:sz="4" w:space="0"/>
              <w:bottom w:val="single" w:color="auto" w:sz="4" w:space="0"/>
              <w:right w:val="single" w:color="auto" w:sz="4" w:space="0"/>
            </w:tcBorders>
            <w:tcW w:w="574"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ind w:right="-107"/>
              <w:jc w:val="center"/>
              <w:tabs>
                <w:tab w:val="left" w:pos="4788" w:leader="none"/>
              </w:tabs>
            </w:pPr>
            <w:r/>
            <w:r/>
          </w:p>
        </w:tc>
      </w:tr>
      <w:tr>
        <w:trPr>
          <w:trHeight w:val="219"/>
        </w:trPr>
        <w:tc>
          <w:tcPr>
            <w:tcBorders>
              <w:top w:val="single" w:color="auto" w:sz="4" w:space="0"/>
              <w:left w:val="single" w:color="auto" w:sz="4" w:space="0"/>
              <w:bottom w:val="single" w:color="auto" w:sz="4" w:space="0"/>
              <w:right w:val="single" w:color="auto" w:sz="4" w:space="0"/>
            </w:tcBorders>
            <w:tcW w:w="23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tcPr>
          <w:p>
            <w:pPr>
              <w:jc w:val="center"/>
              <w:rPr>
                <w:rFonts w:eastAsiaTheme="minorEastAsia"/>
              </w:rPr>
            </w:pPr>
            <w:r>
              <w:rPr>
                <w:rFonts w:eastAsiaTheme="minorEastAsia"/>
              </w:rPr>
              <w:t xml:space="preserve">四</w:t>
            </w:r>
            <w:r/>
          </w:p>
        </w:tc>
        <w:tc>
          <w:tcPr>
            <w:tcBorders>
              <w:top w:val="single" w:color="auto" w:sz="4" w:space="0"/>
              <w:left w:val="single" w:color="auto" w:sz="4" w:space="0"/>
              <w:bottom w:val="single" w:color="auto" w:sz="4" w:space="0"/>
              <w:right w:val="single" w:color="auto" w:sz="4" w:space="0"/>
            </w:tcBorders>
            <w:tcW w:w="1385" w:type="pct"/>
            <w:vAlign w:val="center"/>
            <w:textDirection w:val="lrTb"/>
            <w:noWrap w:val="false"/>
          </w:tcPr>
          <w:p>
            <w:pPr>
              <w:jc w:val="center"/>
            </w:pPr>
            <w:r>
              <w:t xml:space="preserve">闭口闪点测定仪</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widowControl/>
              <w:rPr>
                <w:rFonts w:eastAsiaTheme="minorEastAsia"/>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442" w:type="pct"/>
            <w:vAlign w:val="center"/>
            <w:vMerge w:val="continue"/>
            <w:textDirection w:val="lrTb"/>
            <w:noWrap w:val="false"/>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222" w:type="pct"/>
            <w:vAlign w:val="center"/>
            <w:vMerge w:val="continue"/>
            <w:textDirection w:val="lrTb"/>
            <w:noWrap w:val="false"/>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rPr>
                <w:rFonts w:eastAsiaTheme="minorEastAsia"/>
                <w:bCs/>
                <w:szCs w:val="21"/>
              </w:rPr>
            </w:pPr>
            <w:r>
              <w:rPr>
                <w:rFonts w:eastAsiaTheme="minorEastAsia"/>
                <w:bCs/>
                <w:szCs w:val="21"/>
              </w:rPr>
              <w:t xml:space="preserve">8.98</w:t>
            </w:r>
            <w:r/>
          </w:p>
        </w:tc>
        <w:tc>
          <w:tcPr>
            <w:tcBorders>
              <w:top w:val="single" w:color="auto" w:sz="4" w:space="0"/>
              <w:left w:val="single" w:color="auto" w:sz="4" w:space="0"/>
              <w:bottom w:val="single" w:color="auto" w:sz="4" w:space="0"/>
              <w:right w:val="single" w:color="auto" w:sz="4" w:space="0"/>
            </w:tcBorders>
            <w:tcW w:w="574"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ind w:right="-107"/>
              <w:jc w:val="center"/>
              <w:tabs>
                <w:tab w:val="left" w:pos="4788" w:leader="none"/>
              </w:tabs>
            </w:pPr>
            <w:r/>
            <w:r/>
          </w:p>
        </w:tc>
      </w:tr>
      <w:tr>
        <w:trPr>
          <w:trHeight w:val="219"/>
        </w:trPr>
        <w:tc>
          <w:tcPr>
            <w:tcBorders>
              <w:top w:val="single" w:color="auto" w:sz="4" w:space="0"/>
              <w:left w:val="single" w:color="auto" w:sz="4" w:space="0"/>
              <w:bottom w:val="single" w:color="auto" w:sz="4" w:space="0"/>
              <w:right w:val="single" w:color="auto" w:sz="4" w:space="0"/>
            </w:tcBorders>
            <w:tcW w:w="23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tcPr>
          <w:p>
            <w:pPr>
              <w:jc w:val="center"/>
              <w:rPr>
                <w:rFonts w:eastAsiaTheme="minorEastAsia"/>
              </w:rPr>
            </w:pPr>
            <w:r>
              <w:rPr>
                <w:rFonts w:eastAsiaTheme="minorEastAsia"/>
              </w:rPr>
              <w:t xml:space="preserve">五</w:t>
            </w:r>
            <w:r/>
          </w:p>
        </w:tc>
        <w:tc>
          <w:tcPr>
            <w:tcBorders>
              <w:top w:val="single" w:color="auto" w:sz="4" w:space="0"/>
              <w:left w:val="single" w:color="auto" w:sz="4" w:space="0"/>
              <w:bottom w:val="single" w:color="auto" w:sz="4" w:space="0"/>
              <w:right w:val="single" w:color="auto" w:sz="4" w:space="0"/>
            </w:tcBorders>
            <w:tcW w:w="1385" w:type="pct"/>
            <w:vAlign w:val="center"/>
            <w:textDirection w:val="lrTb"/>
            <w:noWrap w:val="false"/>
          </w:tcPr>
          <w:p>
            <w:pPr>
              <w:jc w:val="center"/>
            </w:pPr>
            <w:r>
              <w:t xml:space="preserve">卡式水份测定仪</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widowControl/>
              <w:rPr>
                <w:rFonts w:eastAsiaTheme="minorEastAsia"/>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442" w:type="pct"/>
            <w:vAlign w:val="center"/>
            <w:vMerge w:val="continue"/>
            <w:textDirection w:val="lrTb"/>
            <w:noWrap w:val="false"/>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222" w:type="pct"/>
            <w:vAlign w:val="center"/>
            <w:vMerge w:val="continue"/>
            <w:textDirection w:val="lrTb"/>
            <w:noWrap w:val="false"/>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rPr>
                <w:rFonts w:eastAsiaTheme="minorEastAsia"/>
                <w:bCs/>
                <w:szCs w:val="21"/>
              </w:rPr>
            </w:pPr>
            <w:r>
              <w:rPr>
                <w:rFonts w:eastAsiaTheme="minorEastAsia"/>
                <w:bCs/>
                <w:szCs w:val="21"/>
              </w:rPr>
              <w:t xml:space="preserve">17.88</w:t>
            </w:r>
            <w:r/>
          </w:p>
        </w:tc>
        <w:tc>
          <w:tcPr>
            <w:tcBorders>
              <w:top w:val="single" w:color="auto" w:sz="4" w:space="0"/>
              <w:left w:val="single" w:color="auto" w:sz="4" w:space="0"/>
              <w:bottom w:val="single" w:color="auto" w:sz="4" w:space="0"/>
              <w:right w:val="single" w:color="auto" w:sz="4" w:space="0"/>
            </w:tcBorders>
            <w:tcW w:w="574"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ind w:right="-107"/>
              <w:jc w:val="center"/>
              <w:tabs>
                <w:tab w:val="left" w:pos="4788" w:leader="none"/>
              </w:tabs>
            </w:pPr>
            <w:r/>
            <w:r/>
          </w:p>
        </w:tc>
      </w:tr>
      <w:tr>
        <w:trPr>
          <w:trHeight w:val="219"/>
        </w:trPr>
        <w:tc>
          <w:tcPr>
            <w:tcBorders>
              <w:top w:val="single" w:color="auto" w:sz="4" w:space="0"/>
              <w:left w:val="single" w:color="auto" w:sz="4" w:space="0"/>
              <w:bottom w:val="single" w:color="auto" w:sz="4" w:space="0"/>
              <w:right w:val="single" w:color="auto" w:sz="4" w:space="0"/>
            </w:tcBorders>
            <w:tcW w:w="23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tcPr>
          <w:p>
            <w:pPr>
              <w:jc w:val="center"/>
              <w:rPr>
                <w:rFonts w:eastAsiaTheme="minorEastAsia"/>
              </w:rPr>
            </w:pPr>
            <w:r>
              <w:rPr>
                <w:rFonts w:eastAsiaTheme="minorEastAsia"/>
              </w:rPr>
              <w:t xml:space="preserve">六</w:t>
            </w:r>
            <w:r/>
          </w:p>
        </w:tc>
        <w:tc>
          <w:tcPr>
            <w:tcBorders>
              <w:top w:val="single" w:color="auto" w:sz="4" w:space="0"/>
              <w:left w:val="single" w:color="auto" w:sz="4" w:space="0"/>
              <w:bottom w:val="single" w:color="auto" w:sz="4" w:space="0"/>
              <w:right w:val="single" w:color="auto" w:sz="4" w:space="0"/>
            </w:tcBorders>
            <w:tcW w:w="1385" w:type="pct"/>
            <w:vAlign w:val="center"/>
            <w:textDirection w:val="lrTb"/>
            <w:noWrap w:val="false"/>
          </w:tcPr>
          <w:p>
            <w:pPr>
              <w:jc w:val="center"/>
            </w:pPr>
            <w:r>
              <w:t xml:space="preserve">蒸馏仪</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widowControl/>
              <w:rPr>
                <w:rFonts w:eastAsiaTheme="minorEastAsia"/>
              </w:rPr>
            </w:pPr>
            <w:r>
              <w:rPr>
                <w:rFonts w:eastAsiaTheme="minorEastAsia"/>
                <w:bCs/>
                <w:szCs w:val="21"/>
              </w:rPr>
              <w:t xml:space="preserve">2</w:t>
            </w:r>
            <w:r/>
          </w:p>
        </w:tc>
        <w:tc>
          <w:tcPr>
            <w:tcBorders>
              <w:top w:val="single" w:color="auto" w:sz="4" w:space="0"/>
              <w:left w:val="single" w:color="auto" w:sz="4" w:space="0"/>
              <w:bottom w:val="single" w:color="auto" w:sz="4" w:space="0"/>
              <w:right w:val="single" w:color="auto" w:sz="4" w:space="0"/>
            </w:tcBorders>
            <w:tcW w:w="442" w:type="pct"/>
            <w:vAlign w:val="center"/>
            <w:vMerge w:val="continue"/>
            <w:textDirection w:val="lrTb"/>
            <w:noWrap w:val="false"/>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222" w:type="pct"/>
            <w:vAlign w:val="center"/>
            <w:vMerge w:val="continue"/>
            <w:textDirection w:val="lrTb"/>
            <w:noWrap w:val="false"/>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rPr>
                <w:rFonts w:eastAsiaTheme="minorEastAsia"/>
                <w:bCs/>
                <w:szCs w:val="21"/>
              </w:rPr>
            </w:pPr>
            <w:r>
              <w:rPr>
                <w:rFonts w:eastAsiaTheme="minorEastAsia"/>
                <w:bCs/>
                <w:szCs w:val="21"/>
              </w:rPr>
              <w:t xml:space="preserve">22</w:t>
            </w:r>
            <w:r/>
          </w:p>
        </w:tc>
        <w:tc>
          <w:tcPr>
            <w:tcBorders>
              <w:top w:val="single" w:color="auto" w:sz="4" w:space="0"/>
              <w:left w:val="single" w:color="auto" w:sz="4" w:space="0"/>
              <w:bottom w:val="single" w:color="auto" w:sz="4" w:space="0"/>
              <w:right w:val="single" w:color="auto" w:sz="4" w:space="0"/>
            </w:tcBorders>
            <w:tcW w:w="574"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ind w:right="-107"/>
              <w:jc w:val="center"/>
              <w:tabs>
                <w:tab w:val="left" w:pos="4788" w:leader="none"/>
              </w:tabs>
            </w:pPr>
            <w:r/>
            <w:r/>
          </w:p>
        </w:tc>
      </w:tr>
      <w:tr>
        <w:trPr>
          <w:trHeight w:val="219"/>
        </w:trPr>
        <w:tc>
          <w:tcPr>
            <w:tcBorders>
              <w:top w:val="single" w:color="auto" w:sz="4" w:space="0"/>
              <w:left w:val="single" w:color="auto" w:sz="4" w:space="0"/>
              <w:bottom w:val="single" w:color="auto" w:sz="4" w:space="0"/>
              <w:right w:val="single" w:color="auto" w:sz="4" w:space="0"/>
            </w:tcBorders>
            <w:tcW w:w="233" w:type="pct"/>
            <w:vAlign w:val="center"/>
            <w:vMerge w:val="restart"/>
            <w:textDirection w:val="lrTb"/>
            <w:noWrap/>
          </w:tcPr>
          <w:p>
            <w:pPr>
              <w:jc w:val="center"/>
              <w:rPr>
                <w:rFonts w:eastAsiaTheme="minorEastAsia"/>
              </w:rPr>
            </w:pPr>
            <w:r>
              <w:rPr>
                <w:rFonts w:eastAsiaTheme="minorEastAsia"/>
              </w:rPr>
              <w:t xml:space="preserve">03</w:t>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tcPr>
          <w:p>
            <w:pPr>
              <w:jc w:val="center"/>
              <w:widowControl/>
              <w:rPr>
                <w:rFonts w:eastAsiaTheme="minorEastAsia"/>
              </w:rPr>
            </w:pPr>
            <w:r>
              <w:rPr>
                <w:rFonts w:eastAsiaTheme="minorEastAsia"/>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385" w:type="pct"/>
            <w:vAlign w:val="center"/>
            <w:textDirection w:val="lrTb"/>
            <w:noWrap w:val="false"/>
          </w:tcPr>
          <w:p>
            <w:pPr>
              <w:jc w:val="center"/>
            </w:pPr>
            <w:r>
              <w:t xml:space="preserve">运动粘度测定仪A</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widowControl/>
              <w:rPr>
                <w:rFonts w:eastAsiaTheme="minorEastAsia"/>
              </w:rPr>
            </w:pPr>
            <w:r>
              <w:rPr>
                <w:rFonts w:eastAsiaTheme="minorEastAsia"/>
                <w:bCs/>
                <w:szCs w:val="21"/>
              </w:rPr>
              <w:t xml:space="preserve">2</w:t>
            </w:r>
            <w:r/>
          </w:p>
        </w:tc>
        <w:tc>
          <w:tcPr>
            <w:tcBorders>
              <w:top w:val="single" w:color="auto" w:sz="4" w:space="0"/>
              <w:left w:val="single" w:color="auto" w:sz="4" w:space="0"/>
              <w:bottom w:val="single" w:color="auto" w:sz="4" w:space="0"/>
              <w:right w:val="single" w:color="auto" w:sz="4" w:space="0"/>
            </w:tcBorders>
            <w:tcW w:w="442" w:type="pct"/>
            <w:vAlign w:val="center"/>
            <w:vMerge w:val="continue"/>
            <w:textDirection w:val="lrTb"/>
            <w:noWrap w:val="false"/>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222" w:type="pct"/>
            <w:vAlign w:val="center"/>
            <w:vMerge w:val="continue"/>
            <w:textDirection w:val="lrTb"/>
            <w:noWrap w:val="false"/>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pPr>
            <w:r>
              <w:rPr>
                <w:rFonts w:eastAsiaTheme="minorEastAsia"/>
                <w:bCs/>
                <w:szCs w:val="21"/>
              </w:rPr>
              <w:t xml:space="preserve">75</w:t>
            </w:r>
            <w:r/>
          </w:p>
        </w:tc>
        <w:tc>
          <w:tcPr>
            <w:tcBorders>
              <w:top w:val="single" w:color="auto" w:sz="4" w:space="0"/>
              <w:left w:val="single" w:color="auto" w:sz="4" w:space="0"/>
              <w:bottom w:val="single" w:color="auto" w:sz="4" w:space="0"/>
              <w:right w:val="single" w:color="auto" w:sz="4" w:space="0"/>
            </w:tcBorders>
            <w:tcW w:w="574"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ind w:right="-107"/>
              <w:jc w:val="center"/>
              <w:tabs>
                <w:tab w:val="left" w:pos="4788" w:leader="none"/>
              </w:tabs>
            </w:pPr>
            <w:r>
              <w:t xml:space="preserve">核心产品</w:t>
            </w:r>
            <w:r/>
          </w:p>
        </w:tc>
      </w:tr>
      <w:tr>
        <w:trPr>
          <w:trHeight w:val="219"/>
        </w:trPr>
        <w:tc>
          <w:tcPr>
            <w:tcBorders>
              <w:top w:val="single" w:color="auto" w:sz="4" w:space="0"/>
              <w:left w:val="single" w:color="auto" w:sz="4" w:space="0"/>
              <w:bottom w:val="single" w:color="auto" w:sz="4" w:space="0"/>
              <w:right w:val="single" w:color="auto" w:sz="4" w:space="0"/>
            </w:tcBorders>
            <w:tcW w:w="23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tcPr>
          <w:p>
            <w:pPr>
              <w:jc w:val="center"/>
              <w:widowControl/>
              <w:rPr>
                <w:rFonts w:eastAsiaTheme="minorEastAsia"/>
              </w:rPr>
            </w:pPr>
            <w:r>
              <w:rPr>
                <w:rFonts w:eastAsiaTheme="minorEastAsia"/>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385" w:type="pct"/>
            <w:vAlign w:val="center"/>
            <w:textDirection w:val="lrTb"/>
            <w:noWrap w:val="false"/>
          </w:tcPr>
          <w:p>
            <w:pPr>
              <w:jc w:val="center"/>
            </w:pPr>
            <w:r>
              <w:t xml:space="preserve">运动粘度测定仪B</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widowControl/>
              <w:rPr>
                <w:rFonts w:eastAsiaTheme="minorEastAsia"/>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442" w:type="pct"/>
            <w:vAlign w:val="center"/>
            <w:vMerge w:val="continue"/>
            <w:textDirection w:val="lrTb"/>
            <w:noWrap w:val="false"/>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222" w:type="pct"/>
            <w:vAlign w:val="center"/>
            <w:vMerge w:val="continue"/>
            <w:textDirection w:val="lrTb"/>
            <w:noWrap w:val="false"/>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pPr>
            <w:r>
              <w:rPr>
                <w:rFonts w:eastAsiaTheme="minorEastAsia"/>
                <w:bCs/>
                <w:szCs w:val="21"/>
              </w:rPr>
              <w:t xml:space="preserve">2.45</w:t>
            </w:r>
            <w:r/>
          </w:p>
        </w:tc>
        <w:tc>
          <w:tcPr>
            <w:tcBorders>
              <w:top w:val="single" w:color="auto" w:sz="4" w:space="0"/>
              <w:left w:val="single" w:color="auto" w:sz="4" w:space="0"/>
              <w:bottom w:val="single" w:color="auto" w:sz="4" w:space="0"/>
              <w:right w:val="single" w:color="auto" w:sz="4" w:space="0"/>
            </w:tcBorders>
            <w:tcW w:w="574"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ind w:right="-107"/>
              <w:jc w:val="center"/>
              <w:tabs>
                <w:tab w:val="left" w:pos="4788" w:leader="none"/>
              </w:tabs>
            </w:pPr>
            <w:r/>
            <w:r/>
          </w:p>
        </w:tc>
      </w:tr>
    </w:tbl>
    <w:p>
      <w:pPr>
        <w:ind w:firstLine="210"/>
        <w:spacing w:line="360" w:lineRule="auto"/>
        <w:rPr>
          <w:szCs w:val="21"/>
        </w:rPr>
      </w:pPr>
      <w:r>
        <w:rPr>
          <w:szCs w:val="21"/>
        </w:rPr>
        <w:t xml:space="preserve">7、合同履行期限：详见采购需求</w:t>
      </w:r>
      <w:r/>
    </w:p>
    <w:p>
      <w:pPr>
        <w:ind w:firstLine="210"/>
        <w:spacing w:line="360" w:lineRule="auto"/>
        <w:rPr>
          <w:szCs w:val="21"/>
        </w:rPr>
      </w:pPr>
      <w:r>
        <w:rPr>
          <w:szCs w:val="21"/>
        </w:rPr>
        <w:t xml:space="preserve">8、</w:t>
      </w:r>
      <w:r>
        <w:rPr>
          <w:b/>
          <w:bCs/>
          <w:color w:val="ff0000"/>
          <w:szCs w:val="21"/>
        </w:rPr>
        <w:t xml:space="preserve">本次采购不接受进口产品投标</w:t>
      </w:r>
      <w:r>
        <w:rPr>
          <w:color w:val="000000"/>
          <w:szCs w:val="21"/>
        </w:rPr>
        <w:t xml:space="preserve">（注：本</w:t>
      </w:r>
      <w:r>
        <w:rPr>
          <w:szCs w:val="21"/>
        </w:rPr>
        <w:t xml:space="preserve">文件所称进口产品是指通过中国海关报关验放进入中国境内且产自关境外的产品）</w:t>
      </w:r>
      <w:r/>
    </w:p>
    <w:p>
      <w:pPr>
        <w:ind w:firstLine="210"/>
        <w:spacing w:line="360" w:lineRule="auto"/>
        <w:rPr>
          <w:color w:val="ff0000"/>
          <w:szCs w:val="21"/>
        </w:rPr>
      </w:pPr>
      <w:r>
        <w:rPr>
          <w:szCs w:val="21"/>
        </w:rPr>
        <w:t xml:space="preserve">9、本项目不接受联合体投标，中标后不允许分包、转包</w:t>
      </w:r>
      <w:r/>
    </w:p>
    <w:p>
      <w:pPr>
        <w:ind w:left="210"/>
        <w:spacing w:line="360" w:lineRule="auto"/>
        <w:rPr>
          <w:szCs w:val="21"/>
        </w:rPr>
      </w:pPr>
      <w:r>
        <w:rPr>
          <w:szCs w:val="21"/>
        </w:rPr>
        <w:t xml:space="preserve">10、集中考察：不组织</w:t>
      </w:r>
      <w:r/>
    </w:p>
    <w:p>
      <w:pPr>
        <w:ind w:left="210"/>
        <w:spacing w:line="360" w:lineRule="auto"/>
        <w:rPr>
          <w:szCs w:val="21"/>
        </w:rPr>
      </w:pPr>
      <w:r>
        <w:rPr>
          <w:szCs w:val="21"/>
        </w:rPr>
        <w:t xml:space="preserve">11、采购标的对应中小企业划分标准所属行业：工业</w:t>
      </w:r>
      <w:r/>
    </w:p>
    <w:p>
      <w:pPr>
        <w:ind w:left="210"/>
        <w:spacing w:line="360" w:lineRule="auto"/>
        <w:rPr>
          <w:szCs w:val="21"/>
        </w:rPr>
      </w:pPr>
      <w:r>
        <w:rPr>
          <w:szCs w:val="21"/>
        </w:rPr>
        <w:t xml:space="preserve">12、本项目非专门面向中小企业采购。</w:t>
      </w:r>
      <w:r/>
    </w:p>
    <w:p>
      <w:pPr>
        <w:pStyle w:val="1399"/>
        <w:rPr>
          <w:bCs/>
        </w:rPr>
      </w:pPr>
      <w:r/>
      <w:bookmarkStart w:id="28" w:name="_Toc231822727"/>
      <w:r>
        <w:t xml:space="preserve">二、申请人的资格要求：</w:t>
      </w:r>
      <w:bookmarkEnd w:id="20"/>
      <w:r/>
      <w:bookmarkEnd w:id="21"/>
      <w:r/>
      <w:bookmarkEnd w:id="22"/>
      <w:r/>
      <w:bookmarkEnd w:id="23"/>
      <w:r/>
      <w:bookmarkEnd w:id="24"/>
      <w:r/>
      <w:bookmarkEnd w:id="25"/>
      <w:r/>
      <w:bookmarkEnd w:id="28"/>
      <w:r/>
      <w:r/>
    </w:p>
    <w:p>
      <w:pPr>
        <w:ind w:left="218"/>
        <w:spacing w:line="360" w:lineRule="auto"/>
        <w:rPr>
          <w:b/>
          <w:bCs/>
          <w:szCs w:val="21"/>
        </w:rPr>
      </w:pPr>
      <w:r>
        <w:rPr>
          <w:b/>
          <w:bCs/>
          <w:szCs w:val="21"/>
        </w:rPr>
        <w:t xml:space="preserve">1、满足《中华人民共和国政府采购法》第二十二条规定：</w:t>
      </w:r>
      <w:r/>
    </w:p>
    <w:p>
      <w:pPr>
        <w:ind w:left="216"/>
        <w:spacing w:line="360" w:lineRule="auto"/>
        <w:shd w:val="clear" w:color="auto" w:fill="ffffff"/>
        <w:widowControl/>
        <w:rPr>
          <w:szCs w:val="21"/>
        </w:rPr>
      </w:pPr>
      <w:r>
        <w:rPr>
          <w:szCs w:val="21"/>
        </w:rPr>
        <w:t xml:space="preserve">1)</w:t>
      </w:r>
      <w:r>
        <w:rPr>
          <w:szCs w:val="21"/>
        </w:rPr>
        <w:t xml:space="preserve">具有独立承担民事责任的能力，提供法人或其他组织的营业执照等证明文件，复印件加盖公章；</w:t>
      </w:r>
      <w:r/>
    </w:p>
    <w:p>
      <w:pPr>
        <w:ind w:left="216"/>
        <w:spacing w:line="360" w:lineRule="auto"/>
        <w:shd w:val="clear" w:color="auto" w:fill="ffffff"/>
        <w:widowControl/>
        <w:rPr>
          <w:szCs w:val="21"/>
        </w:rPr>
      </w:pPr>
      <w:r>
        <w:rPr>
          <w:szCs w:val="21"/>
        </w:rPr>
        <w:t xml:space="preserve">2)法人代表授权书（原件）及法定代表人、授权代表身份证复印件（如果是法定代表人直接参与投标的可以不提供授权书，但须提供法定代表人身份证复印件）；</w:t>
      </w:r>
      <w:r/>
    </w:p>
    <w:p>
      <w:pPr>
        <w:ind w:left="216"/>
        <w:spacing w:line="360" w:lineRule="auto"/>
        <w:shd w:val="clear" w:color="auto" w:fill="ffffff"/>
        <w:widowControl/>
        <w:rPr>
          <w:szCs w:val="21"/>
        </w:rPr>
      </w:pPr>
      <w:r>
        <w:rPr>
          <w:szCs w:val="21"/>
        </w:rPr>
        <w:t xml:space="preserve">3)具有良好的商业信誉和健全的财务会计制度，提供距开标时间十二个月内任意一月份的财务状况报告（至少包括资产负债表和利润表）（法人或者其他组织成立未满三个月的可以不提供）或其银行出具的</w:t>
      </w:r>
      <w:r>
        <w:rPr>
          <w:szCs w:val="21"/>
        </w:rPr>
        <w:t xml:space="preserve">资信证书（复印件）（开标前十二个月内），或其上一年度经审计的财务报告复印件，加盖公章；</w:t>
      </w:r>
      <w:r/>
    </w:p>
    <w:p>
      <w:pPr>
        <w:ind w:left="216"/>
        <w:spacing w:line="360" w:lineRule="auto"/>
        <w:shd w:val="clear" w:color="auto" w:fill="ffffff"/>
        <w:widowControl/>
        <w:rPr>
          <w:szCs w:val="21"/>
        </w:rPr>
      </w:pPr>
      <w:r>
        <w:rPr>
          <w:szCs w:val="21"/>
        </w:rPr>
        <w:t xml:space="preserve">4)具有履行合同所必需的设备和专业技术能力（根据项目需求提供履行合同所必需的设备和专业技术能力的证明材料或相关加盖公章的承诺函，承诺函自行编写）；</w:t>
      </w:r>
      <w:r/>
    </w:p>
    <w:p>
      <w:pPr>
        <w:ind w:left="216"/>
        <w:spacing w:line="360" w:lineRule="auto"/>
        <w:shd w:val="clear" w:color="auto" w:fill="ffffff"/>
        <w:rPr>
          <w:szCs w:val="21"/>
        </w:rPr>
      </w:pPr>
      <w:r>
        <w:rPr>
          <w:szCs w:val="21"/>
        </w:rPr>
        <w:t xml:space="preserve">5)参加政府采购活动近三年内（成立时间不足三年的、自成立时间起），在经营活动中没有重大违法记录（提供加盖公章的承诺书，格式自拟，重大违法记录是指供应商因违法经营受到刑事处罚或责令停产停业、吊销许可证或者执照、较大数额等行政处罚）；</w:t>
      </w:r>
      <w:r/>
    </w:p>
    <w:p>
      <w:pPr>
        <w:ind w:left="216"/>
        <w:spacing w:line="360" w:lineRule="auto"/>
        <w:shd w:val="clear" w:color="auto" w:fill="ffffff"/>
        <w:widowControl/>
        <w:rPr>
          <w:szCs w:val="21"/>
        </w:rPr>
      </w:pPr>
      <w:r>
        <w:rPr>
          <w:szCs w:val="21"/>
        </w:rPr>
        <w:t xml:space="preserve">6)有依法缴纳税收的良好记录，提供所属时期为距开标时间六</w:t>
      </w:r>
      <w:r>
        <w:rPr>
          <w:szCs w:val="21"/>
        </w:rPr>
        <w:t xml:space="preserve">个月内任意一月份的税收完税证明等相关证明材料复印件加盖公章（提供材料须体现所属时期，依法免税的应提供相应文件说明）；</w:t>
      </w:r>
      <w:r/>
    </w:p>
    <w:p>
      <w:pPr>
        <w:ind w:left="216"/>
        <w:spacing w:line="360" w:lineRule="auto"/>
        <w:shd w:val="clear" w:color="auto" w:fill="ffffff"/>
        <w:widowControl/>
        <w:rPr>
          <w:szCs w:val="21"/>
        </w:rPr>
      </w:pPr>
      <w:r>
        <w:rPr>
          <w:szCs w:val="21"/>
        </w:rPr>
        <w:t xml:space="preserve">7)有依法缴纳社会保障资金的良好记录，提供所属时期为距开标时间六个月内任意一月份的依法缴纳社会保障资金的凭据复印件加盖公章（提供材料须体现所属时期）；</w:t>
      </w:r>
      <w:r/>
    </w:p>
    <w:p>
      <w:pPr>
        <w:ind w:firstLine="211"/>
        <w:spacing w:line="360" w:lineRule="auto"/>
        <w:rPr>
          <w:szCs w:val="21"/>
        </w:rPr>
      </w:pPr>
      <w:r>
        <w:rPr>
          <w:b/>
          <w:bCs/>
          <w:szCs w:val="21"/>
        </w:rPr>
        <w:t xml:space="preserve">2、落实政府采购政策需满足的资格要求：</w:t>
      </w:r>
      <w:r>
        <w:rPr>
          <w:szCs w:val="21"/>
        </w:rPr>
        <w:t xml:space="preserve">无；</w:t>
      </w:r>
      <w:r/>
    </w:p>
    <w:p>
      <w:pPr>
        <w:ind w:left="218"/>
        <w:spacing w:line="360" w:lineRule="auto"/>
        <w:rPr>
          <w:b/>
          <w:bCs/>
          <w:szCs w:val="21"/>
        </w:rPr>
      </w:pPr>
      <w:r>
        <w:rPr>
          <w:b/>
          <w:bCs/>
          <w:szCs w:val="21"/>
        </w:rPr>
        <w:t xml:space="preserve">3、本项目的特定资格要求：无；</w:t>
      </w:r>
      <w:r/>
    </w:p>
    <w:p>
      <w:pPr>
        <w:ind w:left="218"/>
        <w:spacing w:line="360" w:lineRule="auto"/>
        <w:rPr>
          <w:b/>
          <w:bCs/>
          <w:szCs w:val="21"/>
        </w:rPr>
      </w:pPr>
      <w:r>
        <w:rPr>
          <w:b/>
          <w:bCs/>
          <w:szCs w:val="21"/>
        </w:rPr>
        <w:t xml:space="preserve">4、供应商存在下列情形的不得参加本次招标活动：</w:t>
      </w:r>
      <w:r/>
    </w:p>
    <w:p>
      <w:pPr>
        <w:ind w:left="218"/>
        <w:spacing w:line="360" w:lineRule="auto"/>
        <w:shd w:val="clear" w:color="auto" w:fill="ffffff"/>
        <w:widowControl/>
        <w:rPr>
          <w:color w:val="0000ff"/>
          <w:szCs w:val="21"/>
        </w:rPr>
      </w:pPr>
      <w:r>
        <w:rPr>
          <w:color w:val="000000"/>
          <w:szCs w:val="21"/>
        </w:rPr>
        <w:t xml:space="preserve">（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3）拒绝列入失信被执行人、重大税收违法案件当事人名单、政府采购严重违法失信行为记录名单的供应商参与政府采购活动。采购代理机构将在开标结束后，通过“中国政府采购网”、“信用中国”网站等渠道查询投标人信用记录并保存。</w:t>
      </w:r>
      <w:r/>
    </w:p>
    <w:p>
      <w:pPr>
        <w:pStyle w:val="1399"/>
        <w:rPr>
          <w:bCs/>
        </w:rPr>
      </w:pPr>
      <w:r/>
      <w:bookmarkStart w:id="29" w:name="_Toc13065"/>
      <w:r/>
      <w:bookmarkStart w:id="30" w:name="_Toc6688"/>
      <w:r/>
      <w:bookmarkStart w:id="31" w:name="_Toc231822728"/>
      <w:r>
        <w:t xml:space="preserve">三、获取招标文件</w:t>
      </w:r>
      <w:bookmarkEnd w:id="29"/>
      <w:r/>
      <w:bookmarkEnd w:id="30"/>
      <w:r/>
      <w:bookmarkEnd w:id="31"/>
      <w:r/>
      <w:r/>
    </w:p>
    <w:p>
      <w:pPr>
        <w:ind w:left="220" w:hanging="10"/>
        <w:spacing w:line="360" w:lineRule="auto"/>
        <w:rPr>
          <w:szCs w:val="21"/>
        </w:rPr>
      </w:pPr>
      <w:r>
        <w:rPr>
          <w:szCs w:val="21"/>
        </w:rPr>
        <w:t xml:space="preserve">1、时间：自招标公告发布之日起5个工作日，2026年08月05日起至2026年08月12日止，每天9：00—11：30，14：00—17：00（北京时间，节假日除外）；</w:t>
      </w:r>
      <w:r>
        <w:rPr>
          <w:b/>
          <w:bCs/>
          <w:szCs w:val="21"/>
        </w:rPr>
        <w:t xml:space="preserve">未在规定时间内报名的潜在投标人将失去投标资格。</w:t>
      </w:r>
      <w:r/>
    </w:p>
    <w:p>
      <w:pPr>
        <w:ind w:left="220" w:hanging="10"/>
        <w:spacing w:line="360" w:lineRule="auto"/>
        <w:rPr>
          <w:szCs w:val="21"/>
        </w:rPr>
      </w:pPr>
      <w:r>
        <w:rPr>
          <w:szCs w:val="21"/>
        </w:rPr>
        <w:t xml:space="preserve">2、地点：“苏采云”系统注册登记成功后免费下载</w:t>
      </w:r>
      <w:r/>
    </w:p>
    <w:p>
      <w:pPr>
        <w:ind w:left="220" w:hanging="10"/>
        <w:spacing w:line="360" w:lineRule="auto"/>
        <w:rPr>
          <w:szCs w:val="21"/>
        </w:rPr>
      </w:pPr>
      <w:r>
        <w:rPr>
          <w:szCs w:val="21"/>
        </w:rPr>
        <w:t xml:space="preserve">3、获取方式：本项目采用网上注册登记方式</w:t>
      </w:r>
      <w:r/>
    </w:p>
    <w:p>
      <w:pPr>
        <w:ind w:left="220" w:hanging="10"/>
        <w:spacing w:line="360" w:lineRule="auto"/>
        <w:rPr>
          <w:szCs w:val="21"/>
        </w:rPr>
      </w:pPr>
      <w:r>
        <w:rPr>
          <w:szCs w:val="21"/>
        </w:rPr>
        <w:t xml:space="preserve">3.1潜在供应商访问电子招标响应交易平台的网络地址和方法：</w:t>
      </w:r>
      <w:r/>
    </w:p>
    <w:p>
      <w:pPr>
        <w:ind w:left="220" w:hanging="10"/>
        <w:spacing w:line="360" w:lineRule="auto"/>
        <w:rPr>
          <w:szCs w:val="21"/>
        </w:rPr>
      </w:pPr>
      <w:r>
        <w:rPr>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left="220" w:hanging="10"/>
        <w:spacing w:line="360" w:lineRule="auto"/>
        <w:rPr>
          <w:szCs w:val="21"/>
        </w:rPr>
      </w:pPr>
      <w:r>
        <w:rPr>
          <w:szCs w:val="21"/>
        </w:rPr>
        <w:t xml:space="preserve">3.2潜在供应商访问“苏采云”系统的网络地址和方法：“苏采云”系统的网址：http://jszfcg.jsczt.cn/。</w:t>
      </w:r>
      <w:r/>
    </w:p>
    <w:p>
      <w:pPr>
        <w:ind w:left="220" w:hanging="10"/>
        <w:spacing w:line="360" w:lineRule="auto"/>
        <w:rPr>
          <w:szCs w:val="21"/>
        </w:rPr>
      </w:pPr>
      <w:r>
        <w:rPr>
          <w:szCs w:val="21"/>
        </w:rPr>
        <w:t xml:space="preserve">3.3“CA数字证书”的获取：</w:t>
      </w:r>
      <w:r/>
    </w:p>
    <w:p>
      <w:pPr>
        <w:ind w:left="220" w:hanging="10"/>
        <w:spacing w:line="360" w:lineRule="auto"/>
        <w:rPr>
          <w:szCs w:val="21"/>
        </w:rPr>
      </w:pPr>
      <w:r>
        <w:rPr>
          <w:szCs w:val="21"/>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left="220" w:hanging="10"/>
        <w:spacing w:line="360" w:lineRule="auto"/>
        <w:rPr>
          <w:szCs w:val="21"/>
        </w:rPr>
      </w:pPr>
      <w:r>
        <w:rPr>
          <w:szCs w:val="21"/>
        </w:rPr>
        <w:t xml:space="preserve">3.4采购文件（后缀名为“.kedt”）、供应商操作手册及政府采购客户端工具可通过“苏采云”系统--已报名项目--报名详情页面内相应链接进行下载。</w:t>
      </w:r>
      <w:r/>
    </w:p>
    <w:p>
      <w:pPr>
        <w:ind w:left="220" w:hanging="10"/>
        <w:spacing w:line="360" w:lineRule="auto"/>
        <w:rPr>
          <w:szCs w:val="21"/>
        </w:rPr>
      </w:pPr>
      <w:r>
        <w:rPr>
          <w:szCs w:val="21"/>
        </w:rPr>
        <w:t xml:space="preserve">3.5招标代理机构（采购代理机构）将数据电文形式的采购文件加载至“苏采云”系统，供潜在供应商下载或者查阅。</w:t>
      </w:r>
      <w:r/>
    </w:p>
    <w:p>
      <w:pPr>
        <w:ind w:left="220" w:hanging="10"/>
        <w:spacing w:line="360" w:lineRule="auto"/>
        <w:rPr>
          <w:szCs w:val="21"/>
        </w:rPr>
      </w:pPr>
      <w:r>
        <w:rPr>
          <w:szCs w:val="21"/>
        </w:rPr>
        <w:t xml:space="preserve">3.6请潜在投标单位提前安装相应的控件（详见《江苏省政府采购管理交易系统（苏采云）供应商操作手册》）并使用谷歌浏览器登录“苏采云”系统参与不见面开评标。</w:t>
      </w:r>
      <w:r/>
    </w:p>
    <w:p>
      <w:pPr>
        <w:pStyle w:val="1399"/>
        <w:rPr>
          <w:bCs/>
        </w:rPr>
      </w:pPr>
      <w:r/>
      <w:bookmarkStart w:id="32" w:name="_Toc29481"/>
      <w:r/>
      <w:bookmarkStart w:id="33" w:name="_Toc698"/>
      <w:r/>
      <w:bookmarkStart w:id="34" w:name="_Toc231822729"/>
      <w:r>
        <w:t xml:space="preserve">四、提交投标文件截止时间、开标时间和地点</w:t>
      </w:r>
      <w:bookmarkEnd w:id="32"/>
      <w:r/>
      <w:bookmarkEnd w:id="33"/>
      <w:r/>
      <w:bookmarkEnd w:id="34"/>
      <w:r/>
      <w:r/>
    </w:p>
    <w:p>
      <w:pPr>
        <w:pStyle w:val="1513"/>
        <w:rPr>
          <w:sz w:val="21"/>
        </w:rPr>
      </w:pPr>
      <w:r/>
      <w:bookmarkStart w:id="35" w:name="_Toc28359007"/>
      <w:r/>
      <w:bookmarkStart w:id="36" w:name="_Toc35393794"/>
      <w:r/>
      <w:bookmarkStart w:id="37" w:name="_Toc28359084"/>
      <w:r/>
      <w:bookmarkStart w:id="38" w:name="_Toc35393625"/>
      <w:r>
        <w:rPr>
          <w:sz w:val="21"/>
        </w:rPr>
        <w:t xml:space="preserve">1.投标截止时间：2026年08月</w:t>
      </w:r>
      <w:r>
        <w:rPr>
          <w:sz w:val="21"/>
        </w:rPr>
        <w:t xml:space="preserve">27</w:t>
      </w:r>
      <w:r/>
      <w:r>
        <w:rPr>
          <w:sz w:val="21"/>
        </w:rPr>
        <w:t xml:space="preserve">日09：30（北京时间）</w:t>
      </w:r>
      <w:r/>
    </w:p>
    <w:p>
      <w:pPr>
        <w:pStyle w:val="1513"/>
        <w:rPr>
          <w:sz w:val="21"/>
        </w:rPr>
      </w:pPr>
      <w:r>
        <w:rPr>
          <w:sz w:val="21"/>
        </w:rPr>
        <w:t xml:space="preserve">2.开标时间：2026年08月</w:t>
      </w:r>
      <w:r>
        <w:rPr>
          <w:sz w:val="21"/>
        </w:rPr>
        <w:t xml:space="preserve">27</w:t>
      </w:r>
      <w:r/>
      <w:r>
        <w:rPr>
          <w:sz w:val="21"/>
        </w:rPr>
        <w:t xml:space="preserve">日09：30（北京时间） </w:t>
      </w:r>
      <w:r/>
    </w:p>
    <w:p>
      <w:pPr>
        <w:pStyle w:val="1513"/>
        <w:rPr>
          <w:sz w:val="21"/>
        </w:rPr>
      </w:pPr>
      <w:r>
        <w:rPr>
          <w:sz w:val="21"/>
        </w:rPr>
        <w:t xml:space="preserve">3.开标地点：“苏采云”系统（网址： http</w:t>
      </w:r>
      <w:r>
        <w:rPr>
          <w:rFonts w:hint="eastAsia"/>
          <w:sz w:val="21"/>
        </w:rPr>
        <w:t xml:space="preserve">:</w:t>
      </w:r>
      <w:r>
        <w:rPr>
          <w:sz w:val="21"/>
        </w:rPr>
        <w:t xml:space="preserve">//jszfcg.jsczt.cn/）“开标大厅”，点击“苏采云”进入系统“开标大厅”。</w:t>
      </w:r>
      <w:r/>
    </w:p>
    <w:p>
      <w:pPr>
        <w:ind w:firstLine="420"/>
        <w:spacing w:line="360" w:lineRule="auto"/>
        <w:rPr>
          <w:szCs w:val="21"/>
        </w:rPr>
      </w:pPr>
      <w:r>
        <w:rPr>
          <w:szCs w:val="21"/>
        </w:rPr>
        <w:t xml:space="preserve">注：各供应商请关注开标大厅交流区，在开标结束后，请勿离开开标大厅。</w:t>
      </w:r>
      <w:r/>
    </w:p>
    <w:p>
      <w:pPr>
        <w:ind w:firstLine="420"/>
        <w:spacing w:line="360" w:lineRule="auto"/>
        <w:rPr>
          <w:bCs/>
          <w:szCs w:val="21"/>
          <w:u w:val="single"/>
        </w:rPr>
      </w:pPr>
      <w:r>
        <w:rPr>
          <w:szCs w:val="21"/>
        </w:rPr>
        <w:t xml:space="preserve">4.投标文件的解密：开标当天各供应商及时登录不见面开标大厅。响应文件递交截止时间后，采购人将在系统内公布投标</w:t>
      </w:r>
      <w:r>
        <w:rPr>
          <w:szCs w:val="21"/>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pStyle w:val="1399"/>
        <w:rPr>
          <w:bCs/>
        </w:rPr>
      </w:pPr>
      <w:r/>
      <w:bookmarkStart w:id="39" w:name="_Toc27623"/>
      <w:r/>
      <w:bookmarkStart w:id="40" w:name="_Toc231822730"/>
      <w:r/>
      <w:bookmarkStart w:id="41" w:name="_Toc32448"/>
      <w:r>
        <w:t xml:space="preserve">五、公告期限</w:t>
      </w:r>
      <w:bookmarkEnd w:id="35"/>
      <w:r/>
      <w:bookmarkEnd w:id="36"/>
      <w:r/>
      <w:bookmarkEnd w:id="37"/>
      <w:r/>
      <w:bookmarkEnd w:id="38"/>
      <w:r/>
      <w:bookmarkEnd w:id="39"/>
      <w:r/>
      <w:bookmarkEnd w:id="40"/>
      <w:r/>
      <w:bookmarkEnd w:id="41"/>
      <w:r/>
      <w:r/>
    </w:p>
    <w:p>
      <w:pPr>
        <w:ind w:left="210" w:firstLine="10"/>
        <w:spacing w:line="360" w:lineRule="auto"/>
        <w:rPr>
          <w:szCs w:val="21"/>
        </w:rPr>
      </w:pPr>
      <w:r>
        <w:rPr>
          <w:szCs w:val="21"/>
        </w:rPr>
        <w:t xml:space="preserve">自本公告发布之日起5个工作日。</w:t>
      </w:r>
      <w:r/>
    </w:p>
    <w:p>
      <w:pPr>
        <w:pStyle w:val="1399"/>
        <w:rPr>
          <w:bCs/>
        </w:rPr>
      </w:pPr>
      <w:r/>
      <w:bookmarkStart w:id="42" w:name="_Toc27208"/>
      <w:r/>
      <w:bookmarkStart w:id="43" w:name="_Toc231822731"/>
      <w:r/>
      <w:bookmarkStart w:id="44" w:name="_Toc35393626"/>
      <w:r/>
      <w:bookmarkStart w:id="45" w:name="_Toc4129"/>
      <w:r/>
      <w:bookmarkStart w:id="46" w:name="_Toc35393795"/>
      <w:r>
        <w:t xml:space="preserve">六、其他补充事宜</w:t>
      </w:r>
      <w:bookmarkEnd w:id="42"/>
      <w:r/>
      <w:bookmarkEnd w:id="43"/>
      <w:r/>
      <w:bookmarkEnd w:id="44"/>
      <w:r/>
      <w:bookmarkEnd w:id="45"/>
      <w:r/>
      <w:bookmarkEnd w:id="46"/>
      <w:r/>
      <w:bookmarkEnd w:id="2"/>
      <w:r/>
      <w:r/>
    </w:p>
    <w:p>
      <w:pPr>
        <w:pStyle w:val="1511"/>
        <w:spacing w:line="360" w:lineRule="auto"/>
        <w:rPr>
          <w:szCs w:val="21"/>
        </w:rPr>
      </w:pPr>
      <w:r>
        <w:rPr>
          <w:szCs w:val="21"/>
        </w:rPr>
        <w:t xml:space="preserve">1.本项目公告媒体：江苏政府采购网（http://www.ccgp-jiangsu.gov.cn/）</w:t>
      </w:r>
      <w:r/>
    </w:p>
    <w:p>
      <w:pPr>
        <w:pStyle w:val="1511"/>
        <w:spacing w:line="360" w:lineRule="auto"/>
        <w:rPr>
          <w:szCs w:val="21"/>
        </w:rPr>
      </w:pPr>
      <w:r>
        <w:rPr>
          <w:szCs w:val="2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1511"/>
        <w:spacing w:line="360" w:lineRule="auto"/>
        <w:rPr>
          <w:szCs w:val="21"/>
        </w:rPr>
      </w:pPr>
      <w:r>
        <w:rPr>
          <w:szCs w:val="21"/>
        </w:rPr>
        <w:t xml:space="preserve">http://www.ccgp-jiangsu.gov.cn/jiangsu/zlxz/ee/ee3a4bc5a3454aa2b0d9312230633ce9.html。</w:t>
      </w:r>
      <w:r/>
    </w:p>
    <w:p>
      <w:pPr>
        <w:pStyle w:val="1511"/>
        <w:spacing w:line="360" w:lineRule="auto"/>
        <w:rPr>
          <w:szCs w:val="21"/>
        </w:rPr>
      </w:pPr>
      <w:r>
        <w:rPr>
          <w:szCs w:val="21"/>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spacing w:line="360" w:lineRule="auto"/>
        <w:rPr>
          <w:szCs w:val="21"/>
        </w:rPr>
      </w:pPr>
      <w:r>
        <w:rPr>
          <w:szCs w:val="21"/>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pStyle w:val="1492"/>
        <w:ind w:left="216" w:firstLine="0"/>
        <w:spacing w:line="360" w:lineRule="auto"/>
        <w:rPr>
          <w:rFonts w:ascii="Times New Roman" w:hAnsi="Times New Roman"/>
          <w:szCs w:val="21"/>
        </w:rPr>
      </w:pPr>
      <w:r>
        <w:rPr>
          <w:rFonts w:ascii="Times New Roman" w:hAnsi="Times New Roman"/>
          <w:szCs w:val="21"/>
        </w:rPr>
        <w:t xml:space="preserve">4.有关本次招标的事项若存在变动或修改，敬请及时关注在“江苏政府采购网”发布的更正公告。</w:t>
      </w:r>
      <w:r/>
    </w:p>
    <w:p>
      <w:pPr>
        <w:pStyle w:val="1399"/>
        <w:rPr>
          <w:bCs/>
        </w:rPr>
      </w:pPr>
      <w:r/>
      <w:bookmarkStart w:id="47" w:name="_Toc231822732"/>
      <w:r>
        <w:t xml:space="preserve">七、对本次招标提出询问，请按以下方式联系。</w:t>
      </w:r>
      <w:bookmarkEnd w:id="47"/>
      <w:r/>
      <w:r/>
    </w:p>
    <w:p>
      <w:pPr>
        <w:pStyle w:val="1437"/>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1、采购人信息</w:t>
      </w:r>
      <w:r/>
    </w:p>
    <w:p>
      <w:pPr>
        <w:pStyle w:val="1437"/>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名 称：江苏省特种设备安全监督检验研究院</w:t>
      </w:r>
      <w:r/>
    </w:p>
    <w:p>
      <w:pPr>
        <w:pStyle w:val="1437"/>
        <w:ind w:left="214" w:hanging="6"/>
        <w:spacing w:before="0" w:beforeAutospacing="0" w:after="0" w:afterAutospacing="0" w:line="360" w:lineRule="auto"/>
        <w:rPr>
          <w:rFonts w:ascii="Times New Roman" w:hAnsi="Times New Roman" w:eastAsia="宋体"/>
          <w:color w:val="auto"/>
          <w:sz w:val="21"/>
          <w:szCs w:val="21"/>
        </w:rPr>
      </w:pPr>
      <w:r/>
      <w:bookmarkStart w:id="48" w:name="_Toc28359086"/>
      <w:r/>
      <w:bookmarkStart w:id="49" w:name="_Toc28359009"/>
      <w:r>
        <w:rPr>
          <w:rFonts w:ascii="Times New Roman" w:hAnsi="Times New Roman" w:eastAsia="宋体"/>
          <w:color w:val="auto"/>
          <w:sz w:val="21"/>
          <w:szCs w:val="21"/>
        </w:rPr>
        <w:t xml:space="preserve">地址：江苏省南京市鼓楼区草场门大街107号龙江大厦</w:t>
      </w:r>
      <w:r/>
    </w:p>
    <w:p>
      <w:pPr>
        <w:pStyle w:val="1437"/>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联系人：李工</w:t>
      </w:r>
      <w:r/>
    </w:p>
    <w:p>
      <w:pPr>
        <w:pStyle w:val="1437"/>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电  话：025-89621099</w:t>
      </w:r>
      <w:bookmarkEnd w:id="48"/>
      <w:r/>
      <w:bookmarkEnd w:id="49"/>
      <w:r/>
      <w:r/>
    </w:p>
    <w:p>
      <w:pPr>
        <w:pStyle w:val="1437"/>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2、采购代理机构信息</w:t>
      </w:r>
      <w:r/>
    </w:p>
    <w:p>
      <w:pPr>
        <w:pStyle w:val="1437"/>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名　称：江苏美达机电贸易有限公司</w:t>
      </w:r>
      <w:r/>
    </w:p>
    <w:p>
      <w:pPr>
        <w:pStyle w:val="1437"/>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地　址：南京市长江路198号苏美达大厦6楼西</w:t>
      </w:r>
      <w:r/>
    </w:p>
    <w:p>
      <w:pPr>
        <w:pStyle w:val="1437"/>
        <w:ind w:firstLine="210"/>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联系人：栾钧杰（01包）、郭琳（02、03包）</w:t>
      </w:r>
      <w:r/>
    </w:p>
    <w:p>
      <w:pPr>
        <w:pStyle w:val="1437"/>
        <w:ind w:firstLine="210"/>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电　话：025-84532519、025-84532564</w:t>
      </w:r>
      <w:r/>
    </w:p>
    <w:p>
      <w:pPr>
        <w:numPr>
          <w:ilvl w:val="0"/>
          <w:numId w:val="3"/>
        </w:numPr>
        <w:ind w:left="218"/>
        <w:spacing w:line="360" w:lineRule="auto"/>
        <w:rPr>
          <w:szCs w:val="21"/>
        </w:rPr>
      </w:pPr>
      <w:r>
        <w:rPr>
          <w:szCs w:val="21"/>
        </w:rPr>
        <w:t xml:space="preserve">项目联系方式</w:t>
      </w:r>
      <w:r/>
    </w:p>
    <w:p>
      <w:pPr>
        <w:pStyle w:val="1437"/>
        <w:ind w:firstLine="210"/>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联系人：栾钧杰（01包）、郭琳（02、03包）</w:t>
      </w:r>
      <w:r/>
    </w:p>
    <w:p>
      <w:pPr>
        <w:pStyle w:val="1437"/>
        <w:ind w:firstLine="210"/>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电　话：025-84532519、025-84532564</w:t>
      </w:r>
      <w:r/>
    </w:p>
    <w:p>
      <w:pPr>
        <w:jc w:val="center"/>
        <w:spacing w:line="360" w:lineRule="auto"/>
        <w:rPr>
          <w:b/>
          <w:color w:val="000000"/>
          <w:szCs w:val="21"/>
        </w:rPr>
        <w:outlineLvl w:val="0"/>
      </w:pPr>
      <w:r>
        <w:rPr>
          <w:color w:val="000000"/>
          <w:szCs w:val="21"/>
        </w:rPr>
        <w:br w:type="page" w:clear="all"/>
      </w:r>
      <w:bookmarkStart w:id="50" w:name="_Toc28996"/>
      <w:r/>
      <w:bookmarkStart w:id="51" w:name="_Toc231822733"/>
      <w:r/>
      <w:bookmarkStart w:id="52" w:name="_Toc5585"/>
      <w:r>
        <w:rPr>
          <w:b/>
          <w:color w:val="000000"/>
          <w:sz w:val="28"/>
          <w:szCs w:val="28"/>
        </w:rPr>
        <w:t xml:space="preserve">第二章 投标人须知</w:t>
      </w:r>
      <w:bookmarkEnd w:id="50"/>
      <w:r/>
      <w:bookmarkEnd w:id="51"/>
      <w:r/>
      <w:bookmarkEnd w:id="52"/>
      <w:r/>
      <w:r/>
    </w:p>
    <w:p>
      <w:pPr>
        <w:spacing w:line="360" w:lineRule="auto"/>
        <w:shd w:val="clear" w:color="auto" w:fill="ffffff"/>
        <w:widowControl/>
        <w:rPr>
          <w:b/>
          <w:bCs/>
          <w:color w:val="000000"/>
          <w:szCs w:val="21"/>
        </w:rPr>
      </w:pPr>
      <w:r>
        <w:rPr>
          <w:b/>
          <w:bCs/>
          <w:color w:val="000000"/>
          <w:szCs w:val="21"/>
        </w:rPr>
        <w:t xml:space="preserve">投标人须知前附表</w:t>
      </w:r>
      <w:r/>
    </w:p>
    <w:tbl>
      <w:tblPr>
        <w:tblStyle w:val="140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7"/>
        <w:gridCol w:w="8731"/>
      </w:tblGrid>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序号</w:t>
            </w:r>
            <w:r/>
          </w:p>
        </w:tc>
        <w:tc>
          <w:tcPr>
            <w:tcW w:w="4533" w:type="pct"/>
            <w:vAlign w:val="center"/>
            <w:textDirection w:val="lrTb"/>
            <w:noWrap w:val="false"/>
          </w:tcPr>
          <w:p>
            <w:pPr>
              <w:jc w:val="center"/>
              <w:spacing w:line="360" w:lineRule="auto"/>
              <w:rPr>
                <w:b/>
                <w:color w:val="000000"/>
                <w:szCs w:val="21"/>
              </w:rPr>
            </w:pPr>
            <w:r>
              <w:rPr>
                <w:b/>
                <w:color w:val="000000"/>
                <w:szCs w:val="21"/>
              </w:rPr>
              <w:t xml:space="preserve">主要内容</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1</w:t>
            </w:r>
            <w:r/>
          </w:p>
        </w:tc>
        <w:tc>
          <w:tcPr>
            <w:tcW w:w="4533" w:type="pct"/>
            <w:vAlign w:val="center"/>
            <w:textDirection w:val="lrTb"/>
            <w:noWrap w:val="false"/>
          </w:tcPr>
          <w:p>
            <w:pPr>
              <w:pStyle w:val="1437"/>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采购人：江苏省特种设备安全监督检验研究院</w:t>
            </w:r>
            <w:r/>
          </w:p>
          <w:p>
            <w:pPr>
              <w:pStyle w:val="1437"/>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地　址：江苏省南京市鼓楼区草场门大街107号龙江大厦</w:t>
            </w:r>
            <w:r/>
          </w:p>
          <w:p>
            <w:pPr>
              <w:pStyle w:val="1437"/>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联系人</w:t>
            </w:r>
            <w:r>
              <w:rPr>
                <w:rFonts w:ascii="Times New Roman" w:hAnsi="Times New Roman" w:eastAsia="宋体"/>
                <w:color w:val="auto"/>
                <w:sz w:val="21"/>
                <w:szCs w:val="21"/>
              </w:rPr>
              <w:t xml:space="preserve">：李工</w:t>
            </w:r>
            <w:r/>
          </w:p>
          <w:p>
            <w:pPr>
              <w:pStyle w:val="1437"/>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电　话：025-89621099</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2</w:t>
            </w:r>
            <w:r/>
          </w:p>
        </w:tc>
        <w:tc>
          <w:tcPr>
            <w:tcW w:w="4533" w:type="pct"/>
            <w:vAlign w:val="center"/>
            <w:textDirection w:val="lrTb"/>
            <w:noWrap w:val="false"/>
          </w:tcPr>
          <w:p>
            <w:pPr>
              <w:pStyle w:val="1437"/>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采购代理机构：江苏美达机电贸易有限公司</w:t>
            </w:r>
            <w:r/>
          </w:p>
          <w:p>
            <w:pPr>
              <w:pStyle w:val="1437"/>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sz w:val="21"/>
                <w:szCs w:val="21"/>
              </w:rPr>
              <w:t xml:space="preserve">联系地址：</w:t>
            </w:r>
            <w:r>
              <w:rPr>
                <w:rFonts w:ascii="Times New Roman" w:hAnsi="Times New Roman" w:eastAsia="宋体"/>
                <w:color w:val="auto"/>
                <w:sz w:val="21"/>
                <w:szCs w:val="21"/>
              </w:rPr>
              <w:t xml:space="preserve">南京市长江路198号苏美达大厦6楼西</w:t>
            </w:r>
            <w:r/>
          </w:p>
          <w:p>
            <w:pPr>
              <w:pStyle w:val="1437"/>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联系人：栾钧杰（01包）、郭琳（02、03包）</w:t>
            </w:r>
            <w:r/>
          </w:p>
          <w:p>
            <w:pPr>
              <w:pStyle w:val="1437"/>
              <w:spacing w:before="0" w:beforeAutospacing="0" w:after="0" w:afterAutospacing="0" w:line="360" w:lineRule="auto"/>
              <w:rPr>
                <w:rFonts w:ascii="Times New Roman" w:hAnsi="Times New Roman" w:eastAsia="宋体"/>
                <w:sz w:val="21"/>
                <w:szCs w:val="21"/>
              </w:rPr>
            </w:pPr>
            <w:r>
              <w:rPr>
                <w:rFonts w:ascii="Times New Roman" w:hAnsi="Times New Roman" w:eastAsia="宋体"/>
                <w:color w:val="auto"/>
                <w:sz w:val="21"/>
                <w:szCs w:val="21"/>
              </w:rPr>
              <w:t xml:space="preserve">电　话：025-84532519、025-84532564</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3</w:t>
            </w:r>
            <w:r/>
          </w:p>
        </w:tc>
        <w:tc>
          <w:tcPr>
            <w:tcW w:w="4533" w:type="pct"/>
            <w:vAlign w:val="center"/>
            <w:textDirection w:val="lrTb"/>
            <w:noWrap w:val="false"/>
          </w:tcPr>
          <w:p>
            <w:pPr>
              <w:spacing w:line="360" w:lineRule="auto"/>
              <w:shd w:val="clear" w:color="auto" w:fill="ffffff"/>
              <w:widowControl/>
              <w:rPr>
                <w:color w:val="000000"/>
                <w:szCs w:val="21"/>
              </w:rPr>
            </w:pPr>
            <w:r>
              <w:rPr>
                <w:color w:val="000000"/>
                <w:szCs w:val="21"/>
              </w:rPr>
              <w:t xml:space="preserve">项目名称：水介质检验检测设备</w:t>
            </w:r>
            <w:r/>
          </w:p>
          <w:p>
            <w:pPr>
              <w:spacing w:line="360" w:lineRule="auto"/>
              <w:shd w:val="clear" w:color="auto" w:fill="ffffff"/>
              <w:widowControl/>
              <w:rPr>
                <w:color w:val="000000"/>
                <w:szCs w:val="21"/>
              </w:rPr>
            </w:pPr>
            <w:r>
              <w:rPr>
                <w:color w:val="000000"/>
                <w:szCs w:val="21"/>
              </w:rPr>
              <w:t xml:space="preserve">采购编号：4297-2641SUMEC307/01、02、03</w:t>
            </w:r>
            <w:r/>
          </w:p>
          <w:p>
            <w:pPr>
              <w:spacing w:line="360" w:lineRule="auto"/>
              <w:shd w:val="clear" w:color="auto" w:fill="ffffff"/>
              <w:widowControl/>
              <w:rPr>
                <w:b/>
                <w:color w:val="000000"/>
                <w:szCs w:val="21"/>
              </w:rPr>
            </w:pPr>
            <w:r>
              <w:rPr>
                <w:color w:val="000000"/>
                <w:szCs w:val="21"/>
              </w:rPr>
              <w:t xml:space="preserve">（</w:t>
            </w:r>
            <w:r>
              <w:rPr>
                <w:rFonts w:hint="eastAsia"/>
                <w:color w:val="000000"/>
                <w:szCs w:val="21"/>
                <w:lang w:eastAsia="zh-CN"/>
              </w:rPr>
              <w:t xml:space="preserve">公告编号：JSZC-320000-JSSB-G2026-0002</w:t>
            </w:r>
            <w:r>
              <w:rPr>
                <w:color w:val="000000"/>
                <w:szCs w:val="21"/>
              </w:rPr>
              <w:t xml:space="preserve"> ）</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4</w:t>
            </w:r>
            <w:r/>
          </w:p>
        </w:tc>
        <w:tc>
          <w:tcPr>
            <w:tcW w:w="4533" w:type="pct"/>
            <w:vAlign w:val="center"/>
            <w:textDirection w:val="lrTb"/>
            <w:noWrap w:val="false"/>
          </w:tcPr>
          <w:p>
            <w:pPr>
              <w:spacing w:line="360" w:lineRule="auto"/>
              <w:shd w:val="clear" w:color="auto" w:fill="ffffff"/>
              <w:widowControl/>
              <w:rPr>
                <w:color w:val="000000"/>
                <w:szCs w:val="21"/>
              </w:rPr>
            </w:pPr>
            <w:r>
              <w:rPr>
                <w:color w:val="000000"/>
                <w:szCs w:val="21"/>
              </w:rPr>
              <w:t xml:space="preserve">采购方式：</w:t>
            </w:r>
            <w:r>
              <w:rPr>
                <w:b/>
                <w:bCs/>
                <w:color w:val="000000"/>
                <w:szCs w:val="21"/>
              </w:rPr>
              <w:t xml:space="preserve">公开招标</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5</w:t>
            </w:r>
            <w:r/>
          </w:p>
        </w:tc>
        <w:tc>
          <w:tcPr>
            <w:tcW w:w="4533" w:type="pct"/>
            <w:vAlign w:val="center"/>
            <w:textDirection w:val="lrTb"/>
            <w:noWrap w:val="false"/>
          </w:tcPr>
          <w:p>
            <w:pPr>
              <w:spacing w:line="360" w:lineRule="auto"/>
              <w:shd w:val="clear" w:color="auto" w:fill="ffffff"/>
              <w:widowControl/>
              <w:rPr>
                <w:color w:val="000000"/>
                <w:szCs w:val="21"/>
              </w:rPr>
            </w:pPr>
            <w:r>
              <w:rPr>
                <w:b/>
                <w:bCs/>
                <w:color w:val="000000"/>
                <w:szCs w:val="21"/>
              </w:rPr>
              <w:t xml:space="preserve">投标有效期</w:t>
            </w:r>
            <w:r>
              <w:rPr>
                <w:color w:val="000000"/>
                <w:szCs w:val="21"/>
              </w:rPr>
              <w:t xml:space="preserve">：开标之日起90天</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6</w:t>
            </w:r>
            <w:r/>
          </w:p>
        </w:tc>
        <w:tc>
          <w:tcPr>
            <w:tcW w:w="4533" w:type="pct"/>
            <w:vAlign w:val="center"/>
            <w:textDirection w:val="lrTb"/>
            <w:noWrap w:val="false"/>
          </w:tcPr>
          <w:p>
            <w:pPr>
              <w:spacing w:line="360" w:lineRule="auto"/>
              <w:shd w:val="clear" w:color="auto" w:fill="ffffff"/>
              <w:widowControl/>
              <w:rPr>
                <w:b/>
                <w:bCs/>
                <w:color w:val="000000"/>
                <w:szCs w:val="21"/>
              </w:rPr>
            </w:pPr>
            <w:r>
              <w:rPr>
                <w:b/>
                <w:bCs/>
                <w:color w:val="000000"/>
                <w:szCs w:val="21"/>
              </w:rPr>
              <w:t xml:space="preserve">投标保证金：本次不收取投标保证金</w:t>
            </w:r>
            <w:r/>
          </w:p>
        </w:tc>
      </w:tr>
      <w:tr>
        <w:trPr>
          <w:trHeight w:val="559"/>
        </w:trPr>
        <w:tc>
          <w:tcPr>
            <w:tcW w:w="466" w:type="pct"/>
            <w:vAlign w:val="center"/>
            <w:textDirection w:val="lrTb"/>
            <w:noWrap w:val="false"/>
          </w:tcPr>
          <w:p>
            <w:pPr>
              <w:jc w:val="center"/>
              <w:spacing w:line="360" w:lineRule="auto"/>
              <w:rPr>
                <w:b/>
                <w:color w:val="000000"/>
                <w:szCs w:val="21"/>
              </w:rPr>
            </w:pPr>
            <w:r>
              <w:rPr>
                <w:b/>
                <w:color w:val="000000"/>
                <w:szCs w:val="21"/>
              </w:rPr>
              <w:t xml:space="preserve">7</w:t>
            </w:r>
            <w:r/>
          </w:p>
        </w:tc>
        <w:tc>
          <w:tcPr>
            <w:tcW w:w="4533" w:type="pct"/>
            <w:vAlign w:val="center"/>
            <w:textDirection w:val="lrTb"/>
            <w:noWrap w:val="false"/>
          </w:tcPr>
          <w:p>
            <w:pPr>
              <w:pStyle w:val="1437"/>
              <w:spacing w:before="0" w:beforeAutospacing="0" w:after="0" w:afterAutospacing="0" w:line="360" w:lineRule="auto"/>
              <w:rPr>
                <w:rFonts w:ascii="Times New Roman" w:hAnsi="Times New Roman"/>
                <w:szCs w:val="21"/>
              </w:rPr>
            </w:pPr>
            <w:r>
              <w:rPr>
                <w:rFonts w:ascii="Times New Roman" w:hAnsi="Times New Roman" w:eastAsia="宋体"/>
                <w:color w:val="auto"/>
                <w:sz w:val="21"/>
                <w:szCs w:val="21"/>
              </w:rPr>
              <w:t xml:space="preserve">投标文件接收截止时间：2026年08月27日09点30分（北京时间）</w:t>
            </w:r>
            <w:r/>
          </w:p>
          <w:p>
            <w:pPr>
              <w:jc w:val="left"/>
              <w:spacing w:line="360" w:lineRule="auto"/>
              <w:rPr>
                <w:color w:val="000000"/>
                <w:szCs w:val="21"/>
              </w:rPr>
            </w:pPr>
            <w:r>
              <w:rPr>
                <w:color w:val="000000"/>
                <w:szCs w:val="21"/>
              </w:rPr>
              <w:t xml:space="preserve">开标时间：同投标文件接收截止时间</w:t>
            </w:r>
            <w:r/>
          </w:p>
          <w:p>
            <w:pPr>
              <w:pStyle w:val="1453"/>
              <w:ind w:firstLine="0"/>
              <w:spacing w:line="360" w:lineRule="auto"/>
              <w:rPr>
                <w:rFonts w:ascii="Times New Roman"/>
                <w:color w:val="000000"/>
                <w:sz w:val="21"/>
                <w:szCs w:val="21"/>
              </w:rPr>
            </w:pPr>
            <w:r>
              <w:rPr>
                <w:rFonts w:ascii="Times New Roman"/>
                <w:color w:val="000000"/>
                <w:sz w:val="21"/>
                <w:szCs w:val="21"/>
              </w:rPr>
              <w:t xml:space="preserve">开标地点：“苏采云”政府采购交易系统网上开标大厅</w:t>
            </w:r>
            <w:r/>
          </w:p>
        </w:tc>
      </w:tr>
      <w:tr>
        <w:trPr>
          <w:trHeight w:val="1892"/>
        </w:trPr>
        <w:tc>
          <w:tcPr>
            <w:tcW w:w="466" w:type="pct"/>
            <w:vAlign w:val="center"/>
            <w:textDirection w:val="lrTb"/>
            <w:noWrap w:val="false"/>
          </w:tcPr>
          <w:p>
            <w:pPr>
              <w:jc w:val="center"/>
              <w:spacing w:line="360" w:lineRule="auto"/>
              <w:rPr>
                <w:b/>
                <w:color w:val="000000"/>
                <w:szCs w:val="21"/>
              </w:rPr>
            </w:pPr>
            <w:r>
              <w:rPr>
                <w:b/>
                <w:color w:val="000000"/>
                <w:szCs w:val="21"/>
              </w:rPr>
              <w:t xml:space="preserve">9</w:t>
            </w:r>
            <w:r/>
          </w:p>
        </w:tc>
        <w:tc>
          <w:tcPr>
            <w:tcW w:w="4533" w:type="pct"/>
            <w:vAlign w:val="center"/>
            <w:textDirection w:val="lrTb"/>
            <w:noWrap w:val="false"/>
          </w:tcPr>
          <w:p>
            <w:pPr>
              <w:spacing w:line="360" w:lineRule="auto"/>
              <w:rPr>
                <w:b/>
                <w:bCs/>
                <w:color w:val="000000"/>
                <w:szCs w:val="21"/>
              </w:rPr>
            </w:pPr>
            <w:r>
              <w:rPr>
                <w:b/>
                <w:bCs/>
                <w:color w:val="000000"/>
                <w:szCs w:val="21"/>
              </w:rPr>
              <w:t xml:space="preserve">投标报价：</w:t>
            </w:r>
            <w:r/>
          </w:p>
          <w:p>
            <w:pPr>
              <w:ind w:firstLine="211"/>
              <w:spacing w:line="360" w:lineRule="auto"/>
              <w:rPr>
                <w:bCs/>
                <w:color w:val="000000"/>
                <w:szCs w:val="21"/>
              </w:rPr>
            </w:pPr>
            <w:r>
              <w:rPr>
                <w:b/>
                <w:bCs/>
                <w:color w:val="000000"/>
                <w:szCs w:val="21"/>
              </w:rPr>
              <w:t xml:space="preserve">所有投标响应均以人民币报价</w:t>
            </w:r>
            <w:r>
              <w:rPr>
                <w:color w:val="000000"/>
                <w:szCs w:val="21"/>
              </w:rPr>
              <w:t xml:space="preserve">。投标人的投标响应报价应遵守“中华人民共和国价格法”。该报价为到江苏省特种设备安全监督检验研究院现场的全部费用，</w:t>
            </w:r>
            <w:r>
              <w:rPr>
                <w:rFonts w:eastAsiaTheme="minorEastAsia"/>
                <w:color w:val="000000"/>
                <w:szCs w:val="21"/>
              </w:rPr>
              <w:t xml:space="preserve">本次采购范围内全部设备、材料、随设备提供的备品配件及专用工具的价格、全部税费、包装费、运杂费（运抵买方指定地点）、保险费、安装费、调试费、买方操作维护人员培训费、验收检定费（取得法定计量检定机构有效溯源证书并证明合格）</w:t>
            </w:r>
            <w:r>
              <w:rPr>
                <w:color w:val="000000"/>
                <w:szCs w:val="21"/>
              </w:rPr>
              <w:t xml:space="preserve">及相关服务费等一切可能发生的费用。</w:t>
            </w:r>
            <w:r/>
          </w:p>
        </w:tc>
      </w:tr>
      <w:tr>
        <w:trPr>
          <w:trHeight w:val="505"/>
        </w:trPr>
        <w:tc>
          <w:tcPr>
            <w:tcW w:w="466" w:type="pct"/>
            <w:vAlign w:val="center"/>
            <w:textDirection w:val="lrTb"/>
            <w:noWrap w:val="false"/>
          </w:tcPr>
          <w:p>
            <w:pPr>
              <w:jc w:val="center"/>
              <w:spacing w:line="360" w:lineRule="auto"/>
              <w:rPr>
                <w:b/>
                <w:color w:val="000000"/>
                <w:szCs w:val="21"/>
              </w:rPr>
            </w:pPr>
            <w:r>
              <w:rPr>
                <w:b/>
                <w:color w:val="000000"/>
                <w:szCs w:val="21"/>
              </w:rPr>
              <w:t xml:space="preserve">10</w:t>
            </w:r>
            <w:r/>
          </w:p>
        </w:tc>
        <w:tc>
          <w:tcPr>
            <w:tcW w:w="4533" w:type="pct"/>
            <w:vAlign w:val="center"/>
            <w:textDirection w:val="lrTb"/>
            <w:noWrap w:val="false"/>
          </w:tcPr>
          <w:p>
            <w:pPr>
              <w:ind w:firstLine="15"/>
              <w:spacing w:line="360" w:lineRule="auto"/>
              <w:rPr>
                <w:b/>
                <w:color w:val="000000"/>
                <w:szCs w:val="21"/>
              </w:rPr>
            </w:pPr>
            <w:r>
              <w:rPr>
                <w:b/>
                <w:color w:val="000000"/>
                <w:szCs w:val="21"/>
              </w:rPr>
              <w:t xml:space="preserve">现场勘查要求：</w:t>
            </w:r>
            <w:r/>
          </w:p>
          <w:p>
            <w:pPr>
              <w:ind w:firstLine="15"/>
              <w:spacing w:line="360" w:lineRule="auto"/>
              <w:rPr>
                <w:bCs/>
                <w:color w:val="000000"/>
                <w:szCs w:val="21"/>
              </w:rPr>
            </w:pPr>
            <w:r>
              <w:rPr>
                <w:b/>
                <w:color w:val="000000"/>
                <w:szCs w:val="21"/>
              </w:rPr>
              <w:t xml:space="preserve">不组织，</w:t>
            </w:r>
            <w:r>
              <w:rPr>
                <w:color w:val="000000"/>
                <w:szCs w:val="21"/>
              </w:rPr>
              <w:t xml:space="preserve">投标人可自行联系采购人。未考察现场或考察工作不详细的投标人中标后，不得以不完全了解现场情况为理由而向采购人提出任何索赔或其他要求，对此采购人不承担任何责任并将不作任何答复。</w:t>
            </w:r>
            <w:r/>
          </w:p>
        </w:tc>
      </w:tr>
      <w:tr>
        <w:trPr>
          <w:trHeight w:val="1069"/>
        </w:trPr>
        <w:tc>
          <w:tcPr>
            <w:tcW w:w="466" w:type="pct"/>
            <w:vAlign w:val="center"/>
            <w:textDirection w:val="lrTb"/>
            <w:noWrap w:val="false"/>
          </w:tcPr>
          <w:p>
            <w:pPr>
              <w:jc w:val="center"/>
              <w:spacing w:line="360" w:lineRule="auto"/>
              <w:shd w:val="clear" w:color="auto" w:fill="ffffff"/>
              <w:widowControl/>
              <w:rPr>
                <w:color w:val="000000"/>
                <w:szCs w:val="21"/>
              </w:rPr>
            </w:pPr>
            <w:r>
              <w:rPr>
                <w:b/>
                <w:bCs/>
                <w:color w:val="000000"/>
                <w:szCs w:val="21"/>
              </w:rPr>
              <w:t xml:space="preserve">11</w:t>
            </w:r>
            <w:r/>
          </w:p>
        </w:tc>
        <w:tc>
          <w:tcPr>
            <w:tcW w:w="4533" w:type="pct"/>
            <w:vAlign w:val="center"/>
            <w:textDirection w:val="lrTb"/>
            <w:noWrap w:val="false"/>
          </w:tcPr>
          <w:p>
            <w:pPr>
              <w:spacing w:line="360" w:lineRule="auto"/>
              <w:shd w:val="clear" w:color="auto" w:fill="ffffff"/>
              <w:widowControl/>
              <w:rPr>
                <w:color w:val="000000"/>
                <w:szCs w:val="21"/>
              </w:rPr>
            </w:pPr>
            <w:r>
              <w:rPr>
                <w:b/>
                <w:bCs/>
                <w:color w:val="000000"/>
                <w:szCs w:val="21"/>
              </w:rPr>
              <w:t xml:space="preserve">投标报价中的投标价不得超过招标公告、招标文件规定的预算价，超过规定的预算价的投标文件，按无效投标处理。 </w:t>
            </w:r>
            <w:bookmarkEnd w:id="3"/>
            <w:r/>
            <w:bookmarkEnd w:id="4"/>
            <w:r/>
            <w:bookmarkEnd w:id="5"/>
            <w:r/>
            <w:bookmarkEnd w:id="6"/>
            <w:r/>
            <w:bookmarkEnd w:id="7"/>
            <w:r/>
            <w:bookmarkEnd w:id="8"/>
            <w:r/>
            <w:bookmarkEnd w:id="9"/>
            <w:r/>
            <w:r/>
          </w:p>
        </w:tc>
      </w:tr>
    </w:tbl>
    <w:p>
      <w:pPr>
        <w:rPr>
          <w:b/>
          <w:bCs/>
          <w:sz w:val="28"/>
          <w:szCs w:val="28"/>
        </w:rPr>
      </w:pPr>
      <w:r>
        <w:rPr>
          <w:b/>
          <w:bCs/>
          <w:sz w:val="28"/>
          <w:szCs w:val="28"/>
        </w:rPr>
        <w:br w:type="page" w:clear="all"/>
      </w:r>
      <w:bookmarkStart w:id="53" w:name="_Toc231822734"/>
      <w:r>
        <w:rPr>
          <w:b/>
          <w:bCs/>
          <w:szCs w:val="21"/>
        </w:rPr>
        <w:t xml:space="preserve">一、总则</w:t>
      </w:r>
      <w:bookmarkEnd w:id="53"/>
      <w:r/>
      <w:r/>
    </w:p>
    <w:p>
      <w:pPr>
        <w:ind w:firstLine="420"/>
        <w:spacing w:line="360" w:lineRule="auto"/>
        <w:rPr>
          <w:b/>
          <w:szCs w:val="21"/>
          <w:lang w:val="zh-CN"/>
        </w:rPr>
      </w:pPr>
      <w:r/>
      <w:bookmarkStart w:id="54" w:name="_Toc231820594"/>
      <w:r>
        <w:rPr>
          <w:b/>
          <w:bCs/>
          <w:szCs w:val="21"/>
          <w:lang w:val="zh-CN"/>
        </w:rPr>
        <w:t xml:space="preserve">1.</w:t>
      </w:r>
      <w:r>
        <w:rPr>
          <w:b/>
          <w:szCs w:val="21"/>
          <w:lang w:val="zh-CN"/>
        </w:rPr>
        <w:t xml:space="preserve">适用法律</w:t>
      </w:r>
      <w:bookmarkEnd w:id="54"/>
      <w:r/>
      <w:r/>
    </w:p>
    <w:p>
      <w:pPr>
        <w:ind w:firstLine="420"/>
        <w:spacing w:line="360" w:lineRule="auto"/>
        <w:rPr>
          <w:szCs w:val="21"/>
          <w:lang w:val="zh-CN"/>
        </w:rPr>
      </w:pPr>
      <w:r>
        <w:rPr>
          <w:szCs w:val="21"/>
          <w:lang w:val="zh-CN"/>
        </w:rPr>
        <w:t xml:space="preserve">1.1 </w:t>
      </w:r>
      <w:r>
        <w:rPr>
          <w:szCs w:val="21"/>
        </w:rPr>
        <w:t xml:space="preserve">《中华人民共和国招标投标法》、</w:t>
      </w:r>
      <w:r>
        <w:rPr>
          <w:szCs w:val="21"/>
          <w:lang w:val="zh-CN"/>
        </w:rPr>
        <w:t xml:space="preserve">《中华人民共和国政府采购法》、《中华人民共和国政府采购法实施条例》、《政府采购货物和服务招标投标管理办法》等有关法律、规章和规定等。</w:t>
      </w:r>
      <w:r/>
    </w:p>
    <w:p>
      <w:pPr>
        <w:ind w:firstLine="420"/>
        <w:spacing w:line="360" w:lineRule="auto"/>
        <w:rPr>
          <w:b/>
          <w:szCs w:val="21"/>
          <w:lang w:val="zh-CN"/>
        </w:rPr>
      </w:pPr>
      <w:r/>
      <w:bookmarkStart w:id="55" w:name="_Toc231820595"/>
      <w:r>
        <w:rPr>
          <w:b/>
          <w:bCs/>
          <w:szCs w:val="21"/>
          <w:lang w:val="zh-CN"/>
        </w:rPr>
        <w:t xml:space="preserve">2.</w:t>
      </w:r>
      <w:r>
        <w:rPr>
          <w:b/>
          <w:szCs w:val="21"/>
          <w:lang w:val="zh-CN"/>
        </w:rPr>
        <w:t xml:space="preserve">定义</w:t>
      </w:r>
      <w:bookmarkEnd w:id="55"/>
      <w:r/>
      <w:r/>
    </w:p>
    <w:p>
      <w:pPr>
        <w:ind w:firstLine="420"/>
        <w:spacing w:line="360" w:lineRule="auto"/>
        <w:rPr>
          <w:bCs/>
          <w:szCs w:val="21"/>
        </w:rPr>
      </w:pPr>
      <w:r>
        <w:rPr>
          <w:szCs w:val="21"/>
        </w:rPr>
        <w:t xml:space="preserve">2.1本文件</w:t>
      </w:r>
      <w:r>
        <w:rPr>
          <w:bCs/>
          <w:szCs w:val="21"/>
        </w:rPr>
        <w:t xml:space="preserve">中采购代理机构为 </w:t>
      </w:r>
      <w:r>
        <w:rPr>
          <w:b/>
          <w:szCs w:val="21"/>
          <w:u w:val="single"/>
        </w:rPr>
        <w:t xml:space="preserve">江苏美达机电贸易有限公司</w:t>
      </w:r>
      <w:r>
        <w:rPr>
          <w:bCs/>
          <w:szCs w:val="21"/>
        </w:rPr>
        <w:t xml:space="preserve">；采购人为</w:t>
      </w:r>
      <w:r>
        <w:rPr>
          <w:b/>
          <w:szCs w:val="21"/>
          <w:u w:val="single"/>
        </w:rPr>
        <w:t xml:space="preserve">江苏省特种设备安全监督检验研究院</w:t>
      </w:r>
      <w:r>
        <w:rPr>
          <w:bCs/>
          <w:szCs w:val="21"/>
        </w:rPr>
        <w:t xml:space="preserve">；投标人（亦称供应商）系指参加投标竞争并满足招标文件资格要求规定的法人、其他组织或者自然人。</w:t>
      </w:r>
      <w:r/>
    </w:p>
    <w:p>
      <w:pPr>
        <w:ind w:firstLine="420"/>
        <w:spacing w:line="360" w:lineRule="auto"/>
        <w:rPr>
          <w:bCs/>
          <w:szCs w:val="21"/>
        </w:rPr>
      </w:pPr>
      <w:r>
        <w:rPr>
          <w:bCs/>
          <w:szCs w:val="21"/>
        </w:rPr>
        <w:t xml:space="preserve">2.2“货物和服务”指本文件中所述产品及相关货物和服务。</w:t>
      </w:r>
      <w:r/>
    </w:p>
    <w:p>
      <w:pPr>
        <w:ind w:firstLine="420"/>
        <w:spacing w:line="360" w:lineRule="auto"/>
        <w:rPr>
          <w:bCs/>
          <w:szCs w:val="21"/>
        </w:rPr>
      </w:pPr>
      <w:r>
        <w:rPr>
          <w:bCs/>
          <w:szCs w:val="21"/>
        </w:rPr>
        <w:t xml:space="preserve">2.3“用户或使用单位”指使用</w:t>
      </w:r>
      <w:r>
        <w:rPr>
          <w:szCs w:val="21"/>
          <w:lang w:val="zh-CN"/>
        </w:rPr>
        <w:t xml:space="preserve">货物、服务的</w:t>
      </w:r>
      <w:r>
        <w:rPr>
          <w:bCs/>
          <w:szCs w:val="21"/>
        </w:rPr>
        <w:t xml:space="preserve">单位。</w:t>
      </w:r>
      <w:r/>
    </w:p>
    <w:p>
      <w:pPr>
        <w:ind w:firstLine="420"/>
        <w:spacing w:line="360" w:lineRule="auto"/>
        <w:rPr>
          <w:b/>
          <w:szCs w:val="21"/>
          <w:lang w:val="zh-CN"/>
        </w:rPr>
      </w:pPr>
      <w:r/>
      <w:bookmarkStart w:id="56" w:name="_Toc231820596"/>
      <w:r>
        <w:rPr>
          <w:b/>
          <w:bCs/>
          <w:szCs w:val="21"/>
          <w:lang w:val="zh-CN"/>
        </w:rPr>
        <w:t xml:space="preserve">3.</w:t>
      </w:r>
      <w:r>
        <w:rPr>
          <w:b/>
          <w:szCs w:val="21"/>
          <w:lang w:val="zh-CN"/>
        </w:rPr>
        <w:t xml:space="preserve">政策功能</w:t>
      </w:r>
      <w:bookmarkEnd w:id="56"/>
      <w:r/>
      <w:r/>
    </w:p>
    <w:p>
      <w:pPr>
        <w:ind w:firstLine="422"/>
        <w:spacing w:line="360" w:lineRule="auto"/>
        <w:rPr>
          <w:bCs/>
          <w:szCs w:val="21"/>
        </w:rPr>
      </w:pPr>
      <w:r>
        <w:rPr>
          <w:b/>
          <w:szCs w:val="21"/>
        </w:rPr>
        <w:t xml:space="preserve"> </w:t>
      </w:r>
      <w:r>
        <w:rPr>
          <w:bCs/>
          <w:szCs w:val="21"/>
        </w:rPr>
        <w:t xml:space="preserve">3.1 促进中小企业发展政策</w:t>
      </w:r>
      <w:r/>
    </w:p>
    <w:p>
      <w:pPr>
        <w:ind w:firstLine="420"/>
        <w:spacing w:line="360" w:lineRule="auto"/>
        <w:rPr>
          <w:bCs/>
          <w:szCs w:val="21"/>
        </w:rPr>
      </w:pPr>
      <w:r>
        <w:rPr>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bCs/>
          <w:szCs w:val="21"/>
        </w:rPr>
      </w:pPr>
      <w:r>
        <w:rPr>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bCs/>
          <w:szCs w:val="21"/>
        </w:rPr>
      </w:pPr>
      <w:r>
        <w:rPr>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360" w:lineRule="auto"/>
        <w:rPr>
          <w:bCs/>
          <w:szCs w:val="21"/>
        </w:rPr>
      </w:pPr>
      <w:r>
        <w:rPr>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bCs/>
          <w:szCs w:val="21"/>
        </w:rPr>
      </w:pPr>
      <w:r>
        <w:rPr>
          <w:bCs/>
          <w:szCs w:val="21"/>
        </w:rPr>
        <w:t xml:space="preserve">3.2 节能产品、环境标志产品政策</w:t>
      </w:r>
      <w:r/>
    </w:p>
    <w:p>
      <w:pPr>
        <w:ind w:firstLine="420"/>
        <w:spacing w:line="360" w:lineRule="auto"/>
        <w:rPr>
          <w:bCs/>
          <w:szCs w:val="21"/>
        </w:rPr>
      </w:pPr>
      <w:r>
        <w:rPr>
          <w:bCs/>
          <w:szCs w:val="21"/>
        </w:rPr>
        <w:t xml:space="preserve">（1）政府采购节能产品、环境标志产品实施品目清单管理。</w:t>
      </w:r>
      <w:r/>
    </w:p>
    <w:p>
      <w:pPr>
        <w:ind w:firstLine="420"/>
        <w:spacing w:line="360" w:lineRule="auto"/>
        <w:rPr>
          <w:bCs/>
          <w:szCs w:val="21"/>
        </w:rPr>
      </w:pPr>
      <w:r>
        <w:rPr>
          <w:bCs/>
          <w:szCs w:val="21"/>
        </w:rPr>
        <w:t xml:space="preserve">（2）拟采购产品属于节能产品、环境标志产品品目清单规定必须强制采购的，实行强制采购。</w:t>
      </w:r>
      <w:r/>
    </w:p>
    <w:p>
      <w:pPr>
        <w:ind w:firstLine="420"/>
        <w:spacing w:line="360" w:lineRule="auto"/>
        <w:rPr>
          <w:bCs/>
          <w:szCs w:val="21"/>
        </w:rPr>
      </w:pPr>
      <w:r>
        <w:rPr>
          <w:bCs/>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360" w:lineRule="auto"/>
        <w:rPr>
          <w:bCs/>
          <w:szCs w:val="21"/>
        </w:rPr>
      </w:pPr>
      <w:r>
        <w:rPr>
          <w:bCs/>
          <w:szCs w:val="21"/>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szCs w:val="21"/>
        </w:rPr>
      </w:pPr>
      <w:r>
        <w:rPr>
          <w:szCs w:val="21"/>
        </w:rPr>
        <w:t xml:space="preserve">3.3 采购本国产品的支持政策</w:t>
      </w:r>
      <w:r/>
    </w:p>
    <w:p>
      <w:pPr>
        <w:ind w:firstLine="420"/>
        <w:spacing w:line="360" w:lineRule="auto"/>
        <w:rPr>
          <w:szCs w:val="21"/>
        </w:rPr>
      </w:pPr>
      <w:r>
        <w:rPr>
          <w:szCs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20"/>
        <w:spacing w:line="360" w:lineRule="auto"/>
        <w:rPr>
          <w:szCs w:val="21"/>
        </w:rPr>
      </w:pPr>
      <w:r>
        <w:rPr>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szCs w:val="21"/>
        </w:rPr>
      </w:pPr>
      <w:r>
        <w:rPr>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szCs w:val="21"/>
        </w:rPr>
      </w:pPr>
      <w:r>
        <w:rPr>
          <w:szCs w:val="21"/>
        </w:rPr>
        <w:t xml:space="preserve">具体内容如下：</w:t>
      </w:r>
      <w:r/>
    </w:p>
    <w:p>
      <w:pPr>
        <w:ind w:firstLine="420"/>
        <w:spacing w:line="360" w:lineRule="auto"/>
        <w:rPr>
          <w:szCs w:val="21"/>
        </w:rPr>
      </w:pPr>
      <w:r>
        <w:rPr>
          <w:szCs w:val="21"/>
        </w:rPr>
        <w:t xml:space="preserve">3.3.1 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szCs w:val="21"/>
        </w:rPr>
      </w:pPr>
      <w:r>
        <w:rPr>
          <w:szCs w:val="21"/>
        </w:rPr>
        <w:t xml:space="preserve">3.3.2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szCs w:val="21"/>
        </w:rPr>
      </w:pPr>
      <w:r>
        <w:rPr>
          <w:szCs w:val="21"/>
        </w:rPr>
        <w:t xml:space="preserve">3.3.3 供应商需按照招标文件的要求提供《关于符合本国产品标准的声明函》（以下简称《声明函》），如不提供将不享受本国产品价格评审优惠。</w:t>
      </w:r>
      <w:r/>
    </w:p>
    <w:p>
      <w:pPr>
        <w:ind w:firstLine="420"/>
        <w:spacing w:line="360" w:lineRule="auto"/>
        <w:rPr>
          <w:szCs w:val="21"/>
        </w:rPr>
      </w:pPr>
      <w:r>
        <w:rPr>
          <w:szCs w:val="21"/>
        </w:rPr>
        <w:t xml:space="preserve">3.3.4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szCs w:val="21"/>
        </w:rPr>
      </w:pPr>
      <w:r>
        <w:rPr>
          <w:szCs w:val="21"/>
        </w:rPr>
        <w:t xml:space="preserve">3.3.5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b/>
          <w:bCs/>
          <w:szCs w:val="21"/>
        </w:rPr>
      </w:pPr>
      <w:r>
        <w:rPr>
          <w:szCs w:val="21"/>
        </w:rPr>
        <w:t xml:space="preserve">3.4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360" w:lineRule="auto"/>
        <w:rPr>
          <w:bCs/>
          <w:szCs w:val="21"/>
        </w:rPr>
      </w:pPr>
      <w:r>
        <w:rPr>
          <w:bCs/>
          <w:szCs w:val="21"/>
        </w:rPr>
        <w:t xml:space="preserve">3.5 提供的产品属于信息安全产品的，供应商应当选择经国家认证的信息安全产品投标，并提供由中国信息安全认证中心按国家标准认证颁发的有效认证证书复印件。</w:t>
      </w:r>
      <w:r/>
    </w:p>
    <w:p>
      <w:pPr>
        <w:ind w:firstLine="420"/>
        <w:spacing w:line="360" w:lineRule="auto"/>
        <w:rPr>
          <w:bCs/>
          <w:szCs w:val="21"/>
        </w:rPr>
      </w:pPr>
      <w:r>
        <w:rPr>
          <w:bCs/>
          <w:szCs w:val="21"/>
        </w:rPr>
        <w:t xml:space="preserve">3.6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bCs/>
          <w:szCs w:val="21"/>
        </w:rPr>
      </w:pPr>
      <w:r>
        <w:rPr>
          <w:bCs/>
          <w:szCs w:val="21"/>
        </w:rPr>
        <w:t xml:space="preserve">3.7 为推进社会诚信体系建设，根据财政部等政策要求，在政府采购活动中查询、使用信用记录，推进政府采购领域联合惩戒工作。</w:t>
      </w:r>
      <w:r/>
    </w:p>
    <w:p>
      <w:pPr>
        <w:ind w:firstLine="420"/>
        <w:spacing w:line="360" w:lineRule="auto"/>
        <w:rPr>
          <w:bCs/>
          <w:szCs w:val="21"/>
        </w:rPr>
      </w:pPr>
      <w:r/>
      <w:bookmarkStart w:id="57" w:name="_Toc231820597"/>
      <w:r>
        <w:rPr>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bookmarkEnd w:id="57"/>
      <w:r/>
      <w:r/>
    </w:p>
    <w:p>
      <w:pPr>
        <w:ind w:firstLine="420"/>
        <w:spacing w:line="360" w:lineRule="auto"/>
        <w:rPr>
          <w:b/>
          <w:szCs w:val="21"/>
          <w:lang w:val="zh-CN"/>
        </w:rPr>
      </w:pPr>
      <w:r/>
      <w:bookmarkStart w:id="58" w:name="_Toc231820598"/>
      <w:r>
        <w:rPr>
          <w:b/>
          <w:bCs/>
          <w:szCs w:val="21"/>
          <w:lang w:val="zh-CN"/>
        </w:rPr>
        <w:t xml:space="preserve">4.</w:t>
      </w:r>
      <w:r>
        <w:rPr>
          <w:b/>
          <w:szCs w:val="21"/>
          <w:lang w:val="zh-CN"/>
        </w:rPr>
        <w:t xml:space="preserve">投标费用</w:t>
      </w:r>
      <w:bookmarkEnd w:id="58"/>
      <w:r/>
      <w:r/>
    </w:p>
    <w:p>
      <w:pPr>
        <w:ind w:firstLine="420"/>
        <w:spacing w:line="360" w:lineRule="auto"/>
        <w:rPr>
          <w:szCs w:val="21"/>
        </w:rPr>
      </w:pPr>
      <w:r>
        <w:rPr>
          <w:szCs w:val="21"/>
        </w:rPr>
        <w:t xml:space="preserve">4.1 供应商应自行承担所有与参加投标有关的费用，无论采购结果如何，代理机构和采购人在任何情况下均无义务和责任承担这些费用。</w:t>
      </w:r>
      <w:r/>
    </w:p>
    <w:p>
      <w:pPr>
        <w:ind w:firstLine="420"/>
        <w:spacing w:line="360" w:lineRule="auto"/>
        <w:rPr>
          <w:b/>
          <w:szCs w:val="21"/>
          <w:lang w:val="zh-CN"/>
        </w:rPr>
      </w:pPr>
      <w:r/>
      <w:bookmarkStart w:id="59" w:name="_Toc231820599"/>
      <w:r>
        <w:rPr>
          <w:b/>
          <w:bCs/>
          <w:szCs w:val="21"/>
          <w:lang w:val="zh-CN"/>
        </w:rPr>
        <w:t xml:space="preserve">5.</w:t>
      </w:r>
      <w:r>
        <w:rPr>
          <w:b/>
          <w:szCs w:val="21"/>
          <w:lang w:val="zh-CN"/>
        </w:rPr>
        <w:t xml:space="preserve">招标文件的约束力</w:t>
      </w:r>
      <w:bookmarkEnd w:id="59"/>
      <w:r/>
      <w:r/>
    </w:p>
    <w:p>
      <w:pPr>
        <w:ind w:firstLine="420"/>
        <w:spacing w:line="360" w:lineRule="auto"/>
        <w:rPr>
          <w:szCs w:val="21"/>
        </w:rPr>
      </w:pPr>
      <w:r>
        <w:rPr>
          <w:szCs w:val="21"/>
        </w:rPr>
        <w:t xml:space="preserve">5.1 供应商一旦参加本项目采购活动，即被认为接受了本招标文件的规定和约束。</w:t>
      </w:r>
      <w:r/>
    </w:p>
    <w:p>
      <w:pPr>
        <w:spacing w:line="360" w:lineRule="auto"/>
        <w:shd w:val="clear" w:color="auto" w:fill="ffffff"/>
        <w:widowControl/>
        <w:rPr>
          <w:b/>
          <w:bCs/>
          <w:szCs w:val="21"/>
        </w:rPr>
        <w:outlineLvl w:val="1"/>
      </w:pPr>
      <w:r/>
      <w:bookmarkStart w:id="60" w:name="_Toc231822735"/>
      <w:r>
        <w:rPr>
          <w:b/>
          <w:bCs/>
          <w:szCs w:val="21"/>
        </w:rPr>
        <w:t xml:space="preserve">二、招标文件</w:t>
      </w:r>
      <w:bookmarkEnd w:id="60"/>
      <w:r/>
      <w:r/>
    </w:p>
    <w:p>
      <w:pPr>
        <w:ind w:firstLine="420"/>
        <w:spacing w:line="360" w:lineRule="auto"/>
        <w:rPr>
          <w:b/>
          <w:szCs w:val="21"/>
          <w:lang w:val="zh-CN"/>
        </w:rPr>
      </w:pPr>
      <w:r/>
      <w:bookmarkStart w:id="61" w:name="_Toc231820601"/>
      <w:r>
        <w:rPr>
          <w:b/>
          <w:bCs/>
          <w:szCs w:val="21"/>
          <w:lang w:val="zh-CN"/>
        </w:rPr>
        <w:t xml:space="preserve">6.</w:t>
      </w:r>
      <w:r>
        <w:rPr>
          <w:b/>
          <w:szCs w:val="21"/>
          <w:lang w:val="zh-CN"/>
        </w:rPr>
        <w:t xml:space="preserve">招标文件构成</w:t>
      </w:r>
      <w:bookmarkEnd w:id="61"/>
      <w:r/>
      <w:r/>
    </w:p>
    <w:p>
      <w:pPr>
        <w:ind w:firstLine="420"/>
        <w:spacing w:line="360" w:lineRule="auto"/>
        <w:rPr>
          <w:szCs w:val="21"/>
        </w:rPr>
      </w:pPr>
      <w:r>
        <w:rPr>
          <w:szCs w:val="21"/>
        </w:rPr>
        <w:t xml:space="preserve">6.1 招标文件由以下部分组成：</w:t>
      </w:r>
      <w:r/>
    </w:p>
    <w:p>
      <w:pPr>
        <w:ind w:firstLine="840"/>
        <w:spacing w:line="360" w:lineRule="auto"/>
        <w:rPr>
          <w:szCs w:val="21"/>
        </w:rPr>
      </w:pPr>
      <w:r>
        <w:rPr>
          <w:szCs w:val="21"/>
        </w:rPr>
        <w:t xml:space="preserve">第一章  招标公告</w:t>
      </w:r>
      <w:r/>
    </w:p>
    <w:p>
      <w:pPr>
        <w:ind w:firstLine="840"/>
        <w:spacing w:line="360" w:lineRule="auto"/>
        <w:rPr>
          <w:szCs w:val="21"/>
        </w:rPr>
      </w:pPr>
      <w:r>
        <w:rPr>
          <w:szCs w:val="21"/>
        </w:rPr>
        <w:t xml:space="preserve">第二章  投标人须知</w:t>
      </w:r>
      <w:r/>
    </w:p>
    <w:p>
      <w:pPr>
        <w:ind w:firstLine="840"/>
        <w:spacing w:line="360" w:lineRule="auto"/>
        <w:rPr>
          <w:szCs w:val="21"/>
        </w:rPr>
      </w:pPr>
      <w:r>
        <w:rPr>
          <w:szCs w:val="21"/>
        </w:rPr>
        <w:t xml:space="preserve">第三章  评标标准</w:t>
      </w:r>
      <w:r/>
    </w:p>
    <w:p>
      <w:pPr>
        <w:ind w:firstLine="840"/>
        <w:spacing w:line="360" w:lineRule="auto"/>
        <w:rPr>
          <w:szCs w:val="21"/>
        </w:rPr>
      </w:pPr>
      <w:r>
        <w:rPr>
          <w:szCs w:val="21"/>
        </w:rPr>
        <w:t xml:space="preserve">第四章  招标技术规格及要求</w:t>
      </w:r>
      <w:r/>
    </w:p>
    <w:p>
      <w:pPr>
        <w:ind w:firstLine="840"/>
        <w:spacing w:line="360" w:lineRule="auto"/>
        <w:rPr>
          <w:szCs w:val="21"/>
        </w:rPr>
      </w:pPr>
      <w:r>
        <w:rPr>
          <w:szCs w:val="21"/>
        </w:rPr>
        <w:t xml:space="preserve">第五章  拟签订的合同文本</w:t>
      </w:r>
      <w:r/>
    </w:p>
    <w:p>
      <w:pPr>
        <w:ind w:firstLine="840"/>
        <w:spacing w:line="360" w:lineRule="auto"/>
        <w:rPr>
          <w:szCs w:val="21"/>
        </w:rPr>
      </w:pPr>
      <w:r>
        <w:rPr>
          <w:szCs w:val="21"/>
        </w:rPr>
        <w:t xml:space="preserve">第六章  投标文件格式及附件</w:t>
      </w:r>
      <w:r/>
    </w:p>
    <w:p>
      <w:pPr>
        <w:ind w:firstLine="420"/>
        <w:spacing w:line="360" w:lineRule="auto"/>
        <w:rPr>
          <w:szCs w:val="21"/>
        </w:rPr>
      </w:pPr>
      <w:r>
        <w:rPr>
          <w:szCs w:val="21"/>
        </w:rPr>
        <w:t xml:space="preserve">6.2</w:t>
      </w:r>
      <w:r>
        <w:rPr>
          <w:b/>
          <w:bCs/>
          <w:szCs w:val="21"/>
        </w:rPr>
        <w:t xml:space="preserve">招标的最小单位是包。招标技术规格及要求中未分包的，供应商对要求提供的服务不得部分投标；招标技术规格及要求中已经分包的，以包为单位投标</w:t>
      </w:r>
      <w:r>
        <w:rPr>
          <w:szCs w:val="21"/>
        </w:rPr>
        <w:t xml:space="preserve">。</w:t>
      </w:r>
      <w:r/>
    </w:p>
    <w:p>
      <w:pPr>
        <w:ind w:firstLine="420"/>
        <w:spacing w:line="360" w:lineRule="auto"/>
        <w:rPr>
          <w:szCs w:val="21"/>
        </w:rPr>
      </w:pPr>
      <w:r>
        <w:rPr>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szCs w:val="21"/>
        </w:rPr>
      </w:pPr>
      <w:r>
        <w:rPr>
          <w:szCs w:val="21"/>
        </w:rPr>
        <w:t xml:space="preserve">6.4供应商被视为充分熟悉本招标项目的各种情况以及与履行合同有关的一切其他情况。</w:t>
      </w:r>
      <w:r/>
    </w:p>
    <w:p>
      <w:pPr>
        <w:ind w:firstLine="420"/>
        <w:spacing w:line="360" w:lineRule="auto"/>
        <w:rPr>
          <w:b/>
          <w:szCs w:val="21"/>
          <w:lang w:val="zh-CN"/>
        </w:rPr>
      </w:pPr>
      <w:r/>
      <w:bookmarkStart w:id="62" w:name="_Toc231820602"/>
      <w:r>
        <w:rPr>
          <w:b/>
          <w:szCs w:val="21"/>
          <w:lang w:val="zh-CN"/>
        </w:rPr>
        <w:t xml:space="preserve">7.招标文件的澄清、补充或修改</w:t>
      </w:r>
      <w:bookmarkEnd w:id="62"/>
      <w:r/>
      <w:r/>
    </w:p>
    <w:p>
      <w:pPr>
        <w:ind w:firstLine="441"/>
        <w:spacing w:line="360" w:lineRule="auto"/>
        <w:rPr>
          <w:szCs w:val="21"/>
        </w:rPr>
      </w:pPr>
      <w:r>
        <w:rPr>
          <w:szCs w:val="21"/>
        </w:rPr>
        <w:t xml:space="preserve">7.1</w:t>
      </w:r>
      <w:r>
        <w:rPr>
          <w:szCs w:val="21"/>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将告知供应商向采购人提出。采购代理机构将用信函或传真等书面形式作出答复。采购代理机构认为有必要时可将答复内容（包括原提出的问题，但不包括问题的来源）分发给所有取得同一招标文件的供应商。</w:t>
      </w:r>
      <w:r/>
    </w:p>
    <w:p>
      <w:pPr>
        <w:ind w:firstLine="441"/>
        <w:spacing w:line="360" w:lineRule="auto"/>
        <w:rPr>
          <w:szCs w:val="21"/>
        </w:rPr>
      </w:pPr>
      <w:r>
        <w:rPr>
          <w:szCs w:val="21"/>
        </w:rPr>
        <w:t xml:space="preserve">7.2 </w:t>
      </w:r>
      <w:r>
        <w:rPr>
          <w:szCs w:val="21"/>
        </w:rPr>
        <w:t xml:space="preserve">采购代理机构对已发出的招标文件进行必要的澄清或者修改，将在投标截止时间15日前，以书面形式通知所有报名供应商，并同时在原招标公告媒体上发布更正公告。</w:t>
      </w:r>
      <w:r/>
    </w:p>
    <w:p>
      <w:pPr>
        <w:ind w:firstLine="441"/>
        <w:spacing w:line="360" w:lineRule="auto"/>
        <w:rPr>
          <w:szCs w:val="21"/>
        </w:rPr>
      </w:pPr>
      <w:r>
        <w:rPr>
          <w:szCs w:val="21"/>
        </w:rPr>
        <w:t xml:space="preserve">7.3 </w:t>
      </w:r>
      <w:r>
        <w:rPr>
          <w:szCs w:val="21"/>
        </w:rPr>
        <w:t xml:space="preserve">采购代理机构在招标文件要求提交投标文件截止时间前，有权决定延长投标截止时间和开标时间，并在原招标公告媒体上发布变更公告。</w:t>
      </w:r>
      <w:r/>
    </w:p>
    <w:p>
      <w:pPr>
        <w:ind w:firstLine="441"/>
        <w:spacing w:line="360" w:lineRule="auto"/>
        <w:rPr>
          <w:szCs w:val="21"/>
        </w:rPr>
      </w:pPr>
      <w:r>
        <w:rPr>
          <w:szCs w:val="21"/>
        </w:rPr>
        <w:t xml:space="preserve">7.4</w:t>
      </w:r>
      <w:r>
        <w:rPr>
          <w:szCs w:val="21"/>
        </w:rPr>
        <w:t xml:space="preserve"> 为使供应商在准备投标时，有合理的时间考虑招标文件的补充或修改，采购代理机构将视情况可能推迟投标截止时间和开标时间，并将此变更以信函或传真等形式通知所有的供应商。</w:t>
      </w:r>
      <w:r/>
    </w:p>
    <w:p>
      <w:pPr>
        <w:ind w:firstLine="441"/>
        <w:spacing w:line="360" w:lineRule="auto"/>
        <w:rPr>
          <w:bCs/>
          <w:szCs w:val="21"/>
        </w:rPr>
      </w:pPr>
      <w:r>
        <w:rPr>
          <w:szCs w:val="21"/>
        </w:rPr>
        <w:t xml:space="preserve">7.5 </w:t>
      </w:r>
      <w:r>
        <w:rPr>
          <w:szCs w:val="21"/>
        </w:rPr>
        <w:t xml:space="preserve">采购代理机构发出的所有补充、修改和变更文件均作为招标文件的组成部分，与招标文件具有同等法律效力。供应商在收到上述通知后，应立即向采购代理机构回函确认。若无书面回函确认，视同已收到招标文件修改的通知，并受其约束。 </w:t>
      </w:r>
      <w:r/>
    </w:p>
    <w:p>
      <w:pPr>
        <w:spacing w:line="360" w:lineRule="auto"/>
        <w:shd w:val="clear" w:color="auto" w:fill="ffffff"/>
        <w:widowControl/>
        <w:rPr>
          <w:b/>
          <w:bCs/>
          <w:szCs w:val="21"/>
        </w:rPr>
        <w:outlineLvl w:val="1"/>
      </w:pPr>
      <w:r/>
      <w:bookmarkStart w:id="63" w:name="_Toc231822736"/>
      <w:r>
        <w:rPr>
          <w:b/>
          <w:bCs/>
          <w:szCs w:val="21"/>
        </w:rPr>
        <w:t xml:space="preserve">三、投标文件的编制</w:t>
      </w:r>
      <w:bookmarkEnd w:id="63"/>
      <w:r/>
      <w:r/>
    </w:p>
    <w:p>
      <w:pPr>
        <w:ind w:firstLine="420"/>
        <w:spacing w:line="360" w:lineRule="auto"/>
        <w:rPr>
          <w:b/>
          <w:szCs w:val="21"/>
          <w:lang w:val="zh-CN"/>
        </w:rPr>
      </w:pPr>
      <w:r/>
      <w:bookmarkStart w:id="64" w:name="_Toc231820604"/>
      <w:r>
        <w:rPr>
          <w:b/>
          <w:szCs w:val="21"/>
          <w:lang w:val="zh-CN"/>
        </w:rPr>
        <w:t xml:space="preserve">8.投标文件的语言、计量单位、货币</w:t>
      </w:r>
      <w:bookmarkEnd w:id="64"/>
      <w:r/>
      <w:r/>
    </w:p>
    <w:p>
      <w:pPr>
        <w:ind w:firstLine="441"/>
        <w:spacing w:line="360" w:lineRule="auto"/>
        <w:rPr>
          <w:szCs w:val="21"/>
        </w:rPr>
      </w:pPr>
      <w:r>
        <w:rPr>
          <w:szCs w:val="21"/>
        </w:rPr>
        <w:t xml:space="preserve">8.1 供应商提交的投标文件（包括技术文件和资料、图纸中的说明）以及供应商与采购代理机构之间就有关投标的所有来往函电均应以简体中文书写。</w:t>
      </w:r>
      <w:r/>
    </w:p>
    <w:p>
      <w:pPr>
        <w:ind w:firstLine="441"/>
        <w:spacing w:line="360" w:lineRule="auto"/>
        <w:rPr>
          <w:szCs w:val="21"/>
        </w:rPr>
      </w:pPr>
      <w:r>
        <w:rPr>
          <w:szCs w:val="21"/>
        </w:rPr>
        <w:t xml:space="preserve">8.2供应商已印刷好的资料如产品样本、说明书等可以用其他语言，但其中要点应附有中文译文。对不同文本投标文件的解释发生异议的，以中文翻译文本为准。</w:t>
      </w:r>
      <w:r/>
    </w:p>
    <w:p>
      <w:pPr>
        <w:ind w:firstLine="441"/>
        <w:spacing w:line="360" w:lineRule="auto"/>
        <w:rPr>
          <w:szCs w:val="21"/>
        </w:rPr>
      </w:pPr>
      <w:r>
        <w:rPr>
          <w:szCs w:val="21"/>
        </w:rPr>
        <w:t xml:space="preserve">8.3 除招标文件中有特殊要求外，招标文件中所使用的计量单位应为国家法定计量单位。</w:t>
      </w:r>
      <w:r/>
    </w:p>
    <w:p>
      <w:pPr>
        <w:ind w:firstLine="441"/>
        <w:spacing w:line="360" w:lineRule="auto"/>
        <w:rPr>
          <w:szCs w:val="21"/>
        </w:rPr>
      </w:pPr>
      <w:r>
        <w:rPr>
          <w:szCs w:val="21"/>
        </w:rPr>
        <w:t xml:space="preserve">8.4 本招标文件所表述的时间均为北京时间。</w:t>
      </w:r>
      <w:r/>
    </w:p>
    <w:p>
      <w:pPr>
        <w:ind w:firstLine="441"/>
        <w:spacing w:line="360" w:lineRule="auto"/>
        <w:rPr>
          <w:szCs w:val="21"/>
        </w:rPr>
      </w:pPr>
      <w:r>
        <w:rPr>
          <w:szCs w:val="21"/>
        </w:rPr>
        <w:t xml:space="preserve">8.5 所有投标投标报价具体详见投标人须知前附表。</w:t>
      </w:r>
      <w:r/>
    </w:p>
    <w:p>
      <w:pPr>
        <w:ind w:firstLine="420"/>
        <w:spacing w:line="360" w:lineRule="auto"/>
        <w:rPr>
          <w:b/>
          <w:szCs w:val="21"/>
          <w:lang w:val="zh-CN"/>
        </w:rPr>
      </w:pPr>
      <w:r/>
      <w:bookmarkStart w:id="65" w:name="_Toc231820605"/>
      <w:r>
        <w:rPr>
          <w:b/>
          <w:szCs w:val="21"/>
          <w:lang w:val="zh-CN"/>
        </w:rPr>
        <w:t xml:space="preserve">9.联合体（根据采购项目是否接受联合体投标而定）</w:t>
      </w:r>
      <w:bookmarkEnd w:id="65"/>
      <w:r/>
      <w:r/>
    </w:p>
    <w:p>
      <w:pPr>
        <w:ind w:firstLine="441"/>
        <w:spacing w:line="360" w:lineRule="auto"/>
        <w:rPr>
          <w:szCs w:val="21"/>
        </w:rPr>
      </w:pPr>
      <w:r>
        <w:rPr>
          <w:szCs w:val="21"/>
        </w:rPr>
        <w:t xml:space="preserve">9.1两个以上的自然人、法人或者其他组织可以组成一个联合体，以一个供应商的身份共同参加政府采购。</w:t>
      </w:r>
      <w:r/>
    </w:p>
    <w:p>
      <w:pPr>
        <w:ind w:firstLine="441"/>
        <w:spacing w:line="360" w:lineRule="auto"/>
        <w:rPr>
          <w:szCs w:val="21"/>
        </w:rPr>
      </w:pPr>
      <w:r>
        <w:rPr>
          <w:szCs w:val="21"/>
        </w:rPr>
        <w:t xml:space="preserve">9.2鼓励大中型企业和其他自然人、法人或者其他组织与小型、微型企业组成联合体共同参加非专门面向中小企业的政府采购活动。</w:t>
      </w:r>
      <w:r/>
    </w:p>
    <w:p>
      <w:pPr>
        <w:ind w:firstLine="441"/>
        <w:spacing w:line="360" w:lineRule="auto"/>
        <w:rPr>
          <w:szCs w:val="21"/>
        </w:rPr>
      </w:pPr>
      <w:r>
        <w:rPr>
          <w:szCs w:val="21"/>
        </w:rPr>
        <w:t xml:space="preserve">9.</w:t>
      </w:r>
      <w:r>
        <w:rPr>
          <w:szCs w:val="21"/>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41"/>
        <w:spacing w:line="360" w:lineRule="auto"/>
        <w:rPr>
          <w:szCs w:val="21"/>
        </w:rPr>
      </w:pPr>
      <w:r>
        <w:rPr>
          <w:szCs w:val="21"/>
        </w:rPr>
        <w:t xml:space="preserve">9.4 联合体各方之间应当签订联合体协议，明确约定联合体各方承担的工作和相应的责任，并将联合体协议连同投标文件一并提交。</w:t>
      </w:r>
      <w:r/>
    </w:p>
    <w:p>
      <w:pPr>
        <w:ind w:firstLine="441"/>
        <w:spacing w:line="360" w:lineRule="auto"/>
        <w:rPr>
          <w:szCs w:val="21"/>
        </w:rPr>
      </w:pPr>
      <w:r>
        <w:rPr>
          <w:szCs w:val="21"/>
        </w:rPr>
        <w:t xml:space="preserve">9.5 以联合体形式参加政府采购活动的，联合体各方不得再单独参加或者与其他供应商另外组成联合体参加同一合同项下的政府采购活动。</w:t>
      </w:r>
      <w:r/>
    </w:p>
    <w:p>
      <w:pPr>
        <w:ind w:firstLine="420"/>
        <w:spacing w:line="360" w:lineRule="auto"/>
        <w:rPr>
          <w:b/>
          <w:szCs w:val="21"/>
          <w:lang w:val="zh-CN"/>
        </w:rPr>
      </w:pPr>
      <w:r/>
      <w:bookmarkStart w:id="66" w:name="_Toc231820606"/>
      <w:r>
        <w:rPr>
          <w:b/>
          <w:szCs w:val="21"/>
          <w:lang w:val="zh-CN"/>
        </w:rPr>
        <w:t xml:space="preserve">10.投标文件的组成（相应内容上传至投标客户端，并签电子公章）</w:t>
      </w:r>
      <w:bookmarkEnd w:id="66"/>
      <w:r/>
      <w:r/>
    </w:p>
    <w:p>
      <w:pPr>
        <w:ind w:firstLine="441"/>
        <w:spacing w:line="360" w:lineRule="auto"/>
        <w:rPr>
          <w:szCs w:val="21"/>
        </w:rPr>
      </w:pPr>
      <w:r>
        <w:rPr>
          <w:szCs w:val="21"/>
        </w:rPr>
        <w:t xml:space="preserve">10.1 供应商应当根据招标文件要求编制投标文件，投标文件应对招标文件提出的要求和条件作出实质性响应，并在《商务条款偏离表》和《技术条款偏离表》等处逐条标明满足与否。对带星号（“</w:t>
      </w:r>
      <w:r>
        <w:rPr>
          <w:rFonts w:ascii="Segoe UI Symbol" w:hAnsi="Segoe UI Symbol" w:cs="Segoe UI Symbol"/>
          <w:szCs w:val="21"/>
        </w:rPr>
        <w:t xml:space="preserve">★</w:t>
      </w:r>
      <w:r>
        <w:rPr>
          <w:szCs w:val="21"/>
        </w:rPr>
        <w:t xml:space="preserve">”）的技术条款必须在投标文件中提供技术支持资料（如白皮书、彩页、手册、检测报告等），未提供技术支持资料的，或未对招标文件做出实质性响应，将导致投标文件被视为无效，若评分细则另有规定的以评分细则规定为准。</w:t>
      </w:r>
      <w:r/>
    </w:p>
    <w:p>
      <w:pPr>
        <w:ind w:firstLine="441"/>
        <w:spacing w:line="360" w:lineRule="auto"/>
        <w:rPr>
          <w:szCs w:val="21"/>
        </w:rPr>
      </w:pPr>
      <w:r>
        <w:rPr>
          <w:szCs w:val="21"/>
        </w:rPr>
        <w:t xml:space="preserve">10.2 投标文件由商务部分、技术部分以及其他部分组成。</w:t>
      </w:r>
      <w:r/>
    </w:p>
    <w:p>
      <w:pPr>
        <w:ind w:firstLine="441"/>
        <w:spacing w:line="360" w:lineRule="auto"/>
        <w:rPr>
          <w:szCs w:val="21"/>
        </w:rPr>
      </w:pPr>
      <w:r>
        <w:rPr>
          <w:szCs w:val="21"/>
        </w:rPr>
        <w:t xml:space="preserve">10.3 投标文件的商务部分：</w:t>
      </w:r>
      <w:r/>
    </w:p>
    <w:p>
      <w:pPr>
        <w:ind w:firstLine="441"/>
        <w:spacing w:line="360" w:lineRule="auto"/>
        <w:rPr>
          <w:szCs w:val="21"/>
        </w:rPr>
      </w:pPr>
      <w:r>
        <w:rPr>
          <w:szCs w:val="21"/>
        </w:rPr>
        <w:t xml:space="preserve">商务部分是证明供应商有资格参加投标和中标后有能力履行合同的文件，这些文件应能满足招标的要求，包括但不限于下列文件，其中加※项目不得有缺失或无效。</w:t>
      </w:r>
      <w:r/>
    </w:p>
    <w:p>
      <w:pPr>
        <w:ind w:firstLine="441"/>
        <w:spacing w:line="360" w:lineRule="auto"/>
        <w:rPr>
          <w:szCs w:val="21"/>
        </w:rPr>
      </w:pPr>
      <w:r>
        <w:rPr>
          <w:szCs w:val="21"/>
        </w:rPr>
        <w:t xml:space="preserve">（1）※ 投标函（投标申请及声明）；</w:t>
      </w:r>
      <w:r/>
    </w:p>
    <w:p>
      <w:pPr>
        <w:ind w:firstLine="441"/>
        <w:spacing w:line="360" w:lineRule="auto"/>
        <w:rPr>
          <w:szCs w:val="21"/>
        </w:rPr>
      </w:pPr>
      <w:r>
        <w:rPr>
          <w:szCs w:val="21"/>
        </w:rPr>
        <w:t xml:space="preserve">（2）※法人代表授权书（原件）及法定代表人、授权代表身份证复印件； </w:t>
      </w:r>
      <w:r/>
    </w:p>
    <w:p>
      <w:pPr>
        <w:ind w:firstLine="441"/>
        <w:spacing w:line="360" w:lineRule="auto"/>
        <w:rPr>
          <w:szCs w:val="21"/>
        </w:rPr>
      </w:pPr>
      <w:r>
        <w:rPr>
          <w:szCs w:val="21"/>
        </w:rPr>
        <w:t xml:space="preserve">（3）※投标人资格条件证明文件；</w:t>
      </w:r>
      <w:r/>
    </w:p>
    <w:p>
      <w:pPr>
        <w:ind w:firstLine="441"/>
        <w:spacing w:line="360" w:lineRule="auto"/>
        <w:rPr>
          <w:szCs w:val="21"/>
        </w:rPr>
      </w:pPr>
      <w:r>
        <w:rPr>
          <w:szCs w:val="21"/>
        </w:rPr>
        <w:t xml:space="preserve">（4）※开标一览表（格式见附件）</w:t>
      </w:r>
      <w:r/>
    </w:p>
    <w:p>
      <w:pPr>
        <w:ind w:firstLine="441"/>
        <w:spacing w:line="360" w:lineRule="auto"/>
        <w:rPr>
          <w:szCs w:val="21"/>
        </w:rPr>
      </w:pPr>
      <w:r>
        <w:rPr>
          <w:szCs w:val="21"/>
        </w:rPr>
        <w:t xml:space="preserve">1）价格部分是对投标价格构成的说明，招标文件如没有特别说明的话，对每一项产品/服务仅接受一个价格。</w:t>
      </w:r>
      <w:r/>
    </w:p>
    <w:p>
      <w:pPr>
        <w:ind w:firstLine="441"/>
        <w:spacing w:line="360" w:lineRule="auto"/>
        <w:rPr>
          <w:szCs w:val="21"/>
        </w:rPr>
      </w:pPr>
      <w:r>
        <w:rPr>
          <w:szCs w:val="21"/>
        </w:rPr>
        <w:t xml:space="preserve">2）报价应包含完成本项目发生的所有含税费用、支付给员工的工资和国家强制缴纳的各种社会保障资金，以及供应商认为需要的其他费用等。</w:t>
      </w:r>
      <w:r/>
    </w:p>
    <w:p>
      <w:pPr>
        <w:ind w:firstLine="441"/>
        <w:spacing w:line="360" w:lineRule="auto"/>
        <w:rPr>
          <w:szCs w:val="21"/>
        </w:rPr>
      </w:pPr>
      <w:r>
        <w:rPr>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41"/>
        <w:spacing w:line="360" w:lineRule="auto"/>
        <w:rPr>
          <w:szCs w:val="21"/>
        </w:rPr>
      </w:pPr>
      <w:r>
        <w:rPr>
          <w:szCs w:val="21"/>
        </w:rPr>
        <w:t xml:space="preserve">4）供应商的报价包括但不仅限于人员费用（工资、福利、培训、体检、社会保险、加班费）、服务所用设备工具购置及维修费用、服务所用材料消耗费用、管理费用、利润、税金等费用。</w:t>
      </w:r>
      <w:r/>
    </w:p>
    <w:p>
      <w:pPr>
        <w:ind w:firstLine="441"/>
        <w:spacing w:line="360" w:lineRule="auto"/>
        <w:rPr>
          <w:szCs w:val="21"/>
        </w:rPr>
      </w:pPr>
      <w:r>
        <w:rPr>
          <w:szCs w:val="21"/>
        </w:rPr>
        <w:t xml:space="preserve">（5）《商务条款偏离表》；</w:t>
      </w:r>
      <w:r/>
    </w:p>
    <w:p>
      <w:pPr>
        <w:ind w:firstLine="441"/>
        <w:spacing w:line="360" w:lineRule="auto"/>
        <w:rPr>
          <w:szCs w:val="21"/>
        </w:rPr>
      </w:pPr>
      <w:r>
        <w:rPr>
          <w:szCs w:val="21"/>
        </w:rPr>
        <w:t xml:space="preserve">（6）《南京市政府采购供应商信用记录表》（如招标公告中要求提供）；</w:t>
      </w:r>
      <w:r/>
    </w:p>
    <w:p>
      <w:pPr>
        <w:ind w:firstLine="441"/>
        <w:spacing w:line="360" w:lineRule="auto"/>
        <w:rPr>
          <w:szCs w:val="21"/>
        </w:rPr>
      </w:pPr>
      <w:r>
        <w:rPr>
          <w:szCs w:val="21"/>
        </w:rPr>
        <w:t xml:space="preserve">（7）※分项报价表（格式见附件）；</w:t>
      </w:r>
      <w:r/>
    </w:p>
    <w:p>
      <w:pPr>
        <w:ind w:firstLine="441"/>
        <w:spacing w:line="360" w:lineRule="auto"/>
        <w:rPr>
          <w:szCs w:val="21"/>
        </w:rPr>
      </w:pPr>
      <w:r>
        <w:rPr>
          <w:szCs w:val="21"/>
        </w:rPr>
        <w:t xml:space="preserve">（8）第三章评标标准中对应的其它所需证明材料（如有自行添加）；</w:t>
      </w:r>
      <w:r/>
    </w:p>
    <w:p>
      <w:pPr>
        <w:ind w:firstLine="441"/>
        <w:spacing w:line="360" w:lineRule="auto"/>
        <w:rPr>
          <w:szCs w:val="21"/>
        </w:rPr>
      </w:pPr>
      <w:r>
        <w:rPr>
          <w:szCs w:val="21"/>
        </w:rPr>
        <w:t xml:space="preserve">（9）要求采购人提供的配合（如有自拟并自行添加）；</w:t>
      </w:r>
      <w:r/>
    </w:p>
    <w:p>
      <w:pPr>
        <w:ind w:firstLine="441"/>
        <w:spacing w:line="360" w:lineRule="auto"/>
        <w:rPr>
          <w:szCs w:val="21"/>
        </w:rPr>
      </w:pPr>
      <w:r>
        <w:rPr>
          <w:szCs w:val="21"/>
        </w:rPr>
        <w:t xml:space="preserve">（10）供应商认为需要提供的其他资格证明文件和商务资料。</w:t>
      </w:r>
      <w:r/>
    </w:p>
    <w:p>
      <w:pPr>
        <w:ind w:firstLine="441"/>
        <w:spacing w:line="360" w:lineRule="auto"/>
        <w:rPr>
          <w:szCs w:val="21"/>
        </w:rPr>
      </w:pPr>
      <w:r>
        <w:rPr>
          <w:szCs w:val="21"/>
        </w:rPr>
        <w:t xml:space="preserve">10.4 投标文件的技术部分：</w:t>
      </w:r>
      <w:r/>
    </w:p>
    <w:p>
      <w:pPr>
        <w:ind w:firstLine="441"/>
        <w:spacing w:line="360" w:lineRule="auto"/>
        <w:rPr>
          <w:szCs w:val="21"/>
        </w:rPr>
      </w:pPr>
      <w:r>
        <w:rPr>
          <w:szCs w:val="21"/>
        </w:rPr>
        <w:t xml:space="preserve">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r/>
    </w:p>
    <w:p>
      <w:pPr>
        <w:ind w:firstLine="441"/>
        <w:spacing w:line="360" w:lineRule="auto"/>
        <w:rPr>
          <w:szCs w:val="21"/>
        </w:rPr>
      </w:pPr>
      <w:r>
        <w:rPr>
          <w:szCs w:val="21"/>
        </w:rPr>
        <w:t xml:space="preserve">（1） 货物、服务内容的详细说明；</w:t>
      </w:r>
      <w:r/>
    </w:p>
    <w:p>
      <w:pPr>
        <w:ind w:firstLine="441"/>
        <w:spacing w:line="360" w:lineRule="auto"/>
        <w:rPr>
          <w:szCs w:val="21"/>
        </w:rPr>
      </w:pPr>
      <w:r>
        <w:rPr>
          <w:szCs w:val="21"/>
        </w:rPr>
        <w:t xml:space="preserve">（2）※《技术条款偏离表》；</w:t>
      </w:r>
      <w:r/>
    </w:p>
    <w:p>
      <w:pPr>
        <w:ind w:firstLine="441"/>
        <w:spacing w:line="360" w:lineRule="auto"/>
        <w:rPr>
          <w:szCs w:val="21"/>
        </w:rPr>
      </w:pPr>
      <w:r>
        <w:rPr>
          <w:szCs w:val="21"/>
        </w:rPr>
        <w:t xml:space="preserve">（3）投标产品配置清单及技术说明；</w:t>
      </w:r>
      <w:r/>
    </w:p>
    <w:p>
      <w:pPr>
        <w:ind w:firstLine="441"/>
        <w:spacing w:line="360" w:lineRule="auto"/>
        <w:rPr>
          <w:szCs w:val="21"/>
        </w:rPr>
      </w:pPr>
      <w:r>
        <w:rPr>
          <w:szCs w:val="21"/>
        </w:rPr>
        <w:t xml:space="preserve">（4）货物安装、验收标准、货物技术资料；</w:t>
      </w:r>
      <w:r/>
    </w:p>
    <w:p>
      <w:pPr>
        <w:ind w:firstLine="441"/>
        <w:spacing w:line="360" w:lineRule="auto"/>
        <w:rPr>
          <w:szCs w:val="21"/>
        </w:rPr>
      </w:pPr>
      <w:r>
        <w:rPr>
          <w:szCs w:val="21"/>
        </w:rPr>
        <w:t xml:space="preserve">（5）项目集成（实施）方案；</w:t>
      </w:r>
      <w:r/>
    </w:p>
    <w:p>
      <w:pPr>
        <w:ind w:firstLine="441"/>
        <w:spacing w:line="360" w:lineRule="auto"/>
        <w:rPr>
          <w:szCs w:val="21"/>
        </w:rPr>
      </w:pPr>
      <w:r>
        <w:rPr>
          <w:szCs w:val="21"/>
        </w:rPr>
        <w:t xml:space="preserve">（6）服务承诺；</w:t>
      </w:r>
      <w:r/>
    </w:p>
    <w:p>
      <w:pPr>
        <w:ind w:firstLine="441"/>
        <w:spacing w:line="360" w:lineRule="auto"/>
        <w:rPr>
          <w:szCs w:val="21"/>
        </w:rPr>
      </w:pPr>
      <w:r>
        <w:rPr>
          <w:szCs w:val="21"/>
        </w:rPr>
        <w:t xml:space="preserve">（7）供应商认为需要提供的其他技术资料。</w:t>
      </w:r>
      <w:r/>
    </w:p>
    <w:p>
      <w:pPr>
        <w:ind w:firstLine="441"/>
        <w:spacing w:line="360" w:lineRule="auto"/>
        <w:rPr>
          <w:szCs w:val="21"/>
        </w:rPr>
      </w:pPr>
      <w:r>
        <w:rPr>
          <w:szCs w:val="21"/>
        </w:rPr>
        <w:t xml:space="preserve">10.5 投标文件的其他部分：</w:t>
      </w:r>
      <w:r/>
    </w:p>
    <w:p>
      <w:pPr>
        <w:ind w:firstLine="441"/>
        <w:spacing w:line="360" w:lineRule="auto"/>
        <w:rPr>
          <w:szCs w:val="21"/>
        </w:rPr>
      </w:pPr>
      <w:r>
        <w:rPr>
          <w:szCs w:val="21"/>
        </w:rPr>
        <w:t xml:space="preserve">其他部分由供应商根据编制投标文件需要提供的其他相关文件。</w:t>
      </w:r>
      <w:r/>
    </w:p>
    <w:p>
      <w:pPr>
        <w:ind w:firstLine="441"/>
        <w:spacing w:line="360" w:lineRule="auto"/>
        <w:rPr>
          <w:szCs w:val="21"/>
        </w:rPr>
      </w:pPr>
      <w:r/>
      <w:bookmarkStart w:id="67" w:name="_Toc231820607"/>
      <w:r>
        <w:rPr>
          <w:szCs w:val="21"/>
        </w:rPr>
        <w:t xml:space="preserve">注：投标人递交的投标文件，所有内容均应真实有效；投标人所提供的产品或服务，必须满足国家相关强制性规定要求（如CCC认证、计量器具生产许可证、医疗器械注册证、电器电子产品有害物质限制使用标识等）；一旦成为中标候选人后，由于因投标人违反国家相关强制性规定或弄虚作假，而给招标人造成损失，一切责任和后果均由投标人承担。</w:t>
      </w:r>
      <w:bookmarkEnd w:id="67"/>
      <w:r/>
      <w:r/>
    </w:p>
    <w:p>
      <w:pPr>
        <w:ind w:firstLine="420"/>
        <w:spacing w:line="360" w:lineRule="auto"/>
        <w:rPr>
          <w:b/>
          <w:szCs w:val="21"/>
          <w:lang w:val="zh-CN"/>
        </w:rPr>
      </w:pPr>
      <w:r/>
      <w:bookmarkStart w:id="68" w:name="_Toc231820608"/>
      <w:r>
        <w:rPr>
          <w:b/>
          <w:szCs w:val="21"/>
          <w:lang w:val="zh-CN"/>
        </w:rPr>
        <w:t xml:space="preserve">11.投标文件的有效期</w:t>
      </w:r>
      <w:bookmarkEnd w:id="68"/>
      <w:r/>
      <w:r/>
    </w:p>
    <w:p>
      <w:pPr>
        <w:ind w:firstLine="441"/>
        <w:spacing w:line="360" w:lineRule="auto"/>
        <w:rPr>
          <w:szCs w:val="21"/>
        </w:rPr>
      </w:pPr>
      <w:r>
        <w:rPr>
          <w:szCs w:val="21"/>
        </w:rPr>
        <w:t xml:space="preserve">11.1自开标之日起90天内，投标文件应保持有效，有效期短于此规定的投标文件将视为无效。</w:t>
      </w:r>
      <w:r/>
    </w:p>
    <w:p>
      <w:pPr>
        <w:ind w:firstLine="441"/>
        <w:spacing w:line="360" w:lineRule="auto"/>
        <w:rPr>
          <w:szCs w:val="21"/>
        </w:rPr>
      </w:pPr>
      <w:r>
        <w:rPr>
          <w:szCs w:val="21"/>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ind w:firstLine="420"/>
        <w:spacing w:line="360" w:lineRule="auto"/>
        <w:rPr>
          <w:b/>
          <w:szCs w:val="21"/>
          <w:lang w:val="zh-CN"/>
        </w:rPr>
      </w:pPr>
      <w:r/>
      <w:bookmarkStart w:id="69" w:name="_Toc231820609"/>
      <w:r>
        <w:rPr>
          <w:b/>
          <w:szCs w:val="21"/>
          <w:lang w:val="zh-CN"/>
        </w:rPr>
        <w:t xml:space="preserve">12.投标文件的签署及其形式</w:t>
      </w:r>
      <w:bookmarkEnd w:id="69"/>
      <w:r/>
      <w:r/>
    </w:p>
    <w:p>
      <w:pPr>
        <w:ind w:firstLine="441"/>
        <w:spacing w:line="360" w:lineRule="auto"/>
        <w:rPr>
          <w:szCs w:val="21"/>
        </w:rPr>
      </w:pPr>
      <w:r>
        <w:rPr>
          <w:szCs w:val="21"/>
        </w:rPr>
        <w:t xml:space="preserve">12.1 投标人应由其法定代表人或法定代表人授权代表在规定的网上投标时间，凭 CA 证书登录“苏采云”系统在线编制投标文件（电子数据），并在投标截止时间之前上传投标文件。</w:t>
      </w:r>
      <w:r/>
    </w:p>
    <w:p>
      <w:pPr>
        <w:ind w:firstLine="441"/>
        <w:spacing w:line="360" w:lineRule="auto"/>
        <w:rPr>
          <w:szCs w:val="21"/>
        </w:rPr>
      </w:pPr>
      <w:r>
        <w:rPr>
          <w:szCs w:val="21"/>
        </w:rPr>
        <w:t xml:space="preserve">12.2 投标人应对 CA 证书妥善保管，如被他人盗用投标，因此带来的结果均由投标人自行承担。</w:t>
      </w:r>
      <w:r/>
    </w:p>
    <w:p>
      <w:pPr>
        <w:ind w:firstLine="441"/>
        <w:spacing w:line="360" w:lineRule="auto"/>
        <w:rPr>
          <w:szCs w:val="21"/>
        </w:rPr>
      </w:pPr>
      <w:r>
        <w:rPr>
          <w:szCs w:val="21"/>
        </w:rPr>
        <w:t xml:space="preserve">12.3 投标人应当对招标文件提出的要求和条件作出实质性响应，并在电子投标系统逐条应答。</w:t>
      </w:r>
      <w:r/>
    </w:p>
    <w:p>
      <w:pPr>
        <w:ind w:firstLine="441"/>
        <w:spacing w:line="360" w:lineRule="auto"/>
        <w:rPr>
          <w:szCs w:val="21"/>
        </w:rPr>
      </w:pPr>
      <w:r>
        <w:rPr>
          <w:szCs w:val="21"/>
        </w:rPr>
        <w:t xml:space="preserve">12.4 投标人应对要求提供的资格证明文件（如资质证书、资格证书）、技术资料（如白皮书、彩页、手册、检测报告等）扫描上传至投标系统。</w:t>
      </w:r>
      <w:r/>
    </w:p>
    <w:p>
      <w:pPr>
        <w:spacing w:line="360" w:lineRule="auto"/>
        <w:shd w:val="clear" w:color="auto" w:fill="ffffff"/>
        <w:widowControl/>
        <w:rPr>
          <w:b/>
          <w:bCs/>
          <w:szCs w:val="21"/>
        </w:rPr>
        <w:outlineLvl w:val="1"/>
      </w:pPr>
      <w:r/>
      <w:bookmarkStart w:id="70" w:name="_Toc231822737"/>
      <w:r>
        <w:rPr>
          <w:b/>
          <w:bCs/>
          <w:szCs w:val="21"/>
        </w:rPr>
        <w:t xml:space="preserve">四、投标文件的递交</w:t>
      </w:r>
      <w:bookmarkEnd w:id="70"/>
      <w:r/>
      <w:r/>
    </w:p>
    <w:p>
      <w:pPr>
        <w:ind w:firstLine="420"/>
        <w:spacing w:line="360" w:lineRule="auto"/>
        <w:rPr>
          <w:bCs/>
          <w:szCs w:val="21"/>
        </w:rPr>
      </w:pPr>
      <w:r>
        <w:rPr>
          <w:bCs/>
          <w:szCs w:val="21"/>
        </w:rPr>
        <w:t xml:space="preserve">13.电子投标文件的递交</w:t>
      </w:r>
      <w:r/>
    </w:p>
    <w:p>
      <w:pPr>
        <w:ind w:firstLine="420"/>
        <w:spacing w:line="360" w:lineRule="auto"/>
        <w:rPr>
          <w:bCs/>
          <w:szCs w:val="21"/>
        </w:rPr>
      </w:pPr>
      <w:r>
        <w:rPr>
          <w:bCs/>
          <w:szCs w:val="21"/>
        </w:rPr>
        <w:t xml:space="preserve">13.1 投标人应当按照规定，在投标截止时间前制作并上传电子投标文件。</w:t>
      </w:r>
      <w:r/>
    </w:p>
    <w:p>
      <w:pPr>
        <w:ind w:firstLine="420"/>
        <w:spacing w:line="360" w:lineRule="auto"/>
        <w:rPr>
          <w:bCs/>
          <w:szCs w:val="21"/>
        </w:rPr>
      </w:pPr>
      <w:r>
        <w:rPr>
          <w:bCs/>
          <w:szCs w:val="21"/>
        </w:rPr>
        <w:t xml:space="preserve">14.投标截止日期</w:t>
      </w:r>
      <w:r/>
    </w:p>
    <w:p>
      <w:pPr>
        <w:ind w:firstLine="420"/>
        <w:spacing w:line="360" w:lineRule="auto"/>
        <w:rPr>
          <w:bCs/>
          <w:szCs w:val="21"/>
        </w:rPr>
      </w:pPr>
      <w:r>
        <w:rPr>
          <w:bCs/>
          <w:szCs w:val="21"/>
        </w:rPr>
        <w:t xml:space="preserve">14.1 投标人上传电子投标文件的时间不得迟于招标公告中规定的投标截止时间。</w:t>
      </w:r>
      <w:r/>
    </w:p>
    <w:p>
      <w:pPr>
        <w:ind w:firstLine="420"/>
        <w:spacing w:line="360" w:lineRule="auto"/>
        <w:rPr>
          <w:bCs/>
          <w:szCs w:val="21"/>
        </w:rPr>
      </w:pPr>
      <w:r>
        <w:rPr>
          <w:bCs/>
          <w:szCs w:val="21"/>
        </w:rPr>
        <w:t xml:space="preserve">投标人应充分考虑到网络环境、网络带宽等风险因素，如因投标人自身原因造成的电子投标文件上传不成功的作无效投标处理。</w:t>
      </w:r>
      <w:r/>
    </w:p>
    <w:p>
      <w:pPr>
        <w:ind w:firstLine="420"/>
        <w:spacing w:line="360" w:lineRule="auto"/>
        <w:rPr>
          <w:bCs/>
          <w:szCs w:val="21"/>
        </w:rPr>
      </w:pPr>
      <w:r>
        <w:rPr>
          <w:bCs/>
          <w:szCs w:val="21"/>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2"/>
        <w:spacing w:line="360" w:lineRule="auto"/>
        <w:shd w:val="clear" w:color="auto" w:fill="ffffff"/>
        <w:widowControl/>
        <w:rPr>
          <w:b/>
          <w:bCs/>
          <w:color w:val="000000"/>
          <w:szCs w:val="21"/>
        </w:rPr>
      </w:pPr>
      <w:r/>
      <w:bookmarkStart w:id="71" w:name="_Toc16938543"/>
      <w:r/>
      <w:bookmarkStart w:id="72" w:name="_Toc513029227"/>
      <w:r/>
      <w:bookmarkStart w:id="73" w:name="_Toc20823299"/>
      <w:r>
        <w:rPr>
          <w:b/>
          <w:bCs/>
          <w:color w:val="000000"/>
          <w:szCs w:val="21"/>
        </w:rPr>
        <w:t xml:space="preserve">15.投标文件</w:t>
      </w:r>
      <w:bookmarkEnd w:id="71"/>
      <w:r/>
      <w:bookmarkEnd w:id="72"/>
      <w:r/>
      <w:bookmarkEnd w:id="73"/>
      <w:r>
        <w:rPr>
          <w:b/>
          <w:bCs/>
          <w:color w:val="000000"/>
          <w:szCs w:val="21"/>
        </w:rPr>
        <w:t xml:space="preserve">的拒收</w:t>
      </w:r>
      <w:r/>
    </w:p>
    <w:p>
      <w:pPr>
        <w:ind w:firstLine="420"/>
        <w:spacing w:line="360" w:lineRule="auto"/>
        <w:shd w:val="clear" w:color="auto" w:fill="ffffff"/>
        <w:widowControl/>
        <w:rPr>
          <w:color w:val="000000"/>
          <w:szCs w:val="21"/>
        </w:rPr>
      </w:pPr>
      <w:r>
        <w:rPr>
          <w:color w:val="000000"/>
          <w:szCs w:val="21"/>
        </w:rPr>
        <w:t xml:space="preserve">15.1 采购人及采购代理机构拒绝接收在其规定的投标截止时间后上传的任何投标文件。</w:t>
      </w:r>
      <w:r/>
    </w:p>
    <w:p>
      <w:pPr>
        <w:ind w:firstLine="422"/>
        <w:spacing w:line="360" w:lineRule="auto"/>
        <w:shd w:val="clear" w:color="auto" w:fill="ffffff"/>
        <w:widowControl/>
        <w:rPr>
          <w:b/>
          <w:bCs/>
          <w:color w:val="000000"/>
          <w:szCs w:val="21"/>
        </w:rPr>
      </w:pPr>
      <w:r/>
      <w:bookmarkStart w:id="74" w:name="_Toc513029228"/>
      <w:r/>
      <w:bookmarkStart w:id="75" w:name="_Toc16938544"/>
      <w:r/>
      <w:bookmarkStart w:id="76" w:name="_Toc20823300"/>
      <w:r>
        <w:rPr>
          <w:b/>
          <w:bCs/>
          <w:color w:val="000000"/>
          <w:szCs w:val="21"/>
        </w:rPr>
        <w:t xml:space="preserve">16.投标文件的撤回和修改</w:t>
      </w:r>
      <w:bookmarkEnd w:id="74"/>
      <w:r/>
      <w:bookmarkEnd w:id="75"/>
      <w:r/>
      <w:bookmarkEnd w:id="76"/>
      <w:r/>
      <w:r/>
    </w:p>
    <w:p>
      <w:pPr>
        <w:ind w:firstLine="420"/>
        <w:spacing w:line="360" w:lineRule="auto"/>
        <w:shd w:val="clear" w:color="auto" w:fill="ffffff"/>
        <w:widowControl/>
        <w:rPr>
          <w:color w:val="000000"/>
          <w:szCs w:val="21"/>
        </w:rPr>
      </w:pPr>
      <w:r>
        <w:rPr>
          <w:color w:val="000000"/>
          <w:szCs w:val="21"/>
        </w:rPr>
        <w:t xml:space="preserve">16.1 投标文件的撤回</w:t>
      </w:r>
      <w:r/>
    </w:p>
    <w:p>
      <w:pPr>
        <w:ind w:firstLine="420"/>
        <w:spacing w:line="360" w:lineRule="auto"/>
        <w:shd w:val="clear" w:color="auto" w:fill="ffffff"/>
        <w:widowControl/>
        <w:rPr>
          <w:color w:val="000000"/>
          <w:szCs w:val="21"/>
        </w:rPr>
      </w:pPr>
      <w:r>
        <w:rPr>
          <w:color w:val="000000"/>
          <w:szCs w:val="21"/>
        </w:rPr>
        <w:t xml:space="preserve">16.1.1 电子投标文件的撤回</w:t>
      </w:r>
      <w:r/>
    </w:p>
    <w:p>
      <w:pPr>
        <w:ind w:firstLine="420"/>
        <w:spacing w:line="360" w:lineRule="auto"/>
        <w:shd w:val="clear" w:color="auto" w:fill="ffffff"/>
        <w:widowControl/>
        <w:rPr>
          <w:color w:val="000000"/>
          <w:szCs w:val="21"/>
        </w:rPr>
      </w:pPr>
      <w:r>
        <w:rPr>
          <w:color w:val="000000"/>
          <w:szCs w:val="21"/>
        </w:rPr>
        <w:t xml:space="preserve">投标人可在投标截止时间前，撤回其电子投标文件。</w:t>
      </w:r>
      <w:r/>
    </w:p>
    <w:p>
      <w:pPr>
        <w:ind w:firstLine="420"/>
        <w:spacing w:line="360" w:lineRule="auto"/>
        <w:shd w:val="clear" w:color="auto" w:fill="ffffff"/>
        <w:widowControl/>
        <w:rPr>
          <w:color w:val="000000"/>
          <w:szCs w:val="21"/>
        </w:rPr>
      </w:pPr>
      <w:r>
        <w:rPr>
          <w:color w:val="000000"/>
          <w:szCs w:val="21"/>
        </w:rPr>
        <w:t xml:space="preserve">16.1.2 投标人撤回电子投标文件，则认为其不再参与本项目投标活动。</w:t>
      </w:r>
      <w:r/>
    </w:p>
    <w:p>
      <w:pPr>
        <w:ind w:firstLine="420"/>
        <w:spacing w:line="360" w:lineRule="auto"/>
        <w:shd w:val="clear" w:color="auto" w:fill="ffffff"/>
        <w:widowControl/>
        <w:rPr>
          <w:color w:val="000000"/>
          <w:szCs w:val="21"/>
        </w:rPr>
      </w:pPr>
      <w:r>
        <w:rPr>
          <w:color w:val="000000"/>
          <w:szCs w:val="21"/>
        </w:rPr>
        <w:t xml:space="preserve">16.2 投标文件的修改</w:t>
      </w:r>
      <w:r/>
    </w:p>
    <w:p>
      <w:pPr>
        <w:ind w:firstLine="420"/>
        <w:spacing w:line="360" w:lineRule="auto"/>
        <w:shd w:val="clear" w:color="auto" w:fill="ffffff"/>
        <w:widowControl/>
        <w:rPr>
          <w:color w:val="000000"/>
          <w:szCs w:val="21"/>
        </w:rPr>
      </w:pPr>
      <w:r>
        <w:rPr>
          <w:color w:val="000000"/>
          <w:szCs w:val="21"/>
        </w:rPr>
        <w:t xml:space="preserve">16.2.1 投标人可在投标截止时间前，对其电子投标文件进行修改。</w:t>
      </w:r>
      <w:r/>
    </w:p>
    <w:p>
      <w:pPr>
        <w:ind w:firstLine="420"/>
        <w:spacing w:line="360" w:lineRule="auto"/>
        <w:shd w:val="clear" w:color="auto" w:fill="ffffff"/>
        <w:widowControl/>
        <w:rPr>
          <w:color w:val="000000"/>
          <w:szCs w:val="21"/>
        </w:rPr>
      </w:pPr>
      <w:r>
        <w:rPr>
          <w:color w:val="000000"/>
          <w:szCs w:val="21"/>
        </w:rPr>
        <w:t xml:space="preserve">16.2.2 在投标截止时间之后，投标人不得对其电子投标文件作任何修改。</w:t>
      </w:r>
      <w:r/>
    </w:p>
    <w:p>
      <w:pPr>
        <w:ind w:firstLine="420"/>
        <w:spacing w:line="360" w:lineRule="auto"/>
        <w:shd w:val="clear" w:color="auto" w:fill="ffffff"/>
        <w:widowControl/>
        <w:rPr>
          <w:color w:val="000000"/>
          <w:szCs w:val="21"/>
        </w:rPr>
      </w:pPr>
      <w:r/>
      <w:bookmarkStart w:id="77" w:name="_Toc231820611"/>
      <w:r>
        <w:rPr>
          <w:color w:val="000000"/>
          <w:szCs w:val="21"/>
        </w:rPr>
        <w:t xml:space="preserve">16.3 在投标截止时间至招标文件中规定的投标有效期满之间的这段时间内，投标人不得撤回其投标。</w:t>
      </w:r>
      <w:bookmarkEnd w:id="77"/>
      <w:r/>
      <w:r/>
    </w:p>
    <w:p>
      <w:pPr>
        <w:ind w:firstLine="422"/>
        <w:spacing w:line="360" w:lineRule="auto"/>
        <w:shd w:val="clear" w:color="auto" w:fill="ffffff"/>
        <w:widowControl/>
        <w:rPr>
          <w:b/>
          <w:bCs/>
          <w:szCs w:val="21"/>
        </w:rPr>
        <w:outlineLvl w:val="1"/>
      </w:pPr>
      <w:r/>
      <w:bookmarkStart w:id="78" w:name="_Toc231822738"/>
      <w:r>
        <w:rPr>
          <w:b/>
          <w:bCs/>
          <w:szCs w:val="21"/>
        </w:rPr>
        <w:t xml:space="preserve">五、开标与评标</w:t>
      </w:r>
      <w:bookmarkEnd w:id="78"/>
      <w:r/>
      <w:r/>
    </w:p>
    <w:p>
      <w:pPr>
        <w:ind w:firstLine="422"/>
        <w:spacing w:line="360" w:lineRule="auto"/>
        <w:rPr>
          <w:b/>
          <w:szCs w:val="21"/>
        </w:rPr>
      </w:pPr>
      <w:r/>
      <w:bookmarkStart w:id="79" w:name="_Toc231820613"/>
      <w:r>
        <w:rPr>
          <w:b/>
          <w:szCs w:val="21"/>
        </w:rPr>
        <w:t xml:space="preserve">17.开标</w:t>
      </w:r>
      <w:bookmarkEnd w:id="79"/>
      <w:r/>
      <w:r/>
    </w:p>
    <w:p>
      <w:pPr>
        <w:ind w:firstLine="420"/>
        <w:spacing w:line="360" w:lineRule="auto"/>
        <w:rPr>
          <w:bCs/>
          <w:szCs w:val="21"/>
        </w:rPr>
      </w:pPr>
      <w:r>
        <w:rPr>
          <w:bCs/>
          <w:szCs w:val="21"/>
        </w:rPr>
        <w:t xml:space="preserve">17.1 开标时间及地点。开标应当在招标文件确定的提交投标文件截止时间的同一时间公开进行；开标地点应当为招标文件中预先确定的地点。</w:t>
      </w:r>
      <w:r/>
    </w:p>
    <w:p>
      <w:pPr>
        <w:ind w:firstLine="420"/>
        <w:spacing w:line="360" w:lineRule="auto"/>
        <w:rPr>
          <w:bCs/>
          <w:szCs w:val="21"/>
        </w:rPr>
      </w:pPr>
      <w:r>
        <w:rPr>
          <w:bCs/>
          <w:szCs w:val="21"/>
        </w:rPr>
        <w:t xml:space="preserve">17.2 由电子招标投标交易平台主持，邀请投标人参加。</w:t>
      </w:r>
      <w:r/>
    </w:p>
    <w:p>
      <w:pPr>
        <w:ind w:firstLine="420"/>
        <w:spacing w:line="360" w:lineRule="auto"/>
        <w:rPr>
          <w:bCs/>
          <w:szCs w:val="21"/>
        </w:rPr>
      </w:pPr>
      <w:r>
        <w:rPr>
          <w:bCs/>
          <w:szCs w:val="21"/>
        </w:rPr>
        <w:t xml:space="preserve">17.3 所有投标单位使用 CA 证书在开标时间时解密各自投标文件，由工作人员操作系统进行开标。投标人不足3家的，不得开标。</w:t>
      </w:r>
      <w:r/>
    </w:p>
    <w:p>
      <w:pPr>
        <w:ind w:firstLine="420"/>
        <w:spacing w:line="360" w:lineRule="auto"/>
        <w:rPr>
          <w:bCs/>
          <w:szCs w:val="21"/>
        </w:rPr>
      </w:pPr>
      <w:r>
        <w:rPr>
          <w:bCs/>
          <w:szCs w:val="21"/>
        </w:rPr>
        <w:t xml:space="preserve">17.4 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b/>
          <w:szCs w:val="21"/>
        </w:rPr>
      </w:pPr>
      <w:r>
        <w:rPr>
          <w:b/>
          <w:szCs w:val="21"/>
        </w:rPr>
        <w:t xml:space="preserve">18.资格性审查</w:t>
      </w:r>
      <w:r/>
    </w:p>
    <w:p>
      <w:pPr>
        <w:ind w:firstLine="420"/>
        <w:spacing w:line="360" w:lineRule="auto"/>
        <w:rPr>
          <w:bCs/>
          <w:szCs w:val="21"/>
        </w:rPr>
      </w:pPr>
      <w:r>
        <w:rPr>
          <w:bCs/>
          <w:szCs w:val="21"/>
        </w:rPr>
        <w:t xml:space="preserve">18.1 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bCs/>
          <w:szCs w:val="21"/>
        </w:rPr>
      </w:pPr>
      <w:r>
        <w:rPr>
          <w:bCs/>
          <w:szCs w:val="21"/>
        </w:rPr>
        <w:t xml:space="preserve">18.2 信用信息查询</w:t>
      </w:r>
      <w:r/>
    </w:p>
    <w:p>
      <w:pPr>
        <w:ind w:firstLine="420"/>
        <w:spacing w:line="360" w:lineRule="auto"/>
        <w:rPr>
          <w:bCs/>
          <w:szCs w:val="21"/>
        </w:rPr>
      </w:pPr>
      <w:r>
        <w:rPr>
          <w:bCs/>
          <w:szCs w:val="21"/>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bCs/>
          <w:szCs w:val="21"/>
        </w:rPr>
      </w:pPr>
      <w:r>
        <w:rPr>
          <w:bCs/>
          <w:szCs w:val="21"/>
        </w:rPr>
        <w:t xml:space="preserve">18.3 通过资格性审查合格的投标人不足3家的，不得评标。</w:t>
      </w:r>
      <w:r/>
    </w:p>
    <w:p>
      <w:pPr>
        <w:ind w:firstLine="422"/>
        <w:spacing w:line="360" w:lineRule="auto"/>
        <w:rPr>
          <w:b/>
          <w:szCs w:val="21"/>
        </w:rPr>
      </w:pPr>
      <w:r>
        <w:rPr>
          <w:b/>
          <w:szCs w:val="21"/>
        </w:rPr>
        <w:t xml:space="preserve">19.评标 </w:t>
      </w:r>
      <w:r/>
    </w:p>
    <w:p>
      <w:pPr>
        <w:ind w:firstLine="420"/>
        <w:spacing w:line="360" w:lineRule="auto"/>
        <w:rPr>
          <w:bCs/>
          <w:szCs w:val="21"/>
        </w:rPr>
      </w:pPr>
      <w:r>
        <w:rPr>
          <w:bCs/>
          <w:szCs w:val="21"/>
        </w:rPr>
        <w:t xml:space="preserve">19.1 评标组织</w:t>
      </w:r>
      <w:r/>
    </w:p>
    <w:p>
      <w:pPr>
        <w:ind w:firstLine="420"/>
        <w:spacing w:line="360" w:lineRule="auto"/>
        <w:rPr>
          <w:bCs/>
          <w:szCs w:val="21"/>
        </w:rPr>
      </w:pPr>
      <w:r>
        <w:rPr>
          <w:bCs/>
          <w:szCs w:val="21"/>
        </w:rPr>
        <w:t xml:space="preserve">评标工作由采购代理机构负责组织，具体评标事务由依法组建的评标委员会负责，并独立履行下列职责：</w:t>
      </w:r>
      <w:r/>
    </w:p>
    <w:p>
      <w:pPr>
        <w:ind w:firstLine="420"/>
        <w:spacing w:line="360" w:lineRule="auto"/>
        <w:rPr>
          <w:bCs/>
          <w:szCs w:val="21"/>
        </w:rPr>
      </w:pPr>
      <w:r>
        <w:rPr>
          <w:bCs/>
          <w:szCs w:val="21"/>
        </w:rPr>
        <w:t xml:space="preserve">（1）审查、评价投标文件是否符合招标文件的商务、技术等实质性要求；</w:t>
      </w:r>
      <w:r/>
    </w:p>
    <w:p>
      <w:pPr>
        <w:ind w:firstLine="420"/>
        <w:spacing w:line="360" w:lineRule="auto"/>
        <w:rPr>
          <w:bCs/>
          <w:szCs w:val="21"/>
        </w:rPr>
      </w:pPr>
      <w:r>
        <w:rPr>
          <w:bCs/>
          <w:szCs w:val="21"/>
        </w:rPr>
        <w:t xml:space="preserve">（2）要求投标人对投标文件有关事项作出澄清或者说明；</w:t>
      </w:r>
      <w:r/>
    </w:p>
    <w:p>
      <w:pPr>
        <w:ind w:firstLine="420"/>
        <w:spacing w:line="360" w:lineRule="auto"/>
        <w:rPr>
          <w:bCs/>
          <w:szCs w:val="21"/>
        </w:rPr>
      </w:pPr>
      <w:r>
        <w:rPr>
          <w:bCs/>
          <w:szCs w:val="21"/>
        </w:rPr>
        <w:t xml:space="preserve">（3）对投标文件进行比较和评价；</w:t>
      </w:r>
      <w:r/>
    </w:p>
    <w:p>
      <w:pPr>
        <w:ind w:firstLine="420"/>
        <w:spacing w:line="360" w:lineRule="auto"/>
        <w:rPr>
          <w:bCs/>
          <w:szCs w:val="21"/>
        </w:rPr>
      </w:pPr>
      <w:r>
        <w:rPr>
          <w:bCs/>
          <w:szCs w:val="21"/>
        </w:rPr>
        <w:t xml:space="preserve">（4）确定中标候选人名单，以及根据采购人委托直接确定中标人；</w:t>
      </w:r>
      <w:r/>
    </w:p>
    <w:p>
      <w:pPr>
        <w:ind w:firstLine="420"/>
        <w:spacing w:line="360" w:lineRule="auto"/>
        <w:rPr>
          <w:bCs/>
          <w:szCs w:val="21"/>
        </w:rPr>
      </w:pPr>
      <w:r>
        <w:rPr>
          <w:bCs/>
          <w:szCs w:val="21"/>
        </w:rPr>
        <w:t xml:space="preserve">（5）向采购人、采购代理机构或者有关部门报告评标中发现的违法行为。</w:t>
      </w:r>
      <w:r/>
    </w:p>
    <w:p>
      <w:pPr>
        <w:ind w:firstLine="420"/>
        <w:spacing w:line="360" w:lineRule="auto"/>
        <w:rPr>
          <w:bCs/>
          <w:szCs w:val="21"/>
        </w:rPr>
      </w:pPr>
      <w:r>
        <w:rPr>
          <w:bCs/>
          <w:szCs w:val="21"/>
        </w:rPr>
        <w:t xml:space="preserve">19.2 评标委员会由采购人代表和有关技术、经济等方面的专家组成，独立开展评审工作且评标委员会人员构成符合有关规定。</w:t>
      </w:r>
      <w:r/>
    </w:p>
    <w:p>
      <w:pPr>
        <w:ind w:firstLine="420"/>
        <w:spacing w:line="360" w:lineRule="auto"/>
        <w:rPr>
          <w:bCs/>
          <w:szCs w:val="21"/>
        </w:rPr>
      </w:pPr>
      <w:r/>
      <w:bookmarkStart w:id="80" w:name="_Toc16288"/>
      <w:r>
        <w:rPr>
          <w:bCs/>
          <w:szCs w:val="21"/>
        </w:rPr>
        <w:t xml:space="preserve">19.3 对投标文件的符合性审查</w:t>
      </w:r>
      <w:bookmarkEnd w:id="80"/>
      <w:r/>
      <w:r/>
    </w:p>
    <w:p>
      <w:pPr>
        <w:ind w:firstLine="420"/>
        <w:spacing w:line="360" w:lineRule="auto"/>
        <w:rPr>
          <w:bCs/>
          <w:szCs w:val="21"/>
        </w:rPr>
      </w:pPr>
      <w:r>
        <w:rPr>
          <w:bCs/>
          <w:szCs w:val="21"/>
        </w:rPr>
        <w:t xml:space="preserve">符合性检查：依据招标文件的规定，从投标文件的有效性（签署情况等）、完整性和对招标文件的响应程度（是否存在重大负偏离等）进行审查，以确定是否对招标文件的实质性要求作出响应。</w:t>
      </w:r>
      <w:r/>
    </w:p>
    <w:p>
      <w:pPr>
        <w:ind w:firstLine="420"/>
        <w:spacing w:line="360" w:lineRule="auto"/>
        <w:rPr>
          <w:bCs/>
          <w:szCs w:val="21"/>
        </w:rPr>
      </w:pPr>
      <w:r>
        <w:rPr>
          <w:bCs/>
          <w:szCs w:val="21"/>
        </w:rPr>
        <w:t xml:space="preserve">19.4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spacing w:line="360" w:lineRule="auto"/>
        <w:rPr>
          <w:bCs/>
          <w:szCs w:val="21"/>
        </w:rPr>
      </w:pPr>
      <w:r>
        <w:rPr>
          <w:bCs/>
          <w:szCs w:val="21"/>
        </w:rPr>
        <w:t xml:space="preserve">19.5评标委员会在初审中，对明显的文字和算术错误的修正原则如下：</w:t>
      </w:r>
      <w:r/>
    </w:p>
    <w:p>
      <w:pPr>
        <w:ind w:firstLine="420"/>
        <w:spacing w:line="360" w:lineRule="auto"/>
        <w:rPr>
          <w:bCs/>
          <w:szCs w:val="21"/>
        </w:rPr>
      </w:pPr>
      <w:r>
        <w:rPr>
          <w:bCs/>
          <w:szCs w:val="21"/>
        </w:rPr>
        <w:t xml:space="preserve">（1）</w:t>
      </w:r>
      <w:r>
        <w:rPr>
          <w:b/>
          <w:szCs w:val="21"/>
        </w:rPr>
        <w:t xml:space="preserve">《开标一览表》（报价表）内容与投标文件中相应内容不一致的，以《开标一览表》（报价表）为准</w:t>
      </w:r>
      <w:r>
        <w:rPr>
          <w:bCs/>
          <w:szCs w:val="21"/>
        </w:rPr>
        <w:t xml:space="preserve">；</w:t>
      </w:r>
      <w:r/>
    </w:p>
    <w:p>
      <w:pPr>
        <w:ind w:firstLine="420"/>
        <w:spacing w:line="360" w:lineRule="auto"/>
        <w:rPr>
          <w:bCs/>
          <w:szCs w:val="21"/>
        </w:rPr>
      </w:pPr>
      <w:r>
        <w:rPr>
          <w:bCs/>
          <w:szCs w:val="21"/>
        </w:rPr>
        <w:t xml:space="preserve">（2）投标文件的大写金额与小写金额不一致的，以大写金额为准；</w:t>
      </w:r>
      <w:r/>
    </w:p>
    <w:p>
      <w:pPr>
        <w:ind w:firstLine="420"/>
        <w:spacing w:line="360" w:lineRule="auto"/>
        <w:rPr>
          <w:bCs/>
          <w:szCs w:val="21"/>
        </w:rPr>
      </w:pPr>
      <w:r>
        <w:rPr>
          <w:bCs/>
          <w:szCs w:val="21"/>
        </w:rPr>
        <w:t xml:space="preserve">（3）总价金额与单价金额不一致的，以单价金额计算结果为准；</w:t>
      </w:r>
      <w:r/>
    </w:p>
    <w:p>
      <w:pPr>
        <w:ind w:firstLine="420"/>
        <w:spacing w:line="360" w:lineRule="auto"/>
        <w:rPr>
          <w:bCs/>
          <w:szCs w:val="21"/>
        </w:rPr>
      </w:pPr>
      <w:r>
        <w:rPr>
          <w:bCs/>
          <w:szCs w:val="21"/>
        </w:rPr>
        <w:t xml:space="preserve">（4）单价金额小数点有明显错位的，以总价金额为准，并修改单价金额；</w:t>
      </w:r>
      <w:r/>
    </w:p>
    <w:p>
      <w:pPr>
        <w:ind w:firstLine="420"/>
        <w:spacing w:line="360" w:lineRule="auto"/>
        <w:rPr>
          <w:bCs/>
          <w:szCs w:val="21"/>
        </w:rPr>
      </w:pPr>
      <w:r>
        <w:rPr>
          <w:bCs/>
          <w:szCs w:val="21"/>
        </w:rPr>
        <w:t xml:space="preserve">（5）对不同文字文本投标文件的解释发生异议的，以中文文本为准；</w:t>
      </w:r>
      <w:r/>
    </w:p>
    <w:p>
      <w:pPr>
        <w:ind w:firstLine="420"/>
        <w:spacing w:line="360" w:lineRule="auto"/>
        <w:shd w:val="clear" w:color="auto" w:fill="ffffff"/>
        <w:widowControl/>
        <w:rPr>
          <w:szCs w:val="21"/>
        </w:rPr>
      </w:pPr>
      <w:r>
        <w:rPr>
          <w:bCs/>
          <w:szCs w:val="21"/>
        </w:rPr>
        <w:t xml:space="preserve">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2"/>
        <w:spacing w:line="360" w:lineRule="auto"/>
        <w:shd w:val="clear" w:color="auto" w:fill="ffffff"/>
        <w:widowControl/>
        <w:rPr>
          <w:bCs/>
          <w:szCs w:val="21"/>
        </w:rPr>
      </w:pPr>
      <w:r>
        <w:rPr>
          <w:b/>
          <w:szCs w:val="21"/>
        </w:rPr>
        <w:t xml:space="preserve">19.6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2"/>
        <w:spacing w:line="360" w:lineRule="auto"/>
        <w:rPr>
          <w:bCs/>
          <w:szCs w:val="21"/>
        </w:rPr>
      </w:pPr>
      <w:r>
        <w:rPr>
          <w:b/>
          <w:szCs w:val="21"/>
        </w:rPr>
        <w:t xml:space="preserve">评标过程中出现下列情形之一的，评标委员会应当启动异常低价投标（响应）审查程序：</w:t>
      </w:r>
      <w:r/>
    </w:p>
    <w:p>
      <w:pPr>
        <w:ind w:firstLine="420"/>
        <w:spacing w:line="360" w:lineRule="auto"/>
        <w:rPr>
          <w:bCs/>
          <w:szCs w:val="21"/>
        </w:rPr>
      </w:pPr>
      <w:r>
        <w:rPr>
          <w:rFonts w:ascii="Cambria Math" w:hAnsi="Cambria Math" w:cs="Cambria Math"/>
          <w:bCs/>
          <w:szCs w:val="21"/>
        </w:rPr>
        <w:t xml:space="preserve">①</w:t>
      </w:r>
      <w:r>
        <w:rPr>
          <w:bCs/>
          <w:szCs w:val="21"/>
        </w:rPr>
        <w:t xml:space="preserve">投标（响应）报价低于全部通过符合性审查供应商投标（响应）报价平均值65%的，即投标（响应）报价＜全部通过符合性审查供应商投标（响应）报价平均值×65%；</w:t>
      </w:r>
      <w:r/>
    </w:p>
    <w:p>
      <w:pPr>
        <w:ind w:firstLine="420"/>
        <w:spacing w:line="360" w:lineRule="auto"/>
        <w:rPr>
          <w:bCs/>
          <w:szCs w:val="21"/>
        </w:rPr>
      </w:pPr>
      <w:r>
        <w:rPr>
          <w:rFonts w:ascii="Cambria Math" w:hAnsi="Cambria Math" w:cs="Cambria Math"/>
          <w:bCs/>
          <w:szCs w:val="21"/>
        </w:rPr>
        <w:t xml:space="preserve">②</w:t>
      </w:r>
      <w:r>
        <w:rPr>
          <w:bCs/>
          <w:szCs w:val="21"/>
        </w:rPr>
        <w:t xml:space="preserve">投标（响应）报价低于通过符合性审查的次低报价供应商投标（响应）报价65%的，即投标（响应）报价＜通过符合性审查的次低报价供应商投标（响应）报价×65%；</w:t>
      </w:r>
      <w:r/>
    </w:p>
    <w:p>
      <w:pPr>
        <w:ind w:firstLine="420"/>
        <w:spacing w:line="360" w:lineRule="auto"/>
        <w:rPr>
          <w:bCs/>
          <w:szCs w:val="21"/>
        </w:rPr>
      </w:pPr>
      <w:r>
        <w:rPr>
          <w:rFonts w:ascii="Cambria Math" w:hAnsi="Cambria Math" w:cs="Cambria Math"/>
          <w:bCs/>
          <w:szCs w:val="21"/>
        </w:rPr>
        <w:t xml:space="preserve">③</w:t>
      </w:r>
      <w:r>
        <w:rPr>
          <w:bCs/>
          <w:szCs w:val="21"/>
        </w:rPr>
        <w:t xml:space="preserve">投标（响应）报价低于采购项目最高限价65%的，即投标（响应）报价＜采购项目最高限价×65%；</w:t>
      </w:r>
      <w:r/>
    </w:p>
    <w:p>
      <w:pPr>
        <w:ind w:firstLine="420"/>
        <w:spacing w:line="360" w:lineRule="auto"/>
        <w:rPr>
          <w:bCs/>
          <w:szCs w:val="21"/>
        </w:rPr>
      </w:pPr>
      <w:r>
        <w:rPr>
          <w:rFonts w:ascii="Cambria Math" w:hAnsi="Cambria Math" w:cs="Cambria Math"/>
          <w:bCs/>
          <w:szCs w:val="21"/>
        </w:rPr>
        <w:t xml:space="preserve">④</w:t>
      </w:r>
      <w:r>
        <w:rPr>
          <w:bCs/>
          <w:szCs w:val="21"/>
        </w:rPr>
        <w:t xml:space="preserve">评标委员会基于专业判断，认为供应商报价过低，有可能影响产品质量或者不能诚信履约的其他情形。</w:t>
      </w:r>
      <w:r/>
    </w:p>
    <w:p>
      <w:pPr>
        <w:ind w:firstLine="420"/>
        <w:spacing w:line="360" w:lineRule="auto"/>
        <w:rPr>
          <w:bCs/>
          <w:szCs w:val="21"/>
        </w:rPr>
      </w:pPr>
      <w:r>
        <w:rPr>
          <w:bCs/>
          <w:szCs w:val="21"/>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bCs/>
          <w:szCs w:val="21"/>
        </w:rPr>
      </w:pPr>
      <w:r>
        <w:rPr>
          <w:bCs/>
          <w:szCs w:val="21"/>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spacing w:line="360" w:lineRule="auto"/>
        <w:rPr>
          <w:bCs/>
          <w:szCs w:val="21"/>
        </w:rPr>
      </w:pPr>
      <w:r>
        <w:rPr>
          <w:bCs/>
          <w:szCs w:val="21"/>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20"/>
        <w:spacing w:line="360" w:lineRule="auto"/>
        <w:rPr>
          <w:bCs/>
          <w:szCs w:val="21"/>
        </w:rPr>
      </w:pPr>
      <w:r>
        <w:rPr>
          <w:bCs/>
          <w:szCs w:val="21"/>
        </w:rPr>
        <w:t xml:space="preserve">19.7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ind w:firstLine="422"/>
        <w:spacing w:line="360" w:lineRule="auto"/>
        <w:rPr>
          <w:b/>
          <w:szCs w:val="21"/>
        </w:rPr>
      </w:pPr>
      <w:r/>
      <w:bookmarkStart w:id="81" w:name="_Toc231820614"/>
      <w:r>
        <w:rPr>
          <w:b/>
          <w:szCs w:val="21"/>
        </w:rPr>
        <w:t xml:space="preserve">20.投标文件的澄清</w:t>
      </w:r>
      <w:bookmarkEnd w:id="81"/>
      <w:r/>
      <w:r/>
    </w:p>
    <w:p>
      <w:pPr>
        <w:ind w:firstLine="420"/>
        <w:spacing w:line="360" w:lineRule="auto"/>
        <w:rPr>
          <w:bCs/>
          <w:szCs w:val="21"/>
        </w:rPr>
      </w:pPr>
      <w:r>
        <w:rPr>
          <w:bCs/>
          <w:szCs w:val="21"/>
        </w:rPr>
        <w:t xml:space="preserve">20.1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bCs/>
          <w:szCs w:val="21"/>
        </w:rPr>
      </w:pPr>
      <w:r>
        <w:rPr>
          <w:bCs/>
          <w:szCs w:val="21"/>
        </w:rPr>
        <w:t xml:space="preserve">20.2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bCs/>
          <w:szCs w:val="21"/>
        </w:rPr>
      </w:pPr>
      <w:r>
        <w:rPr>
          <w:bCs/>
          <w:szCs w:val="21"/>
        </w:rPr>
        <w:t xml:space="preserve">20.3 供应商澄清、说明或者补正不得超出投标文件的范围或者改变投标文件的实质性内容。供应商拒不按照要求对投标文件进行澄清、说明或者补正的，视其放弃该项权利。</w:t>
      </w:r>
      <w:r/>
    </w:p>
    <w:p>
      <w:pPr>
        <w:ind w:firstLine="422"/>
        <w:spacing w:line="360" w:lineRule="auto"/>
        <w:rPr>
          <w:b/>
          <w:szCs w:val="21"/>
        </w:rPr>
      </w:pPr>
      <w:r/>
      <w:bookmarkStart w:id="82" w:name="_Toc231820615"/>
      <w:r>
        <w:rPr>
          <w:b/>
          <w:szCs w:val="21"/>
        </w:rPr>
        <w:t xml:space="preserve">21.对投标文件的详细评审</w:t>
      </w:r>
      <w:bookmarkEnd w:id="82"/>
      <w:r/>
      <w:r/>
    </w:p>
    <w:p>
      <w:pPr>
        <w:ind w:firstLine="420"/>
        <w:spacing w:line="360" w:lineRule="auto"/>
        <w:rPr>
          <w:szCs w:val="21"/>
        </w:rPr>
      </w:pPr>
      <w:r>
        <w:rPr>
          <w:bCs/>
          <w:szCs w:val="21"/>
        </w:rPr>
        <w:t xml:space="preserve">21.1</w:t>
      </w:r>
      <w:r>
        <w:rPr>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szCs w:val="21"/>
        </w:rPr>
      </w:pPr>
      <w:r>
        <w:rPr>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bCs/>
          <w:szCs w:val="21"/>
        </w:rPr>
        <w:t xml:space="preserve">取技术分最高者；均相同时，由</w:t>
      </w:r>
      <w:r>
        <w:rPr>
          <w:szCs w:val="21"/>
        </w:rPr>
        <w:t xml:space="preserve">评标委员会</w:t>
      </w:r>
      <w:r>
        <w:rPr>
          <w:bCs/>
          <w:szCs w:val="21"/>
        </w:rPr>
        <w:t xml:space="preserve">集体决定</w:t>
      </w:r>
      <w:r>
        <w:rPr>
          <w:szCs w:val="21"/>
        </w:rPr>
        <w:t xml:space="preserve">一个供应商获得中标供应商推荐资格，或采取随机抽取方式确定，其他同品牌供应商不作为中标候选人。</w:t>
      </w:r>
      <w:r/>
    </w:p>
    <w:p>
      <w:pPr>
        <w:ind w:firstLine="420"/>
        <w:spacing w:line="360" w:lineRule="auto"/>
        <w:rPr>
          <w:szCs w:val="21"/>
        </w:rPr>
      </w:pPr>
      <w:r>
        <w:rPr>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spacing w:line="360" w:lineRule="auto"/>
        <w:rPr>
          <w:bCs/>
          <w:szCs w:val="21"/>
        </w:rPr>
      </w:pPr>
      <w:r>
        <w:rPr>
          <w:bCs/>
          <w:szCs w:val="21"/>
        </w:rPr>
        <w:t xml:space="preserve">21.2评标委员会按照招标文件中规定的评标方法和标准，对符合性审查合格的投标文件进行商务和技术评估，综合比较与评价。</w:t>
      </w:r>
      <w:r/>
    </w:p>
    <w:p>
      <w:pPr>
        <w:ind w:firstLine="420"/>
        <w:spacing w:line="360" w:lineRule="auto"/>
        <w:rPr>
          <w:bCs/>
          <w:szCs w:val="21"/>
        </w:rPr>
      </w:pPr>
      <w:r>
        <w:rPr>
          <w:bCs/>
          <w:szCs w:val="21"/>
        </w:rPr>
        <w:t xml:space="preserve">21.3除评标方法和评标标准另有规定外，评标采用综合评分法。即投标文件满足招标文件全部实质性要求，且按照评审因素的量化指标评审得分最高的供应商为中标候选供应商的评标方法。</w:t>
      </w:r>
      <w:r/>
    </w:p>
    <w:p>
      <w:pPr>
        <w:ind w:firstLine="420"/>
        <w:spacing w:line="360" w:lineRule="auto"/>
        <w:rPr>
          <w:bCs/>
          <w:szCs w:val="21"/>
        </w:rPr>
      </w:pPr>
      <w:r>
        <w:rPr>
          <w:bCs/>
          <w:szCs w:val="21"/>
        </w:rPr>
        <w:t xml:space="preserve">21.4评审因素包括投标报价、技术或者服务水平、履约能力、售后服务等</w:t>
      </w:r>
      <w:r/>
    </w:p>
    <w:p>
      <w:pPr>
        <w:ind w:firstLine="420"/>
        <w:spacing w:line="360" w:lineRule="auto"/>
        <w:rPr>
          <w:bCs/>
          <w:szCs w:val="21"/>
        </w:rPr>
      </w:pPr>
      <w:r>
        <w:rPr>
          <w:bCs/>
          <w:szCs w:val="21"/>
        </w:rPr>
        <w:t xml:space="preserve">21.5评标标准详见文件第三章。</w:t>
      </w:r>
      <w:r/>
    </w:p>
    <w:p>
      <w:pPr>
        <w:ind w:firstLine="422"/>
        <w:spacing w:line="360" w:lineRule="auto"/>
        <w:rPr>
          <w:b/>
          <w:szCs w:val="21"/>
        </w:rPr>
      </w:pPr>
      <w:r/>
      <w:bookmarkStart w:id="83" w:name="_Toc231820616"/>
      <w:r>
        <w:rPr>
          <w:b/>
          <w:szCs w:val="21"/>
        </w:rPr>
        <w:t xml:space="preserve">22.评标过程的保密与公正</w:t>
      </w:r>
      <w:bookmarkEnd w:id="83"/>
      <w:r/>
      <w:r/>
    </w:p>
    <w:p>
      <w:pPr>
        <w:ind w:firstLine="420"/>
        <w:spacing w:line="360" w:lineRule="auto"/>
        <w:rPr>
          <w:bCs/>
          <w:szCs w:val="21"/>
        </w:rPr>
      </w:pPr>
      <w:r>
        <w:rPr>
          <w:bCs/>
          <w:szCs w:val="21"/>
        </w:rPr>
        <w:t xml:space="preserve">22.1公开开标后，直至向中标的供应商授予合同时止，凡是与审查、澄清、评价和比较投标的有关资料以及授标建议等，采购人、评委、采购代理机构均不得向供应商或与评标无关的其他人员透露。</w:t>
      </w:r>
      <w:r/>
    </w:p>
    <w:p>
      <w:pPr>
        <w:ind w:firstLine="420"/>
        <w:spacing w:line="360" w:lineRule="auto"/>
        <w:rPr>
          <w:bCs/>
          <w:szCs w:val="21"/>
        </w:rPr>
      </w:pPr>
      <w:r>
        <w:rPr>
          <w:bCs/>
          <w:szCs w:val="21"/>
        </w:rPr>
        <w:t xml:space="preserve">22.2在评标过程中，供应商不得以任何行为影响评标过程，否则其投标文件将被作为无效投标文件。</w:t>
      </w:r>
      <w:r/>
    </w:p>
    <w:p>
      <w:pPr>
        <w:ind w:firstLine="420"/>
        <w:spacing w:line="360" w:lineRule="auto"/>
        <w:rPr>
          <w:bCs/>
          <w:szCs w:val="21"/>
        </w:rPr>
      </w:pPr>
      <w:r>
        <w:rPr>
          <w:bCs/>
          <w:szCs w:val="21"/>
        </w:rPr>
        <w:t xml:space="preserve">22.3 采购代理机构和评标委员会不得向落标的供应商解释未中标原因，也不公布评标过程中的相关细节。</w:t>
      </w:r>
      <w:r/>
    </w:p>
    <w:p>
      <w:pPr>
        <w:ind w:firstLine="420"/>
        <w:spacing w:line="360" w:lineRule="auto"/>
        <w:rPr>
          <w:bCs/>
          <w:szCs w:val="21"/>
        </w:rPr>
      </w:pPr>
      <w:r>
        <w:rPr>
          <w:bCs/>
          <w:szCs w:val="21"/>
        </w:rPr>
        <w:t xml:space="preserve">22.4 在评标期间，采购代理机构将指定联络员与供应商进行联络。</w:t>
      </w:r>
      <w:r/>
    </w:p>
    <w:p>
      <w:pPr>
        <w:ind w:firstLine="422"/>
        <w:spacing w:line="360" w:lineRule="auto"/>
        <w:rPr>
          <w:b/>
          <w:szCs w:val="21"/>
        </w:rPr>
      </w:pPr>
      <w:r/>
      <w:bookmarkStart w:id="84" w:name="_Toc231820617"/>
      <w:r>
        <w:rPr>
          <w:b/>
          <w:szCs w:val="21"/>
        </w:rPr>
        <w:t xml:space="preserve">23.无效投标条款和废标条款</w:t>
      </w:r>
      <w:bookmarkEnd w:id="84"/>
      <w:r/>
      <w:r/>
    </w:p>
    <w:p>
      <w:pPr>
        <w:ind w:firstLine="420"/>
        <w:spacing w:line="360" w:lineRule="auto"/>
        <w:rPr>
          <w:bCs/>
          <w:szCs w:val="21"/>
        </w:rPr>
      </w:pPr>
      <w:r>
        <w:rPr>
          <w:bCs/>
          <w:szCs w:val="21"/>
        </w:rPr>
        <w:t xml:space="preserve">23.1无效投标条款</w:t>
      </w:r>
      <w:r/>
    </w:p>
    <w:p>
      <w:pPr>
        <w:ind w:firstLine="420"/>
        <w:jc w:val="left"/>
        <w:spacing w:line="360" w:lineRule="auto"/>
        <w:shd w:val="clear" w:color="auto" w:fill="ffffff"/>
        <w:widowControl/>
        <w:tabs>
          <w:tab w:val="left" w:pos="767" w:leader="none"/>
        </w:tabs>
        <w:rPr>
          <w:szCs w:val="21"/>
        </w:rPr>
      </w:pPr>
      <w:r>
        <w:rPr>
          <w:szCs w:val="21"/>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szCs w:val="21"/>
        </w:rPr>
      </w:pPr>
      <w:r>
        <w:rPr>
          <w:bCs/>
          <w:szCs w:val="21"/>
        </w:rPr>
        <w:t xml:space="preserve">（2）</w:t>
      </w:r>
      <w:r>
        <w:rPr>
          <w:szCs w:val="21"/>
        </w:rPr>
        <w:t xml:space="preserve">投标人未按照招标文件要求上传电子投标文件的。</w:t>
      </w:r>
      <w:r/>
    </w:p>
    <w:p>
      <w:pPr>
        <w:ind w:firstLine="420"/>
        <w:jc w:val="left"/>
        <w:spacing w:line="360" w:lineRule="auto"/>
        <w:shd w:val="clear" w:color="auto" w:fill="ffffff"/>
        <w:widowControl/>
        <w:rPr>
          <w:szCs w:val="21"/>
        </w:rPr>
      </w:pPr>
      <w:r>
        <w:rPr>
          <w:bCs/>
          <w:szCs w:val="21"/>
        </w:rPr>
        <w:t xml:space="preserve">（3）供应商不具备招标文件中规定资格要求的</w:t>
      </w:r>
      <w:r>
        <w:rPr>
          <w:szCs w:val="21"/>
        </w:rPr>
        <w:t xml:space="preserve">；</w:t>
      </w:r>
      <w:r/>
    </w:p>
    <w:p>
      <w:pPr>
        <w:ind w:firstLine="420"/>
        <w:spacing w:line="360" w:lineRule="auto"/>
        <w:rPr>
          <w:szCs w:val="21"/>
        </w:rPr>
      </w:pPr>
      <w:r>
        <w:rPr>
          <w:bCs/>
          <w:szCs w:val="21"/>
        </w:rPr>
        <w:t xml:space="preserve">（4）供应商在报价时采用选择性报价；</w:t>
      </w:r>
      <w:r/>
    </w:p>
    <w:p>
      <w:pPr>
        <w:ind w:firstLine="420"/>
        <w:jc w:val="left"/>
        <w:spacing w:line="360" w:lineRule="auto"/>
        <w:shd w:val="clear" w:color="auto" w:fill="ffffff"/>
        <w:widowControl/>
        <w:rPr>
          <w:szCs w:val="21"/>
        </w:rPr>
      </w:pPr>
      <w:r>
        <w:rPr>
          <w:szCs w:val="21"/>
        </w:rPr>
        <w:t xml:space="preserve">（</w:t>
      </w:r>
      <w:r>
        <w:rPr>
          <w:bCs/>
          <w:szCs w:val="21"/>
        </w:rPr>
        <w:t xml:space="preserve">5</w:t>
      </w:r>
      <w:r>
        <w:rPr>
          <w:szCs w:val="21"/>
        </w:rPr>
        <w:t xml:space="preserve">）报价超过招标文件中规定的预算金额或者最高限价的；</w:t>
      </w:r>
      <w:r/>
    </w:p>
    <w:p>
      <w:pPr>
        <w:ind w:firstLine="420"/>
        <w:jc w:val="left"/>
        <w:spacing w:line="360" w:lineRule="auto"/>
        <w:shd w:val="clear" w:color="auto" w:fill="ffffff"/>
        <w:widowControl/>
        <w:rPr>
          <w:szCs w:val="21"/>
        </w:rPr>
      </w:pPr>
      <w:r>
        <w:rPr>
          <w:szCs w:val="21"/>
        </w:rPr>
        <w:t xml:space="preserve">（6）投标文件含有采购人不能接受的附加条件的；</w:t>
      </w:r>
      <w:r/>
    </w:p>
    <w:p>
      <w:pPr>
        <w:ind w:firstLine="420"/>
        <w:jc w:val="left"/>
        <w:spacing w:line="360" w:lineRule="auto"/>
        <w:shd w:val="clear" w:color="auto" w:fill="ffffff"/>
        <w:widowControl/>
        <w:rPr>
          <w:szCs w:val="21"/>
        </w:rPr>
      </w:pPr>
      <w:r>
        <w:rPr>
          <w:szCs w:val="21"/>
        </w:rPr>
        <w:t xml:space="preserve">（</w:t>
      </w:r>
      <w:r>
        <w:rPr>
          <w:bCs/>
          <w:szCs w:val="21"/>
        </w:rPr>
        <w:t xml:space="preserve">7</w:t>
      </w:r>
      <w:r>
        <w:rPr>
          <w:szCs w:val="21"/>
        </w:rPr>
        <w:t xml:space="preserve">）不同供应商的投标文件由同一单位或者个人编制；</w:t>
      </w:r>
      <w:r/>
    </w:p>
    <w:p>
      <w:pPr>
        <w:ind w:firstLine="420"/>
        <w:jc w:val="left"/>
        <w:spacing w:line="360" w:lineRule="auto"/>
        <w:shd w:val="clear" w:color="auto" w:fill="ffffff"/>
        <w:widowControl/>
        <w:rPr>
          <w:szCs w:val="21"/>
        </w:rPr>
      </w:pPr>
      <w:r>
        <w:rPr>
          <w:szCs w:val="21"/>
        </w:rPr>
        <w:t xml:space="preserve">（8）不同供应商委托同一单位或者个人办理投标事宜；</w:t>
      </w:r>
      <w:r/>
    </w:p>
    <w:p>
      <w:pPr>
        <w:ind w:firstLine="420"/>
        <w:jc w:val="left"/>
        <w:spacing w:line="360" w:lineRule="auto"/>
        <w:shd w:val="clear" w:color="auto" w:fill="ffffff"/>
        <w:widowControl/>
        <w:rPr>
          <w:szCs w:val="21"/>
        </w:rPr>
      </w:pPr>
      <w:r>
        <w:rPr>
          <w:szCs w:val="21"/>
        </w:rPr>
        <w:t xml:space="preserve">（9）不同供应商的投标文件载明的项目管理成员或联系人员为同一人；</w:t>
      </w:r>
      <w:r/>
    </w:p>
    <w:p>
      <w:pPr>
        <w:ind w:firstLine="420"/>
        <w:jc w:val="left"/>
        <w:spacing w:line="360" w:lineRule="auto"/>
        <w:shd w:val="clear" w:color="auto" w:fill="ffffff"/>
        <w:widowControl/>
        <w:rPr>
          <w:szCs w:val="21"/>
        </w:rPr>
      </w:pPr>
      <w:r>
        <w:rPr>
          <w:szCs w:val="21"/>
        </w:rPr>
        <w:t xml:space="preserve">（10）不同供应商的投标文件异常一致或者投标报价呈规律性差异；</w:t>
      </w:r>
      <w:r/>
    </w:p>
    <w:p>
      <w:pPr>
        <w:ind w:firstLine="420"/>
        <w:jc w:val="left"/>
        <w:spacing w:line="360" w:lineRule="auto"/>
        <w:shd w:val="clear" w:color="auto" w:fill="ffffff"/>
        <w:widowControl/>
        <w:rPr>
          <w:szCs w:val="21"/>
        </w:rPr>
      </w:pPr>
      <w:r>
        <w:rPr>
          <w:szCs w:val="21"/>
        </w:rPr>
        <w:t xml:space="preserve">（11）不同供应商的投标文件相互混装；</w:t>
      </w:r>
      <w:r/>
    </w:p>
    <w:p>
      <w:pPr>
        <w:ind w:firstLine="420"/>
        <w:spacing w:line="360" w:lineRule="auto"/>
        <w:rPr>
          <w:bCs/>
          <w:szCs w:val="21"/>
        </w:rPr>
      </w:pPr>
      <w:r>
        <w:rPr>
          <w:bCs/>
          <w:szCs w:val="21"/>
        </w:rPr>
        <w:t xml:space="preserve">（12）不同供应商的负责人为同一人或者存在控股、管理关系的；</w:t>
      </w:r>
      <w:r/>
    </w:p>
    <w:p>
      <w:pPr>
        <w:ind w:firstLine="420"/>
        <w:spacing w:line="360" w:lineRule="auto"/>
        <w:rPr>
          <w:bCs/>
          <w:szCs w:val="21"/>
        </w:rPr>
      </w:pPr>
      <w:r>
        <w:rPr>
          <w:bCs/>
          <w:szCs w:val="21"/>
        </w:rPr>
        <w:t xml:space="preserve">（13）不同供应商的委托代理人（或法定代表人、项目经理、项目总监、项目负责人等）在招标文件发布日上月至投标截止日当月在同一单位缴纳社会保险的；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szCs w:val="21"/>
        </w:rPr>
      </w:pPr>
      <w:r>
        <w:rPr>
          <w:szCs w:val="21"/>
        </w:rPr>
        <w:t xml:space="preserve">（</w:t>
      </w:r>
      <w:r>
        <w:rPr>
          <w:bCs/>
          <w:szCs w:val="21"/>
        </w:rPr>
        <w:t xml:space="preserve">14</w:t>
      </w:r>
      <w:r>
        <w:rPr>
          <w:szCs w:val="21"/>
        </w:rPr>
        <w:t xml:space="preserve">）提供虚假材料的（包括工商营业执照、财务报表、资格证明文件等）；</w:t>
      </w:r>
      <w:r/>
    </w:p>
    <w:p>
      <w:pPr>
        <w:ind w:firstLine="420"/>
        <w:spacing w:line="360" w:lineRule="auto"/>
        <w:rPr>
          <w:szCs w:val="21"/>
        </w:rPr>
      </w:pPr>
      <w:r>
        <w:rPr>
          <w:bCs/>
          <w:szCs w:val="21"/>
        </w:rPr>
        <w:t xml:space="preserve">（15）未通过符合性检查的；</w:t>
      </w:r>
      <w:r/>
    </w:p>
    <w:p>
      <w:pPr>
        <w:ind w:firstLine="420"/>
        <w:jc w:val="left"/>
        <w:spacing w:line="360" w:lineRule="auto"/>
        <w:shd w:val="clear" w:color="auto" w:fill="ffffff"/>
        <w:widowControl/>
        <w:rPr>
          <w:szCs w:val="21"/>
        </w:rPr>
      </w:pPr>
      <w:r>
        <w:rPr>
          <w:szCs w:val="21"/>
        </w:rPr>
        <w:t xml:space="preserve">（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r/>
    </w:p>
    <w:p>
      <w:pPr>
        <w:ind w:firstLine="420"/>
        <w:jc w:val="left"/>
        <w:spacing w:line="360" w:lineRule="auto"/>
        <w:shd w:val="clear" w:color="auto" w:fill="ffffff"/>
        <w:widowControl/>
        <w:rPr>
          <w:szCs w:val="21"/>
        </w:rPr>
      </w:pPr>
      <w:r>
        <w:rPr>
          <w:szCs w:val="21"/>
        </w:rPr>
        <w:t xml:space="preserve">（</w:t>
      </w:r>
      <w:r>
        <w:rPr>
          <w:bCs/>
          <w:szCs w:val="21"/>
        </w:rPr>
        <w:t xml:space="preserve">17</w:t>
      </w:r>
      <w:r>
        <w:rPr>
          <w:szCs w:val="21"/>
        </w:rPr>
        <w:t xml:space="preserve">）不符合招标文件中规定的其他实质性要求的；</w:t>
      </w:r>
      <w:r/>
    </w:p>
    <w:p>
      <w:pPr>
        <w:ind w:firstLine="420"/>
        <w:jc w:val="left"/>
        <w:spacing w:line="360" w:lineRule="auto"/>
        <w:shd w:val="clear" w:color="auto" w:fill="ffffff"/>
        <w:widowControl/>
        <w:rPr>
          <w:bCs/>
          <w:szCs w:val="21"/>
        </w:rPr>
      </w:pPr>
      <w:r>
        <w:rPr>
          <w:szCs w:val="21"/>
        </w:rPr>
        <w:t xml:space="preserve">（</w:t>
      </w:r>
      <w:r>
        <w:rPr>
          <w:bCs/>
          <w:szCs w:val="21"/>
        </w:rPr>
        <w:t xml:space="preserve">18</w:t>
      </w:r>
      <w:r>
        <w:rPr>
          <w:szCs w:val="21"/>
        </w:rPr>
        <w:t xml:space="preserve">）法律法规和招标文件规定的其他无效情形。</w:t>
      </w:r>
      <w:r/>
    </w:p>
    <w:p>
      <w:pPr>
        <w:ind w:firstLine="420"/>
        <w:spacing w:line="360" w:lineRule="auto"/>
        <w:rPr>
          <w:bCs/>
          <w:szCs w:val="21"/>
        </w:rPr>
      </w:pPr>
      <w:r>
        <w:rPr>
          <w:bCs/>
          <w:szCs w:val="21"/>
        </w:rPr>
        <w:t xml:space="preserve">23.2废标条款：</w:t>
      </w:r>
      <w:r/>
    </w:p>
    <w:p>
      <w:pPr>
        <w:ind w:firstLine="420"/>
        <w:spacing w:line="360" w:lineRule="auto"/>
        <w:rPr>
          <w:bCs/>
          <w:szCs w:val="21"/>
        </w:rPr>
      </w:pPr>
      <w:r>
        <w:rPr>
          <w:bCs/>
          <w:szCs w:val="21"/>
        </w:rPr>
        <w:t xml:space="preserve">（1）符合专业条件的供应商或者对招标文件作实质响应的供应商不足三家的；</w:t>
      </w:r>
      <w:r/>
    </w:p>
    <w:p>
      <w:pPr>
        <w:ind w:firstLine="420"/>
        <w:spacing w:line="360" w:lineRule="auto"/>
        <w:rPr>
          <w:bCs/>
          <w:szCs w:val="21"/>
        </w:rPr>
      </w:pPr>
      <w:r>
        <w:rPr>
          <w:bCs/>
          <w:szCs w:val="21"/>
        </w:rPr>
        <w:t xml:space="preserve">（2）出现影响采购公正的违法、违规行为的；</w:t>
      </w:r>
      <w:r/>
    </w:p>
    <w:p>
      <w:pPr>
        <w:ind w:firstLine="420"/>
        <w:spacing w:line="360" w:lineRule="auto"/>
        <w:rPr>
          <w:bCs/>
          <w:szCs w:val="21"/>
        </w:rPr>
      </w:pPr>
      <w:r>
        <w:rPr>
          <w:bCs/>
          <w:szCs w:val="21"/>
        </w:rPr>
        <w:t xml:space="preserve">（3）因重大变故，采购任务取消的；</w:t>
      </w:r>
      <w:r/>
    </w:p>
    <w:p>
      <w:pPr>
        <w:ind w:firstLine="420"/>
        <w:spacing w:line="360" w:lineRule="auto"/>
        <w:rPr>
          <w:bCs/>
          <w:szCs w:val="21"/>
        </w:rPr>
      </w:pPr>
      <w:r>
        <w:rPr>
          <w:bCs/>
          <w:szCs w:val="21"/>
        </w:rPr>
        <w:t xml:space="preserve">（4）评标委员会认定投标文件存在歧义、重大缺陷导致评审工作无法进行的，或者招标文件内容违反国家有关强制性规定的。</w:t>
      </w:r>
      <w:r/>
    </w:p>
    <w:p>
      <w:pPr>
        <w:ind w:firstLine="422"/>
        <w:spacing w:line="360" w:lineRule="auto"/>
        <w:rPr>
          <w:b/>
          <w:szCs w:val="21"/>
        </w:rPr>
      </w:pPr>
      <w:r/>
      <w:bookmarkStart w:id="85" w:name="_Toc231820618"/>
      <w:r>
        <w:rPr>
          <w:b/>
          <w:szCs w:val="21"/>
        </w:rPr>
        <w:t xml:space="preserve">24.投标截止时间结束参加投标的供应商不足三家的处理</w:t>
      </w:r>
      <w:bookmarkEnd w:id="85"/>
      <w:r/>
      <w:r/>
    </w:p>
    <w:p>
      <w:pPr>
        <w:ind w:firstLine="420"/>
        <w:spacing w:line="360" w:lineRule="auto"/>
        <w:rPr>
          <w:bCs/>
          <w:szCs w:val="21"/>
        </w:rPr>
      </w:pPr>
      <w:r>
        <w:rPr>
          <w:bCs/>
          <w:szCs w:val="21"/>
        </w:rPr>
        <w:t xml:space="preserve">24.1如出现投标截止时间结束后参加投标的供应商不足三家的情况，不得开标。此采购项目予以废标。废标后，除采购任务取消情形外，重新组织招标；如果需要采用其他方式采购，根据需要，在采购活动开始前获得设区的市、自治州以上人民政府采购监督管理部门或者政府有关部门批准（不需要获得批准的除外）。</w:t>
      </w:r>
      <w:r/>
    </w:p>
    <w:p>
      <w:pPr>
        <w:ind w:firstLine="420"/>
        <w:spacing w:line="360" w:lineRule="auto"/>
        <w:rPr>
          <w:bCs/>
          <w:szCs w:val="21"/>
        </w:rPr>
      </w:pPr>
      <w:r>
        <w:rPr>
          <w:bCs/>
          <w:szCs w:val="21"/>
        </w:rPr>
        <w:t xml:space="preserve">24.2在评标期间，出现符合专业条件的供应商或者对招标文件做出实质响应的供应商不足三家情形的，此采购项目予以废标。废标后，除采购任务取消情形外，重新组织招标；如果需要采取其他方式采购的，根据需要，在采购活动开始前获得设区的市、自治州以上人民政府采购监督管理部门或者政府有关部门批准（不需要获得批准的除外）。</w:t>
      </w:r>
      <w:r/>
    </w:p>
    <w:p>
      <w:pPr>
        <w:ind w:firstLine="420"/>
        <w:spacing w:line="360" w:lineRule="auto"/>
        <w:rPr>
          <w:bCs/>
          <w:szCs w:val="21"/>
        </w:rPr>
      </w:pPr>
      <w:r>
        <w:rPr>
          <w:bCs/>
          <w:szCs w:val="21"/>
        </w:rPr>
        <w:t xml:space="preserve">24.3供应商若不接受采购方式的改变，应在规定的时间内书面向评标委员会说明，未在规定时间内提交书面说明的视为接受采购方式的改变。</w:t>
      </w:r>
      <w:r/>
    </w:p>
    <w:p>
      <w:pPr>
        <w:spacing w:line="360" w:lineRule="auto"/>
        <w:shd w:val="clear" w:color="auto" w:fill="ffffff"/>
        <w:widowControl/>
        <w:rPr>
          <w:b/>
          <w:bCs/>
          <w:szCs w:val="21"/>
        </w:rPr>
        <w:outlineLvl w:val="1"/>
      </w:pPr>
      <w:r/>
      <w:bookmarkStart w:id="86" w:name="_Toc231822739"/>
      <w:r>
        <w:rPr>
          <w:b/>
          <w:bCs/>
          <w:szCs w:val="21"/>
        </w:rPr>
        <w:t xml:space="preserve">六、授标</w:t>
      </w:r>
      <w:bookmarkEnd w:id="86"/>
      <w:r/>
      <w:r/>
    </w:p>
    <w:p>
      <w:pPr>
        <w:ind w:firstLine="422"/>
        <w:spacing w:line="360" w:lineRule="auto"/>
        <w:rPr>
          <w:b/>
          <w:szCs w:val="21"/>
        </w:rPr>
      </w:pPr>
      <w:r/>
      <w:bookmarkStart w:id="87" w:name="_Toc231820620"/>
      <w:r>
        <w:rPr>
          <w:b/>
          <w:szCs w:val="21"/>
        </w:rPr>
        <w:t xml:space="preserve">25.确定中标供应商</w:t>
      </w:r>
      <w:bookmarkEnd w:id="87"/>
      <w:r/>
      <w:r/>
    </w:p>
    <w:p>
      <w:pPr>
        <w:ind w:firstLine="420"/>
        <w:spacing w:line="360" w:lineRule="auto"/>
        <w:rPr>
          <w:szCs w:val="21"/>
        </w:rPr>
      </w:pPr>
      <w:r>
        <w:rPr>
          <w:szCs w:val="21"/>
        </w:rPr>
        <w:t xml:space="preserve">25.1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360" w:lineRule="auto"/>
        <w:shd w:val="clear" w:color="auto" w:fill="ffffff"/>
        <w:widowControl/>
        <w:rPr>
          <w:szCs w:val="21"/>
        </w:rPr>
      </w:pPr>
      <w:r>
        <w:rPr>
          <w:szCs w:val="21"/>
        </w:rPr>
        <w:t xml:space="preserve">25.2 采购人应根据评标委员会推荐的中标候选供应商确定中标供应商。</w:t>
      </w:r>
      <w:r/>
    </w:p>
    <w:p>
      <w:pPr>
        <w:ind w:firstLine="420"/>
        <w:spacing w:line="360" w:lineRule="auto"/>
        <w:rPr>
          <w:szCs w:val="21"/>
        </w:rPr>
      </w:pPr>
      <w:r>
        <w:rPr>
          <w:szCs w:val="21"/>
        </w:rPr>
        <w:t xml:space="preserve">25.3评标委员会根据全体评标成员签字的原始评标记录和评标结果编写评标报告。</w:t>
      </w:r>
      <w:r/>
    </w:p>
    <w:p>
      <w:pPr>
        <w:ind w:firstLine="420"/>
        <w:spacing w:line="360" w:lineRule="auto"/>
        <w:rPr>
          <w:szCs w:val="21"/>
        </w:rPr>
      </w:pPr>
      <w:r>
        <w:rPr>
          <w:szCs w:val="21"/>
        </w:rPr>
        <w:t xml:space="preserve">25.4评审结束后，采购代理机构自评审结束之日起2个工作日内将评审报告送交采购人。采购人自收到评审报告之日起5个工作日内在评审报告推荐的中标或者成交候选供应商中按顺序确定中标或者成交供应商。采购代理机构自中标、成交供应商确定之日起2个工作日内，发出中标、成交通知书，并在省级以上人民政府财政部门指定的媒体上公告中标、成交结果，招标文件、竞争性谈判文件、询价通知书随中标、成交结果同时公告。</w:t>
      </w:r>
      <w:r/>
    </w:p>
    <w:p>
      <w:pPr>
        <w:ind w:firstLine="420"/>
        <w:spacing w:line="360" w:lineRule="auto"/>
        <w:rPr>
          <w:szCs w:val="21"/>
        </w:rPr>
      </w:pPr>
      <w:r>
        <w:rPr>
          <w:szCs w:val="21"/>
        </w:rPr>
        <w:t xml:space="preserve">25.5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rPr>
          <w:szCs w:val="21"/>
        </w:rPr>
      </w:pPr>
      <w:r>
        <w:rPr>
          <w:szCs w:val="21"/>
        </w:rPr>
        <w:t xml:space="preserve">25.6 若评标委员会发现供应商的投标文件中有弄虚作假行为，则该供应商将失去中标资格。</w:t>
      </w:r>
      <w:r/>
    </w:p>
    <w:p>
      <w:pPr>
        <w:ind w:firstLine="422"/>
        <w:spacing w:line="360" w:lineRule="auto"/>
        <w:rPr>
          <w:b/>
          <w:szCs w:val="21"/>
        </w:rPr>
      </w:pPr>
      <w:r/>
      <w:bookmarkStart w:id="88" w:name="_Toc231820621"/>
      <w:r>
        <w:rPr>
          <w:b/>
          <w:szCs w:val="21"/>
        </w:rPr>
        <w:t xml:space="preserve">26.中标的通知</w:t>
      </w:r>
      <w:bookmarkEnd w:id="88"/>
      <w:r/>
      <w:r/>
    </w:p>
    <w:p>
      <w:pPr>
        <w:ind w:firstLine="420"/>
        <w:spacing w:line="360" w:lineRule="auto"/>
        <w:rPr>
          <w:bCs/>
          <w:szCs w:val="21"/>
        </w:rPr>
      </w:pPr>
      <w:r>
        <w:rPr>
          <w:bCs/>
          <w:szCs w:val="21"/>
        </w:rPr>
        <w:t xml:space="preserve">26.1定标后，采购代理机构将定标结果通知所有的供应商，并向中标供应商发出中标通知书。</w:t>
      </w:r>
      <w:r/>
    </w:p>
    <w:p>
      <w:pPr>
        <w:ind w:firstLine="420"/>
        <w:spacing w:line="360" w:lineRule="auto"/>
        <w:rPr>
          <w:bCs/>
          <w:szCs w:val="21"/>
        </w:rPr>
      </w:pPr>
      <w:r>
        <w:rPr>
          <w:bCs/>
          <w:szCs w:val="21"/>
        </w:rPr>
        <w:t xml:space="preserve">26.2中标供应商在收到中标通知书后，应郑重保证履行中标供应商应履行的，含招标代理服务费在内的一切义务和责任。</w:t>
      </w:r>
      <w:r/>
    </w:p>
    <w:p>
      <w:pPr>
        <w:ind w:firstLine="420"/>
        <w:spacing w:line="360" w:lineRule="auto"/>
        <w:rPr>
          <w:bCs/>
          <w:szCs w:val="21"/>
        </w:rPr>
      </w:pPr>
      <w:r>
        <w:rPr>
          <w:bCs/>
          <w:szCs w:val="21"/>
        </w:rPr>
        <w:t xml:space="preserve">26.3中标通知书是合同的组成部分。</w:t>
      </w:r>
      <w:r/>
    </w:p>
    <w:p>
      <w:pPr>
        <w:ind w:firstLine="422"/>
        <w:spacing w:line="360" w:lineRule="auto"/>
        <w:rPr>
          <w:b/>
          <w:szCs w:val="21"/>
        </w:rPr>
      </w:pPr>
      <w:r/>
      <w:bookmarkStart w:id="89" w:name="_Toc231820622"/>
      <w:r>
        <w:rPr>
          <w:b/>
          <w:szCs w:val="21"/>
        </w:rPr>
        <w:t xml:space="preserve">27.签订合同</w:t>
      </w:r>
      <w:bookmarkEnd w:id="89"/>
      <w:r/>
      <w:r/>
    </w:p>
    <w:p>
      <w:pPr>
        <w:ind w:firstLine="420"/>
        <w:spacing w:line="360" w:lineRule="auto"/>
        <w:rPr>
          <w:bCs/>
          <w:szCs w:val="21"/>
        </w:rPr>
      </w:pPr>
      <w:r>
        <w:rPr>
          <w:bCs/>
          <w:szCs w:val="21"/>
        </w:rPr>
        <w:t xml:space="preserve">27.1中标供应商应当自中标通知书发出之日起三十日内，按照招标文件和投标文件的约定与采购人签订采购合同，所签订的合同不得对招标文件和投标文件作实质性修改。</w:t>
      </w:r>
      <w:r/>
    </w:p>
    <w:p>
      <w:pPr>
        <w:ind w:firstLine="420"/>
        <w:spacing w:line="360" w:lineRule="auto"/>
        <w:rPr>
          <w:bCs/>
          <w:szCs w:val="21"/>
        </w:rPr>
      </w:pPr>
      <w:r>
        <w:rPr>
          <w:bCs/>
          <w:szCs w:val="21"/>
        </w:rPr>
        <w:t xml:space="preserve">27.2招标文件、中标供应商的投标文件及评标过程中有关澄清、说明或者补正文件均应作为合同附件。</w:t>
      </w:r>
      <w:r/>
    </w:p>
    <w:p>
      <w:pPr>
        <w:ind w:firstLine="420"/>
        <w:spacing w:line="360" w:lineRule="auto"/>
        <w:rPr>
          <w:bCs/>
          <w:szCs w:val="21"/>
        </w:rPr>
      </w:pPr>
      <w:r>
        <w:rPr>
          <w:bCs/>
          <w:szCs w:val="21"/>
        </w:rPr>
        <w:t xml:space="preserve">27.3若中标供应商未能按规定签约，依照政府采购法第七十七条第一款的规定，政府采购监督管理部门将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在这种情况下采购人可以另选中标供应商或重新招标。</w:t>
      </w:r>
      <w:r/>
    </w:p>
    <w:p>
      <w:pPr>
        <w:ind w:firstLine="420"/>
        <w:spacing w:line="360" w:lineRule="auto"/>
        <w:rPr>
          <w:bCs/>
          <w:szCs w:val="21"/>
        </w:rPr>
      </w:pPr>
      <w:r>
        <w:rPr>
          <w:bCs/>
          <w:szCs w:val="21"/>
        </w:rPr>
        <w:t xml:space="preserve">27.4 采购合同履行中，采购人需追加与合同标的相同的货物的，在不改变合同其他条款的前提下，可以与供应商协商签订补充合同，但所有补充合同的采购金额不得超过原合同采购金额的百分之十。</w:t>
      </w:r>
      <w:r/>
    </w:p>
    <w:p>
      <w:pPr>
        <w:ind w:firstLine="422"/>
        <w:spacing w:line="360" w:lineRule="auto"/>
        <w:rPr>
          <w:b/>
          <w:szCs w:val="21"/>
        </w:rPr>
      </w:pPr>
      <w:r/>
      <w:bookmarkStart w:id="90" w:name="第三章_评标标准"/>
      <w:r/>
      <w:bookmarkEnd w:id="90"/>
      <w:r/>
      <w:bookmarkStart w:id="91" w:name="_bookmark2"/>
      <w:r/>
      <w:bookmarkEnd w:id="91"/>
      <w:r/>
      <w:bookmarkStart w:id="92" w:name="_Toc231820623"/>
      <w:r/>
      <w:bookmarkStart w:id="93" w:name="_Toc12982"/>
      <w:r>
        <w:rPr>
          <w:b/>
          <w:szCs w:val="21"/>
        </w:rPr>
        <w:t xml:space="preserve">28.招标代理服务费</w:t>
      </w:r>
      <w:bookmarkEnd w:id="92"/>
      <w:r/>
      <w:bookmarkEnd w:id="93"/>
      <w:r/>
      <w:r/>
    </w:p>
    <w:p>
      <w:pPr>
        <w:ind w:firstLine="420"/>
        <w:jc w:val="left"/>
        <w:spacing w:line="360" w:lineRule="auto"/>
        <w:rPr>
          <w:szCs w:val="21"/>
        </w:rPr>
      </w:pPr>
      <w:r>
        <w:rPr>
          <w:bCs/>
          <w:szCs w:val="21"/>
        </w:rPr>
        <w:t xml:space="preserve">因项目预算中已包含招标代理服务费用，故本次项目服务费由中标供应商直接向招标代理机构支付。中标服务费采用差额定率累进计费方式。中标供应商在领取中标通知书时需参照“国家计委关于印发《招标代理服务收费管理暂行办法》的通知（计价格[2002]1980号）”中规定的</w:t>
      </w:r>
      <w:r>
        <w:rPr>
          <w:b/>
          <w:szCs w:val="21"/>
        </w:rPr>
        <w:t xml:space="preserve">收费标准，下浮20%（最低收费 3000 元整）</w:t>
      </w:r>
      <w:r>
        <w:rPr>
          <w:bCs/>
          <w:szCs w:val="21"/>
        </w:rPr>
        <w:t xml:space="preserve">向采购代理机构交付每包的招标代理服务费，招标代理服务费一次付清。</w:t>
      </w:r>
      <w:r/>
    </w:p>
    <w:p>
      <w:pPr>
        <w:ind w:left="430" w:hanging="10"/>
        <w:spacing w:line="360" w:lineRule="auto"/>
        <w:rPr>
          <w:b/>
          <w:bCs/>
          <w:szCs w:val="21"/>
        </w:rPr>
      </w:pPr>
      <w:r>
        <w:rPr>
          <w:szCs w:val="21"/>
        </w:rPr>
        <w:t xml:space="preserve">例如：某货物招标代理业务中标金额为1000万元，计算招标代理服务收费额如下：</w:t>
      </w:r>
      <w:r/>
    </w:p>
    <w:p>
      <w:pPr>
        <w:ind w:left="571" w:hanging="151"/>
        <w:spacing w:line="360" w:lineRule="auto"/>
        <w:rPr>
          <w:szCs w:val="21"/>
        </w:rPr>
      </w:pPr>
      <w:r>
        <w:rPr>
          <w:szCs w:val="21"/>
        </w:rPr>
        <w:t xml:space="preserve">100 × 1.2% = 1.2（万元）</w:t>
      </w:r>
      <w:r/>
    </w:p>
    <w:p>
      <w:pPr>
        <w:ind w:left="571" w:hanging="151"/>
        <w:spacing w:line="360" w:lineRule="auto"/>
        <w:rPr>
          <w:szCs w:val="21"/>
        </w:rPr>
      </w:pPr>
      <w:r>
        <w:rPr>
          <w:szCs w:val="21"/>
        </w:rPr>
        <w:t xml:space="preserve">(500-100) × 0.88% = 3.52（万元）</w:t>
      </w:r>
      <w:r/>
    </w:p>
    <w:p>
      <w:pPr>
        <w:ind w:left="571" w:hanging="151"/>
        <w:spacing w:line="360" w:lineRule="auto"/>
        <w:rPr>
          <w:szCs w:val="21"/>
        </w:rPr>
      </w:pPr>
      <w:r>
        <w:rPr>
          <w:szCs w:val="21"/>
        </w:rPr>
        <w:t xml:space="preserve">(1000-500) × 0.64% = 3.2（万元）</w:t>
      </w:r>
      <w:r/>
    </w:p>
    <w:p>
      <w:pPr>
        <w:ind w:left="571" w:hanging="151"/>
        <w:spacing w:line="360" w:lineRule="auto"/>
        <w:rPr>
          <w:szCs w:val="21"/>
        </w:rPr>
      </w:pPr>
      <w:r>
        <w:rPr>
          <w:szCs w:val="21"/>
        </w:rPr>
        <w:t xml:space="preserve">合计收费 = 1.2 + 3.52 + 3.2 = 7.92（万元）</w:t>
      </w:r>
      <w:r/>
    </w:p>
    <w:tbl>
      <w:tblPr>
        <w:tblStyle w:val="1405"/>
        <w:tblW w:w="8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2"/>
        <w:gridCol w:w="1973"/>
        <w:gridCol w:w="1387"/>
        <w:gridCol w:w="2026"/>
        <w:gridCol w:w="1378"/>
      </w:tblGrid>
      <w:tr>
        <w:trPr>
          <w:jc w:val="center"/>
          <w:trHeight w:val="675"/>
        </w:trPr>
        <w:tc>
          <w:tcPr>
            <w:tcW w:w="2122" w:type="dxa"/>
            <w:vAlign w:val="center"/>
            <w:textDirection w:val="lrTb"/>
            <w:noWrap w:val="false"/>
          </w:tcPr>
          <w:p>
            <w:pPr>
              <w:ind w:firstLine="420"/>
              <w:spacing w:line="340" w:lineRule="exact"/>
              <w:rPr>
                <w:szCs w:val="21"/>
              </w:rPr>
            </w:pPr>
            <w:r>
              <w:rPr>
                <w:szCs w:val="21"/>
              </w:rPr>
              <w:t xml:space="preserve">中标金额（万元）</w:t>
            </w:r>
            <w:r/>
          </w:p>
        </w:tc>
        <w:tc>
          <w:tcPr>
            <w:tcW w:w="1973" w:type="dxa"/>
            <w:vAlign w:val="center"/>
            <w:textDirection w:val="lrTb"/>
            <w:noWrap w:val="false"/>
          </w:tcPr>
          <w:p>
            <w:pPr>
              <w:jc w:val="center"/>
              <w:spacing w:line="340" w:lineRule="exact"/>
              <w:rPr>
                <w:szCs w:val="21"/>
              </w:rPr>
            </w:pPr>
            <w:r>
              <w:rPr>
                <w:szCs w:val="21"/>
              </w:rPr>
              <w:t xml:space="preserve">货物招标收费标准</w:t>
            </w:r>
            <w:r/>
          </w:p>
        </w:tc>
        <w:tc>
          <w:tcPr>
            <w:tcW w:w="1387" w:type="dxa"/>
            <w:vAlign w:val="center"/>
            <w:textDirection w:val="lrTb"/>
            <w:noWrap w:val="false"/>
          </w:tcPr>
          <w:p>
            <w:pPr>
              <w:jc w:val="center"/>
              <w:spacing w:line="340" w:lineRule="exact"/>
              <w:rPr>
                <w:szCs w:val="21"/>
              </w:rPr>
            </w:pPr>
            <w:r>
              <w:rPr>
                <w:szCs w:val="21"/>
              </w:rPr>
              <w:t xml:space="preserve">我公司收费</w:t>
            </w:r>
            <w:r/>
          </w:p>
        </w:tc>
        <w:tc>
          <w:tcPr>
            <w:tcW w:w="2026" w:type="dxa"/>
            <w:vAlign w:val="center"/>
            <w:textDirection w:val="lrTb"/>
            <w:noWrap w:val="false"/>
          </w:tcPr>
          <w:p>
            <w:pPr>
              <w:jc w:val="center"/>
              <w:spacing w:line="340" w:lineRule="exact"/>
              <w:rPr>
                <w:szCs w:val="21"/>
              </w:rPr>
            </w:pPr>
            <w:r>
              <w:rPr>
                <w:szCs w:val="21"/>
              </w:rPr>
              <w:t xml:space="preserve">服务招标收费标准</w:t>
            </w:r>
            <w:r/>
          </w:p>
        </w:tc>
        <w:tc>
          <w:tcPr>
            <w:tcW w:w="1378" w:type="dxa"/>
            <w:vAlign w:val="center"/>
            <w:textDirection w:val="lrTb"/>
            <w:noWrap w:val="false"/>
          </w:tcPr>
          <w:p>
            <w:pPr>
              <w:jc w:val="center"/>
              <w:spacing w:line="340" w:lineRule="exact"/>
              <w:rPr>
                <w:szCs w:val="21"/>
              </w:rPr>
            </w:pPr>
            <w:r>
              <w:rPr>
                <w:szCs w:val="21"/>
              </w:rPr>
              <w:t xml:space="preserve">我公司收费</w:t>
            </w:r>
            <w:r/>
          </w:p>
        </w:tc>
      </w:tr>
      <w:tr>
        <w:trPr>
          <w:jc w:val="center"/>
          <w:trHeight w:val="347"/>
        </w:trPr>
        <w:tc>
          <w:tcPr>
            <w:tcW w:w="2122" w:type="dxa"/>
            <w:vAlign w:val="center"/>
            <w:textDirection w:val="lrTb"/>
            <w:noWrap w:val="false"/>
          </w:tcPr>
          <w:p>
            <w:pPr>
              <w:jc w:val="center"/>
              <w:spacing w:line="300" w:lineRule="exact"/>
              <w:rPr>
                <w:szCs w:val="21"/>
              </w:rPr>
            </w:pPr>
            <w:r>
              <w:rPr>
                <w:szCs w:val="21"/>
              </w:rPr>
              <w:t xml:space="preserve">100以下</w:t>
            </w:r>
            <w:r/>
          </w:p>
        </w:tc>
        <w:tc>
          <w:tcPr>
            <w:tcW w:w="1973" w:type="dxa"/>
            <w:vAlign w:val="center"/>
            <w:textDirection w:val="lrTb"/>
            <w:noWrap w:val="false"/>
          </w:tcPr>
          <w:p>
            <w:pPr>
              <w:ind w:firstLine="420"/>
              <w:jc w:val="center"/>
              <w:spacing w:line="300" w:lineRule="exact"/>
              <w:rPr>
                <w:szCs w:val="21"/>
              </w:rPr>
            </w:pPr>
            <w:r>
              <w:rPr>
                <w:szCs w:val="21"/>
              </w:rPr>
              <w:t xml:space="preserve">1.5%</w:t>
            </w:r>
            <w:r/>
          </w:p>
        </w:tc>
        <w:tc>
          <w:tcPr>
            <w:tcW w:w="1387" w:type="dxa"/>
            <w:vAlign w:val="center"/>
            <w:textDirection w:val="lrTb"/>
            <w:noWrap w:val="false"/>
          </w:tcPr>
          <w:p>
            <w:pPr>
              <w:ind w:firstLine="420"/>
              <w:spacing w:line="300" w:lineRule="exact"/>
              <w:rPr>
                <w:szCs w:val="21"/>
              </w:rPr>
            </w:pPr>
            <w:r>
              <w:rPr>
                <w:szCs w:val="21"/>
              </w:rPr>
              <w:t xml:space="preserve">1.2%</w:t>
            </w:r>
            <w:r/>
          </w:p>
        </w:tc>
        <w:tc>
          <w:tcPr>
            <w:tcW w:w="2026" w:type="dxa"/>
            <w:vAlign w:val="center"/>
            <w:textDirection w:val="lrTb"/>
            <w:noWrap w:val="false"/>
          </w:tcPr>
          <w:p>
            <w:pPr>
              <w:ind w:firstLine="420"/>
              <w:spacing w:line="300" w:lineRule="exact"/>
              <w:rPr>
                <w:szCs w:val="21"/>
              </w:rPr>
            </w:pPr>
            <w:r>
              <w:rPr>
                <w:szCs w:val="21"/>
              </w:rPr>
              <w:t xml:space="preserve">1.5%</w:t>
            </w:r>
            <w:r/>
          </w:p>
        </w:tc>
        <w:tc>
          <w:tcPr>
            <w:tcW w:w="1378" w:type="dxa"/>
            <w:vAlign w:val="center"/>
            <w:textDirection w:val="lrTb"/>
            <w:noWrap w:val="false"/>
          </w:tcPr>
          <w:p>
            <w:pPr>
              <w:ind w:firstLine="420"/>
              <w:spacing w:line="300" w:lineRule="exact"/>
              <w:rPr>
                <w:szCs w:val="21"/>
              </w:rPr>
            </w:pPr>
            <w:r>
              <w:rPr>
                <w:szCs w:val="21"/>
              </w:rPr>
              <w:t xml:space="preserve">1.2%</w:t>
            </w:r>
            <w:r/>
          </w:p>
        </w:tc>
      </w:tr>
      <w:tr>
        <w:trPr>
          <w:jc w:val="center"/>
        </w:trPr>
        <w:tc>
          <w:tcPr>
            <w:tcW w:w="2122" w:type="dxa"/>
            <w:vAlign w:val="center"/>
            <w:textDirection w:val="lrTb"/>
            <w:noWrap w:val="false"/>
          </w:tcPr>
          <w:p>
            <w:pPr>
              <w:jc w:val="center"/>
              <w:spacing w:line="300" w:lineRule="exact"/>
              <w:rPr>
                <w:szCs w:val="21"/>
              </w:rPr>
            </w:pPr>
            <w:r>
              <w:rPr>
                <w:szCs w:val="21"/>
              </w:rPr>
              <w:t xml:space="preserve">100-500</w:t>
            </w:r>
            <w:r/>
          </w:p>
        </w:tc>
        <w:tc>
          <w:tcPr>
            <w:tcW w:w="1973" w:type="dxa"/>
            <w:vAlign w:val="center"/>
            <w:textDirection w:val="lrTb"/>
            <w:noWrap w:val="false"/>
          </w:tcPr>
          <w:p>
            <w:pPr>
              <w:ind w:firstLine="420"/>
              <w:jc w:val="center"/>
              <w:spacing w:line="300" w:lineRule="exact"/>
              <w:rPr>
                <w:szCs w:val="21"/>
              </w:rPr>
            </w:pPr>
            <w:r>
              <w:rPr>
                <w:szCs w:val="21"/>
              </w:rPr>
              <w:t xml:space="preserve">1.1%</w:t>
            </w:r>
            <w:r/>
          </w:p>
        </w:tc>
        <w:tc>
          <w:tcPr>
            <w:tcW w:w="1387" w:type="dxa"/>
            <w:vAlign w:val="center"/>
            <w:textDirection w:val="lrTb"/>
            <w:noWrap w:val="false"/>
          </w:tcPr>
          <w:p>
            <w:pPr>
              <w:ind w:firstLine="420"/>
              <w:spacing w:line="300" w:lineRule="exact"/>
              <w:rPr>
                <w:szCs w:val="21"/>
              </w:rPr>
            </w:pPr>
            <w:r>
              <w:rPr>
                <w:szCs w:val="21"/>
              </w:rPr>
              <w:t xml:space="preserve">0.88%</w:t>
            </w:r>
            <w:r/>
          </w:p>
        </w:tc>
        <w:tc>
          <w:tcPr>
            <w:tcW w:w="2026" w:type="dxa"/>
            <w:vAlign w:val="center"/>
            <w:textDirection w:val="lrTb"/>
            <w:noWrap w:val="false"/>
          </w:tcPr>
          <w:p>
            <w:pPr>
              <w:ind w:firstLine="420"/>
              <w:spacing w:line="300" w:lineRule="exact"/>
              <w:rPr>
                <w:szCs w:val="21"/>
              </w:rPr>
            </w:pPr>
            <w:r>
              <w:rPr>
                <w:szCs w:val="21"/>
              </w:rPr>
              <w:t xml:space="preserve">0.8%</w:t>
            </w:r>
            <w:r/>
          </w:p>
        </w:tc>
        <w:tc>
          <w:tcPr>
            <w:tcW w:w="1378" w:type="dxa"/>
            <w:vAlign w:val="center"/>
            <w:textDirection w:val="lrTb"/>
            <w:noWrap w:val="false"/>
          </w:tcPr>
          <w:p>
            <w:pPr>
              <w:ind w:firstLine="420"/>
              <w:spacing w:line="300" w:lineRule="exact"/>
              <w:rPr>
                <w:szCs w:val="21"/>
              </w:rPr>
            </w:pPr>
            <w:r>
              <w:rPr>
                <w:szCs w:val="21"/>
              </w:rPr>
              <w:t xml:space="preserve">0.64%</w:t>
            </w:r>
            <w:r/>
          </w:p>
        </w:tc>
      </w:tr>
      <w:tr>
        <w:trPr>
          <w:jc w:val="center"/>
        </w:trPr>
        <w:tc>
          <w:tcPr>
            <w:tcW w:w="2122" w:type="dxa"/>
            <w:vAlign w:val="center"/>
            <w:textDirection w:val="lrTb"/>
            <w:noWrap w:val="false"/>
          </w:tcPr>
          <w:p>
            <w:pPr>
              <w:jc w:val="center"/>
              <w:spacing w:line="300" w:lineRule="exact"/>
              <w:rPr>
                <w:szCs w:val="21"/>
              </w:rPr>
            </w:pPr>
            <w:r>
              <w:rPr>
                <w:szCs w:val="21"/>
              </w:rPr>
              <w:t xml:space="preserve">500-1000</w:t>
            </w:r>
            <w:r/>
          </w:p>
        </w:tc>
        <w:tc>
          <w:tcPr>
            <w:tcW w:w="1973" w:type="dxa"/>
            <w:vAlign w:val="center"/>
            <w:textDirection w:val="lrTb"/>
            <w:noWrap w:val="false"/>
          </w:tcPr>
          <w:p>
            <w:pPr>
              <w:ind w:firstLine="420"/>
              <w:jc w:val="center"/>
              <w:spacing w:line="300" w:lineRule="exact"/>
              <w:rPr>
                <w:szCs w:val="21"/>
              </w:rPr>
            </w:pPr>
            <w:r>
              <w:rPr>
                <w:szCs w:val="21"/>
              </w:rPr>
              <w:t xml:space="preserve">0.8%</w:t>
            </w:r>
            <w:r/>
          </w:p>
        </w:tc>
        <w:tc>
          <w:tcPr>
            <w:tcW w:w="1387" w:type="dxa"/>
            <w:vAlign w:val="center"/>
            <w:textDirection w:val="lrTb"/>
            <w:noWrap w:val="false"/>
          </w:tcPr>
          <w:p>
            <w:pPr>
              <w:ind w:firstLine="420"/>
              <w:spacing w:line="300" w:lineRule="exact"/>
              <w:rPr>
                <w:szCs w:val="21"/>
              </w:rPr>
            </w:pPr>
            <w:r>
              <w:rPr>
                <w:szCs w:val="21"/>
              </w:rPr>
              <w:t xml:space="preserve">0.64%</w:t>
            </w:r>
            <w:r/>
          </w:p>
        </w:tc>
        <w:tc>
          <w:tcPr>
            <w:tcW w:w="2026" w:type="dxa"/>
            <w:vAlign w:val="center"/>
            <w:textDirection w:val="lrTb"/>
            <w:noWrap w:val="false"/>
          </w:tcPr>
          <w:p>
            <w:pPr>
              <w:ind w:firstLine="420"/>
              <w:spacing w:line="300" w:lineRule="exact"/>
              <w:rPr>
                <w:szCs w:val="21"/>
              </w:rPr>
            </w:pPr>
            <w:r>
              <w:rPr>
                <w:szCs w:val="21"/>
              </w:rPr>
              <w:t xml:space="preserve">0.45%</w:t>
            </w:r>
            <w:r/>
          </w:p>
        </w:tc>
        <w:tc>
          <w:tcPr>
            <w:tcW w:w="1378" w:type="dxa"/>
            <w:vAlign w:val="center"/>
            <w:textDirection w:val="lrTb"/>
            <w:noWrap w:val="false"/>
          </w:tcPr>
          <w:p>
            <w:pPr>
              <w:ind w:firstLine="420"/>
              <w:spacing w:line="300" w:lineRule="exact"/>
              <w:rPr>
                <w:szCs w:val="21"/>
              </w:rPr>
            </w:pPr>
            <w:r>
              <w:rPr>
                <w:szCs w:val="21"/>
              </w:rPr>
              <w:t xml:space="preserve">0.36%</w:t>
            </w:r>
            <w:r/>
          </w:p>
        </w:tc>
      </w:tr>
      <w:tr>
        <w:trPr>
          <w:jc w:val="center"/>
        </w:trPr>
        <w:tc>
          <w:tcPr>
            <w:tcW w:w="2122" w:type="dxa"/>
            <w:vAlign w:val="center"/>
            <w:textDirection w:val="lrTb"/>
            <w:noWrap w:val="false"/>
          </w:tcPr>
          <w:p>
            <w:pPr>
              <w:jc w:val="center"/>
              <w:spacing w:line="300" w:lineRule="exact"/>
              <w:rPr>
                <w:szCs w:val="21"/>
              </w:rPr>
            </w:pPr>
            <w:r>
              <w:rPr>
                <w:szCs w:val="21"/>
              </w:rPr>
              <w:t xml:space="preserve">1000-5000</w:t>
            </w:r>
            <w:r/>
          </w:p>
        </w:tc>
        <w:tc>
          <w:tcPr>
            <w:tcW w:w="1973" w:type="dxa"/>
            <w:vAlign w:val="center"/>
            <w:textDirection w:val="lrTb"/>
            <w:noWrap w:val="false"/>
          </w:tcPr>
          <w:p>
            <w:pPr>
              <w:ind w:firstLine="420"/>
              <w:jc w:val="center"/>
              <w:spacing w:line="300" w:lineRule="exact"/>
              <w:rPr>
                <w:szCs w:val="21"/>
              </w:rPr>
            </w:pPr>
            <w:r>
              <w:rPr>
                <w:szCs w:val="21"/>
              </w:rPr>
              <w:t xml:space="preserve">0.5%</w:t>
            </w:r>
            <w:r/>
          </w:p>
        </w:tc>
        <w:tc>
          <w:tcPr>
            <w:tcW w:w="1387" w:type="dxa"/>
            <w:vAlign w:val="center"/>
            <w:textDirection w:val="lrTb"/>
            <w:noWrap w:val="false"/>
          </w:tcPr>
          <w:p>
            <w:pPr>
              <w:ind w:firstLine="420"/>
              <w:spacing w:line="300" w:lineRule="exact"/>
              <w:rPr>
                <w:szCs w:val="21"/>
              </w:rPr>
            </w:pPr>
            <w:r>
              <w:rPr>
                <w:szCs w:val="21"/>
              </w:rPr>
              <w:t xml:space="preserve">0.4%</w:t>
            </w:r>
            <w:r/>
          </w:p>
        </w:tc>
        <w:tc>
          <w:tcPr>
            <w:tcW w:w="2026" w:type="dxa"/>
            <w:vAlign w:val="center"/>
            <w:textDirection w:val="lrTb"/>
            <w:noWrap w:val="false"/>
          </w:tcPr>
          <w:p>
            <w:pPr>
              <w:ind w:firstLine="420"/>
              <w:spacing w:line="300" w:lineRule="exact"/>
              <w:rPr>
                <w:szCs w:val="21"/>
              </w:rPr>
            </w:pPr>
            <w:r>
              <w:rPr>
                <w:szCs w:val="21"/>
              </w:rPr>
              <w:t xml:space="preserve">0.25%</w:t>
            </w:r>
            <w:r/>
          </w:p>
        </w:tc>
        <w:tc>
          <w:tcPr>
            <w:tcW w:w="1378" w:type="dxa"/>
            <w:vAlign w:val="center"/>
            <w:textDirection w:val="lrTb"/>
            <w:noWrap w:val="false"/>
          </w:tcPr>
          <w:p>
            <w:pPr>
              <w:ind w:firstLine="420"/>
              <w:spacing w:line="300" w:lineRule="exact"/>
              <w:rPr>
                <w:szCs w:val="21"/>
              </w:rPr>
            </w:pPr>
            <w:r>
              <w:rPr>
                <w:szCs w:val="21"/>
              </w:rPr>
              <w:t xml:space="preserve">0.2%</w:t>
            </w:r>
            <w:r/>
          </w:p>
        </w:tc>
      </w:tr>
      <w:tr>
        <w:trPr>
          <w:jc w:val="center"/>
        </w:trPr>
        <w:tc>
          <w:tcPr>
            <w:tcW w:w="2122" w:type="dxa"/>
            <w:vAlign w:val="center"/>
            <w:textDirection w:val="lrTb"/>
            <w:noWrap w:val="false"/>
          </w:tcPr>
          <w:p>
            <w:pPr>
              <w:jc w:val="center"/>
              <w:spacing w:line="300" w:lineRule="exact"/>
              <w:rPr>
                <w:szCs w:val="21"/>
              </w:rPr>
            </w:pPr>
            <w:r>
              <w:rPr>
                <w:szCs w:val="21"/>
              </w:rPr>
              <w:t xml:space="preserve">5000-10000</w:t>
            </w:r>
            <w:r/>
          </w:p>
        </w:tc>
        <w:tc>
          <w:tcPr>
            <w:tcW w:w="1973" w:type="dxa"/>
            <w:vAlign w:val="center"/>
            <w:textDirection w:val="lrTb"/>
            <w:noWrap w:val="false"/>
          </w:tcPr>
          <w:p>
            <w:pPr>
              <w:ind w:firstLine="420"/>
              <w:jc w:val="center"/>
              <w:spacing w:line="300" w:lineRule="exact"/>
              <w:rPr>
                <w:szCs w:val="21"/>
              </w:rPr>
            </w:pPr>
            <w:r>
              <w:rPr>
                <w:szCs w:val="21"/>
              </w:rPr>
              <w:t xml:space="preserve">0.25%</w:t>
            </w:r>
            <w:r/>
          </w:p>
        </w:tc>
        <w:tc>
          <w:tcPr>
            <w:tcW w:w="1387" w:type="dxa"/>
            <w:vAlign w:val="center"/>
            <w:textDirection w:val="lrTb"/>
            <w:noWrap w:val="false"/>
          </w:tcPr>
          <w:p>
            <w:pPr>
              <w:ind w:firstLine="420"/>
              <w:spacing w:line="300" w:lineRule="exact"/>
              <w:rPr>
                <w:szCs w:val="21"/>
              </w:rPr>
            </w:pPr>
            <w:r>
              <w:rPr>
                <w:szCs w:val="21"/>
              </w:rPr>
              <w:t xml:space="preserve">0.2%</w:t>
            </w:r>
            <w:r/>
          </w:p>
        </w:tc>
        <w:tc>
          <w:tcPr>
            <w:tcW w:w="2026" w:type="dxa"/>
            <w:vAlign w:val="center"/>
            <w:textDirection w:val="lrTb"/>
            <w:noWrap w:val="false"/>
          </w:tcPr>
          <w:p>
            <w:pPr>
              <w:ind w:firstLine="420"/>
              <w:spacing w:line="300" w:lineRule="exact"/>
              <w:rPr>
                <w:szCs w:val="21"/>
              </w:rPr>
            </w:pPr>
            <w:r>
              <w:rPr>
                <w:szCs w:val="21"/>
              </w:rPr>
              <w:t xml:space="preserve">0.1%</w:t>
            </w:r>
            <w:r/>
          </w:p>
        </w:tc>
        <w:tc>
          <w:tcPr>
            <w:tcW w:w="1378" w:type="dxa"/>
            <w:vAlign w:val="center"/>
            <w:textDirection w:val="lrTb"/>
            <w:noWrap w:val="false"/>
          </w:tcPr>
          <w:p>
            <w:pPr>
              <w:ind w:firstLine="420"/>
              <w:spacing w:line="300" w:lineRule="exact"/>
              <w:rPr>
                <w:szCs w:val="21"/>
              </w:rPr>
            </w:pPr>
            <w:r>
              <w:rPr>
                <w:szCs w:val="21"/>
              </w:rPr>
              <w:t xml:space="preserve">0.08%</w:t>
            </w:r>
            <w:r/>
          </w:p>
        </w:tc>
      </w:tr>
      <w:tr>
        <w:trPr>
          <w:jc w:val="center"/>
        </w:trPr>
        <w:tc>
          <w:tcPr>
            <w:tcW w:w="2122" w:type="dxa"/>
            <w:vAlign w:val="center"/>
            <w:textDirection w:val="lrTb"/>
            <w:noWrap w:val="false"/>
          </w:tcPr>
          <w:p>
            <w:pPr>
              <w:jc w:val="center"/>
              <w:spacing w:line="300" w:lineRule="exact"/>
              <w:rPr>
                <w:szCs w:val="21"/>
              </w:rPr>
            </w:pPr>
            <w:r>
              <w:rPr>
                <w:szCs w:val="21"/>
              </w:rPr>
              <w:t xml:space="preserve">10000-100000</w:t>
            </w:r>
            <w:r/>
          </w:p>
        </w:tc>
        <w:tc>
          <w:tcPr>
            <w:tcW w:w="1973" w:type="dxa"/>
            <w:vAlign w:val="center"/>
            <w:textDirection w:val="lrTb"/>
            <w:noWrap w:val="false"/>
          </w:tcPr>
          <w:p>
            <w:pPr>
              <w:ind w:firstLine="420"/>
              <w:jc w:val="center"/>
              <w:spacing w:line="300" w:lineRule="exact"/>
              <w:rPr>
                <w:szCs w:val="21"/>
              </w:rPr>
            </w:pPr>
            <w:r>
              <w:rPr>
                <w:szCs w:val="21"/>
              </w:rPr>
              <w:t xml:space="preserve">0.05%</w:t>
            </w:r>
            <w:r/>
          </w:p>
        </w:tc>
        <w:tc>
          <w:tcPr>
            <w:tcW w:w="1387" w:type="dxa"/>
            <w:vAlign w:val="center"/>
            <w:textDirection w:val="lrTb"/>
            <w:noWrap w:val="false"/>
          </w:tcPr>
          <w:p>
            <w:pPr>
              <w:ind w:firstLine="420"/>
              <w:spacing w:line="300" w:lineRule="exact"/>
              <w:rPr>
                <w:szCs w:val="21"/>
              </w:rPr>
            </w:pPr>
            <w:r>
              <w:rPr>
                <w:szCs w:val="21"/>
              </w:rPr>
              <w:t xml:space="preserve">0.04%</w:t>
            </w:r>
            <w:r/>
          </w:p>
        </w:tc>
        <w:tc>
          <w:tcPr>
            <w:tcW w:w="2026" w:type="dxa"/>
            <w:vAlign w:val="center"/>
            <w:textDirection w:val="lrTb"/>
            <w:noWrap w:val="false"/>
          </w:tcPr>
          <w:p>
            <w:pPr>
              <w:ind w:firstLine="420"/>
              <w:spacing w:line="300" w:lineRule="exact"/>
              <w:rPr>
                <w:szCs w:val="21"/>
              </w:rPr>
            </w:pPr>
            <w:r>
              <w:rPr>
                <w:szCs w:val="21"/>
              </w:rPr>
              <w:t xml:space="preserve">0.05%</w:t>
            </w:r>
            <w:r/>
          </w:p>
        </w:tc>
        <w:tc>
          <w:tcPr>
            <w:tcW w:w="1378" w:type="dxa"/>
            <w:vAlign w:val="center"/>
            <w:textDirection w:val="lrTb"/>
            <w:noWrap w:val="false"/>
          </w:tcPr>
          <w:p>
            <w:pPr>
              <w:ind w:firstLine="420"/>
              <w:spacing w:line="300" w:lineRule="exact"/>
              <w:rPr>
                <w:szCs w:val="21"/>
              </w:rPr>
            </w:pPr>
            <w:r>
              <w:rPr>
                <w:szCs w:val="21"/>
              </w:rPr>
              <w:t xml:space="preserve">0.04%</w:t>
            </w:r>
            <w:r/>
          </w:p>
        </w:tc>
      </w:tr>
      <w:tr>
        <w:trPr>
          <w:jc w:val="center"/>
        </w:trPr>
        <w:tc>
          <w:tcPr>
            <w:tcW w:w="2122" w:type="dxa"/>
            <w:vAlign w:val="center"/>
            <w:textDirection w:val="lrTb"/>
            <w:noWrap w:val="false"/>
          </w:tcPr>
          <w:p>
            <w:pPr>
              <w:jc w:val="center"/>
              <w:spacing w:line="300" w:lineRule="exact"/>
              <w:rPr>
                <w:szCs w:val="21"/>
              </w:rPr>
            </w:pPr>
            <w:r>
              <w:rPr>
                <w:szCs w:val="21"/>
              </w:rPr>
              <w:t xml:space="preserve">1000000以上</w:t>
            </w:r>
            <w:r/>
          </w:p>
        </w:tc>
        <w:tc>
          <w:tcPr>
            <w:tcW w:w="1973" w:type="dxa"/>
            <w:vAlign w:val="center"/>
            <w:textDirection w:val="lrTb"/>
            <w:noWrap w:val="false"/>
          </w:tcPr>
          <w:p>
            <w:pPr>
              <w:ind w:firstLine="420"/>
              <w:jc w:val="center"/>
              <w:spacing w:line="300" w:lineRule="exact"/>
              <w:rPr>
                <w:szCs w:val="21"/>
              </w:rPr>
            </w:pPr>
            <w:r>
              <w:rPr>
                <w:szCs w:val="21"/>
              </w:rPr>
              <w:t xml:space="preserve">0.01%</w:t>
            </w:r>
            <w:r/>
          </w:p>
        </w:tc>
        <w:tc>
          <w:tcPr>
            <w:tcW w:w="1387" w:type="dxa"/>
            <w:vAlign w:val="center"/>
            <w:textDirection w:val="lrTb"/>
            <w:noWrap w:val="false"/>
          </w:tcPr>
          <w:p>
            <w:pPr>
              <w:ind w:firstLine="420"/>
              <w:spacing w:line="300" w:lineRule="exact"/>
              <w:rPr>
                <w:szCs w:val="21"/>
              </w:rPr>
            </w:pPr>
            <w:r>
              <w:rPr>
                <w:szCs w:val="21"/>
              </w:rPr>
              <w:t xml:space="preserve">0.008%</w:t>
            </w:r>
            <w:r/>
          </w:p>
        </w:tc>
        <w:tc>
          <w:tcPr>
            <w:tcW w:w="2026" w:type="dxa"/>
            <w:vAlign w:val="center"/>
            <w:textDirection w:val="lrTb"/>
            <w:noWrap w:val="false"/>
          </w:tcPr>
          <w:p>
            <w:pPr>
              <w:ind w:firstLine="420"/>
              <w:spacing w:line="300" w:lineRule="exact"/>
              <w:rPr>
                <w:szCs w:val="21"/>
              </w:rPr>
            </w:pPr>
            <w:r>
              <w:rPr>
                <w:szCs w:val="21"/>
              </w:rPr>
              <w:t xml:space="preserve">0.01%</w:t>
            </w:r>
            <w:r/>
          </w:p>
        </w:tc>
        <w:tc>
          <w:tcPr>
            <w:tcW w:w="1378" w:type="dxa"/>
            <w:vAlign w:val="center"/>
            <w:textDirection w:val="lrTb"/>
            <w:noWrap w:val="false"/>
          </w:tcPr>
          <w:p>
            <w:pPr>
              <w:ind w:firstLine="420"/>
              <w:spacing w:line="300" w:lineRule="exact"/>
              <w:rPr>
                <w:szCs w:val="21"/>
              </w:rPr>
            </w:pPr>
            <w:r>
              <w:rPr>
                <w:szCs w:val="21"/>
              </w:rPr>
              <w:t xml:space="preserve">0.008%</w:t>
            </w:r>
            <w:r/>
          </w:p>
        </w:tc>
      </w:tr>
    </w:tbl>
    <w:p>
      <w:pPr>
        <w:ind w:firstLine="422"/>
        <w:jc w:val="left"/>
        <w:spacing w:line="360" w:lineRule="auto"/>
        <w:rPr>
          <w:b/>
          <w:szCs w:val="21"/>
        </w:rPr>
      </w:pPr>
      <w:r>
        <w:rPr>
          <w:b/>
          <w:szCs w:val="21"/>
        </w:rPr>
      </w:r>
      <w:r/>
    </w:p>
    <w:p>
      <w:pPr>
        <w:ind w:firstLine="422"/>
        <w:jc w:val="left"/>
        <w:spacing w:line="360" w:lineRule="auto"/>
        <w:rPr>
          <w:b/>
          <w:bCs/>
          <w:szCs w:val="21"/>
          <w:lang w:val="zh-CN"/>
        </w:rPr>
      </w:pPr>
      <w:r>
        <w:rPr>
          <w:b/>
          <w:bCs/>
          <w:szCs w:val="21"/>
          <w:lang w:val="zh-CN"/>
        </w:rPr>
        <w:t xml:space="preserve">服务费受理账户信息</w:t>
      </w:r>
      <w:r/>
    </w:p>
    <w:p>
      <w:pPr>
        <w:ind w:firstLine="420"/>
        <w:jc w:val="left"/>
        <w:spacing w:line="360" w:lineRule="auto"/>
        <w:rPr>
          <w:bCs/>
          <w:szCs w:val="21"/>
        </w:rPr>
      </w:pPr>
      <w:r>
        <w:rPr>
          <w:bCs/>
          <w:szCs w:val="21"/>
        </w:rPr>
        <w:t xml:space="preserve">开户名称：江苏美达机电贸易有限公司</w:t>
      </w:r>
      <w:r/>
    </w:p>
    <w:p>
      <w:pPr>
        <w:ind w:firstLine="420"/>
        <w:jc w:val="left"/>
        <w:spacing w:line="360" w:lineRule="auto"/>
        <w:rPr>
          <w:bCs/>
          <w:szCs w:val="21"/>
        </w:rPr>
      </w:pPr>
      <w:r>
        <w:rPr>
          <w:bCs/>
          <w:szCs w:val="21"/>
        </w:rPr>
        <w:t xml:space="preserve">开户银行：中信银行股份有限公司南京城中支行</w:t>
      </w:r>
      <w:r/>
    </w:p>
    <w:p>
      <w:pPr>
        <w:ind w:firstLine="420"/>
        <w:jc w:val="left"/>
        <w:spacing w:line="360" w:lineRule="auto"/>
        <w:rPr>
          <w:b/>
          <w:bCs/>
          <w:szCs w:val="21"/>
        </w:rPr>
      </w:pPr>
      <w:r>
        <w:rPr>
          <w:bCs/>
          <w:szCs w:val="21"/>
        </w:rPr>
        <w:t xml:space="preserve">人民币账号：7351110182300007918</w:t>
      </w:r>
      <w:r/>
    </w:p>
    <w:p>
      <w:pPr>
        <w:spacing w:line="360" w:lineRule="auto"/>
        <w:shd w:val="clear" w:color="auto" w:fill="ffffff"/>
        <w:widowControl/>
        <w:rPr>
          <w:b/>
          <w:bCs/>
          <w:szCs w:val="21"/>
        </w:rPr>
        <w:outlineLvl w:val="1"/>
      </w:pPr>
      <w:r/>
      <w:bookmarkStart w:id="94" w:name="_Toc231822740"/>
      <w:r>
        <w:rPr>
          <w:b/>
          <w:bCs/>
          <w:szCs w:val="21"/>
        </w:rPr>
        <w:t xml:space="preserve">七、质疑</w:t>
      </w:r>
      <w:bookmarkEnd w:id="94"/>
      <w:r/>
      <w:r/>
    </w:p>
    <w:p>
      <w:pPr>
        <w:ind w:firstLine="422"/>
        <w:spacing w:line="360" w:lineRule="auto"/>
        <w:rPr>
          <w:b/>
          <w:szCs w:val="21"/>
        </w:rPr>
      </w:pPr>
      <w:r/>
      <w:bookmarkStart w:id="95" w:name="_Toc231820625"/>
      <w:r>
        <w:rPr>
          <w:b/>
          <w:szCs w:val="21"/>
        </w:rPr>
        <w:t xml:space="preserve">29、质疑</w:t>
      </w:r>
      <w:bookmarkEnd w:id="95"/>
      <w:r/>
      <w:r/>
    </w:p>
    <w:p>
      <w:pPr>
        <w:ind w:firstLine="420"/>
        <w:spacing w:line="360" w:lineRule="auto"/>
        <w:rPr>
          <w:bCs/>
          <w:szCs w:val="21"/>
        </w:rPr>
      </w:pPr>
      <w:r>
        <w:rPr>
          <w:bCs/>
          <w:szCs w:val="21"/>
        </w:rPr>
        <w:t xml:space="preserve">29.1 供应商对招标活动事项有疑问的，可以向采购代理机构提出询问，采购代理机构将依法作出答复，但答复的内容不涉及商业秘密。</w:t>
      </w:r>
      <w:r/>
    </w:p>
    <w:p>
      <w:pPr>
        <w:ind w:firstLine="420"/>
        <w:spacing w:line="360" w:lineRule="auto"/>
        <w:rPr>
          <w:bCs/>
          <w:szCs w:val="21"/>
        </w:rPr>
      </w:pPr>
      <w:r>
        <w:rPr>
          <w:bCs/>
          <w:szCs w:val="21"/>
        </w:rPr>
        <w:t xml:space="preserve">29.2 供应商认为采购文件、采购过程和中标结果使自己的合法权益受到损害的，可以在知道或者应当知道其权益受到损害之日起七个工作日内，将质疑函以</w:t>
      </w:r>
      <w:r>
        <w:rPr>
          <w:b/>
          <w:szCs w:val="21"/>
        </w:rPr>
        <w:t xml:space="preserve">书面形式（原件）</w:t>
      </w:r>
      <w:r>
        <w:rPr>
          <w:bCs/>
          <w:szCs w:val="21"/>
        </w:rPr>
        <w:t xml:space="preserve">送达代理机构，质疑期外提出的质疑，采购代理机构将不予受理。</w:t>
      </w:r>
      <w:r/>
    </w:p>
    <w:p>
      <w:pPr>
        <w:ind w:firstLine="420"/>
        <w:spacing w:line="360" w:lineRule="auto"/>
        <w:rPr>
          <w:bCs/>
          <w:szCs w:val="21"/>
        </w:rPr>
      </w:pPr>
      <w:r>
        <w:rPr>
          <w:bCs/>
          <w:szCs w:val="21"/>
        </w:rPr>
        <w:t xml:space="preserve">29.3供应商须在法定质疑期内</w:t>
      </w:r>
      <w:r>
        <w:rPr>
          <w:b/>
          <w:szCs w:val="21"/>
        </w:rPr>
        <w:t xml:space="preserve">一次性提出</w:t>
      </w:r>
      <w:r>
        <w:rPr>
          <w:bCs/>
          <w:szCs w:val="21"/>
        </w:rPr>
        <w:t xml:space="preserve">针对本项目同一采购程序环节的质疑。</w:t>
      </w:r>
      <w:r/>
    </w:p>
    <w:p>
      <w:pPr>
        <w:ind w:firstLine="420"/>
        <w:spacing w:line="360" w:lineRule="auto"/>
        <w:rPr>
          <w:bCs/>
          <w:szCs w:val="21"/>
        </w:rPr>
      </w:pPr>
      <w:r>
        <w:rPr>
          <w:bCs/>
          <w:szCs w:val="21"/>
        </w:rPr>
        <w:t xml:space="preserve">29.4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spacing w:line="360" w:lineRule="auto"/>
        <w:rPr>
          <w:szCs w:val="21"/>
        </w:rPr>
      </w:pPr>
      <w:r>
        <w:rPr>
          <w:szCs w:val="21"/>
        </w:rPr>
        <w:t xml:space="preserve">29.5质疑供应商若对项目的某一分包进行质疑，质疑函中应列明具体分包号。</w:t>
      </w:r>
      <w:r/>
    </w:p>
    <w:p>
      <w:pPr>
        <w:ind w:firstLine="420"/>
        <w:spacing w:line="360" w:lineRule="auto"/>
        <w:rPr>
          <w:szCs w:val="21"/>
        </w:rPr>
      </w:pPr>
      <w:r>
        <w:rPr>
          <w:szCs w:val="21"/>
        </w:rPr>
        <w:t xml:space="preserve">29.6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spacing w:line="360" w:lineRule="auto"/>
        <w:rPr>
          <w:szCs w:val="21"/>
        </w:rPr>
      </w:pPr>
      <w:r>
        <w:rPr>
          <w:szCs w:val="21"/>
        </w:rPr>
        <w:t xml:space="preserve">（1）供应商的姓名或者名称、地址、邮编、联系人及联系电话；</w:t>
      </w:r>
      <w:r/>
    </w:p>
    <w:p>
      <w:pPr>
        <w:ind w:firstLine="420"/>
        <w:spacing w:line="360" w:lineRule="auto"/>
        <w:rPr>
          <w:bCs/>
          <w:szCs w:val="21"/>
        </w:rPr>
      </w:pPr>
      <w:r>
        <w:rPr>
          <w:bCs/>
          <w:szCs w:val="21"/>
        </w:rPr>
        <w:t xml:space="preserve">（2）质疑项目的名称、编号；</w:t>
      </w:r>
      <w:r/>
    </w:p>
    <w:p>
      <w:pPr>
        <w:ind w:firstLine="420"/>
        <w:spacing w:line="360" w:lineRule="auto"/>
        <w:rPr>
          <w:bCs/>
          <w:szCs w:val="21"/>
        </w:rPr>
      </w:pPr>
      <w:r>
        <w:rPr>
          <w:bCs/>
          <w:szCs w:val="21"/>
        </w:rPr>
        <w:t xml:space="preserve">（3）具体、明确的质疑事项和与质疑事项相关的请求；</w:t>
      </w:r>
      <w:r/>
    </w:p>
    <w:p>
      <w:pPr>
        <w:ind w:firstLine="420"/>
        <w:spacing w:line="360" w:lineRule="auto"/>
        <w:rPr>
          <w:bCs/>
          <w:szCs w:val="21"/>
        </w:rPr>
      </w:pPr>
      <w:r>
        <w:rPr>
          <w:bCs/>
          <w:szCs w:val="21"/>
        </w:rPr>
        <w:t xml:space="preserve">（4）事实依据；</w:t>
      </w:r>
      <w:r/>
    </w:p>
    <w:p>
      <w:pPr>
        <w:ind w:firstLine="420"/>
        <w:spacing w:line="360" w:lineRule="auto"/>
        <w:rPr>
          <w:bCs/>
          <w:szCs w:val="21"/>
        </w:rPr>
      </w:pPr>
      <w:r>
        <w:rPr>
          <w:bCs/>
          <w:szCs w:val="21"/>
        </w:rPr>
        <w:t xml:space="preserve">（5）必要的法律依据</w:t>
      </w:r>
      <w:r/>
    </w:p>
    <w:p>
      <w:pPr>
        <w:ind w:firstLine="420"/>
        <w:spacing w:line="360" w:lineRule="auto"/>
        <w:rPr>
          <w:bCs/>
          <w:szCs w:val="21"/>
        </w:rPr>
      </w:pPr>
      <w:r>
        <w:rPr>
          <w:bCs/>
          <w:szCs w:val="21"/>
        </w:rPr>
        <w:t xml:space="preserve">（6）提出质疑的日期</w:t>
      </w:r>
      <w:r/>
    </w:p>
    <w:p>
      <w:pPr>
        <w:ind w:firstLine="420"/>
        <w:spacing w:line="360" w:lineRule="auto"/>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360" w:lineRule="auto"/>
        <w:rPr>
          <w:bCs/>
          <w:szCs w:val="21"/>
        </w:rPr>
      </w:pPr>
      <w:r>
        <w:rPr>
          <w:bCs/>
          <w:szCs w:val="21"/>
        </w:rPr>
        <w:t xml:space="preserve">29.7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之日起计算。</w:t>
      </w:r>
      <w:r/>
    </w:p>
    <w:p>
      <w:pPr>
        <w:ind w:firstLine="420"/>
        <w:spacing w:line="360" w:lineRule="auto"/>
        <w:rPr>
          <w:bCs/>
          <w:szCs w:val="21"/>
        </w:rPr>
      </w:pPr>
      <w:r>
        <w:rPr>
          <w:bCs/>
          <w:szCs w:val="21"/>
        </w:rPr>
        <w:t xml:space="preserve">29.8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bCs/>
          <w:szCs w:val="21"/>
        </w:rPr>
      </w:pPr>
      <w:r>
        <w:rPr>
          <w:bCs/>
          <w:szCs w:val="21"/>
        </w:rPr>
        <w:t xml:space="preserve">29.9本项目质疑函的接收人和联系方式详见第一章采购代理机构联系方式。</w:t>
      </w:r>
      <w:r/>
    </w:p>
    <w:p>
      <w:pPr>
        <w:ind w:firstLine="420"/>
        <w:spacing w:line="360" w:lineRule="auto"/>
        <w:rPr>
          <w:bCs/>
          <w:color w:val="000000"/>
          <w:szCs w:val="21"/>
        </w:rPr>
      </w:pPr>
      <w:r>
        <w:rPr>
          <w:bCs/>
          <w:color w:val="000000"/>
          <w:szCs w:val="21"/>
        </w:rPr>
        <w:t xml:space="preserve">29.10 采购代理机构在收到书面质疑后七个工作日内作出答复，并以书面形式通知质疑供应商和其他有关供应商，答复的内容不涉及商业秘密。</w:t>
      </w:r>
      <w:r/>
    </w:p>
    <w:p>
      <w:pPr>
        <w:ind w:firstLine="422"/>
        <w:spacing w:line="360" w:lineRule="auto"/>
        <w:rPr>
          <w:b/>
          <w:szCs w:val="21"/>
        </w:rPr>
      </w:pPr>
      <w:r>
        <w:rPr>
          <w:b/>
          <w:szCs w:val="21"/>
        </w:rPr>
        <w:t xml:space="preserve">30、投诉</w:t>
      </w:r>
      <w:r/>
    </w:p>
    <w:p>
      <w:pPr>
        <w:ind w:firstLine="420"/>
        <w:spacing w:line="360" w:lineRule="auto"/>
        <w:rPr>
          <w:bCs/>
          <w:szCs w:val="21"/>
        </w:rPr>
      </w:pPr>
      <w:r>
        <w:rPr>
          <w:bCs/>
          <w:szCs w:val="21"/>
        </w:rPr>
        <w:t xml:space="preserve">30.1提出质疑的供应商对采购代理机构的答复不满意或者采购代理机构未在规定的时间内作出答复的，可以在答复期满后十五个工作日内向同级政府采购监督管理部门投诉。</w:t>
      </w:r>
      <w:r/>
    </w:p>
    <w:p>
      <w:pPr>
        <w:ind w:firstLine="420"/>
        <w:spacing w:line="360" w:lineRule="auto"/>
        <w:rPr>
          <w:bCs/>
          <w:szCs w:val="21"/>
        </w:rPr>
      </w:pPr>
      <w:r>
        <w:rPr>
          <w:bCs/>
          <w:szCs w:val="21"/>
        </w:rPr>
        <w:t xml:space="preserve">30.2供应商投诉应当有明确的请求和必要的证明材料。供应商投诉的事项不得超出已质疑事项的范围。</w:t>
      </w:r>
      <w:r/>
    </w:p>
    <w:p>
      <w:pPr>
        <w:ind w:firstLine="420"/>
        <w:spacing w:line="360" w:lineRule="auto"/>
        <w:rPr>
          <w:bCs/>
          <w:szCs w:val="21"/>
        </w:rPr>
      </w:pPr>
      <w:r>
        <w:rPr>
          <w:bCs/>
          <w:szCs w:val="21"/>
        </w:rPr>
        <w:t xml:space="preserve">30.3投诉人对政府采购监督管理部门的投诉处理决定不服或者政府采购监督管理部门逾期未作处理的，可以依法申请行政复议或者向人民法院提起行政诉讼。</w:t>
      </w:r>
      <w:r/>
    </w:p>
    <w:p>
      <w:pPr>
        <w:ind w:firstLine="420"/>
        <w:spacing w:line="360" w:lineRule="auto"/>
        <w:rPr>
          <w:bCs/>
          <w:szCs w:val="21"/>
        </w:rPr>
      </w:pPr>
      <w:r>
        <w:rPr>
          <w:bCs/>
          <w:szCs w:val="21"/>
        </w:rPr>
        <w:t xml:space="preserve">30.4投诉人有下列行为之一的，属于严重失信行为，由财政部门列入不良行为记录名单，  禁止其一至三年内参加政府采购活动。</w:t>
      </w:r>
      <w:r/>
    </w:p>
    <w:p>
      <w:pPr>
        <w:ind w:firstLine="420"/>
        <w:spacing w:line="360" w:lineRule="auto"/>
        <w:rPr>
          <w:bCs/>
          <w:szCs w:val="21"/>
        </w:rPr>
      </w:pPr>
      <w:r>
        <w:rPr>
          <w:bCs/>
          <w:szCs w:val="21"/>
        </w:rPr>
        <w:t xml:space="preserve">30.5投诉人在全国范围 12 个月内三次以上投诉查无实据的；</w:t>
      </w:r>
      <w:r/>
    </w:p>
    <w:p>
      <w:pPr>
        <w:ind w:firstLine="420"/>
        <w:spacing w:line="360" w:lineRule="auto"/>
        <w:rPr>
          <w:bCs/>
          <w:szCs w:val="21"/>
        </w:rPr>
      </w:pPr>
      <w:r>
        <w:rPr>
          <w:bCs/>
          <w:szCs w:val="21"/>
        </w:rPr>
        <w:t xml:space="preserve">30.6采用捏造事实、提供虚假材料或者以非法手段取得证明材料等方式进行虚假、恶意投诉。</w:t>
      </w:r>
      <w:r/>
    </w:p>
    <w:p>
      <w:pPr>
        <w:ind w:firstLine="420"/>
        <w:spacing w:line="360" w:lineRule="auto"/>
        <w:rPr>
          <w:bCs/>
          <w:szCs w:val="21"/>
        </w:rPr>
        <w:sectPr>
          <w:footnotePr/>
          <w:endnotePr/>
          <w:type w:val="nextPage"/>
          <w:pgSz w:w="11910" w:h="16840" w:orient="portrait"/>
          <w:pgMar w:top="1247" w:right="1247" w:bottom="1247" w:left="1247" w:header="850" w:footer="964" w:gutter="0"/>
          <w:cols w:num="1" w:sep="0" w:space="720" w:equalWidth="1"/>
          <w:docGrid w:linePitch="360"/>
        </w:sectPr>
      </w:pPr>
      <w:r>
        <w:rPr>
          <w:bCs/>
          <w:szCs w:val="21"/>
        </w:rPr>
        <w:t xml:space="preserve">30.7证据来源的合法性存在明显疑问，投诉人无法证明其取得方式合法的，视为以非法手段取得证明材料。</w:t>
      </w:r>
      <w:r/>
    </w:p>
    <w:p>
      <w:pPr>
        <w:jc w:val="center"/>
        <w:spacing w:line="360" w:lineRule="auto"/>
        <w:shd w:val="clear" w:color="auto" w:fill="ffffff"/>
        <w:widowControl/>
        <w:outlineLvl w:val="0"/>
      </w:pPr>
      <w:r/>
      <w:bookmarkStart w:id="96" w:name="_Toc231822741"/>
      <w:r>
        <w:rPr>
          <w:b/>
          <w:sz w:val="28"/>
          <w:szCs w:val="28"/>
        </w:rPr>
        <w:t xml:space="preserve">第三章 评标标准</w:t>
      </w:r>
      <w:bookmarkEnd w:id="96"/>
      <w:r/>
      <w:bookmarkStart w:id="97" w:name="_Hlk297273538"/>
      <w:r/>
      <w:bookmarkEnd w:id="97"/>
      <w:r/>
      <w:bookmarkStart w:id="98" w:name="_Toc25032666"/>
      <w:r/>
      <w:bookmarkEnd w:id="98"/>
      <w:r/>
      <w:bookmarkStart w:id="99" w:name="_Toc521839351"/>
      <w:r/>
      <w:bookmarkEnd w:id="99"/>
      <w:r/>
      <w:bookmarkStart w:id="100" w:name="_Toc163629751"/>
      <w:r/>
      <w:bookmarkEnd w:id="100"/>
      <w:r/>
      <w:bookmarkStart w:id="101" w:name="_Toc522347554"/>
      <w:r/>
      <w:bookmarkEnd w:id="101"/>
      <w:r/>
      <w:bookmarkStart w:id="102" w:name="_Toc189726853"/>
      <w:r/>
      <w:bookmarkEnd w:id="102"/>
      <w:r/>
      <w:bookmarkStart w:id="103" w:name="_Toc142623417"/>
      <w:r/>
      <w:bookmarkEnd w:id="103"/>
      <w:r/>
      <w:r/>
    </w:p>
    <w:p>
      <w:pPr>
        <w:ind w:firstLine="420"/>
        <w:spacing w:line="360" w:lineRule="auto"/>
        <w:rPr>
          <w:color w:val="000000"/>
          <w:szCs w:val="21"/>
        </w:rPr>
      </w:pPr>
      <w:r>
        <w:rPr>
          <w:color w:val="000000"/>
          <w:szCs w:val="21"/>
        </w:rPr>
        <w:t xml:space="preserve">本项目采用</w:t>
      </w:r>
      <w:r>
        <w:rPr>
          <w:b/>
          <w:bCs/>
          <w:color w:val="000000"/>
          <w:szCs w:val="21"/>
        </w:rPr>
        <w:t xml:space="preserve">综合评分法</w:t>
      </w:r>
      <w:r>
        <w:rPr>
          <w:color w:val="000000"/>
          <w:szCs w:val="21"/>
        </w:rPr>
        <w:t xml:space="preserve">确定中标候选人。评标委员会将按以下评标办法和标准进行评分。</w:t>
      </w:r>
      <w:r/>
    </w:p>
    <w:p>
      <w:pPr>
        <w:ind w:firstLine="420"/>
        <w:spacing w:line="360" w:lineRule="auto"/>
        <w:rPr>
          <w:color w:val="000000"/>
          <w:szCs w:val="21"/>
        </w:rPr>
      </w:pPr>
      <w:r>
        <w:rPr>
          <w:color w:val="000000"/>
          <w:szCs w:val="21"/>
        </w:rPr>
        <w:t xml:space="preserve">总分值为100分，</w:t>
      </w:r>
      <w:r>
        <w:rPr>
          <w:color w:val="000000"/>
          <w:szCs w:val="21"/>
        </w:rPr>
        <w:t xml:space="preserve">小数点后保留两位。评审后得分由高到低顺序排列，得分相同的，按投标报价由低到高顺序排列，得分</w:t>
      </w:r>
      <w:r>
        <w:rPr>
          <w:color w:val="000000"/>
          <w:szCs w:val="21"/>
        </w:rPr>
        <w:t xml:space="preserve">且投标报价相同的，</w:t>
      </w:r>
      <w:r>
        <w:rPr>
          <w:szCs w:val="21"/>
        </w:rPr>
        <w:t xml:space="preserve">按技术指标优劣顺序排列</w:t>
      </w:r>
      <w:r>
        <w:rPr>
          <w:color w:val="000000"/>
          <w:szCs w:val="21"/>
        </w:rPr>
        <w:t xml:space="preserve">。评标委员会根据最终排名向采购人推荐中标候选人。</w:t>
      </w:r>
      <w:r/>
    </w:p>
    <w:tbl>
      <w:tblPr>
        <w:tblStyle w:val="1405"/>
        <w:tblW w:w="961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48"/>
        <w:gridCol w:w="1821"/>
        <w:gridCol w:w="7250"/>
      </w:tblGrid>
      <w:tr>
        <w:trPr>
          <w:trHeight w:val="449"/>
        </w:trPr>
        <w:tc>
          <w:tcPr>
            <w:tcBorders>
              <w:right w:val="single" w:color="auto" w:sz="4" w:space="0"/>
            </w:tcBorders>
            <w:tcW w:w="548" w:type="dxa"/>
            <w:textDirection w:val="lrTb"/>
            <w:noWrap w:val="false"/>
          </w:tcPr>
          <w:p>
            <w:pPr>
              <w:jc w:val="center"/>
              <w:spacing w:line="420" w:lineRule="exact"/>
              <w:widowControl/>
              <w:rPr>
                <w:szCs w:val="21"/>
              </w:rPr>
            </w:pPr>
            <w:r>
              <w:rPr>
                <w:b/>
                <w:bCs/>
                <w:szCs w:val="21"/>
              </w:rPr>
              <w:t xml:space="preserve">序号</w:t>
            </w:r>
            <w:r/>
          </w:p>
        </w:tc>
        <w:tc>
          <w:tcPr>
            <w:tcBorders>
              <w:left w:val="single" w:color="auto" w:sz="4" w:space="0"/>
            </w:tcBorders>
            <w:tcW w:w="1821" w:type="dxa"/>
            <w:textDirection w:val="lrTb"/>
            <w:noWrap w:val="false"/>
          </w:tcPr>
          <w:p>
            <w:pPr>
              <w:jc w:val="center"/>
              <w:spacing w:line="420" w:lineRule="exact"/>
              <w:widowControl/>
              <w:rPr>
                <w:szCs w:val="21"/>
              </w:rPr>
            </w:pPr>
            <w:r>
              <w:rPr>
                <w:b/>
                <w:bCs/>
                <w:szCs w:val="21"/>
              </w:rPr>
              <w:t xml:space="preserve">评审因素</w:t>
            </w:r>
            <w:r/>
          </w:p>
        </w:tc>
        <w:tc>
          <w:tcPr>
            <w:tcW w:w="7250" w:type="dxa"/>
            <w:textDirection w:val="lrTb"/>
            <w:noWrap w:val="false"/>
          </w:tcPr>
          <w:p>
            <w:pPr>
              <w:jc w:val="center"/>
              <w:spacing w:line="420" w:lineRule="exact"/>
              <w:tabs>
                <w:tab w:val="left" w:pos="2582" w:leader="none"/>
                <w:tab w:val="center" w:pos="3701" w:leader="none"/>
              </w:tabs>
              <w:rPr>
                <w:szCs w:val="21"/>
              </w:rPr>
            </w:pPr>
            <w:r>
              <w:rPr>
                <w:b/>
                <w:bCs/>
                <w:szCs w:val="21"/>
              </w:rPr>
              <w:t xml:space="preserve">评分标准</w:t>
            </w:r>
            <w:r/>
          </w:p>
        </w:tc>
      </w:tr>
      <w:tr>
        <w:trPr>
          <w:trHeight w:val="1149"/>
        </w:trPr>
        <w:tc>
          <w:tcPr>
            <w:tcBorders>
              <w:right w:val="single" w:color="auto" w:sz="4" w:space="0"/>
            </w:tcBorders>
            <w:tcW w:w="548" w:type="dxa"/>
            <w:vAlign w:val="center"/>
            <w:textDirection w:val="lrTb"/>
            <w:noWrap w:val="false"/>
          </w:tcPr>
          <w:p>
            <w:pPr>
              <w:jc w:val="center"/>
              <w:spacing w:line="420" w:lineRule="exact"/>
              <w:widowControl/>
              <w:rPr>
                <w:b/>
                <w:bCs/>
                <w:szCs w:val="21"/>
              </w:rPr>
            </w:pPr>
            <w:r>
              <w:rPr>
                <w:b/>
                <w:bCs/>
                <w:szCs w:val="21"/>
              </w:rPr>
              <w:t xml:space="preserve">1</w:t>
            </w:r>
            <w:r/>
          </w:p>
        </w:tc>
        <w:tc>
          <w:tcPr>
            <w:tcBorders>
              <w:left w:val="single" w:color="auto" w:sz="4" w:space="0"/>
            </w:tcBorders>
            <w:tcW w:w="1821" w:type="dxa"/>
            <w:vAlign w:val="center"/>
            <w:textDirection w:val="lrTb"/>
            <w:noWrap w:val="false"/>
          </w:tcPr>
          <w:p>
            <w:pPr>
              <w:jc w:val="center"/>
              <w:spacing w:line="420" w:lineRule="exact"/>
              <w:widowControl/>
              <w:rPr>
                <w:b/>
                <w:bCs/>
                <w:szCs w:val="21"/>
              </w:rPr>
            </w:pPr>
            <w:r>
              <w:rPr>
                <w:b/>
                <w:bCs/>
                <w:szCs w:val="21"/>
              </w:rPr>
              <w:t xml:space="preserve">价格分（30分）</w:t>
            </w:r>
            <w:r/>
          </w:p>
        </w:tc>
        <w:tc>
          <w:tcPr>
            <w:tcW w:w="7250" w:type="dxa"/>
            <w:textDirection w:val="lrTb"/>
            <w:noWrap w:val="false"/>
          </w:tcPr>
          <w:p>
            <w:pPr>
              <w:ind w:firstLine="420"/>
              <w:spacing w:line="420" w:lineRule="exact"/>
              <w:tabs>
                <w:tab w:val="left" w:pos="900" w:leader="none"/>
              </w:tabs>
              <w:rPr>
                <w:bCs/>
                <w:szCs w:val="21"/>
              </w:rPr>
            </w:pPr>
            <w:r>
              <w:rPr>
                <w:bCs/>
                <w:szCs w:val="21"/>
              </w:rPr>
              <w:t xml:space="preserve">满足招标文件要求且投标价格最低的有效投标报价为评标基准价，其价格分为30分。</w:t>
            </w:r>
            <w:r/>
          </w:p>
          <w:p>
            <w:pPr>
              <w:ind w:firstLine="420"/>
              <w:spacing w:line="420" w:lineRule="exact"/>
              <w:tabs>
                <w:tab w:val="left" w:pos="900" w:leader="none"/>
              </w:tabs>
              <w:rPr>
                <w:bCs/>
                <w:szCs w:val="21"/>
              </w:rPr>
            </w:pPr>
            <w:r>
              <w:rPr>
                <w:bCs/>
                <w:szCs w:val="21"/>
              </w:rPr>
              <w:t xml:space="preserve">其他投标人的价格分统一按照下列公式计算：投标报价得分=(评标基准价／投标报价)×30，小数点后保留两位。</w:t>
            </w:r>
            <w:r/>
          </w:p>
        </w:tc>
      </w:tr>
      <w:tr>
        <w:trPr>
          <w:trHeight w:val="1855"/>
        </w:trPr>
        <w:tc>
          <w:tcPr>
            <w:tcBorders>
              <w:right w:val="single" w:color="auto" w:sz="4" w:space="0"/>
            </w:tcBorders>
            <w:tcW w:w="548" w:type="dxa"/>
            <w:vAlign w:val="center"/>
            <w:vMerge w:val="restart"/>
            <w:textDirection w:val="lrTb"/>
            <w:noWrap w:val="false"/>
          </w:tcPr>
          <w:p>
            <w:pPr>
              <w:jc w:val="center"/>
              <w:spacing w:line="420" w:lineRule="exact"/>
              <w:rPr>
                <w:b/>
                <w:szCs w:val="21"/>
              </w:rPr>
            </w:pPr>
            <w:r>
              <w:rPr>
                <w:b/>
                <w:szCs w:val="21"/>
              </w:rPr>
              <w:t xml:space="preserve">2</w:t>
            </w:r>
            <w:r/>
          </w:p>
        </w:tc>
        <w:tc>
          <w:tcPr>
            <w:tcBorders>
              <w:left w:val="single" w:color="auto" w:sz="4" w:space="0"/>
            </w:tcBorders>
            <w:tcW w:w="1821" w:type="dxa"/>
            <w:vAlign w:val="center"/>
            <w:textDirection w:val="lrTb"/>
            <w:noWrap w:val="false"/>
          </w:tcPr>
          <w:p>
            <w:pPr>
              <w:jc w:val="center"/>
              <w:spacing w:line="420" w:lineRule="exact"/>
              <w:rPr>
                <w:b/>
                <w:szCs w:val="21"/>
              </w:rPr>
            </w:pPr>
            <w:r>
              <w:rPr>
                <w:b/>
                <w:szCs w:val="21"/>
              </w:rPr>
              <w:t xml:space="preserve">技术参数</w:t>
            </w:r>
            <w:r/>
          </w:p>
          <w:p>
            <w:pPr>
              <w:jc w:val="center"/>
              <w:spacing w:line="420" w:lineRule="exact"/>
              <w:rPr>
                <w:b/>
                <w:szCs w:val="21"/>
              </w:rPr>
            </w:pPr>
            <w:r>
              <w:rPr>
                <w:b/>
                <w:szCs w:val="21"/>
              </w:rPr>
              <w:t xml:space="preserve">（30分）</w:t>
            </w:r>
            <w:r/>
          </w:p>
        </w:tc>
        <w:tc>
          <w:tcPr>
            <w:tcW w:w="7250" w:type="dxa"/>
            <w:textDirection w:val="lrTb"/>
            <w:noWrap w:val="false"/>
          </w:tcPr>
          <w:p>
            <w:pPr>
              <w:ind w:firstLine="420"/>
              <w:spacing w:line="420" w:lineRule="exact"/>
              <w:tabs>
                <w:tab w:val="left" w:pos="900" w:leader="none"/>
              </w:tabs>
              <w:rPr>
                <w:bCs/>
                <w:szCs w:val="21"/>
              </w:rPr>
            </w:pPr>
            <w:r>
              <w:rPr>
                <w:bCs/>
                <w:szCs w:val="21"/>
              </w:rPr>
              <w:t xml:space="preserve">根据投标人提供的产品的技术性能说明、技术偏离等情况描述，由评委进行客观评价。</w:t>
            </w:r>
            <w:r/>
          </w:p>
          <w:p>
            <w:pPr>
              <w:ind w:firstLine="420"/>
              <w:spacing w:line="420" w:lineRule="exact"/>
              <w:tabs>
                <w:tab w:val="left" w:pos="900" w:leader="none"/>
              </w:tabs>
              <w:rPr>
                <w:bCs/>
                <w:szCs w:val="21"/>
              </w:rPr>
            </w:pPr>
            <w:r>
              <w:rPr>
                <w:bCs/>
                <w:szCs w:val="21"/>
              </w:rPr>
              <w:t xml:space="preserve">技术参数标注“</w:t>
            </w:r>
            <w:r>
              <w:rPr>
                <w:rFonts w:ascii="Segoe UI Symbol" w:hAnsi="Segoe UI Symbol" w:cs="Segoe UI Symbol"/>
                <w:bCs/>
                <w:szCs w:val="21"/>
              </w:rPr>
              <w:t xml:space="preserve">★</w:t>
            </w:r>
            <w:r>
              <w:rPr>
                <w:bCs/>
                <w:szCs w:val="21"/>
              </w:rPr>
              <w:t xml:space="preserve">”为主要技术参数，每有1个不满足的扣3分，未标注的为一般参数，每有1个不满足的扣2分。要求投标人提供可以满足“</w:t>
            </w:r>
            <w:r>
              <w:rPr>
                <w:rFonts w:ascii="Segoe UI Symbol" w:hAnsi="Segoe UI Symbol" w:cs="Segoe UI Symbol"/>
                <w:szCs w:val="21"/>
              </w:rPr>
              <w:t xml:space="preserve">★</w:t>
            </w:r>
            <w:r>
              <w:rPr>
                <w:bCs/>
                <w:szCs w:val="21"/>
              </w:rPr>
              <w:t xml:space="preserve">”技术参数的详细技术资料（有效的满足参数的检验报告或产品彩页或技术白皮书等评标委员会认可的相关证明材料并加盖公章，如“</w:t>
            </w:r>
            <w:r>
              <w:rPr>
                <w:rFonts w:ascii="Segoe UI Symbol" w:hAnsi="Segoe UI Symbol" w:cs="Segoe UI Symbol"/>
                <w:szCs w:val="21"/>
              </w:rPr>
              <w:t xml:space="preserve">★</w:t>
            </w:r>
            <w:r>
              <w:rPr>
                <w:bCs/>
                <w:szCs w:val="21"/>
              </w:rPr>
              <w:t xml:space="preserve">”技术参数有具体要求的，提供材料以要求为准）。完全按照招标文件技术参数复制作为投标文件技术参数的以及未提供详细技术资料的，评标委员会有可能视为不满足。</w:t>
            </w:r>
            <w:r/>
          </w:p>
        </w:tc>
      </w:tr>
      <w:tr>
        <w:trPr>
          <w:trHeight w:val="1328"/>
        </w:trPr>
        <w:tc>
          <w:tcPr>
            <w:tcBorders>
              <w:right w:val="single" w:color="auto" w:sz="4" w:space="0"/>
            </w:tcBorders>
            <w:tcW w:w="548" w:type="dxa"/>
            <w:vAlign w:val="center"/>
            <w:vMerge w:val="continue"/>
            <w:textDirection w:val="lrTb"/>
            <w:noWrap w:val="false"/>
          </w:tcPr>
          <w:p>
            <w:pPr>
              <w:jc w:val="center"/>
              <w:spacing w:line="420" w:lineRule="exact"/>
              <w:rPr>
                <w:b/>
                <w:szCs w:val="21"/>
              </w:rPr>
            </w:pPr>
            <w:r>
              <w:rPr>
                <w:b/>
                <w:szCs w:val="21"/>
              </w:rPr>
            </w:r>
            <w:r/>
          </w:p>
        </w:tc>
        <w:tc>
          <w:tcPr>
            <w:tcBorders>
              <w:left w:val="single" w:color="auto" w:sz="4" w:space="0"/>
            </w:tcBorders>
            <w:tcW w:w="1821" w:type="dxa"/>
            <w:vAlign w:val="center"/>
            <w:textDirection w:val="lrTb"/>
            <w:noWrap w:val="false"/>
          </w:tcPr>
          <w:p>
            <w:pPr>
              <w:jc w:val="center"/>
              <w:spacing w:line="420" w:lineRule="exact"/>
              <w:rPr>
                <w:b/>
                <w:szCs w:val="21"/>
              </w:rPr>
            </w:pPr>
            <w:r>
              <w:rPr>
                <w:b/>
                <w:szCs w:val="21"/>
              </w:rPr>
              <w:t xml:space="preserve">产品详细配置、</w:t>
            </w:r>
            <w:r/>
          </w:p>
          <w:p>
            <w:pPr>
              <w:jc w:val="center"/>
              <w:spacing w:line="420" w:lineRule="exact"/>
              <w:rPr>
                <w:b/>
                <w:szCs w:val="21"/>
              </w:rPr>
            </w:pPr>
            <w:r>
              <w:rPr>
                <w:b/>
                <w:szCs w:val="21"/>
              </w:rPr>
              <w:t xml:space="preserve">备品备件</w:t>
            </w:r>
            <w:r/>
          </w:p>
          <w:p>
            <w:pPr>
              <w:jc w:val="center"/>
              <w:spacing w:line="420" w:lineRule="exact"/>
              <w:rPr>
                <w:b/>
                <w:szCs w:val="21"/>
              </w:rPr>
            </w:pPr>
            <w:r>
              <w:rPr>
                <w:b/>
                <w:szCs w:val="21"/>
              </w:rPr>
              <w:t xml:space="preserve">（10分）</w:t>
            </w:r>
            <w:r/>
          </w:p>
        </w:tc>
        <w:tc>
          <w:tcPr>
            <w:tcW w:w="7250" w:type="dxa"/>
            <w:textDirection w:val="lrTb"/>
            <w:noWrap w:val="false"/>
          </w:tcPr>
          <w:p>
            <w:pPr>
              <w:ind w:firstLine="420"/>
              <w:spacing w:line="420" w:lineRule="exact"/>
              <w:tabs>
                <w:tab w:val="left" w:pos="900" w:leader="none"/>
              </w:tabs>
              <w:rPr>
                <w:rFonts w:eastAsia="方正仿宋简体"/>
              </w:rPr>
            </w:pPr>
            <w:r>
              <w:rPr>
                <w:bCs/>
                <w:szCs w:val="21"/>
              </w:rPr>
              <w:t xml:space="preserve">评标委员根据投标人提供的所投产品的详细配置、备品备件等满足招标文件要求的情况进行综合评分：方案详细，全面，满足招标文件要求的，得10分；方案较为详细，全面，基本满足招标文件要求的，得7分；方案不详细，不全面，但能满足招标文件要求的，得4分；方案不能满足招标文件要求或者未提供的不得分。</w:t>
            </w:r>
            <w:r/>
          </w:p>
        </w:tc>
      </w:tr>
      <w:tr>
        <w:trPr>
          <w:cantSplit/>
          <w:trHeight w:val="856"/>
        </w:trPr>
        <w:tc>
          <w:tcPr>
            <w:tcBorders>
              <w:right w:val="single" w:color="auto" w:sz="4" w:space="0"/>
            </w:tcBorders>
            <w:tcW w:w="548" w:type="dxa"/>
            <w:vAlign w:val="center"/>
            <w:textDirection w:val="lrTb"/>
            <w:noWrap w:val="false"/>
          </w:tcPr>
          <w:p>
            <w:pPr>
              <w:jc w:val="center"/>
              <w:spacing w:line="420" w:lineRule="exact"/>
              <w:rPr>
                <w:b/>
                <w:szCs w:val="21"/>
              </w:rPr>
            </w:pPr>
            <w:r>
              <w:rPr>
                <w:b/>
                <w:szCs w:val="21"/>
              </w:rPr>
              <w:t xml:space="preserve">3</w:t>
            </w:r>
            <w:r/>
          </w:p>
        </w:tc>
        <w:tc>
          <w:tcPr>
            <w:tcBorders>
              <w:left w:val="single" w:color="auto" w:sz="4" w:space="0"/>
              <w:right w:val="single" w:color="auto" w:sz="4" w:space="0"/>
            </w:tcBorders>
            <w:tcW w:w="1821" w:type="dxa"/>
            <w:vAlign w:val="center"/>
            <w:textDirection w:val="lrTb"/>
            <w:noWrap w:val="false"/>
          </w:tcPr>
          <w:p>
            <w:pPr>
              <w:jc w:val="center"/>
              <w:spacing w:line="420" w:lineRule="exact"/>
              <w:tabs>
                <w:tab w:val="left" w:pos="900" w:leader="none"/>
              </w:tabs>
              <w:rPr>
                <w:b/>
                <w:szCs w:val="21"/>
              </w:rPr>
            </w:pPr>
            <w:r>
              <w:rPr>
                <w:b/>
                <w:szCs w:val="21"/>
              </w:rPr>
              <w:t xml:space="preserve">业绩</w:t>
            </w:r>
            <w:r/>
          </w:p>
          <w:p>
            <w:pPr>
              <w:jc w:val="center"/>
              <w:spacing w:line="420" w:lineRule="exact"/>
              <w:tabs>
                <w:tab w:val="left" w:pos="900" w:leader="none"/>
              </w:tabs>
            </w:pPr>
            <w:r>
              <w:rPr>
                <w:b/>
                <w:szCs w:val="21"/>
              </w:rPr>
              <w:t xml:space="preserve">（10分）</w:t>
            </w:r>
            <w:r/>
          </w:p>
        </w:tc>
        <w:tc>
          <w:tcPr>
            <w:tcBorders>
              <w:left w:val="single" w:color="auto" w:sz="4" w:space="0"/>
            </w:tcBorders>
            <w:tcW w:w="7250" w:type="dxa"/>
            <w:textDirection w:val="lrTb"/>
            <w:noWrap w:val="false"/>
          </w:tcPr>
          <w:p>
            <w:pPr>
              <w:ind w:firstLine="420"/>
              <w:spacing w:line="420" w:lineRule="exact"/>
              <w:tabs>
                <w:tab w:val="left" w:pos="900" w:leader="none"/>
              </w:tabs>
            </w:pPr>
            <w:r>
              <w:t xml:space="preserve">投标人（或所投品牌制造商）提供2023年7月份以来（以合同签订时间为准）同类产品</w:t>
            </w:r>
            <w:r>
              <w:rPr>
                <w:rFonts w:hint="eastAsia"/>
                <w:lang w:eastAsia="zh-CN"/>
              </w:rPr>
              <w:t xml:space="preserve">（</w:t>
            </w:r>
            <w:r>
              <w:rPr>
                <w:rFonts w:hint="eastAsia"/>
              </w:rPr>
              <w:t xml:space="preserve">至少包含核心产品</w:t>
            </w:r>
            <w:r>
              <w:rPr>
                <w:rFonts w:hint="eastAsia"/>
                <w:lang w:eastAsia="zh-CN"/>
              </w:rPr>
              <w:t xml:space="preserve">）</w:t>
            </w:r>
            <w:r>
              <w:t xml:space="preserve">业绩证明材料（提供合同复印件及对应的发票并加盖公章，原件备查），每提供1份得2分，最高得10分。（未提供或提供的评委不认可的不得分）。</w:t>
            </w:r>
            <w:r/>
          </w:p>
        </w:tc>
      </w:tr>
      <w:tr>
        <w:trPr>
          <w:cantSplit/>
          <w:trHeight w:val="597"/>
        </w:trPr>
        <w:tc>
          <w:tcPr>
            <w:tcBorders>
              <w:right w:val="single" w:color="auto" w:sz="4" w:space="0"/>
            </w:tcBorders>
            <w:tcW w:w="548" w:type="dxa"/>
            <w:vAlign w:val="center"/>
            <w:textDirection w:val="lrTb"/>
            <w:noWrap w:val="false"/>
          </w:tcPr>
          <w:p>
            <w:pPr>
              <w:jc w:val="center"/>
              <w:spacing w:line="420" w:lineRule="exact"/>
              <w:rPr>
                <w:b/>
                <w:szCs w:val="21"/>
              </w:rPr>
            </w:pPr>
            <w:r>
              <w:rPr>
                <w:b/>
                <w:szCs w:val="21"/>
              </w:rPr>
              <w:t xml:space="preserve">4</w:t>
            </w:r>
            <w:r/>
          </w:p>
        </w:tc>
        <w:tc>
          <w:tcPr>
            <w:tcBorders>
              <w:left w:val="single" w:color="auto" w:sz="4" w:space="0"/>
              <w:right w:val="single" w:color="auto" w:sz="4" w:space="0"/>
            </w:tcBorders>
            <w:tcW w:w="1821" w:type="dxa"/>
            <w:vAlign w:val="center"/>
            <w:textDirection w:val="lrTb"/>
            <w:noWrap w:val="false"/>
          </w:tcPr>
          <w:p>
            <w:pPr>
              <w:jc w:val="center"/>
              <w:spacing w:line="420" w:lineRule="exact"/>
              <w:rPr>
                <w:b/>
                <w:szCs w:val="21"/>
              </w:rPr>
            </w:pPr>
            <w:r>
              <w:rPr>
                <w:b/>
                <w:szCs w:val="21"/>
              </w:rPr>
              <w:t xml:space="preserve">供货方案</w:t>
            </w:r>
            <w:r/>
          </w:p>
          <w:p>
            <w:pPr>
              <w:jc w:val="center"/>
              <w:spacing w:line="420" w:lineRule="exact"/>
              <w:rPr>
                <w:b/>
                <w:szCs w:val="21"/>
              </w:rPr>
            </w:pPr>
            <w:r>
              <w:rPr>
                <w:b/>
                <w:szCs w:val="21"/>
              </w:rPr>
              <w:t xml:space="preserve">（10分）</w:t>
            </w:r>
            <w:r/>
          </w:p>
        </w:tc>
        <w:tc>
          <w:tcPr>
            <w:tcBorders>
              <w:left w:val="single" w:color="auto" w:sz="4" w:space="0"/>
            </w:tcBorders>
            <w:tcW w:w="7250" w:type="dxa"/>
            <w:textDirection w:val="lrTb"/>
            <w:noWrap w:val="false"/>
          </w:tcPr>
          <w:p>
            <w:pPr>
              <w:ind w:firstLine="420"/>
              <w:spacing w:line="420" w:lineRule="exact"/>
              <w:tabs>
                <w:tab w:val="left" w:pos="900" w:leader="none"/>
              </w:tabs>
            </w:pPr>
            <w:r>
              <w:t xml:space="preserve">评标委员根据投标人针对本项目的采购方案（包括购买、包装、运输）、仪器校准检定要求、仪器使用应急替换方案、进度、质量、安全控制措施等进行综合评分：上述方案具有全面性、科学性、合理性和可操作性的得10分；上述方案略有瑕疵，具有的科学性、合理性和可操作性一般的得7分；上述方案片面，且具有的科学性、合理性和可操作性较差的得4分；未提供不得分。</w:t>
            </w:r>
            <w:r/>
          </w:p>
        </w:tc>
      </w:tr>
      <w:tr>
        <w:trPr>
          <w:cantSplit/>
          <w:trHeight w:val="1205"/>
        </w:trPr>
        <w:tc>
          <w:tcPr>
            <w:tcBorders>
              <w:right w:val="single" w:color="auto" w:sz="4" w:space="0"/>
            </w:tcBorders>
            <w:tcW w:w="548" w:type="dxa"/>
            <w:vAlign w:val="center"/>
            <w:vMerge w:val="restart"/>
            <w:textDirection w:val="lrTb"/>
            <w:noWrap w:val="false"/>
          </w:tcPr>
          <w:p>
            <w:pPr>
              <w:jc w:val="center"/>
              <w:spacing w:line="420" w:lineRule="exact"/>
              <w:rPr>
                <w:b/>
                <w:szCs w:val="21"/>
              </w:rPr>
            </w:pPr>
            <w:r>
              <w:rPr>
                <w:b/>
                <w:szCs w:val="21"/>
              </w:rPr>
              <w:t xml:space="preserve">5</w:t>
            </w:r>
            <w:r/>
          </w:p>
        </w:tc>
        <w:tc>
          <w:tcPr>
            <w:tcBorders>
              <w:left w:val="single" w:color="auto" w:sz="4" w:space="0"/>
              <w:right w:val="single" w:color="auto" w:sz="4" w:space="0"/>
            </w:tcBorders>
            <w:tcW w:w="1821" w:type="dxa"/>
            <w:vAlign w:val="center"/>
            <w:vMerge w:val="restart"/>
            <w:textDirection w:val="lrTb"/>
            <w:noWrap w:val="false"/>
          </w:tcPr>
          <w:p>
            <w:pPr>
              <w:jc w:val="center"/>
              <w:spacing w:line="360" w:lineRule="auto"/>
              <w:rPr>
                <w:b/>
                <w:szCs w:val="21"/>
              </w:rPr>
            </w:pPr>
            <w:r>
              <w:rPr>
                <w:b/>
                <w:szCs w:val="21"/>
              </w:rPr>
              <w:t xml:space="preserve">售后服务方案</w:t>
            </w:r>
            <w:r/>
          </w:p>
          <w:p>
            <w:pPr>
              <w:jc w:val="center"/>
              <w:spacing w:line="360" w:lineRule="auto"/>
              <w:rPr>
                <w:b/>
                <w:szCs w:val="21"/>
              </w:rPr>
            </w:pPr>
            <w:r>
              <w:rPr>
                <w:b/>
                <w:szCs w:val="21"/>
              </w:rPr>
              <w:t xml:space="preserve">（10分）</w:t>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rFonts w:eastAsia="黑体"/>
              </w:rPr>
            </w:pPr>
            <w:r>
              <w:rPr>
                <w:szCs w:val="22"/>
              </w:rPr>
              <w:t xml:space="preserve">（1）质保期在满足招标文件要求（1年）的基础上，每增加1年得2分，最多得4分。</w:t>
            </w:r>
            <w:r/>
          </w:p>
        </w:tc>
      </w:tr>
      <w:tr>
        <w:trPr>
          <w:cantSplit/>
          <w:trHeight w:val="1490"/>
        </w:trPr>
        <w:tc>
          <w:tcPr>
            <w:tcBorders>
              <w:right w:val="single" w:color="auto" w:sz="4" w:space="0"/>
            </w:tcBorders>
            <w:tcW w:w="548" w:type="dxa"/>
            <w:vAlign w:val="center"/>
            <w:vMerge w:val="continue"/>
            <w:textDirection w:val="lrTb"/>
            <w:noWrap w:val="false"/>
          </w:tcPr>
          <w:p>
            <w:pPr>
              <w:spacing w:line="420" w:lineRule="exact"/>
              <w:tabs>
                <w:tab w:val="left" w:pos="900" w:leader="none"/>
              </w:tabs>
            </w:p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spacing w:line="360" w:lineRule="auto"/>
              <w:tabs>
                <w:tab w:val="left" w:pos="900" w:leader="none"/>
              </w:tabs>
              <w:rPr>
                <w:b/>
                <w:szCs w:val="21"/>
              </w:rPr>
            </w:pPr>
            <w:r>
              <w:rPr>
                <w:szCs w:val="22"/>
              </w:rPr>
              <w:t xml:space="preserve">（2）质保期内售后服务承诺，由评委综合比较，服务体系完善，人员配备充足可靠的，得2分；服务体系设置一般，人员配备一般的，得1分；不提供的本项评审不得分。</w:t>
            </w:r>
            <w:r/>
          </w:p>
        </w:tc>
      </w:tr>
      <w:tr>
        <w:trPr>
          <w:cantSplit/>
          <w:trHeight w:val="583"/>
        </w:trPr>
        <w:tc>
          <w:tcPr>
            <w:tcBorders>
              <w:right w:val="single" w:color="auto" w:sz="4" w:space="0"/>
            </w:tcBorders>
            <w:tcW w:w="548" w:type="dxa"/>
            <w:vAlign w:val="center"/>
            <w:vMerge w:val="continue"/>
            <w:textDirection w:val="lrTb"/>
            <w:noWrap w:val="false"/>
          </w:tcPr>
          <w:p>
            <w:pPr>
              <w:spacing w:line="420" w:lineRule="exact"/>
              <w:tabs>
                <w:tab w:val="left" w:pos="900" w:leader="none"/>
              </w:tabs>
              <w:rPr>
                <w:b/>
                <w:szCs w:val="21"/>
              </w:rPr>
            </w:pPr>
            <w:r>
              <w:rPr>
                <w:b/>
                <w:szCs w:val="21"/>
              </w:r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szCs w:val="22"/>
              </w:rPr>
            </w:pPr>
            <w:r>
              <w:rPr>
                <w:szCs w:val="22"/>
              </w:rPr>
              <w:t xml:space="preserve">（3）投标人提供质保期满后服务承诺，质保期外配件价格清单及折扣率情况（作为附件在投标文件中提供），由评委综合评分：价格清单详细和折扣率高的，得2分；价格清单提供和折扣率一般的，得1分；提供不完整的本项评审不得分。</w:t>
            </w:r>
            <w:r/>
          </w:p>
        </w:tc>
      </w:tr>
      <w:tr>
        <w:trPr>
          <w:cantSplit/>
          <w:trHeight w:val="583"/>
        </w:trPr>
        <w:tc>
          <w:tcPr>
            <w:tcBorders>
              <w:right w:val="single" w:color="auto" w:sz="4" w:space="0"/>
            </w:tcBorders>
            <w:tcW w:w="548" w:type="dxa"/>
            <w:vAlign w:val="center"/>
            <w:vMerge w:val="continue"/>
            <w:textDirection w:val="lrTb"/>
            <w:noWrap w:val="false"/>
          </w:tcPr>
          <w:p>
            <w:pPr>
              <w:spacing w:line="420" w:lineRule="exact"/>
              <w:tabs>
                <w:tab w:val="left" w:pos="900" w:leader="none"/>
              </w:tabs>
              <w:rPr>
                <w:b/>
                <w:szCs w:val="21"/>
              </w:rPr>
            </w:pPr>
            <w:r>
              <w:rPr>
                <w:b/>
                <w:szCs w:val="21"/>
              </w:r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b/>
                <w:szCs w:val="21"/>
              </w:rPr>
            </w:pPr>
            <w:r>
              <w:rPr>
                <w:szCs w:val="22"/>
              </w:rPr>
              <w:t xml:space="preserve">（4）用户培训方案，由</w:t>
            </w:r>
            <w:r>
              <w:rPr>
                <w:bCs/>
                <w:szCs w:val="21"/>
              </w:rPr>
              <w:t xml:space="preserve">评委</w:t>
            </w:r>
            <w:r>
              <w:rPr>
                <w:szCs w:val="22"/>
              </w:rPr>
              <w:t xml:space="preserve">综合评分：方案设置合理，人员配置完善的，得2分；方案设置相对合理，人员配置相对完善的，得1分；</w:t>
            </w:r>
            <w:r>
              <w:rPr>
                <w:bCs/>
                <w:szCs w:val="21"/>
              </w:rPr>
              <w:t xml:space="preserve">不提供的本项评审不得分</w:t>
            </w:r>
            <w:r>
              <w:rPr>
                <w:szCs w:val="22"/>
              </w:rPr>
              <w:t xml:space="preserve">。</w:t>
            </w:r>
            <w:r/>
          </w:p>
        </w:tc>
      </w:tr>
    </w:tbl>
    <w:p>
      <w:pPr>
        <w:spacing w:line="360" w:lineRule="auto"/>
        <w:rPr>
          <w:b/>
          <w:bCs/>
          <w:color w:val="000000"/>
          <w:szCs w:val="21"/>
        </w:rPr>
      </w:pPr>
      <w:r>
        <w:rPr>
          <w:b/>
          <w:bCs/>
          <w:color w:val="000000"/>
          <w:szCs w:val="21"/>
        </w:rPr>
        <w:t xml:space="preserve">说明：所有认证、证明和业绩均以有效清晰的证明文件的复印件并加盖公章为依据，原件备查。证明文件在投标文件或索引表中应标注详细页码。</w:t>
      </w:r>
      <w:r/>
    </w:p>
    <w:p>
      <w:r/>
      <w:r/>
    </w:p>
    <w:p>
      <w:r>
        <w:br w:type="page" w:clear="all"/>
      </w:r>
      <w:r/>
    </w:p>
    <w:p>
      <w:pPr>
        <w:jc w:val="center"/>
        <w:spacing w:line="360" w:lineRule="auto"/>
        <w:rPr>
          <w:b/>
          <w:color w:val="000000"/>
          <w:sz w:val="28"/>
          <w:szCs w:val="28"/>
        </w:rPr>
        <w:outlineLvl w:val="0"/>
      </w:pPr>
      <w:r/>
      <w:bookmarkStart w:id="104" w:name="_Toc231822742"/>
      <w:r>
        <w:rPr>
          <w:b/>
          <w:color w:val="000000"/>
          <w:sz w:val="28"/>
          <w:szCs w:val="28"/>
        </w:rPr>
        <w:t xml:space="preserve">第四章 招标技术规格及要求</w:t>
      </w:r>
      <w:bookmarkEnd w:id="104"/>
      <w:r/>
      <w:r/>
    </w:p>
    <w:p>
      <w:pPr>
        <w:pStyle w:val="1504"/>
        <w:ind w:left="720" w:hanging="720"/>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一、</w:t>
      </w:r>
      <w:r>
        <w:rPr>
          <w:rFonts w:ascii="Times New Roman" w:hAnsi="Times New Roman" w:cs="Times New Roman"/>
          <w:b/>
          <w:bCs/>
          <w:color w:val="000000"/>
          <w:szCs w:val="21"/>
        </w:rPr>
        <w:t xml:space="preserve">采购清单</w:t>
      </w:r>
      <w:r/>
    </w:p>
    <w:tbl>
      <w:tblPr>
        <w:tblStyle w:val="1405"/>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86"/>
        <w:gridCol w:w="822"/>
        <w:gridCol w:w="3087"/>
        <w:gridCol w:w="1190"/>
        <w:gridCol w:w="1815"/>
        <w:gridCol w:w="971"/>
        <w:gridCol w:w="1205"/>
      </w:tblGrid>
      <w:tr>
        <w:trPr>
          <w:trHeight w:val="638"/>
        </w:trPr>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ind w:right="-107"/>
              <w:jc w:val="center"/>
              <w:tabs>
                <w:tab w:val="left" w:pos="4788" w:leader="none"/>
              </w:tabs>
              <w:rPr>
                <w:rFonts w:eastAsiaTheme="minorEastAsia"/>
                <w:bCs/>
                <w:szCs w:val="21"/>
              </w:rPr>
            </w:pPr>
            <w:r/>
            <w:bookmarkStart w:id="105" w:name="_Toc20052"/>
            <w:r/>
            <w:bookmarkStart w:id="106" w:name="_Toc15467"/>
            <w:r>
              <w:rPr>
                <w:rFonts w:eastAsiaTheme="minorEastAsia"/>
                <w:bCs/>
                <w:szCs w:val="21"/>
              </w:rPr>
              <w:t xml:space="preserve">分包</w:t>
            </w:r>
            <w:r/>
          </w:p>
        </w:tc>
        <w:tc>
          <w:tcPr>
            <w:tcBorders>
              <w:top w:val="single" w:color="auto" w:sz="4" w:space="0"/>
              <w:left w:val="single" w:color="auto" w:sz="4" w:space="0"/>
              <w:bottom w:val="single" w:color="auto" w:sz="4" w:space="0"/>
              <w:right w:val="single" w:color="auto" w:sz="4" w:space="0"/>
            </w:tcBorders>
            <w:tcW w:w="425"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品目</w:t>
            </w:r>
            <w:r/>
          </w:p>
        </w:tc>
        <w:tc>
          <w:tcPr>
            <w:tcBorders>
              <w:top w:val="single" w:color="auto" w:sz="4" w:space="0"/>
              <w:left w:val="single" w:color="auto" w:sz="4" w:space="0"/>
              <w:bottom w:val="single" w:color="auto" w:sz="4" w:space="0"/>
              <w:right w:val="single" w:color="auto" w:sz="4" w:space="0"/>
            </w:tcBorders>
            <w:tcW w:w="1595"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设备名称</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数量</w:t>
            </w:r>
            <w:r/>
          </w:p>
          <w:p>
            <w:pPr>
              <w:ind w:right="-107"/>
              <w:jc w:val="center"/>
              <w:tabs>
                <w:tab w:val="left" w:pos="4788" w:leader="none"/>
              </w:tabs>
              <w:rPr>
                <w:rFonts w:eastAsiaTheme="minorEastAsia"/>
                <w:bCs/>
                <w:szCs w:val="21"/>
              </w:rPr>
            </w:pPr>
            <w:r>
              <w:rPr>
                <w:rFonts w:eastAsiaTheme="minorEastAsia"/>
                <w:bCs/>
                <w:szCs w:val="21"/>
              </w:rPr>
              <w:t xml:space="preserve">(台/套)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项目预算金额</w:t>
            </w:r>
            <w:r/>
          </w:p>
          <w:p>
            <w:pPr>
              <w:ind w:right="-107"/>
              <w:jc w:val="center"/>
              <w:tabs>
                <w:tab w:val="left" w:pos="4788" w:leader="none"/>
              </w:tabs>
              <w:rPr>
                <w:rFonts w:eastAsiaTheme="minorEastAsia"/>
                <w:bCs/>
                <w:szCs w:val="21"/>
              </w:rPr>
            </w:pPr>
            <w:r>
              <w:rPr>
                <w:rFonts w:eastAsiaTheme="minorEastAsia"/>
                <w:bCs/>
                <w:szCs w:val="21"/>
              </w:rPr>
              <w:t xml:space="preserve">(万元/人民币)</w:t>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合同履行期限</w:t>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备注</w:t>
            </w:r>
            <w:r/>
          </w:p>
        </w:tc>
      </w:tr>
      <w:tr>
        <w:trPr>
          <w:trHeight w:val="281"/>
        </w:trPr>
        <w:tc>
          <w:tcPr>
            <w:tcBorders>
              <w:top w:val="single" w:color="auto" w:sz="4" w:space="0"/>
              <w:left w:val="single" w:color="auto" w:sz="4" w:space="0"/>
              <w:right w:val="single" w:color="auto" w:sz="4" w:space="0"/>
            </w:tcBorders>
            <w:tcW w:w="303" w:type="pct"/>
            <w:vAlign w:val="center"/>
            <w:vMerge w:val="restart"/>
            <w:textDirection w:val="lrTb"/>
            <w:noWrap/>
          </w:tcPr>
          <w:p>
            <w:pPr>
              <w:jc w:val="center"/>
              <w:rPr>
                <w:rFonts w:eastAsiaTheme="minorEastAsia"/>
              </w:rPr>
            </w:pPr>
            <w:r>
              <w:rPr>
                <w:rFonts w:eastAsiaTheme="minorEastAsia"/>
              </w:rPr>
              <w:t xml:space="preserve">01</w:t>
            </w:r>
            <w:r/>
          </w:p>
        </w:tc>
        <w:tc>
          <w:tcPr>
            <w:tcBorders>
              <w:top w:val="single" w:color="auto" w:sz="4" w:space="0"/>
              <w:left w:val="single" w:color="auto" w:sz="4" w:space="0"/>
              <w:bottom w:val="single" w:color="auto" w:sz="4" w:space="0"/>
              <w:right w:val="single" w:color="auto" w:sz="4" w:space="0"/>
            </w:tcBorders>
            <w:tcW w:w="425" w:type="pct"/>
            <w:vAlign w:val="center"/>
            <w:textDirection w:val="lrTb"/>
            <w:noWrap/>
          </w:tcPr>
          <w:p>
            <w:pPr>
              <w:jc w:val="center"/>
              <w:rPr>
                <w:rFonts w:eastAsiaTheme="minorEastAsia"/>
              </w:rPr>
            </w:pPr>
            <w:r>
              <w:rPr>
                <w:rFonts w:eastAsiaTheme="minorEastAsia"/>
              </w:rPr>
              <w:t xml:space="preserve">一</w:t>
            </w:r>
            <w:r/>
          </w:p>
        </w:tc>
        <w:tc>
          <w:tcPr>
            <w:tcBorders>
              <w:top w:val="single" w:color="auto" w:sz="4" w:space="0"/>
              <w:left w:val="single" w:color="auto" w:sz="4" w:space="0"/>
              <w:bottom w:val="single" w:color="auto" w:sz="4" w:space="0"/>
              <w:right w:val="single" w:color="auto" w:sz="4" w:space="0"/>
            </w:tcBorders>
            <w:tcW w:w="1595" w:type="pct"/>
            <w:vAlign w:val="center"/>
            <w:textDirection w:val="lrTb"/>
            <w:noWrap w:val="false"/>
          </w:tcPr>
          <w:p>
            <w:pPr>
              <w:jc w:val="center"/>
              <w:rPr>
                <w:rFonts w:eastAsiaTheme="minorEastAsia"/>
              </w:rPr>
            </w:pPr>
            <w:r>
              <w:t xml:space="preserve">可见分光光度计</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rPr>
                <w:rFonts w:eastAsiaTheme="minorEastAsia"/>
              </w:rPr>
            </w:pPr>
            <w:r>
              <w:rPr>
                <w:rFonts w:eastAsiaTheme="minorEastAsia"/>
              </w:rPr>
              <w:t xml:space="preserve">1</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center"/>
              <w:widowControl/>
              <w:rPr>
                <w:rFonts w:eastAsiaTheme="minorEastAsia"/>
                <w:bCs/>
                <w:szCs w:val="21"/>
              </w:rPr>
            </w:pPr>
            <w:r>
              <w:rPr>
                <w:rFonts w:eastAsiaTheme="minorEastAsia"/>
                <w:bCs/>
                <w:szCs w:val="21"/>
              </w:rPr>
              <w:t xml:space="preserve">4.93</w:t>
            </w:r>
            <w:r/>
          </w:p>
        </w:tc>
        <w:tc>
          <w:tcPr>
            <w:tcBorders>
              <w:top w:val="single" w:color="auto" w:sz="4" w:space="0"/>
              <w:left w:val="single" w:color="auto" w:sz="4" w:space="0"/>
              <w:right w:val="single" w:color="auto" w:sz="4" w:space="0"/>
            </w:tcBorders>
            <w:tcW w:w="502" w:type="pct"/>
            <w:vAlign w:val="center"/>
            <w:vMerge w:val="restart"/>
            <w:textDirection w:val="lrTb"/>
            <w:noWrap w:val="false"/>
          </w:tcPr>
          <w:p>
            <w:pPr>
              <w:ind w:right="-107"/>
              <w:jc w:val="center"/>
              <w:tabs>
                <w:tab w:val="left" w:pos="4788" w:leader="none"/>
              </w:tabs>
              <w:rPr>
                <w:rFonts w:eastAsiaTheme="minorEastAsia"/>
                <w:bCs/>
                <w:szCs w:val="21"/>
              </w:rPr>
            </w:pPr>
            <w:r>
              <w:rPr>
                <w:szCs w:val="21"/>
              </w:rPr>
              <w:t xml:space="preserve">合同签订后3个月内货到江苏省特种设备安全监督检验研究院指定地点</w:t>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1"/>
        </w:trPr>
        <w:tc>
          <w:tcPr>
            <w:tcBorders>
              <w:left w:val="single" w:color="auto" w:sz="4" w:space="0"/>
              <w:right w:val="single" w:color="auto" w:sz="4" w:space="0"/>
            </w:tcBorders>
            <w:tcW w:w="30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425" w:type="pct"/>
            <w:vAlign w:val="center"/>
            <w:textDirection w:val="lrTb"/>
            <w:noWrap/>
          </w:tcPr>
          <w:p>
            <w:pPr>
              <w:jc w:val="center"/>
              <w:rPr>
                <w:rFonts w:eastAsiaTheme="minorEastAsia"/>
              </w:rPr>
            </w:pPr>
            <w:r>
              <w:rPr>
                <w:rFonts w:eastAsiaTheme="minorEastAsia"/>
              </w:rPr>
              <w:t xml:space="preserve">二</w:t>
            </w:r>
            <w:r/>
          </w:p>
        </w:tc>
        <w:tc>
          <w:tcPr>
            <w:tcBorders>
              <w:top w:val="single" w:color="auto" w:sz="4" w:space="0"/>
              <w:left w:val="single" w:color="auto" w:sz="4" w:space="0"/>
              <w:bottom w:val="single" w:color="auto" w:sz="4" w:space="0"/>
              <w:right w:val="single" w:color="auto" w:sz="4" w:space="0"/>
            </w:tcBorders>
            <w:tcW w:w="1595" w:type="pct"/>
            <w:vAlign w:val="center"/>
            <w:textDirection w:val="lrTb"/>
            <w:noWrap w:val="false"/>
          </w:tcPr>
          <w:p>
            <w:pPr>
              <w:jc w:val="center"/>
              <w:rPr>
                <w:rFonts w:eastAsiaTheme="minorEastAsia"/>
              </w:rPr>
            </w:pPr>
            <w:r>
              <w:t xml:space="preserve">碳硫分析仪</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rPr>
                <w:rFonts w:eastAsiaTheme="minorEastAsia"/>
              </w:rPr>
            </w:pPr>
            <w:r>
              <w:rPr>
                <w:rFonts w:eastAsiaTheme="minorEastAsia"/>
              </w:rPr>
              <w:t xml:space="preserve">1</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center"/>
              <w:widowControl/>
              <w:rPr>
                <w:rFonts w:eastAsiaTheme="minorEastAsia"/>
                <w:bCs/>
                <w:szCs w:val="21"/>
              </w:rPr>
            </w:pPr>
            <w:r>
              <w:rPr>
                <w:rFonts w:eastAsiaTheme="minorEastAsia"/>
                <w:bCs/>
                <w:szCs w:val="21"/>
              </w:rPr>
              <w:t xml:space="preserve">19.5</w:t>
            </w:r>
            <w:r/>
          </w:p>
        </w:tc>
        <w:tc>
          <w:tcPr>
            <w:tcBorders>
              <w:left w:val="single" w:color="auto" w:sz="4" w:space="0"/>
              <w:right w:val="single" w:color="auto" w:sz="4" w:space="0"/>
            </w:tcBorders>
            <w:tcW w:w="502"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1"/>
        </w:trPr>
        <w:tc>
          <w:tcPr>
            <w:tcBorders>
              <w:left w:val="single" w:color="auto" w:sz="4" w:space="0"/>
              <w:right w:val="single" w:color="auto" w:sz="4" w:space="0"/>
            </w:tcBorders>
            <w:tcW w:w="30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425" w:type="pct"/>
            <w:vAlign w:val="center"/>
            <w:textDirection w:val="lrTb"/>
            <w:noWrap/>
          </w:tcPr>
          <w:p>
            <w:pPr>
              <w:jc w:val="center"/>
              <w:rPr>
                <w:rFonts w:eastAsiaTheme="minorEastAsia"/>
              </w:rPr>
            </w:pPr>
            <w:r>
              <w:rPr>
                <w:rFonts w:eastAsiaTheme="minorEastAsia"/>
              </w:rPr>
              <w:t xml:space="preserve">三</w:t>
            </w:r>
            <w:r/>
          </w:p>
        </w:tc>
        <w:tc>
          <w:tcPr>
            <w:tcBorders>
              <w:top w:val="single" w:color="auto" w:sz="4" w:space="0"/>
              <w:left w:val="single" w:color="auto" w:sz="4" w:space="0"/>
              <w:bottom w:val="single" w:color="auto" w:sz="4" w:space="0"/>
              <w:right w:val="single" w:color="auto" w:sz="4" w:space="0"/>
            </w:tcBorders>
            <w:tcW w:w="1595" w:type="pct"/>
            <w:vAlign w:val="center"/>
            <w:textDirection w:val="lrTb"/>
            <w:noWrap w:val="false"/>
          </w:tcPr>
          <w:p>
            <w:pPr>
              <w:jc w:val="center"/>
              <w:rPr>
                <w:rFonts w:eastAsiaTheme="minorEastAsia"/>
              </w:rPr>
            </w:pPr>
            <w:r>
              <w:t xml:space="preserve">微波消解器</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rPr>
                <w:rFonts w:eastAsiaTheme="minorEastAsia"/>
              </w:rPr>
            </w:pPr>
            <w:r>
              <w:rPr>
                <w:rFonts w:eastAsiaTheme="minorEastAsia"/>
              </w:rPr>
              <w:t xml:space="preserve">1</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center"/>
              <w:widowControl/>
              <w:rPr>
                <w:rFonts w:eastAsiaTheme="minorEastAsia"/>
                <w:bCs/>
                <w:szCs w:val="21"/>
              </w:rPr>
            </w:pPr>
            <w:r>
              <w:rPr>
                <w:rFonts w:eastAsiaTheme="minorEastAsia"/>
                <w:bCs/>
                <w:szCs w:val="21"/>
              </w:rPr>
              <w:t xml:space="preserve">28</w:t>
            </w:r>
            <w:r/>
          </w:p>
        </w:tc>
        <w:tc>
          <w:tcPr>
            <w:tcBorders>
              <w:left w:val="single" w:color="auto" w:sz="4" w:space="0"/>
              <w:right w:val="single" w:color="auto" w:sz="4" w:space="0"/>
            </w:tcBorders>
            <w:tcW w:w="502"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1"/>
        </w:trPr>
        <w:tc>
          <w:tcPr>
            <w:tcBorders>
              <w:left w:val="single" w:color="auto" w:sz="4" w:space="0"/>
              <w:right w:val="single" w:color="auto" w:sz="4" w:space="0"/>
            </w:tcBorders>
            <w:tcW w:w="30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425" w:type="pct"/>
            <w:vAlign w:val="center"/>
            <w:textDirection w:val="lrTb"/>
            <w:noWrap/>
          </w:tcPr>
          <w:p>
            <w:pPr>
              <w:jc w:val="center"/>
              <w:rPr>
                <w:rFonts w:eastAsiaTheme="minorEastAsia"/>
              </w:rPr>
            </w:pPr>
            <w:r>
              <w:rPr>
                <w:rFonts w:eastAsiaTheme="minorEastAsia"/>
              </w:rPr>
              <w:t xml:space="preserve">四</w:t>
            </w:r>
            <w:r/>
          </w:p>
        </w:tc>
        <w:tc>
          <w:tcPr>
            <w:tcBorders>
              <w:top w:val="single" w:color="auto" w:sz="4" w:space="0"/>
              <w:left w:val="single" w:color="auto" w:sz="4" w:space="0"/>
              <w:bottom w:val="single" w:color="auto" w:sz="4" w:space="0"/>
              <w:right w:val="single" w:color="auto" w:sz="4" w:space="0"/>
            </w:tcBorders>
            <w:tcW w:w="1595" w:type="pct"/>
            <w:vAlign w:val="center"/>
            <w:textDirection w:val="lrTb"/>
            <w:noWrap w:val="false"/>
          </w:tcPr>
          <w:p>
            <w:pPr>
              <w:jc w:val="center"/>
              <w:rPr>
                <w:rFonts w:eastAsiaTheme="minorEastAsia"/>
              </w:rPr>
            </w:pPr>
            <w:r>
              <w:t xml:space="preserve">便携式酸度计</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rPr>
                <w:rFonts w:eastAsiaTheme="minorEastAsia"/>
              </w:rPr>
            </w:pPr>
            <w:r>
              <w:rPr>
                <w:rFonts w:eastAsiaTheme="minorEastAsia"/>
              </w:rPr>
              <w:t xml:space="preserve">3</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center"/>
              <w:widowControl/>
              <w:rPr>
                <w:rFonts w:eastAsiaTheme="minorEastAsia"/>
                <w:bCs/>
                <w:szCs w:val="21"/>
              </w:rPr>
            </w:pPr>
            <w:r>
              <w:rPr>
                <w:rFonts w:eastAsiaTheme="minorEastAsia"/>
                <w:bCs/>
                <w:szCs w:val="21"/>
              </w:rPr>
              <w:t xml:space="preserve">1.8</w:t>
            </w:r>
            <w:r/>
          </w:p>
        </w:tc>
        <w:tc>
          <w:tcPr>
            <w:tcBorders>
              <w:left w:val="single" w:color="auto" w:sz="4" w:space="0"/>
              <w:right w:val="single" w:color="auto" w:sz="4" w:space="0"/>
            </w:tcBorders>
            <w:tcW w:w="502"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1"/>
        </w:trPr>
        <w:tc>
          <w:tcPr>
            <w:tcBorders>
              <w:left w:val="single" w:color="auto" w:sz="4" w:space="0"/>
              <w:right w:val="single" w:color="auto" w:sz="4" w:space="0"/>
            </w:tcBorders>
            <w:tcW w:w="30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425" w:type="pct"/>
            <w:vAlign w:val="center"/>
            <w:textDirection w:val="lrTb"/>
            <w:noWrap/>
          </w:tcPr>
          <w:p>
            <w:pPr>
              <w:jc w:val="center"/>
              <w:rPr>
                <w:rFonts w:eastAsiaTheme="minorEastAsia"/>
              </w:rPr>
            </w:pPr>
            <w:r>
              <w:rPr>
                <w:rFonts w:eastAsiaTheme="minorEastAsia"/>
              </w:rPr>
              <w:t xml:space="preserve">五</w:t>
            </w:r>
            <w:r/>
          </w:p>
        </w:tc>
        <w:tc>
          <w:tcPr>
            <w:tcBorders>
              <w:top w:val="single" w:color="auto" w:sz="4" w:space="0"/>
              <w:left w:val="single" w:color="auto" w:sz="4" w:space="0"/>
              <w:bottom w:val="single" w:color="auto" w:sz="4" w:space="0"/>
              <w:right w:val="single" w:color="auto" w:sz="4" w:space="0"/>
            </w:tcBorders>
            <w:tcW w:w="1595" w:type="pct"/>
            <w:vAlign w:val="center"/>
            <w:textDirection w:val="lrTb"/>
            <w:noWrap w:val="false"/>
          </w:tcPr>
          <w:p>
            <w:pPr>
              <w:jc w:val="center"/>
              <w:rPr>
                <w:rFonts w:eastAsiaTheme="minorEastAsia"/>
              </w:rPr>
            </w:pPr>
            <w:r>
              <w:t xml:space="preserve">台式酸度计</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rPr>
                <w:rFonts w:eastAsiaTheme="minorEastAsia"/>
              </w:rPr>
            </w:pPr>
            <w:r>
              <w:rPr>
                <w:rFonts w:eastAsiaTheme="minorEastAsia"/>
              </w:rPr>
              <w:t xml:space="preserve">1</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center"/>
              <w:widowControl/>
              <w:rPr>
                <w:rFonts w:eastAsiaTheme="minorEastAsia"/>
                <w:bCs/>
                <w:szCs w:val="21"/>
              </w:rPr>
            </w:pPr>
            <w:r>
              <w:rPr>
                <w:rFonts w:eastAsiaTheme="minorEastAsia"/>
                <w:bCs/>
                <w:szCs w:val="21"/>
              </w:rPr>
              <w:t xml:space="preserve">0.6</w:t>
            </w:r>
            <w:r/>
          </w:p>
        </w:tc>
        <w:tc>
          <w:tcPr>
            <w:tcBorders>
              <w:left w:val="single" w:color="auto" w:sz="4" w:space="0"/>
              <w:right w:val="single" w:color="auto" w:sz="4" w:space="0"/>
            </w:tcBorders>
            <w:tcW w:w="502"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1"/>
        </w:trPr>
        <w:tc>
          <w:tcPr>
            <w:tcBorders>
              <w:left w:val="single" w:color="auto" w:sz="4" w:space="0"/>
              <w:right w:val="single" w:color="auto" w:sz="4" w:space="0"/>
            </w:tcBorders>
            <w:tcW w:w="30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425" w:type="pct"/>
            <w:vAlign w:val="center"/>
            <w:textDirection w:val="lrTb"/>
            <w:noWrap/>
          </w:tcPr>
          <w:p>
            <w:pPr>
              <w:jc w:val="center"/>
              <w:rPr>
                <w:rFonts w:eastAsiaTheme="minorEastAsia"/>
              </w:rPr>
            </w:pPr>
            <w:r>
              <w:rPr>
                <w:rFonts w:eastAsiaTheme="minorEastAsia"/>
              </w:rPr>
              <w:t xml:space="preserve">六</w:t>
            </w:r>
            <w:r/>
          </w:p>
        </w:tc>
        <w:tc>
          <w:tcPr>
            <w:tcBorders>
              <w:top w:val="single" w:color="auto" w:sz="4" w:space="0"/>
              <w:left w:val="single" w:color="auto" w:sz="4" w:space="0"/>
              <w:bottom w:val="single" w:color="auto" w:sz="4" w:space="0"/>
              <w:right w:val="single" w:color="auto" w:sz="4" w:space="0"/>
            </w:tcBorders>
            <w:tcW w:w="1595" w:type="pct"/>
            <w:vAlign w:val="center"/>
            <w:textDirection w:val="lrTb"/>
            <w:noWrap w:val="false"/>
          </w:tcPr>
          <w:p>
            <w:pPr>
              <w:jc w:val="center"/>
              <w:rPr>
                <w:rFonts w:eastAsiaTheme="minorEastAsia"/>
              </w:rPr>
            </w:pPr>
            <w:r>
              <w:t xml:space="preserve">蒸馏水器</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rPr>
                <w:rFonts w:eastAsiaTheme="minorEastAsia"/>
              </w:rPr>
            </w:pPr>
            <w:r>
              <w:rPr>
                <w:rFonts w:eastAsiaTheme="minorEastAsia"/>
              </w:rPr>
              <w:t xml:space="preserve">1</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center"/>
              <w:widowControl/>
              <w:rPr>
                <w:rFonts w:eastAsiaTheme="minorEastAsia"/>
                <w:bCs/>
                <w:szCs w:val="21"/>
              </w:rPr>
            </w:pPr>
            <w:r>
              <w:rPr>
                <w:rFonts w:eastAsiaTheme="minorEastAsia"/>
                <w:bCs/>
                <w:szCs w:val="21"/>
              </w:rPr>
              <w:t xml:space="preserve">0.4</w:t>
            </w:r>
            <w:r/>
          </w:p>
        </w:tc>
        <w:tc>
          <w:tcPr>
            <w:tcBorders>
              <w:left w:val="single" w:color="auto" w:sz="4" w:space="0"/>
              <w:right w:val="single" w:color="auto" w:sz="4" w:space="0"/>
            </w:tcBorders>
            <w:tcW w:w="502"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1"/>
        </w:trPr>
        <w:tc>
          <w:tcPr>
            <w:tcBorders>
              <w:left w:val="single" w:color="auto" w:sz="4" w:space="0"/>
              <w:right w:val="single" w:color="auto" w:sz="4" w:space="0"/>
            </w:tcBorders>
            <w:tcW w:w="30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425" w:type="pct"/>
            <w:vAlign w:val="center"/>
            <w:textDirection w:val="lrTb"/>
            <w:noWrap/>
          </w:tcPr>
          <w:p>
            <w:pPr>
              <w:jc w:val="center"/>
              <w:rPr>
                <w:rFonts w:eastAsiaTheme="minorEastAsia"/>
              </w:rPr>
            </w:pPr>
            <w:r>
              <w:rPr>
                <w:rFonts w:eastAsiaTheme="minorEastAsia"/>
              </w:rPr>
              <w:t xml:space="preserve">七</w:t>
            </w:r>
            <w:r/>
          </w:p>
        </w:tc>
        <w:tc>
          <w:tcPr>
            <w:tcBorders>
              <w:top w:val="single" w:color="auto" w:sz="4" w:space="0"/>
              <w:left w:val="single" w:color="auto" w:sz="4" w:space="0"/>
              <w:bottom w:val="single" w:color="auto" w:sz="4" w:space="0"/>
              <w:right w:val="single" w:color="auto" w:sz="4" w:space="0"/>
            </w:tcBorders>
            <w:tcW w:w="1595" w:type="pct"/>
            <w:vAlign w:val="center"/>
            <w:textDirection w:val="lrTb"/>
            <w:noWrap w:val="false"/>
          </w:tcPr>
          <w:p>
            <w:pPr>
              <w:jc w:val="center"/>
              <w:rPr>
                <w:rFonts w:eastAsiaTheme="minorEastAsia"/>
              </w:rPr>
            </w:pPr>
            <w:r>
              <w:t xml:space="preserve">便携式电导率仪A</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rPr>
                <w:rFonts w:eastAsiaTheme="minorEastAsia"/>
              </w:rPr>
            </w:pPr>
            <w:r>
              <w:rPr>
                <w:rFonts w:eastAsiaTheme="minorEastAsia"/>
              </w:rPr>
              <w:t xml:space="preserve">2</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center"/>
              <w:widowControl/>
              <w:rPr>
                <w:rFonts w:eastAsiaTheme="minorEastAsia"/>
                <w:bCs/>
                <w:szCs w:val="21"/>
              </w:rPr>
            </w:pPr>
            <w:r>
              <w:rPr>
                <w:rFonts w:eastAsiaTheme="minorEastAsia"/>
                <w:bCs/>
                <w:szCs w:val="21"/>
              </w:rPr>
              <w:t xml:space="preserve">1.4</w:t>
            </w:r>
            <w:r/>
          </w:p>
        </w:tc>
        <w:tc>
          <w:tcPr>
            <w:tcBorders>
              <w:left w:val="single" w:color="auto" w:sz="4" w:space="0"/>
              <w:right w:val="single" w:color="auto" w:sz="4" w:space="0"/>
            </w:tcBorders>
            <w:tcW w:w="502"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1"/>
        </w:trPr>
        <w:tc>
          <w:tcPr>
            <w:tcBorders>
              <w:left w:val="single" w:color="auto" w:sz="4" w:space="0"/>
              <w:right w:val="single" w:color="auto" w:sz="4" w:space="0"/>
            </w:tcBorders>
            <w:tcW w:w="30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425" w:type="pct"/>
            <w:vAlign w:val="center"/>
            <w:textDirection w:val="lrTb"/>
            <w:noWrap/>
          </w:tcPr>
          <w:p>
            <w:pPr>
              <w:jc w:val="center"/>
              <w:rPr>
                <w:rFonts w:eastAsiaTheme="minorEastAsia"/>
              </w:rPr>
            </w:pPr>
            <w:r>
              <w:rPr>
                <w:rFonts w:eastAsiaTheme="minorEastAsia"/>
              </w:rPr>
              <w:t xml:space="preserve">八</w:t>
            </w:r>
            <w:r/>
          </w:p>
        </w:tc>
        <w:tc>
          <w:tcPr>
            <w:tcBorders>
              <w:top w:val="single" w:color="auto" w:sz="4" w:space="0"/>
              <w:left w:val="single" w:color="auto" w:sz="4" w:space="0"/>
              <w:bottom w:val="single" w:color="auto" w:sz="4" w:space="0"/>
              <w:right w:val="single" w:color="auto" w:sz="4" w:space="0"/>
            </w:tcBorders>
            <w:tcW w:w="1595" w:type="pct"/>
            <w:vAlign w:val="center"/>
            <w:textDirection w:val="lrTb"/>
            <w:noWrap w:val="false"/>
          </w:tcPr>
          <w:p>
            <w:pPr>
              <w:jc w:val="center"/>
              <w:rPr>
                <w:rFonts w:eastAsiaTheme="minorEastAsia"/>
              </w:rPr>
            </w:pPr>
            <w:r>
              <w:t xml:space="preserve">便携式电导率仪B</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rPr>
                <w:rFonts w:eastAsiaTheme="minorEastAsia"/>
              </w:rPr>
            </w:pPr>
            <w:r>
              <w:rPr>
                <w:rFonts w:eastAsiaTheme="minorEastAsia"/>
              </w:rPr>
              <w:t xml:space="preserve">1</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center"/>
              <w:widowControl/>
              <w:rPr>
                <w:rFonts w:eastAsiaTheme="minorEastAsia"/>
                <w:bCs/>
                <w:szCs w:val="21"/>
              </w:rPr>
            </w:pPr>
            <w:r>
              <w:rPr>
                <w:rFonts w:eastAsiaTheme="minorEastAsia"/>
                <w:bCs/>
                <w:szCs w:val="21"/>
              </w:rPr>
              <w:t xml:space="preserve">0.25</w:t>
            </w:r>
            <w:r/>
          </w:p>
        </w:tc>
        <w:tc>
          <w:tcPr>
            <w:tcBorders>
              <w:left w:val="single" w:color="auto" w:sz="4" w:space="0"/>
              <w:right w:val="single" w:color="auto" w:sz="4" w:space="0"/>
            </w:tcBorders>
            <w:tcW w:w="502"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1"/>
        </w:trPr>
        <w:tc>
          <w:tcPr>
            <w:tcBorders>
              <w:left w:val="single" w:color="auto" w:sz="4" w:space="0"/>
              <w:right w:val="single" w:color="auto" w:sz="4" w:space="0"/>
            </w:tcBorders>
            <w:tcW w:w="30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425" w:type="pct"/>
            <w:vAlign w:val="center"/>
            <w:textDirection w:val="lrTb"/>
            <w:noWrap/>
          </w:tcPr>
          <w:p>
            <w:pPr>
              <w:jc w:val="center"/>
              <w:rPr>
                <w:rFonts w:eastAsiaTheme="minorEastAsia"/>
              </w:rPr>
            </w:pPr>
            <w:r>
              <w:rPr>
                <w:rFonts w:eastAsiaTheme="minorEastAsia"/>
              </w:rPr>
              <w:t xml:space="preserve">九</w:t>
            </w:r>
            <w:r/>
          </w:p>
        </w:tc>
        <w:tc>
          <w:tcPr>
            <w:tcBorders>
              <w:top w:val="single" w:color="auto" w:sz="4" w:space="0"/>
              <w:left w:val="single" w:color="auto" w:sz="4" w:space="0"/>
              <w:bottom w:val="single" w:color="auto" w:sz="4" w:space="0"/>
              <w:right w:val="single" w:color="auto" w:sz="4" w:space="0"/>
            </w:tcBorders>
            <w:tcW w:w="1595" w:type="pct"/>
            <w:vAlign w:val="center"/>
            <w:textDirection w:val="lrTb"/>
            <w:noWrap w:val="false"/>
          </w:tcPr>
          <w:p>
            <w:pPr>
              <w:jc w:val="center"/>
              <w:rPr>
                <w:rFonts w:eastAsiaTheme="minorEastAsia"/>
              </w:rPr>
            </w:pPr>
            <w:r>
              <w:t xml:space="preserve">便携式溶解氧测定仪</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rPr>
                <w:rFonts w:eastAsiaTheme="minorEastAsia"/>
              </w:rPr>
            </w:pPr>
            <w:r>
              <w:rPr>
                <w:rFonts w:eastAsiaTheme="minorEastAsia"/>
              </w:rPr>
              <w:t xml:space="preserve">4</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center"/>
              <w:widowControl/>
              <w:rPr>
                <w:rFonts w:eastAsiaTheme="minorEastAsia"/>
                <w:bCs/>
                <w:szCs w:val="21"/>
              </w:rPr>
            </w:pPr>
            <w:r>
              <w:rPr>
                <w:rFonts w:eastAsiaTheme="minorEastAsia"/>
                <w:bCs/>
                <w:szCs w:val="21"/>
              </w:rPr>
              <w:t xml:space="preserve">14.4</w:t>
            </w:r>
            <w:r/>
          </w:p>
        </w:tc>
        <w:tc>
          <w:tcPr>
            <w:tcBorders>
              <w:left w:val="single" w:color="auto" w:sz="4" w:space="0"/>
              <w:right w:val="single" w:color="auto" w:sz="4" w:space="0"/>
            </w:tcBorders>
            <w:tcW w:w="502"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1"/>
        </w:trPr>
        <w:tc>
          <w:tcPr>
            <w:tcBorders>
              <w:left w:val="single" w:color="auto" w:sz="4" w:space="0"/>
              <w:right w:val="single" w:color="auto" w:sz="4" w:space="0"/>
            </w:tcBorders>
            <w:tcW w:w="30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425" w:type="pct"/>
            <w:vAlign w:val="center"/>
            <w:textDirection w:val="lrTb"/>
            <w:noWrap/>
          </w:tcPr>
          <w:p>
            <w:pPr>
              <w:jc w:val="center"/>
              <w:rPr>
                <w:rFonts w:eastAsiaTheme="minorEastAsia"/>
              </w:rPr>
            </w:pPr>
            <w:r>
              <w:rPr>
                <w:rFonts w:eastAsiaTheme="minorEastAsia"/>
              </w:rPr>
              <w:t xml:space="preserve">十</w:t>
            </w:r>
            <w:r/>
          </w:p>
        </w:tc>
        <w:tc>
          <w:tcPr>
            <w:tcBorders>
              <w:top w:val="single" w:color="auto" w:sz="4" w:space="0"/>
              <w:left w:val="single" w:color="auto" w:sz="4" w:space="0"/>
              <w:bottom w:val="single" w:color="auto" w:sz="4" w:space="0"/>
              <w:right w:val="single" w:color="auto" w:sz="4" w:space="0"/>
            </w:tcBorders>
            <w:tcW w:w="1595" w:type="pct"/>
            <w:vAlign w:val="center"/>
            <w:textDirection w:val="lrTb"/>
            <w:noWrap w:val="false"/>
          </w:tcPr>
          <w:p>
            <w:pPr>
              <w:jc w:val="center"/>
              <w:rPr>
                <w:rFonts w:eastAsiaTheme="minorEastAsia"/>
              </w:rPr>
            </w:pPr>
            <w:r>
              <w:t xml:space="preserve">原子吸收光谱仪</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rPr>
                <w:rFonts w:eastAsiaTheme="minorEastAsia"/>
              </w:rPr>
            </w:pPr>
            <w:r>
              <w:rPr>
                <w:rFonts w:eastAsiaTheme="minorEastAsia"/>
              </w:rPr>
              <w:t xml:space="preserve">1</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center"/>
              <w:widowControl/>
              <w:rPr>
                <w:rFonts w:eastAsiaTheme="minorEastAsia"/>
                <w:bCs/>
                <w:szCs w:val="21"/>
              </w:rPr>
            </w:pPr>
            <w:r>
              <w:rPr>
                <w:rFonts w:eastAsiaTheme="minorEastAsia"/>
                <w:bCs/>
                <w:szCs w:val="21"/>
              </w:rPr>
              <w:t xml:space="preserve">29.8</w:t>
            </w:r>
            <w:r/>
          </w:p>
        </w:tc>
        <w:tc>
          <w:tcPr>
            <w:tcBorders>
              <w:left w:val="single" w:color="auto" w:sz="4" w:space="0"/>
              <w:right w:val="single" w:color="auto" w:sz="4" w:space="0"/>
            </w:tcBorders>
            <w:tcW w:w="502"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ind w:right="-107"/>
              <w:jc w:val="center"/>
              <w:tabs>
                <w:tab w:val="left" w:pos="4788" w:leader="none"/>
              </w:tabs>
              <w:rPr>
                <w:rFonts w:eastAsiaTheme="minorEastAsia"/>
                <w:bCs/>
                <w:szCs w:val="21"/>
              </w:rPr>
            </w:pPr>
            <w:r>
              <w:t xml:space="preserve">核心产品</w:t>
            </w:r>
            <w:r/>
          </w:p>
        </w:tc>
      </w:tr>
      <w:tr>
        <w:trPr>
          <w:trHeight w:val="281"/>
        </w:trPr>
        <w:tc>
          <w:tcPr>
            <w:tcBorders>
              <w:left w:val="single" w:color="auto" w:sz="4" w:space="0"/>
              <w:right w:val="single" w:color="auto" w:sz="4" w:space="0"/>
            </w:tcBorders>
            <w:tcW w:w="30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425" w:type="pct"/>
            <w:vAlign w:val="center"/>
            <w:textDirection w:val="lrTb"/>
            <w:noWrap/>
          </w:tcPr>
          <w:p>
            <w:pPr>
              <w:jc w:val="center"/>
              <w:rPr>
                <w:rFonts w:eastAsiaTheme="minorEastAsia"/>
              </w:rPr>
            </w:pPr>
            <w:r>
              <w:rPr>
                <w:rFonts w:eastAsiaTheme="minorEastAsia"/>
              </w:rPr>
              <w:t xml:space="preserve">十一</w:t>
            </w:r>
            <w:r/>
          </w:p>
        </w:tc>
        <w:tc>
          <w:tcPr>
            <w:tcBorders>
              <w:top w:val="single" w:color="auto" w:sz="4" w:space="0"/>
              <w:left w:val="single" w:color="auto" w:sz="4" w:space="0"/>
              <w:bottom w:val="single" w:color="auto" w:sz="4" w:space="0"/>
              <w:right w:val="single" w:color="auto" w:sz="4" w:space="0"/>
            </w:tcBorders>
            <w:tcW w:w="1595" w:type="pct"/>
            <w:vAlign w:val="center"/>
            <w:textDirection w:val="lrTb"/>
            <w:noWrap w:val="false"/>
          </w:tcPr>
          <w:p>
            <w:pPr>
              <w:jc w:val="center"/>
              <w:rPr>
                <w:rFonts w:eastAsiaTheme="minorEastAsia"/>
              </w:rPr>
            </w:pPr>
            <w:r>
              <w:t xml:space="preserve">铁含量分析仪</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rPr>
                <w:rFonts w:eastAsiaTheme="minorEastAsia"/>
              </w:rPr>
            </w:pPr>
            <w:r>
              <w:rPr>
                <w:rFonts w:eastAsiaTheme="minorEastAsia"/>
              </w:rPr>
              <w:t xml:space="preserve">1</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center"/>
              <w:widowControl/>
              <w:rPr>
                <w:rFonts w:eastAsiaTheme="minorEastAsia"/>
                <w:bCs/>
                <w:szCs w:val="21"/>
              </w:rPr>
            </w:pPr>
            <w:r>
              <w:rPr>
                <w:rFonts w:eastAsiaTheme="minorEastAsia"/>
                <w:bCs/>
                <w:szCs w:val="21"/>
              </w:rPr>
              <w:t xml:space="preserve">1.26</w:t>
            </w:r>
            <w:r/>
          </w:p>
        </w:tc>
        <w:tc>
          <w:tcPr>
            <w:tcBorders>
              <w:left w:val="single" w:color="auto" w:sz="4" w:space="0"/>
              <w:right w:val="single" w:color="auto" w:sz="4" w:space="0"/>
            </w:tcBorders>
            <w:tcW w:w="502"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1"/>
        </w:trPr>
        <w:tc>
          <w:tcPr>
            <w:tcBorders>
              <w:left w:val="single" w:color="auto" w:sz="4" w:space="0"/>
              <w:right w:val="single" w:color="auto" w:sz="4" w:space="0"/>
            </w:tcBorders>
            <w:tcW w:w="30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425" w:type="pct"/>
            <w:vAlign w:val="center"/>
            <w:textDirection w:val="lrTb"/>
            <w:noWrap/>
          </w:tcPr>
          <w:p>
            <w:pPr>
              <w:jc w:val="center"/>
              <w:rPr>
                <w:rFonts w:eastAsiaTheme="minorEastAsia"/>
              </w:rPr>
            </w:pPr>
            <w:r>
              <w:rPr>
                <w:rFonts w:eastAsiaTheme="minorEastAsia"/>
              </w:rPr>
              <w:t xml:space="preserve">十二</w:t>
            </w:r>
            <w:r/>
          </w:p>
        </w:tc>
        <w:tc>
          <w:tcPr>
            <w:tcBorders>
              <w:top w:val="single" w:color="auto" w:sz="4" w:space="0"/>
              <w:left w:val="single" w:color="auto" w:sz="4" w:space="0"/>
              <w:bottom w:val="single" w:color="auto" w:sz="4" w:space="0"/>
              <w:right w:val="single" w:color="auto" w:sz="4" w:space="0"/>
            </w:tcBorders>
            <w:tcW w:w="1595" w:type="pct"/>
            <w:vAlign w:val="center"/>
            <w:textDirection w:val="lrTb"/>
            <w:noWrap w:val="false"/>
          </w:tcPr>
          <w:p>
            <w:pPr>
              <w:jc w:val="center"/>
              <w:rPr>
                <w:rFonts w:eastAsiaTheme="minorEastAsia"/>
              </w:rPr>
            </w:pPr>
            <w:r>
              <w:t xml:space="preserve">磷酸根分析仪</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rPr>
                <w:rFonts w:eastAsiaTheme="minorEastAsia"/>
              </w:rPr>
            </w:pPr>
            <w:r>
              <w:rPr>
                <w:rFonts w:eastAsiaTheme="minorEastAsia"/>
              </w:rPr>
              <w:t xml:space="preserve">1</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center"/>
              <w:widowControl/>
              <w:rPr>
                <w:rFonts w:eastAsiaTheme="minorEastAsia"/>
                <w:bCs/>
                <w:szCs w:val="21"/>
              </w:rPr>
            </w:pPr>
            <w:r>
              <w:rPr>
                <w:rFonts w:eastAsiaTheme="minorEastAsia"/>
                <w:bCs/>
                <w:szCs w:val="21"/>
              </w:rPr>
              <w:t xml:space="preserve">1.26</w:t>
            </w:r>
            <w:r/>
          </w:p>
        </w:tc>
        <w:tc>
          <w:tcPr>
            <w:tcBorders>
              <w:left w:val="single" w:color="auto" w:sz="4" w:space="0"/>
              <w:right w:val="single" w:color="auto" w:sz="4" w:space="0"/>
            </w:tcBorders>
            <w:tcW w:w="502"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1"/>
        </w:trPr>
        <w:tc>
          <w:tcPr>
            <w:tcBorders>
              <w:left w:val="single" w:color="auto" w:sz="4" w:space="0"/>
              <w:right w:val="single" w:color="auto" w:sz="4" w:space="0"/>
            </w:tcBorders>
            <w:tcW w:w="30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425" w:type="pct"/>
            <w:vAlign w:val="center"/>
            <w:textDirection w:val="lrTb"/>
            <w:noWrap/>
          </w:tcPr>
          <w:p>
            <w:pPr>
              <w:jc w:val="center"/>
              <w:rPr>
                <w:rFonts w:eastAsiaTheme="minorEastAsia"/>
              </w:rPr>
            </w:pPr>
            <w:r>
              <w:rPr>
                <w:rFonts w:eastAsiaTheme="minorEastAsia"/>
              </w:rPr>
              <w:t xml:space="preserve">十三</w:t>
            </w:r>
            <w:r/>
          </w:p>
        </w:tc>
        <w:tc>
          <w:tcPr>
            <w:tcBorders>
              <w:top w:val="single" w:color="auto" w:sz="4" w:space="0"/>
              <w:left w:val="single" w:color="auto" w:sz="4" w:space="0"/>
              <w:bottom w:val="single" w:color="auto" w:sz="4" w:space="0"/>
              <w:right w:val="single" w:color="auto" w:sz="4" w:space="0"/>
            </w:tcBorders>
            <w:tcW w:w="1595" w:type="pct"/>
            <w:vAlign w:val="center"/>
            <w:textDirection w:val="lrTb"/>
            <w:noWrap w:val="false"/>
          </w:tcPr>
          <w:p>
            <w:pPr>
              <w:jc w:val="center"/>
              <w:rPr>
                <w:rFonts w:eastAsiaTheme="minorEastAsia"/>
              </w:rPr>
            </w:pPr>
            <w:r>
              <w:t xml:space="preserve">硅酸根分析仪</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rPr>
                <w:rFonts w:eastAsiaTheme="minorEastAsia"/>
              </w:rPr>
            </w:pPr>
            <w:r>
              <w:rPr>
                <w:rFonts w:eastAsiaTheme="minorEastAsia"/>
              </w:rPr>
              <w:t xml:space="preserve">1</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center"/>
              <w:widowControl/>
              <w:rPr>
                <w:rFonts w:eastAsiaTheme="minorEastAsia"/>
                <w:bCs/>
                <w:szCs w:val="21"/>
              </w:rPr>
            </w:pPr>
            <w:r>
              <w:rPr>
                <w:rFonts w:eastAsiaTheme="minorEastAsia"/>
                <w:bCs/>
                <w:szCs w:val="21"/>
              </w:rPr>
              <w:t xml:space="preserve">1.26</w:t>
            </w:r>
            <w:r/>
          </w:p>
        </w:tc>
        <w:tc>
          <w:tcPr>
            <w:tcBorders>
              <w:left w:val="single" w:color="auto" w:sz="4" w:space="0"/>
              <w:right w:val="single" w:color="auto" w:sz="4" w:space="0"/>
            </w:tcBorders>
            <w:tcW w:w="502"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1"/>
        </w:trPr>
        <w:tc>
          <w:tcPr>
            <w:tcBorders>
              <w:left w:val="single" w:color="auto" w:sz="4" w:space="0"/>
              <w:right w:val="single" w:color="auto" w:sz="4" w:space="0"/>
            </w:tcBorders>
            <w:tcW w:w="30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425" w:type="pct"/>
            <w:vAlign w:val="center"/>
            <w:textDirection w:val="lrTb"/>
            <w:noWrap/>
          </w:tcPr>
          <w:p>
            <w:pPr>
              <w:jc w:val="center"/>
              <w:rPr>
                <w:rFonts w:eastAsiaTheme="minorEastAsia"/>
              </w:rPr>
            </w:pPr>
            <w:r>
              <w:rPr>
                <w:rFonts w:eastAsiaTheme="minorEastAsia"/>
              </w:rPr>
              <w:t xml:space="preserve">十四</w:t>
            </w:r>
            <w:r/>
          </w:p>
        </w:tc>
        <w:tc>
          <w:tcPr>
            <w:tcBorders>
              <w:top w:val="single" w:color="auto" w:sz="4" w:space="0"/>
              <w:left w:val="single" w:color="auto" w:sz="4" w:space="0"/>
              <w:bottom w:val="single" w:color="auto" w:sz="4" w:space="0"/>
              <w:right w:val="single" w:color="auto" w:sz="4" w:space="0"/>
            </w:tcBorders>
            <w:tcW w:w="1595" w:type="pct"/>
            <w:vAlign w:val="center"/>
            <w:textDirection w:val="lrTb"/>
            <w:noWrap w:val="false"/>
          </w:tcPr>
          <w:p>
            <w:pPr>
              <w:jc w:val="center"/>
              <w:rPr>
                <w:rFonts w:eastAsiaTheme="minorEastAsia"/>
              </w:rPr>
            </w:pPr>
            <w:r>
              <w:t xml:space="preserve">联氨分析仪</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rPr>
                <w:rFonts w:eastAsiaTheme="minorEastAsia"/>
              </w:rPr>
            </w:pPr>
            <w:r>
              <w:rPr>
                <w:rFonts w:eastAsiaTheme="minorEastAsia"/>
              </w:rPr>
              <w:t xml:space="preserve">1</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center"/>
              <w:widowControl/>
              <w:rPr>
                <w:rFonts w:eastAsiaTheme="minorEastAsia"/>
                <w:bCs/>
                <w:szCs w:val="21"/>
              </w:rPr>
            </w:pPr>
            <w:r>
              <w:rPr>
                <w:rFonts w:eastAsiaTheme="minorEastAsia"/>
                <w:bCs/>
                <w:szCs w:val="21"/>
              </w:rPr>
              <w:t xml:space="preserve">1.26</w:t>
            </w:r>
            <w:r/>
          </w:p>
        </w:tc>
        <w:tc>
          <w:tcPr>
            <w:tcBorders>
              <w:left w:val="single" w:color="auto" w:sz="4" w:space="0"/>
              <w:right w:val="single" w:color="auto" w:sz="4" w:space="0"/>
            </w:tcBorders>
            <w:tcW w:w="502"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1"/>
        </w:trPr>
        <w:tc>
          <w:tcPr>
            <w:tcBorders>
              <w:left w:val="single" w:color="auto" w:sz="4" w:space="0"/>
              <w:right w:val="single" w:color="auto" w:sz="4" w:space="0"/>
            </w:tcBorders>
            <w:tcW w:w="30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425" w:type="pct"/>
            <w:vAlign w:val="center"/>
            <w:textDirection w:val="lrTb"/>
            <w:noWrap/>
          </w:tcPr>
          <w:p>
            <w:pPr>
              <w:jc w:val="center"/>
              <w:rPr>
                <w:rFonts w:eastAsiaTheme="minorEastAsia"/>
              </w:rPr>
            </w:pPr>
            <w:r>
              <w:rPr>
                <w:rFonts w:eastAsiaTheme="minorEastAsia"/>
              </w:rPr>
              <w:t xml:space="preserve">十五</w:t>
            </w:r>
            <w:r/>
          </w:p>
        </w:tc>
        <w:tc>
          <w:tcPr>
            <w:tcBorders>
              <w:top w:val="single" w:color="auto" w:sz="4" w:space="0"/>
              <w:left w:val="single" w:color="auto" w:sz="4" w:space="0"/>
              <w:bottom w:val="single" w:color="auto" w:sz="4" w:space="0"/>
              <w:right w:val="single" w:color="auto" w:sz="4" w:space="0"/>
            </w:tcBorders>
            <w:tcW w:w="1595" w:type="pct"/>
            <w:vAlign w:val="center"/>
            <w:textDirection w:val="lrTb"/>
            <w:noWrap w:val="false"/>
          </w:tcPr>
          <w:p>
            <w:pPr>
              <w:jc w:val="center"/>
              <w:rPr>
                <w:rFonts w:eastAsiaTheme="minorEastAsia"/>
              </w:rPr>
            </w:pPr>
            <w:r>
              <w:t xml:space="preserve">铜离子测定仪</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rPr>
                <w:rFonts w:eastAsiaTheme="minorEastAsia"/>
              </w:rPr>
            </w:pPr>
            <w:r>
              <w:rPr>
                <w:rFonts w:eastAsiaTheme="minorEastAsia"/>
              </w:rPr>
              <w:t xml:space="preserve">1</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center"/>
              <w:widowControl/>
              <w:rPr>
                <w:rFonts w:eastAsiaTheme="minorEastAsia"/>
                <w:bCs/>
                <w:szCs w:val="21"/>
              </w:rPr>
            </w:pPr>
            <w:r>
              <w:rPr>
                <w:rFonts w:eastAsiaTheme="minorEastAsia"/>
                <w:bCs/>
                <w:szCs w:val="21"/>
              </w:rPr>
              <w:t xml:space="preserve">1.26</w:t>
            </w:r>
            <w:r/>
          </w:p>
        </w:tc>
        <w:tc>
          <w:tcPr>
            <w:tcBorders>
              <w:left w:val="single" w:color="auto" w:sz="4" w:space="0"/>
              <w:right w:val="single" w:color="auto" w:sz="4" w:space="0"/>
            </w:tcBorders>
            <w:tcW w:w="502"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1"/>
        </w:trPr>
        <w:tc>
          <w:tcPr>
            <w:tcBorders>
              <w:left w:val="single" w:color="auto" w:sz="4" w:space="0"/>
              <w:right w:val="single" w:color="auto" w:sz="4" w:space="0"/>
            </w:tcBorders>
            <w:tcW w:w="30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425" w:type="pct"/>
            <w:vAlign w:val="center"/>
            <w:textDirection w:val="lrTb"/>
            <w:noWrap/>
          </w:tcPr>
          <w:p>
            <w:pPr>
              <w:jc w:val="center"/>
              <w:rPr>
                <w:rFonts w:eastAsiaTheme="minorEastAsia"/>
              </w:rPr>
            </w:pPr>
            <w:r>
              <w:rPr>
                <w:rFonts w:eastAsiaTheme="minorEastAsia"/>
              </w:rPr>
              <w:t xml:space="preserve">十六</w:t>
            </w:r>
            <w:r/>
          </w:p>
        </w:tc>
        <w:tc>
          <w:tcPr>
            <w:tcBorders>
              <w:top w:val="single" w:color="auto" w:sz="4" w:space="0"/>
              <w:left w:val="single" w:color="auto" w:sz="4" w:space="0"/>
              <w:bottom w:val="single" w:color="auto" w:sz="4" w:space="0"/>
              <w:right w:val="single" w:color="auto" w:sz="4" w:space="0"/>
            </w:tcBorders>
            <w:tcW w:w="1595" w:type="pct"/>
            <w:vAlign w:val="center"/>
            <w:textDirection w:val="lrTb"/>
            <w:noWrap w:val="false"/>
          </w:tcPr>
          <w:p>
            <w:pPr>
              <w:jc w:val="center"/>
              <w:rPr>
                <w:rFonts w:eastAsiaTheme="minorEastAsia"/>
              </w:rPr>
            </w:pPr>
            <w:r>
              <w:t xml:space="preserve">总有机碳ToC测定仪</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rPr>
                <w:rFonts w:eastAsiaTheme="minorEastAsia"/>
              </w:rPr>
            </w:pPr>
            <w:r>
              <w:rPr>
                <w:rFonts w:eastAsiaTheme="minorEastAsia"/>
              </w:rPr>
              <w:t xml:space="preserve">1</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center"/>
              <w:widowControl/>
              <w:rPr>
                <w:rFonts w:eastAsiaTheme="minorEastAsia"/>
                <w:bCs/>
                <w:szCs w:val="21"/>
              </w:rPr>
            </w:pPr>
            <w:r>
              <w:rPr>
                <w:rFonts w:eastAsiaTheme="minorEastAsia"/>
                <w:bCs/>
                <w:szCs w:val="21"/>
              </w:rPr>
              <w:t xml:space="preserve">6.8</w:t>
            </w:r>
            <w:r/>
          </w:p>
        </w:tc>
        <w:tc>
          <w:tcPr>
            <w:tcBorders>
              <w:left w:val="single" w:color="auto" w:sz="4" w:space="0"/>
              <w:right w:val="single" w:color="auto" w:sz="4" w:space="0"/>
            </w:tcBorders>
            <w:tcW w:w="502"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1"/>
        </w:trPr>
        <w:tc>
          <w:tcPr>
            <w:tcBorders>
              <w:left w:val="single" w:color="auto" w:sz="4" w:space="0"/>
              <w:right w:val="single" w:color="auto" w:sz="4" w:space="0"/>
            </w:tcBorders>
            <w:tcW w:w="30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425" w:type="pct"/>
            <w:vAlign w:val="center"/>
            <w:textDirection w:val="lrTb"/>
            <w:noWrap/>
          </w:tcPr>
          <w:p>
            <w:pPr>
              <w:jc w:val="center"/>
              <w:rPr>
                <w:rFonts w:eastAsiaTheme="minorEastAsia"/>
              </w:rPr>
            </w:pPr>
            <w:r>
              <w:rPr>
                <w:rFonts w:eastAsiaTheme="minorEastAsia"/>
              </w:rPr>
              <w:t xml:space="preserve">十七</w:t>
            </w:r>
            <w:r/>
          </w:p>
        </w:tc>
        <w:tc>
          <w:tcPr>
            <w:tcBorders>
              <w:top w:val="single" w:color="auto" w:sz="4" w:space="0"/>
              <w:left w:val="single" w:color="auto" w:sz="4" w:space="0"/>
              <w:bottom w:val="single" w:color="auto" w:sz="4" w:space="0"/>
              <w:right w:val="single" w:color="auto" w:sz="4" w:space="0"/>
            </w:tcBorders>
            <w:tcW w:w="1595" w:type="pct"/>
            <w:vAlign w:val="center"/>
            <w:textDirection w:val="lrTb"/>
            <w:noWrap w:val="false"/>
          </w:tcPr>
          <w:p>
            <w:pPr>
              <w:jc w:val="center"/>
              <w:rPr>
                <w:rFonts w:eastAsiaTheme="minorEastAsia"/>
              </w:rPr>
            </w:pPr>
            <w:r>
              <w:t xml:space="preserve">紫外分光光度计</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rPr>
                <w:rFonts w:eastAsiaTheme="minorEastAsia"/>
              </w:rPr>
            </w:pPr>
            <w:r>
              <w:rPr>
                <w:rFonts w:eastAsiaTheme="minorEastAsia"/>
              </w:rPr>
              <w:t xml:space="preserve">1</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center"/>
              <w:widowControl/>
              <w:rPr>
                <w:rFonts w:eastAsiaTheme="minorEastAsia"/>
                <w:bCs/>
                <w:szCs w:val="21"/>
              </w:rPr>
            </w:pPr>
            <w:r>
              <w:rPr>
                <w:rFonts w:eastAsiaTheme="minorEastAsia"/>
                <w:bCs/>
                <w:szCs w:val="21"/>
              </w:rPr>
              <w:t xml:space="preserve">7.5</w:t>
            </w:r>
            <w:r/>
          </w:p>
        </w:tc>
        <w:tc>
          <w:tcPr>
            <w:tcBorders>
              <w:left w:val="single" w:color="auto" w:sz="4" w:space="0"/>
              <w:right w:val="single" w:color="auto" w:sz="4" w:space="0"/>
            </w:tcBorders>
            <w:tcW w:w="502"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1"/>
        </w:trPr>
        <w:tc>
          <w:tcPr>
            <w:tcBorders>
              <w:left w:val="single" w:color="auto" w:sz="4" w:space="0"/>
              <w:bottom w:val="single" w:color="auto" w:sz="4" w:space="0"/>
              <w:right w:val="single" w:color="auto" w:sz="4" w:space="0"/>
            </w:tcBorders>
            <w:tcW w:w="30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425" w:type="pct"/>
            <w:vAlign w:val="center"/>
            <w:textDirection w:val="lrTb"/>
            <w:noWrap/>
          </w:tcPr>
          <w:p>
            <w:pPr>
              <w:jc w:val="center"/>
              <w:rPr>
                <w:rFonts w:eastAsiaTheme="minorEastAsia"/>
              </w:rPr>
            </w:pPr>
            <w:r>
              <w:rPr>
                <w:rFonts w:eastAsiaTheme="minorEastAsia"/>
              </w:rPr>
              <w:t xml:space="preserve">十八</w:t>
            </w:r>
            <w:r/>
          </w:p>
        </w:tc>
        <w:tc>
          <w:tcPr>
            <w:tcBorders>
              <w:top w:val="single" w:color="auto" w:sz="4" w:space="0"/>
              <w:left w:val="single" w:color="auto" w:sz="4" w:space="0"/>
              <w:bottom w:val="single" w:color="auto" w:sz="4" w:space="0"/>
              <w:right w:val="single" w:color="auto" w:sz="4" w:space="0"/>
            </w:tcBorders>
            <w:tcW w:w="1595" w:type="pct"/>
            <w:vAlign w:val="center"/>
            <w:textDirection w:val="lrTb"/>
            <w:noWrap w:val="false"/>
          </w:tcPr>
          <w:p>
            <w:pPr>
              <w:jc w:val="center"/>
            </w:pPr>
            <w:r>
              <w:t xml:space="preserve">浊度计</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rPr>
                <w:rFonts w:eastAsiaTheme="minorEastAsia"/>
              </w:rPr>
            </w:pPr>
            <w:r>
              <w:rPr>
                <w:rFonts w:eastAsiaTheme="minorEastAsia"/>
              </w:rPr>
              <w:t xml:space="preserve">1</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center"/>
              <w:widowControl/>
              <w:rPr>
                <w:rFonts w:eastAsiaTheme="minorEastAsia"/>
                <w:bCs/>
                <w:szCs w:val="21"/>
              </w:rPr>
            </w:pPr>
            <w:r>
              <w:rPr>
                <w:rFonts w:eastAsiaTheme="minorEastAsia"/>
                <w:bCs/>
                <w:szCs w:val="21"/>
              </w:rPr>
              <w:t xml:space="preserve">0.98</w:t>
            </w:r>
            <w:r/>
          </w:p>
        </w:tc>
        <w:tc>
          <w:tcPr>
            <w:tcBorders>
              <w:left w:val="single" w:color="auto" w:sz="4" w:space="0"/>
              <w:bottom w:val="single" w:color="auto" w:sz="4" w:space="0"/>
              <w:right w:val="single" w:color="auto" w:sz="4" w:space="0"/>
            </w:tcBorders>
            <w:tcW w:w="502"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1"/>
        </w:trPr>
        <w:tc>
          <w:tcPr>
            <w:tcBorders>
              <w:top w:val="single" w:color="auto" w:sz="4" w:space="0"/>
              <w:left w:val="single" w:color="auto" w:sz="4" w:space="0"/>
              <w:bottom w:val="single" w:color="auto" w:sz="4" w:space="0"/>
              <w:right w:val="single" w:color="auto" w:sz="4" w:space="0"/>
            </w:tcBorders>
            <w:tcW w:w="303" w:type="pct"/>
            <w:vAlign w:val="center"/>
            <w:vMerge w:val="restart"/>
            <w:textDirection w:val="lrTb"/>
            <w:noWrap/>
          </w:tcPr>
          <w:p>
            <w:pPr>
              <w:jc w:val="center"/>
              <w:rPr>
                <w:rFonts w:eastAsiaTheme="minorEastAsia"/>
              </w:rPr>
            </w:pPr>
            <w:r>
              <w:rPr>
                <w:rFonts w:eastAsiaTheme="minorEastAsia"/>
              </w:rPr>
              <w:t xml:space="preserve">02</w:t>
            </w:r>
            <w:r/>
          </w:p>
        </w:tc>
        <w:tc>
          <w:tcPr>
            <w:tcBorders>
              <w:top w:val="single" w:color="auto" w:sz="4" w:space="0"/>
              <w:left w:val="single" w:color="auto" w:sz="4" w:space="0"/>
              <w:bottom w:val="single" w:color="auto" w:sz="4" w:space="0"/>
              <w:right w:val="single" w:color="auto" w:sz="4" w:space="0"/>
            </w:tcBorders>
            <w:tcW w:w="425" w:type="pct"/>
            <w:vAlign w:val="center"/>
            <w:textDirection w:val="lrTb"/>
            <w:noWrap/>
          </w:tcPr>
          <w:p>
            <w:pPr>
              <w:jc w:val="center"/>
              <w:rPr>
                <w:rFonts w:eastAsiaTheme="minorEastAsia"/>
              </w:rPr>
            </w:pPr>
            <w:r>
              <w:rPr>
                <w:rFonts w:eastAsiaTheme="minorEastAsia"/>
              </w:rPr>
              <w:t xml:space="preserve">一</w:t>
            </w:r>
            <w:r/>
          </w:p>
        </w:tc>
        <w:tc>
          <w:tcPr>
            <w:tcBorders>
              <w:top w:val="single" w:color="auto" w:sz="4" w:space="0"/>
              <w:left w:val="single" w:color="auto" w:sz="4" w:space="0"/>
              <w:bottom w:val="single" w:color="auto" w:sz="4" w:space="0"/>
              <w:right w:val="single" w:color="auto" w:sz="4" w:space="0"/>
            </w:tcBorders>
            <w:tcW w:w="1595" w:type="pct"/>
            <w:vAlign w:val="center"/>
            <w:textDirection w:val="lrTb"/>
            <w:noWrap w:val="false"/>
          </w:tcPr>
          <w:p>
            <w:pPr>
              <w:jc w:val="center"/>
            </w:pPr>
            <w:r>
              <w:t xml:space="preserve">自动电位滴定仪A</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widowControl/>
              <w:rPr>
                <w:rFonts w:eastAsiaTheme="minorEastAsia"/>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center"/>
              <w:widowControl/>
              <w:rPr>
                <w:rFonts w:eastAsiaTheme="minorEastAsia"/>
                <w:bCs/>
                <w:szCs w:val="21"/>
              </w:rPr>
            </w:pPr>
            <w:r>
              <w:rPr>
                <w:rFonts w:eastAsiaTheme="minorEastAsia"/>
                <w:bCs/>
                <w:szCs w:val="21"/>
              </w:rPr>
              <w:t xml:space="preserve">38.8</w:t>
            </w:r>
            <w:r/>
          </w:p>
        </w:tc>
        <w:tc>
          <w:tcPr>
            <w:tcBorders>
              <w:top w:val="single" w:color="auto" w:sz="4" w:space="0"/>
              <w:left w:val="single" w:color="auto" w:sz="4" w:space="0"/>
              <w:bottom w:val="single" w:color="auto" w:sz="4" w:space="0"/>
              <w:right w:val="single" w:color="auto" w:sz="4" w:space="0"/>
            </w:tcBorders>
            <w:tcW w:w="502"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ind w:right="-107"/>
              <w:jc w:val="center"/>
              <w:tabs>
                <w:tab w:val="left" w:pos="4788" w:leader="none"/>
              </w:tabs>
            </w:pPr>
            <w:r>
              <w:t xml:space="preserve">核心产品</w:t>
            </w:r>
            <w:r/>
          </w:p>
        </w:tc>
      </w:tr>
      <w:tr>
        <w:trPr>
          <w:trHeight w:val="281"/>
        </w:trPr>
        <w:tc>
          <w:tcPr>
            <w:tcBorders>
              <w:top w:val="single" w:color="auto" w:sz="4" w:space="0"/>
              <w:left w:val="single" w:color="auto" w:sz="4" w:space="0"/>
              <w:bottom w:val="single" w:color="auto" w:sz="4" w:space="0"/>
              <w:right w:val="single" w:color="auto" w:sz="4" w:space="0"/>
            </w:tcBorders>
            <w:tcW w:w="30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425" w:type="pct"/>
            <w:vAlign w:val="center"/>
            <w:textDirection w:val="lrTb"/>
            <w:noWrap/>
          </w:tcPr>
          <w:p>
            <w:pPr>
              <w:jc w:val="center"/>
              <w:rPr>
                <w:rFonts w:eastAsiaTheme="minorEastAsia"/>
              </w:rPr>
            </w:pPr>
            <w:r>
              <w:rPr>
                <w:rFonts w:eastAsiaTheme="minorEastAsia"/>
              </w:rPr>
              <w:t xml:space="preserve">二</w:t>
            </w:r>
            <w:r/>
          </w:p>
        </w:tc>
        <w:tc>
          <w:tcPr>
            <w:tcBorders>
              <w:top w:val="single" w:color="auto" w:sz="4" w:space="0"/>
              <w:left w:val="single" w:color="auto" w:sz="4" w:space="0"/>
              <w:bottom w:val="single" w:color="auto" w:sz="4" w:space="0"/>
              <w:right w:val="single" w:color="auto" w:sz="4" w:space="0"/>
            </w:tcBorders>
            <w:tcW w:w="1595" w:type="pct"/>
            <w:vAlign w:val="center"/>
            <w:textDirection w:val="lrTb"/>
            <w:noWrap w:val="false"/>
          </w:tcPr>
          <w:p>
            <w:pPr>
              <w:jc w:val="center"/>
            </w:pPr>
            <w:r>
              <w:t xml:space="preserve">自动电位滴定仪B</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widowControl/>
              <w:rPr>
                <w:rFonts w:eastAsiaTheme="minorEastAsia"/>
              </w:rPr>
            </w:pPr>
            <w:r>
              <w:rPr>
                <w:rFonts w:eastAsiaTheme="minorEastAsia"/>
                <w:bCs/>
                <w:szCs w:val="21"/>
              </w:rPr>
              <w:t xml:space="preserve">2</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center"/>
              <w:widowControl/>
              <w:rPr>
                <w:rFonts w:eastAsiaTheme="minorEastAsia"/>
                <w:bCs/>
                <w:szCs w:val="21"/>
              </w:rPr>
            </w:pPr>
            <w:r>
              <w:rPr>
                <w:rFonts w:eastAsiaTheme="minorEastAsia"/>
                <w:bCs/>
                <w:szCs w:val="21"/>
              </w:rPr>
              <w:t xml:space="preserve">17.96</w:t>
            </w:r>
            <w:r/>
          </w:p>
        </w:tc>
        <w:tc>
          <w:tcPr>
            <w:tcBorders>
              <w:top w:val="single" w:color="auto" w:sz="4" w:space="0"/>
              <w:left w:val="single" w:color="auto" w:sz="4" w:space="0"/>
              <w:bottom w:val="single" w:color="auto" w:sz="4" w:space="0"/>
              <w:right w:val="single" w:color="auto" w:sz="4" w:space="0"/>
            </w:tcBorders>
            <w:tcW w:w="502"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ind w:right="-107"/>
              <w:jc w:val="center"/>
              <w:tabs>
                <w:tab w:val="left" w:pos="4788" w:leader="none"/>
              </w:tabs>
            </w:pPr>
            <w:r/>
            <w:r/>
          </w:p>
        </w:tc>
      </w:tr>
      <w:tr>
        <w:trPr>
          <w:trHeight w:val="281"/>
        </w:trPr>
        <w:tc>
          <w:tcPr>
            <w:tcBorders>
              <w:top w:val="single" w:color="auto" w:sz="4" w:space="0"/>
              <w:left w:val="single" w:color="auto" w:sz="4" w:space="0"/>
              <w:bottom w:val="single" w:color="auto" w:sz="4" w:space="0"/>
              <w:right w:val="single" w:color="auto" w:sz="4" w:space="0"/>
            </w:tcBorders>
            <w:tcW w:w="30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425" w:type="pct"/>
            <w:vAlign w:val="center"/>
            <w:textDirection w:val="lrTb"/>
            <w:noWrap/>
          </w:tcPr>
          <w:p>
            <w:pPr>
              <w:jc w:val="center"/>
              <w:rPr>
                <w:rFonts w:eastAsiaTheme="minorEastAsia"/>
              </w:rPr>
            </w:pPr>
            <w:r>
              <w:rPr>
                <w:rFonts w:eastAsiaTheme="minorEastAsia"/>
              </w:rPr>
              <w:t xml:space="preserve">三</w:t>
            </w:r>
            <w:r/>
          </w:p>
        </w:tc>
        <w:tc>
          <w:tcPr>
            <w:tcBorders>
              <w:top w:val="single" w:color="auto" w:sz="4" w:space="0"/>
              <w:left w:val="single" w:color="auto" w:sz="4" w:space="0"/>
              <w:bottom w:val="single" w:color="auto" w:sz="4" w:space="0"/>
              <w:right w:val="single" w:color="auto" w:sz="4" w:space="0"/>
            </w:tcBorders>
            <w:tcW w:w="1595" w:type="pct"/>
            <w:vAlign w:val="center"/>
            <w:textDirection w:val="lrTb"/>
            <w:noWrap w:val="false"/>
          </w:tcPr>
          <w:p>
            <w:pPr>
              <w:jc w:val="center"/>
            </w:pPr>
            <w:r>
              <w:t xml:space="preserve">残炭测定仪</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widowControl/>
              <w:rPr>
                <w:rFonts w:eastAsiaTheme="minorEastAsia"/>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center"/>
              <w:widowControl/>
              <w:rPr>
                <w:rFonts w:eastAsiaTheme="minorEastAsia"/>
                <w:bCs/>
                <w:szCs w:val="21"/>
              </w:rPr>
            </w:pPr>
            <w:r>
              <w:rPr>
                <w:rFonts w:eastAsiaTheme="minorEastAsia"/>
                <w:bCs/>
                <w:szCs w:val="21"/>
              </w:rPr>
              <w:t xml:space="preserve">9.98</w:t>
            </w:r>
            <w:r/>
          </w:p>
        </w:tc>
        <w:tc>
          <w:tcPr>
            <w:tcBorders>
              <w:top w:val="single" w:color="auto" w:sz="4" w:space="0"/>
              <w:left w:val="single" w:color="auto" w:sz="4" w:space="0"/>
              <w:bottom w:val="single" w:color="auto" w:sz="4" w:space="0"/>
              <w:right w:val="single" w:color="auto" w:sz="4" w:space="0"/>
            </w:tcBorders>
            <w:tcW w:w="502"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ind w:right="-107"/>
              <w:jc w:val="center"/>
              <w:tabs>
                <w:tab w:val="left" w:pos="4788" w:leader="none"/>
              </w:tabs>
            </w:pPr>
            <w:r/>
            <w:r/>
          </w:p>
        </w:tc>
      </w:tr>
      <w:tr>
        <w:trPr>
          <w:trHeight w:val="281"/>
        </w:trPr>
        <w:tc>
          <w:tcPr>
            <w:tcBorders>
              <w:top w:val="single" w:color="auto" w:sz="4" w:space="0"/>
              <w:left w:val="single" w:color="auto" w:sz="4" w:space="0"/>
              <w:bottom w:val="single" w:color="auto" w:sz="4" w:space="0"/>
              <w:right w:val="single" w:color="auto" w:sz="4" w:space="0"/>
            </w:tcBorders>
            <w:tcW w:w="30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425" w:type="pct"/>
            <w:vAlign w:val="center"/>
            <w:textDirection w:val="lrTb"/>
            <w:noWrap/>
          </w:tcPr>
          <w:p>
            <w:pPr>
              <w:jc w:val="center"/>
              <w:rPr>
                <w:rFonts w:eastAsiaTheme="minorEastAsia"/>
              </w:rPr>
            </w:pPr>
            <w:r>
              <w:rPr>
                <w:rFonts w:eastAsiaTheme="minorEastAsia"/>
              </w:rPr>
              <w:t xml:space="preserve">四</w:t>
            </w:r>
            <w:r/>
          </w:p>
        </w:tc>
        <w:tc>
          <w:tcPr>
            <w:tcBorders>
              <w:top w:val="single" w:color="auto" w:sz="4" w:space="0"/>
              <w:left w:val="single" w:color="auto" w:sz="4" w:space="0"/>
              <w:bottom w:val="single" w:color="auto" w:sz="4" w:space="0"/>
              <w:right w:val="single" w:color="auto" w:sz="4" w:space="0"/>
            </w:tcBorders>
            <w:tcW w:w="1595" w:type="pct"/>
            <w:vAlign w:val="center"/>
            <w:textDirection w:val="lrTb"/>
            <w:noWrap w:val="false"/>
          </w:tcPr>
          <w:p>
            <w:pPr>
              <w:jc w:val="center"/>
            </w:pPr>
            <w:r>
              <w:t xml:space="preserve">闭口闪点测定仪</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widowControl/>
              <w:rPr>
                <w:rFonts w:eastAsiaTheme="minorEastAsia"/>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center"/>
              <w:widowControl/>
              <w:rPr>
                <w:rFonts w:eastAsiaTheme="minorEastAsia"/>
                <w:bCs/>
                <w:szCs w:val="21"/>
              </w:rPr>
            </w:pPr>
            <w:r>
              <w:rPr>
                <w:rFonts w:eastAsiaTheme="minorEastAsia"/>
                <w:bCs/>
                <w:szCs w:val="21"/>
              </w:rPr>
              <w:t xml:space="preserve">8.98</w:t>
            </w:r>
            <w:r/>
          </w:p>
        </w:tc>
        <w:tc>
          <w:tcPr>
            <w:tcBorders>
              <w:top w:val="single" w:color="auto" w:sz="4" w:space="0"/>
              <w:left w:val="single" w:color="auto" w:sz="4" w:space="0"/>
              <w:bottom w:val="single" w:color="auto" w:sz="4" w:space="0"/>
              <w:right w:val="single" w:color="auto" w:sz="4" w:space="0"/>
            </w:tcBorders>
            <w:tcW w:w="502"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ind w:right="-107"/>
              <w:jc w:val="center"/>
              <w:tabs>
                <w:tab w:val="left" w:pos="4788" w:leader="none"/>
              </w:tabs>
            </w:pPr>
            <w:r/>
            <w:r/>
          </w:p>
        </w:tc>
      </w:tr>
      <w:tr>
        <w:trPr>
          <w:trHeight w:val="281"/>
        </w:trPr>
        <w:tc>
          <w:tcPr>
            <w:tcBorders>
              <w:top w:val="single" w:color="auto" w:sz="4" w:space="0"/>
              <w:left w:val="single" w:color="auto" w:sz="4" w:space="0"/>
              <w:bottom w:val="single" w:color="auto" w:sz="4" w:space="0"/>
              <w:right w:val="single" w:color="auto" w:sz="4" w:space="0"/>
            </w:tcBorders>
            <w:tcW w:w="30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425" w:type="pct"/>
            <w:vAlign w:val="center"/>
            <w:textDirection w:val="lrTb"/>
            <w:noWrap/>
          </w:tcPr>
          <w:p>
            <w:pPr>
              <w:jc w:val="center"/>
              <w:rPr>
                <w:rFonts w:eastAsiaTheme="minorEastAsia"/>
              </w:rPr>
            </w:pPr>
            <w:r>
              <w:rPr>
                <w:rFonts w:eastAsiaTheme="minorEastAsia"/>
              </w:rPr>
              <w:t xml:space="preserve">五</w:t>
            </w:r>
            <w:r/>
          </w:p>
        </w:tc>
        <w:tc>
          <w:tcPr>
            <w:tcBorders>
              <w:top w:val="single" w:color="auto" w:sz="4" w:space="0"/>
              <w:left w:val="single" w:color="auto" w:sz="4" w:space="0"/>
              <w:bottom w:val="single" w:color="auto" w:sz="4" w:space="0"/>
              <w:right w:val="single" w:color="auto" w:sz="4" w:space="0"/>
            </w:tcBorders>
            <w:tcW w:w="1595" w:type="pct"/>
            <w:vAlign w:val="center"/>
            <w:textDirection w:val="lrTb"/>
            <w:noWrap w:val="false"/>
          </w:tcPr>
          <w:p>
            <w:pPr>
              <w:jc w:val="center"/>
            </w:pPr>
            <w:r>
              <w:t xml:space="preserve">卡式水份测定仪</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widowControl/>
              <w:rPr>
                <w:rFonts w:eastAsiaTheme="minorEastAsia"/>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center"/>
              <w:widowControl/>
              <w:rPr>
                <w:rFonts w:eastAsiaTheme="minorEastAsia"/>
                <w:bCs/>
                <w:szCs w:val="21"/>
              </w:rPr>
            </w:pPr>
            <w:r>
              <w:rPr>
                <w:rFonts w:eastAsiaTheme="minorEastAsia"/>
                <w:bCs/>
                <w:szCs w:val="21"/>
              </w:rPr>
              <w:t xml:space="preserve">17.88</w:t>
            </w:r>
            <w:r/>
          </w:p>
        </w:tc>
        <w:tc>
          <w:tcPr>
            <w:tcBorders>
              <w:top w:val="single" w:color="auto" w:sz="4" w:space="0"/>
              <w:left w:val="single" w:color="auto" w:sz="4" w:space="0"/>
              <w:bottom w:val="single" w:color="auto" w:sz="4" w:space="0"/>
              <w:right w:val="single" w:color="auto" w:sz="4" w:space="0"/>
            </w:tcBorders>
            <w:tcW w:w="502"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ind w:right="-107"/>
              <w:jc w:val="center"/>
              <w:tabs>
                <w:tab w:val="left" w:pos="4788" w:leader="none"/>
              </w:tabs>
            </w:pPr>
            <w:r/>
            <w:r/>
          </w:p>
        </w:tc>
      </w:tr>
      <w:tr>
        <w:trPr>
          <w:trHeight w:val="281"/>
        </w:trPr>
        <w:tc>
          <w:tcPr>
            <w:tcBorders>
              <w:top w:val="single" w:color="auto" w:sz="4" w:space="0"/>
              <w:left w:val="single" w:color="auto" w:sz="4" w:space="0"/>
              <w:bottom w:val="single" w:color="auto" w:sz="4" w:space="0"/>
              <w:right w:val="single" w:color="auto" w:sz="4" w:space="0"/>
            </w:tcBorders>
            <w:tcW w:w="30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425" w:type="pct"/>
            <w:vAlign w:val="center"/>
            <w:textDirection w:val="lrTb"/>
            <w:noWrap/>
          </w:tcPr>
          <w:p>
            <w:pPr>
              <w:jc w:val="center"/>
              <w:rPr>
                <w:rFonts w:eastAsiaTheme="minorEastAsia"/>
              </w:rPr>
            </w:pPr>
            <w:r>
              <w:rPr>
                <w:rFonts w:eastAsiaTheme="minorEastAsia"/>
              </w:rPr>
              <w:t xml:space="preserve">六</w:t>
            </w:r>
            <w:r/>
          </w:p>
        </w:tc>
        <w:tc>
          <w:tcPr>
            <w:tcBorders>
              <w:top w:val="single" w:color="auto" w:sz="4" w:space="0"/>
              <w:left w:val="single" w:color="auto" w:sz="4" w:space="0"/>
              <w:bottom w:val="single" w:color="auto" w:sz="4" w:space="0"/>
              <w:right w:val="single" w:color="auto" w:sz="4" w:space="0"/>
            </w:tcBorders>
            <w:tcW w:w="1595" w:type="pct"/>
            <w:vAlign w:val="center"/>
            <w:textDirection w:val="lrTb"/>
            <w:noWrap w:val="false"/>
          </w:tcPr>
          <w:p>
            <w:pPr>
              <w:jc w:val="center"/>
            </w:pPr>
            <w:r>
              <w:t xml:space="preserve">蒸馏仪</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widowControl/>
              <w:rPr>
                <w:rFonts w:eastAsiaTheme="minorEastAsia"/>
              </w:rPr>
            </w:pPr>
            <w:r>
              <w:rPr>
                <w:rFonts w:eastAsiaTheme="minorEastAsia"/>
                <w:bCs/>
                <w:szCs w:val="21"/>
              </w:rPr>
              <w:t xml:space="preserve">2</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center"/>
              <w:widowControl/>
              <w:rPr>
                <w:rFonts w:eastAsiaTheme="minorEastAsia"/>
                <w:bCs/>
                <w:szCs w:val="21"/>
              </w:rPr>
            </w:pPr>
            <w:r>
              <w:rPr>
                <w:rFonts w:eastAsiaTheme="minorEastAsia"/>
                <w:bCs/>
                <w:szCs w:val="21"/>
              </w:rPr>
              <w:t xml:space="preserve">22</w:t>
            </w:r>
            <w:r/>
          </w:p>
        </w:tc>
        <w:tc>
          <w:tcPr>
            <w:tcBorders>
              <w:top w:val="single" w:color="auto" w:sz="4" w:space="0"/>
              <w:left w:val="single" w:color="auto" w:sz="4" w:space="0"/>
              <w:bottom w:val="single" w:color="auto" w:sz="4" w:space="0"/>
              <w:right w:val="single" w:color="auto" w:sz="4" w:space="0"/>
            </w:tcBorders>
            <w:tcW w:w="502"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ind w:right="-107"/>
              <w:jc w:val="center"/>
              <w:tabs>
                <w:tab w:val="left" w:pos="4788" w:leader="none"/>
              </w:tabs>
            </w:pPr>
            <w:r/>
            <w:r/>
          </w:p>
        </w:tc>
      </w:tr>
      <w:tr>
        <w:trPr>
          <w:trHeight w:val="281"/>
        </w:trPr>
        <w:tc>
          <w:tcPr>
            <w:tcBorders>
              <w:top w:val="single" w:color="auto" w:sz="4" w:space="0"/>
              <w:left w:val="single" w:color="auto" w:sz="4" w:space="0"/>
              <w:bottom w:val="single" w:color="auto" w:sz="4" w:space="0"/>
              <w:right w:val="single" w:color="auto" w:sz="4" w:space="0"/>
            </w:tcBorders>
            <w:tcW w:w="303" w:type="pct"/>
            <w:vAlign w:val="center"/>
            <w:vMerge w:val="restart"/>
            <w:textDirection w:val="lrTb"/>
            <w:noWrap/>
          </w:tcPr>
          <w:p>
            <w:pPr>
              <w:jc w:val="center"/>
              <w:rPr>
                <w:rFonts w:eastAsiaTheme="minorEastAsia"/>
              </w:rPr>
            </w:pPr>
            <w:r>
              <w:rPr>
                <w:rFonts w:eastAsiaTheme="minorEastAsia"/>
              </w:rPr>
              <w:t xml:space="preserve">03</w:t>
            </w:r>
            <w:r/>
          </w:p>
        </w:tc>
        <w:tc>
          <w:tcPr>
            <w:tcBorders>
              <w:top w:val="single" w:color="auto" w:sz="4" w:space="0"/>
              <w:left w:val="single" w:color="auto" w:sz="4" w:space="0"/>
              <w:bottom w:val="single" w:color="auto" w:sz="4" w:space="0"/>
              <w:right w:val="single" w:color="auto" w:sz="4" w:space="0"/>
            </w:tcBorders>
            <w:tcW w:w="425" w:type="pct"/>
            <w:vAlign w:val="center"/>
            <w:textDirection w:val="lrTb"/>
            <w:noWrap/>
          </w:tcPr>
          <w:p>
            <w:pPr>
              <w:jc w:val="center"/>
              <w:widowControl/>
              <w:rPr>
                <w:rFonts w:eastAsiaTheme="minorEastAsia"/>
              </w:rPr>
            </w:pPr>
            <w:r>
              <w:rPr>
                <w:rFonts w:eastAsiaTheme="minorEastAsia"/>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595" w:type="pct"/>
            <w:vAlign w:val="center"/>
            <w:textDirection w:val="lrTb"/>
            <w:noWrap w:val="false"/>
          </w:tcPr>
          <w:p>
            <w:pPr>
              <w:jc w:val="center"/>
            </w:pPr>
            <w:r>
              <w:t xml:space="preserve">运动粘度测定仪A</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widowControl/>
              <w:rPr>
                <w:rFonts w:eastAsiaTheme="minorEastAsia"/>
              </w:rPr>
            </w:pPr>
            <w:r>
              <w:rPr>
                <w:rFonts w:eastAsiaTheme="minorEastAsia"/>
                <w:bCs/>
                <w:szCs w:val="21"/>
              </w:rPr>
              <w:t xml:space="preserve">2</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center"/>
              <w:widowControl/>
            </w:pPr>
            <w:r>
              <w:rPr>
                <w:rFonts w:eastAsiaTheme="minorEastAsia"/>
                <w:bCs/>
                <w:szCs w:val="21"/>
              </w:rPr>
              <w:t xml:space="preserve">75</w:t>
            </w:r>
            <w:r/>
          </w:p>
        </w:tc>
        <w:tc>
          <w:tcPr>
            <w:tcBorders>
              <w:top w:val="single" w:color="auto" w:sz="4" w:space="0"/>
              <w:left w:val="single" w:color="auto" w:sz="4" w:space="0"/>
              <w:bottom w:val="single" w:color="auto" w:sz="4" w:space="0"/>
              <w:right w:val="single" w:color="auto" w:sz="4" w:space="0"/>
            </w:tcBorders>
            <w:tcW w:w="502"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ind w:right="-107"/>
              <w:jc w:val="center"/>
              <w:tabs>
                <w:tab w:val="left" w:pos="4788" w:leader="none"/>
              </w:tabs>
            </w:pPr>
            <w:r>
              <w:t xml:space="preserve">核心产品</w:t>
            </w:r>
            <w:r/>
          </w:p>
        </w:tc>
      </w:tr>
      <w:tr>
        <w:trPr>
          <w:trHeight w:val="281"/>
        </w:trPr>
        <w:tc>
          <w:tcPr>
            <w:tcBorders>
              <w:top w:val="single" w:color="auto" w:sz="4" w:space="0"/>
              <w:left w:val="single" w:color="auto" w:sz="4" w:space="0"/>
              <w:bottom w:val="single" w:color="auto" w:sz="4" w:space="0"/>
              <w:right w:val="single" w:color="auto" w:sz="4" w:space="0"/>
            </w:tcBorders>
            <w:tcW w:w="303" w:type="pct"/>
            <w:vAlign w:val="center"/>
            <w:vMerge w:val="continue"/>
            <w:textDirection w:val="lrTb"/>
            <w:noWrap/>
          </w:tcPr>
          <w:p>
            <w:pPr>
              <w:jc w:val="center"/>
              <w:rPr>
                <w:rFonts w:eastAsiaTheme="minorEastAsia"/>
              </w:rPr>
            </w:pPr>
            <w:r>
              <w:rPr>
                <w:rFonts w:eastAsiaTheme="minorEastAsia"/>
              </w:rPr>
            </w:r>
            <w:r/>
          </w:p>
        </w:tc>
        <w:tc>
          <w:tcPr>
            <w:tcBorders>
              <w:top w:val="single" w:color="auto" w:sz="4" w:space="0"/>
              <w:left w:val="single" w:color="auto" w:sz="4" w:space="0"/>
              <w:bottom w:val="single" w:color="auto" w:sz="4" w:space="0"/>
              <w:right w:val="single" w:color="auto" w:sz="4" w:space="0"/>
            </w:tcBorders>
            <w:tcW w:w="425" w:type="pct"/>
            <w:vAlign w:val="center"/>
            <w:textDirection w:val="lrTb"/>
            <w:noWrap/>
          </w:tcPr>
          <w:p>
            <w:pPr>
              <w:jc w:val="center"/>
              <w:widowControl/>
              <w:rPr>
                <w:rFonts w:eastAsiaTheme="minorEastAsia"/>
              </w:rPr>
            </w:pPr>
            <w:r>
              <w:rPr>
                <w:rFonts w:eastAsiaTheme="minorEastAsia"/>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595" w:type="pct"/>
            <w:vAlign w:val="center"/>
            <w:textDirection w:val="lrTb"/>
            <w:noWrap w:val="false"/>
          </w:tcPr>
          <w:p>
            <w:pPr>
              <w:jc w:val="center"/>
            </w:pPr>
            <w:r>
              <w:t xml:space="preserve">运动粘度测定仪B</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widowControl/>
              <w:rPr>
                <w:rFonts w:eastAsiaTheme="minorEastAsia"/>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jc w:val="center"/>
              <w:widowControl/>
            </w:pPr>
            <w:r>
              <w:rPr>
                <w:rFonts w:eastAsiaTheme="minorEastAsia"/>
                <w:bCs/>
                <w:szCs w:val="21"/>
              </w:rPr>
              <w:t xml:space="preserve">2.45</w:t>
            </w:r>
            <w:r/>
          </w:p>
        </w:tc>
        <w:tc>
          <w:tcPr>
            <w:tcBorders>
              <w:top w:val="single" w:color="auto" w:sz="4" w:space="0"/>
              <w:left w:val="single" w:color="auto" w:sz="4" w:space="0"/>
              <w:bottom w:val="single" w:color="auto" w:sz="4" w:space="0"/>
              <w:right w:val="single" w:color="auto" w:sz="4" w:space="0"/>
            </w:tcBorders>
            <w:tcW w:w="502"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ind w:right="-107"/>
              <w:jc w:val="center"/>
              <w:tabs>
                <w:tab w:val="left" w:pos="4788" w:leader="none"/>
              </w:tabs>
            </w:pPr>
            <w:r/>
            <w:r/>
          </w:p>
        </w:tc>
      </w:tr>
    </w:tbl>
    <w:p>
      <w:pPr>
        <w:jc w:val="left"/>
        <w:spacing w:line="360" w:lineRule="auto"/>
        <w:widowControl/>
        <w:rPr>
          <w:b/>
          <w:color w:val="000000"/>
          <w:szCs w:val="21"/>
        </w:rPr>
      </w:pPr>
      <w:r>
        <w:rPr>
          <w:b/>
          <w:color w:val="000000"/>
          <w:szCs w:val="21"/>
        </w:rPr>
        <w:t xml:space="preserve">注：1.投标人需按照上述清单分别报价，并合并计入投标总价。</w:t>
      </w:r>
      <w:r/>
    </w:p>
    <w:p>
      <w:pPr>
        <w:ind w:firstLine="422"/>
        <w:jc w:val="left"/>
        <w:spacing w:line="360" w:lineRule="auto"/>
        <w:widowControl/>
        <w:rPr>
          <w:b/>
          <w:color w:val="000000"/>
          <w:szCs w:val="21"/>
        </w:rPr>
      </w:pPr>
      <w:r>
        <w:rPr>
          <w:b/>
          <w:color w:val="000000"/>
          <w:szCs w:val="21"/>
        </w:rPr>
        <w:t xml:space="preserve">2.投标人的投标总价不得超过每个品目所对应的预算金额，否则作无效响应处理。</w:t>
      </w:r>
      <w:r/>
    </w:p>
    <w:p>
      <w:pPr>
        <w:ind w:firstLine="422"/>
        <w:jc w:val="left"/>
        <w:spacing w:line="360" w:lineRule="auto"/>
        <w:widowControl/>
        <w:rPr>
          <w:b/>
          <w:szCs w:val="21"/>
        </w:rPr>
      </w:pPr>
      <w:r>
        <w:rPr>
          <w:b/>
          <w:bCs/>
          <w:szCs w:val="21"/>
        </w:rPr>
        <w:t xml:space="preserve">3.投标人报价为最终报价，如因国家政策调整，增加的税费由投标人自行承担。</w:t>
      </w:r>
      <w:r/>
    </w:p>
    <w:p>
      <w:pPr>
        <w:ind w:firstLine="422"/>
        <w:jc w:val="left"/>
        <w:spacing w:line="360" w:lineRule="auto"/>
        <w:widowControl/>
        <w:rPr>
          <w:b/>
          <w:bCs/>
          <w:color w:val="000000"/>
          <w:szCs w:val="21"/>
          <w:highlight w:val="yellow"/>
        </w:rPr>
      </w:pPr>
      <w:r>
        <w:rPr>
          <w:b/>
          <w:bCs/>
          <w:szCs w:val="21"/>
        </w:rPr>
        <w:t xml:space="preserve">4.招标文件中标注的“</w:t>
      </w:r>
      <w:r>
        <w:rPr>
          <w:rFonts w:ascii="Segoe UI Symbol" w:hAnsi="Segoe UI Symbol" w:cs="Segoe UI Symbol"/>
          <w:b/>
          <w:bCs/>
          <w:szCs w:val="21"/>
        </w:rPr>
        <w:t xml:space="preserve">★</w:t>
      </w:r>
      <w:r>
        <w:rPr>
          <w:b/>
          <w:bCs/>
          <w:szCs w:val="21"/>
        </w:rPr>
        <w:t xml:space="preserve">”条款，若严重不满足，经评委一致认定的作无效投标处理。</w:t>
      </w:r>
      <w:r/>
    </w:p>
    <w:p>
      <w:pPr>
        <w:spacing w:line="360" w:lineRule="auto"/>
        <w:rPr>
          <w:b/>
          <w:color w:val="000000"/>
          <w:szCs w:val="21"/>
        </w:rPr>
      </w:pPr>
      <w:r>
        <w:rPr>
          <w:b/>
          <w:color w:val="000000"/>
          <w:szCs w:val="21"/>
        </w:rPr>
        <w:t xml:space="preserve">二、技术参数：</w:t>
      </w:r>
      <w:r/>
    </w:p>
    <w:p>
      <w:pPr>
        <w:spacing w:line="360" w:lineRule="auto"/>
        <w:rPr>
          <w:b/>
          <w:color w:val="000000"/>
          <w:szCs w:val="21"/>
        </w:rPr>
      </w:pPr>
      <w:r>
        <w:rPr>
          <w:b/>
          <w:color w:val="000000"/>
          <w:szCs w:val="21"/>
        </w:rPr>
        <w:t xml:space="preserve">注：1.本技术要求提出的是最低限度的技术条件。投标人应注意在技术要求中如果出现了参考品牌或规格型号，其目的是为了方便投标人直观和准确地把握相应材料和产品的技术标准，不具指定或唯一的意思表示，投标人应当参考所列品牌的材料和产品，采购相当于或高于所列品牌技术标准的材料和产品。</w:t>
      </w:r>
      <w:r/>
    </w:p>
    <w:p>
      <w:pPr>
        <w:numPr>
          <w:ilvl w:val="0"/>
          <w:numId w:val="4"/>
        </w:numPr>
        <w:jc w:val="center"/>
        <w:spacing w:line="440" w:lineRule="exact"/>
        <w:rPr>
          <w:b/>
          <w:color w:val="000000"/>
          <w:szCs w:val="21"/>
        </w:rPr>
      </w:pPr>
      <w:r>
        <w:rPr>
          <w:b/>
          <w:color w:val="000000"/>
          <w:szCs w:val="21"/>
        </w:rPr>
        <w:t xml:space="preserve">技术参数中提到的证明材料，均需投标人在投标文件中提供复印件并加盖公章，原件备查。</w:t>
      </w:r>
      <w:r/>
    </w:p>
    <w:p>
      <w:pPr>
        <w:spacing w:line="440" w:lineRule="exact"/>
        <w:tabs>
          <w:tab w:val="left" w:pos="312" w:leader="none"/>
        </w:tabs>
        <w:rPr>
          <w:b/>
          <w:color w:val="000000"/>
          <w:szCs w:val="21"/>
        </w:rPr>
      </w:pPr>
      <w:r>
        <w:rPr>
          <w:b/>
          <w:color w:val="000000"/>
          <w:szCs w:val="21"/>
        </w:rPr>
      </w:r>
      <w:r/>
    </w:p>
    <w:p>
      <w:pPr>
        <w:spacing w:line="400" w:lineRule="exact"/>
        <w:rPr>
          <w:b/>
          <w:color w:val="000000"/>
          <w:szCs w:val="21"/>
        </w:rPr>
      </w:pPr>
      <w:r>
        <w:rPr>
          <w:b/>
          <w:color w:val="000000"/>
          <w:szCs w:val="21"/>
        </w:rPr>
        <w:t xml:space="preserve">01包：</w:t>
      </w:r>
      <w:bookmarkEnd w:id="105"/>
      <w:r/>
      <w:bookmarkEnd w:id="106"/>
      <w:r/>
      <w:r/>
    </w:p>
    <w:p>
      <w:pPr>
        <w:jc w:val="center"/>
        <w:spacing w:line="440" w:lineRule="exact"/>
        <w:rPr>
          <w:b/>
          <w:bCs/>
          <w:szCs w:val="21"/>
        </w:rPr>
      </w:pPr>
      <w:r/>
      <w:bookmarkStart w:id="107" w:name="OLE_LINK6"/>
      <w:r/>
      <w:bookmarkStart w:id="108" w:name="OLE_LINK3"/>
      <w:r>
        <w:rPr>
          <w:b/>
          <w:bCs/>
          <w:szCs w:val="21"/>
        </w:rPr>
        <w:t xml:space="preserve">品目一</w:t>
      </w:r>
      <w:bookmarkEnd w:id="107"/>
      <w:r>
        <w:rPr>
          <w:b/>
          <w:bCs/>
          <w:szCs w:val="21"/>
        </w:rPr>
        <w:t xml:space="preserve"> 可见分光光度计</w:t>
      </w:r>
      <w:bookmarkEnd w:id="108"/>
      <w:r/>
      <w:r/>
    </w:p>
    <w:p>
      <w:pPr>
        <w:spacing w:line="440" w:lineRule="exact"/>
        <w:rPr>
          <w:b/>
          <w:szCs w:val="21"/>
        </w:rPr>
      </w:pPr>
      <w:r/>
      <w:bookmarkStart w:id="109" w:name="OLE_LINK4"/>
      <w:r>
        <w:rPr>
          <w:b/>
          <w:szCs w:val="21"/>
        </w:rPr>
        <w:t xml:space="preserve">一、工作条件：</w:t>
      </w:r>
      <w:r/>
    </w:p>
    <w:p>
      <w:pPr>
        <w:numPr>
          <w:ilvl w:val="0"/>
          <w:numId w:val="5"/>
        </w:numPr>
        <w:spacing w:line="440" w:lineRule="exact"/>
        <w:rPr>
          <w:spacing w:val="-2"/>
          <w:szCs w:val="21"/>
        </w:rPr>
      </w:pPr>
      <w:r>
        <w:rPr>
          <w:spacing w:val="-2"/>
          <w:szCs w:val="21"/>
        </w:rPr>
        <w:t xml:space="preserve">电源：电池4节，外置电源110～240VAC，50/60Hz</w:t>
      </w:r>
      <w:r/>
    </w:p>
    <w:p>
      <w:pPr>
        <w:numPr>
          <w:ilvl w:val="0"/>
          <w:numId w:val="5"/>
        </w:numPr>
        <w:spacing w:line="440" w:lineRule="exact"/>
        <w:rPr>
          <w:spacing w:val="-2"/>
          <w:szCs w:val="21"/>
        </w:rPr>
      </w:pPr>
      <w:r>
        <w:rPr>
          <w:spacing w:val="-2"/>
          <w:szCs w:val="21"/>
        </w:rPr>
        <w:t xml:space="preserve">温度：≥10～40℃</w:t>
      </w:r>
      <w:r/>
    </w:p>
    <w:p>
      <w:pPr>
        <w:numPr>
          <w:ilvl w:val="0"/>
          <w:numId w:val="5"/>
        </w:numPr>
        <w:jc w:val="left"/>
        <w:spacing w:line="440" w:lineRule="exact"/>
        <w:rPr>
          <w:spacing w:val="-2"/>
          <w:szCs w:val="21"/>
        </w:rPr>
      </w:pPr>
      <w:r>
        <w:rPr>
          <w:spacing w:val="-2"/>
          <w:szCs w:val="21"/>
        </w:rPr>
        <w:t xml:space="preserve">湿度：最大相对湿度不小于80%（非冷凝）</w:t>
      </w:r>
      <w:r/>
    </w:p>
    <w:p>
      <w:pPr>
        <w:spacing w:line="440" w:lineRule="exact"/>
        <w:rPr>
          <w:b/>
          <w:szCs w:val="21"/>
        </w:rPr>
      </w:pPr>
      <w:r>
        <w:rPr>
          <w:b/>
          <w:szCs w:val="21"/>
        </w:rPr>
        <w:t xml:space="preserve">二、技术性能指标：</w:t>
      </w:r>
      <w:r/>
    </w:p>
    <w:p>
      <w:pPr>
        <w:numPr>
          <w:ilvl w:val="0"/>
          <w:numId w:val="6"/>
        </w:numPr>
        <w:spacing w:line="440" w:lineRule="exact"/>
        <w:rPr>
          <w:spacing w:val="-2"/>
          <w:szCs w:val="21"/>
        </w:rPr>
      </w:pPr>
      <w:r>
        <w:rPr>
          <w:spacing w:val="-2"/>
          <w:szCs w:val="21"/>
        </w:rPr>
        <w:t xml:space="preserve">测量模式：浓度(mg/L等)、吸光度（Abs）、透过率（%）</w:t>
      </w:r>
      <w:r/>
    </w:p>
    <w:p>
      <w:pPr>
        <w:numPr>
          <w:ilvl w:val="0"/>
          <w:numId w:val="6"/>
        </w:numPr>
        <w:spacing w:line="440" w:lineRule="exact"/>
        <w:rPr>
          <w:spacing w:val="-2"/>
          <w:szCs w:val="21"/>
        </w:rPr>
      </w:pPr>
      <w:r>
        <w:rPr>
          <w:spacing w:val="-2"/>
          <w:szCs w:val="21"/>
        </w:rPr>
        <w:t xml:space="preserve">预置曲线：≥250条；</w:t>
      </w:r>
      <w:r/>
    </w:p>
    <w:p>
      <w:pPr>
        <w:numPr>
          <w:ilvl w:val="0"/>
          <w:numId w:val="6"/>
        </w:numPr>
        <w:spacing w:line="440" w:lineRule="exact"/>
        <w:rPr>
          <w:spacing w:val="-2"/>
          <w:szCs w:val="21"/>
        </w:rPr>
      </w:pPr>
      <w:r>
        <w:rPr>
          <w:spacing w:val="-2"/>
          <w:szCs w:val="21"/>
        </w:rPr>
        <w:t xml:space="preserve">用户自建曲线：不少于20条；</w:t>
      </w:r>
      <w:r/>
    </w:p>
    <w:p>
      <w:pPr>
        <w:numPr>
          <w:ilvl w:val="0"/>
          <w:numId w:val="6"/>
        </w:numPr>
        <w:jc w:val="left"/>
        <w:spacing w:line="440" w:lineRule="exact"/>
        <w:rPr>
          <w:spacing w:val="-2"/>
          <w:szCs w:val="21"/>
        </w:rPr>
      </w:pPr>
      <w:r>
        <w:rPr>
          <w:spacing w:val="-2"/>
          <w:szCs w:val="21"/>
        </w:rPr>
        <w:t xml:space="preserve">波长范围：340～800nm</w:t>
      </w:r>
      <w:r/>
    </w:p>
    <w:p>
      <w:pPr>
        <w:numPr>
          <w:ilvl w:val="0"/>
          <w:numId w:val="6"/>
        </w:numPr>
        <w:spacing w:line="440" w:lineRule="exact"/>
        <w:rPr>
          <w:spacing w:val="-2"/>
          <w:szCs w:val="21"/>
        </w:rPr>
      </w:pPr>
      <w:r>
        <w:rPr>
          <w:spacing w:val="-2"/>
          <w:szCs w:val="21"/>
        </w:rPr>
        <w:t xml:space="preserve">波长选择：自动；</w:t>
      </w:r>
      <w:r/>
    </w:p>
    <w:p>
      <w:pPr>
        <w:numPr>
          <w:ilvl w:val="0"/>
          <w:numId w:val="6"/>
        </w:numPr>
        <w:spacing w:line="440" w:lineRule="exact"/>
        <w:rPr>
          <w:spacing w:val="-2"/>
          <w:szCs w:val="21"/>
        </w:rPr>
      </w:pPr>
      <w:r>
        <w:rPr>
          <w:spacing w:val="-2"/>
          <w:szCs w:val="21"/>
        </w:rPr>
        <w:t xml:space="preserve">波长准确性：±2nm；</w:t>
      </w:r>
      <w:r/>
    </w:p>
    <w:p>
      <w:pPr>
        <w:numPr>
          <w:ilvl w:val="0"/>
          <w:numId w:val="6"/>
        </w:numPr>
        <w:spacing w:line="440" w:lineRule="exact"/>
        <w:rPr>
          <w:spacing w:val="-2"/>
          <w:szCs w:val="21"/>
        </w:rPr>
      </w:pPr>
      <w:r>
        <w:rPr>
          <w:spacing w:val="-2"/>
          <w:szCs w:val="21"/>
        </w:rPr>
        <w:t xml:space="preserve">波长重复性：±0.1nm；</w:t>
      </w:r>
      <w:r/>
    </w:p>
    <w:p>
      <w:pPr>
        <w:numPr>
          <w:ilvl w:val="0"/>
          <w:numId w:val="6"/>
        </w:numPr>
        <w:spacing w:line="440" w:lineRule="exact"/>
        <w:rPr>
          <w:spacing w:val="-2"/>
          <w:szCs w:val="21"/>
        </w:rPr>
      </w:pPr>
      <w:r>
        <w:rPr>
          <w:spacing w:val="-2"/>
          <w:szCs w:val="21"/>
        </w:rPr>
        <w:t xml:space="preserve">光谱带宽：5nm；</w:t>
      </w:r>
      <w:r/>
    </w:p>
    <w:p>
      <w:pPr>
        <w:numPr>
          <w:ilvl w:val="0"/>
          <w:numId w:val="6"/>
        </w:numPr>
        <w:spacing w:line="440" w:lineRule="exact"/>
        <w:rPr>
          <w:spacing w:val="-2"/>
          <w:szCs w:val="21"/>
        </w:rPr>
      </w:pPr>
      <w:r>
        <w:rPr>
          <w:spacing w:val="-2"/>
          <w:szCs w:val="21"/>
        </w:rPr>
        <w:t xml:space="preserve">光度计测量范围：0～3.0Abs</w:t>
      </w:r>
      <w:r/>
    </w:p>
    <w:p>
      <w:pPr>
        <w:numPr>
          <w:ilvl w:val="0"/>
          <w:numId w:val="6"/>
        </w:numPr>
        <w:spacing w:line="440" w:lineRule="exact"/>
        <w:rPr>
          <w:spacing w:val="-2"/>
          <w:szCs w:val="21"/>
        </w:rPr>
      </w:pPr>
      <w:r>
        <w:rPr>
          <w:spacing w:val="-2"/>
          <w:szCs w:val="21"/>
        </w:rPr>
        <w:t xml:space="preserve">光度计准确度：±0.003Abs@0.0～0.5Abs</w:t>
      </w:r>
      <w:r/>
    </w:p>
    <w:p>
      <w:pPr>
        <w:numPr>
          <w:ilvl w:val="0"/>
          <w:numId w:val="6"/>
        </w:numPr>
        <w:spacing w:line="440" w:lineRule="exact"/>
        <w:rPr>
          <w:spacing w:val="-2"/>
          <w:szCs w:val="21"/>
        </w:rPr>
      </w:pPr>
      <w:r>
        <w:rPr>
          <w:spacing w:val="-2"/>
          <w:szCs w:val="21"/>
        </w:rPr>
        <w:t xml:space="preserve">光度计线性：＜0.5%（0.5～2.0Abs）</w:t>
      </w:r>
      <w:r/>
    </w:p>
    <w:p>
      <w:pPr>
        <w:numPr>
          <w:ilvl w:val="0"/>
          <w:numId w:val="6"/>
        </w:numPr>
        <w:spacing w:line="440" w:lineRule="exact"/>
        <w:rPr>
          <w:spacing w:val="-2"/>
          <w:szCs w:val="21"/>
        </w:rPr>
      </w:pPr>
      <w:r>
        <w:rPr>
          <w:spacing w:val="-2"/>
          <w:szCs w:val="21"/>
        </w:rPr>
        <w:t xml:space="preserve">杂散光：＜0.1T%@340nm，NaNO</w:t>
      </w:r>
      <w:r>
        <w:rPr>
          <w:spacing w:val="-2"/>
          <w:szCs w:val="21"/>
          <w:vertAlign w:val="subscript"/>
        </w:rPr>
        <w:t xml:space="preserve">2</w:t>
      </w:r>
      <w:r/>
    </w:p>
    <w:p>
      <w:pPr>
        <w:numPr>
          <w:ilvl w:val="0"/>
          <w:numId w:val="6"/>
        </w:numPr>
        <w:spacing w:line="440" w:lineRule="exact"/>
        <w:rPr>
          <w:spacing w:val="-2"/>
          <w:szCs w:val="21"/>
        </w:rPr>
      </w:pPr>
      <w:r>
        <w:rPr>
          <w:spacing w:val="-2"/>
          <w:szCs w:val="21"/>
        </w:rPr>
        <w:t xml:space="preserve">数据储存量：不少于500条；</w:t>
      </w:r>
      <w:r/>
    </w:p>
    <w:p>
      <w:pPr>
        <w:numPr>
          <w:ilvl w:val="0"/>
          <w:numId w:val="6"/>
        </w:numPr>
        <w:jc w:val="left"/>
        <w:spacing w:line="440" w:lineRule="exact"/>
        <w:rPr>
          <w:spacing w:val="-2"/>
          <w:szCs w:val="21"/>
        </w:rPr>
      </w:pPr>
      <w:r>
        <w:rPr>
          <w:spacing w:val="-2"/>
          <w:szCs w:val="21"/>
        </w:rPr>
        <w:t xml:space="preserve">显示：LCD，带背光；</w:t>
      </w:r>
      <w:r/>
    </w:p>
    <w:p>
      <w:pPr>
        <w:numPr>
          <w:ilvl w:val="0"/>
          <w:numId w:val="6"/>
        </w:numPr>
        <w:jc w:val="left"/>
        <w:spacing w:line="440" w:lineRule="exact"/>
        <w:rPr>
          <w:spacing w:val="-2"/>
          <w:szCs w:val="21"/>
        </w:rPr>
      </w:pPr>
      <w:r>
        <w:rPr>
          <w:spacing w:val="-2"/>
          <w:szCs w:val="21"/>
        </w:rPr>
        <w:t xml:space="preserve">数据线接口：USB接口；</w:t>
      </w:r>
      <w:r/>
    </w:p>
    <w:p>
      <w:pPr>
        <w:numPr>
          <w:ilvl w:val="0"/>
          <w:numId w:val="6"/>
        </w:numPr>
        <w:jc w:val="left"/>
        <w:spacing w:line="440" w:lineRule="exact"/>
        <w:rPr>
          <w:spacing w:val="-2"/>
          <w:szCs w:val="21"/>
        </w:rPr>
      </w:pPr>
      <w:r>
        <w:rPr>
          <w:spacing w:val="-2"/>
          <w:szCs w:val="21"/>
        </w:rPr>
        <w:t xml:space="preserve">操作语言：多国语言，含中文；</w:t>
      </w:r>
      <w:r/>
    </w:p>
    <w:p>
      <w:pPr>
        <w:spacing w:line="440" w:lineRule="exact"/>
        <w:rPr>
          <w:b/>
          <w:szCs w:val="21"/>
        </w:rPr>
      </w:pPr>
      <w:r>
        <w:rPr>
          <w:b/>
          <w:szCs w:val="21"/>
        </w:rPr>
        <w:t xml:space="preserve">三、配置要求</w:t>
      </w:r>
      <w:r/>
    </w:p>
    <w:p>
      <w:pPr>
        <w:numPr>
          <w:ilvl w:val="0"/>
          <w:numId w:val="7"/>
        </w:numPr>
        <w:jc w:val="left"/>
        <w:spacing w:line="440" w:lineRule="exact"/>
        <w:rPr>
          <w:spacing w:val="-2"/>
          <w:szCs w:val="21"/>
        </w:rPr>
      </w:pPr>
      <w:r>
        <w:rPr>
          <w:spacing w:val="-2"/>
          <w:szCs w:val="21"/>
        </w:rPr>
        <w:t xml:space="preserve">仪器主机</w:t>
      </w:r>
      <w:r/>
    </w:p>
    <w:p>
      <w:pPr>
        <w:numPr>
          <w:ilvl w:val="0"/>
          <w:numId w:val="7"/>
        </w:numPr>
        <w:jc w:val="left"/>
        <w:spacing w:line="440" w:lineRule="exact"/>
        <w:rPr>
          <w:spacing w:val="-2"/>
          <w:szCs w:val="21"/>
        </w:rPr>
      </w:pPr>
      <w:r>
        <w:rPr>
          <w:spacing w:val="-2"/>
          <w:szCs w:val="21"/>
        </w:rPr>
        <w:t xml:space="preserve">电池×4</w:t>
      </w:r>
      <w:r/>
    </w:p>
    <w:p>
      <w:pPr>
        <w:numPr>
          <w:ilvl w:val="0"/>
          <w:numId w:val="7"/>
        </w:numPr>
        <w:jc w:val="left"/>
        <w:spacing w:line="440" w:lineRule="exact"/>
        <w:rPr>
          <w:spacing w:val="-2"/>
          <w:szCs w:val="21"/>
        </w:rPr>
      </w:pPr>
      <w:r>
        <w:rPr>
          <w:spacing w:val="-2"/>
          <w:szCs w:val="21"/>
        </w:rPr>
        <w:t xml:space="preserve">比色皿适配器，4个</w:t>
      </w:r>
      <w:r/>
    </w:p>
    <w:p>
      <w:pPr>
        <w:numPr>
          <w:ilvl w:val="0"/>
          <w:numId w:val="7"/>
        </w:numPr>
        <w:jc w:val="left"/>
        <w:spacing w:line="440" w:lineRule="exact"/>
        <w:rPr>
          <w:spacing w:val="-2"/>
          <w:szCs w:val="21"/>
        </w:rPr>
      </w:pPr>
      <w:r>
        <w:rPr>
          <w:spacing w:val="-2"/>
          <w:szCs w:val="21"/>
        </w:rPr>
        <w:t xml:space="preserve">1英寸比色池（10mL，2只）</w:t>
      </w:r>
      <w:r/>
    </w:p>
    <w:p>
      <w:pPr>
        <w:numPr>
          <w:ilvl w:val="0"/>
          <w:numId w:val="7"/>
        </w:numPr>
        <w:jc w:val="left"/>
        <w:spacing w:line="440" w:lineRule="exact"/>
        <w:rPr>
          <w:spacing w:val="-2"/>
          <w:szCs w:val="21"/>
        </w:rPr>
      </w:pPr>
      <w:r>
        <w:rPr>
          <w:spacing w:val="-2"/>
          <w:szCs w:val="21"/>
        </w:rPr>
        <w:t xml:space="preserve">基础用户手册</w:t>
      </w:r>
      <w:r/>
    </w:p>
    <w:p>
      <w:pPr>
        <w:jc w:val="center"/>
        <w:spacing w:line="440" w:lineRule="exact"/>
        <w:rPr>
          <w:b/>
          <w:bCs/>
          <w:szCs w:val="21"/>
        </w:rPr>
      </w:pPr>
      <w:r>
        <w:rPr>
          <w:b/>
          <w:bCs/>
          <w:szCs w:val="21"/>
        </w:rPr>
      </w:r>
      <w:r/>
    </w:p>
    <w:p>
      <w:pPr>
        <w:jc w:val="center"/>
        <w:spacing w:line="440" w:lineRule="exact"/>
        <w:rPr>
          <w:b/>
          <w:bCs/>
          <w:szCs w:val="21"/>
        </w:rPr>
      </w:pPr>
      <w:r>
        <w:rPr>
          <w:b/>
          <w:bCs/>
          <w:szCs w:val="21"/>
        </w:rPr>
        <w:t xml:space="preserve">品目二 碳硫分析仪</w:t>
      </w:r>
      <w:r/>
    </w:p>
    <w:p>
      <w:pPr>
        <w:spacing w:line="440" w:lineRule="exact"/>
        <w:rPr>
          <w:b/>
          <w:szCs w:val="21"/>
        </w:rPr>
      </w:pPr>
      <w:r>
        <w:rPr>
          <w:b/>
          <w:szCs w:val="21"/>
        </w:rPr>
        <w:t xml:space="preserve">一、技术指标：</w:t>
      </w:r>
      <w:r/>
    </w:p>
    <w:p>
      <w:pPr>
        <w:numPr>
          <w:ilvl w:val="0"/>
          <w:numId w:val="8"/>
        </w:numPr>
        <w:jc w:val="left"/>
        <w:spacing w:line="440" w:lineRule="exact"/>
        <w:rPr>
          <w:szCs w:val="21"/>
        </w:rPr>
      </w:pPr>
      <w:r>
        <w:rPr>
          <w:szCs w:val="21"/>
        </w:rPr>
        <w:t xml:space="preserve">测量范围：碳ω(C)0.00001%～99.999%，硫ω(S)0.00001%～99.999%</w:t>
      </w:r>
      <w:r/>
    </w:p>
    <w:p>
      <w:pPr>
        <w:numPr>
          <w:ilvl w:val="0"/>
          <w:numId w:val="8"/>
        </w:numPr>
        <w:jc w:val="left"/>
        <w:spacing w:line="440" w:lineRule="exact"/>
        <w:rPr>
          <w:szCs w:val="21"/>
        </w:rPr>
      </w:pPr>
      <w:r>
        <w:rPr>
          <w:szCs w:val="21"/>
        </w:rPr>
        <w:t xml:space="preserve">读数精度（灵敏度）：0.00001%（0.1PPM）</w:t>
      </w:r>
      <w:r/>
    </w:p>
    <w:p>
      <w:pPr>
        <w:numPr>
          <w:ilvl w:val="0"/>
          <w:numId w:val="8"/>
        </w:numPr>
        <w:jc w:val="left"/>
        <w:spacing w:line="440" w:lineRule="exact"/>
        <w:rPr>
          <w:szCs w:val="21"/>
        </w:rPr>
      </w:pPr>
      <w:r>
        <w:rPr>
          <w:szCs w:val="21"/>
        </w:rPr>
        <w:t xml:space="preserve">测量误差：符合GB/T20123-2006标准</w:t>
      </w:r>
      <w:r/>
    </w:p>
    <w:p>
      <w:pPr>
        <w:numPr>
          <w:ilvl w:val="0"/>
          <w:numId w:val="8"/>
        </w:numPr>
        <w:jc w:val="left"/>
        <w:spacing w:line="440" w:lineRule="exact"/>
        <w:rPr>
          <w:szCs w:val="21"/>
        </w:rPr>
      </w:pPr>
      <w:r>
        <w:rPr>
          <w:szCs w:val="21"/>
        </w:rPr>
        <w:t xml:space="preserve">稳定性（分析精度）：C：1PPM或RSD≤0.5%，S：1PPM或RSD≤1.5%</w:t>
      </w:r>
      <w:r/>
    </w:p>
    <w:p>
      <w:pPr>
        <w:numPr>
          <w:ilvl w:val="0"/>
          <w:numId w:val="8"/>
        </w:numPr>
        <w:jc w:val="left"/>
        <w:spacing w:line="440" w:lineRule="exact"/>
        <w:rPr>
          <w:szCs w:val="21"/>
        </w:rPr>
      </w:pPr>
      <w:r>
        <w:rPr>
          <w:szCs w:val="21"/>
        </w:rPr>
        <w:t xml:space="preserve">分析时间：25～60s可调</w:t>
      </w:r>
      <w:r/>
    </w:p>
    <w:p>
      <w:pPr>
        <w:numPr>
          <w:ilvl w:val="0"/>
          <w:numId w:val="8"/>
        </w:numPr>
        <w:jc w:val="left"/>
        <w:spacing w:line="440" w:lineRule="exact"/>
        <w:rPr>
          <w:szCs w:val="21"/>
        </w:rPr>
      </w:pPr>
      <w:r>
        <w:rPr>
          <w:szCs w:val="21"/>
        </w:rPr>
        <w:t xml:space="preserve">测量池：测碳一池体，测硫一池体</w:t>
      </w:r>
      <w:r/>
    </w:p>
    <w:p>
      <w:pPr>
        <w:numPr>
          <w:ilvl w:val="0"/>
          <w:numId w:val="8"/>
        </w:numPr>
        <w:jc w:val="left"/>
        <w:spacing w:line="440" w:lineRule="exact"/>
        <w:rPr>
          <w:szCs w:val="21"/>
        </w:rPr>
      </w:pPr>
      <w:r>
        <w:rPr>
          <w:szCs w:val="21"/>
        </w:rPr>
        <w:t xml:space="preserve">高频炉：振荡频率：20MHz，输出功率：大于2.5KVA</w:t>
      </w:r>
      <w:r/>
    </w:p>
    <w:p>
      <w:pPr>
        <w:numPr>
          <w:ilvl w:val="0"/>
          <w:numId w:val="8"/>
        </w:numPr>
        <w:jc w:val="left"/>
        <w:spacing w:line="440" w:lineRule="exact"/>
        <w:rPr>
          <w:szCs w:val="21"/>
        </w:rPr>
      </w:pPr>
      <w:r>
        <w:rPr>
          <w:szCs w:val="21"/>
        </w:rPr>
        <w:t xml:space="preserve">电子天平：称量范围：≥0～100g，读数精度：0.0001g，自动联机输入</w:t>
      </w:r>
      <w:r/>
    </w:p>
    <w:p>
      <w:pPr>
        <w:numPr>
          <w:ilvl w:val="0"/>
          <w:numId w:val="8"/>
        </w:numPr>
        <w:jc w:val="left"/>
        <w:spacing w:line="440" w:lineRule="exact"/>
        <w:rPr>
          <w:szCs w:val="21"/>
        </w:rPr>
      </w:pPr>
      <w:r>
        <w:rPr>
          <w:szCs w:val="21"/>
        </w:rPr>
        <w:t xml:space="preserve">工作环境：室内温度：10℃～30℃，相对湿度：小于75%</w:t>
      </w:r>
      <w:r/>
    </w:p>
    <w:p>
      <w:pPr>
        <w:numPr>
          <w:ilvl w:val="0"/>
          <w:numId w:val="8"/>
        </w:numPr>
        <w:jc w:val="left"/>
        <w:spacing w:line="440" w:lineRule="exact"/>
        <w:rPr>
          <w:szCs w:val="21"/>
        </w:rPr>
      </w:pPr>
      <w:r>
        <w:rPr>
          <w:szCs w:val="21"/>
        </w:rPr>
        <w:t xml:space="preserve">电源：AC220V±5%   50Hz±2%</w:t>
      </w:r>
      <w:r/>
    </w:p>
    <w:p>
      <w:pPr>
        <w:spacing w:line="440" w:lineRule="exact"/>
        <w:rPr>
          <w:szCs w:val="21"/>
        </w:rPr>
      </w:pPr>
      <w:r>
        <w:rPr>
          <w:b/>
          <w:szCs w:val="21"/>
        </w:rPr>
        <w:t xml:space="preserve">二、红外检测系统：</w:t>
      </w:r>
      <w:r/>
    </w:p>
    <w:p>
      <w:pPr>
        <w:numPr>
          <w:ilvl w:val="0"/>
          <w:numId w:val="9"/>
        </w:numPr>
        <w:jc w:val="left"/>
        <w:spacing w:line="440" w:lineRule="exact"/>
        <w:rPr>
          <w:szCs w:val="21"/>
        </w:rPr>
      </w:pPr>
      <w:r>
        <w:rPr>
          <w:szCs w:val="21"/>
        </w:rPr>
        <w:t xml:space="preserve">光源：红外检测光源采用铂金红外线光源。</w:t>
      </w:r>
      <w:r/>
    </w:p>
    <w:p>
      <w:pPr>
        <w:numPr>
          <w:ilvl w:val="0"/>
          <w:numId w:val="9"/>
        </w:numPr>
        <w:jc w:val="left"/>
        <w:spacing w:line="440" w:lineRule="exact"/>
        <w:rPr>
          <w:szCs w:val="21"/>
        </w:rPr>
      </w:pPr>
      <w:r>
        <w:rPr>
          <w:szCs w:val="21"/>
        </w:rPr>
        <w:t xml:space="preserve">调制电机：调制系统采用单片机控制的高精度同步电机，热稳定性好。</w:t>
      </w:r>
      <w:r/>
    </w:p>
    <w:p>
      <w:pPr>
        <w:numPr>
          <w:ilvl w:val="0"/>
          <w:numId w:val="9"/>
        </w:numPr>
        <w:jc w:val="left"/>
        <w:spacing w:line="440" w:lineRule="exact"/>
        <w:rPr>
          <w:szCs w:val="21"/>
        </w:rPr>
      </w:pPr>
      <w:r>
        <w:rPr>
          <w:szCs w:val="21"/>
        </w:rPr>
        <w:t xml:space="preserve">分析池：镀金碳硫分析池及高精度热释电红外探测器。</w:t>
      </w:r>
      <w:r/>
    </w:p>
    <w:p>
      <w:pPr>
        <w:numPr>
          <w:ilvl w:val="0"/>
          <w:numId w:val="9"/>
        </w:numPr>
        <w:jc w:val="left"/>
        <w:spacing w:line="440" w:lineRule="exact"/>
        <w:rPr>
          <w:szCs w:val="21"/>
        </w:rPr>
      </w:pPr>
      <w:r>
        <w:rPr>
          <w:szCs w:val="21"/>
        </w:rPr>
        <w:t xml:space="preserve">窄带滤光片：高效窄带红外滤光片，特征波长透射率高，带宽小，中心波长定位精度高。</w:t>
      </w:r>
      <w:r/>
    </w:p>
    <w:p>
      <w:pPr>
        <w:numPr>
          <w:ilvl w:val="0"/>
          <w:numId w:val="9"/>
        </w:numPr>
        <w:jc w:val="left"/>
        <w:spacing w:line="440" w:lineRule="exact"/>
        <w:rPr>
          <w:szCs w:val="21"/>
        </w:rPr>
      </w:pPr>
      <w:r>
        <w:rPr>
          <w:szCs w:val="21"/>
        </w:rPr>
        <w:t xml:space="preserve">串口光电隔离抗干扰能力强。</w:t>
      </w:r>
      <w:r/>
    </w:p>
    <w:p>
      <w:pPr>
        <w:jc w:val="left"/>
        <w:spacing w:line="440" w:lineRule="exact"/>
        <w:rPr>
          <w:b/>
          <w:szCs w:val="21"/>
        </w:rPr>
      </w:pPr>
      <w:r>
        <w:rPr>
          <w:b/>
          <w:szCs w:val="21"/>
        </w:rPr>
        <w:t xml:space="preserve">三、软件系统：</w:t>
      </w:r>
      <w:r/>
    </w:p>
    <w:p>
      <w:pPr>
        <w:numPr>
          <w:ilvl w:val="0"/>
          <w:numId w:val="10"/>
        </w:numPr>
        <w:jc w:val="left"/>
        <w:spacing w:line="440" w:lineRule="exact"/>
        <w:rPr>
          <w:szCs w:val="21"/>
        </w:rPr>
      </w:pPr>
      <w:r>
        <w:rPr>
          <w:szCs w:val="21"/>
        </w:rPr>
        <w:t xml:space="preserve">具有通道选择、数据统计、结果校正、释放曲线显示比较、系统监测、系统诊断等多种功能，动态显示各项实时数据和释放曲线。</w:t>
      </w:r>
      <w:r/>
    </w:p>
    <w:p>
      <w:pPr>
        <w:numPr>
          <w:ilvl w:val="0"/>
          <w:numId w:val="10"/>
        </w:numPr>
        <w:jc w:val="left"/>
        <w:spacing w:line="440" w:lineRule="exact"/>
        <w:rPr>
          <w:szCs w:val="21"/>
        </w:rPr>
      </w:pPr>
      <w:r>
        <w:rPr>
          <w:szCs w:val="21"/>
        </w:rPr>
        <w:t xml:space="preserve">计算机采用无需ISA插槽且无需拆机安装接口板设计，不受机型约束</w:t>
      </w:r>
      <w:r/>
    </w:p>
    <w:p>
      <w:pPr>
        <w:numPr>
          <w:ilvl w:val="0"/>
          <w:numId w:val="10"/>
        </w:numPr>
        <w:jc w:val="left"/>
        <w:spacing w:line="440" w:lineRule="exact"/>
        <w:rPr>
          <w:szCs w:val="21"/>
        </w:rPr>
      </w:pPr>
      <w:r>
        <w:rPr>
          <w:szCs w:val="21"/>
        </w:rPr>
        <w:t xml:space="preserve">数据统计及处理：可对存储的数据进行多模式查询，如按日期、样品编号、操作者、材料种类等查询；</w:t>
      </w:r>
      <w:r/>
    </w:p>
    <w:p>
      <w:pPr>
        <w:numPr>
          <w:ilvl w:val="0"/>
          <w:numId w:val="10"/>
        </w:numPr>
        <w:jc w:val="left"/>
        <w:spacing w:line="440" w:lineRule="exact"/>
        <w:rPr>
          <w:szCs w:val="21"/>
        </w:rPr>
      </w:pPr>
      <w:r>
        <w:rPr>
          <w:szCs w:val="21"/>
        </w:rPr>
        <w:t xml:space="preserve">对不同种类样品可以分别建立相应的校准方法及参数，并存储到数据库，分析方法数量不受限制。</w:t>
      </w:r>
      <w:r/>
    </w:p>
    <w:p>
      <w:pPr>
        <w:numPr>
          <w:ilvl w:val="0"/>
          <w:numId w:val="10"/>
        </w:numPr>
        <w:jc w:val="left"/>
        <w:spacing w:line="440" w:lineRule="exact"/>
        <w:rPr>
          <w:szCs w:val="21"/>
        </w:rPr>
      </w:pPr>
      <w:r>
        <w:rPr>
          <w:szCs w:val="21"/>
        </w:rPr>
        <w:t xml:space="preserve">可同数据中心或炉前报数系统实现连接。</w:t>
      </w:r>
      <w:r/>
    </w:p>
    <w:p>
      <w:pPr>
        <w:jc w:val="left"/>
        <w:spacing w:line="440" w:lineRule="exact"/>
        <w:rPr>
          <w:b/>
          <w:bCs/>
          <w:szCs w:val="21"/>
        </w:rPr>
      </w:pPr>
      <w:r>
        <w:rPr>
          <w:b/>
          <w:bCs/>
          <w:szCs w:val="21"/>
        </w:rPr>
        <w:t xml:space="preserve">四、高频燃烧系统</w:t>
      </w:r>
      <w:r/>
    </w:p>
    <w:p>
      <w:pPr>
        <w:numPr>
          <w:ilvl w:val="0"/>
          <w:numId w:val="11"/>
        </w:numPr>
        <w:jc w:val="left"/>
        <w:spacing w:line="440" w:lineRule="exact"/>
        <w:rPr>
          <w:szCs w:val="21"/>
        </w:rPr>
      </w:pPr>
      <w:r>
        <w:rPr>
          <w:szCs w:val="21"/>
        </w:rPr>
        <w:t xml:space="preserve">高频功率管：功率管选用6.5KVA以上大功率管，电压4000～5000V，可不加样品空烧。</w:t>
      </w:r>
      <w:r/>
    </w:p>
    <w:p>
      <w:pPr>
        <w:numPr>
          <w:ilvl w:val="0"/>
          <w:numId w:val="11"/>
        </w:numPr>
        <w:jc w:val="left"/>
        <w:spacing w:line="440" w:lineRule="exact"/>
        <w:rPr>
          <w:szCs w:val="21"/>
        </w:rPr>
      </w:pPr>
      <w:r>
        <w:rPr>
          <w:szCs w:val="21"/>
        </w:rPr>
        <w:t xml:space="preserve">高频控制电路：自动检测电磁阀、升降气缸及高频工作状况，自动过时、过流报警，保护高频炉在正常状态下工作。</w:t>
      </w:r>
      <w:r/>
    </w:p>
    <w:p>
      <w:pPr>
        <w:numPr>
          <w:ilvl w:val="0"/>
          <w:numId w:val="11"/>
        </w:numPr>
        <w:jc w:val="left"/>
        <w:spacing w:line="440" w:lineRule="exact"/>
        <w:rPr>
          <w:szCs w:val="21"/>
        </w:rPr>
      </w:pPr>
      <w:r>
        <w:rPr>
          <w:szCs w:val="21"/>
        </w:rPr>
        <w:t xml:space="preserve">除尘系统：分析过程自动吸尘排灰，直通式排灰。</w:t>
      </w:r>
      <w:r/>
    </w:p>
    <w:p>
      <w:pPr>
        <w:numPr>
          <w:ilvl w:val="0"/>
          <w:numId w:val="11"/>
        </w:numPr>
        <w:jc w:val="left"/>
        <w:spacing w:line="440" w:lineRule="exact"/>
        <w:rPr>
          <w:szCs w:val="21"/>
        </w:rPr>
      </w:pPr>
      <w:r>
        <w:rPr>
          <w:szCs w:val="21"/>
        </w:rPr>
        <w:t xml:space="preserve">炉头自动清扫：卡扣式炉头，拆卸方便，双钢刷气压式自动清扫。</w:t>
      </w:r>
      <w:r/>
    </w:p>
    <w:p>
      <w:pPr>
        <w:numPr>
          <w:ilvl w:val="0"/>
          <w:numId w:val="11"/>
        </w:numPr>
        <w:jc w:val="left"/>
        <w:spacing w:line="440" w:lineRule="exact"/>
        <w:rPr>
          <w:szCs w:val="21"/>
        </w:rPr>
      </w:pPr>
      <w:r>
        <w:rPr>
          <w:szCs w:val="21"/>
        </w:rPr>
        <w:t xml:space="preserve">炉头循环风自动加热。</w:t>
      </w:r>
      <w:bookmarkEnd w:id="109"/>
      <w:r/>
      <w:r/>
    </w:p>
    <w:p>
      <w:pPr>
        <w:pStyle w:val="1398"/>
        <w:numPr>
          <w:ilvl w:val="0"/>
          <w:numId w:val="12"/>
        </w:numPr>
        <w:jc w:val="both"/>
        <w:keepNext w:val="0"/>
        <w:rPr>
          <w:rFonts w:ascii="Times New Roman"/>
          <w:b/>
          <w:bCs/>
          <w:sz w:val="21"/>
          <w:szCs w:val="21"/>
        </w:rPr>
      </w:pPr>
      <w:r/>
      <w:bookmarkStart w:id="110" w:name="OLE_LINK5"/>
      <w:r>
        <w:rPr>
          <w:rFonts w:ascii="Times New Roman"/>
          <w:b/>
          <w:bCs/>
          <w:sz w:val="21"/>
          <w:szCs w:val="21"/>
        </w:rPr>
        <w:t xml:space="preserve">配置清单</w:t>
      </w:r>
      <w:r/>
    </w:p>
    <w:p>
      <w:pPr>
        <w:numPr>
          <w:ilvl w:val="0"/>
          <w:numId w:val="13"/>
        </w:numPr>
        <w:jc w:val="left"/>
        <w:spacing w:line="440" w:lineRule="exact"/>
        <w:rPr>
          <w:szCs w:val="21"/>
        </w:rPr>
      </w:pPr>
      <w:r>
        <w:rPr>
          <w:szCs w:val="21"/>
        </w:rPr>
        <w:t xml:space="preserve">红外碳硫分析仪 1台</w:t>
      </w:r>
      <w:r/>
    </w:p>
    <w:p>
      <w:pPr>
        <w:numPr>
          <w:ilvl w:val="0"/>
          <w:numId w:val="13"/>
        </w:numPr>
        <w:jc w:val="left"/>
        <w:spacing w:line="440" w:lineRule="exact"/>
        <w:rPr>
          <w:szCs w:val="21"/>
        </w:rPr>
      </w:pPr>
      <w:r>
        <w:rPr>
          <w:szCs w:val="21"/>
        </w:rPr>
        <w:t xml:space="preserve">高频感应燃烧炉 1台</w:t>
      </w:r>
      <w:r/>
    </w:p>
    <w:p>
      <w:pPr>
        <w:numPr>
          <w:ilvl w:val="0"/>
          <w:numId w:val="13"/>
        </w:numPr>
        <w:jc w:val="left"/>
        <w:spacing w:line="440" w:lineRule="exact"/>
        <w:rPr>
          <w:szCs w:val="21"/>
        </w:rPr>
      </w:pPr>
      <w:r>
        <w:rPr>
          <w:szCs w:val="21"/>
        </w:rPr>
        <w:t xml:space="preserve">电子天平</w:t>
      </w:r>
      <w:r>
        <w:rPr>
          <w:szCs w:val="21"/>
        </w:rPr>
        <w:tab/>
      </w:r>
      <w:r>
        <w:rPr>
          <w:szCs w:val="21"/>
        </w:rPr>
        <w:t xml:space="preserve"> 1台</w:t>
      </w:r>
      <w:r/>
    </w:p>
    <w:p>
      <w:pPr>
        <w:numPr>
          <w:ilvl w:val="0"/>
          <w:numId w:val="13"/>
        </w:numPr>
        <w:jc w:val="left"/>
        <w:spacing w:line="440" w:lineRule="exact"/>
        <w:rPr>
          <w:szCs w:val="21"/>
        </w:rPr>
      </w:pPr>
      <w:r>
        <w:rPr>
          <w:szCs w:val="21"/>
        </w:rPr>
        <w:t xml:space="preserve">喷墨打印机 1台</w:t>
      </w:r>
      <w:r/>
    </w:p>
    <w:p>
      <w:pPr>
        <w:numPr>
          <w:ilvl w:val="0"/>
          <w:numId w:val="13"/>
        </w:numPr>
        <w:jc w:val="left"/>
        <w:spacing w:line="440" w:lineRule="exact"/>
        <w:rPr>
          <w:szCs w:val="21"/>
        </w:rPr>
      </w:pPr>
      <w:r>
        <w:rPr>
          <w:szCs w:val="21"/>
        </w:rPr>
        <w:t xml:space="preserve">电脑工作站（1T/4G） 1台</w:t>
      </w:r>
      <w:r/>
    </w:p>
    <w:p>
      <w:pPr>
        <w:numPr>
          <w:ilvl w:val="0"/>
          <w:numId w:val="13"/>
        </w:numPr>
        <w:jc w:val="left"/>
        <w:spacing w:line="440" w:lineRule="exact"/>
        <w:rPr>
          <w:szCs w:val="21"/>
        </w:rPr>
      </w:pPr>
      <w:r>
        <w:rPr>
          <w:szCs w:val="21"/>
        </w:rPr>
        <w:t xml:space="preserve">过滤器 1台</w:t>
      </w:r>
      <w:r/>
    </w:p>
    <w:p>
      <w:pPr>
        <w:numPr>
          <w:ilvl w:val="0"/>
          <w:numId w:val="13"/>
        </w:numPr>
        <w:jc w:val="left"/>
        <w:spacing w:line="440" w:lineRule="exact"/>
        <w:rPr>
          <w:szCs w:val="21"/>
        </w:rPr>
      </w:pPr>
      <w:r>
        <w:rPr>
          <w:szCs w:val="21"/>
        </w:rPr>
        <w:t xml:space="preserve">坩埚桶 1台</w:t>
      </w:r>
      <w:r/>
    </w:p>
    <w:p>
      <w:pPr>
        <w:numPr>
          <w:ilvl w:val="0"/>
          <w:numId w:val="13"/>
        </w:numPr>
        <w:jc w:val="left"/>
        <w:spacing w:line="440" w:lineRule="exact"/>
        <w:rPr>
          <w:szCs w:val="21"/>
        </w:rPr>
      </w:pPr>
      <w:r>
        <w:rPr>
          <w:szCs w:val="21"/>
        </w:rPr>
        <w:t xml:space="preserve">多用插座 1只</w:t>
      </w:r>
      <w:r/>
    </w:p>
    <w:p>
      <w:pPr>
        <w:numPr>
          <w:ilvl w:val="0"/>
          <w:numId w:val="13"/>
        </w:numPr>
        <w:jc w:val="left"/>
        <w:spacing w:line="440" w:lineRule="exact"/>
        <w:rPr>
          <w:szCs w:val="21"/>
        </w:rPr>
      </w:pPr>
      <w:r>
        <w:rPr>
          <w:szCs w:val="21"/>
        </w:rPr>
        <w:t xml:space="preserve">减压阀 1台</w:t>
      </w:r>
      <w:r/>
    </w:p>
    <w:p>
      <w:pPr>
        <w:numPr>
          <w:ilvl w:val="0"/>
          <w:numId w:val="13"/>
        </w:numPr>
        <w:jc w:val="left"/>
        <w:spacing w:line="440" w:lineRule="exact"/>
        <w:rPr>
          <w:szCs w:val="21"/>
        </w:rPr>
      </w:pPr>
      <w:r>
        <w:rPr>
          <w:szCs w:val="21"/>
        </w:rPr>
        <w:t xml:space="preserve">软件U盘 1个</w:t>
      </w:r>
      <w:r/>
    </w:p>
    <w:p>
      <w:pPr>
        <w:numPr>
          <w:ilvl w:val="0"/>
          <w:numId w:val="13"/>
        </w:numPr>
        <w:jc w:val="left"/>
        <w:spacing w:line="440" w:lineRule="exact"/>
        <w:rPr>
          <w:szCs w:val="21"/>
        </w:rPr>
      </w:pPr>
      <w:r>
        <w:rPr>
          <w:szCs w:val="21"/>
        </w:rPr>
        <w:t xml:space="preserve">钨粒1000g装30瓶；</w:t>
      </w:r>
      <w:r/>
    </w:p>
    <w:p>
      <w:pPr>
        <w:numPr>
          <w:ilvl w:val="0"/>
          <w:numId w:val="13"/>
        </w:numPr>
        <w:jc w:val="left"/>
        <w:spacing w:line="440" w:lineRule="exact"/>
        <w:rPr>
          <w:szCs w:val="21"/>
        </w:rPr>
      </w:pPr>
      <w:r>
        <w:rPr>
          <w:szCs w:val="21"/>
        </w:rPr>
        <w:t xml:space="preserve">瓷坩埚1000只/箱，10箱；</w:t>
      </w:r>
      <w:r/>
    </w:p>
    <w:p>
      <w:pPr>
        <w:numPr>
          <w:ilvl w:val="0"/>
          <w:numId w:val="13"/>
        </w:numPr>
        <w:jc w:val="left"/>
        <w:spacing w:line="440" w:lineRule="exact"/>
        <w:rPr>
          <w:szCs w:val="21"/>
        </w:rPr>
      </w:pPr>
      <w:r>
        <w:rPr>
          <w:szCs w:val="21"/>
        </w:rPr>
        <w:t xml:space="preserve">石英燃烧管10支；</w:t>
      </w:r>
      <w:r/>
    </w:p>
    <w:p>
      <w:pPr>
        <w:numPr>
          <w:ilvl w:val="0"/>
          <w:numId w:val="13"/>
        </w:numPr>
        <w:jc w:val="left"/>
        <w:spacing w:line="440" w:lineRule="exact"/>
        <w:rPr>
          <w:szCs w:val="21"/>
        </w:rPr>
      </w:pPr>
      <w:r>
        <w:rPr>
          <w:szCs w:val="21"/>
        </w:rPr>
        <w:t xml:space="preserve">石英坩埚托5只；</w:t>
      </w:r>
      <w:r/>
    </w:p>
    <w:p>
      <w:pPr>
        <w:jc w:val="center"/>
        <w:spacing w:line="440" w:lineRule="exact"/>
        <w:rPr>
          <w:b/>
          <w:bCs/>
          <w:szCs w:val="21"/>
        </w:rPr>
      </w:pPr>
      <w:r>
        <w:rPr>
          <w:b/>
          <w:bCs/>
          <w:szCs w:val="21"/>
        </w:rPr>
      </w:r>
      <w:r/>
    </w:p>
    <w:p>
      <w:pPr>
        <w:jc w:val="center"/>
        <w:spacing w:line="440" w:lineRule="exact"/>
        <w:rPr>
          <w:b/>
          <w:bCs/>
          <w:szCs w:val="21"/>
        </w:rPr>
      </w:pPr>
      <w:r>
        <w:rPr>
          <w:b/>
          <w:bCs/>
          <w:szCs w:val="21"/>
        </w:rPr>
        <w:t xml:space="preserve">品目三 微波消解器</w:t>
      </w:r>
      <w:bookmarkEnd w:id="110"/>
      <w:r/>
      <w:r/>
    </w:p>
    <w:p>
      <w:pPr>
        <w:spacing w:line="440" w:lineRule="exact"/>
        <w:rPr>
          <w:b/>
          <w:bCs/>
          <w:szCs w:val="21"/>
        </w:rPr>
      </w:pPr>
      <w:r/>
      <w:bookmarkStart w:id="111" w:name="OLE_LINK1"/>
      <w:r>
        <w:rPr>
          <w:b/>
          <w:bCs/>
          <w:szCs w:val="21"/>
        </w:rPr>
        <w:t xml:space="preserve">一、技术指标</w:t>
      </w:r>
      <w:r/>
    </w:p>
    <w:p>
      <w:pPr>
        <w:ind w:firstLine="210"/>
        <w:spacing w:line="440" w:lineRule="exact"/>
        <w:rPr>
          <w:szCs w:val="21"/>
        </w:rPr>
      </w:pPr>
      <w:r>
        <w:rPr>
          <w:szCs w:val="21"/>
        </w:rPr>
        <w:t xml:space="preserve">1、主机</w:t>
      </w:r>
      <w:r/>
    </w:p>
    <w:p>
      <w:pPr>
        <w:ind w:firstLine="420"/>
        <w:spacing w:line="440" w:lineRule="exact"/>
        <w:rPr>
          <w:szCs w:val="21"/>
        </w:rPr>
      </w:pPr>
      <w:r>
        <w:rPr>
          <w:szCs w:val="21"/>
        </w:rPr>
        <w:t xml:space="preserve">1.1腔体采用不锈钢制造的工业级微波谐振腔，体积≥62L，炉腔提供至少5年质保；腔体内置双磁控管非脉冲变频控制系统，微波最大输出功率≥2000W，额定微波输出功率偏差值≤5%。</w:t>
      </w:r>
      <w:r/>
    </w:p>
    <w:p>
      <w:pPr>
        <w:ind w:firstLine="210"/>
        <w:spacing w:line="440" w:lineRule="exact"/>
        <w:rPr>
          <w:szCs w:val="21"/>
        </w:rPr>
      </w:pPr>
      <w:r>
        <w:rPr>
          <w:rFonts w:ascii="Segoe UI Symbol" w:hAnsi="Segoe UI Symbol" w:cs="Segoe UI Symbol"/>
          <w:szCs w:val="21"/>
        </w:rPr>
        <w:t xml:space="preserve">★</w:t>
      </w:r>
      <w:r>
        <w:rPr>
          <w:szCs w:val="21"/>
        </w:rPr>
        <w:t xml:space="preserve">1.2安全门三维定向防爆机制设计，配备防爆可视窗，具有抗流槽结构，提供高强度防爆能力的同时防止腔内微波泄露；仪器具备机械和电子双重门锁功能，非低于安全温度无法打开炉门，安全温度可设置，以保证使用安全；同时具备感应自动开门功能，非工作状态下无需按压门锁或屏幕即可感应开门。</w:t>
      </w:r>
      <w:r/>
    </w:p>
    <w:p>
      <w:pPr>
        <w:ind w:firstLine="420"/>
        <w:spacing w:line="440" w:lineRule="exact"/>
        <w:rPr>
          <w:szCs w:val="21"/>
        </w:rPr>
      </w:pPr>
      <w:r>
        <w:rPr>
          <w:szCs w:val="21"/>
        </w:rPr>
        <w:t xml:space="preserve">1.3炉门开启方式：侧开。</w:t>
      </w:r>
      <w:r/>
    </w:p>
    <w:p>
      <w:pPr>
        <w:ind w:firstLine="210"/>
        <w:spacing w:line="440" w:lineRule="exact"/>
        <w:rPr>
          <w:szCs w:val="21"/>
        </w:rPr>
      </w:pPr>
      <w:r>
        <w:rPr>
          <w:rFonts w:ascii="Segoe UI Symbol" w:hAnsi="Segoe UI Symbol" w:cs="Segoe UI Symbol"/>
          <w:szCs w:val="21"/>
        </w:rPr>
        <w:t xml:space="preserve">★</w:t>
      </w:r>
      <w:r>
        <w:rPr>
          <w:szCs w:val="21"/>
        </w:rPr>
        <w:t xml:space="preserve">1.4视频影像监控系统：炉腔内置摄像头，主机配备不小于7寸彩色触摸屏及7寸彩色视频监控屏，可实时显示实验参数及温压变化曲线，同时清晰观察炉腔内部工作影像。（需提供彩色双屏及视频监控系统影像图片）</w:t>
      </w:r>
      <w:r/>
    </w:p>
    <w:p>
      <w:pPr>
        <w:ind w:firstLine="420"/>
        <w:spacing w:line="440" w:lineRule="exact"/>
        <w:rPr>
          <w:szCs w:val="21"/>
        </w:rPr>
      </w:pPr>
      <w:r>
        <w:rPr>
          <w:szCs w:val="21"/>
        </w:rPr>
        <w:t xml:space="preserve">1.5灯光识别系统：具有≥4种颜色变化功能，可远距离通过可视窗观察灯光变化，掌握机器运行状态。</w:t>
      </w:r>
      <w:r/>
    </w:p>
    <w:p>
      <w:pPr>
        <w:ind w:firstLine="420"/>
        <w:spacing w:line="440" w:lineRule="exact"/>
        <w:rPr>
          <w:szCs w:val="21"/>
        </w:rPr>
      </w:pPr>
      <w:r>
        <w:rPr>
          <w:szCs w:val="21"/>
        </w:rPr>
        <w:t xml:space="preserve">1.6炉腔配备大功率排风系统，风量可根据实验进程自动调整，各种反应可在通风、安全且易于观察的环境下长时间连续进行，采用腔内强制风冷/腔外自然风冷等冷却方式。</w:t>
      </w:r>
      <w:r/>
    </w:p>
    <w:p>
      <w:pPr>
        <w:ind w:firstLine="420"/>
        <w:spacing w:line="440" w:lineRule="exact"/>
        <w:rPr>
          <w:szCs w:val="21"/>
        </w:rPr>
      </w:pPr>
      <w:r>
        <w:rPr>
          <w:szCs w:val="21"/>
        </w:rPr>
        <w:t xml:space="preserve">1.7配备溶剂监控系统，能够实时监测腔内溶剂泄漏情况。</w:t>
      </w:r>
      <w:r/>
    </w:p>
    <w:p>
      <w:pPr>
        <w:ind w:firstLine="210"/>
        <w:spacing w:line="440" w:lineRule="exact"/>
        <w:rPr>
          <w:szCs w:val="21"/>
        </w:rPr>
      </w:pPr>
      <w:r>
        <w:rPr>
          <w:szCs w:val="21"/>
        </w:rPr>
        <w:t xml:space="preserve">2、温度检测系统</w:t>
      </w:r>
      <w:r/>
    </w:p>
    <w:p>
      <w:pPr>
        <w:ind w:firstLine="420"/>
        <w:spacing w:line="440" w:lineRule="exact"/>
        <w:rPr>
          <w:szCs w:val="21"/>
        </w:rPr>
      </w:pPr>
      <w:r>
        <w:rPr>
          <w:szCs w:val="21"/>
        </w:rPr>
        <w:t xml:space="preserve">2.1采用非接触式中红外全罐测温技术，直接测量每个消解罐内样品溶液的温度，可对全部消解罐底部而非侧面进行温度扫描，测温范围不小于60-400℃，检测精度±0.1℃。</w:t>
      </w:r>
      <w:r/>
    </w:p>
    <w:p>
      <w:pPr>
        <w:ind w:firstLine="210"/>
        <w:spacing w:line="440" w:lineRule="exact"/>
        <w:rPr>
          <w:szCs w:val="21"/>
        </w:rPr>
      </w:pPr>
      <w:r>
        <w:rPr>
          <w:rFonts w:ascii="Segoe UI Symbol" w:hAnsi="Segoe UI Symbol" w:cs="Segoe UI Symbol"/>
          <w:szCs w:val="21"/>
        </w:rPr>
        <w:t xml:space="preserve">★</w:t>
      </w:r>
      <w:r>
        <w:rPr>
          <w:szCs w:val="21"/>
        </w:rPr>
        <w:t xml:space="preserve">2.2配备光纤测温系统，低温段测温准确，测温范围不小于-40℃～305℃，检测精度：±0.1℃。（需提供同时配置以上两种测温方式的仪器实物图及软件截图证明等证明材料）</w:t>
      </w:r>
      <w:r/>
    </w:p>
    <w:p>
      <w:pPr>
        <w:ind w:firstLine="210"/>
        <w:spacing w:line="440" w:lineRule="exact"/>
        <w:rPr>
          <w:szCs w:val="21"/>
        </w:rPr>
      </w:pPr>
      <w:r>
        <w:rPr>
          <w:szCs w:val="21"/>
        </w:rPr>
        <w:t xml:space="preserve">3、压力监控系统</w:t>
      </w:r>
      <w:r/>
    </w:p>
    <w:p>
      <w:pPr>
        <w:ind w:firstLine="420"/>
        <w:spacing w:line="440" w:lineRule="exact"/>
        <w:rPr>
          <w:szCs w:val="21"/>
        </w:rPr>
      </w:pPr>
      <w:r>
        <w:rPr>
          <w:szCs w:val="21"/>
        </w:rPr>
        <w:t xml:space="preserve">3.1主控罐测压：采用高精度压力传感器，可实时显示压力数值，传感器测压范围不小于0-15MPa，检测精度±0.01MPa或1PSI。</w:t>
      </w:r>
      <w:r/>
    </w:p>
    <w:p>
      <w:pPr>
        <w:ind w:firstLine="420"/>
        <w:spacing w:line="440" w:lineRule="exact"/>
        <w:rPr>
          <w:szCs w:val="21"/>
        </w:rPr>
      </w:pPr>
      <w:r>
        <w:rPr>
          <w:szCs w:val="21"/>
        </w:rPr>
        <w:t xml:space="preserve">3.2全罐压力监控：实时监控每个消解罐内压力，超压自动泄压，限压值可调。</w:t>
      </w:r>
      <w:r/>
    </w:p>
    <w:p>
      <w:pPr>
        <w:ind w:firstLine="210"/>
        <w:spacing w:line="440" w:lineRule="exact"/>
        <w:rPr>
          <w:szCs w:val="21"/>
        </w:rPr>
      </w:pPr>
      <w:r>
        <w:rPr>
          <w:szCs w:val="21"/>
        </w:rPr>
        <w:t xml:space="preserve">4、配备COT实时异常监控系统，能够在任意消解罐出现异常时，自动报警并切断微波从而确保仪器安全运行。</w:t>
      </w:r>
      <w:r/>
    </w:p>
    <w:p>
      <w:pPr>
        <w:ind w:firstLine="210"/>
        <w:spacing w:line="440" w:lineRule="exact"/>
        <w:rPr>
          <w:szCs w:val="21"/>
        </w:rPr>
      </w:pPr>
      <w:r>
        <w:rPr>
          <w:szCs w:val="21"/>
        </w:rPr>
        <w:t xml:space="preserve">5、消解转子系统</w:t>
      </w:r>
      <w:r/>
    </w:p>
    <w:p>
      <w:pPr>
        <w:ind w:firstLine="210"/>
        <w:spacing w:line="440" w:lineRule="exact"/>
        <w:rPr>
          <w:szCs w:val="21"/>
        </w:rPr>
      </w:pPr>
      <w:r>
        <w:rPr>
          <w:rFonts w:ascii="Segoe UI Symbol" w:hAnsi="Segoe UI Symbol" w:cs="Segoe UI Symbol"/>
          <w:szCs w:val="21"/>
        </w:rPr>
        <w:t xml:space="preserve">★</w:t>
      </w:r>
      <w:r>
        <w:rPr>
          <w:szCs w:val="21"/>
        </w:rPr>
        <w:t xml:space="preserve">5.1外罐：采用复合纤维材质，耐压≥20Mpa。外罐整体喷涂特氟龙涂层，耐腐蚀、支持水洗易于清洁。</w:t>
      </w:r>
      <w:r/>
    </w:p>
    <w:p>
      <w:pPr>
        <w:ind w:firstLine="420"/>
        <w:spacing w:line="440" w:lineRule="exact"/>
        <w:rPr>
          <w:szCs w:val="21"/>
        </w:rPr>
      </w:pPr>
      <w:r>
        <w:rPr>
          <w:szCs w:val="21"/>
        </w:rPr>
        <w:t xml:space="preserve">5.2内罐：容积≥110mL，可适配一次性萃取组件。带有识别编码无需手写；内罐、罐盖等应采用TFM材质，不得含有任何金属材质的零部件、可泡酸清洗，以保证实验的准确性和重复性。</w:t>
      </w:r>
      <w:r/>
    </w:p>
    <w:p>
      <w:pPr>
        <w:ind w:firstLine="420"/>
        <w:spacing w:line="440" w:lineRule="exact"/>
        <w:rPr>
          <w:szCs w:val="21"/>
        </w:rPr>
      </w:pPr>
      <w:r>
        <w:rPr>
          <w:szCs w:val="21"/>
        </w:rPr>
        <w:t xml:space="preserve">5.3批次处理量≥24位，转子应为上下双层高强度联体结构设计，以保证运行过程安全；消解转子可整体转移，使用方便。</w:t>
      </w:r>
      <w:r/>
    </w:p>
    <w:p>
      <w:pPr>
        <w:ind w:firstLine="210"/>
        <w:spacing w:line="440" w:lineRule="exact"/>
        <w:rPr>
          <w:strike/>
          <w:szCs w:val="21"/>
        </w:rPr>
      </w:pPr>
      <w:r>
        <w:rPr>
          <w:rFonts w:ascii="Segoe UI Symbol" w:hAnsi="Segoe UI Symbol" w:cs="Segoe UI Symbol"/>
          <w:szCs w:val="21"/>
        </w:rPr>
        <w:t xml:space="preserve">★</w:t>
      </w:r>
      <w:r>
        <w:rPr>
          <w:szCs w:val="21"/>
        </w:rPr>
        <w:t xml:space="preserve">5.4仪器最高工作温度≥250℃，最高工作压力≥4MPa。</w:t>
      </w:r>
      <w:r/>
    </w:p>
    <w:p>
      <w:pPr>
        <w:ind w:firstLine="210"/>
        <w:spacing w:line="440" w:lineRule="exact"/>
        <w:rPr>
          <w:szCs w:val="21"/>
        </w:rPr>
      </w:pPr>
      <w:r>
        <w:rPr>
          <w:szCs w:val="21"/>
        </w:rPr>
        <w:t xml:space="preserve">6、软件系统</w:t>
      </w:r>
      <w:r/>
    </w:p>
    <w:p>
      <w:pPr>
        <w:ind w:firstLine="420"/>
        <w:spacing w:line="440" w:lineRule="exact"/>
        <w:rPr>
          <w:szCs w:val="21"/>
        </w:rPr>
      </w:pPr>
      <w:r>
        <w:rPr>
          <w:szCs w:val="21"/>
        </w:rPr>
        <w:t xml:space="preserve">6.1内置应用方法库和视频培训教程，仪器可自动识别转子类型，自动判断消解罐位置并计数消解罐数量。</w:t>
      </w:r>
      <w:r/>
    </w:p>
    <w:p>
      <w:pPr>
        <w:ind w:firstLine="420"/>
        <w:spacing w:line="440" w:lineRule="exact"/>
        <w:rPr>
          <w:szCs w:val="21"/>
        </w:rPr>
      </w:pPr>
      <w:r>
        <w:rPr>
          <w:szCs w:val="21"/>
        </w:rPr>
        <w:t xml:space="preserve">6.2配备≥7寸彩色触摸屏，可实时显示温度、步骤、时间、功率等实验状态，可显示全罐温度柱状图，并查看任意消解罐升温曲线。</w:t>
      </w:r>
      <w:r/>
    </w:p>
    <w:p>
      <w:pPr>
        <w:ind w:firstLine="420"/>
        <w:spacing w:line="440" w:lineRule="exact"/>
        <w:rPr>
          <w:szCs w:val="21"/>
        </w:rPr>
      </w:pPr>
      <w:r>
        <w:rPr>
          <w:szCs w:val="21"/>
        </w:rPr>
        <w:t xml:space="preserve">6.3可置顶最近用过的实验方法≥5个，可选择标准控制、功率控制、爬坡控制等不同升温模式，仪器内置温度、压力及微波功率校准程序，用户可自行对仪器做定期维护校准。</w:t>
      </w:r>
      <w:r/>
    </w:p>
    <w:p>
      <w:pPr>
        <w:ind w:firstLine="420"/>
        <w:spacing w:line="440" w:lineRule="exact"/>
        <w:rPr>
          <w:szCs w:val="21"/>
        </w:rPr>
      </w:pPr>
      <w:r>
        <w:rPr>
          <w:szCs w:val="21"/>
        </w:rPr>
        <w:t xml:space="preserve">6.4操作系统可实现用户权限分级管理、密码登录、日志追溯等功能。</w:t>
      </w:r>
      <w:r/>
    </w:p>
    <w:p>
      <w:pPr>
        <w:ind w:firstLine="420"/>
        <w:spacing w:line="440" w:lineRule="exact"/>
        <w:rPr>
          <w:szCs w:val="21"/>
        </w:rPr>
      </w:pPr>
      <w:r>
        <w:rPr>
          <w:szCs w:val="21"/>
        </w:rPr>
        <w:t xml:space="preserve">6.5可通过电脑工作站控制仪器，实时查看实验运行情况。</w:t>
      </w:r>
      <w:r/>
    </w:p>
    <w:p>
      <w:pPr>
        <w:spacing w:line="440" w:lineRule="exact"/>
        <w:rPr>
          <w:szCs w:val="21"/>
        </w:rPr>
      </w:pPr>
      <w:r>
        <w:rPr>
          <w:rFonts w:ascii="Segoe UI Symbol" w:hAnsi="Segoe UI Symbol" w:cs="Segoe UI Symbol"/>
          <w:szCs w:val="21"/>
        </w:rPr>
        <w:t xml:space="preserve">★</w:t>
      </w:r>
      <w:r>
        <w:rPr>
          <w:szCs w:val="21"/>
        </w:rPr>
        <w:t xml:space="preserve">7、配备专用工具，用于升降、转移消解转子，转子的转运、装载和取出均无需手工操作；配备电动拧罐工具，消解罐可快速组装，并可有效保证每个消解罐固定扭矩一致。</w:t>
      </w:r>
      <w:r/>
    </w:p>
    <w:p>
      <w:pPr>
        <w:ind w:firstLine="210"/>
        <w:spacing w:line="440" w:lineRule="exact"/>
        <w:rPr>
          <w:szCs w:val="21"/>
        </w:rPr>
      </w:pPr>
      <w:r>
        <w:rPr>
          <w:szCs w:val="21"/>
        </w:rPr>
        <w:t xml:space="preserve">8、标配赶酸仪位数不低于配套罐体位数，赶酸仪器孔深≥10cm。</w:t>
      </w:r>
      <w:r/>
    </w:p>
    <w:p>
      <w:pPr>
        <w:spacing w:line="440" w:lineRule="exact"/>
        <w:rPr>
          <w:b/>
          <w:bCs/>
          <w:szCs w:val="21"/>
        </w:rPr>
      </w:pPr>
      <w:r>
        <w:rPr>
          <w:b/>
          <w:bCs/>
          <w:szCs w:val="21"/>
        </w:rPr>
        <w:t xml:space="preserve">二、配置要求</w:t>
      </w:r>
      <w:r/>
    </w:p>
    <w:p>
      <w:pPr>
        <w:numPr>
          <w:ilvl w:val="0"/>
          <w:numId w:val="14"/>
        </w:numPr>
        <w:spacing w:line="440" w:lineRule="exact"/>
        <w:rPr>
          <w:szCs w:val="21"/>
        </w:rPr>
      </w:pPr>
      <w:r>
        <w:rPr>
          <w:szCs w:val="21"/>
        </w:rPr>
        <w:t xml:space="preserve">微波消解仪主机（含软件操作系统和排风系统）1台；</w:t>
      </w:r>
      <w:r/>
    </w:p>
    <w:p>
      <w:pPr>
        <w:numPr>
          <w:ilvl w:val="0"/>
          <w:numId w:val="14"/>
        </w:numPr>
        <w:spacing w:line="440" w:lineRule="exact"/>
        <w:rPr>
          <w:szCs w:val="21"/>
        </w:rPr>
      </w:pPr>
      <w:r>
        <w:rPr>
          <w:szCs w:val="21"/>
        </w:rPr>
        <w:t xml:space="preserve">非接触式中红外温度传感器2套；</w:t>
      </w:r>
      <w:r/>
    </w:p>
    <w:p>
      <w:pPr>
        <w:numPr>
          <w:ilvl w:val="0"/>
          <w:numId w:val="14"/>
        </w:numPr>
        <w:spacing w:line="440" w:lineRule="exact"/>
        <w:rPr>
          <w:szCs w:val="21"/>
        </w:rPr>
      </w:pPr>
      <w:r>
        <w:rPr>
          <w:szCs w:val="21"/>
        </w:rPr>
        <w:t xml:space="preserve">光纤测温系统1套；</w:t>
      </w:r>
      <w:r/>
    </w:p>
    <w:p>
      <w:pPr>
        <w:numPr>
          <w:ilvl w:val="0"/>
          <w:numId w:val="14"/>
        </w:numPr>
        <w:spacing w:line="440" w:lineRule="exact"/>
        <w:rPr>
          <w:szCs w:val="21"/>
        </w:rPr>
      </w:pPr>
      <w:r>
        <w:rPr>
          <w:szCs w:val="21"/>
        </w:rPr>
        <w:t xml:space="preserve">实时异常监控系统1套；</w:t>
      </w:r>
      <w:r/>
    </w:p>
    <w:p>
      <w:pPr>
        <w:numPr>
          <w:ilvl w:val="0"/>
          <w:numId w:val="14"/>
        </w:numPr>
        <w:spacing w:line="440" w:lineRule="exact"/>
        <w:rPr>
          <w:szCs w:val="21"/>
        </w:rPr>
      </w:pPr>
      <w:r>
        <w:rPr>
          <w:szCs w:val="21"/>
        </w:rPr>
        <w:t xml:space="preserve">高精度压力监控系统1套；</w:t>
      </w:r>
      <w:r/>
    </w:p>
    <w:p>
      <w:pPr>
        <w:numPr>
          <w:ilvl w:val="0"/>
          <w:numId w:val="14"/>
        </w:numPr>
        <w:spacing w:line="440" w:lineRule="exact"/>
        <w:rPr>
          <w:szCs w:val="21"/>
        </w:rPr>
      </w:pPr>
      <w:r>
        <w:rPr>
          <w:szCs w:val="21"/>
        </w:rPr>
        <w:t xml:space="preserve">全罐压力监控系统1套；</w:t>
      </w:r>
      <w:r/>
    </w:p>
    <w:p>
      <w:pPr>
        <w:numPr>
          <w:ilvl w:val="0"/>
          <w:numId w:val="14"/>
        </w:numPr>
        <w:spacing w:line="440" w:lineRule="exact"/>
        <w:rPr>
          <w:szCs w:val="21"/>
        </w:rPr>
      </w:pPr>
      <w:r>
        <w:rPr>
          <w:szCs w:val="21"/>
        </w:rPr>
        <w:t xml:space="preserve">视频影像监控系统1套；</w:t>
      </w:r>
      <w:r/>
    </w:p>
    <w:p>
      <w:pPr>
        <w:numPr>
          <w:ilvl w:val="0"/>
          <w:numId w:val="14"/>
        </w:numPr>
        <w:spacing w:line="440" w:lineRule="exact"/>
        <w:rPr>
          <w:szCs w:val="21"/>
        </w:rPr>
      </w:pPr>
      <w:r>
        <w:rPr>
          <w:szCs w:val="21"/>
        </w:rPr>
        <w:t xml:space="preserve">电脑工作站软件及加密狗1套；</w:t>
      </w:r>
      <w:r/>
    </w:p>
    <w:p>
      <w:pPr>
        <w:numPr>
          <w:ilvl w:val="0"/>
          <w:numId w:val="14"/>
        </w:numPr>
        <w:spacing w:line="440" w:lineRule="exact"/>
        <w:rPr>
          <w:szCs w:val="21"/>
        </w:rPr>
      </w:pPr>
      <w:r>
        <w:rPr>
          <w:szCs w:val="21"/>
        </w:rPr>
        <w:t xml:space="preserve">消解转子系统1套：包含外罐、内罐、罐盖；</w:t>
      </w:r>
      <w:r/>
    </w:p>
    <w:p>
      <w:pPr>
        <w:numPr>
          <w:ilvl w:val="0"/>
          <w:numId w:val="14"/>
        </w:numPr>
        <w:spacing w:line="440" w:lineRule="exact"/>
        <w:rPr>
          <w:szCs w:val="21"/>
        </w:rPr>
      </w:pPr>
      <w:r>
        <w:rPr>
          <w:szCs w:val="21"/>
        </w:rPr>
        <w:t xml:space="preserve">辅助工具：消解转子平移升降工具车1台，电动拧罐工具，专用工具包1套，内罐杯架2套；</w:t>
      </w:r>
      <w:r/>
    </w:p>
    <w:p>
      <w:pPr>
        <w:numPr>
          <w:ilvl w:val="0"/>
          <w:numId w:val="14"/>
        </w:numPr>
        <w:spacing w:line="440" w:lineRule="exact"/>
        <w:rPr>
          <w:szCs w:val="21"/>
        </w:rPr>
      </w:pPr>
      <w:r>
        <w:rPr>
          <w:szCs w:val="21"/>
        </w:rPr>
        <w:t xml:space="preserve">深孔电加热消解赶酸仪（≥24位）1套。</w:t>
      </w:r>
      <w:r/>
    </w:p>
    <w:p>
      <w:pPr>
        <w:jc w:val="center"/>
        <w:spacing w:line="440" w:lineRule="exact"/>
        <w:rPr>
          <w:b/>
          <w:bCs/>
          <w:szCs w:val="21"/>
        </w:rPr>
      </w:pPr>
      <w:r>
        <w:rPr>
          <w:b/>
          <w:bCs/>
          <w:szCs w:val="21"/>
        </w:rPr>
      </w:r>
      <w:r/>
    </w:p>
    <w:p>
      <w:pPr>
        <w:jc w:val="center"/>
        <w:spacing w:line="440" w:lineRule="exact"/>
        <w:rPr>
          <w:b/>
          <w:bCs/>
          <w:szCs w:val="21"/>
        </w:rPr>
      </w:pPr>
      <w:r>
        <w:rPr>
          <w:b/>
          <w:bCs/>
          <w:szCs w:val="21"/>
        </w:rPr>
        <w:t xml:space="preserve">品目四 便携式酸度计</w:t>
      </w:r>
      <w:bookmarkEnd w:id="111"/>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1.仪器级别0.001级</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2.mV范围(-2000.00～2000.00)mV，最小分辨率0.01mV，电子单元示值误差±0.03%或±0.1mV</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3.pH范围(-2.000～20.000)pH，最小分辨率0.001pH，电子单元示值误差±0.002pH</w:t>
      </w:r>
      <w:r/>
    </w:p>
    <w:p>
      <w:pPr>
        <w:pStyle w:val="1517"/>
        <w:numPr>
          <w:ilvl w:val="0"/>
          <w:numId w:val="0"/>
        </w:numPr>
        <w:ind w:left="425" w:hanging="425"/>
        <w:spacing w:line="440" w:lineRule="exact"/>
        <w:rPr>
          <w:rFonts w:ascii="Times New Roman" w:hAnsi="Times New Roman" w:eastAsia="宋体"/>
          <w:szCs w:val="21"/>
        </w:rPr>
      </w:pPr>
      <w:r>
        <w:rPr>
          <w:rFonts w:ascii="Segoe UI Symbol" w:hAnsi="Segoe UI Symbol" w:eastAsia="宋体" w:cs="Segoe UI Symbol"/>
          <w:szCs w:val="21"/>
        </w:rPr>
        <w:t xml:space="preserve">★</w:t>
      </w:r>
      <w:r>
        <w:rPr>
          <w:rFonts w:ascii="Times New Roman" w:hAnsi="Times New Roman" w:eastAsia="宋体"/>
          <w:szCs w:val="21"/>
        </w:rPr>
        <w:t xml:space="preserve">4.温度范围(-10.0～135.0)℃/(14.0～275.0)℉，最小分辨率0.1℃/0.1℉，电子单元示值误差±0.1℃</w:t>
      </w:r>
      <w:r/>
    </w:p>
    <w:p>
      <w:pPr>
        <w:pStyle w:val="1517"/>
        <w:numPr>
          <w:ilvl w:val="0"/>
          <w:numId w:val="0"/>
        </w:numPr>
        <w:ind w:left="425" w:hanging="425"/>
        <w:spacing w:line="440" w:lineRule="exact"/>
        <w:rPr>
          <w:rFonts w:ascii="Times New Roman" w:hAnsi="Times New Roman" w:eastAsia="宋体"/>
          <w:szCs w:val="21"/>
        </w:rPr>
      </w:pPr>
      <w:r>
        <w:rPr>
          <w:rFonts w:ascii="Segoe UI Symbol" w:hAnsi="Segoe UI Symbol" w:eastAsia="宋体" w:cs="Segoe UI Symbol"/>
          <w:szCs w:val="21"/>
        </w:rPr>
        <w:t xml:space="preserve">★</w:t>
      </w:r>
      <w:r>
        <w:rPr>
          <w:rFonts w:ascii="Times New Roman" w:hAnsi="Times New Roman" w:eastAsia="宋体"/>
          <w:szCs w:val="21"/>
        </w:rPr>
        <w:t xml:space="preserve">5.电极接口有pH电极、温度电极</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6.具有USB接口，通过通信软件与PC连接，实现数据传输；</w:t>
      </w:r>
      <w:bookmarkStart w:id="112" w:name="OLE_LINK53"/>
      <w:r>
        <w:rPr>
          <w:rFonts w:ascii="Times New Roman" w:hAnsi="Times New Roman" w:eastAsia="宋体"/>
          <w:szCs w:val="21"/>
        </w:rPr>
        <w:t xml:space="preserve">支持连接LIMS系统；</w:t>
      </w:r>
      <w:bookmarkEnd w:id="112"/>
      <w:r>
        <w:rPr>
          <w:rFonts w:ascii="Times New Roman" w:hAnsi="Times New Roman" w:eastAsia="宋体"/>
          <w:szCs w:val="21"/>
        </w:rPr>
        <w:t xml:space="preserve">支持U盘导出和导入测量方法，支持U盘导出数据和连接扫描枪</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7.内置蓝牙，支持无线传输</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8.锂电池供电，支持连接PC和移动电源充电</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9.智能操作系统，具有方法管理，电极管理，数据管理和用户管理等功能</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10.支持用户分级权限管理，支持密码管理</w:t>
      </w:r>
      <w:r/>
    </w:p>
    <w:p>
      <w:pPr>
        <w:pStyle w:val="1517"/>
        <w:numPr>
          <w:ilvl w:val="0"/>
          <w:numId w:val="0"/>
        </w:numPr>
        <w:ind w:left="425" w:hanging="425"/>
        <w:spacing w:line="440" w:lineRule="exact"/>
        <w:rPr>
          <w:rFonts w:ascii="Times New Roman" w:hAnsi="Times New Roman" w:eastAsia="宋体"/>
          <w:szCs w:val="21"/>
        </w:rPr>
      </w:pPr>
      <w:r>
        <w:rPr>
          <w:rFonts w:ascii="Segoe UI Symbol" w:hAnsi="Segoe UI Symbol" w:eastAsia="宋体" w:cs="Segoe UI Symbol"/>
          <w:szCs w:val="21"/>
        </w:rPr>
        <w:t xml:space="preserve">★</w:t>
      </w:r>
      <w:r>
        <w:rPr>
          <w:rFonts w:ascii="Times New Roman" w:hAnsi="Times New Roman" w:eastAsia="宋体"/>
          <w:szCs w:val="21"/>
        </w:rPr>
        <w:t xml:space="preserve">11.支持1-8点pH具有标定提醒和报警功能，具备定位和授时功能</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12.智能判别终点，支持连续读数、平衡读数、定时读数</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13.支持自动/手动温度补偿，温度单位可选：℃和°F</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14.电极标定，支持1点ORP电极标定</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15.自动识别多种标准缓冲溶液，支持标液组管理，支持自定义pH缓冲溶液和标液组</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16.具有电池欠压提醒功能和充电状态提醒功能</w:t>
      </w:r>
      <w:r/>
    </w:p>
    <w:p>
      <w:pPr>
        <w:pStyle w:val="1517"/>
        <w:numPr>
          <w:ilvl w:val="0"/>
          <w:numId w:val="0"/>
        </w:numPr>
        <w:ind w:left="425" w:hanging="425"/>
        <w:spacing w:line="440" w:lineRule="exact"/>
        <w:rPr>
          <w:rFonts w:ascii="Times New Roman" w:hAnsi="Times New Roman" w:eastAsia="宋体"/>
          <w:szCs w:val="21"/>
        </w:rPr>
      </w:pPr>
      <w:r>
        <w:rPr>
          <w:rFonts w:ascii="Segoe UI Symbol" w:hAnsi="Segoe UI Symbol" w:eastAsia="宋体" w:cs="Segoe UI Symbol"/>
          <w:szCs w:val="21"/>
        </w:rPr>
        <w:t xml:space="preserve">★</w:t>
      </w:r>
      <w:r>
        <w:rPr>
          <w:rFonts w:ascii="Times New Roman" w:hAnsi="Times New Roman" w:eastAsia="宋体"/>
          <w:szCs w:val="21"/>
        </w:rPr>
        <w:t xml:space="preserve">17.支持开机自诊断，自动关机，断电保护，背光调节和恢复出厂设置、恢复默认参数等功能</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18.支持数据存储，查阅，删除，统计，分析，传输，实现数据追溯和统计分析</w:t>
      </w:r>
      <w:r/>
    </w:p>
    <w:p>
      <w:pPr>
        <w:pStyle w:val="1517"/>
        <w:numPr>
          <w:ilvl w:val="0"/>
          <w:numId w:val="0"/>
        </w:numPr>
        <w:ind w:firstLine="210"/>
        <w:spacing w:line="440" w:lineRule="exact"/>
        <w:rPr>
          <w:rFonts w:ascii="Times New Roman" w:hAnsi="Times New Roman" w:eastAsia="宋体"/>
          <w:szCs w:val="21"/>
        </w:rPr>
      </w:pPr>
      <w:r>
        <w:rPr>
          <w:rFonts w:ascii="Times New Roman" w:hAnsi="Times New Roman" w:eastAsia="宋体"/>
          <w:szCs w:val="21"/>
        </w:rPr>
        <w:t xml:space="preserve">19.PC端操作软件，可同步数据，测量数据。</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20.标配主机，pH三复合电极，pH4.00/6.86/9.18袋装缓冲溶液各10包，充电器5V，电极挂架，USB连接线，OTG转接线(USB接头)，触屏笔，防护套，腕带组装件，便携式防护箱，软件卡，使用说明书</w:t>
      </w:r>
      <w:r/>
    </w:p>
    <w:p>
      <w:pPr>
        <w:pStyle w:val="1517"/>
        <w:numPr>
          <w:ilvl w:val="0"/>
          <w:numId w:val="0"/>
        </w:numPr>
        <w:ind w:left="425" w:hanging="425"/>
        <w:spacing w:line="440" w:lineRule="exact"/>
        <w:rPr>
          <w:rFonts w:ascii="Times New Roman" w:hAnsi="Times New Roman" w:eastAsia="宋体"/>
          <w:szCs w:val="21"/>
        </w:rPr>
      </w:pPr>
      <w:r>
        <w:rPr>
          <w:rFonts w:ascii="Times New Roman" w:hAnsi="Times New Roman" w:eastAsia="宋体"/>
          <w:szCs w:val="21"/>
        </w:rPr>
      </w:r>
      <w:r/>
    </w:p>
    <w:p>
      <w:pPr>
        <w:jc w:val="center"/>
        <w:spacing w:line="440" w:lineRule="exact"/>
        <w:rPr>
          <w:b/>
          <w:bCs/>
          <w:szCs w:val="21"/>
        </w:rPr>
      </w:pPr>
      <w:r>
        <w:rPr>
          <w:b/>
          <w:bCs/>
          <w:szCs w:val="21"/>
        </w:rPr>
        <w:t xml:space="preserve">品目五 台式酸度计</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1.仪器级别0.001级</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2.mV范围(-2000.00～2000.00)mV，最小分辨率0.01mV，电子单元示值误差±0.03%或±0.1mV</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3.pH范围(-2.000～20.000)pH，最小分辨率0.001pH，电子单元示值误差±0.002pH</w:t>
      </w:r>
      <w:r/>
    </w:p>
    <w:p>
      <w:pPr>
        <w:pStyle w:val="1517"/>
        <w:numPr>
          <w:ilvl w:val="0"/>
          <w:numId w:val="0"/>
        </w:numPr>
        <w:ind w:left="425" w:hanging="425"/>
        <w:spacing w:line="440" w:lineRule="exact"/>
        <w:rPr>
          <w:rFonts w:ascii="Times New Roman" w:hAnsi="Times New Roman" w:eastAsia="宋体"/>
          <w:szCs w:val="21"/>
        </w:rPr>
      </w:pPr>
      <w:r>
        <w:rPr>
          <w:rFonts w:ascii="Segoe UI Symbol" w:hAnsi="Segoe UI Symbol" w:eastAsia="宋体" w:cs="Segoe UI Symbol"/>
          <w:szCs w:val="21"/>
        </w:rPr>
        <w:t xml:space="preserve">★</w:t>
      </w:r>
      <w:r>
        <w:rPr>
          <w:rFonts w:ascii="Times New Roman" w:hAnsi="Times New Roman" w:eastAsia="宋体"/>
          <w:szCs w:val="21"/>
        </w:rPr>
        <w:t xml:space="preserve">4.温度范围(-10.0～135.0)℃/(14.0～275.0)℉，最小分辨率0.1℃/0.1℉，电子单元示值误差±0.1℃</w:t>
      </w:r>
      <w:r/>
    </w:p>
    <w:p>
      <w:pPr>
        <w:pStyle w:val="1517"/>
        <w:numPr>
          <w:ilvl w:val="0"/>
          <w:numId w:val="0"/>
        </w:numPr>
        <w:ind w:left="425" w:hanging="425"/>
        <w:spacing w:line="440" w:lineRule="exact"/>
        <w:rPr>
          <w:rFonts w:ascii="Times New Roman" w:hAnsi="Times New Roman" w:eastAsia="宋体"/>
          <w:szCs w:val="21"/>
        </w:rPr>
      </w:pPr>
      <w:r/>
      <w:bookmarkStart w:id="113" w:name="OLE_LINK17"/>
      <w:r>
        <w:rPr>
          <w:rFonts w:ascii="Segoe UI Symbol" w:hAnsi="Segoe UI Symbol" w:eastAsia="宋体" w:cs="Segoe UI Symbol"/>
          <w:szCs w:val="21"/>
        </w:rPr>
        <w:t xml:space="preserve">★</w:t>
      </w:r>
      <w:r>
        <w:rPr>
          <w:rFonts w:ascii="Times New Roman" w:hAnsi="Times New Roman" w:eastAsia="宋体"/>
          <w:szCs w:val="21"/>
        </w:rPr>
        <w:t xml:space="preserve">5.具备三个电极接口，分别是pH电极、参比电极、温度电极</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6.支持连接自动进样器，实现样品的自动测量和批量检测</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7.具有RS-232接口，支持连接标准RS-232串口打印机，直接打印测量结果，打印格式可选</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8.具有USB接口，标配通信软件，实现PC端数据传输；支持连接LIMS系统;支持U盘导出和导入测量方法，支持U盘导出数据和连接扫描枪</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9.智能操作系统，具有方法管理，电极管理，数据管理和用户管理等功能</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10.支持仪器自检和用户分级权限管理，支持密码管理</w:t>
      </w:r>
      <w:r/>
    </w:p>
    <w:p>
      <w:pPr>
        <w:pStyle w:val="1517"/>
        <w:numPr>
          <w:ilvl w:val="0"/>
          <w:numId w:val="0"/>
        </w:numPr>
        <w:spacing w:line="440" w:lineRule="exact"/>
        <w:rPr>
          <w:rFonts w:ascii="Times New Roman" w:hAnsi="Times New Roman" w:eastAsia="宋体"/>
          <w:szCs w:val="21"/>
        </w:rPr>
      </w:pPr>
      <w:r>
        <w:rPr>
          <w:rFonts w:ascii="Segoe UI Symbol" w:hAnsi="Segoe UI Symbol" w:eastAsia="宋体" w:cs="Segoe UI Symbol"/>
          <w:szCs w:val="21"/>
        </w:rPr>
        <w:t xml:space="preserve">★</w:t>
      </w:r>
      <w:r>
        <w:rPr>
          <w:rFonts w:ascii="Times New Roman" w:hAnsi="Times New Roman" w:eastAsia="宋体"/>
          <w:szCs w:val="21"/>
        </w:rPr>
        <w:t xml:space="preserve">11.支持标定提醒和强制标定功能，支持pH标液核查和强制核查功能</w:t>
      </w:r>
      <w:r/>
    </w:p>
    <w:p>
      <w:pPr>
        <w:pStyle w:val="1517"/>
        <w:numPr>
          <w:ilvl w:val="0"/>
          <w:numId w:val="0"/>
        </w:numPr>
        <w:ind w:left="425" w:hanging="425"/>
        <w:spacing w:line="440" w:lineRule="exact"/>
        <w:rPr>
          <w:rFonts w:ascii="Times New Roman" w:hAnsi="Times New Roman" w:eastAsia="宋体"/>
          <w:szCs w:val="21"/>
        </w:rPr>
      </w:pPr>
      <w:r>
        <w:rPr>
          <w:rFonts w:ascii="Segoe UI Symbol" w:hAnsi="Segoe UI Symbol" w:eastAsia="宋体" w:cs="Segoe UI Symbol"/>
          <w:szCs w:val="21"/>
        </w:rPr>
        <w:t xml:space="preserve">★</w:t>
      </w:r>
      <w:r>
        <w:rPr>
          <w:rFonts w:ascii="Times New Roman" w:hAnsi="Times New Roman" w:eastAsia="宋体"/>
          <w:szCs w:val="21"/>
        </w:rPr>
        <w:t xml:space="preserve">12.支持pH标定和测量报警限值设置，支持ORP测量报警限值设置</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13.智能判别终点，支持连续读数、平衡读数、定时读数</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14.支持自动/手动温度补偿</w:t>
      </w:r>
      <w:r/>
    </w:p>
    <w:p>
      <w:pPr>
        <w:pStyle w:val="1517"/>
        <w:numPr>
          <w:ilvl w:val="0"/>
          <w:numId w:val="0"/>
        </w:numPr>
        <w:ind w:left="425" w:hanging="425"/>
        <w:spacing w:line="440" w:lineRule="exact"/>
        <w:rPr>
          <w:rFonts w:ascii="Times New Roman" w:hAnsi="Times New Roman" w:eastAsia="宋体"/>
          <w:szCs w:val="21"/>
        </w:rPr>
      </w:pPr>
      <w:r>
        <w:rPr>
          <w:rFonts w:ascii="Segoe UI Symbol" w:hAnsi="Segoe UI Symbol" w:eastAsia="宋体" w:cs="Segoe UI Symbol"/>
          <w:szCs w:val="21"/>
        </w:rPr>
        <w:t xml:space="preserve">★</w:t>
      </w:r>
      <w:r>
        <w:rPr>
          <w:rFonts w:ascii="Times New Roman" w:hAnsi="Times New Roman" w:eastAsia="宋体"/>
          <w:szCs w:val="21"/>
        </w:rPr>
        <w:t xml:space="preserve">15.支持pH电极1-6点标定、ORP电极1点标定，支持pH电极诊断功能</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16.自动识别GB、DIN、NIST、USA、MERK、JIS六组pH缓冲溶液，支持自定义标准溶液及标液组</w:t>
      </w:r>
      <w:r/>
    </w:p>
    <w:p>
      <w:pPr>
        <w:pStyle w:val="1517"/>
        <w:numPr>
          <w:ilvl w:val="0"/>
          <w:numId w:val="0"/>
        </w:numPr>
        <w:ind w:left="425" w:hanging="425"/>
        <w:spacing w:line="440" w:lineRule="exact"/>
        <w:rPr>
          <w:rFonts w:ascii="Times New Roman" w:hAnsi="Times New Roman" w:eastAsia="宋体"/>
          <w:szCs w:val="21"/>
        </w:rPr>
      </w:pPr>
      <w:r>
        <w:rPr>
          <w:rFonts w:ascii="Segoe UI Symbol" w:hAnsi="Segoe UI Symbol" w:eastAsia="宋体" w:cs="Segoe UI Symbol"/>
          <w:szCs w:val="21"/>
        </w:rPr>
        <w:t xml:space="preserve">★</w:t>
      </w:r>
      <w:r>
        <w:rPr>
          <w:rFonts w:ascii="Times New Roman" w:hAnsi="Times New Roman" w:eastAsia="宋体"/>
          <w:szCs w:val="21"/>
        </w:rPr>
        <w:t xml:space="preserve">17.支持开机自诊断，自动关机，断电保护和恢复出厂设置、恢复默认参数等功能</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18.支持数据存储，查阅，删除，统计，分析，传输和打印</w:t>
      </w:r>
      <w:r/>
    </w:p>
    <w:p>
      <w:pPr>
        <w:pStyle w:val="1517"/>
        <w:numPr>
          <w:ilvl w:val="0"/>
          <w:numId w:val="0"/>
        </w:numPr>
        <w:ind w:left="425" w:hanging="425"/>
        <w:spacing w:line="440" w:lineRule="exact"/>
        <w:rPr>
          <w:rFonts w:ascii="Times New Roman" w:hAnsi="Times New Roman" w:eastAsia="宋体"/>
          <w:szCs w:val="21"/>
        </w:rPr>
      </w:pPr>
      <w:r>
        <w:rPr>
          <w:rFonts w:ascii="Segoe UI Symbol" w:hAnsi="Segoe UI Symbol" w:eastAsia="宋体" w:cs="Segoe UI Symbol"/>
          <w:szCs w:val="21"/>
        </w:rPr>
        <w:t xml:space="preserve">★</w:t>
      </w:r>
      <w:r>
        <w:rPr>
          <w:rFonts w:ascii="Times New Roman" w:hAnsi="Times New Roman" w:eastAsia="宋体"/>
          <w:szCs w:val="21"/>
        </w:rPr>
        <w:t xml:space="preserve">19.支持测量数据各1000套，标定数据100套，核查数据1000套</w:t>
      </w:r>
      <w:r/>
    </w:p>
    <w:p>
      <w:pPr>
        <w:pStyle w:val="1517"/>
        <w:numPr>
          <w:ilvl w:val="0"/>
          <w:numId w:val="0"/>
        </w:numPr>
        <w:ind w:left="425" w:hanging="425"/>
        <w:spacing w:line="440" w:lineRule="exact"/>
        <w:rPr>
          <w:rFonts w:ascii="Times New Roman" w:hAnsi="Times New Roman" w:eastAsia="宋体"/>
          <w:szCs w:val="21"/>
        </w:rPr>
      </w:pPr>
      <w:r>
        <w:rPr>
          <w:rFonts w:ascii="Segoe UI Symbol" w:hAnsi="Segoe UI Symbol" w:eastAsia="宋体" w:cs="Segoe UI Symbol"/>
          <w:szCs w:val="21"/>
        </w:rPr>
        <w:t xml:space="preserve">★</w:t>
      </w:r>
      <w:r>
        <w:rPr>
          <w:rFonts w:ascii="Times New Roman" w:hAnsi="Times New Roman" w:eastAsia="宋体"/>
          <w:szCs w:val="21"/>
        </w:rPr>
        <w:t xml:space="preserve">20.支持操作日志查阅，实现数据的完整溯源和追踪</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21.支持不低于IP54防护等级</w:t>
      </w:r>
      <w:bookmarkEnd w:id="113"/>
      <w:r/>
      <w:r/>
    </w:p>
    <w:p>
      <w:pPr>
        <w:pStyle w:val="1517"/>
        <w:numPr>
          <w:ilvl w:val="0"/>
          <w:numId w:val="0"/>
        </w:numPr>
        <w:ind w:left="424" w:hanging="214"/>
        <w:spacing w:line="440" w:lineRule="exact"/>
        <w:rPr>
          <w:rFonts w:ascii="Times New Roman" w:hAnsi="Times New Roman" w:eastAsia="宋体"/>
          <w:szCs w:val="21"/>
        </w:rPr>
      </w:pPr>
      <w:r/>
      <w:bookmarkStart w:id="114" w:name="OLE_LINK21"/>
      <w:r>
        <w:rPr>
          <w:rFonts w:ascii="Times New Roman" w:hAnsi="Times New Roman" w:eastAsia="宋体"/>
          <w:szCs w:val="21"/>
        </w:rPr>
        <w:t xml:space="preserve">22.标配主机，高精度pH复合电极，温度电极，pH4.00/6.86/9.18袋装缓冲溶液各10包，多功能电极架，电源适配器，防尘罩，三芯电源线，通用USB连接线，触屏笔，软件卡，使用说明书</w:t>
      </w:r>
      <w:bookmarkEnd w:id="114"/>
      <w:r/>
      <w:r/>
    </w:p>
    <w:p>
      <w:pPr>
        <w:pStyle w:val="1517"/>
        <w:numPr>
          <w:ilvl w:val="0"/>
          <w:numId w:val="0"/>
        </w:numPr>
        <w:ind w:firstLine="210"/>
        <w:spacing w:line="440" w:lineRule="exact"/>
        <w:rPr>
          <w:rFonts w:ascii="Times New Roman" w:hAnsi="Times New Roman" w:eastAsia="宋体"/>
          <w:szCs w:val="21"/>
        </w:rPr>
      </w:pPr>
      <w:r/>
      <w:bookmarkStart w:id="115" w:name="OLE_LINK30"/>
      <w:r>
        <w:rPr>
          <w:rFonts w:ascii="Times New Roman" w:hAnsi="Times New Roman" w:eastAsia="宋体"/>
          <w:szCs w:val="21"/>
        </w:rPr>
        <w:t xml:space="preserve">23.PC端操作软件，可同步数据，测量数据。</w:t>
      </w:r>
      <w:bookmarkEnd w:id="115"/>
      <w:r/>
      <w:r/>
    </w:p>
    <w:p>
      <w:pPr>
        <w:jc w:val="center"/>
        <w:spacing w:line="440" w:lineRule="exact"/>
        <w:rPr>
          <w:b/>
          <w:bCs/>
          <w:szCs w:val="21"/>
        </w:rPr>
      </w:pPr>
      <w:r>
        <w:rPr>
          <w:b/>
          <w:bCs/>
          <w:szCs w:val="21"/>
        </w:rPr>
      </w:r>
      <w:r/>
    </w:p>
    <w:p>
      <w:pPr>
        <w:jc w:val="center"/>
        <w:spacing w:line="440" w:lineRule="exact"/>
        <w:rPr>
          <w:b/>
          <w:bCs/>
          <w:szCs w:val="21"/>
        </w:rPr>
      </w:pPr>
      <w:r>
        <w:rPr>
          <w:b/>
          <w:bCs/>
          <w:szCs w:val="21"/>
        </w:rPr>
        <w:t xml:space="preserve">品目六 蒸馏水器</w:t>
      </w:r>
      <w:r/>
    </w:p>
    <w:p>
      <w:pPr>
        <w:spacing w:line="440" w:lineRule="exact"/>
        <w:rPr>
          <w:b/>
          <w:bCs/>
          <w:szCs w:val="21"/>
        </w:rPr>
      </w:pPr>
      <w:r>
        <w:rPr>
          <w:b/>
          <w:bCs/>
          <w:szCs w:val="21"/>
        </w:rPr>
        <w:t xml:space="preserve">一、技术指标</w:t>
      </w:r>
      <w:r/>
    </w:p>
    <w:p>
      <w:pPr>
        <w:numPr>
          <w:ilvl w:val="0"/>
          <w:numId w:val="15"/>
        </w:numPr>
        <w:spacing w:line="440" w:lineRule="exact"/>
        <w:rPr>
          <w:szCs w:val="21"/>
        </w:rPr>
      </w:pPr>
      <w:r>
        <w:rPr>
          <w:szCs w:val="21"/>
        </w:rPr>
        <w:t xml:space="preserve">电源：AC220V/50Hz，出水量：≥5L/h</w:t>
      </w:r>
      <w:r/>
    </w:p>
    <w:p>
      <w:pPr>
        <w:numPr>
          <w:ilvl w:val="0"/>
          <w:numId w:val="15"/>
        </w:numPr>
        <w:spacing w:line="440" w:lineRule="exact"/>
        <w:rPr>
          <w:szCs w:val="21"/>
        </w:rPr>
      </w:pPr>
      <w:r>
        <w:rPr>
          <w:szCs w:val="21"/>
        </w:rPr>
        <w:t xml:space="preserve">结构材质：整机不锈钢，铜质浸入式加热管</w:t>
      </w:r>
      <w:r/>
    </w:p>
    <w:p>
      <w:pPr>
        <w:numPr>
          <w:ilvl w:val="0"/>
          <w:numId w:val="15"/>
        </w:numPr>
        <w:spacing w:line="440" w:lineRule="exact"/>
        <w:rPr>
          <w:szCs w:val="21"/>
        </w:rPr>
      </w:pPr>
      <w:r>
        <w:rPr>
          <w:szCs w:val="21"/>
        </w:rPr>
        <w:t xml:space="preserve">冷凝方式：盘管式冷凝，冷却水回流蒸发桶</w:t>
      </w:r>
      <w:r/>
    </w:p>
    <w:p>
      <w:pPr>
        <w:numPr>
          <w:ilvl w:val="0"/>
          <w:numId w:val="15"/>
        </w:numPr>
        <w:spacing w:line="440" w:lineRule="exact"/>
        <w:rPr>
          <w:szCs w:val="21"/>
        </w:rPr>
      </w:pPr>
      <w:r>
        <w:rPr>
          <w:szCs w:val="21"/>
        </w:rPr>
        <w:t xml:space="preserve">安全保护：缺水自动切断加热电源，</w:t>
      </w:r>
      <w:r>
        <w:rPr>
          <w:szCs w:val="21"/>
          <w:shd w:val="clear" w:color="auto" w:fill="ffffff"/>
        </w:rPr>
        <w:t xml:space="preserve">待回流水补充到工作水位后继续加热</w:t>
      </w:r>
      <w:r/>
    </w:p>
    <w:p>
      <w:pPr>
        <w:numPr>
          <w:ilvl w:val="0"/>
          <w:numId w:val="15"/>
        </w:numPr>
        <w:spacing w:line="440" w:lineRule="exact"/>
        <w:rPr>
          <w:szCs w:val="21"/>
        </w:rPr>
      </w:pPr>
      <w:r>
        <w:rPr>
          <w:szCs w:val="21"/>
          <w:shd w:val="clear" w:color="auto" w:fill="ffffff"/>
        </w:rPr>
        <w:t xml:space="preserve">放水阀可以排放桶内浓缩水，改善结垢条件。</w:t>
      </w:r>
      <w:r/>
    </w:p>
    <w:p>
      <w:pPr>
        <w:spacing w:line="440" w:lineRule="exact"/>
        <w:rPr>
          <w:b/>
          <w:bCs/>
          <w:szCs w:val="21"/>
        </w:rPr>
      </w:pPr>
      <w:r>
        <w:rPr>
          <w:b/>
          <w:bCs/>
          <w:szCs w:val="21"/>
        </w:rPr>
        <w:t xml:space="preserve">二、配置要求</w:t>
      </w:r>
      <w:r/>
    </w:p>
    <w:p>
      <w:pPr>
        <w:numPr>
          <w:ilvl w:val="0"/>
          <w:numId w:val="16"/>
        </w:numPr>
        <w:spacing w:line="440" w:lineRule="exact"/>
        <w:rPr>
          <w:szCs w:val="21"/>
        </w:rPr>
      </w:pPr>
      <w:r>
        <w:rPr>
          <w:szCs w:val="21"/>
        </w:rPr>
        <w:t xml:space="preserve">蒸馏水器主机（含蒸发桶、冷凝器、加热管、断水自控装置）×1</w:t>
      </w:r>
      <w:r/>
    </w:p>
    <w:p>
      <w:pPr>
        <w:numPr>
          <w:ilvl w:val="0"/>
          <w:numId w:val="16"/>
        </w:numPr>
        <w:spacing w:line="440" w:lineRule="exact"/>
        <w:rPr>
          <w:szCs w:val="21"/>
        </w:rPr>
      </w:pPr>
      <w:r>
        <w:rPr>
          <w:szCs w:val="21"/>
        </w:rPr>
        <w:t xml:space="preserve">使用说明书×1</w:t>
      </w:r>
      <w:r/>
    </w:p>
    <w:p>
      <w:pPr>
        <w:numPr>
          <w:ilvl w:val="0"/>
          <w:numId w:val="16"/>
        </w:numPr>
        <w:spacing w:line="440" w:lineRule="exact"/>
        <w:rPr>
          <w:szCs w:val="21"/>
        </w:rPr>
      </w:pPr>
      <w:r>
        <w:rPr>
          <w:szCs w:val="21"/>
        </w:rPr>
        <w:t xml:space="preserve">产品合格证×1</w:t>
      </w:r>
      <w:r/>
    </w:p>
    <w:p>
      <w:pPr>
        <w:numPr>
          <w:ilvl w:val="0"/>
          <w:numId w:val="16"/>
        </w:numPr>
        <w:spacing w:line="440" w:lineRule="exact"/>
        <w:rPr>
          <w:szCs w:val="21"/>
        </w:rPr>
      </w:pPr>
      <w:r>
        <w:rPr>
          <w:szCs w:val="21"/>
        </w:rPr>
        <w:t xml:space="preserve">保修卡×1</w:t>
      </w:r>
      <w:r/>
    </w:p>
    <w:p>
      <w:pPr>
        <w:jc w:val="center"/>
        <w:spacing w:line="440" w:lineRule="exact"/>
        <w:rPr>
          <w:b/>
          <w:bCs/>
          <w:szCs w:val="21"/>
        </w:rPr>
      </w:pPr>
      <w:r>
        <w:rPr>
          <w:b/>
          <w:bCs/>
          <w:szCs w:val="21"/>
        </w:rPr>
      </w:r>
      <w:r/>
    </w:p>
    <w:p>
      <w:pPr>
        <w:jc w:val="center"/>
        <w:spacing w:line="440" w:lineRule="exact"/>
        <w:rPr>
          <w:b/>
          <w:bCs/>
          <w:szCs w:val="21"/>
        </w:rPr>
      </w:pPr>
      <w:r>
        <w:rPr>
          <w:b/>
          <w:bCs/>
          <w:szCs w:val="21"/>
        </w:rPr>
        <w:t xml:space="preserve">品目七 便携式电导率仪A</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1.仪器级别0.5级</w:t>
      </w:r>
      <w:r/>
    </w:p>
    <w:p>
      <w:pPr>
        <w:pStyle w:val="1517"/>
        <w:numPr>
          <w:ilvl w:val="0"/>
          <w:numId w:val="0"/>
        </w:numPr>
        <w:ind w:left="424" w:hanging="214"/>
        <w:spacing w:line="440" w:lineRule="exact"/>
        <w:rPr>
          <w:rFonts w:ascii="Times New Roman" w:hAnsi="Times New Roman" w:eastAsia="宋体"/>
          <w:szCs w:val="21"/>
        </w:rPr>
      </w:pPr>
      <w:r/>
      <w:bookmarkStart w:id="116" w:name="OLE_LINK14"/>
      <w:r>
        <w:rPr>
          <w:rFonts w:ascii="Times New Roman" w:hAnsi="Times New Roman" w:eastAsia="宋体"/>
          <w:szCs w:val="21"/>
        </w:rPr>
        <w:t xml:space="preserve">2.电导率范围0.000μS/cm～2000mS/cm，最小分辨率0.001μS/cm，根据量程自动切换，电子单元引用误差±0.5%FS</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3.电阻率范围5.00Ω•cm～100.0MΩ•cm，最小分辨率0.01Ω·cm，根据量程自动切换，电子单元引用误差±0.5%FS</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4.TDS范围0.000mg/L～1000g/L，最小分辨率0.001mg/L，根据量程自动切换，电子单元引用误差±0.5%FS</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5.盐度范围(0.00～8.00)%，最小分辨率0.01%，电子单元引用误差±0.1%</w:t>
      </w:r>
      <w:r/>
    </w:p>
    <w:p>
      <w:pPr>
        <w:pStyle w:val="1517"/>
        <w:numPr>
          <w:ilvl w:val="0"/>
          <w:numId w:val="0"/>
        </w:numPr>
        <w:ind w:left="425" w:hanging="425"/>
        <w:spacing w:line="440" w:lineRule="exact"/>
        <w:widowControl w:val="off"/>
        <w:rPr>
          <w:rFonts w:ascii="Times New Roman" w:hAnsi="Times New Roman" w:eastAsia="宋体"/>
          <w:szCs w:val="21"/>
        </w:rPr>
      </w:pPr>
      <w:r/>
      <w:bookmarkStart w:id="117" w:name="OLE_LINK31"/>
      <w:r>
        <w:rPr>
          <w:rFonts w:ascii="Segoe UI Symbol" w:hAnsi="Segoe UI Symbol" w:eastAsia="宋体" w:cs="Segoe UI Symbol"/>
          <w:szCs w:val="21"/>
        </w:rPr>
        <w:t xml:space="preserve">★</w:t>
      </w:r>
      <w:r>
        <w:rPr>
          <w:rFonts w:ascii="Times New Roman" w:hAnsi="Times New Roman" w:eastAsia="宋体"/>
          <w:szCs w:val="21"/>
        </w:rPr>
        <w:t xml:space="preserve">6.</w:t>
      </w:r>
      <w:bookmarkEnd w:id="117"/>
      <w:r>
        <w:rPr>
          <w:rFonts w:ascii="Times New Roman" w:hAnsi="Times New Roman" w:eastAsia="宋体"/>
          <w:szCs w:val="21"/>
        </w:rPr>
        <w:t xml:space="preserve">温度范围(-10.0～135.0)℃/(14.0～275.0)℉，最小分辨率0.1℃/0.1℉，电子单元示值误差±0.1℃</w:t>
      </w:r>
      <w:bookmarkEnd w:id="116"/>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7.支持连接自动进样器，实现样品的自动测量和批量检测</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8.具有RS-232接口，支持连接标准RS-232串口打印机，直接打印测量结果，打印格式可选</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9.具有USB接口，通过通信软件与PC连接，实现数据传输；支持连接LIMS系统；支持U盘导出和导入测量方法，支持U盘导出数据和连接扫描枪</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10.智能操作系统，具有方法管理，电极管理，数据管理和用户管理等功能</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11.支持仪器自检和用户分级权限管理，支持密码管理</w:t>
      </w:r>
      <w:r/>
    </w:p>
    <w:p>
      <w:pPr>
        <w:pStyle w:val="1517"/>
        <w:numPr>
          <w:ilvl w:val="0"/>
          <w:numId w:val="0"/>
        </w:numPr>
        <w:ind w:left="425" w:hanging="425"/>
        <w:spacing w:line="440" w:lineRule="exact"/>
        <w:rPr>
          <w:rFonts w:ascii="Times New Roman" w:hAnsi="Times New Roman" w:eastAsia="宋体"/>
          <w:szCs w:val="21"/>
        </w:rPr>
      </w:pPr>
      <w:r>
        <w:rPr>
          <w:rFonts w:ascii="Segoe UI Symbol" w:hAnsi="Segoe UI Symbol" w:eastAsia="宋体" w:cs="Segoe UI Symbol"/>
          <w:szCs w:val="21"/>
        </w:rPr>
        <w:t xml:space="preserve">★</w:t>
      </w:r>
      <w:r>
        <w:rPr>
          <w:rFonts w:ascii="Times New Roman" w:hAnsi="Times New Roman" w:eastAsia="宋体"/>
          <w:szCs w:val="21"/>
        </w:rPr>
        <w:t xml:space="preserve">12.支持标定提醒和强制标定功能，支持电导率标液核查和强制核查功能</w:t>
      </w:r>
      <w:r/>
    </w:p>
    <w:p>
      <w:pPr>
        <w:pStyle w:val="1517"/>
        <w:numPr>
          <w:ilvl w:val="0"/>
          <w:numId w:val="0"/>
        </w:numPr>
        <w:ind w:left="425" w:hanging="425"/>
        <w:spacing w:line="440" w:lineRule="exact"/>
        <w:rPr>
          <w:rFonts w:ascii="Times New Roman" w:hAnsi="Times New Roman" w:eastAsia="宋体"/>
          <w:szCs w:val="21"/>
        </w:rPr>
      </w:pPr>
      <w:r>
        <w:rPr>
          <w:rFonts w:ascii="Segoe UI Symbol" w:hAnsi="Segoe UI Symbol" w:eastAsia="宋体" w:cs="Segoe UI Symbol"/>
          <w:szCs w:val="21"/>
        </w:rPr>
        <w:t xml:space="preserve">★</w:t>
      </w:r>
      <w:r>
        <w:rPr>
          <w:rFonts w:ascii="Times New Roman" w:hAnsi="Times New Roman" w:eastAsia="宋体"/>
          <w:szCs w:val="21"/>
        </w:rPr>
        <w:t xml:space="preserve">13.支持测量报警限值设置</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14.智能判别终点，支持连续读数、平衡读数、定时读数</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15.支持自动/手动温度补偿</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16.自动识别电导标准溶液，支持1-5点电导电极标定</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17.支持不补偿，线性，非线性，纯水补偿等多种电导率补偿模式</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18.支持海水盐度和默认盐度等多种盐度补偿模式</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19.支持自动频率切换</w:t>
      </w:r>
      <w:r/>
    </w:p>
    <w:p>
      <w:pPr>
        <w:pStyle w:val="1517"/>
        <w:numPr>
          <w:ilvl w:val="0"/>
          <w:numId w:val="0"/>
        </w:numPr>
        <w:ind w:left="425" w:hanging="425"/>
        <w:spacing w:line="440" w:lineRule="exact"/>
        <w:rPr>
          <w:rFonts w:ascii="Times New Roman" w:hAnsi="Times New Roman" w:eastAsia="宋体"/>
          <w:szCs w:val="21"/>
        </w:rPr>
      </w:pPr>
      <w:r>
        <w:rPr>
          <w:rFonts w:ascii="Segoe UI Symbol" w:hAnsi="Segoe UI Symbol" w:eastAsia="宋体" w:cs="Segoe UI Symbol"/>
          <w:szCs w:val="21"/>
        </w:rPr>
        <w:t xml:space="preserve">★</w:t>
      </w:r>
      <w:r>
        <w:rPr>
          <w:rFonts w:ascii="Times New Roman" w:hAnsi="Times New Roman" w:eastAsia="宋体"/>
          <w:szCs w:val="21"/>
        </w:rPr>
        <w:t xml:space="preserve">20.支持自动关机，断电保护和恢复出厂设置、恢复默认参数等功能</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21.支持数据存储，查阅，删除，统计，分析，传输和打印</w:t>
      </w:r>
      <w:r/>
    </w:p>
    <w:p>
      <w:pPr>
        <w:pStyle w:val="1517"/>
        <w:numPr>
          <w:ilvl w:val="0"/>
          <w:numId w:val="0"/>
        </w:numPr>
        <w:ind w:left="425" w:hanging="425"/>
        <w:spacing w:line="440" w:lineRule="exact"/>
        <w:rPr>
          <w:rFonts w:ascii="Times New Roman" w:hAnsi="Times New Roman" w:eastAsia="宋体"/>
          <w:szCs w:val="21"/>
        </w:rPr>
      </w:pPr>
      <w:r>
        <w:rPr>
          <w:rFonts w:ascii="Segoe UI Symbol" w:hAnsi="Segoe UI Symbol" w:eastAsia="宋体" w:cs="Segoe UI Symbol"/>
          <w:szCs w:val="21"/>
        </w:rPr>
        <w:t xml:space="preserve">★</w:t>
      </w:r>
      <w:r>
        <w:rPr>
          <w:rFonts w:ascii="Times New Roman" w:hAnsi="Times New Roman" w:eastAsia="宋体"/>
          <w:szCs w:val="21"/>
        </w:rPr>
        <w:t xml:space="preserve">22.支持操作日志查阅，实现数据的完整溯源和追踪</w:t>
      </w:r>
      <w:r/>
    </w:p>
    <w:p>
      <w:pPr>
        <w:pStyle w:val="1517"/>
        <w:numPr>
          <w:ilvl w:val="0"/>
          <w:numId w:val="0"/>
        </w:numPr>
        <w:ind w:left="425" w:hanging="425"/>
        <w:spacing w:line="440" w:lineRule="exact"/>
        <w:rPr>
          <w:rFonts w:ascii="Times New Roman" w:hAnsi="Times New Roman" w:eastAsia="宋体"/>
          <w:szCs w:val="21"/>
        </w:rPr>
      </w:pPr>
      <w:r>
        <w:rPr>
          <w:rFonts w:ascii="Segoe UI Symbol" w:hAnsi="Segoe UI Symbol" w:eastAsia="宋体" w:cs="Segoe UI Symbol"/>
          <w:szCs w:val="21"/>
        </w:rPr>
        <w:t xml:space="preserve">★</w:t>
      </w:r>
      <w:r>
        <w:rPr>
          <w:rFonts w:ascii="Times New Roman" w:hAnsi="Times New Roman" w:eastAsia="宋体"/>
          <w:szCs w:val="21"/>
        </w:rPr>
        <w:t xml:space="preserve">23.支持测量数据各1000套，标定数据100套，核查数据1000套</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24.支持不低于IP54防护等级</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25.标配主机，复合电导电极，电导率溶液10包，多功能电极架，电源适配器，防尘罩，三芯电源线，通用USB连接线，触屏笔，软件卡，使用说明书</w:t>
      </w:r>
      <w:r/>
    </w:p>
    <w:p>
      <w:pPr>
        <w:pStyle w:val="1517"/>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26.PC端操作软件，可同步数据，测量数据</w:t>
      </w:r>
      <w:r/>
    </w:p>
    <w:p>
      <w:pPr>
        <w:jc w:val="center"/>
        <w:spacing w:line="440" w:lineRule="exact"/>
        <w:rPr>
          <w:b/>
          <w:bCs/>
          <w:szCs w:val="21"/>
        </w:rPr>
      </w:pPr>
      <w:r>
        <w:rPr>
          <w:b/>
          <w:bCs/>
          <w:szCs w:val="21"/>
        </w:rPr>
      </w:r>
      <w:r/>
    </w:p>
    <w:p>
      <w:pPr>
        <w:jc w:val="center"/>
        <w:spacing w:line="440" w:lineRule="exact"/>
        <w:rPr>
          <w:b/>
          <w:bCs/>
          <w:szCs w:val="21"/>
        </w:rPr>
      </w:pPr>
      <w:r>
        <w:rPr>
          <w:b/>
          <w:bCs/>
          <w:szCs w:val="21"/>
        </w:rPr>
        <w:t xml:space="preserve">品目八 便携式电导率仪B</w:t>
      </w:r>
      <w:r/>
    </w:p>
    <w:p>
      <w:pPr>
        <w:spacing w:line="440" w:lineRule="exact"/>
        <w:rPr>
          <w:b/>
          <w:bCs/>
          <w:szCs w:val="21"/>
        </w:rPr>
      </w:pPr>
      <w:r>
        <w:rPr>
          <w:b/>
          <w:bCs/>
          <w:szCs w:val="21"/>
        </w:rPr>
        <w:t xml:space="preserve">一、技术参数</w:t>
      </w:r>
      <w:r/>
    </w:p>
    <w:p>
      <w:pPr>
        <w:pStyle w:val="1517"/>
        <w:numPr>
          <w:ilvl w:val="0"/>
          <w:numId w:val="17"/>
        </w:numPr>
        <w:spacing w:line="440" w:lineRule="exact"/>
        <w:rPr>
          <w:rFonts w:ascii="Times New Roman" w:hAnsi="Times New Roman" w:eastAsia="宋体"/>
          <w:szCs w:val="21"/>
        </w:rPr>
      </w:pPr>
      <w:r>
        <w:rPr>
          <w:rFonts w:ascii="Times New Roman" w:hAnsi="Times New Roman" w:eastAsia="宋体"/>
          <w:szCs w:val="21"/>
        </w:rPr>
        <w:t xml:space="preserve">支持自动关机、断电保护和恢复出厂设置等功能</w:t>
      </w:r>
      <w:r/>
    </w:p>
    <w:p>
      <w:pPr>
        <w:pStyle w:val="1517"/>
        <w:numPr>
          <w:ilvl w:val="0"/>
          <w:numId w:val="17"/>
        </w:numPr>
        <w:spacing w:line="440" w:lineRule="exact"/>
        <w:rPr>
          <w:rFonts w:ascii="Times New Roman" w:hAnsi="Times New Roman" w:eastAsia="宋体"/>
          <w:szCs w:val="21"/>
        </w:rPr>
      </w:pPr>
      <w:r>
        <w:rPr>
          <w:rFonts w:ascii="Times New Roman" w:hAnsi="Times New Roman" w:eastAsia="宋体"/>
          <w:szCs w:val="21"/>
        </w:rPr>
        <w:t xml:space="preserve">支持不低于IP54防护等级</w:t>
      </w:r>
      <w:r/>
    </w:p>
    <w:p>
      <w:pPr>
        <w:pStyle w:val="1517"/>
        <w:numPr>
          <w:ilvl w:val="0"/>
          <w:numId w:val="17"/>
        </w:numPr>
        <w:spacing w:line="440" w:lineRule="exact"/>
        <w:rPr>
          <w:rFonts w:ascii="Times New Roman" w:hAnsi="Times New Roman" w:eastAsia="宋体"/>
          <w:szCs w:val="21"/>
        </w:rPr>
      </w:pPr>
      <w:r>
        <w:rPr>
          <w:rFonts w:ascii="Times New Roman" w:hAnsi="Times New Roman" w:eastAsia="宋体"/>
          <w:szCs w:val="21"/>
        </w:rPr>
        <w:t xml:space="preserve">标配复合电导电极、电极支架和防尘罩</w:t>
      </w:r>
      <w:r/>
    </w:p>
    <w:p>
      <w:pPr>
        <w:pStyle w:val="1517"/>
        <w:numPr>
          <w:ilvl w:val="0"/>
          <w:numId w:val="17"/>
        </w:numPr>
        <w:spacing w:line="440" w:lineRule="exact"/>
        <w:rPr>
          <w:rFonts w:ascii="Times New Roman" w:hAnsi="Times New Roman" w:eastAsia="宋体"/>
          <w:szCs w:val="21"/>
        </w:rPr>
      </w:pPr>
      <w:r>
        <w:rPr>
          <w:rFonts w:ascii="Times New Roman" w:hAnsi="Times New Roman" w:eastAsia="宋体"/>
          <w:szCs w:val="21"/>
        </w:rPr>
        <w:t xml:space="preserve">智能判别终点，支持连续读数和平衡读数</w:t>
      </w:r>
      <w:r/>
    </w:p>
    <w:p>
      <w:pPr>
        <w:pStyle w:val="1517"/>
        <w:numPr>
          <w:ilvl w:val="0"/>
          <w:numId w:val="17"/>
        </w:numPr>
        <w:spacing w:line="440" w:lineRule="exact"/>
        <w:rPr>
          <w:rFonts w:ascii="Times New Roman" w:hAnsi="Times New Roman" w:eastAsia="宋体"/>
          <w:szCs w:val="21"/>
        </w:rPr>
      </w:pPr>
      <w:r>
        <w:rPr>
          <w:rFonts w:ascii="Times New Roman" w:hAnsi="Times New Roman" w:eastAsia="宋体"/>
          <w:szCs w:val="21"/>
        </w:rPr>
        <w:t xml:space="preserve">支持自动/手动温度补偿</w:t>
      </w:r>
      <w:r/>
    </w:p>
    <w:p>
      <w:pPr>
        <w:pStyle w:val="1517"/>
        <w:numPr>
          <w:ilvl w:val="0"/>
          <w:numId w:val="17"/>
        </w:numPr>
        <w:spacing w:line="440" w:lineRule="exact"/>
        <w:rPr>
          <w:rFonts w:ascii="Times New Roman" w:hAnsi="Times New Roman" w:eastAsia="宋体"/>
          <w:szCs w:val="21"/>
        </w:rPr>
      </w:pPr>
      <w:r>
        <w:rPr>
          <w:rFonts w:ascii="Times New Roman" w:hAnsi="Times New Roman" w:eastAsia="宋体"/>
          <w:szCs w:val="21"/>
        </w:rPr>
        <w:t xml:space="preserve">自动识别多种电导标准溶液，支持1点电导电极标定</w:t>
      </w:r>
      <w:r/>
    </w:p>
    <w:p>
      <w:pPr>
        <w:pStyle w:val="1517"/>
        <w:numPr>
          <w:ilvl w:val="0"/>
          <w:numId w:val="17"/>
        </w:numPr>
        <w:spacing w:line="440" w:lineRule="exact"/>
        <w:rPr>
          <w:rFonts w:ascii="Times New Roman" w:hAnsi="Times New Roman" w:eastAsia="宋体"/>
          <w:szCs w:val="21"/>
        </w:rPr>
      </w:pPr>
      <w:r>
        <w:rPr>
          <w:rFonts w:ascii="Times New Roman" w:hAnsi="Times New Roman" w:eastAsia="宋体"/>
          <w:szCs w:val="21"/>
        </w:rPr>
        <w:t xml:space="preserve">支持自动频率切换</w:t>
      </w:r>
      <w:r/>
    </w:p>
    <w:p>
      <w:pPr>
        <w:pStyle w:val="1517"/>
        <w:numPr>
          <w:ilvl w:val="0"/>
          <w:numId w:val="17"/>
        </w:numPr>
        <w:spacing w:line="440" w:lineRule="exact"/>
        <w:rPr>
          <w:rFonts w:ascii="Times New Roman" w:hAnsi="Times New Roman" w:eastAsia="宋体"/>
          <w:szCs w:val="21"/>
        </w:rPr>
      </w:pPr>
      <w:r>
        <w:rPr>
          <w:rFonts w:ascii="Times New Roman" w:hAnsi="Times New Roman" w:eastAsia="宋体"/>
          <w:szCs w:val="21"/>
        </w:rPr>
        <w:t xml:space="preserve">支持数据存储、查阅和删除</w:t>
      </w:r>
      <w:r/>
    </w:p>
    <w:p>
      <w:pPr>
        <w:pStyle w:val="1517"/>
        <w:numPr>
          <w:ilvl w:val="0"/>
          <w:numId w:val="17"/>
        </w:numPr>
        <w:spacing w:line="440" w:lineRule="exact"/>
        <w:rPr>
          <w:rFonts w:ascii="Times New Roman" w:hAnsi="Times New Roman" w:eastAsia="宋体"/>
          <w:szCs w:val="21"/>
        </w:rPr>
      </w:pPr>
      <w:r>
        <w:rPr>
          <w:rFonts w:ascii="Times New Roman" w:hAnsi="Times New Roman" w:eastAsia="宋体"/>
          <w:szCs w:val="21"/>
        </w:rPr>
        <w:t xml:space="preserve">电导率级别：1.0级</w:t>
      </w:r>
      <w:r/>
    </w:p>
    <w:p>
      <w:pPr>
        <w:pStyle w:val="1517"/>
        <w:numPr>
          <w:ilvl w:val="0"/>
          <w:numId w:val="17"/>
        </w:numPr>
        <w:spacing w:line="440" w:lineRule="exact"/>
        <w:rPr>
          <w:rFonts w:ascii="Times New Roman" w:hAnsi="Times New Roman" w:eastAsia="宋体"/>
          <w:szCs w:val="21"/>
        </w:rPr>
      </w:pPr>
      <w:r>
        <w:rPr>
          <w:rFonts w:ascii="Times New Roman" w:hAnsi="Times New Roman" w:eastAsia="宋体"/>
          <w:szCs w:val="21"/>
        </w:rPr>
        <w:t xml:space="preserve">电导率范围：0.000μS/cm～200.0ｍS/cm，最小分辨率0.001μS/cm，根据量程自动切换，电子单元引用误差±1.0%FS</w:t>
      </w:r>
      <w:r/>
    </w:p>
    <w:p>
      <w:pPr>
        <w:pStyle w:val="1517"/>
        <w:numPr>
          <w:ilvl w:val="0"/>
          <w:numId w:val="17"/>
        </w:numPr>
        <w:spacing w:line="440" w:lineRule="exact"/>
        <w:rPr>
          <w:rFonts w:ascii="Times New Roman" w:hAnsi="Times New Roman" w:eastAsia="宋体"/>
          <w:szCs w:val="21"/>
        </w:rPr>
      </w:pPr>
      <w:r>
        <w:rPr>
          <w:rFonts w:ascii="Times New Roman" w:hAnsi="Times New Roman" w:eastAsia="宋体"/>
          <w:szCs w:val="21"/>
        </w:rPr>
        <w:t xml:space="preserve">TDS范围：0.000mg/L～100.0g/L，最小分辨率0.001mg/L，根据量程自动切换，电子单元引用误差±1.0％FS</w:t>
      </w:r>
      <w:r/>
    </w:p>
    <w:p>
      <w:pPr>
        <w:pStyle w:val="1517"/>
        <w:numPr>
          <w:ilvl w:val="0"/>
          <w:numId w:val="17"/>
        </w:numPr>
        <w:spacing w:line="440" w:lineRule="exact"/>
        <w:rPr>
          <w:rFonts w:ascii="Times New Roman" w:hAnsi="Times New Roman" w:eastAsia="宋体"/>
          <w:szCs w:val="21"/>
        </w:rPr>
      </w:pPr>
      <w:r>
        <w:rPr>
          <w:rFonts w:ascii="Times New Roman" w:hAnsi="Times New Roman" w:eastAsia="宋体"/>
          <w:szCs w:val="21"/>
        </w:rPr>
        <w:t xml:space="preserve">温度范围：（-5.0～110.0）℃，最小分辨率0.1℃，电子单元示值误差±0.2℃，仪器示值误差±0.4℃（0.0℃～60.0℃），±1.0℃（其他范围）</w:t>
      </w:r>
      <w:r/>
    </w:p>
    <w:p>
      <w:pPr>
        <w:pStyle w:val="1517"/>
        <w:numPr>
          <w:ilvl w:val="0"/>
          <w:numId w:val="17"/>
        </w:numPr>
        <w:spacing w:line="440" w:lineRule="exact"/>
        <w:rPr>
          <w:rFonts w:ascii="Times New Roman" w:hAnsi="Times New Roman" w:eastAsia="宋体"/>
          <w:szCs w:val="21"/>
        </w:rPr>
      </w:pPr>
      <w:r>
        <w:rPr>
          <w:rFonts w:ascii="Times New Roman" w:hAnsi="Times New Roman" w:eastAsia="宋体"/>
          <w:szCs w:val="21"/>
        </w:rPr>
        <w:t xml:space="preserve">电源（输入：AC100V～240V，输出：DC20V）</w:t>
      </w:r>
      <w:r/>
    </w:p>
    <w:p>
      <w:pPr>
        <w:pStyle w:val="1516"/>
        <w:spacing w:before="62" w:after="62" w:line="440" w:lineRule="exact"/>
        <w:rPr>
          <w:rFonts w:eastAsia="宋体"/>
          <w:szCs w:val="21"/>
        </w:rPr>
      </w:pPr>
      <w:r/>
      <w:bookmarkStart w:id="118" w:name="_Toc26808"/>
      <w:r/>
      <w:bookmarkStart w:id="119" w:name="_Toc31646"/>
      <w:r>
        <w:rPr>
          <w:rFonts w:eastAsia="宋体"/>
          <w:szCs w:val="21"/>
        </w:rPr>
        <w:t xml:space="preserve">二、电导率仪</w:t>
      </w:r>
      <w:bookmarkEnd w:id="118"/>
      <w:r/>
      <w:bookmarkEnd w:id="119"/>
      <w:r>
        <w:rPr>
          <w:rFonts w:eastAsia="宋体"/>
          <w:szCs w:val="21"/>
        </w:rPr>
        <w:t xml:space="preserve">配置要求</w:t>
      </w:r>
      <w:r/>
    </w:p>
    <w:p>
      <w:pPr>
        <w:numPr>
          <w:ilvl w:val="0"/>
          <w:numId w:val="18"/>
        </w:numPr>
        <w:spacing w:line="440" w:lineRule="exact"/>
        <w:rPr>
          <w:szCs w:val="21"/>
        </w:rPr>
      </w:pPr>
      <w:r>
        <w:rPr>
          <w:szCs w:val="21"/>
        </w:rPr>
        <w:t xml:space="preserve">电导率仪 1台</w:t>
      </w:r>
      <w:r/>
    </w:p>
    <w:p>
      <w:pPr>
        <w:numPr>
          <w:ilvl w:val="0"/>
          <w:numId w:val="18"/>
        </w:numPr>
        <w:spacing w:line="440" w:lineRule="exact"/>
        <w:rPr>
          <w:szCs w:val="21"/>
        </w:rPr>
      </w:pPr>
      <w:r>
        <w:rPr>
          <w:szCs w:val="21"/>
        </w:rPr>
        <w:t xml:space="preserve">电导电极 1支</w:t>
      </w:r>
      <w:r/>
    </w:p>
    <w:p>
      <w:pPr>
        <w:numPr>
          <w:ilvl w:val="0"/>
          <w:numId w:val="18"/>
        </w:numPr>
        <w:spacing w:line="440" w:lineRule="exact"/>
        <w:rPr>
          <w:szCs w:val="21"/>
        </w:rPr>
      </w:pPr>
      <w:r>
        <w:rPr>
          <w:szCs w:val="21"/>
        </w:rPr>
        <w:t xml:space="preserve">多功能电极架 1套</w:t>
      </w:r>
      <w:r/>
    </w:p>
    <w:p>
      <w:pPr>
        <w:numPr>
          <w:ilvl w:val="0"/>
          <w:numId w:val="18"/>
        </w:numPr>
        <w:spacing w:line="440" w:lineRule="exact"/>
        <w:rPr>
          <w:szCs w:val="21"/>
        </w:rPr>
      </w:pPr>
      <w:r>
        <w:rPr>
          <w:szCs w:val="21"/>
        </w:rPr>
        <w:t xml:space="preserve">电源适配器DC20V 1个</w:t>
      </w:r>
      <w:r/>
    </w:p>
    <w:p>
      <w:pPr>
        <w:numPr>
          <w:ilvl w:val="0"/>
          <w:numId w:val="18"/>
        </w:numPr>
        <w:spacing w:line="440" w:lineRule="exact"/>
        <w:rPr>
          <w:szCs w:val="21"/>
        </w:rPr>
      </w:pPr>
      <w:r>
        <w:rPr>
          <w:szCs w:val="21"/>
        </w:rPr>
        <w:t xml:space="preserve">防尘罩 1只</w:t>
      </w:r>
      <w:r/>
    </w:p>
    <w:p>
      <w:pPr>
        <w:numPr>
          <w:ilvl w:val="0"/>
          <w:numId w:val="18"/>
        </w:numPr>
        <w:spacing w:line="440" w:lineRule="exact"/>
        <w:rPr>
          <w:szCs w:val="21"/>
        </w:rPr>
      </w:pPr>
      <w:r>
        <w:rPr>
          <w:szCs w:val="21"/>
        </w:rPr>
        <w:t xml:space="preserve">使用说明书 1本</w:t>
      </w:r>
      <w:r/>
    </w:p>
    <w:p>
      <w:pPr>
        <w:numPr>
          <w:ilvl w:val="0"/>
          <w:numId w:val="18"/>
        </w:numPr>
        <w:spacing w:line="440" w:lineRule="exact"/>
        <w:rPr>
          <w:szCs w:val="21"/>
        </w:rPr>
      </w:pPr>
      <w:r>
        <w:rPr>
          <w:szCs w:val="21"/>
        </w:rPr>
        <w:t xml:space="preserve">产品合格证 1份</w:t>
      </w:r>
      <w:r/>
    </w:p>
    <w:p>
      <w:pPr>
        <w:jc w:val="center"/>
        <w:spacing w:line="440" w:lineRule="exact"/>
        <w:rPr>
          <w:b/>
          <w:bCs/>
          <w:szCs w:val="21"/>
        </w:rPr>
      </w:pPr>
      <w:r>
        <w:rPr>
          <w:b/>
          <w:bCs/>
          <w:szCs w:val="21"/>
        </w:rPr>
      </w:r>
      <w:r/>
    </w:p>
    <w:p>
      <w:pPr>
        <w:jc w:val="center"/>
        <w:spacing w:line="440" w:lineRule="exact"/>
        <w:rPr>
          <w:b/>
          <w:bCs/>
          <w:szCs w:val="21"/>
        </w:rPr>
      </w:pPr>
      <w:r>
        <w:rPr>
          <w:b/>
          <w:bCs/>
          <w:szCs w:val="21"/>
        </w:rPr>
        <w:t xml:space="preserve">品目九 便携式溶解氧测定仪</w:t>
      </w:r>
      <w:r/>
    </w:p>
    <w:p>
      <w:pPr>
        <w:spacing w:line="440" w:lineRule="exact"/>
        <w:rPr>
          <w:b/>
          <w:szCs w:val="21"/>
        </w:rPr>
      </w:pPr>
      <w:r>
        <w:rPr>
          <w:b/>
          <w:szCs w:val="21"/>
        </w:rPr>
        <w:t xml:space="preserve">一、技术参数要求：</w:t>
      </w:r>
      <w:r/>
    </w:p>
    <w:p>
      <w:pPr>
        <w:ind w:firstLine="210"/>
        <w:spacing w:line="440" w:lineRule="exact"/>
        <w:rPr>
          <w:szCs w:val="21"/>
        </w:rPr>
      </w:pPr>
      <w:r>
        <w:rPr>
          <w:szCs w:val="21"/>
        </w:rPr>
        <w:t xml:space="preserve">1.检测范围：0.10μg/L～20.00mg/L；</w:t>
      </w:r>
      <w:r/>
    </w:p>
    <w:p>
      <w:pPr>
        <w:spacing w:line="440" w:lineRule="exact"/>
        <w:rPr>
          <w:szCs w:val="21"/>
        </w:rPr>
      </w:pPr>
      <w:r>
        <w:rPr>
          <w:rFonts w:ascii="Segoe UI Symbol" w:hAnsi="Segoe UI Symbol" w:cs="Segoe UI Symbol"/>
          <w:szCs w:val="21"/>
        </w:rPr>
        <w:t xml:space="preserve">★</w:t>
      </w:r>
      <w:r>
        <w:rPr>
          <w:szCs w:val="21"/>
        </w:rPr>
        <w:t xml:space="preserve">2.分辨率：0.01μg/L；</w:t>
      </w:r>
      <w:r/>
    </w:p>
    <w:p>
      <w:pPr>
        <w:spacing w:line="440" w:lineRule="exact"/>
        <w:rPr>
          <w:szCs w:val="21"/>
        </w:rPr>
      </w:pPr>
      <w:r>
        <w:rPr>
          <w:rFonts w:ascii="Segoe UI Symbol" w:hAnsi="Segoe UI Symbol" w:cs="Segoe UI Symbol"/>
          <w:szCs w:val="21"/>
        </w:rPr>
        <w:t xml:space="preserve">★</w:t>
      </w:r>
      <w:r>
        <w:rPr>
          <w:szCs w:val="21"/>
        </w:rPr>
        <w:t xml:space="preserve">3.零值误差：小于0.5μg/L；</w:t>
      </w:r>
      <w:r/>
    </w:p>
    <w:p>
      <w:pPr>
        <w:spacing w:line="440" w:lineRule="exact"/>
        <w:rPr>
          <w:szCs w:val="21"/>
        </w:rPr>
      </w:pPr>
      <w:r>
        <w:rPr>
          <w:rFonts w:ascii="Segoe UI Symbol" w:hAnsi="Segoe UI Symbol" w:cs="Segoe UI Symbol"/>
          <w:szCs w:val="21"/>
        </w:rPr>
        <w:t xml:space="preserve">★</w:t>
      </w:r>
      <w:r>
        <w:rPr>
          <w:szCs w:val="21"/>
        </w:rPr>
        <w:t xml:space="preserve">4.响应时间：小于15s；</w:t>
      </w:r>
      <w:r/>
    </w:p>
    <w:p>
      <w:pPr>
        <w:ind w:firstLine="210"/>
        <w:spacing w:line="440" w:lineRule="exact"/>
        <w:rPr>
          <w:szCs w:val="21"/>
        </w:rPr>
      </w:pPr>
      <w:r>
        <w:rPr>
          <w:szCs w:val="21"/>
        </w:rPr>
        <w:t xml:space="preserve">5.温度传感器：NTC热敏电阻；精度：0.1℃；</w:t>
      </w:r>
      <w:r/>
    </w:p>
    <w:p>
      <w:pPr>
        <w:ind w:firstLine="210"/>
        <w:spacing w:line="440" w:lineRule="exact"/>
        <w:rPr>
          <w:szCs w:val="21"/>
        </w:rPr>
      </w:pPr>
      <w:r>
        <w:rPr>
          <w:szCs w:val="21"/>
        </w:rPr>
        <w:t xml:space="preserve">6.标定：空气斜率校准、零点校准；</w:t>
      </w:r>
      <w:r/>
    </w:p>
    <w:p>
      <w:pPr>
        <w:ind w:firstLine="210"/>
        <w:spacing w:line="440" w:lineRule="exact"/>
        <w:rPr>
          <w:szCs w:val="21"/>
        </w:rPr>
      </w:pPr>
      <w:r>
        <w:rPr>
          <w:szCs w:val="21"/>
        </w:rPr>
        <w:t xml:space="preserve">7.补偿功能：自动温补（0-50℃），手动气压和盐度；</w:t>
      </w:r>
      <w:r/>
    </w:p>
    <w:p>
      <w:pPr>
        <w:ind w:firstLine="210"/>
        <w:spacing w:line="440" w:lineRule="exact"/>
        <w:rPr>
          <w:szCs w:val="21"/>
        </w:rPr>
      </w:pPr>
      <w:r>
        <w:rPr>
          <w:szCs w:val="21"/>
        </w:rPr>
        <w:t xml:space="preserve">8.电池寿命：可连续使用超过1500小时；</w:t>
      </w:r>
      <w:r/>
    </w:p>
    <w:p>
      <w:pPr>
        <w:ind w:firstLine="210"/>
        <w:spacing w:line="440" w:lineRule="exact"/>
        <w:rPr>
          <w:szCs w:val="21"/>
        </w:rPr>
      </w:pPr>
      <w:r>
        <w:rPr>
          <w:szCs w:val="21"/>
        </w:rPr>
        <w:t xml:space="preserve">9.防护等级：仪器：IP67；探头：IP68；</w:t>
      </w:r>
      <w:r/>
    </w:p>
    <w:p>
      <w:pPr>
        <w:ind w:firstLine="210"/>
        <w:spacing w:line="440" w:lineRule="exact"/>
        <w:rPr>
          <w:szCs w:val="21"/>
        </w:rPr>
      </w:pPr>
      <w:r>
        <w:rPr>
          <w:szCs w:val="21"/>
        </w:rPr>
        <w:t xml:space="preserve">10.储运环境：温度：0～45℃；相对湿度：≤90%；</w:t>
      </w:r>
      <w:r/>
    </w:p>
    <w:p>
      <w:pPr>
        <w:ind w:firstLine="210"/>
        <w:spacing w:line="440" w:lineRule="exact"/>
        <w:rPr>
          <w:szCs w:val="21"/>
        </w:rPr>
      </w:pPr>
      <w:r>
        <w:rPr>
          <w:szCs w:val="21"/>
        </w:rPr>
        <w:t xml:space="preserve">11.测试条件：水样温度：0～45℃，流量：160～500mL/min并保持恒定。</w:t>
      </w:r>
      <w:r/>
    </w:p>
    <w:p>
      <w:pPr>
        <w:spacing w:line="440" w:lineRule="exact"/>
        <w:rPr>
          <w:b/>
          <w:bCs/>
          <w:szCs w:val="21"/>
        </w:rPr>
      </w:pPr>
      <w:r>
        <w:rPr>
          <w:b/>
          <w:bCs/>
          <w:szCs w:val="21"/>
        </w:rPr>
        <w:t xml:space="preserve">二、配置要求</w:t>
      </w:r>
      <w:r/>
    </w:p>
    <w:p>
      <w:pPr>
        <w:pStyle w:val="1429"/>
        <w:ind w:firstLine="210"/>
        <w:spacing w:line="440" w:lineRule="exact"/>
        <w:rPr>
          <w:szCs w:val="21"/>
        </w:rPr>
      </w:pPr>
      <w:r>
        <w:rPr>
          <w:szCs w:val="21"/>
        </w:rPr>
        <w:t xml:space="preserve">1、主机 1只</w:t>
      </w:r>
      <w:r/>
    </w:p>
    <w:p>
      <w:pPr>
        <w:ind w:firstLine="210"/>
        <w:spacing w:line="440" w:lineRule="exact"/>
        <w:rPr>
          <w:szCs w:val="21"/>
        </w:rPr>
      </w:pPr>
      <w:r>
        <w:rPr>
          <w:szCs w:val="21"/>
        </w:rPr>
        <w:t xml:space="preserve">2、传感器（含线缆） 1套</w:t>
      </w:r>
      <w:r/>
    </w:p>
    <w:p>
      <w:pPr>
        <w:ind w:firstLine="210"/>
        <w:spacing w:line="440" w:lineRule="exact"/>
        <w:rPr>
          <w:szCs w:val="21"/>
        </w:rPr>
      </w:pPr>
      <w:r>
        <w:rPr>
          <w:szCs w:val="21"/>
        </w:rPr>
        <w:t xml:space="preserve">3、备件包（电解液、渗透膜、流通池） 1套</w:t>
      </w:r>
      <w:r/>
    </w:p>
    <w:p>
      <w:pPr>
        <w:pStyle w:val="1429"/>
        <w:ind w:firstLine="210"/>
        <w:spacing w:line="440" w:lineRule="exact"/>
        <w:rPr>
          <w:szCs w:val="21"/>
        </w:rPr>
      </w:pPr>
      <w:r>
        <w:rPr>
          <w:szCs w:val="21"/>
        </w:rPr>
        <w:t xml:space="preserve">4、产品说明书 1份</w:t>
      </w:r>
      <w:r/>
    </w:p>
    <w:p>
      <w:pPr>
        <w:ind w:firstLine="210"/>
        <w:spacing w:line="440" w:lineRule="exact"/>
        <w:rPr>
          <w:szCs w:val="21"/>
        </w:rPr>
      </w:pPr>
      <w:r>
        <w:rPr>
          <w:szCs w:val="21"/>
        </w:rPr>
        <w:t xml:space="preserve">5、便携箱 1只</w:t>
      </w:r>
      <w:r/>
    </w:p>
    <w:p>
      <w:pPr>
        <w:jc w:val="center"/>
        <w:spacing w:line="440" w:lineRule="exact"/>
        <w:rPr>
          <w:b/>
          <w:bCs/>
          <w:szCs w:val="21"/>
        </w:rPr>
      </w:pPr>
      <w:r>
        <w:rPr>
          <w:b/>
          <w:bCs/>
          <w:szCs w:val="21"/>
        </w:rPr>
      </w:r>
      <w:r/>
    </w:p>
    <w:p>
      <w:pPr>
        <w:jc w:val="center"/>
        <w:spacing w:line="440" w:lineRule="exact"/>
        <w:rPr>
          <w:b/>
          <w:bCs/>
          <w:szCs w:val="21"/>
        </w:rPr>
      </w:pPr>
      <w:r>
        <w:rPr>
          <w:b/>
          <w:bCs/>
          <w:szCs w:val="21"/>
        </w:rPr>
        <w:t xml:space="preserve">品目十 原子吸收光谱仪</w:t>
      </w:r>
      <w:r/>
    </w:p>
    <w:p>
      <w:pPr>
        <w:pStyle w:val="1413"/>
        <w:spacing w:line="440" w:lineRule="exact"/>
        <w:rPr>
          <w:rFonts w:ascii="Times New Roman"/>
          <w:b/>
          <w:bCs/>
          <w:sz w:val="21"/>
          <w:szCs w:val="21"/>
        </w:rPr>
      </w:pPr>
      <w:r>
        <w:rPr>
          <w:rFonts w:ascii="Times New Roman"/>
          <w:b/>
          <w:bCs/>
          <w:sz w:val="21"/>
          <w:szCs w:val="21"/>
        </w:rPr>
        <w:t xml:space="preserve">一、分光系统</w:t>
      </w:r>
      <w:r/>
    </w:p>
    <w:p>
      <w:pPr>
        <w:pStyle w:val="1413"/>
        <w:spacing w:line="440" w:lineRule="exact"/>
        <w:rPr>
          <w:rFonts w:ascii="Times New Roman"/>
          <w:sz w:val="21"/>
          <w:szCs w:val="21"/>
        </w:rPr>
      </w:pPr>
      <w:r>
        <w:rPr>
          <w:rFonts w:ascii="Segoe UI Symbol" w:hAnsi="Segoe UI Symbol" w:cs="Segoe UI Symbol"/>
          <w:sz w:val="21"/>
          <w:szCs w:val="21"/>
        </w:rPr>
        <w:t xml:space="preserve">★</w:t>
      </w:r>
      <w:r>
        <w:rPr>
          <w:rFonts w:ascii="Times New Roman"/>
          <w:sz w:val="21"/>
          <w:szCs w:val="21"/>
        </w:rPr>
        <w:t xml:space="preserve">1、波长范围：不小于185-910nm</w:t>
      </w:r>
      <w:r/>
    </w:p>
    <w:p>
      <w:pPr>
        <w:pStyle w:val="1413"/>
        <w:ind w:firstLine="210"/>
        <w:spacing w:line="440" w:lineRule="exact"/>
        <w:rPr>
          <w:rFonts w:ascii="Times New Roman"/>
          <w:sz w:val="21"/>
          <w:szCs w:val="21"/>
        </w:rPr>
      </w:pPr>
      <w:r>
        <w:rPr>
          <w:rFonts w:ascii="Times New Roman"/>
          <w:sz w:val="21"/>
          <w:szCs w:val="21"/>
        </w:rPr>
        <w:t xml:space="preserve">2、单色器：消象差C-T型单色器</w:t>
      </w:r>
      <w:r/>
    </w:p>
    <w:p>
      <w:pPr>
        <w:pStyle w:val="1413"/>
        <w:ind w:firstLine="210"/>
        <w:spacing w:line="440" w:lineRule="exact"/>
        <w:rPr>
          <w:rFonts w:ascii="Times New Roman"/>
          <w:sz w:val="21"/>
          <w:szCs w:val="21"/>
        </w:rPr>
      </w:pPr>
      <w:r>
        <w:rPr>
          <w:rFonts w:ascii="Times New Roman"/>
          <w:sz w:val="21"/>
          <w:szCs w:val="21"/>
        </w:rPr>
        <w:t xml:space="preserve">3、光栅刻线：≥1800条/mm</w:t>
      </w:r>
      <w:r/>
    </w:p>
    <w:p>
      <w:pPr>
        <w:pStyle w:val="1413"/>
        <w:spacing w:line="440" w:lineRule="exact"/>
        <w:rPr>
          <w:rFonts w:ascii="Times New Roman"/>
          <w:sz w:val="21"/>
          <w:szCs w:val="21"/>
        </w:rPr>
      </w:pPr>
      <w:r>
        <w:rPr>
          <w:rFonts w:ascii="Segoe UI Symbol" w:hAnsi="Segoe UI Symbol" w:cs="Segoe UI Symbol"/>
          <w:sz w:val="21"/>
          <w:szCs w:val="21"/>
        </w:rPr>
        <w:t xml:space="preserve">★</w:t>
      </w:r>
      <w:r>
        <w:rPr>
          <w:rFonts w:ascii="Times New Roman"/>
          <w:sz w:val="21"/>
          <w:szCs w:val="21"/>
        </w:rPr>
        <w:t xml:space="preserve">4、不少于八只灯的回转灯架，自动精准找位；</w:t>
      </w:r>
      <w:r/>
    </w:p>
    <w:p>
      <w:pPr>
        <w:pStyle w:val="1413"/>
        <w:ind w:firstLine="210"/>
        <w:spacing w:line="440" w:lineRule="exact"/>
        <w:rPr>
          <w:rFonts w:ascii="Times New Roman"/>
          <w:sz w:val="21"/>
          <w:szCs w:val="21"/>
        </w:rPr>
      </w:pPr>
      <w:r>
        <w:rPr>
          <w:rFonts w:ascii="Times New Roman"/>
          <w:sz w:val="21"/>
          <w:szCs w:val="21"/>
        </w:rPr>
        <w:t xml:space="preserve">5、光谱带宽：0.1、0.2、0.4、1.0、2.0nm五档自动可选；</w:t>
      </w:r>
      <w:r/>
    </w:p>
    <w:p>
      <w:pPr>
        <w:pStyle w:val="1413"/>
        <w:ind w:firstLine="210"/>
        <w:spacing w:line="440" w:lineRule="exact"/>
        <w:rPr>
          <w:rFonts w:ascii="Times New Roman"/>
          <w:sz w:val="21"/>
          <w:szCs w:val="21"/>
        </w:rPr>
      </w:pPr>
      <w:r>
        <w:rPr>
          <w:rFonts w:ascii="Times New Roman"/>
          <w:sz w:val="21"/>
          <w:szCs w:val="21"/>
        </w:rPr>
        <w:t xml:space="preserve">6、波长准确度：±0.15nm；</w:t>
      </w:r>
      <w:r/>
    </w:p>
    <w:p>
      <w:pPr>
        <w:pStyle w:val="1413"/>
        <w:ind w:firstLine="210"/>
        <w:spacing w:line="440" w:lineRule="exact"/>
        <w:rPr>
          <w:rFonts w:ascii="Times New Roman"/>
          <w:sz w:val="21"/>
          <w:szCs w:val="21"/>
        </w:rPr>
      </w:pPr>
      <w:r>
        <w:rPr>
          <w:rFonts w:ascii="Times New Roman"/>
          <w:sz w:val="21"/>
          <w:szCs w:val="21"/>
        </w:rPr>
        <w:t xml:space="preserve">7、波长重复性：≤0.05nm；</w:t>
      </w:r>
      <w:r/>
    </w:p>
    <w:p>
      <w:pPr>
        <w:pStyle w:val="1413"/>
        <w:ind w:firstLine="210"/>
        <w:spacing w:line="440" w:lineRule="exact"/>
        <w:rPr>
          <w:rFonts w:ascii="Times New Roman"/>
          <w:sz w:val="21"/>
          <w:szCs w:val="21"/>
        </w:rPr>
      </w:pPr>
      <w:r>
        <w:rPr>
          <w:rFonts w:ascii="Times New Roman"/>
          <w:sz w:val="21"/>
          <w:szCs w:val="21"/>
        </w:rPr>
        <w:t xml:space="preserve">8、基线漂移：±0.002A/30min（静态）；</w:t>
      </w:r>
      <w:r/>
    </w:p>
    <w:p>
      <w:pPr>
        <w:pStyle w:val="1413"/>
        <w:spacing w:line="440" w:lineRule="exact"/>
        <w:rPr>
          <w:rFonts w:ascii="Times New Roman"/>
          <w:sz w:val="21"/>
          <w:szCs w:val="21"/>
        </w:rPr>
      </w:pPr>
      <w:r>
        <w:rPr>
          <w:rFonts w:ascii="Segoe UI Symbol" w:hAnsi="Segoe UI Symbol" w:cs="Segoe UI Symbol"/>
          <w:sz w:val="21"/>
          <w:szCs w:val="21"/>
        </w:rPr>
        <w:t xml:space="preserve">★</w:t>
      </w:r>
      <w:r>
        <w:rPr>
          <w:rFonts w:ascii="Times New Roman"/>
          <w:sz w:val="21"/>
          <w:szCs w:val="21"/>
        </w:rPr>
        <w:t xml:space="preserve">9、配备石墨炉、火焰一体自动进样器附件，具备自动清洗、欠压保护、水平调节、自动富集、自动配制标准溶液、自动添加基体改进剂等功能</w:t>
      </w:r>
      <w:r/>
    </w:p>
    <w:p>
      <w:pPr>
        <w:pStyle w:val="1413"/>
        <w:spacing w:line="440" w:lineRule="exact"/>
        <w:rPr>
          <w:rFonts w:ascii="Times New Roman"/>
          <w:b/>
          <w:bCs/>
          <w:sz w:val="21"/>
          <w:szCs w:val="21"/>
        </w:rPr>
      </w:pPr>
      <w:r>
        <w:rPr>
          <w:rFonts w:ascii="Times New Roman"/>
          <w:b/>
          <w:bCs/>
          <w:sz w:val="21"/>
          <w:szCs w:val="21"/>
        </w:rPr>
        <w:t xml:space="preserve">二、火焰分析</w:t>
      </w:r>
      <w:r/>
    </w:p>
    <w:p>
      <w:pPr>
        <w:pStyle w:val="1413"/>
        <w:spacing w:line="440" w:lineRule="exact"/>
        <w:rPr>
          <w:rFonts w:ascii="Times New Roman"/>
          <w:sz w:val="21"/>
          <w:szCs w:val="21"/>
        </w:rPr>
      </w:pPr>
      <w:r>
        <w:rPr>
          <w:rFonts w:ascii="Segoe UI Symbol" w:hAnsi="Segoe UI Symbol" w:cs="Segoe UI Symbol"/>
          <w:sz w:val="21"/>
          <w:szCs w:val="21"/>
        </w:rPr>
        <w:t xml:space="preserve">★</w:t>
      </w:r>
      <w:r>
        <w:rPr>
          <w:rFonts w:ascii="Times New Roman"/>
          <w:sz w:val="21"/>
          <w:szCs w:val="21"/>
        </w:rPr>
        <w:t xml:space="preserve">1、特征浓度（Cu)：Cu＜0.02ug/ml/1/％</w:t>
      </w:r>
      <w:r/>
    </w:p>
    <w:p>
      <w:pPr>
        <w:pStyle w:val="1413"/>
        <w:ind w:firstLine="210"/>
        <w:spacing w:line="440" w:lineRule="exact"/>
        <w:rPr>
          <w:rFonts w:ascii="Times New Roman"/>
          <w:sz w:val="21"/>
          <w:szCs w:val="21"/>
        </w:rPr>
      </w:pPr>
      <w:r>
        <w:rPr>
          <w:rFonts w:ascii="Times New Roman"/>
          <w:sz w:val="21"/>
          <w:szCs w:val="21"/>
        </w:rPr>
        <w:t xml:space="preserve">2、检出限：Cu＜0.004μg/mL</w:t>
      </w:r>
      <w:r/>
    </w:p>
    <w:p>
      <w:pPr>
        <w:pStyle w:val="1413"/>
        <w:ind w:firstLine="210"/>
        <w:spacing w:line="440" w:lineRule="exact"/>
        <w:rPr>
          <w:rFonts w:ascii="Times New Roman"/>
          <w:sz w:val="21"/>
          <w:szCs w:val="21"/>
        </w:rPr>
      </w:pPr>
      <w:r>
        <w:rPr>
          <w:rFonts w:ascii="Times New Roman"/>
          <w:sz w:val="21"/>
          <w:szCs w:val="21"/>
        </w:rPr>
        <w:t xml:space="preserve">3、燃烧器：金属钛燃烧头</w:t>
      </w:r>
      <w:r/>
    </w:p>
    <w:p>
      <w:pPr>
        <w:pStyle w:val="1413"/>
        <w:ind w:firstLine="210"/>
        <w:spacing w:line="440" w:lineRule="exact"/>
        <w:rPr>
          <w:rFonts w:ascii="Times New Roman"/>
          <w:sz w:val="21"/>
          <w:szCs w:val="21"/>
        </w:rPr>
      </w:pPr>
      <w:r>
        <w:rPr>
          <w:rFonts w:ascii="Times New Roman"/>
          <w:sz w:val="21"/>
          <w:szCs w:val="21"/>
        </w:rPr>
        <w:t xml:space="preserve">4、喷雾器：高效玻璃雾化器</w:t>
      </w:r>
      <w:r/>
    </w:p>
    <w:p>
      <w:pPr>
        <w:pStyle w:val="1413"/>
        <w:ind w:firstLine="210"/>
        <w:spacing w:line="440" w:lineRule="exact"/>
        <w:rPr>
          <w:rFonts w:ascii="Times New Roman"/>
          <w:sz w:val="21"/>
          <w:szCs w:val="21"/>
        </w:rPr>
      </w:pPr>
      <w:r>
        <w:rPr>
          <w:rFonts w:ascii="Times New Roman"/>
          <w:sz w:val="21"/>
          <w:szCs w:val="21"/>
        </w:rPr>
        <w:t xml:space="preserve">5、雾化室：耐腐蚀材料雾化室</w:t>
      </w:r>
      <w:r/>
    </w:p>
    <w:p>
      <w:pPr>
        <w:pStyle w:val="1413"/>
        <w:ind w:firstLine="210"/>
        <w:spacing w:line="440" w:lineRule="exact"/>
        <w:rPr>
          <w:rFonts w:ascii="Times New Roman"/>
          <w:sz w:val="21"/>
          <w:szCs w:val="21"/>
        </w:rPr>
      </w:pPr>
      <w:r>
        <w:rPr>
          <w:rFonts w:ascii="Times New Roman"/>
          <w:sz w:val="21"/>
          <w:szCs w:val="21"/>
        </w:rPr>
        <w:t xml:space="preserve">6、位置调节：燃烧器高度可自动调节</w:t>
      </w:r>
      <w:r/>
    </w:p>
    <w:p>
      <w:pPr>
        <w:pStyle w:val="1413"/>
        <w:ind w:firstLine="210"/>
        <w:spacing w:line="440" w:lineRule="exact"/>
        <w:rPr>
          <w:rFonts w:ascii="Times New Roman"/>
          <w:sz w:val="21"/>
          <w:szCs w:val="21"/>
        </w:rPr>
      </w:pPr>
      <w:r>
        <w:rPr>
          <w:rFonts w:ascii="Times New Roman"/>
          <w:sz w:val="21"/>
          <w:szCs w:val="21"/>
        </w:rPr>
        <w:t xml:space="preserve">7、安全措施：具有多种自动安全保护功能</w:t>
      </w:r>
      <w:r/>
    </w:p>
    <w:p>
      <w:pPr>
        <w:pStyle w:val="1413"/>
        <w:ind w:firstLine="210"/>
        <w:spacing w:line="440" w:lineRule="exact"/>
        <w:rPr>
          <w:rFonts w:ascii="Times New Roman"/>
          <w:sz w:val="21"/>
          <w:szCs w:val="21"/>
        </w:rPr>
      </w:pPr>
      <w:r>
        <w:rPr>
          <w:rFonts w:ascii="Times New Roman"/>
          <w:sz w:val="21"/>
          <w:szCs w:val="21"/>
        </w:rPr>
        <w:t xml:space="preserve">8、精密度：Cu＜0.6%;</w:t>
      </w:r>
      <w:r/>
    </w:p>
    <w:p>
      <w:pPr>
        <w:pStyle w:val="1413"/>
        <w:ind w:firstLine="210"/>
        <w:spacing w:line="440" w:lineRule="exact"/>
        <w:rPr>
          <w:rFonts w:ascii="Times New Roman"/>
          <w:sz w:val="21"/>
          <w:szCs w:val="21"/>
        </w:rPr>
      </w:pPr>
      <w:r>
        <w:rPr>
          <w:rFonts w:ascii="Times New Roman"/>
          <w:sz w:val="21"/>
          <w:szCs w:val="21"/>
        </w:rPr>
        <w:t xml:space="preserve">9、火焰监视器可随时监测火焰变化，意外熄火时，仪器会自动关闭乙炔流量并提示报警；配备乙炔漏气保护装置、压力异常保护装置</w:t>
      </w:r>
      <w:r/>
    </w:p>
    <w:p>
      <w:pPr>
        <w:pStyle w:val="1413"/>
        <w:spacing w:line="440" w:lineRule="exact"/>
        <w:rPr>
          <w:rFonts w:ascii="Times New Roman"/>
          <w:sz w:val="21"/>
          <w:szCs w:val="21"/>
        </w:rPr>
      </w:pPr>
      <w:r>
        <w:rPr>
          <w:rFonts w:ascii="Segoe UI Symbol" w:hAnsi="Segoe UI Symbol" w:cs="Segoe UI Symbol"/>
          <w:sz w:val="21"/>
          <w:szCs w:val="21"/>
        </w:rPr>
        <w:t xml:space="preserve">★</w:t>
      </w:r>
      <w:r>
        <w:rPr>
          <w:rFonts w:ascii="Times New Roman"/>
          <w:sz w:val="21"/>
          <w:szCs w:val="21"/>
        </w:rPr>
        <w:t xml:space="preserve">10、内置空气—乙炔、空气—液化石油气和石墨炉三种原子化模式</w:t>
      </w:r>
      <w:r/>
    </w:p>
    <w:p>
      <w:pPr>
        <w:pStyle w:val="1413"/>
        <w:ind w:firstLine="210"/>
        <w:spacing w:line="440" w:lineRule="exact"/>
        <w:rPr>
          <w:rFonts w:ascii="Times New Roman"/>
          <w:sz w:val="21"/>
          <w:szCs w:val="21"/>
        </w:rPr>
      </w:pPr>
      <w:r>
        <w:rPr>
          <w:rFonts w:ascii="Times New Roman"/>
          <w:sz w:val="21"/>
          <w:szCs w:val="21"/>
        </w:rPr>
        <w:t xml:space="preserve">11、空气—乙炔、空气—液化石油气两种火焰燃烧头自动识别，充分保障操作者的使用安全；扩张后笑气—乙炔三种火焰燃烧头自动识别</w:t>
      </w:r>
      <w:r/>
    </w:p>
    <w:p>
      <w:pPr>
        <w:pStyle w:val="1413"/>
        <w:spacing w:line="440" w:lineRule="exact"/>
        <w:rPr>
          <w:rFonts w:ascii="Times New Roman"/>
          <w:b/>
          <w:bCs/>
          <w:sz w:val="21"/>
          <w:szCs w:val="21"/>
        </w:rPr>
      </w:pPr>
      <w:r>
        <w:rPr>
          <w:rFonts w:ascii="Times New Roman"/>
          <w:b/>
          <w:bCs/>
          <w:sz w:val="21"/>
          <w:szCs w:val="21"/>
        </w:rPr>
        <w:t xml:space="preserve">三、石墨炉分析</w:t>
      </w:r>
      <w:r/>
    </w:p>
    <w:p>
      <w:pPr>
        <w:pStyle w:val="1413"/>
        <w:ind w:firstLine="210"/>
        <w:spacing w:line="440" w:lineRule="exact"/>
        <w:rPr>
          <w:rFonts w:ascii="Times New Roman"/>
          <w:sz w:val="21"/>
          <w:szCs w:val="21"/>
        </w:rPr>
      </w:pPr>
      <w:r>
        <w:rPr>
          <w:rFonts w:ascii="Times New Roman"/>
          <w:sz w:val="21"/>
          <w:szCs w:val="21"/>
        </w:rPr>
        <w:t xml:space="preserve">1、检出限(Cd)：≤0.4×10</w:t>
      </w:r>
      <w:r>
        <w:rPr>
          <w:rFonts w:ascii="Times New Roman"/>
          <w:sz w:val="21"/>
          <w:szCs w:val="21"/>
          <w:vertAlign w:val="superscript"/>
        </w:rPr>
        <w:t xml:space="preserve">-12</w:t>
      </w:r>
      <w:r>
        <w:rPr>
          <w:rFonts w:ascii="Times New Roman"/>
          <w:sz w:val="21"/>
          <w:szCs w:val="21"/>
        </w:rPr>
        <w:t xml:space="preserve">g</w:t>
      </w:r>
      <w:r/>
    </w:p>
    <w:p>
      <w:pPr>
        <w:pStyle w:val="1413"/>
        <w:ind w:firstLine="210"/>
        <w:spacing w:line="440" w:lineRule="exact"/>
        <w:rPr>
          <w:rFonts w:ascii="Times New Roman"/>
          <w:sz w:val="21"/>
          <w:szCs w:val="21"/>
        </w:rPr>
      </w:pPr>
      <w:r>
        <w:rPr>
          <w:rFonts w:ascii="Times New Roman"/>
          <w:sz w:val="21"/>
          <w:szCs w:val="21"/>
        </w:rPr>
        <w:t xml:space="preserve">2、精密度：Cu＜2%，Cd＜2%，</w:t>
      </w:r>
      <w:r/>
    </w:p>
    <w:p>
      <w:pPr>
        <w:pStyle w:val="1413"/>
        <w:spacing w:line="440" w:lineRule="exact"/>
        <w:rPr>
          <w:rFonts w:ascii="Times New Roman"/>
          <w:sz w:val="21"/>
          <w:szCs w:val="21"/>
        </w:rPr>
      </w:pPr>
      <w:r>
        <w:rPr>
          <w:rFonts w:ascii="Segoe UI Symbol" w:hAnsi="Segoe UI Symbol" w:cs="Segoe UI Symbol"/>
          <w:sz w:val="21"/>
          <w:szCs w:val="21"/>
        </w:rPr>
        <w:t xml:space="preserve">★</w:t>
      </w:r>
      <w:r>
        <w:rPr>
          <w:rFonts w:ascii="Times New Roman"/>
          <w:sz w:val="21"/>
          <w:szCs w:val="21"/>
        </w:rPr>
        <w:t xml:space="preserve">3、石墨管加热方式：石墨炉横向加热</w:t>
      </w:r>
      <w:r/>
    </w:p>
    <w:p>
      <w:pPr>
        <w:pStyle w:val="1413"/>
        <w:ind w:firstLine="210"/>
        <w:spacing w:line="440" w:lineRule="exact"/>
        <w:rPr>
          <w:rFonts w:ascii="Times New Roman"/>
          <w:sz w:val="21"/>
          <w:szCs w:val="21"/>
        </w:rPr>
      </w:pPr>
      <w:r>
        <w:rPr>
          <w:rFonts w:ascii="Times New Roman"/>
          <w:sz w:val="21"/>
          <w:szCs w:val="21"/>
        </w:rPr>
        <w:t xml:space="preserve">4、加热控温方式：干燥灰化阶段功率控制；原子化阶段采用光控最大功率方式；</w:t>
      </w:r>
      <w:r/>
    </w:p>
    <w:p>
      <w:pPr>
        <w:pStyle w:val="1413"/>
        <w:ind w:firstLine="210"/>
        <w:spacing w:line="440" w:lineRule="exact"/>
        <w:rPr>
          <w:rFonts w:ascii="Times New Roman"/>
          <w:sz w:val="21"/>
          <w:szCs w:val="21"/>
        </w:rPr>
      </w:pPr>
      <w:r>
        <w:rPr>
          <w:rFonts w:ascii="Times New Roman"/>
          <w:sz w:val="21"/>
          <w:szCs w:val="21"/>
        </w:rPr>
        <w:t xml:space="preserve">5、氘灯背景校正：＞55倍@1Abs；</w:t>
      </w:r>
      <w:r/>
    </w:p>
    <w:p>
      <w:pPr>
        <w:pStyle w:val="1413"/>
        <w:ind w:firstLine="210"/>
        <w:spacing w:line="440" w:lineRule="exact"/>
        <w:rPr>
          <w:rFonts w:ascii="Times New Roman"/>
          <w:sz w:val="21"/>
          <w:szCs w:val="21"/>
        </w:rPr>
      </w:pPr>
      <w:r>
        <w:rPr>
          <w:rFonts w:ascii="Times New Roman"/>
          <w:sz w:val="21"/>
          <w:szCs w:val="21"/>
        </w:rPr>
        <w:t xml:space="preserve">6、升温方式：斜坡升温、阶梯升温、最大功率升温</w:t>
      </w:r>
      <w:r/>
    </w:p>
    <w:p>
      <w:pPr>
        <w:pStyle w:val="1413"/>
        <w:ind w:firstLine="210"/>
        <w:spacing w:line="440" w:lineRule="exact"/>
        <w:rPr>
          <w:rFonts w:ascii="Times New Roman"/>
          <w:sz w:val="21"/>
          <w:szCs w:val="21"/>
        </w:rPr>
      </w:pPr>
      <w:r>
        <w:rPr>
          <w:rFonts w:ascii="Times New Roman"/>
          <w:sz w:val="21"/>
          <w:szCs w:val="21"/>
        </w:rPr>
        <w:t xml:space="preserve">7、控温精度：＜1%</w:t>
      </w:r>
      <w:r/>
    </w:p>
    <w:p>
      <w:pPr>
        <w:pStyle w:val="1413"/>
        <w:spacing w:line="440" w:lineRule="exact"/>
        <w:rPr>
          <w:rFonts w:ascii="Times New Roman"/>
          <w:b/>
          <w:bCs/>
          <w:sz w:val="21"/>
          <w:szCs w:val="21"/>
        </w:rPr>
      </w:pPr>
      <w:r>
        <w:rPr>
          <w:rFonts w:ascii="Times New Roman"/>
          <w:b/>
          <w:bCs/>
          <w:sz w:val="21"/>
          <w:szCs w:val="21"/>
        </w:rPr>
        <w:t xml:space="preserve">四、数据处理</w:t>
      </w:r>
      <w:r/>
    </w:p>
    <w:p>
      <w:pPr>
        <w:pStyle w:val="1413"/>
        <w:ind w:firstLine="210"/>
        <w:spacing w:line="440" w:lineRule="exact"/>
        <w:rPr>
          <w:rFonts w:ascii="Times New Roman"/>
          <w:sz w:val="21"/>
          <w:szCs w:val="21"/>
        </w:rPr>
      </w:pPr>
      <w:r>
        <w:rPr>
          <w:rFonts w:ascii="Times New Roman"/>
          <w:sz w:val="21"/>
          <w:szCs w:val="21"/>
        </w:rPr>
        <w:t xml:space="preserve">1、测量方式：火焰法、石墨炉法、氢化物发生－原子吸收法</w:t>
      </w:r>
      <w:r/>
    </w:p>
    <w:p>
      <w:pPr>
        <w:pStyle w:val="1413"/>
        <w:ind w:firstLine="210"/>
        <w:spacing w:line="440" w:lineRule="exact"/>
        <w:rPr>
          <w:rFonts w:ascii="Times New Roman"/>
          <w:sz w:val="21"/>
          <w:szCs w:val="21"/>
        </w:rPr>
      </w:pPr>
      <w:r>
        <w:rPr>
          <w:rFonts w:ascii="Times New Roman"/>
          <w:sz w:val="21"/>
          <w:szCs w:val="21"/>
        </w:rPr>
        <w:t xml:space="preserve">2、读出方式：连续、峰值、峰面积值</w:t>
      </w:r>
      <w:r/>
    </w:p>
    <w:p>
      <w:pPr>
        <w:pStyle w:val="1413"/>
        <w:ind w:firstLine="210"/>
        <w:spacing w:line="440" w:lineRule="exact"/>
        <w:rPr>
          <w:rFonts w:ascii="Times New Roman"/>
          <w:sz w:val="21"/>
          <w:szCs w:val="21"/>
        </w:rPr>
      </w:pPr>
      <w:r>
        <w:rPr>
          <w:rFonts w:ascii="Times New Roman"/>
          <w:sz w:val="21"/>
          <w:szCs w:val="21"/>
        </w:rPr>
        <w:t xml:space="preserve">3、浓度计算方式：标准曲线法、标准添加法、内插法</w:t>
      </w:r>
      <w:r/>
    </w:p>
    <w:p>
      <w:pPr>
        <w:pStyle w:val="1413"/>
        <w:ind w:firstLine="210"/>
        <w:spacing w:line="440" w:lineRule="exact"/>
        <w:rPr>
          <w:rFonts w:ascii="Times New Roman"/>
          <w:sz w:val="21"/>
          <w:szCs w:val="21"/>
        </w:rPr>
      </w:pPr>
      <w:r>
        <w:rPr>
          <w:rFonts w:ascii="Times New Roman"/>
          <w:sz w:val="21"/>
          <w:szCs w:val="21"/>
        </w:rPr>
        <w:t xml:space="preserve">4、其它：积分（0.1-100s）采样延时（0-20s），标样数（1-20个）；斜率，平均值，标准偏差，相对标准偏差等，相关系数，浓度值</w:t>
      </w:r>
      <w:r/>
    </w:p>
    <w:p>
      <w:pPr>
        <w:pStyle w:val="1413"/>
        <w:ind w:firstLine="210"/>
        <w:spacing w:line="440" w:lineRule="exact"/>
        <w:rPr>
          <w:rFonts w:ascii="Times New Roman"/>
          <w:sz w:val="21"/>
          <w:szCs w:val="21"/>
        </w:rPr>
      </w:pPr>
      <w:r>
        <w:rPr>
          <w:rFonts w:ascii="Times New Roman"/>
          <w:sz w:val="21"/>
          <w:szCs w:val="21"/>
        </w:rPr>
        <w:t xml:space="preserve">5、通讯方式：标准RS-232串口通讯，支持USB通讯接口通讯</w:t>
      </w:r>
      <w:r/>
    </w:p>
    <w:p>
      <w:pPr>
        <w:pStyle w:val="1413"/>
        <w:spacing w:line="440" w:lineRule="exact"/>
        <w:rPr>
          <w:rFonts w:ascii="Times New Roman"/>
          <w:sz w:val="21"/>
          <w:szCs w:val="21"/>
        </w:rPr>
      </w:pPr>
      <w:r>
        <w:rPr>
          <w:rFonts w:ascii="Segoe UI Symbol" w:hAnsi="Segoe UI Symbol" w:cs="Segoe UI Symbol"/>
          <w:sz w:val="21"/>
          <w:szCs w:val="21"/>
        </w:rPr>
        <w:t xml:space="preserve">★</w:t>
      </w:r>
      <w:r>
        <w:rPr>
          <w:rFonts w:ascii="Times New Roman"/>
          <w:sz w:val="21"/>
          <w:szCs w:val="21"/>
        </w:rPr>
        <w:t xml:space="preserve">6、配套重金属检测专用耗材及方法包（铅/镉），实现重金属特异性选择、富集及检测，消除背景干扰，特异性选择富集能力100倍以上，检出限要求达到5ppb以下；</w:t>
      </w:r>
      <w:r/>
    </w:p>
    <w:p>
      <w:pPr>
        <w:pStyle w:val="1413"/>
        <w:spacing w:line="440" w:lineRule="exact"/>
        <w:rPr>
          <w:rFonts w:ascii="Times New Roman"/>
          <w:b/>
          <w:bCs/>
          <w:sz w:val="21"/>
          <w:szCs w:val="21"/>
        </w:rPr>
      </w:pPr>
      <w:r>
        <w:rPr>
          <w:rFonts w:ascii="Times New Roman"/>
          <w:b/>
          <w:bCs/>
          <w:sz w:val="21"/>
          <w:szCs w:val="21"/>
        </w:rPr>
        <w:t xml:space="preserve">五、配置要求：</w:t>
      </w:r>
      <w:r/>
    </w:p>
    <w:p>
      <w:pPr>
        <w:pStyle w:val="1413"/>
        <w:ind w:firstLine="210"/>
        <w:spacing w:line="440" w:lineRule="exact"/>
        <w:rPr>
          <w:rFonts w:ascii="Times New Roman"/>
          <w:sz w:val="21"/>
          <w:szCs w:val="21"/>
        </w:rPr>
      </w:pPr>
      <w:r>
        <w:rPr>
          <w:rFonts w:ascii="Times New Roman"/>
          <w:sz w:val="21"/>
          <w:szCs w:val="21"/>
        </w:rPr>
        <w:t xml:space="preserve">1、火焰-石墨炉一体原子吸收分光光度计主机1台</w:t>
      </w:r>
      <w:r/>
    </w:p>
    <w:p>
      <w:pPr>
        <w:pStyle w:val="1413"/>
        <w:ind w:firstLine="210"/>
        <w:spacing w:line="440" w:lineRule="exact"/>
        <w:rPr>
          <w:rFonts w:ascii="Times New Roman"/>
          <w:sz w:val="21"/>
          <w:szCs w:val="21"/>
        </w:rPr>
      </w:pPr>
      <w:r>
        <w:rPr>
          <w:rFonts w:ascii="Times New Roman"/>
          <w:sz w:val="21"/>
          <w:szCs w:val="21"/>
        </w:rPr>
        <w:t xml:space="preserve">2、自动控温冷却循环水装置1台</w:t>
      </w:r>
      <w:r/>
    </w:p>
    <w:p>
      <w:pPr>
        <w:pStyle w:val="1413"/>
        <w:ind w:firstLine="210"/>
        <w:spacing w:line="440" w:lineRule="exact"/>
        <w:rPr>
          <w:rFonts w:ascii="Times New Roman"/>
          <w:sz w:val="21"/>
          <w:szCs w:val="21"/>
        </w:rPr>
      </w:pPr>
      <w:r>
        <w:rPr>
          <w:rFonts w:ascii="Times New Roman"/>
          <w:sz w:val="21"/>
          <w:szCs w:val="21"/>
        </w:rPr>
        <w:t xml:space="preserve">3、石墨炉自动进样器1台</w:t>
      </w:r>
      <w:r/>
    </w:p>
    <w:p>
      <w:pPr>
        <w:pStyle w:val="1413"/>
        <w:ind w:firstLine="210"/>
        <w:spacing w:line="440" w:lineRule="exact"/>
        <w:rPr>
          <w:rFonts w:ascii="Times New Roman"/>
          <w:sz w:val="21"/>
          <w:szCs w:val="21"/>
        </w:rPr>
      </w:pPr>
      <w:r>
        <w:rPr>
          <w:rFonts w:ascii="Times New Roman"/>
          <w:sz w:val="21"/>
          <w:szCs w:val="21"/>
        </w:rPr>
        <w:t xml:space="preserve">4、常用元素灯，雾化器2只</w:t>
      </w:r>
      <w:r/>
    </w:p>
    <w:p>
      <w:pPr>
        <w:pStyle w:val="1413"/>
        <w:ind w:firstLine="210"/>
        <w:spacing w:line="440" w:lineRule="exact"/>
        <w:rPr>
          <w:rFonts w:ascii="Times New Roman"/>
          <w:sz w:val="21"/>
          <w:szCs w:val="21"/>
        </w:rPr>
      </w:pPr>
      <w:r>
        <w:rPr>
          <w:rFonts w:ascii="Times New Roman"/>
          <w:sz w:val="21"/>
          <w:szCs w:val="21"/>
        </w:rPr>
        <w:t xml:space="preserve">5、石墨管5只</w:t>
      </w:r>
      <w:r/>
    </w:p>
    <w:p>
      <w:pPr>
        <w:pStyle w:val="1413"/>
        <w:ind w:firstLine="210"/>
        <w:spacing w:line="440" w:lineRule="exact"/>
        <w:rPr>
          <w:rFonts w:ascii="Times New Roman"/>
          <w:sz w:val="21"/>
          <w:szCs w:val="21"/>
        </w:rPr>
      </w:pPr>
      <w:r>
        <w:rPr>
          <w:rFonts w:ascii="Times New Roman"/>
          <w:sz w:val="21"/>
          <w:szCs w:val="21"/>
        </w:rPr>
        <w:t xml:space="preserve">6、原子吸收检测软件1套</w:t>
      </w:r>
      <w:r/>
    </w:p>
    <w:p>
      <w:pPr>
        <w:pStyle w:val="1413"/>
        <w:ind w:firstLine="210"/>
        <w:spacing w:line="440" w:lineRule="exact"/>
        <w:rPr>
          <w:rFonts w:ascii="Times New Roman"/>
          <w:sz w:val="21"/>
          <w:szCs w:val="21"/>
        </w:rPr>
      </w:pPr>
      <w:r>
        <w:rPr>
          <w:rFonts w:ascii="Times New Roman"/>
          <w:sz w:val="21"/>
          <w:szCs w:val="21"/>
        </w:rPr>
        <w:t xml:space="preserve">7、配套重金属检测专用耗材及方法包（铅/镉）1套；</w:t>
      </w:r>
      <w:r/>
    </w:p>
    <w:p>
      <w:pPr>
        <w:pStyle w:val="1413"/>
        <w:ind w:firstLine="210"/>
        <w:spacing w:line="440" w:lineRule="exact"/>
        <w:rPr>
          <w:rFonts w:ascii="Times New Roman"/>
          <w:sz w:val="21"/>
          <w:szCs w:val="21"/>
        </w:rPr>
      </w:pPr>
      <w:r>
        <w:rPr>
          <w:rFonts w:ascii="Times New Roman"/>
          <w:sz w:val="21"/>
          <w:szCs w:val="21"/>
        </w:rPr>
        <w:t xml:space="preserve">8、电脑打印机1套</w:t>
      </w:r>
      <w:r/>
    </w:p>
    <w:p>
      <w:pPr>
        <w:jc w:val="center"/>
        <w:spacing w:line="440" w:lineRule="exact"/>
        <w:rPr>
          <w:b/>
          <w:bCs/>
          <w:szCs w:val="21"/>
        </w:rPr>
      </w:pPr>
      <w:r>
        <w:rPr>
          <w:b/>
          <w:bCs/>
          <w:szCs w:val="21"/>
        </w:rPr>
      </w:r>
      <w:r/>
    </w:p>
    <w:p>
      <w:pPr>
        <w:jc w:val="center"/>
        <w:spacing w:line="440" w:lineRule="exact"/>
        <w:rPr>
          <w:b/>
          <w:bCs/>
          <w:szCs w:val="21"/>
        </w:rPr>
      </w:pPr>
      <w:r>
        <w:rPr>
          <w:b/>
          <w:bCs/>
          <w:szCs w:val="21"/>
        </w:rPr>
        <w:t xml:space="preserve">品目十一 铁含量分析仪</w:t>
      </w:r>
      <w:r/>
    </w:p>
    <w:p>
      <w:pPr>
        <w:spacing w:line="440" w:lineRule="exact"/>
        <w:rPr>
          <w:b/>
          <w:bCs/>
          <w:szCs w:val="21"/>
        </w:rPr>
      </w:pPr>
      <w:r>
        <w:rPr>
          <w:b/>
          <w:bCs/>
          <w:szCs w:val="21"/>
        </w:rPr>
        <w:t xml:space="preserve">一、功能及技术指标</w:t>
      </w:r>
      <w:r/>
    </w:p>
    <w:p>
      <w:pPr>
        <w:pStyle w:val="1504"/>
        <w:numPr>
          <w:ilvl w:val="0"/>
          <w:numId w:val="19"/>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光源采用单色冷光源</w:t>
      </w:r>
      <w:r/>
    </w:p>
    <w:p>
      <w:pPr>
        <w:pStyle w:val="1504"/>
        <w:numPr>
          <w:ilvl w:val="0"/>
          <w:numId w:val="19"/>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空白校准，消除零点漂移和电气漂移，提高测量精确度</w:t>
      </w:r>
      <w:r/>
    </w:p>
    <w:p>
      <w:pPr>
        <w:pStyle w:val="1504"/>
        <w:numPr>
          <w:ilvl w:val="0"/>
          <w:numId w:val="19"/>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自动计时提醒功能</w:t>
      </w:r>
      <w:r/>
    </w:p>
    <w:p>
      <w:pPr>
        <w:pStyle w:val="1504"/>
        <w:numPr>
          <w:ilvl w:val="0"/>
          <w:numId w:val="19"/>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数据循环存储，自动清除溢出，断电数据存储时间10年以上</w:t>
      </w:r>
      <w:r/>
    </w:p>
    <w:p>
      <w:pPr>
        <w:numPr>
          <w:ilvl w:val="0"/>
          <w:numId w:val="19"/>
        </w:numPr>
        <w:spacing w:line="440" w:lineRule="exact"/>
        <w:rPr>
          <w:szCs w:val="21"/>
        </w:rPr>
      </w:pPr>
      <w:r>
        <w:rPr>
          <w:szCs w:val="21"/>
        </w:rPr>
        <w:t xml:space="preserve">显示：触摸彩色液晶，中文显示</w:t>
      </w:r>
      <w:r/>
    </w:p>
    <w:p>
      <w:pPr>
        <w:numPr>
          <w:ilvl w:val="0"/>
          <w:numId w:val="19"/>
        </w:numPr>
        <w:spacing w:line="440" w:lineRule="exact"/>
        <w:rPr>
          <w:szCs w:val="21"/>
        </w:rPr>
      </w:pPr>
      <w:r>
        <w:rPr>
          <w:szCs w:val="21"/>
        </w:rPr>
        <w:t xml:space="preserve">测量范围：（0.0～200.0）μg/L</w:t>
      </w:r>
      <w:r/>
    </w:p>
    <w:p>
      <w:pPr>
        <w:numPr>
          <w:ilvl w:val="0"/>
          <w:numId w:val="19"/>
        </w:numPr>
        <w:spacing w:line="440" w:lineRule="exact"/>
        <w:rPr>
          <w:szCs w:val="21"/>
        </w:rPr>
      </w:pPr>
      <w:r>
        <w:rPr>
          <w:szCs w:val="21"/>
        </w:rPr>
        <w:t xml:space="preserve">示值误差：±3%F.S</w:t>
      </w:r>
      <w:r/>
    </w:p>
    <w:p>
      <w:pPr>
        <w:numPr>
          <w:ilvl w:val="0"/>
          <w:numId w:val="19"/>
        </w:numPr>
        <w:spacing w:line="440" w:lineRule="exact"/>
        <w:rPr>
          <w:szCs w:val="21"/>
        </w:rPr>
      </w:pPr>
      <w:r>
        <w:rPr>
          <w:szCs w:val="21"/>
        </w:rPr>
        <w:t xml:space="preserve">分辨率：0.1μg/L</w:t>
      </w:r>
      <w:r/>
    </w:p>
    <w:p>
      <w:pPr>
        <w:numPr>
          <w:ilvl w:val="0"/>
          <w:numId w:val="19"/>
        </w:numPr>
        <w:spacing w:line="440" w:lineRule="exact"/>
        <w:rPr>
          <w:szCs w:val="21"/>
        </w:rPr>
      </w:pPr>
      <w:r>
        <w:rPr>
          <w:szCs w:val="21"/>
        </w:rPr>
        <w:t xml:space="preserve">重复性：≤1%F.S</w:t>
      </w:r>
      <w:r/>
    </w:p>
    <w:p>
      <w:pPr>
        <w:numPr>
          <w:ilvl w:val="0"/>
          <w:numId w:val="19"/>
        </w:numPr>
        <w:spacing w:line="440" w:lineRule="exact"/>
        <w:rPr>
          <w:szCs w:val="21"/>
        </w:rPr>
      </w:pPr>
      <w:r>
        <w:rPr>
          <w:szCs w:val="21"/>
        </w:rPr>
        <w:t xml:space="preserve">稳定性：±1.5%F.S/4h</w:t>
      </w:r>
      <w:r/>
    </w:p>
    <w:p>
      <w:pPr>
        <w:numPr>
          <w:ilvl w:val="0"/>
          <w:numId w:val="19"/>
        </w:numPr>
        <w:spacing w:line="440" w:lineRule="exact"/>
        <w:rPr>
          <w:szCs w:val="21"/>
        </w:rPr>
      </w:pPr>
      <w:r>
        <w:rPr>
          <w:szCs w:val="21"/>
        </w:rPr>
        <w:t xml:space="preserve">环境温度：5～45℃</w:t>
      </w:r>
      <w:r/>
    </w:p>
    <w:p>
      <w:pPr>
        <w:numPr>
          <w:ilvl w:val="0"/>
          <w:numId w:val="19"/>
        </w:numPr>
        <w:spacing w:line="440" w:lineRule="exact"/>
        <w:rPr>
          <w:szCs w:val="21"/>
        </w:rPr>
      </w:pPr>
      <w:r>
        <w:rPr>
          <w:szCs w:val="21"/>
        </w:rPr>
        <w:t xml:space="preserve">环境湿度：≤85% RH（无冷凝）</w:t>
      </w:r>
      <w:r/>
    </w:p>
    <w:p>
      <w:pPr>
        <w:numPr>
          <w:ilvl w:val="0"/>
          <w:numId w:val="19"/>
        </w:numPr>
        <w:spacing w:line="440" w:lineRule="exact"/>
        <w:rPr>
          <w:szCs w:val="21"/>
        </w:rPr>
      </w:pPr>
      <w:r>
        <w:rPr>
          <w:szCs w:val="21"/>
        </w:rPr>
        <w:t xml:space="preserve">电源：AC 85～265 V；频率：45～65Hz</w:t>
      </w:r>
      <w:r/>
    </w:p>
    <w:p>
      <w:pPr>
        <w:numPr>
          <w:ilvl w:val="0"/>
          <w:numId w:val="19"/>
        </w:numPr>
        <w:spacing w:line="440" w:lineRule="exact"/>
        <w:rPr>
          <w:szCs w:val="21"/>
        </w:rPr>
      </w:pPr>
      <w:r>
        <w:rPr>
          <w:szCs w:val="21"/>
        </w:rPr>
        <w:t xml:space="preserve">功率：≤30W</w:t>
      </w:r>
      <w:r/>
    </w:p>
    <w:p>
      <w:pPr>
        <w:spacing w:line="440" w:lineRule="exact"/>
        <w:rPr>
          <w:szCs w:val="21"/>
        </w:rPr>
      </w:pPr>
      <w:r>
        <w:rPr>
          <w:b/>
          <w:bCs/>
          <w:szCs w:val="21"/>
        </w:rPr>
        <w:t xml:space="preserve">二、配件</w:t>
      </w:r>
      <w:r/>
    </w:p>
    <w:p>
      <w:pPr>
        <w:numPr>
          <w:ilvl w:val="0"/>
          <w:numId w:val="20"/>
        </w:numPr>
        <w:spacing w:line="440" w:lineRule="exact"/>
        <w:rPr>
          <w:szCs w:val="21"/>
        </w:rPr>
      </w:pPr>
      <w:r>
        <w:rPr>
          <w:szCs w:val="21"/>
        </w:rPr>
        <w:t xml:space="preserve">铁含量标准液（10μg/mL）</w:t>
      </w:r>
      <w:r/>
    </w:p>
    <w:p>
      <w:pPr>
        <w:numPr>
          <w:ilvl w:val="0"/>
          <w:numId w:val="20"/>
        </w:numPr>
        <w:spacing w:line="440" w:lineRule="exact"/>
        <w:rPr>
          <w:szCs w:val="21"/>
        </w:rPr>
      </w:pPr>
      <w:r>
        <w:rPr>
          <w:szCs w:val="21"/>
        </w:rPr>
        <w:t xml:space="preserve">刚果红试纸</w:t>
      </w:r>
      <w:r/>
    </w:p>
    <w:p>
      <w:pPr>
        <w:numPr>
          <w:ilvl w:val="0"/>
          <w:numId w:val="20"/>
        </w:numPr>
        <w:spacing w:line="440" w:lineRule="exact"/>
        <w:rPr>
          <w:szCs w:val="21"/>
        </w:rPr>
      </w:pPr>
      <w:r>
        <w:rPr>
          <w:szCs w:val="21"/>
        </w:rPr>
        <w:t xml:space="preserve">排污管</w:t>
      </w:r>
      <w:r/>
    </w:p>
    <w:p>
      <w:pPr>
        <w:numPr>
          <w:ilvl w:val="0"/>
          <w:numId w:val="20"/>
        </w:numPr>
        <w:spacing w:line="440" w:lineRule="exact"/>
        <w:rPr>
          <w:szCs w:val="21"/>
        </w:rPr>
      </w:pPr>
      <w:r>
        <w:rPr>
          <w:szCs w:val="21"/>
        </w:rPr>
        <w:t xml:space="preserve">电源线</w:t>
      </w:r>
      <w:r/>
    </w:p>
    <w:p>
      <w:pPr>
        <w:numPr>
          <w:ilvl w:val="0"/>
          <w:numId w:val="20"/>
        </w:numPr>
        <w:spacing w:line="440" w:lineRule="exact"/>
        <w:rPr>
          <w:szCs w:val="21"/>
        </w:rPr>
      </w:pPr>
      <w:r>
        <w:rPr>
          <w:szCs w:val="21"/>
        </w:rPr>
        <w:t xml:space="preserve">进样杯</w:t>
      </w:r>
      <w:r/>
    </w:p>
    <w:p>
      <w:pPr>
        <w:jc w:val="center"/>
        <w:spacing w:line="440" w:lineRule="exact"/>
        <w:rPr>
          <w:b/>
          <w:bCs/>
          <w:szCs w:val="21"/>
        </w:rPr>
      </w:pPr>
      <w:r>
        <w:rPr>
          <w:b/>
          <w:bCs/>
          <w:szCs w:val="21"/>
        </w:rPr>
      </w:r>
      <w:r/>
    </w:p>
    <w:p>
      <w:pPr>
        <w:jc w:val="center"/>
        <w:spacing w:line="440" w:lineRule="exact"/>
        <w:rPr>
          <w:b/>
          <w:bCs/>
          <w:szCs w:val="21"/>
        </w:rPr>
      </w:pPr>
      <w:r>
        <w:rPr>
          <w:b/>
          <w:bCs/>
          <w:szCs w:val="21"/>
        </w:rPr>
        <w:t xml:space="preserve">品目十二 磷酸根分析仪</w:t>
      </w:r>
      <w:r/>
    </w:p>
    <w:p>
      <w:pPr>
        <w:spacing w:line="440" w:lineRule="exact"/>
        <w:rPr>
          <w:b/>
          <w:bCs/>
          <w:szCs w:val="21"/>
        </w:rPr>
      </w:pPr>
      <w:r>
        <w:rPr>
          <w:b/>
          <w:bCs/>
          <w:szCs w:val="21"/>
        </w:rPr>
        <w:t xml:space="preserve">一、功能及技术指标</w:t>
      </w:r>
      <w:r/>
    </w:p>
    <w:p>
      <w:pPr>
        <w:pStyle w:val="1504"/>
        <w:numPr>
          <w:ilvl w:val="0"/>
          <w:numId w:val="21"/>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光源采用单色冷光源</w:t>
      </w:r>
      <w:r/>
    </w:p>
    <w:p>
      <w:pPr>
        <w:pStyle w:val="1504"/>
        <w:numPr>
          <w:ilvl w:val="0"/>
          <w:numId w:val="21"/>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空白校准，消除零点漂移和电气漂移，提高测量精确度</w:t>
      </w:r>
      <w:r/>
    </w:p>
    <w:p>
      <w:pPr>
        <w:pStyle w:val="1504"/>
        <w:numPr>
          <w:ilvl w:val="0"/>
          <w:numId w:val="21"/>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自动计时提醒功能，方便操作者使用，提高工作效率</w:t>
      </w:r>
      <w:r/>
    </w:p>
    <w:p>
      <w:pPr>
        <w:pStyle w:val="1504"/>
        <w:numPr>
          <w:ilvl w:val="0"/>
          <w:numId w:val="21"/>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数据循环存储，自动清除溢出，断电数据存储时间10年以上</w:t>
      </w:r>
      <w:r/>
    </w:p>
    <w:p>
      <w:pPr>
        <w:pStyle w:val="1504"/>
        <w:numPr>
          <w:ilvl w:val="0"/>
          <w:numId w:val="21"/>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触摸彩色液晶，中文显示</w:t>
      </w:r>
      <w:r/>
    </w:p>
    <w:p>
      <w:pPr>
        <w:numPr>
          <w:ilvl w:val="0"/>
          <w:numId w:val="21"/>
        </w:numPr>
        <w:spacing w:line="440" w:lineRule="exact"/>
        <w:rPr>
          <w:szCs w:val="21"/>
        </w:rPr>
      </w:pPr>
      <w:r>
        <w:rPr>
          <w:szCs w:val="21"/>
        </w:rPr>
        <w:t xml:space="preserve">测量范围：（0.00～20.00）mg/L、（0.00～50.00）mg/L（可选）</w:t>
      </w:r>
      <w:r/>
    </w:p>
    <w:p>
      <w:pPr>
        <w:numPr>
          <w:ilvl w:val="0"/>
          <w:numId w:val="21"/>
        </w:numPr>
        <w:spacing w:line="440" w:lineRule="exact"/>
        <w:rPr>
          <w:szCs w:val="21"/>
        </w:rPr>
      </w:pPr>
      <w:r>
        <w:rPr>
          <w:szCs w:val="21"/>
        </w:rPr>
        <w:t xml:space="preserve">示值误差：±2%F.S</w:t>
      </w:r>
      <w:r/>
    </w:p>
    <w:p>
      <w:pPr>
        <w:numPr>
          <w:ilvl w:val="0"/>
          <w:numId w:val="21"/>
        </w:numPr>
        <w:spacing w:line="440" w:lineRule="exact"/>
        <w:rPr>
          <w:szCs w:val="21"/>
        </w:rPr>
      </w:pPr>
      <w:r>
        <w:rPr>
          <w:szCs w:val="21"/>
        </w:rPr>
        <w:t xml:space="preserve">分辨率：0.01mg/L</w:t>
      </w:r>
      <w:r/>
    </w:p>
    <w:p>
      <w:pPr>
        <w:numPr>
          <w:ilvl w:val="0"/>
          <w:numId w:val="21"/>
        </w:numPr>
        <w:spacing w:line="440" w:lineRule="exact"/>
        <w:rPr>
          <w:szCs w:val="21"/>
        </w:rPr>
      </w:pPr>
      <w:r>
        <w:rPr>
          <w:szCs w:val="21"/>
        </w:rPr>
        <w:t xml:space="preserve">重复性：≤1%F.S</w:t>
      </w:r>
      <w:r/>
    </w:p>
    <w:p>
      <w:pPr>
        <w:numPr>
          <w:ilvl w:val="0"/>
          <w:numId w:val="21"/>
        </w:numPr>
        <w:spacing w:line="440" w:lineRule="exact"/>
        <w:rPr>
          <w:szCs w:val="21"/>
        </w:rPr>
      </w:pPr>
      <w:r>
        <w:rPr>
          <w:szCs w:val="21"/>
        </w:rPr>
        <w:t xml:space="preserve">稳定性：±1%F.S/4h</w:t>
      </w:r>
      <w:r/>
    </w:p>
    <w:p>
      <w:pPr>
        <w:numPr>
          <w:ilvl w:val="0"/>
          <w:numId w:val="21"/>
        </w:numPr>
        <w:spacing w:line="440" w:lineRule="exact"/>
        <w:rPr>
          <w:szCs w:val="21"/>
        </w:rPr>
      </w:pPr>
      <w:r>
        <w:rPr>
          <w:szCs w:val="21"/>
        </w:rPr>
        <w:t xml:space="preserve">环境温度：5～45℃</w:t>
      </w:r>
      <w:r/>
    </w:p>
    <w:p>
      <w:pPr>
        <w:numPr>
          <w:ilvl w:val="0"/>
          <w:numId w:val="21"/>
        </w:numPr>
        <w:spacing w:line="440" w:lineRule="exact"/>
        <w:rPr>
          <w:szCs w:val="21"/>
        </w:rPr>
      </w:pPr>
      <w:r>
        <w:rPr>
          <w:szCs w:val="21"/>
        </w:rPr>
        <w:t xml:space="preserve">环境湿度：≤85% RH（无冷凝）</w:t>
      </w:r>
      <w:r/>
    </w:p>
    <w:p>
      <w:pPr>
        <w:numPr>
          <w:ilvl w:val="0"/>
          <w:numId w:val="21"/>
        </w:numPr>
        <w:spacing w:line="440" w:lineRule="exact"/>
        <w:rPr>
          <w:szCs w:val="21"/>
        </w:rPr>
      </w:pPr>
      <w:r>
        <w:rPr>
          <w:szCs w:val="21"/>
        </w:rPr>
        <w:t xml:space="preserve">电源：AC 85～265 V；频率：45～65Hz</w:t>
      </w:r>
      <w:r/>
    </w:p>
    <w:p>
      <w:pPr>
        <w:numPr>
          <w:ilvl w:val="0"/>
          <w:numId w:val="21"/>
        </w:numPr>
        <w:spacing w:line="440" w:lineRule="exact"/>
        <w:rPr>
          <w:szCs w:val="21"/>
        </w:rPr>
      </w:pPr>
      <w:r>
        <w:rPr>
          <w:szCs w:val="21"/>
        </w:rPr>
        <w:t xml:space="preserve">功率：≤30W</w:t>
      </w:r>
      <w:r/>
    </w:p>
    <w:p>
      <w:pPr>
        <w:spacing w:line="440" w:lineRule="exact"/>
        <w:rPr>
          <w:b/>
          <w:bCs/>
          <w:szCs w:val="21"/>
        </w:rPr>
      </w:pPr>
      <w:r>
        <w:rPr>
          <w:b/>
          <w:bCs/>
          <w:szCs w:val="21"/>
        </w:rPr>
        <w:t xml:space="preserve">二、配件要求</w:t>
      </w:r>
      <w:r/>
    </w:p>
    <w:p>
      <w:pPr>
        <w:numPr>
          <w:ilvl w:val="0"/>
          <w:numId w:val="22"/>
        </w:numPr>
        <w:spacing w:line="440" w:lineRule="exact"/>
        <w:rPr>
          <w:szCs w:val="21"/>
        </w:rPr>
      </w:pPr>
      <w:r>
        <w:rPr>
          <w:szCs w:val="21"/>
        </w:rPr>
        <w:t xml:space="preserve">磷酸根标准液（1mg/mL）</w:t>
      </w:r>
      <w:r/>
    </w:p>
    <w:p>
      <w:pPr>
        <w:numPr>
          <w:ilvl w:val="0"/>
          <w:numId w:val="22"/>
        </w:numPr>
        <w:spacing w:line="440" w:lineRule="exact"/>
        <w:rPr>
          <w:szCs w:val="21"/>
        </w:rPr>
      </w:pPr>
      <w:r>
        <w:rPr>
          <w:szCs w:val="21"/>
        </w:rPr>
        <w:t xml:space="preserve">磷酸根显色试剂（1套）</w:t>
      </w:r>
      <w:r/>
    </w:p>
    <w:p>
      <w:pPr>
        <w:numPr>
          <w:ilvl w:val="0"/>
          <w:numId w:val="22"/>
        </w:numPr>
        <w:spacing w:line="440" w:lineRule="exact"/>
        <w:rPr>
          <w:szCs w:val="21"/>
        </w:rPr>
      </w:pPr>
      <w:r>
        <w:rPr>
          <w:szCs w:val="21"/>
        </w:rPr>
        <w:t xml:space="preserve">排污管</w:t>
      </w:r>
      <w:r/>
    </w:p>
    <w:p>
      <w:pPr>
        <w:numPr>
          <w:ilvl w:val="0"/>
          <w:numId w:val="22"/>
        </w:numPr>
        <w:spacing w:line="440" w:lineRule="exact"/>
        <w:rPr>
          <w:szCs w:val="21"/>
        </w:rPr>
      </w:pPr>
      <w:r>
        <w:rPr>
          <w:szCs w:val="21"/>
        </w:rPr>
        <w:t xml:space="preserve">电源线</w:t>
      </w:r>
      <w:r/>
    </w:p>
    <w:p>
      <w:pPr>
        <w:numPr>
          <w:ilvl w:val="0"/>
          <w:numId w:val="22"/>
        </w:numPr>
        <w:spacing w:line="440" w:lineRule="exact"/>
        <w:rPr>
          <w:szCs w:val="21"/>
        </w:rPr>
      </w:pPr>
      <w:r>
        <w:rPr>
          <w:szCs w:val="21"/>
        </w:rPr>
        <w:t xml:space="preserve">进样杯</w:t>
      </w:r>
      <w:r/>
    </w:p>
    <w:p>
      <w:pPr>
        <w:jc w:val="center"/>
        <w:spacing w:line="440" w:lineRule="exact"/>
        <w:rPr>
          <w:b/>
          <w:bCs/>
          <w:szCs w:val="21"/>
        </w:rPr>
      </w:pPr>
      <w:r>
        <w:rPr>
          <w:b/>
          <w:bCs/>
          <w:szCs w:val="21"/>
        </w:rPr>
      </w:r>
      <w:r/>
    </w:p>
    <w:p>
      <w:pPr>
        <w:jc w:val="center"/>
        <w:spacing w:line="440" w:lineRule="exact"/>
        <w:rPr>
          <w:b/>
          <w:bCs/>
          <w:szCs w:val="21"/>
        </w:rPr>
      </w:pPr>
      <w:r>
        <w:rPr>
          <w:b/>
          <w:bCs/>
          <w:szCs w:val="21"/>
        </w:rPr>
        <w:t xml:space="preserve">品目十三 硅酸根分析仪</w:t>
      </w:r>
      <w:r/>
    </w:p>
    <w:p>
      <w:pPr>
        <w:spacing w:line="440" w:lineRule="exact"/>
        <w:rPr>
          <w:b/>
          <w:bCs/>
          <w:szCs w:val="21"/>
        </w:rPr>
      </w:pPr>
      <w:r>
        <w:rPr>
          <w:b/>
          <w:bCs/>
          <w:szCs w:val="21"/>
        </w:rPr>
        <w:t xml:space="preserve">一、功能及技术指标</w:t>
      </w:r>
      <w:r/>
    </w:p>
    <w:p>
      <w:pPr>
        <w:pStyle w:val="1504"/>
        <w:numPr>
          <w:ilvl w:val="0"/>
          <w:numId w:val="23"/>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光源采用单色冷光源</w:t>
      </w:r>
      <w:r/>
    </w:p>
    <w:p>
      <w:pPr>
        <w:pStyle w:val="1504"/>
        <w:numPr>
          <w:ilvl w:val="0"/>
          <w:numId w:val="23"/>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空白校准，消除零点漂移和电气漂移，提高测量精确度</w:t>
      </w:r>
      <w:r/>
    </w:p>
    <w:p>
      <w:pPr>
        <w:pStyle w:val="1504"/>
        <w:numPr>
          <w:ilvl w:val="0"/>
          <w:numId w:val="23"/>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本底补偿功能，减少微量硅测量误差</w:t>
      </w:r>
      <w:r/>
    </w:p>
    <w:p>
      <w:pPr>
        <w:pStyle w:val="1504"/>
        <w:numPr>
          <w:ilvl w:val="0"/>
          <w:numId w:val="23"/>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自动计时提醒功能，方便操作者使用，提高工作效率</w:t>
      </w:r>
      <w:r/>
    </w:p>
    <w:p>
      <w:pPr>
        <w:pStyle w:val="1504"/>
        <w:numPr>
          <w:ilvl w:val="0"/>
          <w:numId w:val="23"/>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数据循环存储，自动清除溢出，断电数据存储时间10年以上</w:t>
      </w:r>
      <w:r/>
    </w:p>
    <w:p>
      <w:pPr>
        <w:numPr>
          <w:ilvl w:val="0"/>
          <w:numId w:val="23"/>
        </w:numPr>
        <w:spacing w:line="440" w:lineRule="exact"/>
        <w:rPr>
          <w:szCs w:val="21"/>
        </w:rPr>
      </w:pPr>
      <w:r>
        <w:rPr>
          <w:szCs w:val="21"/>
        </w:rPr>
        <w:t xml:space="preserve">显示：触摸彩色液晶，中文显示</w:t>
      </w:r>
      <w:r/>
    </w:p>
    <w:p>
      <w:pPr>
        <w:numPr>
          <w:ilvl w:val="0"/>
          <w:numId w:val="23"/>
        </w:numPr>
        <w:spacing w:line="440" w:lineRule="exact"/>
        <w:rPr>
          <w:szCs w:val="21"/>
        </w:rPr>
      </w:pPr>
      <w:r>
        <w:rPr>
          <w:szCs w:val="21"/>
        </w:rPr>
        <w:t xml:space="preserve">测量范围：(0.0～200.0)μg/L或(0.0～2000)μg/L（可选）</w:t>
      </w:r>
      <w:r/>
    </w:p>
    <w:p>
      <w:pPr>
        <w:numPr>
          <w:ilvl w:val="0"/>
          <w:numId w:val="23"/>
        </w:numPr>
        <w:spacing w:line="440" w:lineRule="exact"/>
        <w:rPr>
          <w:szCs w:val="21"/>
        </w:rPr>
      </w:pPr>
      <w:r>
        <w:rPr>
          <w:szCs w:val="21"/>
        </w:rPr>
        <w:t xml:space="preserve">精确度：±1.0% F.S</w:t>
      </w:r>
      <w:r/>
    </w:p>
    <w:p>
      <w:pPr>
        <w:numPr>
          <w:ilvl w:val="0"/>
          <w:numId w:val="23"/>
        </w:numPr>
        <w:spacing w:line="440" w:lineRule="exact"/>
        <w:rPr>
          <w:szCs w:val="21"/>
        </w:rPr>
      </w:pPr>
      <w:r>
        <w:rPr>
          <w:szCs w:val="21"/>
        </w:rPr>
        <w:t xml:space="preserve">分辨率：0.1μg/L</w:t>
      </w:r>
      <w:r/>
    </w:p>
    <w:p>
      <w:pPr>
        <w:numPr>
          <w:ilvl w:val="0"/>
          <w:numId w:val="23"/>
        </w:numPr>
        <w:spacing w:line="440" w:lineRule="exact"/>
        <w:rPr>
          <w:szCs w:val="21"/>
        </w:rPr>
      </w:pPr>
      <w:r>
        <w:rPr>
          <w:szCs w:val="21"/>
        </w:rPr>
        <w:t xml:space="preserve">重复性：≤1.0% F.S</w:t>
      </w:r>
      <w:r/>
    </w:p>
    <w:p>
      <w:pPr>
        <w:numPr>
          <w:ilvl w:val="0"/>
          <w:numId w:val="23"/>
        </w:numPr>
        <w:spacing w:line="440" w:lineRule="exact"/>
        <w:rPr>
          <w:szCs w:val="21"/>
        </w:rPr>
      </w:pPr>
      <w:r>
        <w:rPr>
          <w:szCs w:val="21"/>
        </w:rPr>
        <w:t xml:space="preserve">稳定性：±1% F.S/4h</w:t>
      </w:r>
      <w:r/>
    </w:p>
    <w:p>
      <w:pPr>
        <w:numPr>
          <w:ilvl w:val="0"/>
          <w:numId w:val="23"/>
        </w:numPr>
        <w:spacing w:line="440" w:lineRule="exact"/>
        <w:rPr>
          <w:szCs w:val="21"/>
        </w:rPr>
      </w:pPr>
      <w:r>
        <w:rPr>
          <w:szCs w:val="21"/>
        </w:rPr>
        <w:t xml:space="preserve">环境温度：5～45℃</w:t>
      </w:r>
      <w:r/>
    </w:p>
    <w:p>
      <w:pPr>
        <w:numPr>
          <w:ilvl w:val="0"/>
          <w:numId w:val="23"/>
        </w:numPr>
        <w:spacing w:line="440" w:lineRule="exact"/>
        <w:rPr>
          <w:szCs w:val="21"/>
        </w:rPr>
      </w:pPr>
      <w:r>
        <w:rPr>
          <w:szCs w:val="21"/>
        </w:rPr>
        <w:t xml:space="preserve">环境湿度：≤85% RH(无冷凝)</w:t>
      </w:r>
      <w:r/>
    </w:p>
    <w:p>
      <w:pPr>
        <w:numPr>
          <w:ilvl w:val="0"/>
          <w:numId w:val="23"/>
        </w:numPr>
        <w:spacing w:line="440" w:lineRule="exact"/>
        <w:rPr>
          <w:szCs w:val="21"/>
        </w:rPr>
      </w:pPr>
      <w:r>
        <w:rPr>
          <w:szCs w:val="21"/>
        </w:rPr>
        <w:t xml:space="preserve">供电电源：AC 85～265 V；频率：45～65Hz</w:t>
      </w:r>
      <w:r/>
    </w:p>
    <w:p>
      <w:pPr>
        <w:spacing w:line="440" w:lineRule="exact"/>
        <w:rPr>
          <w:b/>
          <w:bCs/>
          <w:szCs w:val="21"/>
        </w:rPr>
      </w:pPr>
      <w:r>
        <w:rPr>
          <w:b/>
          <w:bCs/>
          <w:szCs w:val="21"/>
        </w:rPr>
        <w:t xml:space="preserve">二、配件要求</w:t>
      </w:r>
      <w:r/>
    </w:p>
    <w:p>
      <w:pPr>
        <w:numPr>
          <w:ilvl w:val="0"/>
          <w:numId w:val="24"/>
        </w:numPr>
        <w:spacing w:line="440" w:lineRule="exact"/>
        <w:rPr>
          <w:szCs w:val="21"/>
        </w:rPr>
      </w:pPr>
      <w:r>
        <w:rPr>
          <w:szCs w:val="21"/>
        </w:rPr>
        <w:t xml:space="preserve">硅酸根标准液（10μg/mL或100μg/mL）</w:t>
      </w:r>
      <w:r/>
    </w:p>
    <w:p>
      <w:pPr>
        <w:numPr>
          <w:ilvl w:val="0"/>
          <w:numId w:val="24"/>
        </w:numPr>
        <w:spacing w:line="440" w:lineRule="exact"/>
        <w:rPr>
          <w:szCs w:val="21"/>
        </w:rPr>
      </w:pPr>
      <w:r>
        <w:rPr>
          <w:szCs w:val="21"/>
        </w:rPr>
        <w:t xml:space="preserve">硅酸根显色试剂（1套）</w:t>
      </w:r>
      <w:r/>
    </w:p>
    <w:p>
      <w:pPr>
        <w:numPr>
          <w:ilvl w:val="0"/>
          <w:numId w:val="24"/>
        </w:numPr>
        <w:spacing w:line="440" w:lineRule="exact"/>
        <w:rPr>
          <w:szCs w:val="21"/>
        </w:rPr>
      </w:pPr>
      <w:r>
        <w:rPr>
          <w:szCs w:val="21"/>
        </w:rPr>
        <w:t xml:space="preserve">排污管</w:t>
      </w:r>
      <w:r/>
    </w:p>
    <w:p>
      <w:pPr>
        <w:numPr>
          <w:ilvl w:val="0"/>
          <w:numId w:val="24"/>
        </w:numPr>
        <w:spacing w:line="440" w:lineRule="exact"/>
        <w:rPr>
          <w:szCs w:val="21"/>
        </w:rPr>
      </w:pPr>
      <w:r>
        <w:rPr>
          <w:szCs w:val="21"/>
        </w:rPr>
        <w:t xml:space="preserve">电源线</w:t>
      </w:r>
      <w:r/>
    </w:p>
    <w:p>
      <w:pPr>
        <w:numPr>
          <w:ilvl w:val="0"/>
          <w:numId w:val="24"/>
        </w:numPr>
        <w:spacing w:line="440" w:lineRule="exact"/>
        <w:rPr>
          <w:szCs w:val="21"/>
        </w:rPr>
      </w:pPr>
      <w:r>
        <w:rPr>
          <w:szCs w:val="21"/>
        </w:rPr>
        <w:t xml:space="preserve">进样杯</w:t>
      </w:r>
      <w:r/>
    </w:p>
    <w:p>
      <w:pPr>
        <w:jc w:val="center"/>
        <w:spacing w:line="440" w:lineRule="exact"/>
        <w:rPr>
          <w:b/>
          <w:bCs/>
          <w:szCs w:val="21"/>
        </w:rPr>
      </w:pPr>
      <w:r>
        <w:rPr>
          <w:b/>
          <w:bCs/>
          <w:szCs w:val="21"/>
        </w:rPr>
      </w:r>
      <w:r/>
    </w:p>
    <w:p>
      <w:pPr>
        <w:jc w:val="center"/>
        <w:spacing w:line="440" w:lineRule="exact"/>
        <w:rPr>
          <w:b/>
          <w:bCs/>
          <w:szCs w:val="21"/>
        </w:rPr>
      </w:pPr>
      <w:r>
        <w:rPr>
          <w:b/>
          <w:bCs/>
          <w:szCs w:val="21"/>
        </w:rPr>
        <w:t xml:space="preserve">品目十四 联氨分析仪</w:t>
      </w:r>
      <w:r/>
    </w:p>
    <w:p>
      <w:pPr>
        <w:spacing w:line="440" w:lineRule="exact"/>
        <w:rPr>
          <w:b/>
          <w:bCs/>
          <w:szCs w:val="21"/>
        </w:rPr>
      </w:pPr>
      <w:r>
        <w:rPr>
          <w:b/>
          <w:bCs/>
          <w:szCs w:val="21"/>
        </w:rPr>
        <w:t xml:space="preserve">一、功能及技术指标</w:t>
      </w:r>
      <w:r/>
    </w:p>
    <w:p>
      <w:pPr>
        <w:pStyle w:val="1504"/>
        <w:numPr>
          <w:ilvl w:val="0"/>
          <w:numId w:val="25"/>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光源采用单色冷光源</w:t>
      </w:r>
      <w:r/>
    </w:p>
    <w:p>
      <w:pPr>
        <w:pStyle w:val="1504"/>
        <w:numPr>
          <w:ilvl w:val="0"/>
          <w:numId w:val="25"/>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空白校准，消除零点漂移和电气漂移，提高测量精确度</w:t>
      </w:r>
      <w:r/>
    </w:p>
    <w:p>
      <w:pPr>
        <w:pStyle w:val="1504"/>
        <w:numPr>
          <w:ilvl w:val="0"/>
          <w:numId w:val="25"/>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自动计时提醒功能，方便操作者使用，提高工作效率</w:t>
      </w:r>
      <w:r/>
    </w:p>
    <w:p>
      <w:pPr>
        <w:pStyle w:val="1504"/>
        <w:numPr>
          <w:ilvl w:val="0"/>
          <w:numId w:val="25"/>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数据循环存储，自动清除溢出，断电数据存储时间10年以上</w:t>
      </w:r>
      <w:r/>
    </w:p>
    <w:p>
      <w:pPr>
        <w:numPr>
          <w:ilvl w:val="0"/>
          <w:numId w:val="25"/>
        </w:numPr>
        <w:spacing w:line="440" w:lineRule="exact"/>
        <w:rPr>
          <w:szCs w:val="21"/>
        </w:rPr>
      </w:pPr>
      <w:r>
        <w:rPr>
          <w:szCs w:val="21"/>
        </w:rPr>
        <w:t xml:space="preserve">显示：触摸彩色液晶，中文显示</w:t>
      </w:r>
      <w:r/>
    </w:p>
    <w:p>
      <w:pPr>
        <w:numPr>
          <w:ilvl w:val="0"/>
          <w:numId w:val="25"/>
        </w:numPr>
        <w:spacing w:line="440" w:lineRule="exact"/>
        <w:rPr>
          <w:szCs w:val="21"/>
        </w:rPr>
      </w:pPr>
      <w:r>
        <w:rPr>
          <w:szCs w:val="21"/>
        </w:rPr>
        <w:t xml:space="preserve">测量范围：（0.0～100.0）μg/L</w:t>
      </w:r>
      <w:r/>
    </w:p>
    <w:p>
      <w:pPr>
        <w:numPr>
          <w:ilvl w:val="0"/>
          <w:numId w:val="25"/>
        </w:numPr>
        <w:spacing w:line="440" w:lineRule="exact"/>
        <w:rPr>
          <w:szCs w:val="21"/>
        </w:rPr>
      </w:pPr>
      <w:r>
        <w:rPr>
          <w:szCs w:val="21"/>
        </w:rPr>
        <w:t xml:space="preserve">示值误差：±2% F.S</w:t>
      </w:r>
      <w:r/>
    </w:p>
    <w:p>
      <w:pPr>
        <w:numPr>
          <w:ilvl w:val="0"/>
          <w:numId w:val="25"/>
        </w:numPr>
        <w:spacing w:line="440" w:lineRule="exact"/>
        <w:rPr>
          <w:szCs w:val="21"/>
        </w:rPr>
      </w:pPr>
      <w:r>
        <w:rPr>
          <w:szCs w:val="21"/>
        </w:rPr>
        <w:t xml:space="preserve">分辨率：0.1μg/L</w:t>
      </w:r>
      <w:r/>
    </w:p>
    <w:p>
      <w:pPr>
        <w:numPr>
          <w:ilvl w:val="0"/>
          <w:numId w:val="25"/>
        </w:numPr>
        <w:spacing w:line="440" w:lineRule="exact"/>
        <w:rPr>
          <w:szCs w:val="21"/>
        </w:rPr>
      </w:pPr>
      <w:r>
        <w:rPr>
          <w:szCs w:val="21"/>
        </w:rPr>
        <w:t xml:space="preserve">重复性：≤1% F·S</w:t>
      </w:r>
      <w:r/>
    </w:p>
    <w:p>
      <w:pPr>
        <w:numPr>
          <w:ilvl w:val="0"/>
          <w:numId w:val="25"/>
        </w:numPr>
        <w:spacing w:line="440" w:lineRule="exact"/>
        <w:rPr>
          <w:szCs w:val="21"/>
        </w:rPr>
      </w:pPr>
      <w:r>
        <w:rPr>
          <w:szCs w:val="21"/>
        </w:rPr>
        <w:t xml:space="preserve">稳定性：±1% F.S/4h</w:t>
      </w:r>
      <w:r/>
    </w:p>
    <w:p>
      <w:pPr>
        <w:numPr>
          <w:ilvl w:val="0"/>
          <w:numId w:val="25"/>
        </w:numPr>
        <w:spacing w:line="440" w:lineRule="exact"/>
        <w:rPr>
          <w:szCs w:val="21"/>
        </w:rPr>
      </w:pPr>
      <w:r>
        <w:rPr>
          <w:szCs w:val="21"/>
        </w:rPr>
        <w:t xml:space="preserve">环境温度：5～45℃</w:t>
      </w:r>
      <w:r/>
    </w:p>
    <w:p>
      <w:pPr>
        <w:numPr>
          <w:ilvl w:val="0"/>
          <w:numId w:val="25"/>
        </w:numPr>
        <w:spacing w:line="440" w:lineRule="exact"/>
        <w:rPr>
          <w:szCs w:val="21"/>
        </w:rPr>
      </w:pPr>
      <w:r>
        <w:rPr>
          <w:szCs w:val="21"/>
        </w:rPr>
        <w:t xml:space="preserve">环境湿度：≤85%RH（无冷凝）</w:t>
      </w:r>
      <w:r/>
    </w:p>
    <w:p>
      <w:pPr>
        <w:numPr>
          <w:ilvl w:val="0"/>
          <w:numId w:val="25"/>
        </w:numPr>
        <w:spacing w:line="440" w:lineRule="exact"/>
        <w:rPr>
          <w:szCs w:val="21"/>
        </w:rPr>
      </w:pPr>
      <w:r>
        <w:rPr>
          <w:szCs w:val="21"/>
        </w:rPr>
        <w:t xml:space="preserve">电源：AC 85～265 V；频率：45～65Hz</w:t>
      </w:r>
      <w:r/>
    </w:p>
    <w:p>
      <w:pPr>
        <w:numPr>
          <w:ilvl w:val="0"/>
          <w:numId w:val="25"/>
        </w:numPr>
        <w:spacing w:line="440" w:lineRule="exact"/>
        <w:rPr>
          <w:szCs w:val="21"/>
        </w:rPr>
      </w:pPr>
      <w:r>
        <w:rPr>
          <w:szCs w:val="21"/>
        </w:rPr>
        <w:t xml:space="preserve">功率：≤30W</w:t>
      </w:r>
      <w:r/>
    </w:p>
    <w:p>
      <w:pPr>
        <w:ind w:left="720" w:hanging="720"/>
        <w:spacing w:line="440" w:lineRule="exact"/>
        <w:rPr>
          <w:b/>
          <w:bCs/>
          <w:szCs w:val="21"/>
        </w:rPr>
      </w:pPr>
      <w:r>
        <w:rPr>
          <w:b/>
          <w:bCs/>
          <w:szCs w:val="21"/>
        </w:rPr>
        <w:t xml:space="preserve">二、配件要求</w:t>
      </w:r>
      <w:r/>
    </w:p>
    <w:p>
      <w:pPr>
        <w:numPr>
          <w:ilvl w:val="0"/>
          <w:numId w:val="26"/>
        </w:numPr>
        <w:spacing w:line="440" w:lineRule="exact"/>
        <w:rPr>
          <w:szCs w:val="21"/>
        </w:rPr>
      </w:pPr>
      <w:r>
        <w:rPr>
          <w:szCs w:val="21"/>
        </w:rPr>
        <w:t xml:space="preserve">联氨标准液（10μg/mL）</w:t>
      </w:r>
      <w:r/>
    </w:p>
    <w:p>
      <w:pPr>
        <w:numPr>
          <w:ilvl w:val="0"/>
          <w:numId w:val="26"/>
        </w:numPr>
        <w:spacing w:line="440" w:lineRule="exact"/>
        <w:rPr>
          <w:szCs w:val="21"/>
        </w:rPr>
      </w:pPr>
      <w:r>
        <w:rPr>
          <w:szCs w:val="21"/>
        </w:rPr>
        <w:t xml:space="preserve">排污管</w:t>
      </w:r>
      <w:r/>
    </w:p>
    <w:p>
      <w:pPr>
        <w:numPr>
          <w:ilvl w:val="0"/>
          <w:numId w:val="26"/>
        </w:numPr>
        <w:spacing w:line="440" w:lineRule="exact"/>
        <w:rPr>
          <w:szCs w:val="21"/>
        </w:rPr>
      </w:pPr>
      <w:r>
        <w:rPr>
          <w:szCs w:val="21"/>
        </w:rPr>
        <w:t xml:space="preserve">电源线</w:t>
      </w:r>
      <w:r/>
    </w:p>
    <w:p>
      <w:pPr>
        <w:numPr>
          <w:ilvl w:val="0"/>
          <w:numId w:val="26"/>
        </w:numPr>
        <w:spacing w:line="440" w:lineRule="exact"/>
        <w:rPr>
          <w:szCs w:val="21"/>
        </w:rPr>
      </w:pPr>
      <w:r>
        <w:rPr>
          <w:szCs w:val="21"/>
        </w:rPr>
        <w:t xml:space="preserve">进样杯</w:t>
      </w:r>
      <w:r/>
    </w:p>
    <w:p>
      <w:pPr>
        <w:jc w:val="center"/>
        <w:spacing w:line="440" w:lineRule="exact"/>
        <w:rPr>
          <w:b/>
          <w:bCs/>
          <w:szCs w:val="21"/>
        </w:rPr>
      </w:pPr>
      <w:r>
        <w:rPr>
          <w:b/>
          <w:bCs/>
          <w:szCs w:val="21"/>
        </w:rPr>
      </w:r>
      <w:r/>
    </w:p>
    <w:p>
      <w:pPr>
        <w:jc w:val="center"/>
        <w:spacing w:line="440" w:lineRule="exact"/>
        <w:rPr>
          <w:b/>
          <w:bCs/>
          <w:szCs w:val="21"/>
        </w:rPr>
      </w:pPr>
      <w:r>
        <w:rPr>
          <w:b/>
          <w:bCs/>
          <w:szCs w:val="21"/>
        </w:rPr>
        <w:t xml:space="preserve">品目十五 铜离子测定仪</w:t>
      </w:r>
      <w:r/>
    </w:p>
    <w:p>
      <w:pPr>
        <w:spacing w:line="440" w:lineRule="exact"/>
        <w:rPr>
          <w:b/>
          <w:bCs/>
          <w:szCs w:val="21"/>
        </w:rPr>
      </w:pPr>
      <w:r>
        <w:rPr>
          <w:b/>
          <w:bCs/>
          <w:szCs w:val="21"/>
        </w:rPr>
        <w:t xml:space="preserve">一、功能及技术指标</w:t>
      </w:r>
      <w:r/>
    </w:p>
    <w:p>
      <w:pPr>
        <w:numPr>
          <w:ilvl w:val="0"/>
          <w:numId w:val="27"/>
        </w:numPr>
        <w:spacing w:line="440" w:lineRule="exact"/>
        <w:tabs>
          <w:tab w:val="left" w:pos="705" w:leader="none"/>
        </w:tabs>
        <w:rPr>
          <w:szCs w:val="21"/>
          <w:lang w:bidi="en-US"/>
        </w:rPr>
      </w:pPr>
      <w:r>
        <w:rPr>
          <w:szCs w:val="21"/>
          <w:lang w:bidi="en-US"/>
        </w:rPr>
        <w:t xml:space="preserve">光源采用单色冷光源</w:t>
      </w:r>
      <w:r/>
    </w:p>
    <w:p>
      <w:pPr>
        <w:numPr>
          <w:ilvl w:val="0"/>
          <w:numId w:val="27"/>
        </w:numPr>
        <w:spacing w:line="440" w:lineRule="exact"/>
        <w:tabs>
          <w:tab w:val="left" w:pos="705" w:leader="none"/>
        </w:tabs>
        <w:rPr>
          <w:szCs w:val="21"/>
          <w:lang w:bidi="en-US"/>
        </w:rPr>
      </w:pPr>
      <w:r>
        <w:rPr>
          <w:szCs w:val="21"/>
          <w:lang w:bidi="en-US"/>
        </w:rPr>
        <w:t xml:space="preserve">空白校准，消除零点漂移和电气漂移，提高测量精确度</w:t>
      </w:r>
      <w:r/>
    </w:p>
    <w:p>
      <w:pPr>
        <w:numPr>
          <w:ilvl w:val="0"/>
          <w:numId w:val="27"/>
        </w:numPr>
        <w:spacing w:line="440" w:lineRule="exact"/>
        <w:tabs>
          <w:tab w:val="left" w:pos="705" w:leader="none"/>
        </w:tabs>
        <w:rPr>
          <w:szCs w:val="21"/>
          <w:lang w:bidi="en-US"/>
        </w:rPr>
      </w:pPr>
      <w:r>
        <w:rPr>
          <w:szCs w:val="21"/>
          <w:lang w:bidi="en-US"/>
        </w:rPr>
        <w:t xml:space="preserve">自动计时提醒功能，方便操作者使用，提高工作效率</w:t>
      </w:r>
      <w:r/>
    </w:p>
    <w:p>
      <w:pPr>
        <w:numPr>
          <w:ilvl w:val="0"/>
          <w:numId w:val="27"/>
        </w:numPr>
        <w:spacing w:line="440" w:lineRule="exact"/>
        <w:tabs>
          <w:tab w:val="left" w:pos="705" w:leader="none"/>
        </w:tabs>
        <w:rPr>
          <w:szCs w:val="21"/>
          <w:lang w:bidi="en-US"/>
        </w:rPr>
      </w:pPr>
      <w:r>
        <w:rPr>
          <w:szCs w:val="21"/>
          <w:lang w:bidi="en-US"/>
        </w:rPr>
        <w:t xml:space="preserve">数据循环存储，自动清除溢出，断电数据存储时间10年以上</w:t>
      </w:r>
      <w:r/>
    </w:p>
    <w:p>
      <w:pPr>
        <w:numPr>
          <w:ilvl w:val="0"/>
          <w:numId w:val="27"/>
        </w:numPr>
        <w:jc w:val="left"/>
        <w:spacing w:line="440" w:lineRule="exact"/>
        <w:rPr>
          <w:szCs w:val="21"/>
          <w:lang w:bidi="zh-CN"/>
        </w:rPr>
      </w:pPr>
      <w:r>
        <w:rPr>
          <w:szCs w:val="21"/>
          <w:lang w:bidi="en-US"/>
        </w:rPr>
        <w:t xml:space="preserve">显示：</w:t>
      </w:r>
      <w:r>
        <w:rPr>
          <w:szCs w:val="21"/>
          <w:lang w:bidi="zh-CN"/>
        </w:rPr>
        <w:t xml:space="preserve">触摸彩色液晶，中文显示</w:t>
      </w:r>
      <w:r/>
    </w:p>
    <w:p>
      <w:pPr>
        <w:numPr>
          <w:ilvl w:val="0"/>
          <w:numId w:val="27"/>
        </w:numPr>
        <w:jc w:val="left"/>
        <w:spacing w:line="440" w:lineRule="exact"/>
        <w:rPr>
          <w:szCs w:val="21"/>
          <w:lang w:bidi="en-US"/>
        </w:rPr>
      </w:pPr>
      <w:r>
        <w:rPr>
          <w:szCs w:val="21"/>
          <w:lang w:bidi="en-US"/>
        </w:rPr>
        <w:t xml:space="preserve">测量范围：（0.0～200.0）</w:t>
      </w:r>
      <w:r>
        <w:rPr>
          <w:szCs w:val="21"/>
          <w:lang w:eastAsia="en-US" w:bidi="en-US"/>
        </w:rPr>
        <w:t xml:space="preserve">μ</w:t>
      </w:r>
      <w:r>
        <w:rPr>
          <w:szCs w:val="21"/>
          <w:lang w:bidi="en-US"/>
        </w:rPr>
        <w:t xml:space="preserve">g/L</w:t>
      </w:r>
      <w:r/>
    </w:p>
    <w:p>
      <w:pPr>
        <w:numPr>
          <w:ilvl w:val="0"/>
          <w:numId w:val="27"/>
        </w:numPr>
        <w:jc w:val="left"/>
        <w:spacing w:line="440" w:lineRule="exact"/>
        <w:rPr>
          <w:szCs w:val="21"/>
          <w:lang w:bidi="en-US"/>
        </w:rPr>
      </w:pPr>
      <w:r>
        <w:rPr>
          <w:szCs w:val="21"/>
          <w:lang w:bidi="en-US"/>
        </w:rPr>
        <w:t xml:space="preserve">示值误差：±3% F.S</w:t>
      </w:r>
      <w:r/>
    </w:p>
    <w:p>
      <w:pPr>
        <w:numPr>
          <w:ilvl w:val="0"/>
          <w:numId w:val="27"/>
        </w:numPr>
        <w:jc w:val="left"/>
        <w:spacing w:line="440" w:lineRule="exact"/>
        <w:rPr>
          <w:szCs w:val="21"/>
          <w:lang w:bidi="en-US"/>
        </w:rPr>
      </w:pPr>
      <w:r>
        <w:rPr>
          <w:szCs w:val="21"/>
          <w:lang w:bidi="en-US"/>
        </w:rPr>
        <w:t xml:space="preserve">分辨率：0.1</w:t>
      </w:r>
      <w:r>
        <w:rPr>
          <w:szCs w:val="21"/>
          <w:lang w:eastAsia="en-US" w:bidi="en-US"/>
        </w:rPr>
        <w:t xml:space="preserve">μ</w:t>
      </w:r>
      <w:r>
        <w:rPr>
          <w:szCs w:val="21"/>
          <w:lang w:bidi="en-US"/>
        </w:rPr>
        <w:t xml:space="preserve">g/L</w:t>
      </w:r>
      <w:r/>
    </w:p>
    <w:p>
      <w:pPr>
        <w:numPr>
          <w:ilvl w:val="0"/>
          <w:numId w:val="27"/>
        </w:numPr>
        <w:jc w:val="left"/>
        <w:spacing w:line="440" w:lineRule="exact"/>
        <w:rPr>
          <w:szCs w:val="21"/>
          <w:lang w:bidi="en-US"/>
        </w:rPr>
      </w:pPr>
      <w:r>
        <w:rPr>
          <w:szCs w:val="21"/>
          <w:lang w:bidi="en-US"/>
        </w:rPr>
        <w:t xml:space="preserve">重复性：≤1% </w:t>
      </w:r>
      <w:r>
        <w:rPr>
          <w:szCs w:val="21"/>
          <w:lang w:eastAsia="en-US" w:bidi="en-US"/>
        </w:rPr>
        <w:t xml:space="preserve">F.S</w:t>
      </w:r>
      <w:r/>
    </w:p>
    <w:p>
      <w:pPr>
        <w:numPr>
          <w:ilvl w:val="0"/>
          <w:numId w:val="27"/>
        </w:numPr>
        <w:jc w:val="left"/>
        <w:spacing w:line="440" w:lineRule="exact"/>
        <w:rPr>
          <w:szCs w:val="21"/>
          <w:lang w:bidi="en-US"/>
        </w:rPr>
      </w:pPr>
      <w:r>
        <w:rPr>
          <w:szCs w:val="21"/>
          <w:lang w:bidi="en-US"/>
        </w:rPr>
        <w:t xml:space="preserve">稳定性：±1.5% F.S/4h</w:t>
      </w:r>
      <w:r/>
    </w:p>
    <w:p>
      <w:pPr>
        <w:numPr>
          <w:ilvl w:val="0"/>
          <w:numId w:val="27"/>
        </w:numPr>
        <w:jc w:val="left"/>
        <w:spacing w:line="440" w:lineRule="exact"/>
        <w:rPr>
          <w:szCs w:val="21"/>
          <w:lang w:bidi="en-US"/>
        </w:rPr>
      </w:pPr>
      <w:r>
        <w:rPr>
          <w:szCs w:val="21"/>
          <w:lang w:bidi="en-US"/>
        </w:rPr>
        <w:t xml:space="preserve">环境温度：5～45℃</w:t>
      </w:r>
      <w:r/>
    </w:p>
    <w:p>
      <w:pPr>
        <w:numPr>
          <w:ilvl w:val="0"/>
          <w:numId w:val="27"/>
        </w:numPr>
        <w:jc w:val="left"/>
        <w:spacing w:line="440" w:lineRule="exact"/>
        <w:rPr>
          <w:szCs w:val="21"/>
          <w:lang w:bidi="en-US"/>
        </w:rPr>
      </w:pPr>
      <w:r>
        <w:rPr>
          <w:szCs w:val="21"/>
          <w:lang w:bidi="en-US"/>
        </w:rPr>
        <w:t xml:space="preserve">环境湿度：≤85% RH（无冷凝）</w:t>
      </w:r>
      <w:r/>
    </w:p>
    <w:p>
      <w:pPr>
        <w:numPr>
          <w:ilvl w:val="0"/>
          <w:numId w:val="27"/>
        </w:numPr>
        <w:jc w:val="left"/>
        <w:spacing w:line="440" w:lineRule="exact"/>
        <w:rPr>
          <w:szCs w:val="21"/>
          <w:lang w:bidi="en-US"/>
        </w:rPr>
      </w:pPr>
      <w:r>
        <w:rPr>
          <w:szCs w:val="21"/>
          <w:lang w:bidi="en-US"/>
        </w:rPr>
        <w:t xml:space="preserve">电源：AC 85～265 V；频率：45～65Hz</w:t>
      </w:r>
      <w:r/>
    </w:p>
    <w:p>
      <w:pPr>
        <w:numPr>
          <w:ilvl w:val="0"/>
          <w:numId w:val="27"/>
        </w:numPr>
        <w:jc w:val="left"/>
        <w:spacing w:line="440" w:lineRule="exact"/>
        <w:rPr>
          <w:szCs w:val="21"/>
          <w:lang w:eastAsia="en-US" w:bidi="en-US"/>
        </w:rPr>
      </w:pPr>
      <w:r>
        <w:rPr>
          <w:szCs w:val="21"/>
          <w:lang w:eastAsia="en-US" w:bidi="en-US"/>
        </w:rPr>
        <w:t xml:space="preserve">功率：≤30W</w:t>
      </w:r>
      <w:r/>
    </w:p>
    <w:p>
      <w:pPr>
        <w:jc w:val="left"/>
        <w:spacing w:line="440" w:lineRule="exact"/>
        <w:rPr>
          <w:b/>
          <w:bCs/>
          <w:szCs w:val="21"/>
          <w:lang w:bidi="en-US"/>
        </w:rPr>
      </w:pPr>
      <w:r>
        <w:rPr>
          <w:b/>
          <w:bCs/>
          <w:szCs w:val="21"/>
          <w:lang w:bidi="en-US"/>
        </w:rPr>
        <w:t xml:space="preserve">二、配件要求</w:t>
      </w:r>
      <w:r/>
    </w:p>
    <w:p>
      <w:pPr>
        <w:numPr>
          <w:ilvl w:val="0"/>
          <w:numId w:val="28"/>
        </w:numPr>
        <w:jc w:val="left"/>
        <w:spacing w:line="440" w:lineRule="exact"/>
        <w:rPr>
          <w:szCs w:val="21"/>
          <w:lang w:bidi="en-US"/>
        </w:rPr>
      </w:pPr>
      <w:r>
        <w:rPr>
          <w:szCs w:val="21"/>
          <w:lang w:bidi="en-US"/>
        </w:rPr>
        <w:t xml:space="preserve">铜含量标准液（10μg/mL）</w:t>
      </w:r>
      <w:r/>
    </w:p>
    <w:p>
      <w:pPr>
        <w:numPr>
          <w:ilvl w:val="0"/>
          <w:numId w:val="28"/>
        </w:numPr>
        <w:jc w:val="left"/>
        <w:spacing w:line="440" w:lineRule="exact"/>
        <w:rPr>
          <w:szCs w:val="21"/>
          <w:lang w:bidi="en-US"/>
        </w:rPr>
      </w:pPr>
      <w:r>
        <w:rPr>
          <w:szCs w:val="21"/>
          <w:lang w:eastAsia="en-US" w:bidi="en-US"/>
        </w:rPr>
        <w:t xml:space="preserve">排污管</w:t>
      </w:r>
      <w:r/>
    </w:p>
    <w:p>
      <w:pPr>
        <w:numPr>
          <w:ilvl w:val="0"/>
          <w:numId w:val="28"/>
        </w:numPr>
        <w:jc w:val="left"/>
        <w:spacing w:line="440" w:lineRule="exact"/>
        <w:rPr>
          <w:szCs w:val="21"/>
          <w:lang w:bidi="en-US"/>
        </w:rPr>
      </w:pPr>
      <w:r>
        <w:rPr>
          <w:szCs w:val="21"/>
          <w:lang w:eastAsia="en-US" w:bidi="en-US"/>
        </w:rPr>
        <w:t xml:space="preserve">电源线</w:t>
      </w:r>
      <w:r/>
    </w:p>
    <w:p>
      <w:pPr>
        <w:numPr>
          <w:ilvl w:val="0"/>
          <w:numId w:val="28"/>
        </w:numPr>
        <w:jc w:val="left"/>
        <w:spacing w:line="440" w:lineRule="exact"/>
        <w:rPr>
          <w:szCs w:val="21"/>
          <w:lang w:bidi="en-US"/>
        </w:rPr>
      </w:pPr>
      <w:r>
        <w:rPr>
          <w:szCs w:val="21"/>
          <w:lang w:eastAsia="en-US" w:bidi="en-US"/>
        </w:rPr>
        <w:t xml:space="preserve">进样杯</w:t>
      </w:r>
      <w:r/>
    </w:p>
    <w:p>
      <w:pPr>
        <w:jc w:val="center"/>
        <w:spacing w:line="440" w:lineRule="exact"/>
        <w:rPr>
          <w:b/>
          <w:bCs/>
          <w:szCs w:val="21"/>
        </w:rPr>
      </w:pPr>
      <w:r>
        <w:rPr>
          <w:b/>
          <w:bCs/>
          <w:szCs w:val="21"/>
        </w:rPr>
      </w:r>
      <w:r/>
    </w:p>
    <w:p>
      <w:pPr>
        <w:jc w:val="center"/>
        <w:spacing w:line="440" w:lineRule="exact"/>
        <w:rPr>
          <w:b/>
          <w:bCs/>
          <w:szCs w:val="21"/>
        </w:rPr>
      </w:pPr>
      <w:r>
        <w:rPr>
          <w:b/>
          <w:bCs/>
          <w:szCs w:val="21"/>
        </w:rPr>
        <w:t xml:space="preserve">品目十六 总有机碳ToC测定仪</w:t>
      </w:r>
      <w:r/>
    </w:p>
    <w:p>
      <w:pPr>
        <w:numPr>
          <w:ilvl w:val="0"/>
          <w:numId w:val="29"/>
        </w:numPr>
        <w:spacing w:line="440" w:lineRule="exact"/>
        <w:tabs>
          <w:tab w:val="left" w:pos="705" w:leader="none"/>
        </w:tabs>
        <w:rPr>
          <w:szCs w:val="21"/>
          <w:lang w:bidi="en-US"/>
        </w:rPr>
      </w:pPr>
      <w:r>
        <w:rPr>
          <w:szCs w:val="21"/>
          <w:lang w:bidi="en-US"/>
        </w:rPr>
        <w:t xml:space="preserve">单独的系统适用性试验界面，检测曲线实时可见</w:t>
      </w:r>
      <w:r/>
    </w:p>
    <w:p>
      <w:pPr>
        <w:numPr>
          <w:ilvl w:val="0"/>
          <w:numId w:val="29"/>
        </w:numPr>
        <w:spacing w:line="440" w:lineRule="exact"/>
        <w:tabs>
          <w:tab w:val="left" w:pos="705" w:leader="none"/>
        </w:tabs>
        <w:rPr>
          <w:szCs w:val="21"/>
          <w:lang w:bidi="en-US"/>
        </w:rPr>
      </w:pPr>
      <w:r>
        <w:rPr>
          <w:szCs w:val="21"/>
          <w:lang w:bidi="en-US"/>
        </w:rPr>
        <w:t xml:space="preserve">内置针式打印机</w:t>
      </w:r>
      <w:r/>
    </w:p>
    <w:p>
      <w:pPr>
        <w:numPr>
          <w:ilvl w:val="0"/>
          <w:numId w:val="29"/>
        </w:numPr>
        <w:spacing w:line="440" w:lineRule="exact"/>
        <w:tabs>
          <w:tab w:val="left" w:pos="705" w:leader="none"/>
        </w:tabs>
        <w:rPr>
          <w:szCs w:val="21"/>
          <w:lang w:bidi="en-US"/>
        </w:rPr>
      </w:pPr>
      <w:r>
        <w:rPr>
          <w:szCs w:val="21"/>
          <w:lang w:bidi="en-US"/>
        </w:rPr>
        <w:t xml:space="preserve">紫外灯寿命倒计时，便于紫外灯的更换与维护</w:t>
      </w:r>
      <w:r/>
    </w:p>
    <w:p>
      <w:pPr>
        <w:numPr>
          <w:ilvl w:val="0"/>
          <w:numId w:val="29"/>
        </w:numPr>
        <w:spacing w:line="440" w:lineRule="exact"/>
        <w:tabs>
          <w:tab w:val="left" w:pos="705" w:leader="none"/>
        </w:tabs>
        <w:rPr>
          <w:szCs w:val="21"/>
          <w:lang w:bidi="en-US"/>
        </w:rPr>
      </w:pPr>
      <w:r>
        <w:rPr>
          <w:szCs w:val="21"/>
          <w:lang w:bidi="en-US"/>
        </w:rPr>
        <w:t xml:space="preserve">具有超出上限报警输出功能</w:t>
      </w:r>
      <w:r/>
    </w:p>
    <w:p>
      <w:pPr>
        <w:numPr>
          <w:ilvl w:val="0"/>
          <w:numId w:val="29"/>
        </w:numPr>
        <w:spacing w:line="440" w:lineRule="exact"/>
        <w:tabs>
          <w:tab w:val="left" w:pos="705" w:leader="none"/>
        </w:tabs>
        <w:rPr>
          <w:szCs w:val="21"/>
          <w:lang w:bidi="en-US"/>
        </w:rPr>
      </w:pPr>
      <w:r>
        <w:rPr>
          <w:szCs w:val="21"/>
          <w:lang w:bidi="en-US"/>
        </w:rPr>
        <w:t xml:space="preserve">可外接4</w:t>
      </w:r>
      <w:r>
        <w:rPr>
          <w:szCs w:val="21"/>
          <w:lang w:bidi="en-US"/>
        </w:rPr>
        <w:t xml:space="preserve">～</w:t>
      </w:r>
      <w:r>
        <w:rPr>
          <w:szCs w:val="21"/>
          <w:lang w:bidi="en-US"/>
        </w:rPr>
        <w:t xml:space="preserve">20mA</w:t>
      </w:r>
      <w:r>
        <w:t xml:space="preserve">信号输出</w:t>
      </w:r>
      <w:r/>
    </w:p>
    <w:p>
      <w:pPr>
        <w:numPr>
          <w:ilvl w:val="0"/>
          <w:numId w:val="29"/>
        </w:numPr>
        <w:spacing w:line="440" w:lineRule="exact"/>
        <w:tabs>
          <w:tab w:val="left" w:pos="705" w:leader="none"/>
        </w:tabs>
        <w:rPr>
          <w:szCs w:val="21"/>
          <w:lang w:bidi="en-US"/>
        </w:rPr>
      </w:pPr>
      <w:r>
        <w:rPr>
          <w:szCs w:val="21"/>
          <w:lang w:bidi="en-US"/>
        </w:rPr>
        <w:t xml:space="preserve">配备在线进样装置，实现水系统的在线监测</w:t>
      </w:r>
      <w:r/>
    </w:p>
    <w:p>
      <w:pPr>
        <w:numPr>
          <w:ilvl w:val="0"/>
          <w:numId w:val="29"/>
        </w:numPr>
        <w:spacing w:line="440" w:lineRule="exact"/>
        <w:tabs>
          <w:tab w:val="left" w:pos="705" w:leader="none"/>
        </w:tabs>
        <w:rPr>
          <w:szCs w:val="21"/>
          <w:lang w:bidi="en-US"/>
        </w:rPr>
      </w:pPr>
      <w:r>
        <w:rPr>
          <w:szCs w:val="21"/>
          <w:lang w:bidi="en-US"/>
        </w:rPr>
        <w:t xml:space="preserve">配备自动校准包，一键完成自动校准和系统适用性试验</w:t>
      </w:r>
      <w:r/>
    </w:p>
    <w:p>
      <w:pPr>
        <w:numPr>
          <w:ilvl w:val="0"/>
          <w:numId w:val="29"/>
        </w:numPr>
        <w:spacing w:line="440" w:lineRule="exact"/>
        <w:tabs>
          <w:tab w:val="left" w:pos="705" w:leader="none"/>
        </w:tabs>
        <w:rPr>
          <w:szCs w:val="21"/>
          <w:lang w:bidi="en-US"/>
        </w:rPr>
      </w:pPr>
      <w:r>
        <w:rPr>
          <w:szCs w:val="21"/>
          <w:lang w:bidi="en-US"/>
        </w:rPr>
        <w:t xml:space="preserve">配备自动取样仪，实现无人值守</w:t>
      </w:r>
      <w:r/>
    </w:p>
    <w:p>
      <w:pPr>
        <w:numPr>
          <w:ilvl w:val="0"/>
          <w:numId w:val="29"/>
        </w:numPr>
        <w:jc w:val="left"/>
        <w:spacing w:line="440" w:lineRule="exact"/>
        <w:rPr>
          <w:szCs w:val="21"/>
          <w:lang w:bidi="en-US"/>
        </w:rPr>
      </w:pPr>
      <w:r>
        <w:rPr>
          <w:szCs w:val="21"/>
          <w:lang w:bidi="en-US"/>
        </w:rPr>
        <w:t xml:space="preserve">操作TOC检测范围：0.1µg/L～1500.0µg/L</w:t>
      </w:r>
      <w:r/>
    </w:p>
    <w:p>
      <w:pPr>
        <w:numPr>
          <w:ilvl w:val="0"/>
          <w:numId w:val="29"/>
        </w:numPr>
        <w:jc w:val="left"/>
        <w:spacing w:line="440" w:lineRule="exact"/>
        <w:rPr>
          <w:szCs w:val="21"/>
          <w:lang w:bidi="en-US"/>
        </w:rPr>
      </w:pPr>
      <w:r>
        <w:rPr>
          <w:szCs w:val="21"/>
          <w:lang w:bidi="en-US"/>
        </w:rPr>
        <w:t xml:space="preserve">TOC检测精度：0.1µg/L（电导率＜1.0µS/cm）</w:t>
      </w:r>
      <w:r/>
    </w:p>
    <w:p>
      <w:pPr>
        <w:numPr>
          <w:ilvl w:val="0"/>
          <w:numId w:val="29"/>
        </w:numPr>
        <w:jc w:val="left"/>
        <w:spacing w:line="440" w:lineRule="exact"/>
        <w:rPr>
          <w:szCs w:val="21"/>
          <w:lang w:bidi="en-US"/>
        </w:rPr>
      </w:pPr>
      <w:r>
        <w:rPr>
          <w:szCs w:val="21"/>
          <w:lang w:bidi="en-US"/>
        </w:rPr>
        <w:t xml:space="preserve">电导率检测范围：0.055～6.000µS/cm</w:t>
      </w:r>
      <w:r/>
    </w:p>
    <w:p>
      <w:pPr>
        <w:numPr>
          <w:ilvl w:val="0"/>
          <w:numId w:val="29"/>
        </w:numPr>
        <w:jc w:val="left"/>
        <w:spacing w:line="440" w:lineRule="exact"/>
        <w:rPr>
          <w:szCs w:val="21"/>
          <w:lang w:bidi="en-US"/>
        </w:rPr>
      </w:pPr>
      <w:r>
        <w:rPr>
          <w:szCs w:val="21"/>
          <w:lang w:bidi="en-US"/>
        </w:rPr>
        <w:t xml:space="preserve">TOC准确性误差：≤±4%</w:t>
      </w:r>
      <w:r/>
    </w:p>
    <w:p>
      <w:pPr>
        <w:numPr>
          <w:ilvl w:val="0"/>
          <w:numId w:val="29"/>
        </w:numPr>
        <w:jc w:val="left"/>
        <w:spacing w:line="440" w:lineRule="exact"/>
        <w:rPr>
          <w:szCs w:val="21"/>
          <w:lang w:bidi="en-US"/>
        </w:rPr>
      </w:pPr>
      <w:r>
        <w:rPr>
          <w:szCs w:val="21"/>
          <w:lang w:bidi="en-US"/>
        </w:rPr>
        <w:t xml:space="preserve">重复性误差：≤2%</w:t>
      </w:r>
      <w:r/>
    </w:p>
    <w:p>
      <w:pPr>
        <w:numPr>
          <w:ilvl w:val="0"/>
          <w:numId w:val="29"/>
        </w:numPr>
        <w:jc w:val="left"/>
        <w:spacing w:line="440" w:lineRule="exact"/>
        <w:rPr>
          <w:szCs w:val="21"/>
          <w:lang w:bidi="en-US"/>
        </w:rPr>
      </w:pPr>
      <w:r>
        <w:rPr>
          <w:szCs w:val="21"/>
          <w:lang w:bidi="en-US"/>
        </w:rPr>
        <w:t xml:space="preserve">分析时间：最短1min的分析间隔时间（可任意设定）</w:t>
      </w:r>
      <w:r/>
    </w:p>
    <w:p>
      <w:pPr>
        <w:numPr>
          <w:ilvl w:val="0"/>
          <w:numId w:val="29"/>
        </w:numPr>
        <w:jc w:val="left"/>
        <w:spacing w:line="440" w:lineRule="exact"/>
        <w:rPr>
          <w:szCs w:val="21"/>
          <w:lang w:bidi="en-US"/>
        </w:rPr>
      </w:pPr>
      <w:r>
        <w:rPr>
          <w:szCs w:val="21"/>
          <w:lang w:bidi="en-US"/>
        </w:rPr>
        <w:t xml:space="preserve">响应时间：6min以内</w:t>
      </w:r>
      <w:r/>
    </w:p>
    <w:p>
      <w:pPr>
        <w:numPr>
          <w:ilvl w:val="0"/>
          <w:numId w:val="29"/>
        </w:numPr>
        <w:jc w:val="left"/>
        <w:spacing w:line="440" w:lineRule="exact"/>
        <w:rPr>
          <w:szCs w:val="21"/>
          <w:lang w:bidi="en-US"/>
        </w:rPr>
      </w:pPr>
      <w:r>
        <w:rPr>
          <w:szCs w:val="21"/>
          <w:lang w:bidi="en-US"/>
        </w:rPr>
        <w:t xml:space="preserve">样品温度：0～100℃</w:t>
      </w:r>
      <w:r/>
    </w:p>
    <w:p>
      <w:pPr>
        <w:numPr>
          <w:ilvl w:val="0"/>
          <w:numId w:val="29"/>
        </w:numPr>
        <w:jc w:val="left"/>
        <w:spacing w:line="440" w:lineRule="exact"/>
        <w:rPr>
          <w:szCs w:val="21"/>
          <w:lang w:bidi="en-US"/>
        </w:rPr>
      </w:pPr>
      <w:r>
        <w:rPr>
          <w:szCs w:val="21"/>
          <w:lang w:bidi="en-US"/>
        </w:rPr>
        <w:t xml:space="preserve">零点漂移：±2%/D</w:t>
      </w:r>
      <w:r/>
    </w:p>
    <w:p>
      <w:pPr>
        <w:numPr>
          <w:ilvl w:val="0"/>
          <w:numId w:val="29"/>
        </w:numPr>
        <w:jc w:val="left"/>
        <w:spacing w:line="440" w:lineRule="exact"/>
        <w:rPr>
          <w:szCs w:val="21"/>
          <w:lang w:bidi="en-US"/>
        </w:rPr>
      </w:pPr>
      <w:r>
        <w:rPr>
          <w:szCs w:val="21"/>
          <w:lang w:bidi="en-US"/>
        </w:rPr>
        <w:t xml:space="preserve">量程漂移：±2%/D</w:t>
      </w:r>
      <w:r/>
    </w:p>
    <w:p>
      <w:pPr>
        <w:numPr>
          <w:ilvl w:val="0"/>
          <w:numId w:val="29"/>
        </w:numPr>
        <w:jc w:val="left"/>
        <w:spacing w:line="440" w:lineRule="exact"/>
        <w:rPr>
          <w:szCs w:val="21"/>
          <w:lang w:bidi="en-US"/>
        </w:rPr>
      </w:pPr>
      <w:r>
        <w:rPr>
          <w:szCs w:val="21"/>
          <w:lang w:bidi="en-US"/>
        </w:rPr>
        <w:t xml:space="preserve">环境温度：0～60℃（温度变化在±5℃/d以内）</w:t>
      </w:r>
      <w:r/>
    </w:p>
    <w:p>
      <w:pPr>
        <w:numPr>
          <w:ilvl w:val="0"/>
          <w:numId w:val="29"/>
        </w:numPr>
        <w:jc w:val="left"/>
        <w:spacing w:line="440" w:lineRule="exact"/>
        <w:rPr>
          <w:szCs w:val="21"/>
          <w:lang w:bidi="en-US"/>
        </w:rPr>
      </w:pPr>
      <w:r>
        <w:rPr>
          <w:szCs w:val="21"/>
          <w:lang w:bidi="en-US"/>
        </w:rPr>
        <w:t xml:space="preserve">相对湿度：≤90%</w:t>
      </w:r>
      <w:r/>
    </w:p>
    <w:p>
      <w:pPr>
        <w:numPr>
          <w:ilvl w:val="0"/>
          <w:numId w:val="29"/>
        </w:numPr>
        <w:jc w:val="left"/>
        <w:spacing w:line="440" w:lineRule="exact"/>
        <w:rPr>
          <w:szCs w:val="21"/>
          <w:lang w:bidi="en-US"/>
        </w:rPr>
      </w:pPr>
      <w:r>
        <w:rPr>
          <w:szCs w:val="21"/>
          <w:lang w:bidi="en-US"/>
        </w:rPr>
        <w:t xml:space="preserve">电源要求电源：220±22VAC   50±1Hz</w:t>
      </w:r>
      <w:r/>
    </w:p>
    <w:p>
      <w:pPr>
        <w:numPr>
          <w:ilvl w:val="0"/>
          <w:numId w:val="29"/>
        </w:numPr>
        <w:jc w:val="left"/>
        <w:spacing w:line="440" w:lineRule="exact"/>
        <w:rPr>
          <w:szCs w:val="21"/>
          <w:lang w:bidi="en-US"/>
        </w:rPr>
      </w:pPr>
      <w:r>
        <w:rPr>
          <w:szCs w:val="21"/>
          <w:lang w:bidi="en-US"/>
        </w:rPr>
        <w:t xml:space="preserve">功率：</w:t>
      </w:r>
      <w:r>
        <w:t xml:space="preserve">≤</w:t>
      </w:r>
      <w:r>
        <w:rPr>
          <w:szCs w:val="21"/>
          <w:lang w:bidi="en-US"/>
        </w:rPr>
        <w:t xml:space="preserve">60W</w:t>
      </w:r>
      <w:r/>
    </w:p>
    <w:p>
      <w:pPr>
        <w:jc w:val="center"/>
        <w:spacing w:line="440" w:lineRule="exact"/>
        <w:rPr>
          <w:b/>
          <w:bCs/>
          <w:szCs w:val="21"/>
        </w:rPr>
      </w:pPr>
      <w:r>
        <w:rPr>
          <w:b/>
          <w:bCs/>
          <w:szCs w:val="21"/>
        </w:rPr>
      </w:r>
      <w:r/>
    </w:p>
    <w:p>
      <w:pPr>
        <w:jc w:val="center"/>
        <w:spacing w:line="440" w:lineRule="exact"/>
        <w:rPr>
          <w:b/>
          <w:bCs/>
          <w:szCs w:val="21"/>
        </w:rPr>
      </w:pPr>
      <w:r>
        <w:rPr>
          <w:b/>
          <w:bCs/>
          <w:szCs w:val="21"/>
        </w:rPr>
        <w:t xml:space="preserve">品目十七 紫外分光光度计</w:t>
      </w:r>
      <w:r/>
    </w:p>
    <w:p>
      <w:pPr>
        <w:pStyle w:val="1516"/>
        <w:spacing w:before="62" w:after="62" w:line="440" w:lineRule="exact"/>
        <w:rPr>
          <w:rFonts w:eastAsia="宋体"/>
          <w:szCs w:val="21"/>
        </w:rPr>
      </w:pPr>
      <w:r>
        <w:rPr>
          <w:rFonts w:eastAsia="宋体"/>
          <w:szCs w:val="21"/>
        </w:rPr>
        <w:t xml:space="preserve">一、主机</w:t>
      </w:r>
      <w:r/>
    </w:p>
    <w:p>
      <w:pPr>
        <w:ind w:left="424" w:hanging="214"/>
        <w:jc w:val="left"/>
        <w:spacing w:line="440" w:lineRule="exact"/>
        <w:widowControl/>
        <w:rPr>
          <w:bCs/>
          <w:szCs w:val="21"/>
        </w:rPr>
      </w:pPr>
      <w:r>
        <w:rPr>
          <w:bCs/>
          <w:szCs w:val="21"/>
        </w:rPr>
        <w:t xml:space="preserve">1.检测器：光电倍增管。</w:t>
      </w:r>
      <w:r/>
    </w:p>
    <w:p>
      <w:pPr>
        <w:ind w:left="424" w:hanging="214"/>
        <w:jc w:val="left"/>
        <w:spacing w:line="440" w:lineRule="exact"/>
        <w:widowControl/>
        <w:rPr>
          <w:bCs/>
          <w:szCs w:val="21"/>
        </w:rPr>
      </w:pPr>
      <w:r>
        <w:rPr>
          <w:bCs/>
          <w:szCs w:val="21"/>
        </w:rPr>
        <w:t xml:space="preserve">2.测光系统：双光束。</w:t>
      </w:r>
      <w:r/>
    </w:p>
    <w:p>
      <w:pPr>
        <w:ind w:left="424" w:hanging="214"/>
        <w:jc w:val="left"/>
        <w:spacing w:line="440" w:lineRule="exact"/>
        <w:widowControl/>
        <w:rPr>
          <w:bCs/>
          <w:szCs w:val="21"/>
        </w:rPr>
      </w:pPr>
      <w:r>
        <w:rPr>
          <w:bCs/>
          <w:szCs w:val="21"/>
        </w:rPr>
        <w:t xml:space="preserve">3.光学系统：高分辨率衍射全息光栅。</w:t>
      </w:r>
      <w:r/>
    </w:p>
    <w:p>
      <w:pPr>
        <w:ind w:left="424" w:hanging="214"/>
        <w:jc w:val="left"/>
        <w:spacing w:line="440" w:lineRule="exact"/>
        <w:widowControl/>
        <w:rPr>
          <w:bCs/>
          <w:szCs w:val="21"/>
        </w:rPr>
      </w:pPr>
      <w:r>
        <w:rPr>
          <w:bCs/>
          <w:szCs w:val="21"/>
        </w:rPr>
        <w:t xml:space="preserve">4.工作模式：PC联机模式。</w:t>
      </w:r>
      <w:r/>
    </w:p>
    <w:p>
      <w:pPr>
        <w:ind w:left="424" w:hanging="214"/>
        <w:jc w:val="left"/>
        <w:spacing w:line="440" w:lineRule="exact"/>
        <w:widowControl/>
        <w:rPr>
          <w:bCs/>
          <w:szCs w:val="21"/>
        </w:rPr>
      </w:pPr>
      <w:r>
        <w:rPr>
          <w:bCs/>
          <w:szCs w:val="21"/>
        </w:rPr>
        <w:t xml:space="preserve">5.波长范围：190nm～900nm。</w:t>
      </w:r>
      <w:r/>
    </w:p>
    <w:p>
      <w:pPr>
        <w:ind w:left="424" w:hanging="214"/>
        <w:jc w:val="left"/>
        <w:spacing w:line="440" w:lineRule="exact"/>
        <w:widowControl/>
        <w:rPr>
          <w:bCs/>
          <w:szCs w:val="21"/>
        </w:rPr>
      </w:pPr>
      <w:r>
        <w:rPr>
          <w:bCs/>
          <w:szCs w:val="21"/>
        </w:rPr>
        <w:t xml:space="preserve">6.波长准确度：±0.3nm（开机自动校准）。</w:t>
      </w:r>
      <w:r/>
    </w:p>
    <w:p>
      <w:pPr>
        <w:ind w:left="424" w:hanging="214"/>
        <w:jc w:val="left"/>
        <w:spacing w:line="440" w:lineRule="exact"/>
        <w:widowControl/>
        <w:rPr>
          <w:bCs/>
          <w:szCs w:val="21"/>
        </w:rPr>
      </w:pPr>
      <w:r>
        <w:rPr>
          <w:bCs/>
          <w:szCs w:val="21"/>
        </w:rPr>
        <w:t xml:space="preserve">7.波长重复性：≤0.15nm。</w:t>
      </w:r>
      <w:r/>
    </w:p>
    <w:p>
      <w:pPr>
        <w:ind w:left="425" w:hanging="425"/>
        <w:jc w:val="left"/>
        <w:spacing w:line="440" w:lineRule="exact"/>
        <w:widowControl/>
        <w:rPr>
          <w:bCs/>
          <w:szCs w:val="21"/>
        </w:rPr>
      </w:pPr>
      <w:r>
        <w:rPr>
          <w:rFonts w:ascii="Segoe UI Symbol" w:hAnsi="Segoe UI Symbol" w:cs="Segoe UI Symbol"/>
          <w:bCs/>
          <w:szCs w:val="21"/>
        </w:rPr>
        <w:t xml:space="preserve">★</w:t>
      </w:r>
      <w:r>
        <w:rPr>
          <w:bCs/>
          <w:szCs w:val="21"/>
        </w:rPr>
        <w:t xml:space="preserve">8.光谱带宽：0.1nm，0.2nm，0.5nm，1.0nm，2.0nm，5.0nm  6档可调。</w:t>
      </w:r>
      <w:r/>
    </w:p>
    <w:p>
      <w:pPr>
        <w:ind w:left="424" w:hanging="214"/>
        <w:jc w:val="left"/>
        <w:spacing w:line="440" w:lineRule="exact"/>
        <w:widowControl/>
        <w:rPr>
          <w:bCs/>
          <w:szCs w:val="21"/>
        </w:rPr>
      </w:pPr>
      <w:r>
        <w:rPr>
          <w:bCs/>
          <w:szCs w:val="21"/>
        </w:rPr>
        <w:t xml:space="preserve">9.杂散光：≤0.010%T（220nmNaI溶液）。</w:t>
      </w:r>
      <w:r/>
    </w:p>
    <w:p>
      <w:pPr>
        <w:ind w:left="424" w:hanging="214"/>
        <w:jc w:val="left"/>
        <w:spacing w:line="440" w:lineRule="exact"/>
        <w:widowControl/>
        <w:rPr>
          <w:bCs/>
          <w:szCs w:val="21"/>
        </w:rPr>
      </w:pPr>
      <w:r>
        <w:rPr>
          <w:bCs/>
          <w:szCs w:val="21"/>
        </w:rPr>
        <w:t xml:space="preserve">10.光源转换：自动切换（可在320nm～380nm波段范围内任意设定）</w:t>
      </w:r>
      <w:r/>
    </w:p>
    <w:p>
      <w:pPr>
        <w:ind w:left="424" w:hanging="214"/>
        <w:jc w:val="left"/>
        <w:spacing w:line="440" w:lineRule="exact"/>
        <w:widowControl/>
        <w:rPr>
          <w:bCs/>
          <w:szCs w:val="21"/>
        </w:rPr>
      </w:pPr>
      <w:r>
        <w:rPr>
          <w:bCs/>
          <w:szCs w:val="21"/>
        </w:rPr>
        <w:t xml:space="preserve">11.光度方式：透过率，吸光度，反射率，能量。</w:t>
      </w:r>
      <w:r/>
    </w:p>
    <w:p>
      <w:pPr>
        <w:ind w:left="424" w:hanging="214"/>
        <w:jc w:val="left"/>
        <w:spacing w:line="440" w:lineRule="exact"/>
        <w:widowControl/>
        <w:rPr>
          <w:bCs/>
          <w:szCs w:val="21"/>
        </w:rPr>
      </w:pPr>
      <w:r>
        <w:rPr>
          <w:bCs/>
          <w:szCs w:val="21"/>
        </w:rPr>
        <w:t xml:space="preserve">12.光度范围：-4.0～4.0Abs。</w:t>
      </w:r>
      <w:r/>
    </w:p>
    <w:p>
      <w:pPr>
        <w:ind w:left="424" w:hanging="214"/>
        <w:jc w:val="left"/>
        <w:spacing w:line="440" w:lineRule="exact"/>
        <w:widowControl/>
        <w:rPr>
          <w:bCs/>
          <w:szCs w:val="21"/>
        </w:rPr>
      </w:pPr>
      <w:r>
        <w:rPr>
          <w:bCs/>
          <w:szCs w:val="21"/>
        </w:rPr>
        <w:t xml:space="preserve">13.光度准确度：±0.002Abs（0～0.5Abs）；±0.004Abs（0.5～1.0Abs）；±0.3%T（0～100%T）。</w:t>
      </w:r>
      <w:r/>
    </w:p>
    <w:p>
      <w:pPr>
        <w:ind w:left="424" w:hanging="214"/>
        <w:jc w:val="left"/>
        <w:spacing w:line="440" w:lineRule="exact"/>
        <w:widowControl/>
        <w:rPr>
          <w:bCs/>
          <w:szCs w:val="21"/>
        </w:rPr>
      </w:pPr>
      <w:r>
        <w:rPr>
          <w:bCs/>
          <w:szCs w:val="21"/>
        </w:rPr>
        <w:t xml:space="preserve">14.光度重复性：0.001Abs（0～0.5Abs）、0.002Abs（0.5～1Abs）</w:t>
      </w:r>
      <w:r/>
    </w:p>
    <w:p>
      <w:pPr>
        <w:ind w:left="424" w:hanging="214"/>
        <w:jc w:val="left"/>
        <w:spacing w:line="440" w:lineRule="exact"/>
        <w:widowControl/>
        <w:rPr>
          <w:bCs/>
          <w:szCs w:val="21"/>
        </w:rPr>
      </w:pPr>
      <w:r>
        <w:rPr>
          <w:bCs/>
          <w:szCs w:val="21"/>
        </w:rPr>
        <w:t xml:space="preserve">15.基线平直度：±0.001Abs/h。</w:t>
      </w:r>
      <w:r/>
    </w:p>
    <w:p>
      <w:pPr>
        <w:ind w:left="424" w:hanging="214"/>
        <w:jc w:val="left"/>
        <w:spacing w:line="440" w:lineRule="exact"/>
        <w:widowControl/>
        <w:rPr>
          <w:bCs/>
          <w:szCs w:val="21"/>
        </w:rPr>
      </w:pPr>
      <w:r>
        <w:rPr>
          <w:bCs/>
          <w:szCs w:val="21"/>
        </w:rPr>
        <w:t xml:space="preserve">16.基线漂移：≤0.2%T/h</w:t>
      </w:r>
      <w:r/>
    </w:p>
    <w:p>
      <w:pPr>
        <w:ind w:left="424" w:hanging="214"/>
        <w:jc w:val="left"/>
        <w:spacing w:line="440" w:lineRule="exact"/>
        <w:widowControl/>
        <w:rPr>
          <w:bCs/>
          <w:szCs w:val="21"/>
        </w:rPr>
      </w:pPr>
      <w:r>
        <w:rPr>
          <w:bCs/>
          <w:szCs w:val="21"/>
        </w:rPr>
        <w:t xml:space="preserve">17.光源：插座型溴钨灯，更换灯后无须调整。</w:t>
      </w:r>
      <w:r/>
    </w:p>
    <w:p>
      <w:pPr>
        <w:pStyle w:val="1516"/>
        <w:spacing w:before="62" w:after="62" w:line="440" w:lineRule="exact"/>
        <w:rPr>
          <w:rFonts w:eastAsia="宋体"/>
          <w:szCs w:val="21"/>
        </w:rPr>
      </w:pPr>
      <w:r>
        <w:rPr>
          <w:rFonts w:eastAsia="宋体"/>
          <w:szCs w:val="21"/>
        </w:rPr>
        <w:t xml:space="preserve">二、软件</w:t>
      </w:r>
      <w:r/>
    </w:p>
    <w:p>
      <w:pPr>
        <w:ind w:left="424" w:hanging="214"/>
        <w:jc w:val="left"/>
        <w:spacing w:line="440" w:lineRule="exact"/>
        <w:widowControl/>
        <w:rPr>
          <w:bCs/>
          <w:szCs w:val="21"/>
        </w:rPr>
      </w:pPr>
      <w:r>
        <w:rPr>
          <w:bCs/>
          <w:szCs w:val="21"/>
        </w:rPr>
        <w:t xml:space="preserve">1.具有光度测量、光谱扫描、时间扫描、定量计算、三维谱图、DNA蛋白质测定等功能。</w:t>
      </w:r>
      <w:r/>
    </w:p>
    <w:p>
      <w:pPr>
        <w:ind w:left="424" w:hanging="214"/>
        <w:jc w:val="left"/>
        <w:spacing w:line="440" w:lineRule="exact"/>
        <w:widowControl/>
        <w:rPr>
          <w:bCs/>
          <w:szCs w:val="21"/>
        </w:rPr>
      </w:pPr>
      <w:r>
        <w:rPr>
          <w:bCs/>
          <w:szCs w:val="21"/>
        </w:rPr>
        <w:t xml:space="preserve">2.软件具有多用户管理、日志记录、二进制文件保存、质量控制及报告输出功能等。</w:t>
      </w:r>
      <w:r/>
    </w:p>
    <w:p>
      <w:pPr>
        <w:pStyle w:val="1516"/>
        <w:spacing w:before="62" w:after="62" w:line="440" w:lineRule="exact"/>
        <w:rPr>
          <w:rFonts w:eastAsia="宋体"/>
          <w:szCs w:val="21"/>
        </w:rPr>
      </w:pPr>
      <w:r>
        <w:rPr>
          <w:rFonts w:eastAsia="宋体"/>
          <w:szCs w:val="21"/>
        </w:rPr>
        <w:t xml:space="preserve">三、配置清单</w:t>
      </w:r>
      <w:r/>
    </w:p>
    <w:p>
      <w:pPr>
        <w:ind w:left="424" w:hanging="214"/>
        <w:spacing w:line="440" w:lineRule="exact"/>
        <w:rPr>
          <w:szCs w:val="21"/>
        </w:rPr>
      </w:pPr>
      <w:r>
        <w:rPr>
          <w:szCs w:val="21"/>
        </w:rPr>
        <w:t xml:space="preserve">1.双光束紫外可见分光光度计 1台</w:t>
      </w:r>
      <w:r/>
    </w:p>
    <w:p>
      <w:pPr>
        <w:ind w:left="424" w:hanging="214"/>
        <w:spacing w:line="440" w:lineRule="exact"/>
        <w:rPr>
          <w:szCs w:val="21"/>
        </w:rPr>
      </w:pPr>
      <w:r>
        <w:rPr>
          <w:szCs w:val="21"/>
        </w:rPr>
        <w:t xml:space="preserve">2.中文工作站软件 1套</w:t>
      </w:r>
      <w:r/>
    </w:p>
    <w:p>
      <w:pPr>
        <w:ind w:left="424" w:hanging="214"/>
        <w:spacing w:line="440" w:lineRule="exact"/>
        <w:rPr>
          <w:szCs w:val="21"/>
        </w:rPr>
      </w:pPr>
      <w:r>
        <w:rPr>
          <w:szCs w:val="21"/>
        </w:rPr>
        <w:t xml:space="preserve">3. 10cm长样品池 1只</w:t>
      </w:r>
      <w:r/>
    </w:p>
    <w:p>
      <w:pPr>
        <w:ind w:left="424" w:hanging="214"/>
        <w:spacing w:line="440" w:lineRule="exact"/>
        <w:rPr>
          <w:szCs w:val="21"/>
        </w:rPr>
      </w:pPr>
      <w:r>
        <w:rPr>
          <w:szCs w:val="21"/>
        </w:rPr>
        <w:t xml:space="preserve">4. 1cm石英比色皿 2只</w:t>
      </w:r>
      <w:r/>
    </w:p>
    <w:p>
      <w:pPr>
        <w:ind w:firstLine="210"/>
        <w:spacing w:line="440" w:lineRule="exact"/>
        <w:rPr>
          <w:szCs w:val="21"/>
        </w:rPr>
      </w:pPr>
      <w:r>
        <w:rPr>
          <w:szCs w:val="21"/>
        </w:rPr>
        <w:t xml:space="preserve">5.电脑 1台</w:t>
      </w:r>
      <w:r/>
    </w:p>
    <w:p>
      <w:pPr>
        <w:ind w:left="424" w:hanging="214"/>
        <w:spacing w:line="440" w:lineRule="exact"/>
      </w:pPr>
      <w:r>
        <w:t xml:space="preserve">6.</w:t>
      </w:r>
      <w:r>
        <w:rPr>
          <w:szCs w:val="21"/>
        </w:rPr>
        <w:t xml:space="preserve">打印机 1台</w:t>
      </w:r>
      <w:r/>
    </w:p>
    <w:p>
      <w:pPr>
        <w:jc w:val="center"/>
        <w:spacing w:line="440" w:lineRule="exact"/>
        <w:rPr>
          <w:b/>
          <w:bCs/>
          <w:szCs w:val="21"/>
        </w:rPr>
      </w:pPr>
      <w:r>
        <w:rPr>
          <w:b/>
          <w:bCs/>
          <w:szCs w:val="21"/>
        </w:rPr>
      </w:r>
      <w:r/>
    </w:p>
    <w:p>
      <w:pPr>
        <w:jc w:val="center"/>
        <w:spacing w:line="440" w:lineRule="exact"/>
        <w:rPr>
          <w:b/>
          <w:bCs/>
          <w:szCs w:val="21"/>
        </w:rPr>
      </w:pPr>
      <w:r>
        <w:rPr>
          <w:b/>
          <w:bCs/>
          <w:szCs w:val="21"/>
        </w:rPr>
        <w:t xml:space="preserve">品目十八 浊度计</w:t>
      </w:r>
      <w:r/>
    </w:p>
    <w:p>
      <w:pPr>
        <w:spacing w:line="440" w:lineRule="exact"/>
        <w:rPr>
          <w:b/>
          <w:bCs/>
          <w:szCs w:val="21"/>
        </w:rPr>
      </w:pPr>
      <w:r>
        <w:rPr>
          <w:b/>
          <w:bCs/>
          <w:szCs w:val="21"/>
        </w:rPr>
        <w:t xml:space="preserve">一、功能特点</w:t>
      </w:r>
      <w:r/>
    </w:p>
    <w:p>
      <w:pPr>
        <w:numPr>
          <w:ilvl w:val="0"/>
          <w:numId w:val="30"/>
        </w:numPr>
        <w:spacing w:line="440" w:lineRule="exact"/>
        <w:rPr>
          <w:szCs w:val="21"/>
          <w:lang w:bidi="ar"/>
        </w:rPr>
      </w:pPr>
      <w:r>
        <w:rPr>
          <w:szCs w:val="21"/>
          <w:lang w:bidi="ar"/>
        </w:rPr>
        <w:t xml:space="preserve">符合标准：符合《HJ1075-2019水质浊度的测定浊度计法》推荐的双光束测量</w:t>
      </w:r>
      <w:r/>
    </w:p>
    <w:p>
      <w:pPr>
        <w:numPr>
          <w:ilvl w:val="0"/>
          <w:numId w:val="30"/>
        </w:numPr>
        <w:spacing w:line="440" w:lineRule="exact"/>
        <w:rPr>
          <w:szCs w:val="21"/>
          <w:lang w:bidi="ar"/>
        </w:rPr>
      </w:pPr>
      <w:r>
        <w:rPr>
          <w:szCs w:val="21"/>
          <w:lang w:bidi="ar"/>
        </w:rPr>
        <w:t xml:space="preserve">测量方法：比率测量技术-90度散射法+透射光</w:t>
      </w:r>
      <w:r/>
    </w:p>
    <w:p>
      <w:pPr>
        <w:numPr>
          <w:ilvl w:val="0"/>
          <w:numId w:val="30"/>
        </w:numPr>
        <w:spacing w:line="440" w:lineRule="exact"/>
        <w:rPr>
          <w:szCs w:val="21"/>
          <w:lang w:bidi="ar"/>
        </w:rPr>
      </w:pPr>
      <w:r>
        <w:rPr>
          <w:szCs w:val="21"/>
        </w:rPr>
        <w:t xml:space="preserve">可直接测量(0</w:t>
      </w:r>
      <w:r>
        <w:rPr>
          <w:bCs/>
          <w:szCs w:val="21"/>
        </w:rPr>
        <w:t xml:space="preserve">～</w:t>
      </w:r>
      <w:r>
        <w:rPr>
          <w:szCs w:val="21"/>
        </w:rPr>
        <w:t xml:space="preserve">100)NTU的低浓度浊度样品；</w:t>
      </w:r>
      <w:r/>
    </w:p>
    <w:p>
      <w:pPr>
        <w:numPr>
          <w:ilvl w:val="0"/>
          <w:numId w:val="30"/>
        </w:numPr>
        <w:spacing w:line="440" w:lineRule="exact"/>
        <w:rPr>
          <w:szCs w:val="21"/>
          <w:lang w:bidi="ar"/>
        </w:rPr>
      </w:pPr>
      <w:r>
        <w:rPr>
          <w:szCs w:val="21"/>
          <w:lang w:bidi="ar"/>
        </w:rPr>
        <w:t xml:space="preserve">比色方式：25mm管比色</w:t>
      </w:r>
      <w:r/>
    </w:p>
    <w:p>
      <w:pPr>
        <w:numPr>
          <w:ilvl w:val="0"/>
          <w:numId w:val="30"/>
        </w:numPr>
        <w:spacing w:line="440" w:lineRule="exact"/>
        <w:rPr>
          <w:szCs w:val="21"/>
          <w:lang w:bidi="ar"/>
        </w:rPr>
      </w:pPr>
      <w:r>
        <w:rPr>
          <w:szCs w:val="21"/>
          <w:lang w:bidi="ar"/>
        </w:rPr>
        <w:t xml:space="preserve">屏幕显示：采用不小于3.5吋高清彩色屏幕；</w:t>
      </w:r>
      <w:r/>
    </w:p>
    <w:p>
      <w:pPr>
        <w:numPr>
          <w:ilvl w:val="0"/>
          <w:numId w:val="30"/>
        </w:numPr>
        <w:spacing w:line="440" w:lineRule="exact"/>
        <w:rPr>
          <w:szCs w:val="21"/>
          <w:lang w:bidi="ar"/>
        </w:rPr>
      </w:pPr>
      <w:r>
        <w:rPr>
          <w:szCs w:val="21"/>
          <w:lang w:bidi="ar"/>
        </w:rPr>
        <w:t xml:space="preserve">双光束测量：红外白光两种低量程测量模式可选；</w:t>
      </w:r>
      <w:r/>
    </w:p>
    <w:p>
      <w:pPr>
        <w:ind w:left="422" w:hanging="2"/>
        <w:spacing w:line="440" w:lineRule="exact"/>
        <w:rPr>
          <w:szCs w:val="21"/>
          <w:lang w:bidi="ar"/>
        </w:rPr>
      </w:pPr>
      <w:r>
        <w:rPr>
          <w:szCs w:val="21"/>
          <w:lang w:bidi="ar"/>
        </w:rPr>
        <w:t xml:space="preserve">红外低量程：有效进行低浓度色度补偿，适应带有颜色的样品测量；</w:t>
      </w:r>
      <w:r/>
    </w:p>
    <w:p>
      <w:pPr>
        <w:ind w:left="422" w:hanging="2"/>
        <w:spacing w:line="440" w:lineRule="exact"/>
        <w:rPr>
          <w:szCs w:val="21"/>
          <w:lang w:bidi="ar"/>
        </w:rPr>
      </w:pPr>
      <w:r>
        <w:rPr>
          <w:szCs w:val="21"/>
          <w:lang w:bidi="ar"/>
        </w:rPr>
        <w:t xml:space="preserve">白光低量程：精准实现低量程测值；</w:t>
      </w:r>
      <w:r/>
    </w:p>
    <w:p>
      <w:pPr>
        <w:numPr>
          <w:ilvl w:val="0"/>
          <w:numId w:val="30"/>
        </w:numPr>
        <w:spacing w:line="440" w:lineRule="exact"/>
        <w:rPr>
          <w:szCs w:val="21"/>
          <w:lang w:bidi="ar"/>
        </w:rPr>
      </w:pPr>
      <w:r>
        <w:rPr>
          <w:szCs w:val="21"/>
          <w:lang w:bidi="ar"/>
        </w:rPr>
        <w:t xml:space="preserve">数据非线性处理；采用比率读数，有效避免环境温度影响；</w:t>
      </w:r>
      <w:r/>
    </w:p>
    <w:p>
      <w:pPr>
        <w:numPr>
          <w:ilvl w:val="0"/>
          <w:numId w:val="30"/>
        </w:numPr>
        <w:spacing w:line="440" w:lineRule="exact"/>
        <w:rPr>
          <w:szCs w:val="21"/>
          <w:lang w:bidi="ar"/>
        </w:rPr>
      </w:pPr>
      <w:r>
        <w:rPr>
          <w:szCs w:val="21"/>
          <w:lang w:bidi="ar"/>
        </w:rPr>
        <w:t xml:space="preserve">内置常规模式和信号平均模式，常规模式适合多数样品，信号平均模式适合有悬浮物样品；</w:t>
      </w:r>
      <w:r/>
    </w:p>
    <w:p>
      <w:pPr>
        <w:numPr>
          <w:ilvl w:val="0"/>
          <w:numId w:val="30"/>
        </w:numPr>
        <w:spacing w:line="440" w:lineRule="exact"/>
        <w:rPr>
          <w:szCs w:val="21"/>
          <w:lang w:bidi="ar"/>
        </w:rPr>
      </w:pPr>
      <w:r>
        <w:rPr>
          <w:szCs w:val="21"/>
          <w:lang w:bidi="ar"/>
        </w:rPr>
        <w:t xml:space="preserve">采用高强度长寿命光源，减少维护成本，光源无需长时间预热，即可正常工作；</w:t>
      </w:r>
      <w:r/>
    </w:p>
    <w:p>
      <w:pPr>
        <w:numPr>
          <w:ilvl w:val="0"/>
          <w:numId w:val="30"/>
        </w:numPr>
        <w:spacing w:line="440" w:lineRule="exact"/>
        <w:rPr>
          <w:szCs w:val="21"/>
          <w:lang w:bidi="ar"/>
        </w:rPr>
      </w:pPr>
      <w:r>
        <w:rPr>
          <w:szCs w:val="21"/>
          <w:lang w:bidi="ar"/>
        </w:rPr>
        <w:t xml:space="preserve">超量程提示：通过测值区数值及表盘色彩变化直观显示测定结果是否超出量程，是否需要稀释检测；</w:t>
      </w:r>
      <w:r/>
    </w:p>
    <w:p>
      <w:pPr>
        <w:numPr>
          <w:ilvl w:val="0"/>
          <w:numId w:val="30"/>
        </w:numPr>
        <w:spacing w:line="440" w:lineRule="exact"/>
        <w:rPr>
          <w:szCs w:val="21"/>
          <w:lang w:bidi="ar"/>
        </w:rPr>
      </w:pPr>
      <w:r>
        <w:rPr>
          <w:szCs w:val="21"/>
          <w:lang w:bidi="ar"/>
        </w:rPr>
        <w:t xml:space="preserve">多点校准：可快速进行多点校准，更好适用各种水样浓度；</w:t>
      </w:r>
      <w:r/>
    </w:p>
    <w:p>
      <w:pPr>
        <w:numPr>
          <w:ilvl w:val="0"/>
          <w:numId w:val="30"/>
        </w:numPr>
        <w:spacing w:line="440" w:lineRule="exact"/>
        <w:rPr>
          <w:szCs w:val="21"/>
          <w:lang w:bidi="ar"/>
        </w:rPr>
      </w:pPr>
      <w:r>
        <w:rPr>
          <w:szCs w:val="21"/>
          <w:lang w:bidi="ar"/>
        </w:rPr>
        <w:t xml:space="preserve">校准记录：仪器保存最近一次校准记录，用户可查看校准值；</w:t>
      </w:r>
      <w:r/>
    </w:p>
    <w:p>
      <w:pPr>
        <w:numPr>
          <w:ilvl w:val="0"/>
          <w:numId w:val="30"/>
        </w:numPr>
        <w:spacing w:line="440" w:lineRule="exact"/>
        <w:rPr>
          <w:szCs w:val="21"/>
          <w:lang w:bidi="ar"/>
        </w:rPr>
      </w:pPr>
      <w:r>
        <w:rPr>
          <w:szCs w:val="21"/>
          <w:lang w:bidi="ar"/>
        </w:rPr>
        <w:t xml:space="preserve">比色管处理：配置硅油，可以在测量低值（5NTU以下）时在比色管表面用硅油处理，有效防止比色管划伤带来的误差；</w:t>
      </w:r>
      <w:r/>
    </w:p>
    <w:p>
      <w:pPr>
        <w:numPr>
          <w:ilvl w:val="0"/>
          <w:numId w:val="30"/>
        </w:numPr>
        <w:spacing w:line="440" w:lineRule="exact"/>
        <w:rPr>
          <w:szCs w:val="21"/>
          <w:lang w:bidi="ar"/>
        </w:rPr>
      </w:pPr>
      <w:r>
        <w:rPr>
          <w:szCs w:val="21"/>
          <w:lang w:bidi="ar"/>
        </w:rPr>
        <w:t xml:space="preserve">稳定的光路系统，无需空白调零即可直接测值；</w:t>
      </w:r>
      <w:r/>
    </w:p>
    <w:p>
      <w:pPr>
        <w:numPr>
          <w:ilvl w:val="0"/>
          <w:numId w:val="30"/>
        </w:numPr>
        <w:spacing w:line="440" w:lineRule="exact"/>
        <w:rPr>
          <w:szCs w:val="21"/>
          <w:lang w:bidi="ar"/>
        </w:rPr>
      </w:pPr>
      <w:r>
        <w:rPr>
          <w:szCs w:val="21"/>
          <w:lang w:bidi="ar"/>
        </w:rPr>
        <w:t xml:space="preserve">数据储存：仪器可存储至少5000条数据。</w:t>
      </w:r>
      <w:r/>
    </w:p>
    <w:p>
      <w:pPr>
        <w:numPr>
          <w:ilvl w:val="0"/>
          <w:numId w:val="30"/>
        </w:numPr>
        <w:spacing w:line="440" w:lineRule="exact"/>
        <w:rPr>
          <w:szCs w:val="21"/>
          <w:lang w:bidi="ar"/>
        </w:rPr>
      </w:pPr>
      <w:r>
        <w:rPr>
          <w:szCs w:val="21"/>
          <w:lang w:bidi="ar"/>
        </w:rPr>
        <w:t xml:space="preserve">具有Type-C数据传输接口，可将仪器数据传输至电脑端。</w:t>
      </w:r>
      <w:r/>
    </w:p>
    <w:p>
      <w:pPr>
        <w:spacing w:line="440" w:lineRule="exact"/>
        <w:rPr>
          <w:b/>
          <w:bCs/>
          <w:szCs w:val="21"/>
        </w:rPr>
      </w:pPr>
      <w:r>
        <w:rPr>
          <w:b/>
          <w:bCs/>
          <w:szCs w:val="21"/>
        </w:rPr>
        <w:t xml:space="preserve">二、技术参数</w:t>
      </w:r>
      <w:r/>
    </w:p>
    <w:p>
      <w:pPr>
        <w:numPr>
          <w:ilvl w:val="0"/>
          <w:numId w:val="31"/>
        </w:numPr>
        <w:spacing w:line="440" w:lineRule="exact"/>
        <w:rPr>
          <w:szCs w:val="21"/>
        </w:rPr>
      </w:pPr>
      <w:r>
        <w:rPr>
          <w:szCs w:val="21"/>
        </w:rPr>
        <w:t xml:space="preserve">测量方法：比率测量技术-90度散射法+透射光</w:t>
      </w:r>
      <w:r/>
    </w:p>
    <w:p>
      <w:pPr>
        <w:numPr>
          <w:ilvl w:val="0"/>
          <w:numId w:val="31"/>
        </w:numPr>
        <w:spacing w:line="440" w:lineRule="exact"/>
        <w:rPr>
          <w:szCs w:val="21"/>
        </w:rPr>
      </w:pPr>
      <w:r>
        <w:rPr>
          <w:szCs w:val="21"/>
        </w:rPr>
        <w:t xml:space="preserve">符合标准：《HJ1075-2018水质浊度的测定浊度计法》</w:t>
      </w:r>
      <w:r/>
    </w:p>
    <w:p>
      <w:pPr>
        <w:numPr>
          <w:ilvl w:val="0"/>
          <w:numId w:val="31"/>
        </w:numPr>
        <w:spacing w:line="440" w:lineRule="exact"/>
        <w:rPr>
          <w:szCs w:val="21"/>
        </w:rPr>
      </w:pPr>
      <w:r>
        <w:rPr>
          <w:szCs w:val="21"/>
        </w:rPr>
        <w:t xml:space="preserve">测量范围：0～100NTU；</w:t>
      </w:r>
      <w:r/>
    </w:p>
    <w:p>
      <w:pPr>
        <w:numPr>
          <w:ilvl w:val="0"/>
          <w:numId w:val="31"/>
        </w:numPr>
        <w:spacing w:line="440" w:lineRule="exact"/>
        <w:rPr>
          <w:szCs w:val="21"/>
        </w:rPr>
      </w:pPr>
      <w:r>
        <w:rPr>
          <w:szCs w:val="21"/>
        </w:rPr>
        <w:t xml:space="preserve">分辨率：（0～9.99NTU）分辨率0.01NTU；（10～99.9NTU）分辨率0.1NTU；</w:t>
      </w:r>
      <w:r/>
    </w:p>
    <w:p>
      <w:pPr>
        <w:numPr>
          <w:ilvl w:val="0"/>
          <w:numId w:val="31"/>
        </w:numPr>
        <w:spacing w:line="440" w:lineRule="exact"/>
        <w:rPr>
          <w:szCs w:val="21"/>
        </w:rPr>
      </w:pPr>
      <w:r>
        <w:rPr>
          <w:szCs w:val="21"/>
        </w:rPr>
        <w:t xml:space="preserve">光源：红外LED；白光LED；</w:t>
      </w:r>
      <w:r/>
    </w:p>
    <w:p>
      <w:pPr>
        <w:numPr>
          <w:ilvl w:val="0"/>
          <w:numId w:val="31"/>
        </w:numPr>
        <w:spacing w:line="440" w:lineRule="exact"/>
        <w:rPr>
          <w:szCs w:val="21"/>
        </w:rPr>
      </w:pPr>
      <w:r>
        <w:rPr>
          <w:szCs w:val="21"/>
        </w:rPr>
        <w:t xml:space="preserve">测量模式：（0～100）NTU普通样品；（0～100）NTU颜色样品；</w:t>
      </w:r>
      <w:r/>
    </w:p>
    <w:p>
      <w:pPr>
        <w:numPr>
          <w:ilvl w:val="0"/>
          <w:numId w:val="31"/>
        </w:numPr>
        <w:spacing w:line="440" w:lineRule="exact"/>
        <w:rPr>
          <w:szCs w:val="21"/>
        </w:rPr>
      </w:pPr>
      <w:r>
        <w:rPr>
          <w:szCs w:val="21"/>
        </w:rPr>
        <w:t xml:space="preserve">准确度：误差≤±5%；</w:t>
      </w:r>
      <w:r/>
    </w:p>
    <w:p>
      <w:pPr>
        <w:numPr>
          <w:ilvl w:val="0"/>
          <w:numId w:val="31"/>
        </w:numPr>
        <w:spacing w:line="440" w:lineRule="exact"/>
        <w:rPr>
          <w:szCs w:val="21"/>
        </w:rPr>
      </w:pPr>
      <w:r>
        <w:rPr>
          <w:szCs w:val="21"/>
        </w:rPr>
        <w:t xml:space="preserve">示值稳定性：±0.5%FS/30分钟</w:t>
      </w:r>
      <w:r/>
    </w:p>
    <w:p>
      <w:pPr>
        <w:numPr>
          <w:ilvl w:val="0"/>
          <w:numId w:val="31"/>
        </w:numPr>
        <w:spacing w:line="440" w:lineRule="exact"/>
        <w:rPr>
          <w:szCs w:val="21"/>
        </w:rPr>
      </w:pPr>
      <w:r>
        <w:rPr>
          <w:szCs w:val="21"/>
        </w:rPr>
        <w:t xml:space="preserve">重复性：±2%；</w:t>
      </w:r>
      <w:r/>
    </w:p>
    <w:p>
      <w:pPr>
        <w:numPr>
          <w:ilvl w:val="0"/>
          <w:numId w:val="31"/>
        </w:numPr>
        <w:spacing w:line="440" w:lineRule="exact"/>
        <w:rPr>
          <w:szCs w:val="21"/>
        </w:rPr>
      </w:pPr>
      <w:r>
        <w:rPr>
          <w:szCs w:val="21"/>
        </w:rPr>
        <w:t xml:space="preserve">读数模式：常规模式、信号平均模式</w:t>
      </w:r>
      <w:r/>
    </w:p>
    <w:p>
      <w:pPr>
        <w:numPr>
          <w:ilvl w:val="0"/>
          <w:numId w:val="31"/>
        </w:numPr>
        <w:spacing w:line="440" w:lineRule="exact"/>
        <w:rPr>
          <w:szCs w:val="21"/>
        </w:rPr>
      </w:pPr>
      <w:r>
        <w:rPr>
          <w:szCs w:val="21"/>
        </w:rPr>
        <w:t xml:space="preserve">空白漂移值：±0.5%FS/30分钟</w:t>
      </w:r>
      <w:r/>
    </w:p>
    <w:p>
      <w:pPr>
        <w:numPr>
          <w:ilvl w:val="0"/>
          <w:numId w:val="31"/>
        </w:numPr>
        <w:spacing w:line="440" w:lineRule="exact"/>
        <w:rPr>
          <w:szCs w:val="21"/>
        </w:rPr>
      </w:pPr>
      <w:r>
        <w:rPr>
          <w:szCs w:val="21"/>
        </w:rPr>
        <w:t xml:space="preserve">灵敏度：0.01NTU</w:t>
      </w:r>
      <w:r/>
    </w:p>
    <w:p>
      <w:pPr>
        <w:numPr>
          <w:ilvl w:val="0"/>
          <w:numId w:val="31"/>
        </w:numPr>
        <w:spacing w:line="440" w:lineRule="exact"/>
        <w:rPr>
          <w:szCs w:val="21"/>
        </w:rPr>
      </w:pPr>
      <w:r>
        <w:rPr>
          <w:szCs w:val="21"/>
        </w:rPr>
        <w:t xml:space="preserve">数据存储数量：5000组</w:t>
      </w:r>
      <w:r/>
    </w:p>
    <w:p>
      <w:pPr>
        <w:numPr>
          <w:ilvl w:val="0"/>
          <w:numId w:val="31"/>
        </w:numPr>
        <w:spacing w:line="440" w:lineRule="exact"/>
        <w:rPr>
          <w:szCs w:val="21"/>
        </w:rPr>
      </w:pPr>
      <w:r>
        <w:rPr>
          <w:szCs w:val="21"/>
        </w:rPr>
        <w:t xml:space="preserve">测量方式：φ25mm管直读数据</w:t>
      </w:r>
      <w:r/>
    </w:p>
    <w:p>
      <w:pPr>
        <w:numPr>
          <w:ilvl w:val="0"/>
          <w:numId w:val="31"/>
        </w:numPr>
        <w:spacing w:line="440" w:lineRule="exact"/>
        <w:rPr>
          <w:szCs w:val="21"/>
        </w:rPr>
      </w:pPr>
      <w:r>
        <w:rPr>
          <w:szCs w:val="21"/>
        </w:rPr>
        <w:t xml:space="preserve">显示屏：不小于3.5吋高清彩色屏幕</w:t>
      </w:r>
      <w:r/>
    </w:p>
    <w:p>
      <w:pPr>
        <w:numPr>
          <w:ilvl w:val="0"/>
          <w:numId w:val="31"/>
        </w:numPr>
        <w:spacing w:line="440" w:lineRule="exact"/>
        <w:rPr>
          <w:szCs w:val="21"/>
        </w:rPr>
      </w:pPr>
      <w:r>
        <w:rPr>
          <w:szCs w:val="21"/>
        </w:rPr>
        <w:t xml:space="preserve">环境湿度：相对湿度≤85% RH（无冷凝）</w:t>
      </w:r>
      <w:r/>
    </w:p>
    <w:p>
      <w:pPr>
        <w:numPr>
          <w:ilvl w:val="0"/>
          <w:numId w:val="31"/>
        </w:numPr>
        <w:spacing w:line="440" w:lineRule="exact"/>
        <w:rPr>
          <w:szCs w:val="21"/>
        </w:rPr>
      </w:pPr>
      <w:r>
        <w:rPr>
          <w:szCs w:val="21"/>
        </w:rPr>
        <w:t xml:space="preserve">环境温度：5～40℃</w:t>
      </w:r>
      <w:r/>
    </w:p>
    <w:p>
      <w:pPr>
        <w:numPr>
          <w:ilvl w:val="0"/>
          <w:numId w:val="31"/>
        </w:numPr>
        <w:spacing w:line="440" w:lineRule="exact"/>
        <w:rPr>
          <w:szCs w:val="21"/>
        </w:rPr>
      </w:pPr>
      <w:r>
        <w:rPr>
          <w:szCs w:val="21"/>
        </w:rPr>
        <w:t xml:space="preserve">仪器功率：20W</w:t>
      </w:r>
      <w:r/>
    </w:p>
    <w:p>
      <w:pPr>
        <w:numPr>
          <w:ilvl w:val="0"/>
          <w:numId w:val="31"/>
        </w:numPr>
        <w:spacing w:line="440" w:lineRule="exact"/>
      </w:pPr>
      <w:r>
        <w:rPr>
          <w:szCs w:val="21"/>
        </w:rPr>
        <w:t xml:space="preserve">工作电压：AC220V</w:t>
      </w:r>
      <w:r/>
    </w:p>
    <w:p>
      <w:pPr>
        <w:spacing w:line="440" w:lineRule="exact"/>
      </w:pPr>
      <w:r/>
      <w:r/>
    </w:p>
    <w:p>
      <w:pPr>
        <w:spacing w:line="400" w:lineRule="exact"/>
        <w:rPr>
          <w:b/>
          <w:color w:val="000000"/>
          <w:szCs w:val="21"/>
        </w:rPr>
      </w:pPr>
      <w:r>
        <w:rPr>
          <w:b/>
          <w:color w:val="000000"/>
          <w:szCs w:val="21"/>
        </w:rPr>
        <w:t xml:space="preserve">02包：</w:t>
      </w:r>
      <w:r/>
    </w:p>
    <w:p>
      <w:pPr>
        <w:ind w:firstLine="211"/>
        <w:jc w:val="center"/>
        <w:spacing w:line="360" w:lineRule="auto"/>
        <w:rPr>
          <w:b/>
          <w:bCs/>
          <w:szCs w:val="21"/>
        </w:rPr>
      </w:pPr>
      <w:r>
        <w:rPr>
          <w:b/>
          <w:bCs/>
          <w:szCs w:val="21"/>
        </w:rPr>
        <w:t xml:space="preserve">品目一 自动电位滴定仪A</w:t>
      </w:r>
      <w:r/>
    </w:p>
    <w:p>
      <w:pPr>
        <w:spacing w:line="360" w:lineRule="auto"/>
        <w:rPr>
          <w:rFonts w:eastAsiaTheme="minorEastAsia"/>
          <w:szCs w:val="21"/>
        </w:rPr>
      </w:pPr>
      <w:r>
        <w:rPr>
          <w:rFonts w:eastAsiaTheme="minorEastAsia"/>
          <w:szCs w:val="21"/>
        </w:rPr>
        <w:t xml:space="preserve">一、技术参数</w:t>
      </w:r>
      <w:r/>
    </w:p>
    <w:p>
      <w:pPr>
        <w:spacing w:line="360" w:lineRule="auto"/>
        <w:rPr>
          <w:rFonts w:eastAsiaTheme="minorEastAsia"/>
          <w:szCs w:val="21"/>
        </w:rPr>
      </w:pPr>
      <w:r>
        <w:rPr>
          <w:rFonts w:eastAsiaTheme="minorEastAsia"/>
          <w:szCs w:val="21"/>
        </w:rPr>
        <w:t xml:space="preserve">1运行环境</w:t>
      </w:r>
      <w:r/>
    </w:p>
    <w:p>
      <w:pPr>
        <w:spacing w:line="360" w:lineRule="auto"/>
        <w:rPr>
          <w:rFonts w:eastAsiaTheme="minorEastAsia"/>
          <w:szCs w:val="21"/>
        </w:rPr>
      </w:pPr>
      <w:r>
        <w:rPr>
          <w:rFonts w:eastAsiaTheme="minorEastAsia"/>
          <w:szCs w:val="21"/>
        </w:rPr>
        <w:t xml:space="preserve">1.1相对湿度：≤80%；</w:t>
      </w:r>
      <w:r/>
    </w:p>
    <w:p>
      <w:pPr>
        <w:spacing w:line="360" w:lineRule="auto"/>
        <w:rPr>
          <w:rFonts w:eastAsiaTheme="minorEastAsia"/>
          <w:szCs w:val="21"/>
        </w:rPr>
      </w:pPr>
      <w:r>
        <w:rPr>
          <w:rFonts w:eastAsiaTheme="minorEastAsia"/>
          <w:szCs w:val="21"/>
        </w:rPr>
        <w:t xml:space="preserve">1.2适用电源：电压220V（±10%），50Hz(±2%)；</w:t>
      </w:r>
      <w:r/>
    </w:p>
    <w:p>
      <w:pPr>
        <w:spacing w:line="360" w:lineRule="auto"/>
        <w:rPr>
          <w:rFonts w:eastAsiaTheme="minorEastAsia"/>
          <w:szCs w:val="21"/>
        </w:rPr>
      </w:pPr>
      <w:r>
        <w:rPr>
          <w:rFonts w:eastAsiaTheme="minorEastAsia"/>
          <w:szCs w:val="21"/>
        </w:rPr>
        <w:t xml:space="preserve">1.3环境温度：5℃～40℃；</w:t>
      </w:r>
      <w:r/>
    </w:p>
    <w:p>
      <w:pPr>
        <w:spacing w:line="360" w:lineRule="auto"/>
        <w:rPr>
          <w:rFonts w:eastAsiaTheme="minorEastAsia"/>
          <w:szCs w:val="21"/>
        </w:rPr>
      </w:pPr>
      <w:r>
        <w:rPr>
          <w:rFonts w:eastAsiaTheme="minorEastAsia"/>
          <w:szCs w:val="21"/>
        </w:rPr>
        <w:t xml:space="preserve">2用途：用于各种电化学滴定分析</w:t>
      </w:r>
      <w:r/>
    </w:p>
    <w:p>
      <w:pPr>
        <w:spacing w:line="360" w:lineRule="auto"/>
        <w:rPr>
          <w:rFonts w:eastAsiaTheme="minorEastAsia"/>
          <w:szCs w:val="21"/>
        </w:rPr>
      </w:pPr>
      <w:r>
        <w:rPr>
          <w:rFonts w:eastAsiaTheme="minorEastAsia"/>
          <w:szCs w:val="21"/>
        </w:rPr>
        <w:t xml:space="preserve">3技术参数及功能</w:t>
      </w:r>
      <w:r/>
    </w:p>
    <w:p>
      <w:pPr>
        <w:spacing w:line="360" w:lineRule="auto"/>
        <w:rPr>
          <w:rFonts w:eastAsiaTheme="minorEastAsia"/>
          <w:szCs w:val="21"/>
        </w:rPr>
      </w:pPr>
      <w:r>
        <w:rPr>
          <w:rFonts w:eastAsiaTheme="minorEastAsia"/>
          <w:szCs w:val="21"/>
        </w:rPr>
        <w:t xml:space="preserve">3.1测试范围及精度</w:t>
      </w:r>
      <w:r/>
    </w:p>
    <w:p>
      <w:pPr>
        <w:spacing w:line="360" w:lineRule="auto"/>
        <w:rPr>
          <w:rFonts w:eastAsiaTheme="minorEastAsia"/>
          <w:szCs w:val="21"/>
        </w:rPr>
      </w:pPr>
      <w:r>
        <w:rPr>
          <w:rFonts w:eastAsiaTheme="minorEastAsia"/>
          <w:szCs w:val="21"/>
        </w:rPr>
        <w:t xml:space="preserve">3.1.1 mV测量电极接口</w:t>
      </w:r>
      <w:r/>
    </w:p>
    <w:p>
      <w:pPr>
        <w:spacing w:line="360" w:lineRule="auto"/>
        <w:rPr>
          <w:rFonts w:eastAsiaTheme="minorEastAsia"/>
          <w:szCs w:val="21"/>
        </w:rPr>
      </w:pPr>
      <w:r>
        <w:rPr>
          <w:rFonts w:eastAsiaTheme="minorEastAsia"/>
          <w:szCs w:val="21"/>
        </w:rPr>
        <w:t xml:space="preserve">1)测量范围：－2000mV～2000mV；</w:t>
      </w:r>
      <w:r/>
    </w:p>
    <w:p>
      <w:pPr>
        <w:spacing w:line="360" w:lineRule="auto"/>
        <w:rPr>
          <w:rFonts w:eastAsiaTheme="minorEastAsia"/>
          <w:szCs w:val="21"/>
        </w:rPr>
      </w:pPr>
      <w:r>
        <w:rPr>
          <w:rFonts w:eastAsiaTheme="minorEastAsia"/>
          <w:szCs w:val="21"/>
        </w:rPr>
        <w:t xml:space="preserve">2)分辨率：0.1mV；</w:t>
      </w:r>
      <w:r/>
    </w:p>
    <w:p>
      <w:pPr>
        <w:spacing w:line="360" w:lineRule="auto"/>
        <w:rPr>
          <w:rFonts w:eastAsiaTheme="minorEastAsia"/>
          <w:szCs w:val="21"/>
        </w:rPr>
      </w:pPr>
      <w:r>
        <w:rPr>
          <w:rFonts w:eastAsiaTheme="minorEastAsia"/>
          <w:szCs w:val="21"/>
        </w:rPr>
        <w:t xml:space="preserve">3)最大的可能误差：0.2mV；</w:t>
      </w:r>
      <w:r/>
    </w:p>
    <w:p>
      <w:pPr>
        <w:spacing w:line="360" w:lineRule="auto"/>
        <w:rPr>
          <w:rFonts w:eastAsiaTheme="minorEastAsia"/>
          <w:szCs w:val="21"/>
        </w:rPr>
      </w:pPr>
      <w:r>
        <w:rPr>
          <w:rFonts w:eastAsiaTheme="minorEastAsia"/>
          <w:szCs w:val="21"/>
        </w:rPr>
        <w:t xml:space="preserve">3.1.2 pH测量电极接口</w:t>
      </w:r>
      <w:r/>
    </w:p>
    <w:p>
      <w:pPr>
        <w:spacing w:line="360" w:lineRule="auto"/>
        <w:rPr>
          <w:rFonts w:eastAsiaTheme="minorEastAsia"/>
          <w:szCs w:val="21"/>
        </w:rPr>
      </w:pPr>
      <w:r>
        <w:rPr>
          <w:rFonts w:eastAsiaTheme="minorEastAsia"/>
          <w:szCs w:val="21"/>
        </w:rPr>
        <w:t xml:space="preserve">1)测量范围：－26.0～40.0pH；</w:t>
      </w:r>
      <w:r/>
    </w:p>
    <w:p>
      <w:pPr>
        <w:spacing w:line="360" w:lineRule="auto"/>
        <w:rPr>
          <w:rFonts w:eastAsiaTheme="minorEastAsia"/>
          <w:szCs w:val="21"/>
        </w:rPr>
      </w:pPr>
      <w:r>
        <w:rPr>
          <w:rFonts w:eastAsiaTheme="minorEastAsia"/>
          <w:szCs w:val="21"/>
        </w:rPr>
        <w:t xml:space="preserve">2)分辨率：0.001pH；</w:t>
      </w:r>
      <w:r/>
    </w:p>
    <w:p>
      <w:pPr>
        <w:spacing w:line="360" w:lineRule="auto"/>
        <w:rPr>
          <w:rFonts w:eastAsiaTheme="minorEastAsia"/>
          <w:szCs w:val="21"/>
        </w:rPr>
      </w:pPr>
      <w:r>
        <w:rPr>
          <w:rFonts w:eastAsiaTheme="minorEastAsia"/>
          <w:szCs w:val="21"/>
        </w:rPr>
        <w:t xml:space="preserve">3)最大的可能误差：0.003pH；</w:t>
      </w:r>
      <w:r/>
    </w:p>
    <w:p>
      <w:pPr>
        <w:spacing w:line="360" w:lineRule="auto"/>
        <w:rPr>
          <w:rFonts w:eastAsiaTheme="minorEastAsia"/>
          <w:szCs w:val="21"/>
        </w:rPr>
      </w:pPr>
      <w:r>
        <w:rPr>
          <w:rFonts w:eastAsiaTheme="minorEastAsia"/>
          <w:szCs w:val="21"/>
        </w:rPr>
        <w:t xml:space="preserve">3.1.3极化电极接口（Upol）</w:t>
      </w:r>
      <w:r/>
    </w:p>
    <w:p>
      <w:pPr>
        <w:spacing w:line="360" w:lineRule="auto"/>
        <w:rPr>
          <w:rFonts w:eastAsiaTheme="minorEastAsia"/>
          <w:szCs w:val="21"/>
        </w:rPr>
      </w:pPr>
      <w:r>
        <w:rPr>
          <w:rFonts w:eastAsiaTheme="minorEastAsia"/>
          <w:szCs w:val="21"/>
        </w:rPr>
        <w:t xml:space="preserve">1)极化电压：0-2000mV（交流电，增量0.1mV）；</w:t>
      </w:r>
      <w:r/>
    </w:p>
    <w:p>
      <w:pPr>
        <w:spacing w:line="360" w:lineRule="auto"/>
        <w:rPr>
          <w:rFonts w:eastAsiaTheme="minorEastAsia"/>
          <w:szCs w:val="21"/>
        </w:rPr>
      </w:pPr>
      <w:r>
        <w:rPr>
          <w:rFonts w:eastAsiaTheme="minorEastAsia"/>
          <w:szCs w:val="21"/>
        </w:rPr>
        <w:t xml:space="preserve">2)测量范围：0-200μA；</w:t>
      </w:r>
      <w:r/>
    </w:p>
    <w:p>
      <w:pPr>
        <w:spacing w:line="360" w:lineRule="auto"/>
        <w:rPr>
          <w:rFonts w:eastAsiaTheme="minorEastAsia"/>
          <w:szCs w:val="21"/>
        </w:rPr>
      </w:pPr>
      <w:r>
        <w:rPr>
          <w:rFonts w:eastAsiaTheme="minorEastAsia"/>
          <w:szCs w:val="21"/>
        </w:rPr>
        <w:t xml:space="preserve">3)分辨率：0.1μA；</w:t>
      </w:r>
      <w:r/>
    </w:p>
    <w:p>
      <w:pPr>
        <w:spacing w:line="360" w:lineRule="auto"/>
        <w:rPr>
          <w:rFonts w:eastAsiaTheme="minorEastAsia"/>
          <w:szCs w:val="21"/>
        </w:rPr>
      </w:pPr>
      <w:r>
        <w:rPr>
          <w:rFonts w:eastAsiaTheme="minorEastAsia"/>
          <w:szCs w:val="21"/>
        </w:rPr>
        <w:t xml:space="preserve">4)误差范围：0.2μA；</w:t>
      </w:r>
      <w:r/>
    </w:p>
    <w:p>
      <w:pPr>
        <w:spacing w:line="360" w:lineRule="auto"/>
        <w:rPr>
          <w:rFonts w:eastAsiaTheme="minorEastAsia"/>
          <w:szCs w:val="21"/>
        </w:rPr>
      </w:pPr>
      <w:r>
        <w:rPr>
          <w:rFonts w:eastAsiaTheme="minorEastAsia"/>
          <w:szCs w:val="21"/>
        </w:rPr>
        <w:t xml:space="preserve">3.1.4极化电极接口（Ipol）</w:t>
      </w:r>
      <w:r/>
    </w:p>
    <w:p>
      <w:pPr>
        <w:spacing w:line="360" w:lineRule="auto"/>
        <w:rPr>
          <w:rFonts w:eastAsiaTheme="minorEastAsia"/>
          <w:szCs w:val="21"/>
        </w:rPr>
      </w:pPr>
      <w:r>
        <w:rPr>
          <w:rFonts w:eastAsiaTheme="minorEastAsia"/>
          <w:szCs w:val="21"/>
        </w:rPr>
        <w:t xml:space="preserve">1)极化电流：0-24μA（交流电，增量0.1μA）；</w:t>
      </w:r>
      <w:r/>
    </w:p>
    <w:p>
      <w:pPr>
        <w:spacing w:line="360" w:lineRule="auto"/>
        <w:rPr>
          <w:rFonts w:eastAsiaTheme="minorEastAsia"/>
          <w:szCs w:val="21"/>
        </w:rPr>
      </w:pPr>
      <w:r>
        <w:rPr>
          <w:rFonts w:eastAsiaTheme="minorEastAsia"/>
          <w:szCs w:val="21"/>
        </w:rPr>
        <w:t xml:space="preserve">2)测量范围：0-2000mV；</w:t>
      </w:r>
      <w:r/>
    </w:p>
    <w:p>
      <w:pPr>
        <w:spacing w:line="360" w:lineRule="auto"/>
        <w:rPr>
          <w:rFonts w:eastAsiaTheme="minorEastAsia"/>
          <w:szCs w:val="21"/>
        </w:rPr>
      </w:pPr>
      <w:r>
        <w:rPr>
          <w:rFonts w:eastAsiaTheme="minorEastAsia"/>
          <w:szCs w:val="21"/>
        </w:rPr>
        <w:t xml:space="preserve">3)分辨率：0.1mV；</w:t>
      </w:r>
      <w:r/>
    </w:p>
    <w:p>
      <w:pPr>
        <w:spacing w:line="360" w:lineRule="auto"/>
        <w:rPr>
          <w:rFonts w:eastAsiaTheme="minorEastAsia"/>
          <w:szCs w:val="21"/>
        </w:rPr>
      </w:pPr>
      <w:r>
        <w:rPr>
          <w:rFonts w:eastAsiaTheme="minorEastAsia"/>
          <w:szCs w:val="21"/>
        </w:rPr>
        <w:t xml:space="preserve">4)误差范围：2mV；</w:t>
      </w:r>
      <w:r/>
    </w:p>
    <w:p>
      <w:pPr>
        <w:spacing w:line="360" w:lineRule="auto"/>
        <w:rPr>
          <w:rFonts w:eastAsiaTheme="minorEastAsia"/>
          <w:szCs w:val="21"/>
        </w:rPr>
      </w:pPr>
      <w:r>
        <w:rPr>
          <w:rFonts w:eastAsiaTheme="minorEastAsia"/>
          <w:szCs w:val="21"/>
        </w:rPr>
        <w:t xml:space="preserve">3.1.5 PT1000温度电解接口</w:t>
      </w:r>
      <w:r/>
    </w:p>
    <w:p>
      <w:pPr>
        <w:spacing w:line="360" w:lineRule="auto"/>
        <w:rPr>
          <w:rFonts w:eastAsiaTheme="minorEastAsia"/>
          <w:szCs w:val="21"/>
        </w:rPr>
      </w:pPr>
      <w:r>
        <w:rPr>
          <w:rFonts w:eastAsiaTheme="minorEastAsia"/>
          <w:szCs w:val="21"/>
        </w:rPr>
        <w:t xml:space="preserve">1)测量范围：-20-200℃/253.2-473.2K/-4-392℉；</w:t>
      </w:r>
      <w:r/>
    </w:p>
    <w:p>
      <w:pPr>
        <w:spacing w:line="360" w:lineRule="auto"/>
        <w:rPr>
          <w:rFonts w:eastAsiaTheme="minorEastAsia"/>
          <w:szCs w:val="21"/>
        </w:rPr>
      </w:pPr>
      <w:r>
        <w:rPr>
          <w:rFonts w:eastAsiaTheme="minorEastAsia"/>
          <w:szCs w:val="21"/>
        </w:rPr>
        <w:t xml:space="preserve">2)分辨率：0.1℃/0.1K/0.18℉；</w:t>
      </w:r>
      <w:r/>
    </w:p>
    <w:p>
      <w:pPr>
        <w:spacing w:line="360" w:lineRule="auto"/>
        <w:rPr>
          <w:rFonts w:eastAsiaTheme="minorEastAsia"/>
          <w:szCs w:val="21"/>
        </w:rPr>
      </w:pPr>
      <w:r>
        <w:rPr>
          <w:rFonts w:eastAsiaTheme="minorEastAsia"/>
          <w:szCs w:val="21"/>
        </w:rPr>
        <w:t xml:space="preserve">3)误差范围：0.2℃/0.2K/0.36℉；</w:t>
      </w:r>
      <w:r/>
    </w:p>
    <w:p>
      <w:pPr>
        <w:spacing w:line="360" w:lineRule="auto"/>
        <w:rPr>
          <w:rFonts w:eastAsiaTheme="minorEastAsia"/>
          <w:szCs w:val="21"/>
        </w:rPr>
      </w:pPr>
      <w:r>
        <w:rPr>
          <w:rFonts w:eastAsiaTheme="minorEastAsia"/>
          <w:szCs w:val="21"/>
        </w:rPr>
        <w:t xml:space="preserve">3.1.6滴定仪主机可直接扩展电导率电极接口，实现电导率直接测量和电导率滴定</w:t>
      </w:r>
      <w:r/>
    </w:p>
    <w:p>
      <w:pPr>
        <w:spacing w:line="360" w:lineRule="auto"/>
        <w:rPr>
          <w:rFonts w:eastAsiaTheme="minorEastAsia"/>
          <w:szCs w:val="21"/>
        </w:rPr>
      </w:pPr>
      <w:r>
        <w:rPr>
          <w:rFonts w:eastAsiaTheme="minorEastAsia"/>
          <w:szCs w:val="21"/>
        </w:rPr>
        <w:t xml:space="preserve">1)测量范围：±2000mV；</w:t>
      </w:r>
      <w:r/>
    </w:p>
    <w:p>
      <w:pPr>
        <w:spacing w:line="360" w:lineRule="auto"/>
        <w:rPr>
          <w:rFonts w:eastAsiaTheme="minorEastAsia"/>
          <w:szCs w:val="21"/>
        </w:rPr>
      </w:pPr>
      <w:r>
        <w:rPr>
          <w:rFonts w:eastAsiaTheme="minorEastAsia"/>
          <w:szCs w:val="21"/>
        </w:rPr>
        <w:t xml:space="preserve">2)分辨率：0.1mV；</w:t>
      </w:r>
      <w:r/>
    </w:p>
    <w:p>
      <w:pPr>
        <w:spacing w:line="360" w:lineRule="auto"/>
        <w:rPr>
          <w:rFonts w:eastAsiaTheme="minorEastAsia"/>
          <w:szCs w:val="21"/>
        </w:rPr>
      </w:pPr>
      <w:r>
        <w:rPr>
          <w:rFonts w:eastAsiaTheme="minorEastAsia"/>
          <w:szCs w:val="21"/>
        </w:rPr>
        <w:t xml:space="preserve">3)误差范围：0.2mV；</w:t>
      </w:r>
      <w:r/>
    </w:p>
    <w:p>
      <w:pPr>
        <w:spacing w:line="360" w:lineRule="auto"/>
        <w:rPr>
          <w:rFonts w:eastAsiaTheme="minorEastAsia"/>
          <w:szCs w:val="21"/>
        </w:rPr>
      </w:pPr>
      <w:r>
        <w:rPr>
          <w:rFonts w:eastAsiaTheme="minorEastAsia"/>
          <w:szCs w:val="21"/>
        </w:rPr>
        <w:t xml:space="preserve">3.2性能特点</w:t>
      </w:r>
      <w:r/>
    </w:p>
    <w:p>
      <w:pPr>
        <w:spacing w:line="360" w:lineRule="auto"/>
        <w:rPr>
          <w:rFonts w:eastAsiaTheme="minorEastAsia"/>
          <w:szCs w:val="21"/>
        </w:rPr>
      </w:pPr>
      <w:r>
        <w:rPr>
          <w:rFonts w:eastAsiaTheme="minorEastAsia"/>
          <w:szCs w:val="21"/>
        </w:rPr>
        <w:t xml:space="preserve">3.2.1具备等当点识别和终点识别判定滴定功能，内置离子浓度直接测定(非mv读数)方法；</w:t>
      </w:r>
      <w:r/>
    </w:p>
    <w:p>
      <w:pPr>
        <w:spacing w:line="360" w:lineRule="auto"/>
        <w:rPr>
          <w:rFonts w:eastAsiaTheme="minorEastAsia"/>
          <w:szCs w:val="21"/>
        </w:rPr>
      </w:pPr>
      <w:r>
        <w:rPr>
          <w:rFonts w:ascii="Segoe UI Symbol" w:hAnsi="Segoe UI Symbol" w:cs="Segoe UI Symbol" w:eastAsiaTheme="minorEastAsia"/>
          <w:szCs w:val="21"/>
        </w:rPr>
        <w:t xml:space="preserve">★</w:t>
      </w:r>
      <w:r>
        <w:rPr>
          <w:rFonts w:eastAsiaTheme="minorEastAsia"/>
          <w:szCs w:val="21"/>
        </w:rPr>
        <w:t xml:space="preserve">3.2.2主机为分体式结构，同时具备螺旋桨及磁力搅拌功能，螺旋桨搅拌器转速可调节，滴定台采用密闭滴定台，避免有毒试剂对操作人员的伤害；</w:t>
      </w:r>
      <w:r/>
    </w:p>
    <w:p>
      <w:pPr>
        <w:spacing w:line="360" w:lineRule="auto"/>
        <w:rPr>
          <w:rFonts w:eastAsiaTheme="minorEastAsia"/>
          <w:szCs w:val="21"/>
        </w:rPr>
      </w:pPr>
      <w:r>
        <w:rPr>
          <w:rFonts w:ascii="Segoe UI Symbol" w:hAnsi="Segoe UI Symbol" w:cs="Segoe UI Symbol" w:eastAsiaTheme="minorEastAsia"/>
          <w:szCs w:val="21"/>
        </w:rPr>
        <w:t xml:space="preserve">★</w:t>
      </w:r>
      <w:r>
        <w:rPr>
          <w:rFonts w:eastAsiaTheme="minorEastAsia"/>
          <w:szCs w:val="21"/>
        </w:rPr>
        <w:t xml:space="preserve">3.2.3具备自主学习滴定功能；</w:t>
      </w:r>
      <w:r/>
    </w:p>
    <w:p>
      <w:pPr>
        <w:spacing w:line="360" w:lineRule="auto"/>
        <w:rPr>
          <w:rFonts w:eastAsiaTheme="minorEastAsia"/>
          <w:szCs w:val="21"/>
        </w:rPr>
      </w:pPr>
      <w:r>
        <w:rPr>
          <w:rFonts w:eastAsiaTheme="minorEastAsia"/>
          <w:szCs w:val="21"/>
        </w:rPr>
        <w:t xml:space="preserve">3.2.4内置滴定方法模板个数60个以上；</w:t>
      </w:r>
      <w:r/>
    </w:p>
    <w:p>
      <w:pPr>
        <w:spacing w:line="360" w:lineRule="auto"/>
        <w:rPr>
          <w:rFonts w:eastAsiaTheme="minorEastAsia"/>
          <w:szCs w:val="21"/>
        </w:rPr>
      </w:pPr>
      <w:r>
        <w:rPr>
          <w:rFonts w:eastAsiaTheme="minorEastAsia"/>
          <w:szCs w:val="21"/>
        </w:rPr>
        <w:t xml:space="preserve">3.2.5每个系列中可支持的样品数量为300个；可支持的任务数量10个；</w:t>
      </w:r>
      <w:r/>
    </w:p>
    <w:p>
      <w:pPr>
        <w:spacing w:line="360" w:lineRule="auto"/>
        <w:rPr>
          <w:rFonts w:eastAsiaTheme="minorEastAsia"/>
          <w:szCs w:val="21"/>
        </w:rPr>
      </w:pPr>
      <w:r>
        <w:rPr>
          <w:rFonts w:eastAsiaTheme="minorEastAsia"/>
          <w:szCs w:val="21"/>
        </w:rPr>
        <w:t xml:space="preserve">3.2.6连接工作站或使用U盘存储；</w:t>
      </w:r>
      <w:r/>
    </w:p>
    <w:p>
      <w:pPr>
        <w:spacing w:line="360" w:lineRule="auto"/>
        <w:rPr>
          <w:rFonts w:eastAsiaTheme="minorEastAsia"/>
          <w:szCs w:val="21"/>
        </w:rPr>
      </w:pPr>
      <w:r>
        <w:rPr>
          <w:rFonts w:eastAsiaTheme="minorEastAsia"/>
          <w:szCs w:val="21"/>
        </w:rPr>
        <w:t xml:space="preserve">3.2.7具备RS232，USB，以太网和PDF等输出方式，并可输出PDF，csv，XML等格式的数据；</w:t>
      </w:r>
      <w:r/>
    </w:p>
    <w:p>
      <w:pPr>
        <w:spacing w:line="360" w:lineRule="auto"/>
        <w:rPr>
          <w:rFonts w:eastAsiaTheme="minorEastAsia"/>
          <w:szCs w:val="21"/>
        </w:rPr>
      </w:pPr>
      <w:r>
        <w:rPr>
          <w:rFonts w:eastAsiaTheme="minorEastAsia"/>
          <w:szCs w:val="21"/>
        </w:rPr>
        <w:t xml:space="preserve">3.2.8具备多次标准加入法，可实现自动化的钠，钾，钙，硝酸根等离子的含量测定的功能，以备后续扩展实验项，仅需增加适配电极和滴定管等配件即可使用；</w:t>
      </w:r>
      <w:r/>
    </w:p>
    <w:p>
      <w:pPr>
        <w:spacing w:line="360" w:lineRule="auto"/>
        <w:rPr>
          <w:rFonts w:eastAsiaTheme="minorEastAsia"/>
          <w:szCs w:val="21"/>
        </w:rPr>
      </w:pPr>
      <w:r>
        <w:rPr>
          <w:rFonts w:eastAsiaTheme="minorEastAsia"/>
          <w:szCs w:val="21"/>
        </w:rPr>
        <w:t xml:space="preserve">3.2.9能够按照GB/T 24747附录A要求检测酸值，并能够按照A6.6.3进行终点判定的设置。</w:t>
      </w:r>
      <w:r/>
    </w:p>
    <w:p>
      <w:pPr>
        <w:spacing w:line="360" w:lineRule="auto"/>
        <w:rPr>
          <w:rFonts w:eastAsiaTheme="minorEastAsia"/>
          <w:szCs w:val="21"/>
        </w:rPr>
      </w:pPr>
      <w:r>
        <w:rPr>
          <w:rFonts w:eastAsiaTheme="minorEastAsia"/>
          <w:szCs w:val="21"/>
        </w:rPr>
        <w:t xml:space="preserve">3.3</w:t>
      </w:r>
      <w:r>
        <w:rPr>
          <w:rFonts w:eastAsiaTheme="minorEastAsia"/>
          <w:szCs w:val="21"/>
        </w:rPr>
        <w:tab/>
      </w:r>
      <w:r>
        <w:rPr>
          <w:rFonts w:eastAsiaTheme="minorEastAsia"/>
          <w:szCs w:val="21"/>
        </w:rPr>
        <w:t xml:space="preserve">控制操作单元</w:t>
      </w:r>
      <w:r/>
    </w:p>
    <w:p>
      <w:pPr>
        <w:spacing w:line="360" w:lineRule="auto"/>
        <w:rPr>
          <w:rFonts w:eastAsiaTheme="minorEastAsia"/>
          <w:szCs w:val="21"/>
        </w:rPr>
      </w:pPr>
      <w:r>
        <w:rPr>
          <w:rFonts w:ascii="Segoe UI Symbol" w:hAnsi="Segoe UI Symbol" w:cs="Segoe UI Symbol" w:eastAsiaTheme="minorEastAsia"/>
          <w:szCs w:val="21"/>
        </w:rPr>
        <w:t xml:space="preserve">★</w:t>
      </w:r>
      <w:r>
        <w:rPr>
          <w:rFonts w:eastAsiaTheme="minorEastAsia"/>
          <w:szCs w:val="21"/>
        </w:rPr>
        <w:t xml:space="preserve">3.3.1高亮度彩色触摸屏和主机分离式设计，触摸屏和主机具有黄、绿、红状态指示灯，可将主机置于通风橱内测量，避免有毒、有气味样品对人体的伤害；触摸屏可按不同滴定方法预设快捷测量键，每个用户可设置最常用的24个滴定方法为快捷启动键；</w:t>
      </w:r>
      <w:r/>
    </w:p>
    <w:p>
      <w:pPr>
        <w:spacing w:line="360" w:lineRule="auto"/>
        <w:rPr>
          <w:rFonts w:eastAsiaTheme="minorEastAsia"/>
          <w:szCs w:val="21"/>
        </w:rPr>
      </w:pPr>
      <w:r>
        <w:rPr>
          <w:rFonts w:eastAsiaTheme="minorEastAsia"/>
          <w:szCs w:val="21"/>
        </w:rPr>
        <w:t xml:space="preserve">3.3.2触摸屏操作界面，可打印中文/英语/等多种语言的PDF报告；</w:t>
      </w:r>
      <w:r/>
    </w:p>
    <w:p>
      <w:pPr>
        <w:spacing w:line="360" w:lineRule="auto"/>
        <w:rPr>
          <w:rFonts w:eastAsiaTheme="minorEastAsia"/>
          <w:szCs w:val="21"/>
        </w:rPr>
      </w:pPr>
      <w:r>
        <w:rPr>
          <w:rFonts w:ascii="Segoe UI Symbol" w:hAnsi="Segoe UI Symbol" w:cs="Segoe UI Symbol" w:eastAsiaTheme="minorEastAsia"/>
          <w:szCs w:val="21"/>
        </w:rPr>
        <w:t xml:space="preserve">★</w:t>
      </w:r>
      <w:r>
        <w:rPr>
          <w:rFonts w:eastAsiaTheme="minorEastAsia"/>
          <w:szCs w:val="21"/>
        </w:rPr>
        <w:t xml:space="preserve">3.3.3可以设置30个用户，10个用户组，每个用户组分配不同的权限，并设有方便的密码/指纹保护；</w:t>
      </w:r>
      <w:r/>
    </w:p>
    <w:p>
      <w:pPr>
        <w:spacing w:line="360" w:lineRule="auto"/>
        <w:rPr>
          <w:rFonts w:eastAsiaTheme="minorEastAsia"/>
          <w:szCs w:val="21"/>
        </w:rPr>
      </w:pPr>
      <w:r>
        <w:rPr>
          <w:rFonts w:ascii="Segoe UI Symbol" w:hAnsi="Segoe UI Symbol" w:cs="Segoe UI Symbol" w:eastAsiaTheme="minorEastAsia"/>
          <w:szCs w:val="21"/>
        </w:rPr>
        <w:t xml:space="preserve">★</w:t>
      </w:r>
      <w:r>
        <w:rPr>
          <w:rFonts w:eastAsiaTheme="minorEastAsia"/>
          <w:szCs w:val="21"/>
        </w:rPr>
        <w:t xml:space="preserve">3.3.4滴定仪主机配备试剂和废液监控报警装置，在试剂缺少和废液溢出时进行系统提醒和报警，保证滴定剂和废液的及时提醒；</w:t>
      </w:r>
      <w:r/>
    </w:p>
    <w:p>
      <w:pPr>
        <w:spacing w:line="360" w:lineRule="auto"/>
        <w:rPr>
          <w:rFonts w:eastAsiaTheme="minorEastAsia"/>
          <w:szCs w:val="21"/>
        </w:rPr>
      </w:pPr>
      <w:r>
        <w:rPr>
          <w:rFonts w:eastAsiaTheme="minorEastAsia"/>
          <w:szCs w:val="21"/>
        </w:rPr>
        <w:t xml:space="preserve">3.3.5需配置笔记本电脑一台并含原厂专用滴定仪软件，能够通过该软件实现标定溶液、做空白、顺序测样、自动抽排液的控制；</w:t>
      </w:r>
      <w:r/>
    </w:p>
    <w:p>
      <w:pPr>
        <w:spacing w:line="360" w:lineRule="auto"/>
        <w:rPr>
          <w:rFonts w:eastAsiaTheme="minorEastAsia"/>
          <w:szCs w:val="21"/>
        </w:rPr>
      </w:pPr>
      <w:r>
        <w:rPr>
          <w:rFonts w:eastAsiaTheme="minorEastAsia"/>
          <w:szCs w:val="21"/>
        </w:rPr>
        <w:t xml:space="preserve">详细电脑配置如下（电脑应为当前主流配置）：</w:t>
      </w:r>
      <w:r/>
    </w:p>
    <w:p>
      <w:pPr>
        <w:spacing w:line="360" w:lineRule="auto"/>
        <w:rPr>
          <w:rFonts w:eastAsiaTheme="minorEastAsia"/>
          <w:szCs w:val="21"/>
        </w:rPr>
      </w:pPr>
      <w:r>
        <w:rPr>
          <w:rFonts w:eastAsiaTheme="minorEastAsia"/>
          <w:szCs w:val="21"/>
        </w:rPr>
        <w:t xml:space="preserve">CPU：i5 13代以上；</w:t>
      </w:r>
      <w:r/>
    </w:p>
    <w:p>
      <w:pPr>
        <w:spacing w:line="360" w:lineRule="auto"/>
        <w:rPr>
          <w:rFonts w:eastAsiaTheme="minorEastAsia"/>
          <w:szCs w:val="21"/>
        </w:rPr>
      </w:pPr>
      <w:r>
        <w:rPr>
          <w:rFonts w:eastAsiaTheme="minorEastAsia"/>
          <w:szCs w:val="21"/>
        </w:rPr>
        <w:t xml:space="preserve">屏幕分辨率：不低于1920*1080；</w:t>
      </w:r>
      <w:r/>
    </w:p>
    <w:p>
      <w:pPr>
        <w:spacing w:line="360" w:lineRule="auto"/>
        <w:rPr>
          <w:rFonts w:eastAsiaTheme="minorEastAsia"/>
          <w:szCs w:val="21"/>
        </w:rPr>
      </w:pPr>
      <w:r>
        <w:rPr>
          <w:rFonts w:eastAsiaTheme="minorEastAsia"/>
          <w:szCs w:val="21"/>
        </w:rPr>
        <w:t xml:space="preserve">RAM内存：不低于16GB；</w:t>
      </w:r>
      <w:r/>
    </w:p>
    <w:p>
      <w:pPr>
        <w:spacing w:line="360" w:lineRule="auto"/>
        <w:rPr>
          <w:rFonts w:eastAsiaTheme="minorEastAsia"/>
          <w:szCs w:val="21"/>
        </w:rPr>
      </w:pPr>
      <w:r>
        <w:rPr>
          <w:rFonts w:eastAsiaTheme="minorEastAsia"/>
          <w:szCs w:val="21"/>
        </w:rPr>
        <w:t xml:space="preserve">硬盘：不低于400G空余；</w:t>
      </w:r>
      <w:r/>
    </w:p>
    <w:p>
      <w:pPr>
        <w:spacing w:line="360" w:lineRule="auto"/>
        <w:rPr>
          <w:rFonts w:eastAsiaTheme="minorEastAsia"/>
          <w:szCs w:val="21"/>
        </w:rPr>
      </w:pPr>
      <w:r>
        <w:rPr>
          <w:rFonts w:eastAsiaTheme="minorEastAsia"/>
          <w:szCs w:val="21"/>
        </w:rPr>
        <w:t xml:space="preserve">网卡：千兆；</w:t>
      </w:r>
      <w:r/>
    </w:p>
    <w:p>
      <w:pPr>
        <w:spacing w:line="360" w:lineRule="auto"/>
        <w:rPr>
          <w:rFonts w:eastAsiaTheme="minorEastAsia"/>
          <w:szCs w:val="21"/>
        </w:rPr>
      </w:pPr>
      <w:r>
        <w:rPr>
          <w:rFonts w:eastAsiaTheme="minorEastAsia"/>
          <w:szCs w:val="21"/>
        </w:rPr>
        <w:t xml:space="preserve">操作系统：Win10、Win11、Win Server2016 SP2以上；</w:t>
      </w:r>
      <w:r/>
    </w:p>
    <w:p>
      <w:pPr>
        <w:spacing w:line="360" w:lineRule="auto"/>
        <w:rPr>
          <w:rFonts w:eastAsiaTheme="minorEastAsia"/>
          <w:szCs w:val="21"/>
        </w:rPr>
      </w:pPr>
      <w:r>
        <w:rPr>
          <w:rFonts w:ascii="Segoe UI Symbol" w:hAnsi="Segoe UI Symbol" w:cs="Segoe UI Symbol" w:eastAsiaTheme="minorEastAsia"/>
          <w:szCs w:val="21"/>
        </w:rPr>
        <w:t xml:space="preserve">★</w:t>
      </w:r>
      <w:r>
        <w:rPr>
          <w:rFonts w:eastAsiaTheme="minorEastAsia"/>
          <w:szCs w:val="21"/>
        </w:rPr>
        <w:t xml:space="preserve">3.4主机功能：仪器可以完成pH/mv滴定、电导率滴定，具有扩展功能，可根据需要扩展为库仑法水分测定或容量法水分测定的预留方式；</w:t>
      </w:r>
      <w:r/>
    </w:p>
    <w:p>
      <w:pPr>
        <w:spacing w:line="360" w:lineRule="auto"/>
        <w:rPr>
          <w:rFonts w:eastAsiaTheme="minorEastAsia"/>
          <w:szCs w:val="21"/>
        </w:rPr>
      </w:pPr>
      <w:r>
        <w:rPr>
          <w:rFonts w:eastAsiaTheme="minorEastAsia"/>
          <w:szCs w:val="21"/>
        </w:rPr>
        <w:t xml:space="preserve">3.5智能滴定管</w:t>
      </w:r>
      <w:r/>
    </w:p>
    <w:p>
      <w:pPr>
        <w:spacing w:line="360" w:lineRule="auto"/>
        <w:rPr>
          <w:rFonts w:eastAsiaTheme="minorEastAsia"/>
          <w:szCs w:val="21"/>
        </w:rPr>
      </w:pPr>
      <w:r>
        <w:rPr>
          <w:rFonts w:ascii="Segoe UI Symbol" w:hAnsi="Segoe UI Symbol" w:cs="Segoe UI Symbol" w:eastAsiaTheme="minorEastAsia"/>
          <w:szCs w:val="21"/>
        </w:rPr>
        <w:t xml:space="preserve">★</w:t>
      </w:r>
      <w:r>
        <w:rPr>
          <w:rFonts w:eastAsiaTheme="minorEastAsia"/>
          <w:szCs w:val="21"/>
        </w:rPr>
        <w:t xml:space="preserve">3.5.1采用上推式四路三通阀结构，滴定管运动方式由下往上，可实现无死体积排空，能有效排除气泡，避免气泡对结果的影响；</w:t>
      </w:r>
      <w:r/>
    </w:p>
    <w:p>
      <w:pPr>
        <w:spacing w:line="360" w:lineRule="auto"/>
        <w:rPr>
          <w:rFonts w:eastAsiaTheme="minorEastAsia"/>
          <w:szCs w:val="21"/>
        </w:rPr>
      </w:pPr>
      <w:r>
        <w:rPr>
          <w:rFonts w:ascii="Segoe UI Symbol" w:hAnsi="Segoe UI Symbol" w:cs="Segoe UI Symbol" w:eastAsiaTheme="minorEastAsia"/>
          <w:szCs w:val="21"/>
        </w:rPr>
        <w:t xml:space="preserve">★</w:t>
      </w:r>
      <w:r>
        <w:rPr>
          <w:rFonts w:eastAsiaTheme="minorEastAsia"/>
          <w:szCs w:val="21"/>
        </w:rPr>
        <w:t xml:space="preserve">3.5.2滴定管分辨率：1/20000滴定管体积（10ml滴定管为例，精度：10ml/2000= 0.5µl），滴定管驱动器位不低于20000步驱动马达。</w:t>
      </w:r>
      <w:r/>
    </w:p>
    <w:p>
      <w:pPr>
        <w:spacing w:line="360" w:lineRule="auto"/>
        <w:rPr>
          <w:rFonts w:eastAsiaTheme="minorEastAsia"/>
          <w:szCs w:val="21"/>
        </w:rPr>
      </w:pPr>
      <w:r>
        <w:rPr>
          <w:rFonts w:eastAsiaTheme="minorEastAsia"/>
          <w:szCs w:val="21"/>
        </w:rPr>
        <w:t xml:space="preserve">3.6即插即用滴定驱动器</w:t>
      </w:r>
      <w:r/>
    </w:p>
    <w:p>
      <w:pPr>
        <w:spacing w:line="360" w:lineRule="auto"/>
        <w:rPr>
          <w:rFonts w:eastAsiaTheme="minorEastAsia"/>
          <w:szCs w:val="21"/>
        </w:rPr>
      </w:pPr>
      <w:r>
        <w:rPr>
          <w:rFonts w:eastAsiaTheme="minorEastAsia"/>
          <w:szCs w:val="21"/>
        </w:rPr>
        <w:t xml:space="preserve">3.6.1智能滴定管、滴定驱动器与主机连接采用即插即用方式，无需重新启动主机；</w:t>
      </w:r>
      <w:r/>
    </w:p>
    <w:p>
      <w:pPr>
        <w:spacing w:line="360" w:lineRule="auto"/>
        <w:rPr>
          <w:rFonts w:eastAsiaTheme="minorEastAsia"/>
          <w:szCs w:val="21"/>
        </w:rPr>
      </w:pPr>
      <w:r>
        <w:rPr>
          <w:rFonts w:ascii="Segoe UI Symbol" w:hAnsi="Segoe UI Symbol" w:cs="Segoe UI Symbol" w:eastAsiaTheme="minorEastAsia"/>
          <w:szCs w:val="21"/>
        </w:rPr>
        <w:t xml:space="preserve">★</w:t>
      </w:r>
      <w:r>
        <w:rPr>
          <w:rFonts w:eastAsiaTheme="minorEastAsia"/>
          <w:szCs w:val="21"/>
        </w:rPr>
        <w:t xml:space="preserve">3.6.2滴定管驱动器步进电机精度为：1/20000。</w:t>
      </w:r>
      <w:r/>
    </w:p>
    <w:p>
      <w:pPr>
        <w:spacing w:line="360" w:lineRule="auto"/>
        <w:rPr>
          <w:rFonts w:eastAsiaTheme="minorEastAsia"/>
          <w:szCs w:val="21"/>
        </w:rPr>
      </w:pPr>
      <w:r>
        <w:rPr>
          <w:rFonts w:eastAsiaTheme="minorEastAsia"/>
          <w:szCs w:val="21"/>
        </w:rPr>
        <w:t xml:space="preserve">3.7智能电极</w:t>
      </w:r>
      <w:r/>
    </w:p>
    <w:p>
      <w:pPr>
        <w:spacing w:line="360" w:lineRule="auto"/>
        <w:rPr>
          <w:rFonts w:eastAsiaTheme="minorEastAsia"/>
          <w:szCs w:val="21"/>
        </w:rPr>
      </w:pPr>
      <w:r>
        <w:rPr>
          <w:rFonts w:eastAsiaTheme="minorEastAsia"/>
          <w:szCs w:val="21"/>
        </w:rPr>
        <w:t xml:space="preserve">3.7.1电极须内置智能芯片，主机可自动识别和配置电极；电极校正可以分为折线性和线性，更准确的反映电极真实状态，更准确地判断终点；</w:t>
      </w:r>
      <w:r/>
    </w:p>
    <w:p>
      <w:pPr>
        <w:spacing w:line="360" w:lineRule="auto"/>
        <w:rPr>
          <w:rFonts w:eastAsiaTheme="minorEastAsia"/>
          <w:szCs w:val="21"/>
        </w:rPr>
      </w:pPr>
      <w:r>
        <w:rPr>
          <w:rFonts w:eastAsiaTheme="minorEastAsia"/>
          <w:szCs w:val="21"/>
        </w:rPr>
        <w:t xml:space="preserve">3.7.2智能电极和主机相连后可被主机自动识别电极型号，避免因人工选择带来的误差。</w:t>
      </w:r>
      <w:r/>
    </w:p>
    <w:p>
      <w:pPr>
        <w:spacing w:line="360" w:lineRule="auto"/>
        <w:rPr>
          <w:rFonts w:eastAsiaTheme="minorEastAsia"/>
          <w:szCs w:val="21"/>
        </w:rPr>
      </w:pPr>
      <w:r>
        <w:rPr>
          <w:rFonts w:ascii="Segoe UI Symbol" w:hAnsi="Segoe UI Symbol" w:cs="Segoe UI Symbol" w:eastAsiaTheme="minorEastAsia"/>
          <w:szCs w:val="21"/>
        </w:rPr>
        <w:t xml:space="preserve">★</w:t>
      </w:r>
      <w:r>
        <w:rPr>
          <w:rFonts w:eastAsiaTheme="minorEastAsia"/>
          <w:szCs w:val="21"/>
        </w:rPr>
        <w:t xml:space="preserve">3.8滴定台单元：封闭式滴定台，避免有毒、有害样品挥发对人体造成危害，避免样品溅出，配有喷淋清洗装置，方便清洗；</w:t>
      </w:r>
      <w:r/>
    </w:p>
    <w:p>
      <w:pPr>
        <w:spacing w:line="360" w:lineRule="auto"/>
        <w:rPr>
          <w:rFonts w:eastAsiaTheme="minorEastAsia"/>
          <w:szCs w:val="21"/>
        </w:rPr>
      </w:pPr>
      <w:r>
        <w:rPr>
          <w:rFonts w:eastAsiaTheme="minorEastAsia"/>
          <w:szCs w:val="21"/>
        </w:rPr>
        <w:t xml:space="preserve">3.10自动进样器</w:t>
      </w:r>
      <w:r/>
    </w:p>
    <w:p>
      <w:pPr>
        <w:spacing w:line="360" w:lineRule="auto"/>
        <w:rPr>
          <w:rFonts w:eastAsiaTheme="minorEastAsia"/>
          <w:szCs w:val="21"/>
        </w:rPr>
      </w:pPr>
      <w:r>
        <w:rPr>
          <w:rFonts w:ascii="Segoe UI Symbol" w:hAnsi="Segoe UI Symbol" w:cs="Segoe UI Symbol" w:eastAsiaTheme="minorEastAsia"/>
          <w:szCs w:val="21"/>
        </w:rPr>
        <w:t xml:space="preserve">★</w:t>
      </w:r>
      <w:r>
        <w:rPr>
          <w:rFonts w:eastAsiaTheme="minorEastAsia"/>
          <w:szCs w:val="21"/>
        </w:rPr>
        <w:t xml:space="preserve">3.10.1配置不少于18位全自动样品进样器，并且能全自动完成抽排液，淋洗等样品处理工作，并可根据需要扩展应用连接密度计、折光率仪、紫外等仪器；</w:t>
      </w:r>
      <w:r/>
    </w:p>
    <w:p>
      <w:pPr>
        <w:spacing w:line="360" w:lineRule="auto"/>
        <w:rPr>
          <w:rFonts w:eastAsiaTheme="minorEastAsia"/>
          <w:szCs w:val="21"/>
        </w:rPr>
      </w:pPr>
      <w:r>
        <w:rPr>
          <w:rFonts w:eastAsiaTheme="minorEastAsia"/>
          <w:szCs w:val="21"/>
        </w:rPr>
        <w:t xml:space="preserve">3.10.2具备LED状态指示灯功能，表示分析状态，如正在运行、出现问题或准备就绪等待下一个样品，使系统一直保持高效的工作。</w:t>
      </w:r>
      <w:r/>
    </w:p>
    <w:p>
      <w:pPr>
        <w:spacing w:line="360" w:lineRule="auto"/>
        <w:rPr>
          <w:rFonts w:eastAsiaTheme="minorEastAsia"/>
          <w:szCs w:val="21"/>
        </w:rPr>
      </w:pPr>
      <w:r>
        <w:rPr>
          <w:rFonts w:eastAsiaTheme="minorEastAsia"/>
          <w:szCs w:val="21"/>
        </w:rPr>
        <w:t xml:space="preserve">三、仪器配置清单</w:t>
      </w:r>
      <w:r/>
    </w:p>
    <w:p>
      <w:pPr>
        <w:spacing w:line="360" w:lineRule="auto"/>
        <w:rPr>
          <w:rFonts w:eastAsiaTheme="minorEastAsia"/>
          <w:szCs w:val="21"/>
        </w:rPr>
      </w:pPr>
      <w:r>
        <w:rPr>
          <w:rFonts w:eastAsiaTheme="minorEastAsia"/>
          <w:szCs w:val="21"/>
        </w:rPr>
        <w:t xml:space="preserve">1全自动电位滴定仪1台，（含2个或2个以上智能识别mv/pH测量电极接口；滴定仪主机标配样品杯智能芯片识别器）；</w:t>
      </w:r>
      <w:r/>
    </w:p>
    <w:p>
      <w:pPr>
        <w:spacing w:line="360" w:lineRule="auto"/>
        <w:rPr>
          <w:rFonts w:eastAsiaTheme="minorEastAsia"/>
          <w:szCs w:val="21"/>
        </w:rPr>
      </w:pPr>
      <w:r>
        <w:rPr>
          <w:rFonts w:eastAsiaTheme="minorEastAsia"/>
          <w:szCs w:val="21"/>
        </w:rPr>
        <w:t xml:space="preserve">2与滴定仪同品牌彩色触摸屏（带状态指示灯）1个；</w:t>
      </w:r>
      <w:r/>
    </w:p>
    <w:p>
      <w:pPr>
        <w:spacing w:line="360" w:lineRule="auto"/>
        <w:rPr>
          <w:rFonts w:eastAsiaTheme="minorEastAsia"/>
          <w:szCs w:val="21"/>
        </w:rPr>
      </w:pPr>
      <w:r>
        <w:rPr>
          <w:rFonts w:eastAsiaTheme="minorEastAsia"/>
          <w:szCs w:val="21"/>
        </w:rPr>
        <w:t xml:space="preserve">3与滴定仪同品牌磁力搅拌器和螺旋浆搅拌器，各1套；</w:t>
      </w:r>
      <w:r/>
    </w:p>
    <w:p>
      <w:pPr>
        <w:spacing w:line="360" w:lineRule="auto"/>
        <w:rPr>
          <w:rFonts w:eastAsiaTheme="minorEastAsia"/>
          <w:szCs w:val="21"/>
        </w:rPr>
      </w:pPr>
      <w:r>
        <w:rPr>
          <w:rFonts w:eastAsiaTheme="minorEastAsia"/>
          <w:szCs w:val="21"/>
        </w:rPr>
        <w:t xml:space="preserve">4 10mL可交换智能识别滴定管1套；</w:t>
      </w:r>
      <w:r/>
    </w:p>
    <w:p>
      <w:pPr>
        <w:spacing w:line="360" w:lineRule="auto"/>
        <w:rPr>
          <w:rFonts w:eastAsiaTheme="minorEastAsia"/>
          <w:szCs w:val="21"/>
        </w:rPr>
      </w:pPr>
      <w:r>
        <w:rPr>
          <w:rFonts w:eastAsiaTheme="minorEastAsia"/>
          <w:szCs w:val="21"/>
        </w:rPr>
        <w:t xml:space="preserve">5滴定剂溃液管1根；</w:t>
      </w:r>
      <w:r/>
    </w:p>
    <w:p>
      <w:pPr>
        <w:spacing w:line="360" w:lineRule="auto"/>
        <w:rPr>
          <w:rFonts w:eastAsiaTheme="minorEastAsia"/>
          <w:szCs w:val="21"/>
        </w:rPr>
      </w:pPr>
      <w:r>
        <w:rPr>
          <w:rFonts w:eastAsiaTheme="minorEastAsia"/>
          <w:szCs w:val="21"/>
        </w:rPr>
        <w:t xml:space="preserve">6内置上推式滴定管驱动器1套（不接受瓶顶式活塞下压驱动器，驱动器步进精度不低于20000步）；</w:t>
      </w:r>
      <w:r/>
    </w:p>
    <w:p>
      <w:pPr>
        <w:spacing w:line="360" w:lineRule="auto"/>
        <w:rPr>
          <w:rFonts w:eastAsiaTheme="minorEastAsia"/>
          <w:szCs w:val="21"/>
        </w:rPr>
      </w:pPr>
      <w:r>
        <w:rPr>
          <w:rFonts w:eastAsiaTheme="minorEastAsia"/>
          <w:szCs w:val="21"/>
        </w:rPr>
        <w:t xml:space="preserve">7非水相酸碱滴定用复合pH玻璃智能识别电极1支（用于GB/T 24747附录A要求检测酸值，并能够按照GB/T 24747附录A  A6.6.3进行终点判定的设置）；</w:t>
      </w:r>
      <w:r/>
    </w:p>
    <w:p>
      <w:pPr>
        <w:spacing w:line="360" w:lineRule="auto"/>
        <w:rPr>
          <w:rFonts w:eastAsiaTheme="minorEastAsia"/>
          <w:szCs w:val="21"/>
        </w:rPr>
      </w:pPr>
      <w:r>
        <w:rPr>
          <w:rFonts w:eastAsiaTheme="minorEastAsia"/>
          <w:szCs w:val="21"/>
        </w:rPr>
        <w:t xml:space="preserve">8智能识别电极电缆线1支；</w:t>
      </w:r>
      <w:r/>
    </w:p>
    <w:p>
      <w:pPr>
        <w:spacing w:line="360" w:lineRule="auto"/>
        <w:rPr>
          <w:rFonts w:eastAsiaTheme="minorEastAsia"/>
          <w:szCs w:val="21"/>
        </w:rPr>
      </w:pPr>
      <w:r>
        <w:rPr>
          <w:rFonts w:eastAsiaTheme="minorEastAsia"/>
          <w:szCs w:val="21"/>
        </w:rPr>
        <w:t xml:space="preserve">9防腐蚀溶剂自动添加系统1套（用于自动添加酸价滴定所需的有机溶剂，减少人员接触有机试剂，保护操作人员健康，并降低仪器腐蚀，延长仪器使用寿命。）；</w:t>
      </w:r>
      <w:r/>
    </w:p>
    <w:p>
      <w:pPr>
        <w:spacing w:line="360" w:lineRule="auto"/>
        <w:rPr>
          <w:rFonts w:eastAsiaTheme="minorEastAsia"/>
          <w:szCs w:val="21"/>
        </w:rPr>
      </w:pPr>
      <w:r>
        <w:rPr>
          <w:rFonts w:eastAsiaTheme="minorEastAsia"/>
          <w:szCs w:val="21"/>
        </w:rPr>
        <w:t xml:space="preserve">10防腐蚀自动排液系统1套（可被滴定仪主机直接自动控制，用于排出有害废液）；</w:t>
      </w:r>
      <w:r/>
    </w:p>
    <w:p>
      <w:pPr>
        <w:spacing w:line="360" w:lineRule="auto"/>
        <w:rPr>
          <w:rFonts w:eastAsiaTheme="minorEastAsia"/>
          <w:szCs w:val="21"/>
        </w:rPr>
      </w:pPr>
      <w:r>
        <w:rPr>
          <w:rFonts w:eastAsiaTheme="minorEastAsia"/>
          <w:szCs w:val="21"/>
        </w:rPr>
        <w:t xml:space="preserve">11至少18位全自动进样器1套（可实现自动清洗），包含基座套件，(18x100mL)转盘套件；</w:t>
      </w:r>
      <w:r/>
    </w:p>
    <w:p>
      <w:pPr>
        <w:spacing w:line="360" w:lineRule="auto"/>
        <w:rPr>
          <w:rFonts w:eastAsiaTheme="minorEastAsia"/>
          <w:szCs w:val="21"/>
        </w:rPr>
      </w:pPr>
      <w:r>
        <w:rPr>
          <w:rFonts w:eastAsiaTheme="minorEastAsia"/>
          <w:szCs w:val="21"/>
        </w:rPr>
        <w:t xml:space="preserve">12滴定仪原厂专用控制软件1套；</w:t>
      </w:r>
      <w:r/>
    </w:p>
    <w:p>
      <w:pPr>
        <w:spacing w:line="360" w:lineRule="auto"/>
        <w:rPr>
          <w:rFonts w:eastAsiaTheme="minorEastAsia"/>
          <w:szCs w:val="21"/>
        </w:rPr>
      </w:pPr>
      <w:r>
        <w:rPr>
          <w:rFonts w:eastAsiaTheme="minorEastAsia"/>
          <w:szCs w:val="21"/>
        </w:rPr>
        <w:t xml:space="preserve">13原厂透明聚丙烯100ml滴定烧杯，100个；</w:t>
      </w:r>
      <w:r/>
    </w:p>
    <w:p>
      <w:pPr>
        <w:spacing w:line="360" w:lineRule="auto"/>
        <w:rPr>
          <w:rFonts w:eastAsiaTheme="minorEastAsia"/>
          <w:szCs w:val="21"/>
        </w:rPr>
      </w:pPr>
      <w:r>
        <w:rPr>
          <w:rFonts w:eastAsiaTheme="minorEastAsia"/>
          <w:szCs w:val="21"/>
        </w:rPr>
        <w:t xml:space="preserve">14防扩散塞：每套滴定剂溃液管顶端需装有防扩散塞，防扩散塞采用一体化整体成型设计，材质需要与接触样品管路的材质完全相同，并耐受所有酸碱、有机溶剂等腐蚀，防扩散塞部件不会老化，无需更换；</w:t>
      </w:r>
      <w:r/>
    </w:p>
    <w:p>
      <w:pPr>
        <w:spacing w:line="360" w:lineRule="auto"/>
        <w:rPr>
          <w:rFonts w:eastAsiaTheme="minorEastAsia"/>
          <w:szCs w:val="21"/>
        </w:rPr>
      </w:pPr>
      <w:r>
        <w:rPr>
          <w:rFonts w:eastAsiaTheme="minorEastAsia"/>
          <w:szCs w:val="21"/>
        </w:rPr>
        <w:t xml:space="preserve">15 1L塑料试剂瓶（含配套适配器），2L透明试剂瓶（玻璃）（含配套适配器），2L棕色试剂瓶（玻璃）（含配套适配器），1L塑料废液瓶（含配套适配器）,以上描述各一套；</w:t>
      </w:r>
      <w:r/>
    </w:p>
    <w:p>
      <w:pPr>
        <w:spacing w:line="360" w:lineRule="auto"/>
        <w:rPr>
          <w:rFonts w:eastAsiaTheme="minorEastAsia"/>
          <w:szCs w:val="21"/>
        </w:rPr>
      </w:pPr>
      <w:r>
        <w:rPr>
          <w:rFonts w:eastAsiaTheme="minorEastAsia"/>
          <w:szCs w:val="21"/>
        </w:rPr>
        <w:t xml:space="preserve">16笔记本电脑工作站1台（见3.3.7电脑配置要求）；</w:t>
      </w:r>
      <w:r/>
    </w:p>
    <w:p>
      <w:pPr>
        <w:spacing w:line="360" w:lineRule="auto"/>
        <w:rPr>
          <w:rFonts w:eastAsiaTheme="minorEastAsia"/>
          <w:szCs w:val="21"/>
        </w:rPr>
      </w:pPr>
      <w:r>
        <w:rPr>
          <w:rFonts w:eastAsiaTheme="minorEastAsia"/>
          <w:szCs w:val="21"/>
        </w:rPr>
        <w:t xml:space="preserve">17 1mol/L 的氯化锂乙醇溶液 250ml 1瓶；</w:t>
      </w:r>
      <w:r/>
    </w:p>
    <w:p>
      <w:pPr>
        <w:spacing w:line="360" w:lineRule="auto"/>
        <w:rPr>
          <w:rFonts w:eastAsiaTheme="minorEastAsia"/>
          <w:szCs w:val="21"/>
        </w:rPr>
      </w:pPr>
      <w:r>
        <w:rPr>
          <w:rFonts w:eastAsiaTheme="minorEastAsia"/>
          <w:szCs w:val="21"/>
        </w:rPr>
        <w:t xml:space="preserve">18酸值标准样品0.05 mg/g 1瓶。</w:t>
      </w:r>
      <w:r/>
    </w:p>
    <w:p>
      <w:pPr>
        <w:spacing w:line="360" w:lineRule="auto"/>
        <w:rPr>
          <w:rFonts w:eastAsiaTheme="minorEastAsia"/>
          <w:szCs w:val="21"/>
        </w:rPr>
      </w:pPr>
      <w:r>
        <w:rPr>
          <w:rFonts w:eastAsiaTheme="minorEastAsia"/>
          <w:szCs w:val="21"/>
        </w:rPr>
      </w:r>
      <w:r/>
    </w:p>
    <w:p>
      <w:pPr>
        <w:jc w:val="center"/>
        <w:spacing w:line="360" w:lineRule="auto"/>
        <w:rPr>
          <w:b/>
          <w:bCs/>
          <w:szCs w:val="21"/>
        </w:rPr>
      </w:pPr>
      <w:r>
        <w:rPr>
          <w:b/>
          <w:bCs/>
          <w:szCs w:val="21"/>
        </w:rPr>
        <w:t xml:space="preserve">品目二 自动电位滴定仪B</w:t>
      </w:r>
      <w:r/>
    </w:p>
    <w:p>
      <w:pPr>
        <w:spacing w:line="360" w:lineRule="auto"/>
        <w:rPr>
          <w:szCs w:val="21"/>
        </w:rPr>
      </w:pPr>
      <w:r>
        <w:rPr>
          <w:szCs w:val="21"/>
        </w:rPr>
        <w:t xml:space="preserve">一、技术性能要求：</w:t>
      </w:r>
      <w:r/>
    </w:p>
    <w:p>
      <w:pPr>
        <w:spacing w:line="360" w:lineRule="auto"/>
        <w:rPr>
          <w:szCs w:val="21"/>
        </w:rPr>
      </w:pPr>
      <w:r>
        <w:rPr>
          <w:rFonts w:ascii="Segoe UI Symbol" w:hAnsi="Segoe UI Symbol" w:cs="Segoe UI Symbol"/>
          <w:szCs w:val="21"/>
        </w:rPr>
        <w:t xml:space="preserve">★</w:t>
      </w:r>
      <w:r>
        <w:rPr>
          <w:szCs w:val="21"/>
        </w:rPr>
        <w:t xml:space="preserve">1、要求采用性能稳定可靠、传动噪音低的滴定单元和防扩散滴定头。</w:t>
      </w:r>
      <w:r/>
    </w:p>
    <w:p>
      <w:pPr>
        <w:spacing w:line="360" w:lineRule="auto"/>
        <w:rPr>
          <w:szCs w:val="21"/>
        </w:rPr>
      </w:pPr>
      <w:r>
        <w:rPr>
          <w:szCs w:val="21"/>
        </w:rPr>
        <w:t xml:space="preserve">2、电极为双高阻输入，电极电位稳定可靠；</w:t>
      </w:r>
      <w:r/>
    </w:p>
    <w:p>
      <w:pPr>
        <w:spacing w:line="360" w:lineRule="auto"/>
        <w:rPr>
          <w:szCs w:val="21"/>
        </w:rPr>
      </w:pPr>
      <w:r>
        <w:rPr>
          <w:rFonts w:ascii="Segoe UI Symbol" w:hAnsi="Segoe UI Symbol" w:cs="Segoe UI Symbol"/>
          <w:szCs w:val="21"/>
        </w:rPr>
        <w:t xml:space="preserve">★</w:t>
      </w:r>
      <w:r>
        <w:rPr>
          <w:szCs w:val="21"/>
        </w:rPr>
        <w:t xml:space="preserve">3、配一体化工业电脑，Windows操作平台；</w:t>
      </w:r>
      <w:r/>
    </w:p>
    <w:p>
      <w:pPr>
        <w:spacing w:line="360" w:lineRule="auto"/>
        <w:rPr>
          <w:szCs w:val="21"/>
        </w:rPr>
      </w:pPr>
      <w:r>
        <w:rPr>
          <w:szCs w:val="21"/>
        </w:rPr>
        <w:t xml:space="preserve">4、要求仪器分析系统能进行多参数设定与修正。自动判断终点，自动滤除假终点，无需指示剂。滴定结果及数据自动存储、自动打印，并能提供完整的滴定数据供分析研究用；</w:t>
      </w:r>
      <w:r/>
    </w:p>
    <w:p>
      <w:pPr>
        <w:spacing w:line="360" w:lineRule="auto"/>
        <w:rPr>
          <w:szCs w:val="21"/>
        </w:rPr>
      </w:pPr>
      <w:r>
        <w:rPr>
          <w:szCs w:val="21"/>
        </w:rPr>
        <w:t xml:space="preserve">5、要求仪器数据处理系统具有浓度、含量自动计算功能。工作曲线一次、二次自动拟合，拟合使用最小二乘法(LSM)，并给出工作曲线的置信度区间，具有灵敏度自动校正功能；标准加入法。</w:t>
      </w:r>
      <w:r/>
    </w:p>
    <w:p>
      <w:pPr>
        <w:spacing w:line="360" w:lineRule="auto"/>
        <w:rPr>
          <w:szCs w:val="21"/>
        </w:rPr>
      </w:pPr>
      <w:r>
        <w:rPr>
          <w:szCs w:val="21"/>
        </w:rPr>
        <w:t xml:space="preserve">二、技术参数要求：</w:t>
      </w:r>
      <w:r/>
    </w:p>
    <w:p>
      <w:pPr>
        <w:spacing w:line="360" w:lineRule="auto"/>
        <w:rPr>
          <w:szCs w:val="21"/>
        </w:rPr>
      </w:pPr>
      <w:r>
        <w:rPr>
          <w:szCs w:val="21"/>
        </w:rPr>
        <w:t xml:space="preserve">1、电位测量范围：（0～±2000）mV，pH：0～14.00pH；</w:t>
      </w:r>
      <w:r/>
    </w:p>
    <w:p>
      <w:pPr>
        <w:spacing w:line="360" w:lineRule="auto"/>
        <w:rPr>
          <w:szCs w:val="21"/>
        </w:rPr>
      </w:pPr>
      <w:r>
        <w:rPr>
          <w:szCs w:val="21"/>
        </w:rPr>
        <w:t xml:space="preserve">2、电子单位基本误差：mV：0.03%（F•S），pH：0.001pH；</w:t>
      </w:r>
      <w:r/>
    </w:p>
    <w:p>
      <w:pPr>
        <w:spacing w:line="360" w:lineRule="auto"/>
        <w:rPr>
          <w:szCs w:val="21"/>
        </w:rPr>
      </w:pPr>
      <w:r>
        <w:rPr>
          <w:szCs w:val="21"/>
        </w:rPr>
        <w:t xml:space="preserve">3、输入阻抗：Ri≥1×1012Ω；</w:t>
      </w:r>
      <w:r/>
    </w:p>
    <w:p>
      <w:pPr>
        <w:spacing w:line="360" w:lineRule="auto"/>
        <w:rPr>
          <w:szCs w:val="21"/>
        </w:rPr>
      </w:pPr>
      <w:r>
        <w:rPr>
          <w:szCs w:val="21"/>
        </w:rPr>
        <w:t xml:space="preserve">4、滴定管体积：10mL，最小体积0.01mL；</w:t>
      </w:r>
      <w:r/>
    </w:p>
    <w:p>
      <w:pPr>
        <w:spacing w:line="360" w:lineRule="auto"/>
        <w:rPr>
          <w:szCs w:val="21"/>
        </w:rPr>
      </w:pPr>
      <w:r>
        <w:rPr>
          <w:szCs w:val="21"/>
        </w:rPr>
        <w:t xml:space="preserve">5、滴定管精度：0.1％（F•S）；</w:t>
      </w:r>
      <w:r/>
    </w:p>
    <w:p>
      <w:pPr>
        <w:spacing w:line="360" w:lineRule="auto"/>
        <w:rPr>
          <w:szCs w:val="21"/>
        </w:rPr>
      </w:pPr>
      <w:r>
        <w:rPr>
          <w:szCs w:val="21"/>
        </w:rPr>
        <w:t xml:space="preserve">6、滴定管滴液时间：（60±20）秒（F•S）；</w:t>
      </w:r>
      <w:r/>
    </w:p>
    <w:p>
      <w:pPr>
        <w:spacing w:line="360" w:lineRule="auto"/>
        <w:rPr>
          <w:szCs w:val="21"/>
        </w:rPr>
      </w:pPr>
      <w:r>
        <w:rPr>
          <w:rFonts w:ascii="Segoe UI Symbol" w:hAnsi="Segoe UI Symbol" w:cs="Segoe UI Symbol"/>
          <w:szCs w:val="21"/>
        </w:rPr>
        <w:t xml:space="preserve">★</w:t>
      </w:r>
      <w:r>
        <w:rPr>
          <w:szCs w:val="21"/>
        </w:rPr>
        <w:t xml:space="preserve">7、最小发送体积(最小馈液)：0.001mL；</w:t>
      </w:r>
      <w:r/>
    </w:p>
    <w:p>
      <w:pPr>
        <w:spacing w:line="360" w:lineRule="auto"/>
        <w:rPr>
          <w:szCs w:val="21"/>
        </w:rPr>
      </w:pPr>
      <w:r>
        <w:rPr>
          <w:szCs w:val="21"/>
        </w:rPr>
        <w:t xml:space="preserve">8、取样量：30 mL；</w:t>
      </w:r>
      <w:r/>
    </w:p>
    <w:p>
      <w:pPr>
        <w:spacing w:line="360" w:lineRule="auto"/>
        <w:rPr>
          <w:szCs w:val="21"/>
        </w:rPr>
      </w:pPr>
      <w:r>
        <w:rPr>
          <w:szCs w:val="21"/>
        </w:rPr>
        <w:t xml:space="preserve">9、滴定终点重复性误差：≤0.2%；</w:t>
      </w:r>
      <w:r/>
    </w:p>
    <w:p>
      <w:pPr>
        <w:spacing w:line="360" w:lineRule="auto"/>
        <w:rPr>
          <w:szCs w:val="21"/>
        </w:rPr>
      </w:pPr>
      <w:r>
        <w:rPr>
          <w:rFonts w:ascii="Segoe UI Symbol" w:hAnsi="Segoe UI Symbol" w:cs="Segoe UI Symbol"/>
          <w:szCs w:val="21"/>
        </w:rPr>
        <w:t xml:space="preserve">★</w:t>
      </w:r>
      <w:r>
        <w:rPr>
          <w:szCs w:val="21"/>
        </w:rPr>
        <w:t xml:space="preserve">10、分析时间：2～3min(视样品大小而定)；</w:t>
      </w:r>
      <w:r/>
    </w:p>
    <w:p>
      <w:pPr>
        <w:numPr>
          <w:ilvl w:val="0"/>
          <w:numId w:val="32"/>
        </w:numPr>
        <w:spacing w:line="360" w:lineRule="auto"/>
        <w:rPr>
          <w:szCs w:val="21"/>
        </w:rPr>
      </w:pPr>
      <w:r>
        <w:rPr>
          <w:szCs w:val="21"/>
        </w:rPr>
        <w:t xml:space="preserve">整机功率：≤50W；</w:t>
      </w:r>
      <w:r/>
    </w:p>
    <w:p>
      <w:pPr>
        <w:spacing w:line="360" w:lineRule="auto"/>
        <w:rPr>
          <w:szCs w:val="21"/>
        </w:rPr>
      </w:pPr>
      <w:r>
        <w:rPr>
          <w:szCs w:val="21"/>
        </w:rPr>
        <w:t xml:space="preserve">12、电源：AC 220V±10%，50Hz±10%</w:t>
      </w:r>
      <w:r/>
    </w:p>
    <w:p>
      <w:pPr>
        <w:spacing w:line="360" w:lineRule="auto"/>
        <w:rPr>
          <w:szCs w:val="21"/>
        </w:rPr>
      </w:pPr>
      <w:r>
        <w:rPr>
          <w:szCs w:val="21"/>
        </w:rPr>
        <w:t xml:space="preserve">三、配置要求：</w:t>
      </w:r>
      <w:r/>
    </w:p>
    <w:p>
      <w:pPr>
        <w:spacing w:line="360" w:lineRule="auto"/>
        <w:rPr>
          <w:szCs w:val="21"/>
        </w:rPr>
      </w:pPr>
      <w:r>
        <w:rPr>
          <w:szCs w:val="21"/>
        </w:rPr>
        <w:t xml:space="preserve">1、仪器主机1台； </w:t>
      </w:r>
      <w:r/>
    </w:p>
    <w:p>
      <w:pPr>
        <w:spacing w:line="360" w:lineRule="auto"/>
        <w:rPr>
          <w:szCs w:val="21"/>
        </w:rPr>
      </w:pPr>
      <w:r>
        <w:rPr>
          <w:szCs w:val="21"/>
        </w:rPr>
        <w:t xml:space="preserve">2、一体式工业电脑1台；</w:t>
      </w:r>
      <w:r/>
    </w:p>
    <w:p>
      <w:pPr>
        <w:spacing w:line="360" w:lineRule="auto"/>
        <w:rPr>
          <w:szCs w:val="21"/>
        </w:rPr>
      </w:pPr>
      <w:r>
        <w:rPr>
          <w:szCs w:val="21"/>
        </w:rPr>
        <w:t xml:space="preserve">3、滴定单元1套；</w:t>
      </w:r>
      <w:r/>
    </w:p>
    <w:p>
      <w:pPr>
        <w:spacing w:line="360" w:lineRule="auto"/>
        <w:rPr>
          <w:szCs w:val="21"/>
        </w:rPr>
      </w:pPr>
      <w:r>
        <w:rPr>
          <w:szCs w:val="21"/>
        </w:rPr>
        <w:t xml:space="preserve">4、指示电极、参比电极、铂电极各1支；</w:t>
      </w:r>
      <w:r/>
    </w:p>
    <w:p>
      <w:pPr>
        <w:spacing w:line="360" w:lineRule="auto"/>
        <w:rPr>
          <w:szCs w:val="21"/>
        </w:rPr>
      </w:pPr>
      <w:r>
        <w:rPr>
          <w:szCs w:val="21"/>
        </w:rPr>
        <w:t xml:space="preserve">5、短路插头2只；</w:t>
      </w:r>
      <w:r/>
    </w:p>
    <w:p>
      <w:pPr>
        <w:spacing w:line="360" w:lineRule="auto"/>
        <w:rPr>
          <w:szCs w:val="21"/>
        </w:rPr>
      </w:pPr>
      <w:r>
        <w:rPr>
          <w:szCs w:val="21"/>
        </w:rPr>
        <w:t xml:space="preserve">6、串行通讯线1根；</w:t>
      </w:r>
      <w:r/>
    </w:p>
    <w:p>
      <w:pPr>
        <w:spacing w:line="360" w:lineRule="auto"/>
        <w:rPr>
          <w:szCs w:val="21"/>
        </w:rPr>
      </w:pPr>
      <w:r>
        <w:rPr>
          <w:szCs w:val="21"/>
        </w:rPr>
        <w:t xml:space="preserve">7、磁力搅拌子2个；</w:t>
      </w:r>
      <w:r/>
    </w:p>
    <w:p>
      <w:pPr>
        <w:spacing w:line="360" w:lineRule="auto"/>
        <w:rPr>
          <w:szCs w:val="21"/>
        </w:rPr>
      </w:pPr>
      <w:r>
        <w:rPr>
          <w:szCs w:val="21"/>
        </w:rPr>
        <w:t xml:space="preserve">8、多用插座1个；</w:t>
      </w:r>
      <w:r/>
    </w:p>
    <w:p>
      <w:pPr>
        <w:spacing w:line="360" w:lineRule="auto"/>
        <w:rPr>
          <w:szCs w:val="21"/>
        </w:rPr>
      </w:pPr>
      <w:r>
        <w:rPr>
          <w:szCs w:val="21"/>
        </w:rPr>
        <w:t xml:space="preserve">9、安装光盘1张</w:t>
      </w:r>
      <w:r/>
    </w:p>
    <w:p>
      <w:pPr>
        <w:spacing w:line="360" w:lineRule="auto"/>
        <w:rPr>
          <w:szCs w:val="21"/>
        </w:rPr>
      </w:pPr>
      <w:r>
        <w:rPr>
          <w:szCs w:val="21"/>
        </w:rPr>
      </w:r>
      <w:r/>
    </w:p>
    <w:p>
      <w:pPr>
        <w:jc w:val="center"/>
        <w:spacing w:line="360" w:lineRule="auto"/>
        <w:rPr>
          <w:b/>
          <w:bCs/>
          <w:szCs w:val="21"/>
        </w:rPr>
      </w:pPr>
      <w:r>
        <w:rPr>
          <w:b/>
          <w:bCs/>
          <w:szCs w:val="21"/>
        </w:rPr>
        <w:t xml:space="preserve">品目三 残炭测定仪</w:t>
      </w:r>
      <w:r/>
    </w:p>
    <w:p>
      <w:pPr>
        <w:spacing w:line="360" w:lineRule="auto"/>
        <w:rPr>
          <w:szCs w:val="21"/>
        </w:rPr>
      </w:pPr>
      <w:r>
        <w:rPr>
          <w:szCs w:val="21"/>
        </w:rPr>
        <w:t xml:space="preserve">一、技术性能要求：</w:t>
      </w:r>
      <w:r/>
    </w:p>
    <w:p>
      <w:pPr>
        <w:spacing w:line="360" w:lineRule="auto"/>
        <w:rPr>
          <w:szCs w:val="21"/>
        </w:rPr>
      </w:pPr>
      <w:r>
        <w:rPr>
          <w:szCs w:val="21"/>
        </w:rPr>
        <w:t xml:space="preserve">1、要求仪器在全升温过程能精准控制升温速率，并使仪器在整个过程中恒温精度达到±1℃，并在升温和控温过程中实时显示实验时间和温升的关系曲线，方便了解升温速率和实时温度；同时可根据屏幕实时提示，确定仪器此时是处于“待机”、“吹扫”、“升温”、“恒温”、“降温”、“结束”的某一个状态；</w:t>
      </w:r>
      <w:r/>
    </w:p>
    <w:p>
      <w:pPr>
        <w:spacing w:line="360" w:lineRule="auto"/>
        <w:rPr>
          <w:szCs w:val="21"/>
        </w:rPr>
      </w:pPr>
      <w:r>
        <w:rPr>
          <w:szCs w:val="21"/>
        </w:rPr>
        <w:t xml:space="preserve">2、要求采用一体式电热单元和电热管加热；</w:t>
      </w:r>
      <w:r/>
    </w:p>
    <w:p>
      <w:pPr>
        <w:spacing w:line="360" w:lineRule="auto"/>
        <w:rPr>
          <w:szCs w:val="21"/>
        </w:rPr>
      </w:pPr>
      <w:r>
        <w:rPr>
          <w:szCs w:val="21"/>
        </w:rPr>
        <w:t xml:space="preserve">3、要求电路、气路采用分室设计，安全可靠；</w:t>
      </w:r>
      <w:r/>
    </w:p>
    <w:p>
      <w:pPr>
        <w:spacing w:line="360" w:lineRule="auto"/>
        <w:rPr>
          <w:szCs w:val="21"/>
        </w:rPr>
      </w:pPr>
      <w:r>
        <w:rPr>
          <w:szCs w:val="21"/>
        </w:rPr>
        <w:t xml:space="preserve">4、要求仪器具有独立主动散热单元，在降温过程中能自动启动，缩短冷却时间；</w:t>
      </w:r>
      <w:r/>
    </w:p>
    <w:p>
      <w:pPr>
        <w:spacing w:line="360" w:lineRule="auto"/>
        <w:rPr>
          <w:szCs w:val="21"/>
        </w:rPr>
      </w:pPr>
      <w:r>
        <w:rPr>
          <w:rFonts w:ascii="Segoe UI Symbol" w:hAnsi="Segoe UI Symbol" w:cs="Segoe UI Symbol"/>
          <w:szCs w:val="21"/>
        </w:rPr>
        <w:t xml:space="preserve">★</w:t>
      </w:r>
      <w:r>
        <w:rPr>
          <w:szCs w:val="21"/>
        </w:rPr>
        <w:t xml:space="preserve">5、仪器配有独立自动采集计算系统，能单独与天平在天平室直接联用，自动采集天平数据，自动计算残炭值和重复性，提高实验工作效率；</w:t>
      </w:r>
      <w:r/>
    </w:p>
    <w:p>
      <w:pPr>
        <w:spacing w:line="360" w:lineRule="auto"/>
        <w:rPr>
          <w:szCs w:val="21"/>
        </w:rPr>
      </w:pPr>
      <w:r>
        <w:rPr>
          <w:rFonts w:ascii="Segoe UI Symbol" w:hAnsi="Segoe UI Symbol" w:cs="Segoe UI Symbol"/>
          <w:szCs w:val="21"/>
        </w:rPr>
        <w:t xml:space="preserve">★</w:t>
      </w:r>
      <w:r>
        <w:rPr>
          <w:szCs w:val="21"/>
        </w:rPr>
        <w:t xml:space="preserve">6、要求仪器燃烧室能配备三种不同规格样品管支架，一种可以放置12支4毫升标准样品管以测量残炭含量范围在0.10%～30.0%的样品残炭含量；一种可以放置6支10毫升样品管以测量残炭值低于0.10%的样品残炭含量；一种可以混合放置两种样品管9支以测量不同样品残炭含量。</w:t>
      </w:r>
      <w:r/>
    </w:p>
    <w:p>
      <w:pPr>
        <w:spacing w:line="360" w:lineRule="auto"/>
        <w:rPr>
          <w:szCs w:val="21"/>
        </w:rPr>
      </w:pPr>
      <w:r>
        <w:rPr>
          <w:szCs w:val="21"/>
        </w:rPr>
        <w:t xml:space="preserve">二、技术参数要求：</w:t>
      </w:r>
      <w:r/>
    </w:p>
    <w:p>
      <w:pPr>
        <w:spacing w:line="360" w:lineRule="auto"/>
        <w:rPr>
          <w:szCs w:val="21"/>
        </w:rPr>
      </w:pPr>
      <w:r>
        <w:rPr>
          <w:szCs w:val="21"/>
        </w:rPr>
        <w:t xml:space="preserve">1、符合标准：GB/T17144、GB/T41733标准；</w:t>
      </w:r>
      <w:r/>
    </w:p>
    <w:p>
      <w:pPr>
        <w:spacing w:line="360" w:lineRule="auto"/>
        <w:rPr>
          <w:szCs w:val="21"/>
        </w:rPr>
      </w:pPr>
      <w:r>
        <w:rPr>
          <w:szCs w:val="21"/>
        </w:rPr>
        <w:t xml:space="preserve">2、燃烧室尺寸：不小于φ87×100mm；</w:t>
      </w:r>
      <w:r/>
    </w:p>
    <w:p>
      <w:pPr>
        <w:spacing w:line="360" w:lineRule="auto"/>
        <w:rPr>
          <w:szCs w:val="21"/>
        </w:rPr>
      </w:pPr>
      <w:r>
        <w:rPr>
          <w:szCs w:val="21"/>
        </w:rPr>
        <w:t xml:space="preserve">3、燃烧室工作温度范围：室温～500℃；</w:t>
      </w:r>
      <w:r/>
    </w:p>
    <w:p>
      <w:pPr>
        <w:spacing w:line="360" w:lineRule="auto"/>
        <w:rPr>
          <w:szCs w:val="21"/>
        </w:rPr>
      </w:pPr>
      <w:r>
        <w:rPr>
          <w:rFonts w:ascii="Segoe UI Symbol" w:hAnsi="Segoe UI Symbol" w:cs="Segoe UI Symbol"/>
          <w:szCs w:val="21"/>
        </w:rPr>
        <w:t xml:space="preserve">★</w:t>
      </w:r>
      <w:r>
        <w:rPr>
          <w:szCs w:val="21"/>
        </w:rPr>
        <w:t xml:space="preserve">4、燃烧室恒温精度：500℃±1℃；</w:t>
      </w:r>
      <w:r/>
    </w:p>
    <w:p>
      <w:pPr>
        <w:spacing w:line="360" w:lineRule="auto"/>
        <w:rPr>
          <w:szCs w:val="21"/>
        </w:rPr>
      </w:pPr>
      <w:r>
        <w:rPr>
          <w:szCs w:val="21"/>
        </w:rPr>
        <w:t xml:space="preserve">5、压力调节范围：0～392kPa（4kg/cm2）；</w:t>
      </w:r>
      <w:r/>
    </w:p>
    <w:p>
      <w:pPr>
        <w:spacing w:line="360" w:lineRule="auto"/>
        <w:rPr>
          <w:szCs w:val="21"/>
        </w:rPr>
      </w:pPr>
      <w:r>
        <w:rPr>
          <w:szCs w:val="21"/>
        </w:rPr>
        <w:t xml:space="preserve">6、流量调节范围：150mL/min；600mL/min能自动切换；</w:t>
      </w:r>
      <w:r/>
    </w:p>
    <w:p>
      <w:pPr>
        <w:spacing w:line="360" w:lineRule="auto"/>
        <w:rPr>
          <w:szCs w:val="21"/>
        </w:rPr>
      </w:pPr>
      <w:r>
        <w:rPr>
          <w:szCs w:val="21"/>
        </w:rPr>
        <w:t xml:space="preserve">7、整机功率：≤1500W； </w:t>
      </w:r>
      <w:r/>
    </w:p>
    <w:p>
      <w:pPr>
        <w:spacing w:line="360" w:lineRule="auto"/>
        <w:rPr>
          <w:szCs w:val="21"/>
        </w:rPr>
      </w:pPr>
      <w:r>
        <w:rPr>
          <w:szCs w:val="21"/>
        </w:rPr>
        <w:t xml:space="preserve">8、电源：AC 220V±10%，50Hz±10%</w:t>
      </w:r>
      <w:r/>
    </w:p>
    <w:p>
      <w:pPr>
        <w:spacing w:line="360" w:lineRule="auto"/>
        <w:rPr>
          <w:szCs w:val="21"/>
        </w:rPr>
      </w:pPr>
      <w:r>
        <w:rPr>
          <w:szCs w:val="21"/>
        </w:rPr>
        <w:t xml:space="preserve">三、配置要求：</w:t>
      </w:r>
      <w:r/>
    </w:p>
    <w:p>
      <w:pPr>
        <w:spacing w:line="360" w:lineRule="auto"/>
        <w:rPr>
          <w:szCs w:val="21"/>
        </w:rPr>
      </w:pPr>
      <w:r>
        <w:rPr>
          <w:szCs w:val="21"/>
        </w:rPr>
        <w:t xml:space="preserve">1、仪器主机1台；</w:t>
      </w:r>
      <w:r/>
    </w:p>
    <w:p>
      <w:pPr>
        <w:spacing w:line="360" w:lineRule="auto"/>
        <w:rPr>
          <w:szCs w:val="21"/>
        </w:rPr>
      </w:pPr>
      <w:r>
        <w:rPr>
          <w:szCs w:val="21"/>
        </w:rPr>
        <w:t xml:space="preserve">2、自动采集计算系统1台；</w:t>
      </w:r>
      <w:r/>
    </w:p>
    <w:p>
      <w:pPr>
        <w:spacing w:line="360" w:lineRule="auto"/>
        <w:rPr>
          <w:szCs w:val="21"/>
        </w:rPr>
      </w:pPr>
      <w:r>
        <w:rPr>
          <w:szCs w:val="21"/>
        </w:rPr>
        <w:t xml:space="preserve">3、样品管支架3套（一套能放置12支4毫升标准样品管，一套能放置6支10毫升样品管；一种能混合放置9支样品管）；</w:t>
      </w:r>
      <w:r/>
    </w:p>
    <w:p>
      <w:pPr>
        <w:spacing w:line="360" w:lineRule="auto"/>
        <w:rPr>
          <w:szCs w:val="21"/>
        </w:rPr>
      </w:pPr>
      <w:r>
        <w:rPr>
          <w:szCs w:val="21"/>
        </w:rPr>
        <w:t xml:space="preserve">4、取样钩1把；</w:t>
      </w:r>
      <w:r/>
    </w:p>
    <w:p>
      <w:pPr>
        <w:spacing w:line="360" w:lineRule="auto"/>
        <w:rPr>
          <w:szCs w:val="21"/>
        </w:rPr>
      </w:pPr>
      <w:r>
        <w:rPr>
          <w:szCs w:val="21"/>
        </w:rPr>
        <w:t xml:space="preserve">5、数据连接线1根；</w:t>
      </w:r>
      <w:r/>
    </w:p>
    <w:p>
      <w:pPr>
        <w:spacing w:line="360" w:lineRule="auto"/>
        <w:rPr>
          <w:szCs w:val="21"/>
        </w:rPr>
      </w:pPr>
      <w:r>
        <w:rPr>
          <w:szCs w:val="21"/>
        </w:rPr>
        <w:t xml:space="preserve">6、氮气专用连接线5米；</w:t>
      </w:r>
      <w:r/>
    </w:p>
    <w:p>
      <w:pPr>
        <w:spacing w:line="360" w:lineRule="auto"/>
        <w:rPr>
          <w:szCs w:val="21"/>
        </w:rPr>
      </w:pPr>
      <w:r>
        <w:rPr>
          <w:szCs w:val="21"/>
        </w:rPr>
        <w:t xml:space="preserve">7、顶盖1套；</w:t>
      </w:r>
      <w:r/>
    </w:p>
    <w:p>
      <w:pPr>
        <w:spacing w:line="360" w:lineRule="auto"/>
        <w:rPr>
          <w:szCs w:val="21"/>
        </w:rPr>
      </w:pPr>
      <w:r>
        <w:rPr>
          <w:szCs w:val="21"/>
        </w:rPr>
        <w:t xml:space="preserve">8、试样管（大、小）各20支；</w:t>
      </w:r>
      <w:r/>
    </w:p>
    <w:p>
      <w:pPr>
        <w:spacing w:line="360" w:lineRule="auto"/>
        <w:rPr>
          <w:szCs w:val="21"/>
        </w:rPr>
      </w:pPr>
      <w:r>
        <w:rPr>
          <w:szCs w:val="21"/>
        </w:rPr>
        <w:t xml:space="preserve">9、称样座（大、小）各1个；</w:t>
      </w:r>
      <w:r/>
    </w:p>
    <w:p>
      <w:pPr>
        <w:spacing w:line="360" w:lineRule="auto"/>
        <w:rPr>
          <w:szCs w:val="21"/>
        </w:rPr>
      </w:pPr>
      <w:r>
        <w:rPr>
          <w:szCs w:val="21"/>
        </w:rPr>
        <w:t xml:space="preserve">10、收集瓶1个</w:t>
      </w:r>
      <w:r/>
    </w:p>
    <w:p>
      <w:pPr>
        <w:spacing w:line="360" w:lineRule="auto"/>
        <w:rPr>
          <w:szCs w:val="21"/>
        </w:rPr>
      </w:pPr>
      <w:r>
        <w:rPr>
          <w:szCs w:val="21"/>
        </w:rPr>
      </w:r>
      <w:r/>
    </w:p>
    <w:p>
      <w:pPr>
        <w:jc w:val="center"/>
        <w:spacing w:line="360" w:lineRule="auto"/>
        <w:rPr>
          <w:b/>
          <w:bCs/>
          <w:szCs w:val="21"/>
        </w:rPr>
      </w:pPr>
      <w:r>
        <w:rPr>
          <w:b/>
          <w:bCs/>
          <w:szCs w:val="21"/>
        </w:rPr>
        <w:t xml:space="preserve">品目四 闭口闪点测定仪</w:t>
      </w:r>
      <w:r/>
    </w:p>
    <w:p>
      <w:pPr>
        <w:spacing w:line="360" w:lineRule="auto"/>
        <w:rPr>
          <w:szCs w:val="21"/>
        </w:rPr>
      </w:pPr>
      <w:r>
        <w:rPr>
          <w:szCs w:val="21"/>
        </w:rPr>
        <w:t xml:space="preserve">一、技术性能要求：</w:t>
      </w:r>
      <w:r/>
    </w:p>
    <w:p>
      <w:pPr>
        <w:spacing w:line="360" w:lineRule="auto"/>
        <w:rPr>
          <w:szCs w:val="21"/>
        </w:rPr>
      </w:pPr>
      <w:r>
        <w:rPr>
          <w:szCs w:val="21"/>
        </w:rPr>
        <w:t xml:space="preserve">1、要求仪器自动化程度高，能自动开盖、自动升降、自动控温、自动点火、自动测量、自动明火检测并灭火、智能火苗保持、自动强制冷却；</w:t>
      </w:r>
      <w:r/>
    </w:p>
    <w:p>
      <w:pPr>
        <w:spacing w:line="360" w:lineRule="auto"/>
        <w:rPr>
          <w:szCs w:val="21"/>
        </w:rPr>
      </w:pPr>
      <w:r>
        <w:rPr>
          <w:szCs w:val="21"/>
        </w:rPr>
        <w:t xml:space="preserve">2、要求采用8英寸及以上彩色液晶触摸屏显示，可预设温度、试样名称、延后温度等参数；可自定义测试流程，设置升温速率、搅拌速率、点火频率、提前点火温度等参数；</w:t>
      </w:r>
      <w:r/>
    </w:p>
    <w:p>
      <w:pPr>
        <w:spacing w:line="360" w:lineRule="auto"/>
        <w:rPr>
          <w:szCs w:val="21"/>
        </w:rPr>
      </w:pPr>
      <w:r>
        <w:rPr>
          <w:szCs w:val="21"/>
        </w:rPr>
        <w:t xml:space="preserve">3、要求仪器能模拟跟踪显示温度与试验时间的函数曲线，并具有中文误操作软件提示修改功能；</w:t>
      </w:r>
      <w:r/>
    </w:p>
    <w:p>
      <w:pPr>
        <w:spacing w:line="360" w:lineRule="auto"/>
        <w:rPr>
          <w:szCs w:val="21"/>
        </w:rPr>
      </w:pPr>
      <w:r>
        <w:rPr>
          <w:szCs w:val="21"/>
        </w:rPr>
        <w:t xml:space="preserve">4、要求仪器自带大气压强传感器自动校正大气压强对试验结果的影响；</w:t>
      </w:r>
      <w:r/>
    </w:p>
    <w:p>
      <w:pPr>
        <w:spacing w:line="360" w:lineRule="auto"/>
        <w:rPr>
          <w:szCs w:val="21"/>
        </w:rPr>
      </w:pPr>
      <w:r>
        <w:rPr>
          <w:szCs w:val="21"/>
        </w:rPr>
        <w:t xml:space="preserve">5、要求仪器可选快速模式对陌生试样进行快速预估，提高测试效率；</w:t>
      </w:r>
      <w:r/>
    </w:p>
    <w:p>
      <w:pPr>
        <w:spacing w:line="360" w:lineRule="auto"/>
        <w:rPr>
          <w:szCs w:val="21"/>
        </w:rPr>
      </w:pPr>
      <w:r>
        <w:rPr>
          <w:rFonts w:ascii="Segoe UI Symbol" w:hAnsi="Segoe UI Symbol" w:cs="Segoe UI Symbol"/>
          <w:szCs w:val="21"/>
        </w:rPr>
        <w:t xml:space="preserve">★</w:t>
      </w:r>
      <w:r>
        <w:rPr>
          <w:szCs w:val="21"/>
        </w:rPr>
        <w:t xml:space="preserve">6、要求采用集成气点火头、电点火头、火苗保持传感器为一体的三合一点火头，电点火或气点火由软件控制自由切换，无需更换任何硬件，并具有能检测到火苗熄灭后自动引燃的功能；（投标时需提供标注气点火头、电点火头、火苗保持传感器三合一点火头的实物图，以及由软件控制自由切换的测试界面截图予以佐证）；</w:t>
      </w:r>
      <w:r/>
    </w:p>
    <w:p>
      <w:pPr>
        <w:spacing w:line="360" w:lineRule="auto"/>
        <w:rPr>
          <w:szCs w:val="21"/>
        </w:rPr>
      </w:pPr>
      <w:r>
        <w:rPr>
          <w:szCs w:val="21"/>
        </w:rPr>
        <w:t xml:space="preserve">7、要求实验完成后强制冷却系统能快速为加热系统降温，10分钟内可进行下一次测试；</w:t>
      </w:r>
      <w:r/>
    </w:p>
    <w:p>
      <w:pPr>
        <w:spacing w:line="360" w:lineRule="auto"/>
        <w:rPr>
          <w:szCs w:val="21"/>
        </w:rPr>
      </w:pPr>
      <w:r>
        <w:rPr>
          <w:rFonts w:ascii="Segoe UI Symbol" w:hAnsi="Segoe UI Symbol" w:cs="Segoe UI Symbol"/>
          <w:szCs w:val="21"/>
        </w:rPr>
        <w:t xml:space="preserve">★</w:t>
      </w:r>
      <w:r>
        <w:rPr>
          <w:szCs w:val="21"/>
        </w:rPr>
        <w:t xml:space="preserve">8、要求仪器采用主机与样杯智能散热架一体化结构，能根据样杯温度自动启停散热系统，采用双样杯轮流工作模式，提高测试效率；</w:t>
      </w:r>
      <w:r/>
    </w:p>
    <w:p>
      <w:pPr>
        <w:spacing w:line="360" w:lineRule="auto"/>
        <w:rPr>
          <w:szCs w:val="21"/>
        </w:rPr>
      </w:pPr>
      <w:r>
        <w:rPr>
          <w:rFonts w:ascii="Segoe UI Symbol" w:hAnsi="Segoe UI Symbol" w:cs="Segoe UI Symbol"/>
          <w:szCs w:val="21"/>
        </w:rPr>
        <w:t xml:space="preserve">★</w:t>
      </w:r>
      <w:r>
        <w:rPr>
          <w:szCs w:val="21"/>
        </w:rPr>
        <w:t xml:space="preserve">9、要求仪器自带自动灭火装置，能主动检测明火，自动对喷惰性气体两秒内将明火扑灭，保障实验过程安全。（投标时需提供仪器自带自动灭火装置的图片予以佐证，并标注如何实现自动灭火）。</w:t>
      </w:r>
      <w:r/>
    </w:p>
    <w:p>
      <w:pPr>
        <w:spacing w:line="360" w:lineRule="auto"/>
        <w:rPr>
          <w:szCs w:val="21"/>
        </w:rPr>
      </w:pPr>
      <w:r>
        <w:rPr>
          <w:szCs w:val="21"/>
        </w:rPr>
        <w:t xml:space="preserve">二、技术参数要求：</w:t>
      </w:r>
      <w:r/>
    </w:p>
    <w:p>
      <w:pPr>
        <w:spacing w:line="360" w:lineRule="auto"/>
        <w:rPr>
          <w:szCs w:val="21"/>
        </w:rPr>
      </w:pPr>
      <w:r>
        <w:rPr>
          <w:szCs w:val="21"/>
        </w:rPr>
        <w:t xml:space="preserve">1、测量范围：室温～400℃；</w:t>
      </w:r>
      <w:r/>
    </w:p>
    <w:p>
      <w:pPr>
        <w:spacing w:line="360" w:lineRule="auto"/>
        <w:rPr>
          <w:szCs w:val="21"/>
        </w:rPr>
      </w:pPr>
      <w:r>
        <w:rPr>
          <w:szCs w:val="21"/>
        </w:rPr>
        <w:t xml:space="preserve">2、重复性：≤2℃；     </w:t>
      </w:r>
      <w:r/>
    </w:p>
    <w:p>
      <w:pPr>
        <w:spacing w:line="360" w:lineRule="auto"/>
        <w:rPr>
          <w:szCs w:val="21"/>
        </w:rPr>
      </w:pPr>
      <w:r>
        <w:rPr>
          <w:szCs w:val="21"/>
        </w:rPr>
        <w:t xml:space="preserve">3、再现性：≤4℃；</w:t>
      </w:r>
      <w:r/>
    </w:p>
    <w:p>
      <w:pPr>
        <w:spacing w:line="360" w:lineRule="auto"/>
        <w:rPr>
          <w:szCs w:val="21"/>
        </w:rPr>
      </w:pPr>
      <w:r>
        <w:rPr>
          <w:szCs w:val="21"/>
        </w:rPr>
        <w:t xml:space="preserve">4、分辨率：0.1℃；</w:t>
      </w:r>
      <w:r/>
    </w:p>
    <w:p>
      <w:pPr>
        <w:spacing w:line="360" w:lineRule="auto"/>
        <w:rPr>
          <w:szCs w:val="21"/>
        </w:rPr>
      </w:pPr>
      <w:r>
        <w:rPr>
          <w:szCs w:val="21"/>
        </w:rPr>
        <w:t xml:space="preserve">5、升温速度：步骤A：（5～6）℃/min；步骤B：（1～1.5）℃/min；</w:t>
      </w:r>
      <w:r/>
    </w:p>
    <w:p>
      <w:pPr>
        <w:spacing w:line="360" w:lineRule="auto"/>
        <w:rPr>
          <w:szCs w:val="21"/>
        </w:rPr>
      </w:pPr>
      <w:r>
        <w:rPr>
          <w:szCs w:val="21"/>
        </w:rPr>
        <w:t xml:space="preserve">步骤C：（2.5～3.5）℃/min；快速模式：（10～15）℃/min；</w:t>
      </w:r>
      <w:r/>
    </w:p>
    <w:p>
      <w:pPr>
        <w:spacing w:line="360" w:lineRule="auto"/>
        <w:rPr>
          <w:szCs w:val="21"/>
        </w:rPr>
      </w:pPr>
      <w:r>
        <w:rPr>
          <w:szCs w:val="21"/>
        </w:rPr>
        <w:t xml:space="preserve">自定义模式：升温速率可调；</w:t>
      </w:r>
      <w:r/>
    </w:p>
    <w:p>
      <w:pPr>
        <w:spacing w:line="360" w:lineRule="auto"/>
        <w:rPr>
          <w:szCs w:val="21"/>
        </w:rPr>
      </w:pPr>
      <w:r>
        <w:rPr>
          <w:szCs w:val="21"/>
        </w:rPr>
        <w:t xml:space="preserve">6、炉膛冷却：强制风冷；</w:t>
      </w:r>
      <w:r/>
    </w:p>
    <w:p>
      <w:pPr>
        <w:spacing w:line="360" w:lineRule="auto"/>
        <w:rPr>
          <w:szCs w:val="21"/>
        </w:rPr>
      </w:pPr>
      <w:r>
        <w:rPr>
          <w:szCs w:val="21"/>
        </w:rPr>
        <w:t xml:space="preserve">7、样杯冷却：智能风冷；</w:t>
      </w:r>
      <w:r/>
    </w:p>
    <w:p>
      <w:pPr>
        <w:spacing w:line="360" w:lineRule="auto"/>
        <w:rPr>
          <w:szCs w:val="21"/>
        </w:rPr>
      </w:pPr>
      <w:r>
        <w:rPr>
          <w:szCs w:val="21"/>
        </w:rPr>
        <w:t xml:space="preserve">8、灭火方式：惰性气体对喷灭火；</w:t>
      </w:r>
      <w:r/>
    </w:p>
    <w:p>
      <w:pPr>
        <w:spacing w:line="360" w:lineRule="auto"/>
        <w:rPr>
          <w:szCs w:val="21"/>
        </w:rPr>
      </w:pPr>
      <w:r>
        <w:rPr>
          <w:szCs w:val="21"/>
        </w:rPr>
        <w:t xml:space="preserve">9、点火方式：气电一体点火头，软件控制自由切换；</w:t>
      </w:r>
      <w:r/>
    </w:p>
    <w:p>
      <w:pPr>
        <w:spacing w:line="360" w:lineRule="auto"/>
        <w:rPr>
          <w:szCs w:val="21"/>
        </w:rPr>
      </w:pPr>
      <w:r>
        <w:rPr>
          <w:rFonts w:ascii="Segoe UI Symbol" w:hAnsi="Segoe UI Symbol" w:cs="Segoe UI Symbol"/>
          <w:szCs w:val="21"/>
        </w:rPr>
        <w:t xml:space="preserve">★</w:t>
      </w:r>
      <w:r>
        <w:rPr>
          <w:szCs w:val="21"/>
        </w:rPr>
        <w:t xml:space="preserve">10火苗保持：智能检测、自动引燃；</w:t>
      </w:r>
      <w:r/>
    </w:p>
    <w:p>
      <w:pPr>
        <w:spacing w:line="360" w:lineRule="auto"/>
        <w:rPr>
          <w:szCs w:val="21"/>
        </w:rPr>
      </w:pPr>
      <w:r>
        <w:rPr>
          <w:szCs w:val="21"/>
        </w:rPr>
        <w:t xml:space="preserve">11、整机功率：≤300W；</w:t>
      </w:r>
      <w:r/>
    </w:p>
    <w:p>
      <w:pPr>
        <w:spacing w:line="360" w:lineRule="auto"/>
        <w:rPr>
          <w:szCs w:val="21"/>
        </w:rPr>
      </w:pPr>
      <w:r>
        <w:rPr>
          <w:szCs w:val="21"/>
        </w:rPr>
        <w:t xml:space="preserve">12、电源： AC 220V±10%，50Hz±10%</w:t>
      </w:r>
      <w:r/>
    </w:p>
    <w:p>
      <w:pPr>
        <w:spacing w:line="360" w:lineRule="auto"/>
        <w:rPr>
          <w:szCs w:val="21"/>
        </w:rPr>
      </w:pPr>
      <w:r>
        <w:rPr>
          <w:szCs w:val="21"/>
        </w:rPr>
        <w:t xml:space="preserve">三、配置要求：</w:t>
      </w:r>
      <w:r/>
    </w:p>
    <w:p>
      <w:pPr>
        <w:spacing w:line="360" w:lineRule="auto"/>
        <w:rPr>
          <w:szCs w:val="21"/>
        </w:rPr>
      </w:pPr>
      <w:r>
        <w:rPr>
          <w:szCs w:val="21"/>
        </w:rPr>
        <w:t xml:space="preserve">1、仪器主机1台；</w:t>
      </w:r>
      <w:r/>
    </w:p>
    <w:p>
      <w:pPr>
        <w:spacing w:line="360" w:lineRule="auto"/>
        <w:rPr>
          <w:szCs w:val="21"/>
        </w:rPr>
      </w:pPr>
      <w:r>
        <w:rPr>
          <w:szCs w:val="21"/>
        </w:rPr>
        <w:t xml:space="preserve">2、油杯2个；</w:t>
      </w:r>
      <w:r/>
    </w:p>
    <w:p>
      <w:pPr>
        <w:spacing w:line="360" w:lineRule="auto"/>
        <w:rPr>
          <w:szCs w:val="21"/>
        </w:rPr>
      </w:pPr>
      <w:r>
        <w:rPr>
          <w:szCs w:val="21"/>
        </w:rPr>
        <w:t xml:space="preserve">3、点火枪1把；</w:t>
      </w:r>
      <w:r/>
    </w:p>
    <w:p>
      <w:pPr>
        <w:spacing w:line="360" w:lineRule="auto"/>
        <w:rPr>
          <w:szCs w:val="21"/>
        </w:rPr>
      </w:pPr>
      <w:r>
        <w:rPr>
          <w:szCs w:val="21"/>
        </w:rPr>
        <w:t xml:space="preserve">4、电源线1根</w:t>
      </w:r>
      <w:r/>
    </w:p>
    <w:p>
      <w:pPr>
        <w:spacing w:line="360" w:lineRule="auto"/>
        <w:rPr>
          <w:szCs w:val="21"/>
        </w:rPr>
      </w:pPr>
      <w:r>
        <w:rPr>
          <w:szCs w:val="21"/>
        </w:rPr>
        <w:t xml:space="preserve">5、卡箍2个；</w:t>
      </w:r>
      <w:r/>
    </w:p>
    <w:p>
      <w:pPr>
        <w:spacing w:line="360" w:lineRule="auto"/>
        <w:rPr>
          <w:szCs w:val="21"/>
        </w:rPr>
      </w:pPr>
      <w:r>
        <w:rPr>
          <w:szCs w:val="21"/>
        </w:rPr>
        <w:t xml:space="preserve">6、PU管6米；</w:t>
      </w:r>
      <w:r/>
    </w:p>
    <w:p>
      <w:pPr>
        <w:spacing w:line="360" w:lineRule="auto"/>
        <w:rPr>
          <w:szCs w:val="21"/>
        </w:rPr>
      </w:pPr>
      <w:r>
        <w:rPr>
          <w:szCs w:val="21"/>
        </w:rPr>
        <w:t xml:space="preserve">7、变径接头1个；</w:t>
      </w:r>
      <w:r/>
    </w:p>
    <w:p>
      <w:pPr>
        <w:spacing w:line="360" w:lineRule="auto"/>
        <w:rPr>
          <w:szCs w:val="21"/>
        </w:rPr>
      </w:pPr>
      <w:r>
        <w:rPr>
          <w:szCs w:val="21"/>
        </w:rPr>
        <w:t xml:space="preserve">8、丁烷气1瓶；</w:t>
      </w:r>
      <w:r/>
    </w:p>
    <w:p>
      <w:pPr>
        <w:spacing w:line="360" w:lineRule="auto"/>
        <w:rPr>
          <w:szCs w:val="21"/>
        </w:rPr>
      </w:pPr>
      <w:r>
        <w:rPr>
          <w:szCs w:val="21"/>
        </w:rPr>
        <w:t xml:space="preserve">9、减压阀及连接管路1套；</w:t>
      </w:r>
      <w:r/>
    </w:p>
    <w:p>
      <w:pPr>
        <w:spacing w:line="360" w:lineRule="auto"/>
        <w:rPr>
          <w:szCs w:val="21"/>
        </w:rPr>
      </w:pPr>
      <w:r>
        <w:rPr>
          <w:szCs w:val="21"/>
        </w:rPr>
        <w:t xml:space="preserve">10、灭火气体及连接管路1套</w:t>
      </w:r>
      <w:r/>
    </w:p>
    <w:p>
      <w:pPr>
        <w:spacing w:line="360" w:lineRule="auto"/>
        <w:rPr>
          <w:szCs w:val="21"/>
        </w:rPr>
      </w:pPr>
      <w:r>
        <w:rPr>
          <w:szCs w:val="21"/>
        </w:rPr>
      </w:r>
      <w:r/>
    </w:p>
    <w:p>
      <w:pPr>
        <w:jc w:val="center"/>
        <w:spacing w:line="360" w:lineRule="auto"/>
        <w:rPr>
          <w:b/>
          <w:bCs/>
          <w:szCs w:val="21"/>
        </w:rPr>
      </w:pPr>
      <w:r>
        <w:rPr>
          <w:b/>
          <w:bCs/>
          <w:szCs w:val="21"/>
        </w:rPr>
        <w:t xml:space="preserve">品目五 卡式水份测定仪</w:t>
      </w:r>
      <w:r/>
    </w:p>
    <w:p>
      <w:pPr>
        <w:spacing w:line="360" w:lineRule="auto"/>
        <w:rPr>
          <w:szCs w:val="21"/>
        </w:rPr>
      </w:pPr>
      <w:r>
        <w:rPr>
          <w:szCs w:val="21"/>
        </w:rPr>
        <w:t xml:space="preserve">一、技术性能要求：</w:t>
      </w:r>
      <w:r/>
    </w:p>
    <w:p>
      <w:pPr>
        <w:spacing w:line="360" w:lineRule="auto"/>
        <w:rPr>
          <w:szCs w:val="21"/>
        </w:rPr>
      </w:pPr>
      <w:r>
        <w:rPr>
          <w:szCs w:val="21"/>
        </w:rPr>
        <w:t xml:space="preserve">1、要求采用电脑控制和Windows操作系统，可接入LIMS系统；</w:t>
      </w:r>
      <w:r/>
    </w:p>
    <w:p>
      <w:pPr>
        <w:spacing w:line="360" w:lineRule="auto"/>
        <w:rPr>
          <w:szCs w:val="21"/>
        </w:rPr>
      </w:pPr>
      <w:r>
        <w:rPr>
          <w:szCs w:val="21"/>
        </w:rPr>
        <w:t xml:space="preserve">2、要求仪器采用集成卡氏炉、电解池及干燥系统于一体的结构，节省实验空间；</w:t>
      </w:r>
      <w:r/>
    </w:p>
    <w:p>
      <w:pPr>
        <w:spacing w:line="360" w:lineRule="auto"/>
        <w:rPr>
          <w:szCs w:val="21"/>
        </w:rPr>
      </w:pPr>
      <w:r>
        <w:rPr>
          <w:szCs w:val="21"/>
        </w:rPr>
        <w:t xml:space="preserve">3、要求仪器自带不低于42位载样盘，且每个样品位可独立设置测试温度；</w:t>
      </w:r>
      <w:r/>
    </w:p>
    <w:p>
      <w:pPr>
        <w:spacing w:line="360" w:lineRule="auto"/>
        <w:rPr>
          <w:szCs w:val="21"/>
        </w:rPr>
      </w:pPr>
      <w:r>
        <w:rPr>
          <w:szCs w:val="21"/>
        </w:rPr>
        <w:t xml:space="preserve">4、要求试剂平衡、插拔取样针、泵送载气、计算结果等测试过程实现全自动化；</w:t>
      </w:r>
      <w:r/>
    </w:p>
    <w:p>
      <w:pPr>
        <w:spacing w:line="360" w:lineRule="auto"/>
        <w:rPr>
          <w:szCs w:val="21"/>
        </w:rPr>
      </w:pPr>
      <w:r>
        <w:rPr>
          <w:szCs w:val="21"/>
        </w:rPr>
        <w:t xml:space="preserve">5、要求测试界面实时显示漂移值、电位值、水含量及测试曲线；</w:t>
      </w:r>
      <w:r/>
    </w:p>
    <w:p>
      <w:pPr>
        <w:spacing w:line="360" w:lineRule="auto"/>
        <w:rPr>
          <w:szCs w:val="21"/>
        </w:rPr>
      </w:pPr>
      <w:r>
        <w:rPr>
          <w:szCs w:val="21"/>
        </w:rPr>
        <w:t xml:space="preserve">6、要求测试时实时监测电解池搅拌，防止电解电极附碘；</w:t>
      </w:r>
      <w:r/>
    </w:p>
    <w:p>
      <w:pPr>
        <w:spacing w:line="360" w:lineRule="auto"/>
        <w:rPr>
          <w:szCs w:val="21"/>
        </w:rPr>
      </w:pPr>
      <w:r>
        <w:rPr>
          <w:szCs w:val="21"/>
        </w:rPr>
        <w:t xml:space="preserve">7、要求卡氏炉加热腔体积小巧，并配有高精度智能温控器，升温速率可调，使样品受热更均匀；</w:t>
      </w:r>
      <w:r/>
    </w:p>
    <w:p>
      <w:pPr>
        <w:spacing w:line="360" w:lineRule="auto"/>
        <w:rPr>
          <w:szCs w:val="21"/>
        </w:rPr>
      </w:pPr>
      <w:r>
        <w:rPr>
          <w:rFonts w:ascii="Segoe UI Symbol" w:hAnsi="Segoe UI Symbol" w:cs="Segoe UI Symbol"/>
          <w:szCs w:val="21"/>
        </w:rPr>
        <w:t xml:space="preserve">★</w:t>
      </w:r>
      <w:r>
        <w:rPr>
          <w:szCs w:val="21"/>
        </w:rPr>
        <w:t xml:space="preserve">8、要求载气管路采用高精度管道伴热单元，伴热管路控温范围：室温～150℃，控温精度：0.1℃</w:t>
      </w:r>
      <w:r/>
    </w:p>
    <w:p>
      <w:pPr>
        <w:spacing w:line="360" w:lineRule="auto"/>
        <w:rPr>
          <w:szCs w:val="21"/>
        </w:rPr>
      </w:pPr>
      <w:r>
        <w:rPr>
          <w:szCs w:val="21"/>
        </w:rPr>
        <w:t xml:space="preserve">二、技术参数要求：</w:t>
      </w:r>
      <w:r/>
    </w:p>
    <w:p>
      <w:pPr>
        <w:spacing w:line="360" w:lineRule="auto"/>
        <w:rPr>
          <w:szCs w:val="21"/>
        </w:rPr>
      </w:pPr>
      <w:r>
        <w:rPr>
          <w:szCs w:val="21"/>
        </w:rPr>
        <w:t xml:space="preserve">1、滴定方式：电量滴定法；</w:t>
      </w:r>
      <w:r/>
    </w:p>
    <w:p>
      <w:pPr>
        <w:spacing w:line="360" w:lineRule="auto"/>
        <w:rPr>
          <w:szCs w:val="21"/>
        </w:rPr>
      </w:pPr>
      <w:r>
        <w:rPr>
          <w:rFonts w:ascii="Segoe UI Symbol" w:hAnsi="Segoe UI Symbol" w:cs="Segoe UI Symbol"/>
          <w:szCs w:val="21"/>
        </w:rPr>
        <w:t xml:space="preserve">★</w:t>
      </w:r>
      <w:r>
        <w:rPr>
          <w:szCs w:val="21"/>
        </w:rPr>
        <w:t xml:space="preserve">2、载样数量：≥42位（提供42位载样盘的仪器实物图及对应测试界面截图予以佐证）；</w:t>
      </w:r>
      <w:r/>
    </w:p>
    <w:p>
      <w:pPr>
        <w:spacing w:line="360" w:lineRule="auto"/>
        <w:rPr>
          <w:szCs w:val="21"/>
        </w:rPr>
      </w:pPr>
      <w:r>
        <w:rPr>
          <w:szCs w:val="21"/>
        </w:rPr>
        <w:t xml:space="preserve">3、控温范围：50～280℃；</w:t>
      </w:r>
      <w:r/>
    </w:p>
    <w:p>
      <w:pPr>
        <w:spacing w:line="360" w:lineRule="auto"/>
        <w:rPr>
          <w:szCs w:val="21"/>
        </w:rPr>
      </w:pPr>
      <w:r>
        <w:rPr>
          <w:szCs w:val="21"/>
        </w:rPr>
        <w:t xml:space="preserve">4、控温精度：0.1℃； </w:t>
      </w:r>
      <w:r/>
    </w:p>
    <w:p>
      <w:pPr>
        <w:spacing w:line="360" w:lineRule="auto"/>
        <w:rPr>
          <w:szCs w:val="21"/>
        </w:rPr>
      </w:pPr>
      <w:r>
        <w:rPr>
          <w:szCs w:val="21"/>
        </w:rPr>
        <w:t xml:space="preserve">5、流量范围：0～200mL/min；        </w:t>
      </w:r>
      <w:r/>
    </w:p>
    <w:p>
      <w:pPr>
        <w:spacing w:line="360" w:lineRule="auto"/>
        <w:rPr>
          <w:szCs w:val="21"/>
        </w:rPr>
      </w:pPr>
      <w:r>
        <w:rPr>
          <w:szCs w:val="21"/>
        </w:rPr>
        <w:t xml:space="preserve">6、电解电流：0～400mA；</w:t>
      </w:r>
      <w:r/>
    </w:p>
    <w:p>
      <w:pPr>
        <w:spacing w:line="360" w:lineRule="auto"/>
        <w:rPr>
          <w:szCs w:val="21"/>
        </w:rPr>
      </w:pPr>
      <w:r>
        <w:rPr>
          <w:szCs w:val="21"/>
        </w:rPr>
        <w:t xml:space="preserve">7、测定范围：1μg～100mg；</w:t>
      </w:r>
      <w:r/>
    </w:p>
    <w:p>
      <w:pPr>
        <w:spacing w:line="360" w:lineRule="auto"/>
        <w:rPr>
          <w:szCs w:val="21"/>
        </w:rPr>
      </w:pPr>
      <w:r>
        <w:rPr>
          <w:szCs w:val="21"/>
        </w:rPr>
        <w:t xml:space="preserve">8、分 辨 率：0.1μg；</w:t>
      </w:r>
      <w:r/>
    </w:p>
    <w:p>
      <w:pPr>
        <w:spacing w:line="360" w:lineRule="auto"/>
        <w:rPr>
          <w:szCs w:val="21"/>
        </w:rPr>
      </w:pPr>
      <w:r>
        <w:rPr>
          <w:szCs w:val="21"/>
        </w:rPr>
        <w:t xml:space="preserve">9、准 确 度：10μg～1mg偏差≤±3ug；≥1mg偏差≤0.3%；</w:t>
      </w:r>
      <w:r/>
    </w:p>
    <w:p>
      <w:pPr>
        <w:spacing w:line="360" w:lineRule="auto"/>
        <w:rPr>
          <w:szCs w:val="21"/>
        </w:rPr>
      </w:pPr>
      <w:r>
        <w:rPr>
          <w:szCs w:val="21"/>
        </w:rPr>
        <w:t xml:space="preserve">10、操作平台：Windows平台操作软件</w:t>
      </w:r>
      <w:r/>
    </w:p>
    <w:p>
      <w:pPr>
        <w:spacing w:line="360" w:lineRule="auto"/>
        <w:rPr>
          <w:szCs w:val="21"/>
        </w:rPr>
      </w:pPr>
      <w:r>
        <w:rPr>
          <w:szCs w:val="21"/>
        </w:rPr>
        <w:t xml:space="preserve">三、配置要求：</w:t>
      </w:r>
      <w:r/>
    </w:p>
    <w:p>
      <w:pPr>
        <w:spacing w:line="360" w:lineRule="auto"/>
        <w:rPr>
          <w:szCs w:val="21"/>
        </w:rPr>
      </w:pPr>
      <w:r>
        <w:rPr>
          <w:szCs w:val="21"/>
        </w:rPr>
        <w:t xml:space="preserve">1、仪器主机1台；</w:t>
      </w:r>
      <w:r/>
    </w:p>
    <w:p>
      <w:pPr>
        <w:spacing w:line="360" w:lineRule="auto"/>
        <w:rPr>
          <w:szCs w:val="21"/>
        </w:rPr>
      </w:pPr>
      <w:r>
        <w:rPr>
          <w:szCs w:val="21"/>
        </w:rPr>
        <w:t xml:space="preserve">2、一体式电脑1台；</w:t>
      </w:r>
      <w:r/>
    </w:p>
    <w:p>
      <w:pPr>
        <w:spacing w:line="360" w:lineRule="auto"/>
        <w:rPr>
          <w:szCs w:val="21"/>
        </w:rPr>
      </w:pPr>
      <w:r>
        <w:rPr>
          <w:szCs w:val="21"/>
        </w:rPr>
        <w:t xml:space="preserve">3、电解池1套；</w:t>
      </w:r>
      <w:r/>
    </w:p>
    <w:p>
      <w:pPr>
        <w:spacing w:line="360" w:lineRule="auto"/>
        <w:rPr>
          <w:szCs w:val="21"/>
        </w:rPr>
      </w:pPr>
      <w:r>
        <w:rPr>
          <w:szCs w:val="21"/>
        </w:rPr>
        <w:t xml:space="preserve">4、电解液1瓶；</w:t>
      </w:r>
      <w:r/>
    </w:p>
    <w:p>
      <w:pPr>
        <w:spacing w:line="360" w:lineRule="auto"/>
        <w:rPr>
          <w:szCs w:val="21"/>
        </w:rPr>
      </w:pPr>
      <w:r>
        <w:rPr>
          <w:szCs w:val="21"/>
        </w:rPr>
        <w:t xml:space="preserve">5、兰芯注射器1支；</w:t>
      </w:r>
      <w:r/>
    </w:p>
    <w:p>
      <w:pPr>
        <w:spacing w:line="360" w:lineRule="auto"/>
        <w:rPr>
          <w:szCs w:val="21"/>
        </w:rPr>
      </w:pPr>
      <w:r>
        <w:rPr>
          <w:szCs w:val="21"/>
        </w:rPr>
        <w:t xml:space="preserve">6、微量注射器2支；</w:t>
      </w:r>
      <w:r/>
    </w:p>
    <w:p>
      <w:pPr>
        <w:spacing w:line="360" w:lineRule="auto"/>
        <w:rPr>
          <w:szCs w:val="21"/>
        </w:rPr>
      </w:pPr>
      <w:r>
        <w:rPr>
          <w:szCs w:val="21"/>
        </w:rPr>
        <w:t xml:space="preserve">7、真空脂1支；</w:t>
      </w:r>
      <w:r/>
    </w:p>
    <w:p>
      <w:pPr>
        <w:spacing w:line="360" w:lineRule="auto"/>
        <w:rPr>
          <w:szCs w:val="21"/>
        </w:rPr>
      </w:pPr>
      <w:r>
        <w:rPr>
          <w:szCs w:val="21"/>
        </w:rPr>
        <w:t xml:space="preserve">8、分子筛1瓶；</w:t>
      </w:r>
      <w:r/>
    </w:p>
    <w:p>
      <w:pPr>
        <w:spacing w:line="360" w:lineRule="auto"/>
        <w:rPr>
          <w:szCs w:val="21"/>
        </w:rPr>
      </w:pPr>
      <w:r>
        <w:rPr>
          <w:szCs w:val="21"/>
        </w:rPr>
        <w:t xml:space="preserve">9、无水氯化钙1瓶；</w:t>
      </w:r>
      <w:r/>
    </w:p>
    <w:p>
      <w:pPr>
        <w:spacing w:line="360" w:lineRule="auto"/>
        <w:rPr>
          <w:szCs w:val="21"/>
        </w:rPr>
      </w:pPr>
      <w:r>
        <w:rPr>
          <w:szCs w:val="21"/>
        </w:rPr>
        <w:t xml:space="preserve">10、顶空样品瓶100个；</w:t>
      </w:r>
      <w:r/>
    </w:p>
    <w:p>
      <w:pPr>
        <w:spacing w:line="360" w:lineRule="auto"/>
        <w:rPr>
          <w:szCs w:val="21"/>
        </w:rPr>
      </w:pPr>
      <w:r>
        <w:rPr>
          <w:szCs w:val="21"/>
        </w:rPr>
        <w:t xml:space="preserve">11、压盖器1把；</w:t>
      </w:r>
      <w:r/>
    </w:p>
    <w:p>
      <w:pPr>
        <w:spacing w:line="360" w:lineRule="auto"/>
        <w:rPr>
          <w:szCs w:val="21"/>
        </w:rPr>
      </w:pPr>
      <w:r>
        <w:rPr>
          <w:szCs w:val="21"/>
        </w:rPr>
        <w:t xml:space="preserve">12、载样盘1个</w:t>
      </w:r>
      <w:r/>
    </w:p>
    <w:p>
      <w:pPr>
        <w:spacing w:line="360" w:lineRule="auto"/>
        <w:rPr>
          <w:szCs w:val="21"/>
        </w:rPr>
      </w:pPr>
      <w:r>
        <w:rPr>
          <w:szCs w:val="21"/>
        </w:rPr>
      </w:r>
      <w:r/>
    </w:p>
    <w:p>
      <w:pPr>
        <w:jc w:val="center"/>
        <w:spacing w:line="360" w:lineRule="auto"/>
        <w:rPr>
          <w:b/>
          <w:bCs/>
          <w:szCs w:val="21"/>
        </w:rPr>
      </w:pPr>
      <w:r>
        <w:rPr>
          <w:b/>
          <w:bCs/>
          <w:szCs w:val="21"/>
        </w:rPr>
        <w:t xml:space="preserve">品目六 蒸馏仪</w:t>
      </w:r>
      <w:r/>
    </w:p>
    <w:p>
      <w:pPr>
        <w:spacing w:line="360" w:lineRule="auto"/>
        <w:rPr>
          <w:szCs w:val="21"/>
        </w:rPr>
      </w:pPr>
      <w:r>
        <w:rPr>
          <w:szCs w:val="21"/>
        </w:rPr>
        <w:t xml:space="preserve">一、技术性能要求：</w:t>
      </w:r>
      <w:r/>
    </w:p>
    <w:p>
      <w:pPr>
        <w:spacing w:line="360" w:lineRule="auto"/>
        <w:rPr>
          <w:szCs w:val="21"/>
        </w:rPr>
      </w:pPr>
      <w:r>
        <w:rPr>
          <w:szCs w:val="21"/>
        </w:rPr>
        <w:t xml:space="preserve">1、要求采用10寸及以上彩色工业液晶触摸屏，键盘控制、程序控制多种模式易于操作；</w:t>
      </w:r>
      <w:r/>
    </w:p>
    <w:p>
      <w:pPr>
        <w:spacing w:line="360" w:lineRule="auto"/>
        <w:rPr>
          <w:szCs w:val="21"/>
        </w:rPr>
      </w:pPr>
      <w:r>
        <w:rPr>
          <w:szCs w:val="21"/>
        </w:rPr>
        <w:t xml:space="preserve">2、要求采用高精度PT100玻璃体温度传感器，数据准确可靠；</w:t>
      </w:r>
      <w:r/>
    </w:p>
    <w:p>
      <w:pPr>
        <w:spacing w:line="360" w:lineRule="auto"/>
        <w:rPr>
          <w:szCs w:val="21"/>
        </w:rPr>
      </w:pPr>
      <w:r>
        <w:rPr>
          <w:rFonts w:ascii="Segoe UI Symbol" w:hAnsi="Segoe UI Symbol" w:cs="Segoe UI Symbol"/>
          <w:szCs w:val="21"/>
        </w:rPr>
        <w:t xml:space="preserve">★</w:t>
      </w:r>
      <w:r>
        <w:rPr>
          <w:szCs w:val="21"/>
        </w:rPr>
        <w:t xml:space="preserve">3、要求采用高精度步进丝杆和红外线精确液面检测，检测范围0～105mL，分辨率：0.01mL，精度：±0.1mL,可无液面校准回收量筒精度；</w:t>
      </w:r>
      <w:r/>
    </w:p>
    <w:p>
      <w:pPr>
        <w:spacing w:line="360" w:lineRule="auto"/>
        <w:rPr>
          <w:szCs w:val="21"/>
        </w:rPr>
      </w:pPr>
      <w:r>
        <w:rPr>
          <w:szCs w:val="21"/>
        </w:rPr>
        <w:t xml:space="preserve">4、要求内置高品质大气压力检测模块自动完成气压修正，使实验不受大气压变化的影响；</w:t>
      </w:r>
      <w:r/>
    </w:p>
    <w:p>
      <w:pPr>
        <w:spacing w:line="360" w:lineRule="auto"/>
        <w:rPr>
          <w:szCs w:val="21"/>
        </w:rPr>
      </w:pPr>
      <w:r>
        <w:rPr>
          <w:szCs w:val="21"/>
        </w:rPr>
        <w:t xml:space="preserve">5、恒流红外发射和高速红外检测管，检测速度0～20mL/min，检测液滴丢失度0.1%；</w:t>
      </w:r>
      <w:r/>
    </w:p>
    <w:p>
      <w:pPr>
        <w:spacing w:line="360" w:lineRule="auto"/>
        <w:rPr>
          <w:szCs w:val="21"/>
        </w:rPr>
      </w:pPr>
      <w:r>
        <w:rPr>
          <w:rFonts w:ascii="Segoe UI Symbol" w:hAnsi="Segoe UI Symbol" w:cs="Segoe UI Symbol"/>
          <w:szCs w:val="21"/>
        </w:rPr>
        <w:t xml:space="preserve">★</w:t>
      </w:r>
      <w:r>
        <w:rPr>
          <w:szCs w:val="21"/>
        </w:rPr>
        <w:t xml:space="preserve">6、要求蒸馏烧瓶加热台自动升降，并检测烧瓶放置是否到位，防护罩自动升降方便烧瓶拿取和高温危险（投标时需提供仪器设置加热台自动升降的软件界面截图予以佐证）；</w:t>
      </w:r>
      <w:r/>
    </w:p>
    <w:p>
      <w:pPr>
        <w:spacing w:line="360" w:lineRule="auto"/>
        <w:rPr>
          <w:szCs w:val="21"/>
        </w:rPr>
      </w:pPr>
      <w:r>
        <w:rPr>
          <w:rFonts w:ascii="Segoe UI Symbol" w:hAnsi="Segoe UI Symbol" w:cs="Segoe UI Symbol"/>
          <w:szCs w:val="21"/>
        </w:rPr>
        <w:t xml:space="preserve">★</w:t>
      </w:r>
      <w:r>
        <w:rPr>
          <w:szCs w:val="21"/>
        </w:rPr>
        <w:t xml:space="preserve">7、要求具有冷却液体积检测、量筒放置检测、供电信息检测、回收室密封检测、核心部件电流检测、氮气连接检测、主板连接检测等功能；</w:t>
      </w:r>
      <w:r/>
    </w:p>
    <w:p>
      <w:pPr>
        <w:spacing w:line="360" w:lineRule="auto"/>
        <w:rPr>
          <w:szCs w:val="21"/>
        </w:rPr>
      </w:pPr>
      <w:r>
        <w:rPr>
          <w:szCs w:val="21"/>
        </w:rPr>
        <w:t xml:space="preserve">8、硬件级自动检测失火，并快速接入外部惰性气体进行灭火。</w:t>
      </w:r>
      <w:r/>
    </w:p>
    <w:p>
      <w:pPr>
        <w:spacing w:line="360" w:lineRule="auto"/>
        <w:rPr>
          <w:szCs w:val="21"/>
        </w:rPr>
      </w:pPr>
      <w:r>
        <w:rPr>
          <w:szCs w:val="21"/>
        </w:rPr>
        <w:t xml:space="preserve">二、技术参数要求：</w:t>
      </w:r>
      <w:r/>
    </w:p>
    <w:p>
      <w:pPr>
        <w:spacing w:line="360" w:lineRule="auto"/>
        <w:rPr>
          <w:szCs w:val="21"/>
        </w:rPr>
      </w:pPr>
      <w:r>
        <w:rPr>
          <w:szCs w:val="21"/>
        </w:rPr>
        <w:t xml:space="preserve">1、蒸馏速率：4～5mL/min；</w:t>
      </w:r>
      <w:r/>
    </w:p>
    <w:p>
      <w:pPr>
        <w:spacing w:line="360" w:lineRule="auto"/>
        <w:rPr>
          <w:szCs w:val="21"/>
        </w:rPr>
      </w:pPr>
      <w:r>
        <w:rPr>
          <w:szCs w:val="21"/>
        </w:rPr>
        <w:t xml:space="preserve">2、测温元件：高精度PT100玻璃体温度传感器；</w:t>
      </w:r>
      <w:r/>
    </w:p>
    <w:p>
      <w:pPr>
        <w:spacing w:line="360" w:lineRule="auto"/>
        <w:rPr>
          <w:szCs w:val="21"/>
        </w:rPr>
      </w:pPr>
      <w:r>
        <w:rPr>
          <w:szCs w:val="21"/>
        </w:rPr>
        <w:t xml:space="preserve">3、冷浴恒温范围：0～+80℃；</w:t>
      </w:r>
      <w:r/>
    </w:p>
    <w:p>
      <w:pPr>
        <w:spacing w:line="360" w:lineRule="auto"/>
        <w:rPr>
          <w:szCs w:val="21"/>
        </w:rPr>
      </w:pPr>
      <w:r>
        <w:rPr>
          <w:rFonts w:ascii="Segoe UI Symbol" w:hAnsi="Segoe UI Symbol" w:cs="Segoe UI Symbol"/>
          <w:szCs w:val="21"/>
        </w:rPr>
        <w:t xml:space="preserve">★</w:t>
      </w:r>
      <w:r>
        <w:rPr>
          <w:szCs w:val="21"/>
        </w:rPr>
        <w:t xml:space="preserve">4、温度范围：室温～450℃，分辨率：0.01℃；</w:t>
      </w:r>
      <w:r/>
    </w:p>
    <w:p>
      <w:pPr>
        <w:spacing w:line="360" w:lineRule="auto"/>
        <w:rPr>
          <w:szCs w:val="21"/>
        </w:rPr>
      </w:pPr>
      <w:r>
        <w:rPr>
          <w:szCs w:val="21"/>
        </w:rPr>
        <w:t xml:space="preserve">5、体积检测范围：0～105mL，分辨率：0.01mL；</w:t>
      </w:r>
      <w:r/>
    </w:p>
    <w:p>
      <w:pPr>
        <w:spacing w:line="360" w:lineRule="auto"/>
        <w:rPr>
          <w:szCs w:val="21"/>
        </w:rPr>
      </w:pPr>
      <w:r>
        <w:rPr>
          <w:szCs w:val="21"/>
        </w:rPr>
        <w:t xml:space="preserve">6、整机功率：≤1500W；</w:t>
      </w:r>
      <w:r/>
    </w:p>
    <w:p>
      <w:pPr>
        <w:spacing w:line="360" w:lineRule="auto"/>
        <w:rPr>
          <w:szCs w:val="21"/>
        </w:rPr>
      </w:pPr>
      <w:r>
        <w:rPr>
          <w:szCs w:val="21"/>
        </w:rPr>
        <w:t xml:space="preserve">7、电源：AC 220V±10%，50Hz±10%</w:t>
      </w:r>
      <w:r/>
    </w:p>
    <w:p>
      <w:pPr>
        <w:spacing w:line="360" w:lineRule="auto"/>
        <w:rPr>
          <w:szCs w:val="21"/>
        </w:rPr>
      </w:pPr>
      <w:r>
        <w:rPr>
          <w:szCs w:val="21"/>
        </w:rPr>
        <w:t xml:space="preserve">三、配置要求：</w:t>
      </w:r>
      <w:r/>
    </w:p>
    <w:p>
      <w:pPr>
        <w:spacing w:line="360" w:lineRule="auto"/>
        <w:rPr>
          <w:szCs w:val="21"/>
        </w:rPr>
      </w:pPr>
      <w:r>
        <w:rPr>
          <w:szCs w:val="21"/>
        </w:rPr>
        <w:t xml:space="preserve">1、仪器主机1台；</w:t>
      </w:r>
      <w:r/>
    </w:p>
    <w:p>
      <w:pPr>
        <w:spacing w:line="360" w:lineRule="auto"/>
        <w:rPr>
          <w:szCs w:val="21"/>
        </w:rPr>
      </w:pPr>
      <w:r>
        <w:rPr>
          <w:szCs w:val="21"/>
        </w:rPr>
        <w:t xml:space="preserve">2、温度传感器1支；</w:t>
      </w:r>
      <w:r/>
    </w:p>
    <w:p>
      <w:pPr>
        <w:spacing w:line="360" w:lineRule="auto"/>
        <w:rPr>
          <w:szCs w:val="21"/>
        </w:rPr>
      </w:pPr>
      <w:r>
        <w:rPr>
          <w:szCs w:val="21"/>
        </w:rPr>
        <w:t xml:space="preserve">3、蒸馏烧瓶、专用量筒各2支；</w:t>
      </w:r>
      <w:r/>
    </w:p>
    <w:p>
      <w:pPr>
        <w:spacing w:line="360" w:lineRule="auto"/>
        <w:rPr>
          <w:szCs w:val="21"/>
        </w:rPr>
      </w:pPr>
      <w:r>
        <w:rPr>
          <w:szCs w:val="21"/>
        </w:rPr>
        <w:t xml:space="preserve">4、石英隔热垫、不锈钢导流片各2块；</w:t>
      </w:r>
      <w:r/>
    </w:p>
    <w:p>
      <w:pPr>
        <w:spacing w:line="360" w:lineRule="auto"/>
        <w:rPr>
          <w:szCs w:val="21"/>
        </w:rPr>
      </w:pPr>
      <w:r>
        <w:rPr>
          <w:szCs w:val="21"/>
        </w:rPr>
        <w:t xml:space="preserve">5、冷凝管擦拭带1根；</w:t>
      </w:r>
      <w:r/>
    </w:p>
    <w:p>
      <w:pPr>
        <w:spacing w:line="360" w:lineRule="auto"/>
        <w:rPr>
          <w:szCs w:val="21"/>
        </w:rPr>
      </w:pPr>
      <w:r>
        <w:rPr>
          <w:szCs w:val="21"/>
        </w:rPr>
        <w:t xml:space="preserve">6、硅胶塞4个；</w:t>
      </w:r>
      <w:r/>
    </w:p>
    <w:p>
      <w:pPr>
        <w:spacing w:line="360" w:lineRule="auto"/>
        <w:rPr>
          <w:szCs w:val="21"/>
        </w:rPr>
      </w:pPr>
      <w:r>
        <w:rPr>
          <w:szCs w:val="21"/>
        </w:rPr>
        <w:t xml:space="preserve">7、打印纸2卷</w:t>
      </w:r>
      <w:r/>
    </w:p>
    <w:p>
      <w:pPr>
        <w:spacing w:line="360" w:lineRule="auto"/>
        <w:rPr>
          <w:szCs w:val="21"/>
        </w:rPr>
      </w:pPr>
      <w:r>
        <w:rPr>
          <w:szCs w:val="21"/>
        </w:rPr>
      </w:r>
      <w:r/>
    </w:p>
    <w:p>
      <w:pPr>
        <w:spacing w:line="400" w:lineRule="exact"/>
        <w:rPr>
          <w:b/>
          <w:color w:val="000000"/>
          <w:szCs w:val="21"/>
        </w:rPr>
      </w:pPr>
      <w:r>
        <w:rPr>
          <w:b/>
          <w:color w:val="000000"/>
          <w:szCs w:val="21"/>
        </w:rPr>
        <w:t xml:space="preserve">03包：</w:t>
      </w:r>
      <w:r/>
    </w:p>
    <w:p>
      <w:pPr>
        <w:ind w:firstLine="211"/>
        <w:jc w:val="center"/>
        <w:spacing w:line="360" w:lineRule="auto"/>
        <w:rPr>
          <w:b/>
          <w:bCs/>
          <w:szCs w:val="21"/>
        </w:rPr>
      </w:pPr>
      <w:r>
        <w:rPr>
          <w:b/>
          <w:bCs/>
          <w:szCs w:val="21"/>
        </w:rPr>
        <w:t xml:space="preserve">品目一 运动粘度测定仪A</w:t>
      </w:r>
      <w:r/>
    </w:p>
    <w:p>
      <w:pPr>
        <w:spacing w:line="360" w:lineRule="auto"/>
        <w:rPr>
          <w:szCs w:val="21"/>
        </w:rPr>
      </w:pPr>
      <w:r>
        <w:rPr>
          <w:szCs w:val="21"/>
        </w:rPr>
        <w:t xml:space="preserve">一、</w:t>
      </w:r>
      <w:r>
        <w:rPr>
          <w:szCs w:val="21"/>
        </w:rPr>
        <w:tab/>
      </w:r>
      <w:r>
        <w:rPr>
          <w:szCs w:val="21"/>
        </w:rPr>
        <w:t xml:space="preserve">产品特点：</w:t>
      </w:r>
      <w:r/>
    </w:p>
    <w:p>
      <w:pPr>
        <w:spacing w:line="360" w:lineRule="auto"/>
        <w:rPr>
          <w:szCs w:val="21"/>
        </w:rPr>
      </w:pPr>
      <w:r>
        <w:rPr>
          <w:rFonts w:ascii="Segoe UI Symbol" w:hAnsi="Segoe UI Symbol" w:cs="Segoe UI Symbol"/>
          <w:szCs w:val="21"/>
        </w:rPr>
        <w:t xml:space="preserve">★</w:t>
      </w:r>
      <w:r>
        <w:rPr>
          <w:szCs w:val="21"/>
        </w:rPr>
        <w:t xml:space="preserve">1、执行标准：GB/T265、ISO3104；</w:t>
      </w:r>
      <w:r/>
    </w:p>
    <w:p>
      <w:pPr>
        <w:spacing w:line="360" w:lineRule="auto"/>
        <w:rPr>
          <w:szCs w:val="21"/>
        </w:rPr>
      </w:pPr>
      <w:r>
        <w:rPr>
          <w:rFonts w:ascii="Segoe UI Symbol" w:hAnsi="Segoe UI Symbol" w:cs="Segoe UI Symbol"/>
          <w:szCs w:val="21"/>
        </w:rPr>
        <w:t xml:space="preserve">★</w:t>
      </w:r>
      <w:r>
        <w:rPr>
          <w:szCs w:val="21"/>
        </w:rPr>
        <w:t xml:space="preserve">2、仪器采用工控机加单片机的硬件系统，工控机拥有不小于1G内存，4G的硬盘，Window操作系统，全中文操作界面（可换成英文界面）；</w:t>
      </w:r>
      <w:r/>
    </w:p>
    <w:p>
      <w:pPr>
        <w:spacing w:line="360" w:lineRule="auto"/>
        <w:rPr>
          <w:szCs w:val="21"/>
        </w:rPr>
      </w:pPr>
      <w:r>
        <w:rPr>
          <w:rFonts w:ascii="Segoe UI Symbol" w:hAnsi="Segoe UI Symbol" w:cs="Segoe UI Symbol"/>
          <w:szCs w:val="21"/>
        </w:rPr>
        <w:t xml:space="preserve">★</w:t>
      </w:r>
      <w:r>
        <w:rPr>
          <w:szCs w:val="21"/>
        </w:rPr>
        <w:t xml:space="preserve">3、仪器采用触屏操作，无需配电脑，提供多种通讯接口（RS-232、USB和RJ-45等），可连接LIMS系统，可连接局域网；</w:t>
      </w:r>
      <w:r/>
    </w:p>
    <w:p>
      <w:pPr>
        <w:spacing w:line="360" w:lineRule="auto"/>
        <w:rPr>
          <w:szCs w:val="21"/>
        </w:rPr>
      </w:pPr>
      <w:r>
        <w:rPr>
          <w:szCs w:val="21"/>
        </w:rPr>
        <w:t xml:space="preserve">4、仪器温度浴的温度范围为20-100℃；温度稳定性±0.01℃；分辨率 0.01℃；</w:t>
      </w:r>
      <w:r/>
    </w:p>
    <w:p>
      <w:pPr>
        <w:spacing w:line="360" w:lineRule="auto"/>
        <w:rPr>
          <w:szCs w:val="21"/>
        </w:rPr>
      </w:pPr>
      <w:r>
        <w:rPr>
          <w:rFonts w:ascii="Segoe UI Symbol" w:hAnsi="Segoe UI Symbol" w:cs="Segoe UI Symbol"/>
          <w:szCs w:val="21"/>
        </w:rPr>
        <w:t xml:space="preserve">★</w:t>
      </w:r>
      <w:r>
        <w:rPr>
          <w:szCs w:val="21"/>
        </w:rPr>
        <w:t xml:space="preserve">5、要求运动粘度测量范围宽,每个粘度计均必须采用三个检测泡设计，具有100倍的粘度测量范围，仪器安装两支粘度计，每支粘度计在出厂前使用标准油进行标定，仪器系统要求有自动标定功能；</w:t>
      </w:r>
      <w:r/>
    </w:p>
    <w:p>
      <w:pPr>
        <w:spacing w:line="360" w:lineRule="auto"/>
        <w:rPr>
          <w:szCs w:val="21"/>
        </w:rPr>
      </w:pPr>
      <w:r>
        <w:rPr>
          <w:rFonts w:ascii="Segoe UI Symbol" w:hAnsi="Segoe UI Symbol" w:cs="Segoe UI Symbol"/>
          <w:szCs w:val="21"/>
        </w:rPr>
        <w:t xml:space="preserve">★</w:t>
      </w:r>
      <w:r>
        <w:rPr>
          <w:szCs w:val="21"/>
        </w:rPr>
        <w:t xml:space="preserve">6、可自动判断测试结果是否有效，并能自动计算粘度指数；</w:t>
      </w:r>
      <w:r/>
    </w:p>
    <w:p>
      <w:pPr>
        <w:spacing w:line="360" w:lineRule="auto"/>
        <w:rPr>
          <w:szCs w:val="21"/>
        </w:rPr>
      </w:pPr>
      <w:r>
        <w:rPr>
          <w:rFonts w:ascii="Segoe UI Symbol" w:hAnsi="Segoe UI Symbol" w:cs="Segoe UI Symbol"/>
          <w:szCs w:val="21"/>
        </w:rPr>
        <w:t xml:space="preserve">★</w:t>
      </w:r>
      <w:r>
        <w:rPr>
          <w:szCs w:val="21"/>
        </w:rPr>
        <w:t xml:space="preserve">7、粘度管：采用直管粘度计，采用热敏电阻检测方式或光电检测方式；</w:t>
      </w:r>
      <w:r/>
    </w:p>
    <w:p>
      <w:pPr>
        <w:spacing w:line="360" w:lineRule="auto"/>
        <w:rPr>
          <w:szCs w:val="21"/>
        </w:rPr>
      </w:pPr>
      <w:r>
        <w:rPr>
          <w:rFonts w:ascii="Segoe UI Symbol" w:hAnsi="Segoe UI Symbol" w:cs="Segoe UI Symbol"/>
          <w:szCs w:val="21"/>
        </w:rPr>
        <w:t xml:space="preserve">★</w:t>
      </w:r>
      <w:r>
        <w:rPr>
          <w:szCs w:val="21"/>
        </w:rPr>
        <w:t xml:space="preserve">8、仪器配有两个自动进样托盘，每个进样托盘配备12个进样孔，可一次性装好24个油样进行试验；每个进样托盘都必须可进行预热，最高预热温度为70℃；</w:t>
      </w:r>
      <w:r/>
    </w:p>
    <w:p>
      <w:pPr>
        <w:spacing w:line="360" w:lineRule="auto"/>
        <w:rPr>
          <w:szCs w:val="21"/>
        </w:rPr>
      </w:pPr>
      <w:r>
        <w:rPr>
          <w:rFonts w:ascii="Segoe UI Symbol" w:hAnsi="Segoe UI Symbol" w:cs="Segoe UI Symbol"/>
          <w:szCs w:val="21"/>
        </w:rPr>
        <w:t xml:space="preserve">★</w:t>
      </w:r>
      <w:r>
        <w:rPr>
          <w:szCs w:val="21"/>
        </w:rPr>
        <w:t xml:space="preserve">9、仪器试验过程：人工将试样置于托盘-托盘自动进样-自动寻样-自动抽样-自动恒温浸渍-自动粘度测试-自动清洗-自动吹干，然后自动做下一个试样，循环上述自动测试过程；</w:t>
      </w:r>
      <w:r/>
    </w:p>
    <w:p>
      <w:pPr>
        <w:spacing w:line="360" w:lineRule="auto"/>
        <w:rPr>
          <w:szCs w:val="21"/>
        </w:rPr>
      </w:pPr>
      <w:r>
        <w:rPr>
          <w:rFonts w:ascii="Segoe UI Symbol" w:hAnsi="Segoe UI Symbol" w:cs="Segoe UI Symbol"/>
          <w:szCs w:val="21"/>
        </w:rPr>
        <w:t xml:space="preserve">★</w:t>
      </w:r>
      <w:r>
        <w:rPr>
          <w:szCs w:val="21"/>
        </w:rPr>
        <w:t xml:space="preserve">10、清洗选择：全自动清洗，包括两路清洗A和清洗B，可自由选择使用一种或两种清洗剂清洗</w:t>
      </w:r>
      <w:r/>
    </w:p>
    <w:p>
      <w:pPr>
        <w:spacing w:line="360" w:lineRule="auto"/>
        <w:rPr>
          <w:szCs w:val="21"/>
        </w:rPr>
      </w:pPr>
      <w:r>
        <w:rPr>
          <w:szCs w:val="21"/>
        </w:rPr>
        <w:t xml:space="preserve">二、</w:t>
      </w:r>
      <w:r>
        <w:rPr>
          <w:szCs w:val="21"/>
        </w:rPr>
        <w:tab/>
      </w:r>
      <w:r>
        <w:rPr>
          <w:szCs w:val="21"/>
        </w:rPr>
        <w:t xml:space="preserve">技术参数要求</w:t>
      </w:r>
      <w:r/>
    </w:p>
    <w:p>
      <w:pPr>
        <w:spacing w:line="360" w:lineRule="auto"/>
        <w:rPr>
          <w:szCs w:val="21"/>
        </w:rPr>
      </w:pPr>
      <w:r>
        <w:rPr>
          <w:szCs w:val="21"/>
        </w:rPr>
        <w:t xml:space="preserve">1、冷却方式：以无水乙醇或纯净水为冷媒介质；</w:t>
      </w:r>
      <w:r/>
    </w:p>
    <w:p>
      <w:pPr>
        <w:spacing w:line="360" w:lineRule="auto"/>
        <w:rPr>
          <w:szCs w:val="21"/>
        </w:rPr>
      </w:pPr>
      <w:r>
        <w:rPr>
          <w:rFonts w:ascii="Segoe UI Symbol" w:hAnsi="Segoe UI Symbol" w:cs="Segoe UI Symbol"/>
          <w:szCs w:val="21"/>
        </w:rPr>
        <w:t xml:space="preserve">★</w:t>
      </w:r>
      <w:r>
        <w:rPr>
          <w:szCs w:val="21"/>
        </w:rPr>
        <w:t xml:space="preserve">2、测温元件：PT100；</w:t>
      </w:r>
      <w:r/>
    </w:p>
    <w:p>
      <w:pPr>
        <w:spacing w:line="360" w:lineRule="auto"/>
        <w:rPr>
          <w:szCs w:val="21"/>
        </w:rPr>
      </w:pPr>
      <w:r>
        <w:rPr>
          <w:szCs w:val="21"/>
        </w:rPr>
        <w:t xml:space="preserve">3、控温精度：±0.01℃；</w:t>
      </w:r>
      <w:r/>
    </w:p>
    <w:p>
      <w:pPr>
        <w:spacing w:line="360" w:lineRule="auto"/>
        <w:rPr>
          <w:szCs w:val="21"/>
        </w:rPr>
      </w:pPr>
      <w:r>
        <w:rPr>
          <w:szCs w:val="21"/>
        </w:rPr>
        <w:t xml:space="preserve">4、工作温度：20℃～100℃；</w:t>
      </w:r>
      <w:r/>
    </w:p>
    <w:p>
      <w:pPr>
        <w:spacing w:line="360" w:lineRule="auto"/>
        <w:rPr>
          <w:strike/>
          <w:szCs w:val="21"/>
        </w:rPr>
      </w:pPr>
      <w:r>
        <w:rPr>
          <w:szCs w:val="21"/>
        </w:rPr>
        <w:t xml:space="preserve">5、存储温度：-20℃～50℃；</w:t>
      </w:r>
      <w:r/>
    </w:p>
    <w:p>
      <w:pPr>
        <w:spacing w:line="360" w:lineRule="auto"/>
        <w:rPr>
          <w:szCs w:val="21"/>
        </w:rPr>
      </w:pPr>
      <w:r>
        <w:rPr>
          <w:rFonts w:ascii="Segoe UI Symbol" w:hAnsi="Segoe UI Symbol" w:cs="Segoe UI Symbol"/>
          <w:szCs w:val="21"/>
        </w:rPr>
        <w:t xml:space="preserve">★</w:t>
      </w:r>
      <w:r>
        <w:rPr>
          <w:szCs w:val="21"/>
        </w:rPr>
        <w:t xml:space="preserve">6、测试范围：0.5-5000；</w:t>
      </w:r>
      <w:r/>
    </w:p>
    <w:p>
      <w:pPr>
        <w:spacing w:line="360" w:lineRule="auto"/>
        <w:rPr>
          <w:szCs w:val="21"/>
        </w:rPr>
      </w:pPr>
      <w:r>
        <w:rPr>
          <w:rFonts w:ascii="Segoe UI Symbol" w:hAnsi="Segoe UI Symbol" w:cs="Segoe UI Symbol"/>
          <w:szCs w:val="21"/>
        </w:rPr>
        <w:t xml:space="preserve">★</w:t>
      </w:r>
      <w:r>
        <w:rPr>
          <w:szCs w:val="21"/>
        </w:rPr>
        <w:t xml:space="preserve">7、重复性：≤0.5%；</w:t>
      </w:r>
      <w:r/>
    </w:p>
    <w:p>
      <w:pPr>
        <w:spacing w:line="360" w:lineRule="auto"/>
        <w:rPr>
          <w:szCs w:val="21"/>
        </w:rPr>
      </w:pPr>
      <w:r>
        <w:rPr>
          <w:rFonts w:ascii="Segoe UI Symbol" w:hAnsi="Segoe UI Symbol" w:cs="Segoe UI Symbol"/>
          <w:szCs w:val="21"/>
        </w:rPr>
        <w:t xml:space="preserve">★</w:t>
      </w:r>
      <w:r>
        <w:rPr>
          <w:szCs w:val="21"/>
        </w:rPr>
        <w:t xml:space="preserve">8、再现性：≤0.5%；</w:t>
      </w:r>
      <w:r/>
    </w:p>
    <w:p>
      <w:pPr>
        <w:spacing w:line="360" w:lineRule="auto"/>
        <w:rPr>
          <w:szCs w:val="21"/>
        </w:rPr>
      </w:pPr>
      <w:r>
        <w:rPr>
          <w:szCs w:val="21"/>
        </w:rPr>
        <w:t xml:space="preserve">9、外形尺寸：＜1500×500×1000；</w:t>
      </w:r>
      <w:r/>
    </w:p>
    <w:p>
      <w:pPr>
        <w:spacing w:line="360" w:lineRule="auto"/>
        <w:rPr>
          <w:szCs w:val="21"/>
        </w:rPr>
      </w:pPr>
      <w:r>
        <w:rPr>
          <w:szCs w:val="21"/>
        </w:rPr>
        <w:t xml:space="preserve">10、显示屏：不小于彩色液晶LCD 10.4”；</w:t>
      </w:r>
      <w:r/>
    </w:p>
    <w:p>
      <w:pPr>
        <w:spacing w:line="360" w:lineRule="auto"/>
        <w:rPr>
          <w:szCs w:val="21"/>
        </w:rPr>
      </w:pPr>
      <w:r>
        <w:rPr>
          <w:szCs w:val="21"/>
        </w:rPr>
        <w:t xml:space="preserve">11、显示分辨率：不小于800×600；</w:t>
      </w:r>
      <w:r/>
    </w:p>
    <w:p>
      <w:pPr>
        <w:spacing w:line="360" w:lineRule="auto"/>
        <w:rPr>
          <w:szCs w:val="21"/>
        </w:rPr>
      </w:pPr>
      <w:r>
        <w:rPr>
          <w:szCs w:val="21"/>
        </w:rPr>
        <w:t xml:space="preserve">12、输入部件：外接键盘、触摸笔</w:t>
      </w:r>
      <w:r/>
    </w:p>
    <w:p>
      <w:pPr>
        <w:spacing w:line="360" w:lineRule="auto"/>
        <w:rPr>
          <w:szCs w:val="21"/>
        </w:rPr>
      </w:pPr>
      <w:r>
        <w:rPr>
          <w:szCs w:val="21"/>
        </w:rPr>
      </w:r>
      <w:r/>
    </w:p>
    <w:p>
      <w:pPr>
        <w:jc w:val="center"/>
        <w:spacing w:line="360" w:lineRule="auto"/>
        <w:rPr>
          <w:b/>
          <w:bCs/>
          <w:szCs w:val="21"/>
        </w:rPr>
      </w:pPr>
      <w:r>
        <w:rPr>
          <w:b/>
          <w:bCs/>
          <w:szCs w:val="21"/>
        </w:rPr>
        <w:t xml:space="preserve">品目二 运动粘度测定仪B</w:t>
      </w:r>
      <w:r/>
    </w:p>
    <w:p>
      <w:pPr>
        <w:spacing w:line="360" w:lineRule="auto"/>
        <w:rPr>
          <w:szCs w:val="21"/>
        </w:rPr>
      </w:pPr>
      <w:r>
        <w:rPr>
          <w:szCs w:val="21"/>
        </w:rPr>
        <w:t xml:space="preserve">一、产品特点：</w:t>
      </w:r>
      <w:r/>
    </w:p>
    <w:p>
      <w:pPr>
        <w:spacing w:line="360" w:lineRule="auto"/>
        <w:rPr>
          <w:szCs w:val="21"/>
        </w:rPr>
      </w:pPr>
      <w:r>
        <w:rPr>
          <w:rFonts w:ascii="Segoe UI Symbol" w:hAnsi="Segoe UI Symbol" w:cs="Segoe UI Symbol"/>
          <w:szCs w:val="21"/>
        </w:rPr>
        <w:t xml:space="preserve">★</w:t>
      </w:r>
      <w:r>
        <w:rPr>
          <w:szCs w:val="21"/>
        </w:rPr>
        <w:t xml:space="preserve">1、执行标准：GB/T 265；</w:t>
      </w:r>
      <w:r/>
    </w:p>
    <w:p>
      <w:pPr>
        <w:spacing w:line="360" w:lineRule="auto"/>
        <w:rPr>
          <w:szCs w:val="21"/>
        </w:rPr>
      </w:pPr>
      <w:r>
        <w:rPr>
          <w:szCs w:val="21"/>
        </w:rPr>
        <w:t xml:space="preserve">2、搅拌轴、搅拌桨、导流筒、加热管、冷却管均由不锈钢制成；</w:t>
      </w:r>
      <w:r/>
    </w:p>
    <w:p>
      <w:pPr>
        <w:spacing w:line="360" w:lineRule="auto"/>
        <w:rPr>
          <w:szCs w:val="21"/>
        </w:rPr>
      </w:pPr>
      <w:r>
        <w:rPr>
          <w:szCs w:val="21"/>
        </w:rPr>
        <w:t xml:space="preserve">3、仪器配有重锤，重锤安装于浴缸与保护罩之间，用细线将重锤系在浴盖的螺钉上；</w:t>
      </w:r>
      <w:r/>
    </w:p>
    <w:p>
      <w:pPr>
        <w:spacing w:line="360" w:lineRule="auto"/>
        <w:rPr>
          <w:szCs w:val="21"/>
        </w:rPr>
      </w:pPr>
      <w:r>
        <w:rPr>
          <w:szCs w:val="21"/>
        </w:rPr>
        <w:t xml:space="preserve">4、螺钉，使粘度计与重锤线处于平行位置；</w:t>
      </w:r>
      <w:r/>
    </w:p>
    <w:p>
      <w:pPr>
        <w:spacing w:line="360" w:lineRule="auto"/>
        <w:rPr>
          <w:szCs w:val="21"/>
        </w:rPr>
      </w:pPr>
      <w:r>
        <w:rPr>
          <w:szCs w:val="21"/>
        </w:rPr>
        <w:t xml:space="preserve">5、浴缸底部设有环型日光灯照明，光线明亮便于观察；</w:t>
      </w:r>
      <w:r/>
    </w:p>
    <w:p>
      <w:pPr>
        <w:spacing w:line="360" w:lineRule="auto"/>
        <w:rPr>
          <w:szCs w:val="21"/>
        </w:rPr>
      </w:pPr>
      <w:r>
        <w:rPr>
          <w:szCs w:val="21"/>
        </w:rPr>
        <w:t xml:space="preserve">6、仪器设有冷却水管，可接自来水或制冷循环水降温，保证环境温度高于20℃控温点的控温精度；</w:t>
      </w:r>
      <w:r/>
    </w:p>
    <w:p>
      <w:pPr>
        <w:spacing w:line="360" w:lineRule="auto"/>
        <w:rPr>
          <w:szCs w:val="21"/>
        </w:rPr>
      </w:pPr>
      <w:r>
        <w:rPr>
          <w:szCs w:val="21"/>
        </w:rPr>
        <w:t xml:space="preserve">7、仪器设有投入式制冷机制冷插孔。当环境温度高于20℃可采用投入式制冷机降温；</w:t>
      </w:r>
      <w:r/>
    </w:p>
    <w:p>
      <w:pPr>
        <w:spacing w:line="360" w:lineRule="auto"/>
        <w:rPr>
          <w:szCs w:val="21"/>
        </w:rPr>
      </w:pPr>
      <w:r>
        <w:rPr>
          <w:szCs w:val="21"/>
        </w:rPr>
        <w:t xml:space="preserve">8、仪器带有计算器，可自动计算运动粘度。</w:t>
      </w:r>
      <w:r/>
    </w:p>
    <w:p>
      <w:pPr>
        <w:spacing w:line="360" w:lineRule="auto"/>
        <w:rPr>
          <w:szCs w:val="21"/>
        </w:rPr>
      </w:pPr>
      <w:r>
        <w:rPr>
          <w:szCs w:val="21"/>
        </w:rPr>
        <w:t xml:space="preserve">二、技术参数</w:t>
      </w:r>
      <w:r/>
    </w:p>
    <w:p>
      <w:pPr>
        <w:spacing w:line="360" w:lineRule="auto"/>
        <w:rPr>
          <w:szCs w:val="21"/>
        </w:rPr>
      </w:pPr>
      <w:r>
        <w:rPr>
          <w:szCs w:val="21"/>
        </w:rPr>
        <w:t xml:space="preserve">1、控温点：20℃，40℃，50℃，80℃，100℃；</w:t>
      </w:r>
      <w:r/>
    </w:p>
    <w:p>
      <w:pPr>
        <w:spacing w:line="360" w:lineRule="auto"/>
        <w:rPr>
          <w:szCs w:val="21"/>
        </w:rPr>
      </w:pPr>
      <w:r>
        <w:rPr>
          <w:szCs w:val="21"/>
        </w:rPr>
        <w:t xml:space="preserve">2、控温精度：±0.05℃；</w:t>
      </w:r>
      <w:r/>
    </w:p>
    <w:p>
      <w:pPr>
        <w:spacing w:line="360" w:lineRule="auto"/>
        <w:rPr>
          <w:szCs w:val="21"/>
        </w:rPr>
      </w:pPr>
      <w:r>
        <w:rPr>
          <w:szCs w:val="21"/>
        </w:rPr>
        <w:t xml:space="preserve">3、调速电机功率：15W；</w:t>
      </w:r>
      <w:r/>
    </w:p>
    <w:p>
      <w:pPr>
        <w:spacing w:line="360" w:lineRule="auto"/>
        <w:rPr>
          <w:szCs w:val="21"/>
        </w:rPr>
      </w:pPr>
      <w:r>
        <w:rPr>
          <w:szCs w:val="21"/>
        </w:rPr>
        <w:t xml:space="preserve">4、转数：0~1200转／分 任意可调；</w:t>
      </w:r>
      <w:r/>
    </w:p>
    <w:p>
      <w:pPr>
        <w:spacing w:line="360" w:lineRule="auto"/>
        <w:rPr>
          <w:szCs w:val="21"/>
        </w:rPr>
      </w:pPr>
      <w:r>
        <w:rPr>
          <w:szCs w:val="21"/>
        </w:rPr>
        <w:t xml:space="preserve">5、加热功率：控温加热：0.6KW  辅助加热：0.8KW；</w:t>
      </w:r>
      <w:r/>
    </w:p>
    <w:p>
      <w:pPr>
        <w:spacing w:line="360" w:lineRule="auto"/>
        <w:rPr>
          <w:szCs w:val="21"/>
        </w:rPr>
      </w:pPr>
      <w:r>
        <w:rPr>
          <w:szCs w:val="21"/>
        </w:rPr>
        <w:t xml:space="preserve">6、电源：AC 220V  50Hz；</w:t>
      </w:r>
      <w:r/>
    </w:p>
    <w:p>
      <w:pPr>
        <w:spacing w:line="360" w:lineRule="auto"/>
        <w:rPr>
          <w:b/>
          <w:bCs/>
          <w:szCs w:val="21"/>
        </w:rPr>
      </w:pPr>
      <w:r>
        <w:rPr>
          <w:szCs w:val="21"/>
        </w:rPr>
        <w:t xml:space="preserve">7、材质：壳体喷塑、铝盖、玻璃水浴、有机玻璃外罩</w:t>
      </w:r>
      <w:r/>
    </w:p>
    <w:p>
      <w:pPr>
        <w:spacing w:line="360" w:lineRule="auto"/>
        <w:rPr>
          <w:b/>
          <w:bCs/>
          <w:szCs w:val="21"/>
        </w:rPr>
      </w:pPr>
      <w:r>
        <w:rPr>
          <w:b/>
          <w:bCs/>
          <w:szCs w:val="21"/>
        </w:rPr>
        <w:t xml:space="preserve">三、商务条款：（以上品目均适用）</w:t>
      </w:r>
      <w:r/>
    </w:p>
    <w:p>
      <w:pPr>
        <w:ind w:left="210"/>
        <w:spacing w:line="360" w:lineRule="auto"/>
        <w:rPr>
          <w:rFonts w:eastAsiaTheme="minorEastAsia"/>
          <w:b/>
          <w:bCs/>
          <w:szCs w:val="21"/>
        </w:rPr>
      </w:pPr>
      <w:r>
        <w:rPr>
          <w:rFonts w:eastAsiaTheme="minorEastAsia"/>
          <w:b/>
          <w:bCs/>
          <w:szCs w:val="21"/>
        </w:rPr>
        <w:t xml:space="preserve">1、投标报价：</w:t>
      </w:r>
      <w:r/>
    </w:p>
    <w:p>
      <w:pPr>
        <w:ind w:firstLine="210"/>
        <w:spacing w:line="360" w:lineRule="auto"/>
        <w:rPr>
          <w:rFonts w:eastAsiaTheme="minorEastAsia"/>
          <w:szCs w:val="21"/>
        </w:rPr>
      </w:pPr>
      <w:r>
        <w:rPr>
          <w:rFonts w:eastAsiaTheme="minorEastAsia"/>
          <w:szCs w:val="21"/>
        </w:rPr>
        <w:t xml:space="preserve">1.1、</w:t>
      </w:r>
      <w:r>
        <w:rPr>
          <w:rFonts w:eastAsiaTheme="minorEastAsia"/>
          <w:color w:val="000000"/>
          <w:szCs w:val="21"/>
        </w:rPr>
        <w:t xml:space="preserve">应包括本次采购范围内全部设备、材料、随设备提供的备品配件及专用工具的价格、全部税费、包装费、运杂费（运抵买方指定地点）、保险费、安装费、调试费、买方操作维护人员培训费、验收检定费（取得法定计量检定机构有效溯源证书并证明合格）及供应商认为需要的其他费用等，本合同执行期间合同总价款不变。</w:t>
      </w:r>
      <w:r/>
    </w:p>
    <w:p>
      <w:pPr>
        <w:ind w:left="216"/>
        <w:spacing w:line="360" w:lineRule="auto"/>
        <w:rPr>
          <w:rFonts w:eastAsiaTheme="minorEastAsia"/>
          <w:szCs w:val="21"/>
        </w:rPr>
      </w:pPr>
      <w:r>
        <w:rPr>
          <w:rFonts w:eastAsiaTheme="minorEastAsia"/>
          <w:szCs w:val="21"/>
        </w:rPr>
        <w:t xml:space="preserve">1.2、在安装、调试、验收过程中，如发现有漏项、缺件，卖方应无条件、无偿补齐，所发生的一切费用，视为已包含在卖方投标时的投标报价之中，且并不因此而影响交付买方使用的时间。</w:t>
      </w:r>
      <w:r/>
    </w:p>
    <w:p>
      <w:pPr>
        <w:ind w:firstLine="211"/>
        <w:jc w:val="left"/>
        <w:spacing w:line="360" w:lineRule="auto"/>
        <w:tabs>
          <w:tab w:val="left" w:pos="4785" w:leader="none"/>
        </w:tabs>
        <w:rPr>
          <w:rFonts w:eastAsiaTheme="minorEastAsia"/>
          <w:b/>
          <w:bCs/>
          <w:color w:val="000000"/>
          <w:szCs w:val="21"/>
        </w:rPr>
      </w:pPr>
      <w:r>
        <w:rPr>
          <w:rFonts w:eastAsiaTheme="minorEastAsia"/>
          <w:b/>
          <w:bCs/>
          <w:color w:val="000000"/>
          <w:szCs w:val="21"/>
        </w:rPr>
        <w:t xml:space="preserve">2、</w:t>
      </w:r>
      <m:oMath>
        <m:r>
          <w:rPr>
            <w:rFonts w:ascii="Cambria Math" w:hAnsi="Cambria Math"/>
            <w:color w:val="000000"/>
            <w:szCs w:val="21"/>
          </w:rPr>
          <m:rPr>
            <m:sty m:val="b"/>
          </m:rPr>
          <m:t>付款方式及期限</m:t>
        </m:r>
      </m:oMath>
      <w:r/>
      <w:r/>
    </w:p>
    <w:p>
      <w:pPr>
        <w:ind w:left="218"/>
        <w:jc w:val="left"/>
        <w:spacing w:line="360" w:lineRule="auto"/>
        <w:rPr>
          <w:rFonts w:eastAsiaTheme="minorEastAsia"/>
          <w:color w:val="000000"/>
          <w:szCs w:val="21"/>
        </w:rPr>
      </w:pPr>
      <w:r>
        <w:rPr>
          <w:rFonts w:eastAsiaTheme="minorEastAsia"/>
          <w:color w:val="000000"/>
          <w:szCs w:val="21"/>
        </w:rPr>
        <w:t xml:space="preserve">2.1合同签订生效后，买方向卖方支付合同总价的50%；卖方在按照合同规定的期限内将设备、材料全部运抵交货地点，并安装调试结束，初步验收合格后，买方收到卖方提供的合同总价10%的履约保函后向卖方支付合同总价的50%；在设备通过买方验收合格且满12个月无质量问题后的15个工作日内，买方将无息退还卖方的履约保函。</w:t>
      </w:r>
      <w:r/>
    </w:p>
    <w:p>
      <w:pPr>
        <w:ind w:left="218"/>
        <w:jc w:val="left"/>
        <w:spacing w:line="360" w:lineRule="auto"/>
        <w:rPr>
          <w:rFonts w:eastAsiaTheme="minorEastAsia"/>
          <w:color w:val="000000"/>
          <w:szCs w:val="21"/>
        </w:rPr>
      </w:pPr>
      <w:r>
        <w:rPr>
          <w:rFonts w:eastAsiaTheme="minorEastAsia"/>
          <w:color w:val="000000"/>
          <w:szCs w:val="21"/>
        </w:rPr>
        <w:t xml:space="preserve">2.2履约保函</w:t>
      </w:r>
      <w:r/>
    </w:p>
    <w:p>
      <w:pPr>
        <w:ind w:left="218"/>
        <w:jc w:val="left"/>
        <w:spacing w:line="360" w:lineRule="auto"/>
        <w:rPr>
          <w:rFonts w:eastAsiaTheme="minorEastAsia"/>
          <w:color w:val="000000"/>
          <w:szCs w:val="21"/>
        </w:rPr>
      </w:pPr>
      <w:r>
        <w:rPr>
          <w:rFonts w:eastAsiaTheme="minorEastAsia"/>
          <w:color w:val="000000"/>
          <w:szCs w:val="21"/>
        </w:rPr>
        <w:t xml:space="preserve">（1）履约保函金额：合同总价10%；</w:t>
      </w:r>
      <w:r/>
    </w:p>
    <w:p>
      <w:pPr>
        <w:ind w:left="218"/>
        <w:jc w:val="left"/>
        <w:spacing w:line="360" w:lineRule="auto"/>
        <w:rPr>
          <w:rFonts w:eastAsiaTheme="minorEastAsia"/>
          <w:color w:val="000000"/>
          <w:szCs w:val="21"/>
        </w:rPr>
      </w:pPr>
      <w:r>
        <w:rPr>
          <w:rFonts w:eastAsiaTheme="minorEastAsia"/>
          <w:color w:val="000000"/>
          <w:szCs w:val="21"/>
        </w:rPr>
        <w:t xml:space="preserve">（2）履约保函的形式：卖方应当以支票、汇票、本票或者金融机构、担保机构出具的保函等非现金形式提交；</w:t>
      </w:r>
      <w:r/>
    </w:p>
    <w:p>
      <w:pPr>
        <w:ind w:left="218"/>
        <w:jc w:val="left"/>
        <w:spacing w:line="360" w:lineRule="auto"/>
        <w:rPr>
          <w:rFonts w:eastAsiaTheme="minorEastAsia"/>
          <w:color w:val="000000"/>
          <w:szCs w:val="21"/>
        </w:rPr>
      </w:pPr>
      <w:r>
        <w:rPr>
          <w:rFonts w:eastAsiaTheme="minorEastAsia"/>
          <w:color w:val="000000"/>
          <w:szCs w:val="21"/>
        </w:rPr>
        <w:t xml:space="preserve">（3）履约保函的退还：在设备通过买方验收合格且满12个月无质量问题后的15个工作日内，买方将无息退还卖方的履约保函。</w:t>
      </w:r>
      <w:r/>
    </w:p>
    <w:p>
      <w:pPr>
        <w:ind w:firstLine="211"/>
        <w:jc w:val="left"/>
        <w:spacing w:line="360" w:lineRule="auto"/>
        <w:tabs>
          <w:tab w:val="left" w:pos="4785" w:leader="none"/>
        </w:tabs>
        <w:rPr>
          <w:rFonts w:eastAsiaTheme="minorEastAsia"/>
          <w:b/>
          <w:bCs/>
          <w:color w:val="000000"/>
          <w:szCs w:val="21"/>
        </w:rPr>
      </w:pPr>
      <w:r>
        <w:rPr>
          <w:rFonts w:eastAsiaTheme="minorEastAsia"/>
          <w:b/>
          <w:bCs/>
          <w:color w:val="000000"/>
          <w:szCs w:val="21"/>
        </w:rPr>
        <w:t xml:space="preserve">3、交货期及交货地点：</w:t>
      </w:r>
      <w:r/>
    </w:p>
    <w:p>
      <w:pPr>
        <w:ind w:left="218"/>
        <w:jc w:val="left"/>
        <w:spacing w:line="360" w:lineRule="auto"/>
        <w:rPr>
          <w:rFonts w:eastAsiaTheme="minorEastAsia"/>
          <w:color w:val="000000"/>
          <w:szCs w:val="21"/>
        </w:rPr>
      </w:pPr>
      <w:r>
        <w:rPr>
          <w:rFonts w:eastAsiaTheme="minorEastAsia"/>
          <w:color w:val="000000"/>
          <w:szCs w:val="21"/>
        </w:rPr>
        <w:t xml:space="preserve">3.1、交货期：</w:t>
      </w:r>
      <w:r>
        <w:rPr>
          <w:rFonts w:eastAsiaTheme="minorEastAsia"/>
          <w:color w:val="000000"/>
          <w:szCs w:val="21"/>
          <w:u w:val="single"/>
        </w:rPr>
        <w:t xml:space="preserve">详见本章采购清单</w:t>
      </w:r>
      <w:r>
        <w:rPr>
          <w:rFonts w:eastAsiaTheme="minorEastAsia"/>
          <w:color w:val="000000"/>
          <w:szCs w:val="21"/>
        </w:rPr>
        <w:t xml:space="preserve">。</w:t>
      </w:r>
      <w:r/>
    </w:p>
    <w:p>
      <w:pPr>
        <w:ind w:left="218"/>
        <w:jc w:val="left"/>
        <w:spacing w:line="360" w:lineRule="auto"/>
        <w:rPr>
          <w:rFonts w:eastAsiaTheme="minorEastAsia"/>
          <w:color w:val="000000"/>
          <w:szCs w:val="21"/>
        </w:rPr>
      </w:pPr>
      <w:r>
        <w:rPr>
          <w:rFonts w:eastAsiaTheme="minorEastAsia"/>
          <w:color w:val="000000"/>
          <w:szCs w:val="21"/>
        </w:rPr>
        <w:t xml:space="preserve">3.2、交货地点：江苏省特种设备安全监督检验研究院指定地点。</w:t>
      </w:r>
      <w:r/>
    </w:p>
    <w:p>
      <w:pPr>
        <w:ind w:left="218"/>
        <w:jc w:val="left"/>
        <w:spacing w:line="360" w:lineRule="auto"/>
        <w:rPr>
          <w:rFonts w:eastAsiaTheme="minorEastAsia"/>
          <w:b/>
          <w:bCs/>
          <w:color w:val="000000"/>
          <w:szCs w:val="21"/>
        </w:rPr>
      </w:pPr>
      <w:r>
        <w:rPr>
          <w:rFonts w:eastAsiaTheme="minorEastAsia"/>
          <w:b/>
          <w:bCs/>
          <w:color w:val="000000"/>
          <w:szCs w:val="21"/>
        </w:rPr>
        <w:t xml:space="preserve">4、设备包装要求：</w:t>
      </w:r>
      <w:r/>
    </w:p>
    <w:p>
      <w:pPr>
        <w:ind w:left="210" w:firstLine="420"/>
        <w:jc w:val="left"/>
        <w:spacing w:line="360" w:lineRule="auto"/>
        <w:rPr>
          <w:rFonts w:eastAsiaTheme="minorEastAsia"/>
        </w:rPr>
      </w:pPr>
      <w:r>
        <w:rPr>
          <w:rFonts w:eastAsiaTheme="minorEastAsia"/>
        </w:rPr>
        <w:t xml:space="preserve">应采用相应的标准保护措施进行包装，使包装适应于远距离运输、防潮、防震、防锈和防粗暴装卸，确保货物安全无损运抵现场。费用包含在投标总价中。</w:t>
      </w:r>
      <w:r/>
    </w:p>
    <w:p>
      <w:pPr>
        <w:numPr>
          <w:ilvl w:val="0"/>
          <w:numId w:val="33"/>
        </w:numPr>
        <w:ind w:firstLine="211"/>
        <w:jc w:val="left"/>
        <w:spacing w:line="360" w:lineRule="auto"/>
        <w:rPr>
          <w:rFonts w:eastAsiaTheme="minorEastAsia"/>
          <w:b/>
          <w:bCs/>
          <w:color w:val="000000"/>
          <w:szCs w:val="21"/>
        </w:rPr>
      </w:pPr>
      <w:r>
        <w:rPr>
          <w:rFonts w:eastAsiaTheme="minorEastAsia"/>
          <w:b/>
          <w:bCs/>
          <w:color w:val="000000"/>
          <w:szCs w:val="21"/>
        </w:rPr>
        <w:t xml:space="preserve">安装、调试和验收</w:t>
      </w:r>
      <w:r/>
    </w:p>
    <w:p>
      <w:pPr>
        <w:ind w:firstLine="210"/>
        <w:spacing w:line="360" w:lineRule="auto"/>
        <w:rPr>
          <w:color w:val="000000"/>
          <w:szCs w:val="21"/>
        </w:rPr>
      </w:pPr>
      <w:r>
        <w:rPr>
          <w:color w:val="000000"/>
          <w:szCs w:val="21"/>
        </w:rPr>
        <w:t xml:space="preserve">5.1、合同签订后，卖方将设备的实验室预安装条件发给用户，对所需的实验室环境条件，结合用户的实际情况进行指导并提出建议。接到用户安装要求后，协商时间，安排技术服务工程师和用户一起开箱验货，核实与合同的内容及数量后，现场进行免费安装、调试，调试完成后验收。</w:t>
      </w:r>
      <w:r/>
    </w:p>
    <w:p>
      <w:pPr>
        <w:ind w:firstLine="210"/>
        <w:spacing w:line="360" w:lineRule="auto"/>
        <w:rPr>
          <w:color w:val="000000"/>
          <w:szCs w:val="21"/>
        </w:rPr>
      </w:pPr>
      <w:r>
        <w:rPr>
          <w:color w:val="000000"/>
          <w:szCs w:val="21"/>
        </w:rPr>
        <w:t xml:space="preserve">5.2、调试检验验收要求：设备和配件是否齐全，外观是否完好，设备各部分功能是否能正常使用，所提供设备及零配件规格是否与买方要求相符。</w:t>
      </w:r>
      <w:r/>
    </w:p>
    <w:p>
      <w:pPr>
        <w:ind w:firstLine="210"/>
        <w:spacing w:line="360" w:lineRule="auto"/>
        <w:rPr>
          <w:rFonts w:eastAsiaTheme="minorEastAsia"/>
        </w:rPr>
      </w:pPr>
      <w:r>
        <w:rPr>
          <w:color w:val="000000"/>
          <w:szCs w:val="21"/>
        </w:rPr>
        <w:t xml:space="preserve">5.3、最终验收要求：技术指标要求符合招标要求。</w:t>
      </w:r>
      <w:r/>
    </w:p>
    <w:p>
      <w:pPr>
        <w:ind w:firstLine="211"/>
        <w:spacing w:line="360" w:lineRule="auto"/>
        <w:rPr>
          <w:rFonts w:eastAsiaTheme="minorEastAsia"/>
          <w:b/>
          <w:szCs w:val="21"/>
        </w:rPr>
      </w:pPr>
      <w:r>
        <w:rPr>
          <w:rFonts w:eastAsiaTheme="minorEastAsia"/>
          <w:b/>
          <w:szCs w:val="21"/>
        </w:rPr>
        <w:t xml:space="preserve">6、免费培训</w:t>
      </w:r>
      <w:r/>
    </w:p>
    <w:p>
      <w:pPr>
        <w:ind w:left="218"/>
        <w:spacing w:line="360" w:lineRule="auto"/>
        <w:rPr>
          <w:rFonts w:eastAsiaTheme="minorEastAsia"/>
          <w:szCs w:val="21"/>
        </w:rPr>
      </w:pPr>
      <w:r>
        <w:rPr>
          <w:rFonts w:eastAsiaTheme="minorEastAsia"/>
          <w:szCs w:val="21"/>
        </w:rPr>
        <w:t xml:space="preserve">6.1、现场培训：设备安装调试验收结束后，由专业技术工程师进行免费现场技术培训，熟悉设备结构，软件操作及简单的日常维护，并免费提供应用支持，样品免费测试，帮助客户建立分析方法和分析方法开发。</w:t>
      </w:r>
      <w:r/>
    </w:p>
    <w:p>
      <w:pPr>
        <w:ind w:left="218"/>
        <w:spacing w:line="360" w:lineRule="auto"/>
        <w:rPr>
          <w:rFonts w:eastAsiaTheme="minorEastAsia"/>
          <w:szCs w:val="21"/>
        </w:rPr>
      </w:pPr>
      <w:r>
        <w:rPr>
          <w:rFonts w:eastAsiaTheme="minorEastAsia"/>
          <w:szCs w:val="21"/>
        </w:rPr>
        <w:t xml:space="preserve">6.2、国内培训：免费提供买方2人培训（培训费免费，交通和食宿费由买方自理），由专职工程师进行培训。</w:t>
      </w:r>
      <w:r/>
    </w:p>
    <w:p>
      <w:pPr>
        <w:ind w:left="218"/>
        <w:spacing w:line="360" w:lineRule="auto"/>
        <w:rPr>
          <w:rFonts w:eastAsiaTheme="minorEastAsia"/>
          <w:b/>
          <w:bCs/>
          <w:szCs w:val="21"/>
        </w:rPr>
      </w:pPr>
      <w:r>
        <w:rPr>
          <w:rFonts w:eastAsiaTheme="minorEastAsia"/>
          <w:b/>
          <w:bCs/>
          <w:szCs w:val="21"/>
        </w:rPr>
        <w:t xml:space="preserve">7、技术服务</w:t>
      </w:r>
      <w:r/>
    </w:p>
    <w:p>
      <w:pPr>
        <w:pStyle w:val="1447"/>
        <w:ind w:firstLine="210"/>
        <w:spacing w:line="360" w:lineRule="auto"/>
        <w:rPr>
          <w:rFonts w:ascii="Times New Roman" w:hAnsi="Times New Roman" w:cs="Times New Roman" w:eastAsiaTheme="minorEastAsia"/>
          <w:sz w:val="21"/>
          <w:szCs w:val="21"/>
          <w:lang w:val="en-US"/>
        </w:rPr>
      </w:pPr>
      <w:r>
        <w:rPr>
          <w:rFonts w:ascii="Times New Roman" w:hAnsi="Times New Roman" w:cs="Times New Roman" w:eastAsiaTheme="minorEastAsia"/>
          <w:sz w:val="21"/>
          <w:szCs w:val="21"/>
          <w:lang w:val="en-US"/>
        </w:rPr>
        <w:t xml:space="preserve">7.1、提供终身技术服务和支持。</w:t>
      </w:r>
      <w:r/>
    </w:p>
    <w:p>
      <w:pPr>
        <w:pStyle w:val="1447"/>
        <w:ind w:firstLine="210"/>
        <w:spacing w:line="360" w:lineRule="auto"/>
        <w:rPr>
          <w:rFonts w:ascii="Times New Roman" w:hAnsi="Times New Roman" w:cs="Times New Roman" w:eastAsiaTheme="minorEastAsia"/>
          <w:sz w:val="21"/>
          <w:szCs w:val="21"/>
          <w:lang w:val="en-US"/>
        </w:rPr>
      </w:pPr>
      <w:r>
        <w:rPr>
          <w:rFonts w:ascii="Times New Roman" w:hAnsi="Times New Roman" w:cs="Times New Roman" w:eastAsiaTheme="minorEastAsia"/>
          <w:sz w:val="21"/>
          <w:szCs w:val="21"/>
          <w:lang w:val="en-US"/>
        </w:rPr>
        <w:t xml:space="preserve">7.2、保修期内卖方免费提供保修零件。</w:t>
      </w:r>
      <w:r/>
    </w:p>
    <w:p>
      <w:pPr>
        <w:ind w:left="218"/>
        <w:spacing w:line="360" w:lineRule="auto"/>
        <w:rPr>
          <w:rFonts w:eastAsiaTheme="minorEastAsia"/>
          <w:b/>
          <w:bCs/>
          <w:szCs w:val="21"/>
        </w:rPr>
      </w:pPr>
      <w:r>
        <w:rPr>
          <w:rFonts w:eastAsiaTheme="minorEastAsia"/>
          <w:b/>
          <w:bCs/>
          <w:szCs w:val="21"/>
        </w:rPr>
        <w:t xml:space="preserve">8、质保及售后服务：</w:t>
      </w:r>
      <w:r/>
    </w:p>
    <w:p>
      <w:pPr>
        <w:ind w:firstLine="210"/>
        <w:spacing w:line="360" w:lineRule="auto"/>
        <w:rPr>
          <w:rFonts w:eastAsiaTheme="minorEastAsia"/>
          <w:szCs w:val="21"/>
        </w:rPr>
      </w:pPr>
      <w:r>
        <w:rPr>
          <w:rFonts w:eastAsiaTheme="minorEastAsia"/>
          <w:szCs w:val="21"/>
        </w:rPr>
        <w:t xml:space="preserve">8.1卖方所供设备、材料及安装的质量保证期：安装验收合格后1年。</w:t>
      </w:r>
      <w:r/>
    </w:p>
    <w:p>
      <w:pPr>
        <w:ind w:firstLine="210"/>
        <w:spacing w:line="360" w:lineRule="auto"/>
        <w:rPr>
          <w:rFonts w:eastAsiaTheme="minorEastAsia"/>
          <w:szCs w:val="21"/>
        </w:rPr>
      </w:pPr>
      <w:r>
        <w:rPr>
          <w:rFonts w:eastAsiaTheme="minorEastAsia"/>
          <w:szCs w:val="21"/>
        </w:rPr>
        <w:t xml:space="preserve">8.2在质保期内，因乙方所供设备、材料制造质量或安装问题出现设备故障时，卖方在接到买方通知(包括书面通知、电话、传真、电子邮件等)2小时内予以回复，8小时内提出解决方案，36小时内派有经验的技术人员到达工作现场，履行保修义务，免费予以排除故障、修复，无法修复应更换所供设备。卖方还应支付因更换所发生的运输、保险、安装、检测等有关的全部费用。</w:t>
      </w:r>
      <w:r/>
    </w:p>
    <w:p>
      <w:pPr>
        <w:ind w:firstLine="210"/>
        <w:jc w:val="left"/>
        <w:spacing w:line="360" w:lineRule="auto"/>
        <w:tabs>
          <w:tab w:val="left" w:pos="4785" w:leader="none"/>
        </w:tabs>
        <w:rPr>
          <w:rFonts w:eastAsiaTheme="minorEastAsia"/>
          <w:szCs w:val="21"/>
        </w:rPr>
      </w:pPr>
      <w:r>
        <w:rPr>
          <w:rFonts w:eastAsiaTheme="minorEastAsia"/>
          <w:szCs w:val="21"/>
        </w:rPr>
        <w:t xml:space="preserve">8.3在质保期内，因买方使用不当原因出现设备故障时，卖方在接买方通知后，应在8.2条款中所述的时限内响应并派设备厂家工程师赶到买方现场，帮助排除故障、修复或更换零部件，需购买零部件时，仅收取成本费。</w:t>
      </w:r>
      <w:r/>
    </w:p>
    <w:p>
      <w:pPr>
        <w:ind w:left="218"/>
        <w:spacing w:line="360" w:lineRule="auto"/>
        <w:rPr>
          <w:b/>
          <w:bCs/>
          <w:color w:val="000000"/>
          <w:szCs w:val="21"/>
        </w:rPr>
      </w:pPr>
      <w:r>
        <w:rPr>
          <w:rFonts w:eastAsiaTheme="minorEastAsia"/>
          <w:szCs w:val="21"/>
        </w:rPr>
        <w:t xml:space="preserve">8.4质保期满后，如设备出现故障，卖方在接买方通知后，仍应在上述时限内响应、派设备厂家工程师赶到买方现场，帮助排除故障、修复或更换零部件，需购买零部件时，酌情收取成本费。</w:t>
      </w:r>
      <w:r/>
    </w:p>
    <w:p>
      <w:pPr>
        <w:rPr>
          <w:b/>
          <w:color w:val="000000"/>
          <w:sz w:val="28"/>
          <w:szCs w:val="28"/>
        </w:rPr>
      </w:pPr>
      <w:r>
        <w:rPr>
          <w:b/>
          <w:color w:val="000000"/>
          <w:sz w:val="28"/>
          <w:szCs w:val="28"/>
        </w:rPr>
        <w:br w:type="page" w:clear="all"/>
      </w:r>
      <w:r/>
    </w:p>
    <w:p>
      <w:pPr>
        <w:jc w:val="center"/>
        <w:spacing w:line="360" w:lineRule="auto"/>
        <w:rPr>
          <w:b/>
          <w:sz w:val="28"/>
          <w:szCs w:val="28"/>
        </w:rPr>
        <w:outlineLvl w:val="0"/>
      </w:pPr>
      <w:r/>
      <w:bookmarkStart w:id="120" w:name="_Toc231822743"/>
      <w:r>
        <w:rPr>
          <w:b/>
          <w:color w:val="000000"/>
          <w:sz w:val="28"/>
          <w:szCs w:val="28"/>
        </w:rPr>
        <w:t xml:space="preserve">第五章 </w:t>
      </w:r>
      <w:r>
        <w:rPr>
          <w:b/>
          <w:sz w:val="28"/>
          <w:szCs w:val="28"/>
        </w:rPr>
        <w:t xml:space="preserve">政府采购合同</w:t>
      </w:r>
      <w:bookmarkEnd w:id="120"/>
      <w:r/>
      <w:r/>
    </w:p>
    <w:p>
      <w:pPr>
        <w:pStyle w:val="1427"/>
        <w:ind w:left="1400" w:hanging="560"/>
        <w:jc w:val="center"/>
        <w:rPr>
          <w:sz w:val="28"/>
          <w:szCs w:val="28"/>
        </w:rPr>
      </w:pPr>
      <w:r>
        <w:rPr>
          <w:sz w:val="28"/>
          <w:szCs w:val="28"/>
        </w:rPr>
        <w:t xml:space="preserve">（拟签订的合同文本）</w:t>
      </w:r>
      <w:r/>
    </w:p>
    <w:p>
      <w:pPr>
        <w:pStyle w:val="1427"/>
        <w:ind w:left="1400" w:hanging="560"/>
        <w:jc w:val="center"/>
        <w:rPr>
          <w:sz w:val="28"/>
          <w:szCs w:val="28"/>
        </w:rPr>
      </w:pPr>
      <w:r>
        <w:rPr>
          <w:sz w:val="28"/>
          <w:szCs w:val="28"/>
        </w:rPr>
      </w:r>
      <w:r/>
    </w:p>
    <w:p>
      <w:pPr>
        <w:pStyle w:val="1427"/>
        <w:ind w:left="1400" w:hanging="560"/>
        <w:jc w:val="center"/>
        <w:rPr>
          <w:sz w:val="28"/>
          <w:szCs w:val="28"/>
        </w:rPr>
      </w:pPr>
      <w:r>
        <w:rPr>
          <w:sz w:val="28"/>
          <w:szCs w:val="28"/>
        </w:rPr>
      </w:r>
      <w:r/>
    </w:p>
    <w:p>
      <w:pPr>
        <w:pStyle w:val="1427"/>
        <w:ind w:left="1400" w:hanging="560"/>
        <w:jc w:val="center"/>
        <w:rPr>
          <w:sz w:val="28"/>
          <w:szCs w:val="28"/>
        </w:rPr>
      </w:pPr>
      <w:r>
        <w:rPr>
          <w:sz w:val="28"/>
          <w:szCs w:val="28"/>
        </w:rPr>
      </w:r>
      <w:r/>
    </w:p>
    <w:p>
      <w:pPr>
        <w:jc w:val="center"/>
        <w:spacing w:line="360" w:lineRule="auto"/>
        <w:rPr>
          <w:b/>
          <w:sz w:val="28"/>
          <w:szCs w:val="28"/>
        </w:rPr>
      </w:pPr>
      <w:r>
        <w:rPr>
          <w:b/>
          <w:sz w:val="28"/>
          <w:szCs w:val="28"/>
        </w:rPr>
        <w:t xml:space="preserve">政府采购合同</w:t>
      </w:r>
      <w:r/>
    </w:p>
    <w:p>
      <w:pPr>
        <w:pStyle w:val="1427"/>
        <w:ind w:left="1402" w:hanging="562"/>
        <w:rPr>
          <w:b/>
          <w:sz w:val="28"/>
          <w:szCs w:val="28"/>
        </w:rPr>
      </w:pPr>
      <w:r>
        <w:rPr>
          <w:b/>
          <w:sz w:val="28"/>
          <w:szCs w:val="28"/>
        </w:rPr>
      </w:r>
      <w:r/>
    </w:p>
    <w:p>
      <w:pPr>
        <w:pStyle w:val="1427"/>
        <w:ind w:left="1402" w:hanging="562"/>
        <w:rPr>
          <w:b/>
          <w:sz w:val="28"/>
          <w:szCs w:val="28"/>
        </w:rPr>
      </w:pPr>
      <w:r>
        <w:rPr>
          <w:b/>
          <w:sz w:val="28"/>
          <w:szCs w:val="28"/>
        </w:rPr>
      </w:r>
      <w:r/>
    </w:p>
    <w:p>
      <w:pPr>
        <w:pStyle w:val="1427"/>
        <w:ind w:left="1402" w:hanging="562"/>
        <w:rPr>
          <w:b/>
          <w:sz w:val="28"/>
          <w:szCs w:val="28"/>
        </w:rPr>
      </w:pPr>
      <w:r>
        <w:rPr>
          <w:b/>
          <w:sz w:val="28"/>
          <w:szCs w:val="28"/>
        </w:rPr>
      </w:r>
      <w:r/>
    </w:p>
    <w:p>
      <w:pPr>
        <w:pStyle w:val="1427"/>
        <w:ind w:left="1402" w:hanging="562"/>
        <w:rPr>
          <w:b/>
          <w:sz w:val="28"/>
          <w:szCs w:val="28"/>
        </w:rPr>
      </w:pPr>
      <w:r>
        <w:rPr>
          <w:b/>
          <w:sz w:val="28"/>
          <w:szCs w:val="28"/>
        </w:rPr>
      </w:r>
      <w:r/>
    </w:p>
    <w:p>
      <w:pPr>
        <w:pStyle w:val="1427"/>
        <w:ind w:left="1402" w:hanging="562"/>
        <w:rPr>
          <w:b/>
          <w:sz w:val="28"/>
          <w:szCs w:val="28"/>
        </w:rPr>
      </w:pPr>
      <w:r>
        <w:rPr>
          <w:b/>
          <w:sz w:val="28"/>
          <w:szCs w:val="28"/>
        </w:rPr>
      </w:r>
      <w:r/>
    </w:p>
    <w:p>
      <w:pPr>
        <w:pStyle w:val="1427"/>
        <w:ind w:left="1402" w:hanging="562"/>
        <w:rPr>
          <w:b/>
          <w:sz w:val="28"/>
          <w:szCs w:val="28"/>
        </w:rPr>
      </w:pPr>
      <w:r>
        <w:rPr>
          <w:b/>
          <w:sz w:val="28"/>
          <w:szCs w:val="28"/>
        </w:rPr>
        <w:t xml:space="preserve">   </w:t>
      </w:r>
      <w:r/>
    </w:p>
    <w:p>
      <w:pPr>
        <w:pStyle w:val="1427"/>
        <w:ind w:left="1402" w:hanging="562"/>
        <w:rPr>
          <w:b/>
          <w:sz w:val="28"/>
          <w:szCs w:val="28"/>
        </w:rPr>
      </w:pPr>
      <w:r>
        <w:rPr>
          <w:b/>
          <w:sz w:val="28"/>
          <w:szCs w:val="28"/>
        </w:rPr>
      </w:r>
      <w:r/>
    </w:p>
    <w:p>
      <w:pPr>
        <w:pStyle w:val="1427"/>
        <w:ind w:left="1402" w:hanging="562"/>
        <w:rPr>
          <w:b/>
          <w:sz w:val="28"/>
          <w:szCs w:val="28"/>
        </w:rPr>
      </w:pPr>
      <w:r>
        <w:rPr>
          <w:b/>
          <w:sz w:val="28"/>
          <w:szCs w:val="28"/>
        </w:rPr>
      </w:r>
      <w:r/>
    </w:p>
    <w:p>
      <w:pPr>
        <w:pStyle w:val="1427"/>
        <w:ind w:left="1402" w:hanging="562"/>
        <w:rPr>
          <w:b/>
          <w:sz w:val="28"/>
          <w:szCs w:val="28"/>
        </w:rPr>
      </w:pPr>
      <w:r>
        <w:rPr>
          <w:b/>
          <w:sz w:val="28"/>
          <w:szCs w:val="28"/>
        </w:rPr>
      </w:r>
      <w:r/>
    </w:p>
    <w:p>
      <w:pPr>
        <w:pStyle w:val="1427"/>
        <w:ind w:left="1402" w:hanging="562"/>
        <w:spacing w:line="360" w:lineRule="auto"/>
        <w:rPr>
          <w:b/>
          <w:sz w:val="28"/>
          <w:szCs w:val="28"/>
        </w:rPr>
      </w:pPr>
      <w:r>
        <w:rPr>
          <w:b/>
          <w:sz w:val="28"/>
          <w:szCs w:val="28"/>
        </w:rPr>
        <w:t xml:space="preserve">合同编号：</w:t>
      </w:r>
      <w:r>
        <w:rPr>
          <w:b/>
          <w:sz w:val="28"/>
          <w:szCs w:val="28"/>
          <w:u w:val="single"/>
        </w:rPr>
        <w:t xml:space="preserve">                     </w:t>
      </w:r>
      <w:r/>
    </w:p>
    <w:p>
      <w:pPr>
        <w:pStyle w:val="1427"/>
        <w:ind w:left="1402" w:hanging="562"/>
        <w:spacing w:line="360" w:lineRule="auto"/>
        <w:rPr>
          <w:b/>
          <w:sz w:val="28"/>
          <w:szCs w:val="28"/>
        </w:rPr>
      </w:pPr>
      <w:r>
        <w:rPr>
          <w:b/>
          <w:sz w:val="28"/>
          <w:szCs w:val="28"/>
        </w:rPr>
        <w:t xml:space="preserve">项目名称：</w:t>
      </w:r>
      <w:r>
        <w:rPr>
          <w:b/>
          <w:sz w:val="28"/>
          <w:szCs w:val="28"/>
          <w:u w:val="single"/>
        </w:rPr>
        <w:t xml:space="preserve">                     </w:t>
      </w:r>
      <w:r/>
    </w:p>
    <w:p>
      <w:pPr>
        <w:pStyle w:val="1427"/>
        <w:ind w:left="1402" w:hanging="562"/>
        <w:spacing w:line="360" w:lineRule="auto"/>
        <w:rPr>
          <w:b/>
          <w:sz w:val="28"/>
          <w:szCs w:val="28"/>
        </w:rPr>
      </w:pPr>
      <w:r>
        <w:rPr>
          <w:b/>
          <w:sz w:val="28"/>
          <w:szCs w:val="28"/>
        </w:rPr>
        <w:t xml:space="preserve">采购人（甲方）：</w:t>
      </w:r>
      <w:r>
        <w:rPr>
          <w:b/>
          <w:sz w:val="28"/>
          <w:szCs w:val="28"/>
          <w:u w:val="single"/>
        </w:rPr>
        <w:t xml:space="preserve">               </w:t>
      </w:r>
      <w:r/>
    </w:p>
    <w:p>
      <w:pPr>
        <w:pStyle w:val="1427"/>
        <w:ind w:left="1402" w:hanging="562"/>
        <w:spacing w:line="360" w:lineRule="auto"/>
        <w:rPr>
          <w:b/>
          <w:sz w:val="28"/>
          <w:szCs w:val="28"/>
        </w:rPr>
      </w:pPr>
      <w:r>
        <w:rPr>
          <w:b/>
          <w:sz w:val="28"/>
          <w:szCs w:val="28"/>
        </w:rPr>
        <w:t xml:space="preserve">供应商（乙方）：</w:t>
      </w:r>
      <w:r>
        <w:rPr>
          <w:b/>
          <w:sz w:val="28"/>
          <w:szCs w:val="28"/>
          <w:u w:val="single"/>
        </w:rPr>
        <w:t xml:space="preserve">               </w:t>
      </w:r>
      <w:r/>
    </w:p>
    <w:p>
      <w:pPr>
        <w:pStyle w:val="1427"/>
        <w:ind w:left="1402" w:hanging="562"/>
        <w:spacing w:line="360" w:lineRule="auto"/>
        <w:rPr>
          <w:b/>
          <w:sz w:val="28"/>
          <w:szCs w:val="28"/>
          <w:u w:val="single"/>
        </w:rPr>
      </w:pPr>
      <w:r>
        <w:rPr>
          <w:b/>
          <w:sz w:val="28"/>
          <w:szCs w:val="28"/>
        </w:rPr>
        <w:t xml:space="preserve">签订日期：</w:t>
      </w:r>
      <w:r>
        <w:rPr>
          <w:b/>
          <w:sz w:val="28"/>
          <w:szCs w:val="28"/>
          <w:u w:val="single"/>
        </w:rPr>
        <w:t xml:space="preserve">                     </w:t>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t xml:space="preserve">甲方：江苏省特种设备安全监督检验研究院</w:t>
      </w:r>
      <w:r/>
    </w:p>
    <w:p>
      <w:pPr>
        <w:spacing w:line="360" w:lineRule="auto"/>
        <w:rPr>
          <w:b/>
          <w:bCs/>
          <w:szCs w:val="21"/>
        </w:rPr>
      </w:pPr>
      <w:r>
        <w:rPr>
          <w:b/>
          <w:bCs/>
          <w:szCs w:val="21"/>
        </w:rPr>
        <w:t xml:space="preserve">乙方：</w:t>
      </w:r>
      <w:r/>
    </w:p>
    <w:p>
      <w:pPr>
        <w:spacing w:line="360" w:lineRule="auto"/>
        <w:rPr>
          <w:b/>
          <w:bCs/>
          <w:szCs w:val="21"/>
        </w:rPr>
      </w:pPr>
      <w:r>
        <w:rPr>
          <w:b/>
          <w:bCs/>
          <w:szCs w:val="21"/>
        </w:rPr>
        <w:t xml:space="preserve">采购代理机构：</w:t>
      </w:r>
      <w:r/>
    </w:p>
    <w:p>
      <w:pPr>
        <w:ind w:left="108" w:firstLine="420"/>
        <w:jc w:val="left"/>
        <w:spacing w:line="360" w:lineRule="auto"/>
        <w:tabs>
          <w:tab w:val="left" w:pos="4785" w:leader="none"/>
        </w:tabs>
        <w:rPr>
          <w:szCs w:val="21"/>
        </w:rPr>
      </w:pPr>
      <w:r>
        <w:rPr>
          <w:szCs w:val="21"/>
        </w:rPr>
        <w:t xml:space="preserve">一、说明：</w:t>
      </w:r>
      <w:r/>
    </w:p>
    <w:p>
      <w:pPr>
        <w:ind w:left="108" w:firstLine="420"/>
        <w:jc w:val="left"/>
        <w:spacing w:line="360" w:lineRule="auto"/>
        <w:tabs>
          <w:tab w:val="left" w:pos="4785" w:leader="none"/>
        </w:tabs>
        <w:rPr>
          <w:szCs w:val="21"/>
        </w:rPr>
      </w:pPr>
      <w:r>
        <w:rPr>
          <w:szCs w:val="21"/>
        </w:rPr>
        <w:t xml:space="preserve">受甲方委托，采购代理机构于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日组织了</w:t>
      </w:r>
      <w:r>
        <w:rPr>
          <w:szCs w:val="21"/>
          <w:u w:val="single"/>
        </w:rPr>
        <w:t xml:space="preserve">江苏省特种设备安全监督检验研究院所需检测设备</w:t>
      </w:r>
      <w:r>
        <w:rPr>
          <w:szCs w:val="21"/>
        </w:rPr>
        <w:t xml:space="preserve">采购项目（项目编号：</w:t>
      </w:r>
      <w:r>
        <w:rPr>
          <w:szCs w:val="21"/>
          <w:u w:val="single"/>
        </w:rPr>
        <w:t xml:space="preserve">       </w:t>
      </w:r>
      <w:r>
        <w:rPr>
          <w:szCs w:val="21"/>
        </w:rPr>
        <w:t xml:space="preserve">）的评审活动，经评委认真严格地评审，确定由乙方成交。</w:t>
      </w:r>
      <w:r/>
    </w:p>
    <w:p>
      <w:pPr>
        <w:ind w:left="108" w:firstLine="420"/>
        <w:jc w:val="left"/>
        <w:spacing w:line="360" w:lineRule="auto"/>
        <w:tabs>
          <w:tab w:val="left" w:pos="4785" w:leader="none"/>
        </w:tabs>
        <w:rPr>
          <w:szCs w:val="21"/>
        </w:rPr>
      </w:pPr>
      <w:r>
        <w:rPr>
          <w:szCs w:val="21"/>
        </w:rPr>
        <w:t xml:space="preserve">二、合同条款：</w:t>
      </w:r>
      <w:r/>
    </w:p>
    <w:p>
      <w:pPr>
        <w:ind w:left="108" w:firstLine="420"/>
        <w:jc w:val="left"/>
        <w:spacing w:line="360" w:lineRule="auto"/>
        <w:tabs>
          <w:tab w:val="left" w:pos="4785" w:leader="none"/>
        </w:tabs>
        <w:rPr>
          <w:szCs w:val="21"/>
        </w:rPr>
      </w:pPr>
      <w:r>
        <w:rPr>
          <w:szCs w:val="21"/>
        </w:rPr>
        <w:t xml:space="preserve">合同由甲乙双方签订，并依据</w:t>
      </w:r>
      <w:r>
        <w:rPr>
          <w:szCs w:val="21"/>
          <w:u w:val="single"/>
        </w:rPr>
        <w:t xml:space="preserve">       </w:t>
      </w:r>
      <w:r>
        <w:rPr>
          <w:szCs w:val="21"/>
        </w:rPr>
        <w:t xml:space="preserve">号招标文件规定，按下列合同条款甲方同意购入，乙方同意出售下列设备及服务。</w:t>
      </w:r>
      <w:r/>
    </w:p>
    <w:p>
      <w:pPr>
        <w:contextualSpacing/>
        <w:ind w:firstLine="420"/>
        <w:jc w:val="left"/>
        <w:spacing w:before="100" w:after="100" w:line="360" w:lineRule="auto"/>
        <w:widowControl/>
        <w:tabs>
          <w:tab w:val="left" w:pos="4785" w:leader="none"/>
        </w:tabs>
        <w:rPr>
          <w:color w:val="000000"/>
          <w:szCs w:val="21"/>
        </w:rPr>
      </w:pPr>
      <w:r>
        <w:rPr>
          <w:color w:val="000000"/>
          <w:szCs w:val="21"/>
        </w:rPr>
        <w:t xml:space="preserve">1.设备名称、型号规格、数量及服务内容。</w:t>
      </w:r>
      <w:r/>
    </w:p>
    <w:tbl>
      <w:tblPr>
        <w:tblStyle w:val="140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784"/>
        <w:gridCol w:w="670"/>
        <w:gridCol w:w="3243"/>
        <w:gridCol w:w="494"/>
        <w:gridCol w:w="848"/>
        <w:gridCol w:w="2847"/>
      </w:tblGrid>
      <w:tr>
        <w:trPr>
          <w:jc w:val="center"/>
          <w:trHeight w:val="737"/>
        </w:trPr>
        <w:tc>
          <w:tcPr>
            <w:tcW w:w="808" w:type="dxa"/>
            <w:vAlign w:val="center"/>
            <w:textDirection w:val="lrTb"/>
            <w:noWrap w:val="false"/>
          </w:tcPr>
          <w:p>
            <w:pPr>
              <w:jc w:val="center"/>
              <w:spacing w:line="360" w:lineRule="auto"/>
              <w:rPr>
                <w:szCs w:val="21"/>
              </w:rPr>
            </w:pPr>
            <w:r>
              <w:rPr>
                <w:szCs w:val="21"/>
              </w:rPr>
              <w:t xml:space="preserve">产品名称</w:t>
            </w:r>
            <w:r/>
          </w:p>
        </w:tc>
        <w:tc>
          <w:tcPr>
            <w:tcW w:w="802" w:type="dxa"/>
            <w:vAlign w:val="center"/>
            <w:textDirection w:val="lrTb"/>
            <w:noWrap w:val="false"/>
          </w:tcPr>
          <w:p>
            <w:pPr>
              <w:jc w:val="center"/>
              <w:spacing w:line="360" w:lineRule="auto"/>
              <w:rPr>
                <w:szCs w:val="21"/>
              </w:rPr>
            </w:pPr>
            <w:r>
              <w:rPr>
                <w:szCs w:val="21"/>
              </w:rPr>
              <w:t xml:space="preserve">品牌</w:t>
            </w:r>
            <w:r/>
          </w:p>
        </w:tc>
        <w:tc>
          <w:tcPr>
            <w:tcW w:w="682" w:type="dxa"/>
            <w:vAlign w:val="center"/>
            <w:textDirection w:val="lrTb"/>
            <w:noWrap w:val="false"/>
          </w:tcPr>
          <w:p>
            <w:pPr>
              <w:jc w:val="center"/>
              <w:spacing w:line="360" w:lineRule="auto"/>
              <w:rPr>
                <w:szCs w:val="21"/>
              </w:rPr>
            </w:pPr>
            <w:r>
              <w:rPr>
                <w:szCs w:val="21"/>
              </w:rPr>
              <w:t xml:space="preserve">型号</w:t>
            </w:r>
            <w:r/>
          </w:p>
        </w:tc>
        <w:tc>
          <w:tcPr>
            <w:tcW w:w="555" w:type="dxa"/>
            <w:vAlign w:val="center"/>
            <w:textDirection w:val="lrTb"/>
            <w:noWrap w:val="false"/>
          </w:tcPr>
          <w:p>
            <w:pPr>
              <w:jc w:val="center"/>
              <w:spacing w:line="360" w:lineRule="auto"/>
              <w:rPr>
                <w:szCs w:val="21"/>
              </w:rPr>
            </w:pPr>
            <w:r>
              <w:rPr>
                <w:szCs w:val="21"/>
              </w:rPr>
              <w:t xml:space="preserve">单位</w:t>
            </w:r>
            <w:r/>
          </w:p>
        </w:tc>
        <w:tc>
          <w:tcPr>
            <w:tcW w:w="497" w:type="dxa"/>
            <w:vAlign w:val="center"/>
            <w:textDirection w:val="lrTb"/>
            <w:noWrap w:val="false"/>
          </w:tcPr>
          <w:p>
            <w:pPr>
              <w:jc w:val="center"/>
              <w:spacing w:line="360" w:lineRule="auto"/>
              <w:rPr>
                <w:szCs w:val="21"/>
              </w:rPr>
            </w:pPr>
            <w:r>
              <w:rPr>
                <w:szCs w:val="21"/>
              </w:rPr>
              <w:t xml:space="preserve">数量</w:t>
            </w:r>
            <w:r/>
          </w:p>
        </w:tc>
        <w:tc>
          <w:tcPr>
            <w:tcW w:w="848" w:type="dxa"/>
            <w:vAlign w:val="center"/>
            <w:textDirection w:val="lrTb"/>
            <w:noWrap w:val="false"/>
          </w:tcPr>
          <w:p>
            <w:pPr>
              <w:jc w:val="center"/>
              <w:spacing w:line="360" w:lineRule="auto"/>
              <w:rPr>
                <w:szCs w:val="21"/>
              </w:rPr>
            </w:pPr>
            <w:r>
              <w:rPr>
                <w:szCs w:val="21"/>
              </w:rPr>
              <w:t xml:space="preserve">单价（元）</w:t>
            </w:r>
            <w:r/>
          </w:p>
        </w:tc>
        <w:tc>
          <w:tcPr>
            <w:tcW w:w="806" w:type="dxa"/>
            <w:vAlign w:val="center"/>
            <w:textDirection w:val="lrTb"/>
            <w:noWrap w:val="false"/>
          </w:tcPr>
          <w:p>
            <w:pPr>
              <w:jc w:val="center"/>
              <w:spacing w:line="360" w:lineRule="auto"/>
              <w:rPr>
                <w:szCs w:val="21"/>
              </w:rPr>
            </w:pPr>
            <w:r>
              <w:rPr>
                <w:szCs w:val="21"/>
              </w:rPr>
              <w:t xml:space="preserve">总价（元）</w:t>
            </w:r>
            <w:r/>
          </w:p>
        </w:tc>
      </w:tr>
      <w:tr>
        <w:trPr>
          <w:jc w:val="center"/>
          <w:trHeight w:val="19"/>
        </w:trPr>
        <w:tc>
          <w:tcPr>
            <w:tcW w:w="808" w:type="dxa"/>
            <w:vAlign w:val="center"/>
            <w:textDirection w:val="lrTb"/>
            <w:noWrap w:val="false"/>
          </w:tcPr>
          <w:p>
            <w:pPr>
              <w:jc w:val="center"/>
              <w:widowControl/>
              <w:rPr>
                <w:szCs w:val="21"/>
              </w:rPr>
            </w:pPr>
            <w:r>
              <w:rPr>
                <w:szCs w:val="21"/>
              </w:rPr>
            </w:r>
            <w:r/>
          </w:p>
        </w:tc>
        <w:tc>
          <w:tcPr>
            <w:tcW w:w="802" w:type="dxa"/>
            <w:vAlign w:val="center"/>
            <w:textDirection w:val="lrTb"/>
            <w:noWrap w:val="false"/>
          </w:tcPr>
          <w:p>
            <w:pPr>
              <w:jc w:val="center"/>
              <w:spacing w:line="440" w:lineRule="exact"/>
              <w:tabs>
                <w:tab w:val="left" w:pos="-235" w:leader="none"/>
              </w:tabs>
              <w:rPr>
                <w:bCs/>
                <w:szCs w:val="21"/>
              </w:rPr>
            </w:pPr>
            <w:r>
              <w:rPr>
                <w:bCs/>
                <w:szCs w:val="21"/>
              </w:rPr>
            </w:r>
            <w:r/>
          </w:p>
        </w:tc>
        <w:tc>
          <w:tcPr>
            <w:tcW w:w="682" w:type="dxa"/>
            <w:vAlign w:val="center"/>
            <w:textDirection w:val="lrTb"/>
            <w:noWrap w:val="false"/>
          </w:tcPr>
          <w:p>
            <w:pPr>
              <w:jc w:val="center"/>
              <w:spacing w:line="440" w:lineRule="exact"/>
              <w:tabs>
                <w:tab w:val="left" w:pos="-235" w:leader="none"/>
              </w:tabs>
              <w:rPr>
                <w:bCs/>
                <w:szCs w:val="21"/>
              </w:rPr>
            </w:pPr>
            <w:r>
              <w:rPr>
                <w:bCs/>
                <w:szCs w:val="21"/>
              </w:rPr>
            </w:r>
            <w:r/>
          </w:p>
        </w:tc>
        <w:tc>
          <w:tcPr>
            <w:tcW w:w="555" w:type="dxa"/>
            <w:vAlign w:val="center"/>
            <w:textDirection w:val="lrTb"/>
            <w:noWrap w:val="false"/>
          </w:tcPr>
          <w:p>
            <w:pPr>
              <w:jc w:val="center"/>
              <w:spacing w:line="440" w:lineRule="exact"/>
              <w:tabs>
                <w:tab w:val="left" w:pos="-235" w:leader="none"/>
              </w:tabs>
              <w:rPr>
                <w:szCs w:val="21"/>
              </w:rPr>
            </w:pPr>
            <w:r>
              <w:rPr>
                <w:szCs w:val="21"/>
              </w:rPr>
            </w:r>
            <w:r/>
          </w:p>
        </w:tc>
        <w:tc>
          <w:tcPr>
            <w:tcW w:w="497" w:type="dxa"/>
            <w:vAlign w:val="center"/>
            <w:textDirection w:val="lrTb"/>
            <w:noWrap w:val="false"/>
          </w:tcPr>
          <w:p>
            <w:pPr>
              <w:jc w:val="center"/>
              <w:widowControl/>
              <w:rPr>
                <w:szCs w:val="21"/>
              </w:rPr>
            </w:pPr>
            <w:r>
              <w:rPr>
                <w:szCs w:val="21"/>
              </w:rPr>
            </w:r>
            <w:r/>
          </w:p>
        </w:tc>
        <w:tc>
          <w:tcPr>
            <w:tcW w:w="848" w:type="dxa"/>
            <w:vAlign w:val="center"/>
            <w:textDirection w:val="lrTb"/>
            <w:noWrap w:val="false"/>
          </w:tcPr>
          <w:p>
            <w:pPr>
              <w:jc w:val="center"/>
              <w:spacing w:line="440" w:lineRule="exact"/>
              <w:tabs>
                <w:tab w:val="left" w:pos="-235" w:leader="none"/>
              </w:tabs>
              <w:rPr>
                <w:szCs w:val="21"/>
              </w:rPr>
            </w:pPr>
            <w:r>
              <w:rPr>
                <w:szCs w:val="21"/>
              </w:rPr>
            </w:r>
            <w:r/>
          </w:p>
        </w:tc>
        <w:tc>
          <w:tcPr>
            <w:tcW w:w="806" w:type="dxa"/>
            <w:vAlign w:val="center"/>
            <w:textDirection w:val="lrTb"/>
            <w:noWrap w:val="false"/>
          </w:tcPr>
          <w:p>
            <w:pPr>
              <w:jc w:val="center"/>
              <w:spacing w:line="440" w:lineRule="exact"/>
              <w:tabs>
                <w:tab w:val="left" w:pos="-235" w:leader="none"/>
              </w:tabs>
              <w:rPr>
                <w:szCs w:val="21"/>
              </w:rPr>
            </w:pPr>
            <w:r>
              <w:rPr>
                <w:szCs w:val="21"/>
              </w:rPr>
            </w:r>
            <w:r/>
          </w:p>
        </w:tc>
      </w:tr>
      <w:tr>
        <w:trPr>
          <w:jc w:val="center"/>
          <w:trHeight w:val="19"/>
        </w:trPr>
        <w:tc>
          <w:tcPr>
            <w:tcW w:w="808" w:type="dxa"/>
            <w:vAlign w:val="center"/>
            <w:textDirection w:val="lrTb"/>
            <w:noWrap w:val="false"/>
          </w:tcPr>
          <w:p>
            <w:pPr>
              <w:jc w:val="center"/>
              <w:widowControl/>
              <w:rPr>
                <w:szCs w:val="21"/>
              </w:rPr>
            </w:pPr>
            <w:r>
              <w:rPr>
                <w:szCs w:val="21"/>
              </w:rPr>
            </w:r>
            <w:r/>
          </w:p>
        </w:tc>
        <w:tc>
          <w:tcPr>
            <w:tcW w:w="802" w:type="dxa"/>
            <w:vAlign w:val="center"/>
            <w:textDirection w:val="lrTb"/>
            <w:noWrap w:val="false"/>
          </w:tcPr>
          <w:p>
            <w:pPr>
              <w:jc w:val="center"/>
              <w:spacing w:line="440" w:lineRule="exact"/>
              <w:tabs>
                <w:tab w:val="left" w:pos="-235" w:leader="none"/>
              </w:tabs>
              <w:rPr>
                <w:szCs w:val="21"/>
              </w:rPr>
            </w:pPr>
            <w:r>
              <w:rPr>
                <w:szCs w:val="21"/>
              </w:rPr>
            </w:r>
            <w:r/>
          </w:p>
        </w:tc>
        <w:tc>
          <w:tcPr>
            <w:tcW w:w="682" w:type="dxa"/>
            <w:vAlign w:val="center"/>
            <w:textDirection w:val="lrTb"/>
            <w:noWrap w:val="false"/>
          </w:tcPr>
          <w:p>
            <w:pPr>
              <w:jc w:val="center"/>
              <w:spacing w:line="440" w:lineRule="exact"/>
              <w:tabs>
                <w:tab w:val="left" w:pos="-235" w:leader="none"/>
              </w:tabs>
              <w:rPr>
                <w:bCs/>
                <w:szCs w:val="21"/>
              </w:rPr>
            </w:pPr>
            <w:r>
              <w:rPr>
                <w:bCs/>
                <w:szCs w:val="21"/>
              </w:rPr>
            </w:r>
            <w:r/>
          </w:p>
        </w:tc>
        <w:tc>
          <w:tcPr>
            <w:tcW w:w="555" w:type="dxa"/>
            <w:vAlign w:val="center"/>
            <w:textDirection w:val="lrTb"/>
            <w:noWrap w:val="false"/>
          </w:tcPr>
          <w:p>
            <w:pPr>
              <w:jc w:val="center"/>
              <w:spacing w:line="440" w:lineRule="exact"/>
              <w:tabs>
                <w:tab w:val="left" w:pos="-235" w:leader="none"/>
              </w:tabs>
              <w:rPr>
                <w:szCs w:val="21"/>
              </w:rPr>
            </w:pPr>
            <w:r>
              <w:rPr>
                <w:szCs w:val="21"/>
              </w:rPr>
            </w:r>
            <w:r/>
          </w:p>
        </w:tc>
        <w:tc>
          <w:tcPr>
            <w:tcW w:w="497" w:type="dxa"/>
            <w:vAlign w:val="center"/>
            <w:textDirection w:val="lrTb"/>
            <w:noWrap w:val="false"/>
          </w:tcPr>
          <w:p>
            <w:pPr>
              <w:jc w:val="center"/>
              <w:rPr>
                <w:szCs w:val="21"/>
              </w:rPr>
            </w:pPr>
            <w:r>
              <w:rPr>
                <w:szCs w:val="21"/>
              </w:rPr>
            </w:r>
            <w:r/>
          </w:p>
        </w:tc>
        <w:tc>
          <w:tcPr>
            <w:tcW w:w="848" w:type="dxa"/>
            <w:vAlign w:val="center"/>
            <w:textDirection w:val="lrTb"/>
            <w:noWrap w:val="false"/>
          </w:tcPr>
          <w:p>
            <w:pPr>
              <w:jc w:val="center"/>
              <w:spacing w:line="440" w:lineRule="exact"/>
              <w:tabs>
                <w:tab w:val="left" w:pos="-235" w:leader="none"/>
              </w:tabs>
              <w:rPr>
                <w:szCs w:val="21"/>
              </w:rPr>
            </w:pPr>
            <w:r>
              <w:rPr>
                <w:szCs w:val="21"/>
              </w:rPr>
            </w:r>
            <w:r/>
          </w:p>
        </w:tc>
        <w:tc>
          <w:tcPr>
            <w:tcW w:w="806" w:type="dxa"/>
            <w:vAlign w:val="center"/>
            <w:textDirection w:val="lrTb"/>
            <w:noWrap w:val="false"/>
          </w:tcPr>
          <w:p>
            <w:pPr>
              <w:jc w:val="center"/>
              <w:spacing w:line="440" w:lineRule="exact"/>
              <w:tabs>
                <w:tab w:val="left" w:pos="-235" w:leader="none"/>
              </w:tabs>
              <w:rPr>
                <w:szCs w:val="21"/>
              </w:rPr>
            </w:pPr>
            <w:r>
              <w:rPr>
                <w:szCs w:val="21"/>
              </w:rPr>
            </w:r>
            <w:r/>
          </w:p>
        </w:tc>
      </w:tr>
      <w:tr>
        <w:trPr>
          <w:jc w:val="center"/>
          <w:trHeight w:val="19"/>
        </w:trPr>
        <w:tc>
          <w:tcPr>
            <w:tcW w:w="808" w:type="dxa"/>
            <w:vAlign w:val="center"/>
            <w:textDirection w:val="lrTb"/>
            <w:noWrap w:val="false"/>
          </w:tcPr>
          <w:p>
            <w:pPr>
              <w:jc w:val="center"/>
              <w:widowControl/>
            </w:pPr>
            <w:r/>
            <w:r/>
          </w:p>
        </w:tc>
        <w:tc>
          <w:tcPr>
            <w:tcW w:w="802" w:type="dxa"/>
            <w:vAlign w:val="center"/>
            <w:textDirection w:val="lrTb"/>
            <w:noWrap w:val="false"/>
          </w:tcPr>
          <w:p>
            <w:pPr>
              <w:jc w:val="center"/>
              <w:spacing w:line="440" w:lineRule="exact"/>
              <w:tabs>
                <w:tab w:val="left" w:pos="-235" w:leader="none"/>
              </w:tabs>
              <w:rPr>
                <w:szCs w:val="21"/>
              </w:rPr>
            </w:pPr>
            <w:r>
              <w:rPr>
                <w:szCs w:val="21"/>
              </w:rPr>
            </w:r>
            <w:r/>
          </w:p>
        </w:tc>
        <w:tc>
          <w:tcPr>
            <w:tcW w:w="682" w:type="dxa"/>
            <w:vAlign w:val="center"/>
            <w:textDirection w:val="lrTb"/>
            <w:noWrap w:val="false"/>
          </w:tcPr>
          <w:p>
            <w:pPr>
              <w:jc w:val="center"/>
              <w:spacing w:line="440" w:lineRule="exact"/>
              <w:tabs>
                <w:tab w:val="left" w:pos="-235" w:leader="none"/>
              </w:tabs>
              <w:rPr>
                <w:bCs/>
                <w:szCs w:val="21"/>
              </w:rPr>
            </w:pPr>
            <w:r>
              <w:rPr>
                <w:bCs/>
                <w:szCs w:val="21"/>
              </w:rPr>
            </w:r>
            <w:r/>
          </w:p>
        </w:tc>
        <w:tc>
          <w:tcPr>
            <w:tcW w:w="555" w:type="dxa"/>
            <w:vAlign w:val="center"/>
            <w:textDirection w:val="lrTb"/>
            <w:noWrap w:val="false"/>
          </w:tcPr>
          <w:p>
            <w:pPr>
              <w:jc w:val="center"/>
              <w:spacing w:line="440" w:lineRule="exact"/>
              <w:tabs>
                <w:tab w:val="left" w:pos="-235" w:leader="none"/>
              </w:tabs>
              <w:rPr>
                <w:szCs w:val="21"/>
              </w:rPr>
            </w:pPr>
            <w:r>
              <w:rPr>
                <w:szCs w:val="21"/>
              </w:rPr>
            </w:r>
            <w:r/>
          </w:p>
        </w:tc>
        <w:tc>
          <w:tcPr>
            <w:tcW w:w="497" w:type="dxa"/>
            <w:vAlign w:val="center"/>
            <w:textDirection w:val="lrTb"/>
            <w:noWrap w:val="false"/>
          </w:tcPr>
          <w:p>
            <w:pPr>
              <w:jc w:val="center"/>
              <w:rPr>
                <w:szCs w:val="21"/>
              </w:rPr>
            </w:pPr>
            <w:r>
              <w:rPr>
                <w:szCs w:val="21"/>
              </w:rPr>
            </w:r>
            <w:r/>
          </w:p>
        </w:tc>
        <w:tc>
          <w:tcPr>
            <w:tcW w:w="848" w:type="dxa"/>
            <w:vAlign w:val="center"/>
            <w:textDirection w:val="lrTb"/>
            <w:noWrap w:val="false"/>
          </w:tcPr>
          <w:p>
            <w:pPr>
              <w:jc w:val="center"/>
              <w:spacing w:line="440" w:lineRule="exact"/>
              <w:tabs>
                <w:tab w:val="left" w:pos="-235" w:leader="none"/>
              </w:tabs>
              <w:rPr>
                <w:szCs w:val="21"/>
              </w:rPr>
            </w:pPr>
            <w:r>
              <w:rPr>
                <w:szCs w:val="21"/>
              </w:rPr>
            </w:r>
            <w:r/>
          </w:p>
        </w:tc>
        <w:tc>
          <w:tcPr>
            <w:tcW w:w="806" w:type="dxa"/>
            <w:vAlign w:val="center"/>
            <w:textDirection w:val="lrTb"/>
            <w:noWrap w:val="false"/>
          </w:tcPr>
          <w:p>
            <w:pPr>
              <w:jc w:val="center"/>
              <w:spacing w:line="440" w:lineRule="exact"/>
              <w:tabs>
                <w:tab w:val="left" w:pos="-235" w:leader="none"/>
              </w:tabs>
              <w:rPr>
                <w:szCs w:val="21"/>
              </w:rPr>
            </w:pPr>
            <w:r>
              <w:rPr>
                <w:szCs w:val="21"/>
              </w:rPr>
            </w:r>
            <w:r/>
          </w:p>
        </w:tc>
      </w:tr>
      <w:tr>
        <w:trPr>
          <w:jc w:val="center"/>
          <w:trHeight w:val="19"/>
        </w:trPr>
        <w:tc>
          <w:tcPr>
            <w:tcW w:w="808" w:type="dxa"/>
            <w:vAlign w:val="center"/>
            <w:textDirection w:val="lrTb"/>
            <w:noWrap w:val="false"/>
          </w:tcPr>
          <w:p>
            <w:pPr>
              <w:jc w:val="center"/>
              <w:widowControl/>
            </w:pPr>
            <w:r/>
            <w:r/>
          </w:p>
        </w:tc>
        <w:tc>
          <w:tcPr>
            <w:tcW w:w="802" w:type="dxa"/>
            <w:vAlign w:val="center"/>
            <w:textDirection w:val="lrTb"/>
            <w:noWrap w:val="false"/>
          </w:tcPr>
          <w:p>
            <w:pPr>
              <w:jc w:val="center"/>
              <w:spacing w:line="440" w:lineRule="exact"/>
              <w:tabs>
                <w:tab w:val="left" w:pos="-235" w:leader="none"/>
              </w:tabs>
              <w:rPr>
                <w:szCs w:val="21"/>
              </w:rPr>
            </w:pPr>
            <w:r>
              <w:rPr>
                <w:szCs w:val="21"/>
              </w:rPr>
            </w:r>
            <w:r/>
          </w:p>
        </w:tc>
        <w:tc>
          <w:tcPr>
            <w:tcW w:w="682" w:type="dxa"/>
            <w:vAlign w:val="center"/>
            <w:textDirection w:val="lrTb"/>
            <w:noWrap w:val="false"/>
          </w:tcPr>
          <w:p>
            <w:pPr>
              <w:jc w:val="center"/>
              <w:spacing w:line="440" w:lineRule="exact"/>
              <w:tabs>
                <w:tab w:val="left" w:pos="-235" w:leader="none"/>
              </w:tabs>
              <w:rPr>
                <w:bCs/>
                <w:szCs w:val="21"/>
              </w:rPr>
            </w:pPr>
            <w:r>
              <w:rPr>
                <w:bCs/>
                <w:szCs w:val="21"/>
              </w:rPr>
            </w:r>
            <w:r/>
          </w:p>
        </w:tc>
        <w:tc>
          <w:tcPr>
            <w:tcW w:w="555" w:type="dxa"/>
            <w:vAlign w:val="center"/>
            <w:textDirection w:val="lrTb"/>
            <w:noWrap w:val="false"/>
          </w:tcPr>
          <w:p>
            <w:pPr>
              <w:jc w:val="center"/>
              <w:spacing w:line="440" w:lineRule="exact"/>
              <w:tabs>
                <w:tab w:val="left" w:pos="-235" w:leader="none"/>
              </w:tabs>
              <w:rPr>
                <w:szCs w:val="21"/>
              </w:rPr>
            </w:pPr>
            <w:r>
              <w:rPr>
                <w:szCs w:val="21"/>
              </w:rPr>
            </w:r>
            <w:r/>
          </w:p>
        </w:tc>
        <w:tc>
          <w:tcPr>
            <w:tcW w:w="497" w:type="dxa"/>
            <w:vAlign w:val="center"/>
            <w:textDirection w:val="lrTb"/>
            <w:noWrap w:val="false"/>
          </w:tcPr>
          <w:p>
            <w:pPr>
              <w:jc w:val="center"/>
              <w:rPr>
                <w:szCs w:val="21"/>
              </w:rPr>
            </w:pPr>
            <w:r>
              <w:rPr>
                <w:szCs w:val="21"/>
              </w:rPr>
            </w:r>
            <w:r/>
          </w:p>
        </w:tc>
        <w:tc>
          <w:tcPr>
            <w:tcW w:w="848" w:type="dxa"/>
            <w:vAlign w:val="center"/>
            <w:textDirection w:val="lrTb"/>
            <w:noWrap w:val="false"/>
          </w:tcPr>
          <w:p>
            <w:pPr>
              <w:jc w:val="center"/>
              <w:spacing w:line="440" w:lineRule="exact"/>
              <w:tabs>
                <w:tab w:val="left" w:pos="-235" w:leader="none"/>
              </w:tabs>
              <w:rPr>
                <w:szCs w:val="21"/>
              </w:rPr>
            </w:pPr>
            <w:r>
              <w:rPr>
                <w:szCs w:val="21"/>
              </w:rPr>
            </w:r>
            <w:r/>
          </w:p>
        </w:tc>
        <w:tc>
          <w:tcPr>
            <w:tcW w:w="806" w:type="dxa"/>
            <w:vAlign w:val="center"/>
            <w:textDirection w:val="lrTb"/>
            <w:noWrap w:val="false"/>
          </w:tcPr>
          <w:p>
            <w:pPr>
              <w:jc w:val="center"/>
              <w:spacing w:line="440" w:lineRule="exact"/>
              <w:tabs>
                <w:tab w:val="left" w:pos="-235" w:leader="none"/>
              </w:tabs>
              <w:rPr>
                <w:szCs w:val="21"/>
              </w:rPr>
            </w:pPr>
            <w:r>
              <w:rPr>
                <w:szCs w:val="21"/>
              </w:rPr>
            </w:r>
            <w:r/>
          </w:p>
        </w:tc>
      </w:tr>
      <w:tr>
        <w:trPr>
          <w:jc w:val="center"/>
          <w:trHeight w:val="19"/>
        </w:trPr>
        <w:tc>
          <w:tcPr>
            <w:gridSpan w:val="4"/>
            <w:tcW w:w="5673" w:type="dxa"/>
            <w:vAlign w:val="center"/>
            <w:textDirection w:val="lrTb"/>
            <w:noWrap w:val="false"/>
          </w:tcPr>
          <w:p>
            <w:pPr>
              <w:jc w:val="center"/>
              <w:spacing w:line="440" w:lineRule="exact"/>
              <w:tabs>
                <w:tab w:val="left" w:pos="-235" w:leader="none"/>
              </w:tabs>
              <w:rPr>
                <w:szCs w:val="21"/>
              </w:rPr>
            </w:pPr>
            <w:r>
              <w:rPr>
                <w:bCs/>
                <w:szCs w:val="21"/>
              </w:rPr>
              <w:t xml:space="preserve">合计（元）</w:t>
            </w:r>
            <w:r/>
          </w:p>
        </w:tc>
        <w:tc>
          <w:tcPr>
            <w:gridSpan w:val="3"/>
            <w:tcW w:w="4289" w:type="dxa"/>
            <w:vAlign w:val="center"/>
            <w:textDirection w:val="lrTb"/>
            <w:noWrap w:val="false"/>
          </w:tcPr>
          <w:p>
            <w:pPr>
              <w:spacing w:line="440" w:lineRule="exact"/>
              <w:tabs>
                <w:tab w:val="left" w:pos="-235" w:leader="none"/>
              </w:tabs>
              <w:rPr>
                <w:szCs w:val="21"/>
              </w:rPr>
            </w:pPr>
            <w:r>
              <w:rPr>
                <w:szCs w:val="21"/>
              </w:rPr>
              <w:t xml:space="preserve">￥</w:t>
            </w:r>
            <w:r/>
          </w:p>
        </w:tc>
      </w:tr>
    </w:tbl>
    <w:p>
      <w:pPr>
        <w:ind w:firstLine="420"/>
        <w:jc w:val="left"/>
        <w:spacing w:line="360" w:lineRule="auto"/>
        <w:tabs>
          <w:tab w:val="left" w:pos="4785" w:leader="none"/>
        </w:tabs>
        <w:rPr>
          <w:bCs/>
          <w:szCs w:val="21"/>
        </w:rPr>
      </w:pPr>
      <w:r>
        <w:rPr>
          <w:szCs w:val="21"/>
        </w:rPr>
        <w:t xml:space="preserve">2.合同总价（大写）：</w:t>
      </w:r>
      <w:r>
        <w:rPr>
          <w:b/>
          <w:bCs/>
          <w:szCs w:val="21"/>
        </w:rPr>
        <w:t xml:space="preserve">人民币</w:t>
      </w:r>
      <w:r>
        <w:rPr>
          <w:b/>
          <w:bCs/>
          <w:szCs w:val="21"/>
          <w:u w:val="single"/>
        </w:rPr>
        <w:t xml:space="preserve">               </w:t>
      </w:r>
      <w:r>
        <w:rPr>
          <w:szCs w:val="21"/>
        </w:rPr>
        <w:t xml:space="preserve">。</w:t>
      </w:r>
      <w:r>
        <w:rPr>
          <w:bCs/>
          <w:szCs w:val="21"/>
        </w:rPr>
        <w:t xml:space="preserve">（含税）</w:t>
      </w:r>
      <w:r/>
    </w:p>
    <w:p>
      <w:pPr>
        <w:ind w:firstLine="1470"/>
        <w:jc w:val="left"/>
        <w:spacing w:line="360" w:lineRule="auto"/>
        <w:tabs>
          <w:tab w:val="left" w:pos="4785" w:leader="none"/>
        </w:tabs>
        <w:rPr>
          <w:bCs/>
          <w:szCs w:val="21"/>
        </w:rPr>
      </w:pPr>
      <w:r>
        <w:rPr>
          <w:bCs/>
          <w:szCs w:val="21"/>
        </w:rPr>
        <w:t xml:space="preserve">（小写）：</w:t>
      </w:r>
      <w:r>
        <w:rPr>
          <w:b/>
          <w:bCs/>
          <w:szCs w:val="21"/>
        </w:rPr>
        <w:t xml:space="preserve">￥</w:t>
      </w:r>
      <w:r>
        <w:rPr>
          <w:b/>
          <w:bCs/>
          <w:szCs w:val="21"/>
          <w:u w:val="single"/>
        </w:rPr>
        <w:t xml:space="preserve">       </w:t>
      </w:r>
      <w:r>
        <w:rPr>
          <w:b/>
          <w:bCs/>
          <w:szCs w:val="21"/>
        </w:rPr>
        <w:t xml:space="preserve">元。</w:t>
      </w:r>
      <w:r/>
    </w:p>
    <w:p>
      <w:pPr>
        <w:ind w:firstLine="420"/>
        <w:spacing w:line="360" w:lineRule="auto"/>
        <w:rPr>
          <w:szCs w:val="21"/>
        </w:rPr>
      </w:pPr>
      <w:r>
        <w:rPr>
          <w:szCs w:val="21"/>
        </w:rPr>
        <w:t xml:space="preserve">2.1合同总</w:t>
      </w:r>
      <w:r>
        <w:rPr>
          <w:bCs/>
          <w:szCs w:val="21"/>
        </w:rPr>
        <w:t xml:space="preserve">价，</w:t>
      </w:r>
      <w:r>
        <w:rPr>
          <w:szCs w:val="21"/>
        </w:rPr>
        <w:t xml:space="preserve">应包括本次采购范围内全部设备、材料、随设备提供的备品配件及专用工具的价格、全部税费、包装费、运杂费（运抵买方指定地点）、保险费、安装费、调试费、买方操作维护人员培训费、验收检定费（取得法定计量检定机构有效溯源证书并证明合格）及供应商认为需要的其他费用等，本合同执行期间合同总价款不变。</w:t>
      </w:r>
      <w:r/>
    </w:p>
    <w:p>
      <w:pPr>
        <w:ind w:firstLine="420"/>
        <w:jc w:val="left"/>
        <w:spacing w:line="360" w:lineRule="auto"/>
        <w:tabs>
          <w:tab w:val="left" w:pos="4785" w:leader="none"/>
        </w:tabs>
        <w:rPr>
          <w:szCs w:val="21"/>
        </w:rPr>
      </w:pPr>
      <w:r>
        <w:rPr>
          <w:szCs w:val="21"/>
        </w:rPr>
        <w:t xml:space="preserve">2.2 在安装、调试、验收过程中，如发现有漏项、缺件，乙方应无条件、无偿补齐，所发生的一切费用，视为已包含在乙方投标时的投标报价之中，且并不因此而影响交付甲方使用的时间。</w:t>
      </w:r>
      <w:r/>
    </w:p>
    <w:p>
      <w:pPr>
        <w:ind w:left="108" w:firstLine="420"/>
        <w:jc w:val="left"/>
        <w:spacing w:line="440" w:lineRule="exact"/>
        <w:tabs>
          <w:tab w:val="left" w:pos="4785" w:leader="none"/>
        </w:tabs>
        <w:rPr>
          <w:szCs w:val="21"/>
        </w:rPr>
      </w:pPr>
      <w:r>
        <w:rPr>
          <w:szCs w:val="21"/>
        </w:rPr>
        <w:t xml:space="preserve">3. 交付使用时间：</w:t>
      </w:r>
      <w:r>
        <w:rPr>
          <w:b/>
          <w:szCs w:val="21"/>
          <w:u w:val="single"/>
        </w:rPr>
        <w:t xml:space="preserve">合同签订后</w:t>
      </w:r>
      <w:r>
        <w:rPr>
          <w:rFonts w:hint="eastAsia"/>
          <w:b/>
          <w:szCs w:val="21"/>
          <w:u w:val="single"/>
        </w:rPr>
        <w:t xml:space="preserve">  </w:t>
      </w:r>
      <w:r>
        <w:rPr>
          <w:b/>
          <w:szCs w:val="21"/>
          <w:u w:val="single"/>
        </w:rPr>
        <w:t xml:space="preserve">个月内供齐所有货物及服务，完成安装、调试及初步验收。</w:t>
      </w:r>
      <w:r/>
    </w:p>
    <w:p>
      <w:pPr>
        <w:ind w:firstLine="525"/>
        <w:spacing w:line="440" w:lineRule="exact"/>
        <w:rPr>
          <w:szCs w:val="21"/>
        </w:rPr>
      </w:pPr>
      <w:r>
        <w:rPr>
          <w:szCs w:val="21"/>
        </w:rPr>
        <w:t xml:space="preserve">4. 收货人：</w:t>
      </w:r>
      <w:r>
        <w:rPr>
          <w:b/>
          <w:szCs w:val="21"/>
          <w:u w:val="single"/>
        </w:rPr>
        <w:t xml:space="preserve">江苏省特种设备安全监督检验研究院</w:t>
      </w:r>
      <w:r>
        <w:rPr>
          <w:szCs w:val="21"/>
          <w:u w:val="single"/>
        </w:rPr>
        <w:t xml:space="preserve">。</w:t>
      </w:r>
      <w:r/>
    </w:p>
    <w:p>
      <w:pPr>
        <w:ind w:firstLine="525"/>
        <w:spacing w:line="440" w:lineRule="exact"/>
        <w:tabs>
          <w:tab w:val="left" w:pos="-235" w:leader="none"/>
        </w:tabs>
        <w:rPr>
          <w:szCs w:val="21"/>
          <w:u w:val="single"/>
        </w:rPr>
      </w:pPr>
      <w:r>
        <w:rPr>
          <w:szCs w:val="21"/>
        </w:rPr>
        <w:t xml:space="preserve">5. 交货地点：</w:t>
      </w:r>
      <w:r>
        <w:rPr>
          <w:b/>
          <w:bCs/>
          <w:szCs w:val="21"/>
          <w:u w:val="single"/>
        </w:rPr>
        <w:t xml:space="preserve">甲方指定地点。</w:t>
      </w:r>
      <w:r/>
    </w:p>
    <w:p>
      <w:pPr>
        <w:ind w:firstLine="525"/>
        <w:spacing w:line="440" w:lineRule="exact"/>
        <w:tabs>
          <w:tab w:val="left" w:pos="-235" w:leader="none"/>
        </w:tabs>
        <w:rPr>
          <w:szCs w:val="21"/>
          <w:u w:val="single"/>
        </w:rPr>
      </w:pPr>
      <w:r>
        <w:rPr>
          <w:szCs w:val="21"/>
        </w:rPr>
        <w:t xml:space="preserve">6. 设备的制造应符合下列标准或规范并据此验收：</w:t>
      </w:r>
      <w:r>
        <w:rPr>
          <w:b/>
          <w:bCs/>
          <w:szCs w:val="21"/>
          <w:u w:val="single"/>
        </w:rPr>
        <w:t xml:space="preserve">招标文件、投标文件、双方签订的技术协议和国家的相关标准。</w:t>
      </w:r>
      <w:r>
        <w:t xml:space="preserve">（上述标准或规范不一致时，则以要求较高者为准。）</w:t>
      </w:r>
      <w:r/>
    </w:p>
    <w:p>
      <w:pPr>
        <w:ind w:left="108" w:firstLine="420"/>
        <w:jc w:val="left"/>
        <w:spacing w:line="440" w:lineRule="exact"/>
        <w:tabs>
          <w:tab w:val="left" w:pos="4785" w:leader="none"/>
        </w:tabs>
        <w:rPr>
          <w:szCs w:val="21"/>
        </w:rPr>
      </w:pPr>
      <w:r>
        <w:rPr>
          <w:szCs w:val="21"/>
        </w:rPr>
        <w:t xml:space="preserve">7. 包装要求：全部货物的外包装，必须采用防漏、防潮、防震、防锈、防盗和考虑到可能会发生的野蛮装卸等长途内陆运输及多次装卸之需要。</w:t>
      </w:r>
      <w:r/>
    </w:p>
    <w:p>
      <w:pPr>
        <w:ind w:firstLine="420"/>
        <w:jc w:val="left"/>
        <w:spacing w:line="360" w:lineRule="auto"/>
        <w:tabs>
          <w:tab w:val="left" w:pos="4785" w:leader="none"/>
        </w:tabs>
        <w:rPr>
          <w:szCs w:val="21"/>
        </w:rPr>
      </w:pPr>
      <w:r>
        <w:rPr>
          <w:szCs w:val="21"/>
        </w:rPr>
        <w:t xml:space="preserve">8. 甲方付款方式及期限：</w:t>
      </w:r>
      <w:r/>
    </w:p>
    <w:p>
      <w:pPr>
        <w:ind w:firstLine="420"/>
        <w:jc w:val="left"/>
        <w:spacing w:line="360" w:lineRule="auto"/>
        <w:tabs>
          <w:tab w:val="left" w:pos="4785" w:leader="none"/>
        </w:tabs>
        <w:rPr>
          <w:szCs w:val="21"/>
        </w:rPr>
      </w:pPr>
      <w:r>
        <w:rPr>
          <w:szCs w:val="21"/>
        </w:rPr>
        <w:t xml:space="preserve">8.1合同签订生效后，甲方向乙方支付合同总价的50%；乙方在按照合同规定的期限内将设备、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p>
    <w:p>
      <w:pPr>
        <w:ind w:firstLine="420"/>
        <w:jc w:val="left"/>
        <w:spacing w:line="360" w:lineRule="auto"/>
        <w:tabs>
          <w:tab w:val="left" w:pos="4785" w:leader="none"/>
        </w:tabs>
        <w:rPr>
          <w:szCs w:val="21"/>
        </w:rPr>
      </w:pPr>
      <w:r>
        <w:rPr>
          <w:szCs w:val="21"/>
        </w:rPr>
        <w:t xml:space="preserve">8.2履约保函</w:t>
      </w:r>
      <w:r/>
    </w:p>
    <w:p>
      <w:pPr>
        <w:ind w:firstLine="420"/>
        <w:jc w:val="left"/>
        <w:spacing w:line="360" w:lineRule="auto"/>
        <w:tabs>
          <w:tab w:val="left" w:pos="4785" w:leader="none"/>
        </w:tabs>
        <w:rPr>
          <w:szCs w:val="21"/>
        </w:rPr>
      </w:pPr>
      <w:r>
        <w:rPr>
          <w:szCs w:val="21"/>
        </w:rPr>
        <w:t xml:space="preserve">（1）履约保函金额：合同总价10%；</w:t>
      </w:r>
      <w:r/>
    </w:p>
    <w:p>
      <w:pPr>
        <w:ind w:firstLine="420"/>
        <w:jc w:val="left"/>
        <w:spacing w:line="360" w:lineRule="auto"/>
        <w:tabs>
          <w:tab w:val="left" w:pos="4785" w:leader="none"/>
        </w:tabs>
        <w:rPr>
          <w:szCs w:val="21"/>
        </w:rPr>
      </w:pPr>
      <w:r>
        <w:rPr>
          <w:szCs w:val="21"/>
        </w:rPr>
        <w:t xml:space="preserve">（2）履约保函的形式：乙方应当以支票、汇票、本票或者金融机构、担保机构出具的保函等非现金形式提交；</w:t>
      </w:r>
      <w:r/>
    </w:p>
    <w:p>
      <w:pPr>
        <w:ind w:firstLine="420"/>
        <w:jc w:val="left"/>
        <w:spacing w:line="360" w:lineRule="auto"/>
        <w:tabs>
          <w:tab w:val="left" w:pos="4785" w:leader="none"/>
        </w:tabs>
        <w:rPr>
          <w:szCs w:val="21"/>
        </w:rPr>
      </w:pPr>
      <w:r>
        <w:rPr>
          <w:szCs w:val="21"/>
        </w:rPr>
        <w:t xml:space="preserve">（3）履约保函的退还：在设备通过甲方验收合格且满12个月无质量问题后的15个工作日内，甲方将无息退还乙方的履约保函；</w:t>
      </w:r>
      <w:r/>
    </w:p>
    <w:p>
      <w:pPr>
        <w:ind w:firstLine="420"/>
        <w:jc w:val="left"/>
        <w:spacing w:line="360" w:lineRule="auto"/>
        <w:tabs>
          <w:tab w:val="left" w:pos="4785" w:leader="none"/>
        </w:tabs>
        <w:rPr>
          <w:szCs w:val="21"/>
        </w:rPr>
      </w:pPr>
      <w:r>
        <w:rPr>
          <w:szCs w:val="21"/>
        </w:rPr>
        <w:t xml:space="preserve">（4）逾期退还履约保函的处理：甲方未按照规定退还履约保函的（因乙方自身原因导致无法及时退还的除外），由财政部门依照《中华人民共和国政府采购法》等有关规定处理；</w:t>
      </w:r>
      <w:r/>
    </w:p>
    <w:p>
      <w:pPr>
        <w:ind w:firstLine="420"/>
        <w:jc w:val="left"/>
        <w:spacing w:line="360" w:lineRule="auto"/>
        <w:tabs>
          <w:tab w:val="left" w:pos="4785" w:leader="none"/>
        </w:tabs>
        <w:rPr>
          <w:szCs w:val="21"/>
        </w:rPr>
      </w:pPr>
      <w:r>
        <w:rPr>
          <w:szCs w:val="21"/>
        </w:rPr>
        <w:t xml:space="preserve">（5）不予退还履约保函的处理：对于符合政府采购政策和招标文件规定不予退还的履约保函，甲方应当确认相关情形后按照财政非税收入管理等规定上缴甲方同级预算级次国库。</w:t>
      </w:r>
      <w:r/>
    </w:p>
    <w:p>
      <w:pPr>
        <w:numPr>
          <w:ilvl w:val="0"/>
          <w:numId w:val="34"/>
        </w:numPr>
        <w:ind w:firstLine="420"/>
        <w:jc w:val="left"/>
        <w:spacing w:line="360" w:lineRule="auto"/>
        <w:tabs>
          <w:tab w:val="left" w:pos="4785" w:leader="none"/>
        </w:tabs>
        <w:rPr>
          <w:szCs w:val="21"/>
        </w:rPr>
      </w:pPr>
      <w:r>
        <w:rPr>
          <w:szCs w:val="21"/>
        </w:rPr>
        <w:t xml:space="preserve">交付和验收</w:t>
      </w:r>
      <w:r/>
    </w:p>
    <w:p>
      <w:pPr>
        <w:ind w:firstLine="630"/>
        <w:jc w:val="left"/>
        <w:spacing w:line="360" w:lineRule="auto"/>
        <w:rPr>
          <w:szCs w:val="21"/>
        </w:rPr>
      </w:pPr>
      <w:r>
        <w:rPr>
          <w:szCs w:val="21"/>
        </w:rPr>
        <w:t xml:space="preserve">9.1乙方应当在合同签订后，根据招标文件及投标文件的要求完成服务事项。</w:t>
      </w:r>
      <w:r/>
    </w:p>
    <w:p>
      <w:pPr>
        <w:ind w:firstLine="630"/>
        <w:jc w:val="left"/>
        <w:spacing w:line="360" w:lineRule="auto"/>
        <w:rPr>
          <w:szCs w:val="21"/>
        </w:rPr>
      </w:pPr>
      <w:r>
        <w:rPr>
          <w:szCs w:val="21"/>
        </w:rPr>
        <w:t xml:space="preserve">9.2验收标准：按行业通行标准和乙方投标文件的承诺（不低于国家相关标准）。</w:t>
      </w:r>
      <w:r/>
    </w:p>
    <w:p>
      <w:pPr>
        <w:ind w:firstLine="630"/>
        <w:jc w:val="left"/>
        <w:spacing w:line="360" w:lineRule="auto"/>
        <w:rPr>
          <w:szCs w:val="21"/>
        </w:rPr>
      </w:pPr>
      <w:r>
        <w:rPr>
          <w:szCs w:val="21"/>
        </w:rPr>
        <w:t xml:space="preserve">9.3验收方式：所提供的设备（含服务）符合招标文件及投标文件、双方签订的技术协议和国家的相关标准，综合验收合格后，经甲方项目负责人确认填写项目验收报告。</w:t>
      </w:r>
      <w:r/>
    </w:p>
    <w:p>
      <w:pPr>
        <w:ind w:firstLine="420"/>
        <w:jc w:val="left"/>
        <w:spacing w:line="360" w:lineRule="auto"/>
        <w:tabs>
          <w:tab w:val="left" w:pos="4785" w:leader="none"/>
        </w:tabs>
        <w:rPr>
          <w:szCs w:val="21"/>
        </w:rPr>
      </w:pPr>
      <w:r>
        <w:rPr>
          <w:szCs w:val="21"/>
        </w:rPr>
        <w:t xml:space="preserve">10. 质保期及售后服务</w:t>
      </w:r>
      <w:r/>
    </w:p>
    <w:p>
      <w:pPr>
        <w:ind w:firstLine="420"/>
        <w:jc w:val="left"/>
        <w:spacing w:line="360" w:lineRule="auto"/>
        <w:tabs>
          <w:tab w:val="left" w:pos="4785" w:leader="none"/>
        </w:tabs>
        <w:rPr>
          <w:b/>
          <w:bCs/>
          <w:szCs w:val="21"/>
        </w:rPr>
      </w:pPr>
      <w:r>
        <w:rPr>
          <w:szCs w:val="21"/>
        </w:rPr>
        <w:t xml:space="preserve">10.1 乙方所供设备、材料及安装的质量保证期：</w:t>
      </w:r>
      <w:r>
        <w:rPr>
          <w:b/>
          <w:bCs/>
          <w:szCs w:val="21"/>
          <w:u w:val="single"/>
        </w:rPr>
        <w:t xml:space="preserve">安装验收合格后</w:t>
      </w:r>
      <w:r>
        <w:rPr>
          <w:rFonts w:hint="eastAsia"/>
          <w:b/>
          <w:bCs/>
          <w:szCs w:val="21"/>
          <w:u w:val="single"/>
        </w:rPr>
        <w:t xml:space="preserve">  </w:t>
      </w:r>
      <w:r>
        <w:rPr>
          <w:b/>
          <w:bCs/>
          <w:szCs w:val="21"/>
          <w:u w:val="single"/>
        </w:rPr>
        <w:t xml:space="preserve">年。</w:t>
      </w:r>
      <w:r/>
    </w:p>
    <w:p>
      <w:pPr>
        <w:ind w:firstLine="420"/>
        <w:jc w:val="left"/>
        <w:spacing w:line="360" w:lineRule="auto"/>
        <w:tabs>
          <w:tab w:val="left" w:pos="4785" w:leader="none"/>
        </w:tabs>
        <w:rPr>
          <w:szCs w:val="21"/>
        </w:rPr>
      </w:pPr>
      <w:r>
        <w:rPr>
          <w:szCs w:val="21"/>
        </w:rPr>
        <w:t xml:space="preserve">10.2 在质保期内，因乙方所供设备、材料制造质量或安装问题出现设备故障时，乙方在接到甲方通知(包括书面通知、电话、传真、电子邮件等)2小时内予以回复，8小时内提出解决方案，36小时内派有经验的技术人员到达工作现场，履行保修义务，免费予以排除故障、修复，无法修复应更换所供设备。乙方还应支付因更换所发生的运输、保险、安装、检测等有关的全部费用。</w:t>
      </w:r>
      <w:r/>
    </w:p>
    <w:p>
      <w:pPr>
        <w:ind w:firstLine="420"/>
        <w:jc w:val="left"/>
        <w:spacing w:line="360" w:lineRule="auto"/>
        <w:tabs>
          <w:tab w:val="left" w:pos="4785" w:leader="none"/>
        </w:tabs>
        <w:rPr>
          <w:szCs w:val="21"/>
        </w:rPr>
      </w:pPr>
      <w:r>
        <w:rPr>
          <w:szCs w:val="21"/>
        </w:rPr>
        <w:t xml:space="preserve">10.3 在质保期内，因甲方使用不当原因出现设备故障时，乙方在接甲方通知后，应在10.2条款中所述的时限内响应并派设备厂家工程师赶到甲方现场，帮助排除故障、修复或更换零部件，需购买零部件时，仅收取成本费。</w:t>
      </w:r>
      <w:r/>
    </w:p>
    <w:p>
      <w:pPr>
        <w:ind w:firstLine="420"/>
        <w:jc w:val="left"/>
        <w:spacing w:line="360" w:lineRule="auto"/>
        <w:tabs>
          <w:tab w:val="left" w:pos="4785" w:leader="none"/>
        </w:tabs>
        <w:rPr>
          <w:szCs w:val="21"/>
        </w:rPr>
      </w:pPr>
      <w:r>
        <w:rPr>
          <w:szCs w:val="21"/>
        </w:rPr>
        <w:t xml:space="preserve">10.4 质保期满后，如设备出现故障，乙方在接甲方通知后，仍应在上述时限内响应、派设备厂家工程师赶到甲方现场，帮助排除故障、修复或更换零部件，需购买零部件时，酌情收取成本费。</w:t>
      </w:r>
      <w:r/>
    </w:p>
    <w:p>
      <w:pPr>
        <w:ind w:firstLine="420"/>
        <w:jc w:val="left"/>
        <w:spacing w:line="360" w:lineRule="auto"/>
        <w:tabs>
          <w:tab w:val="left" w:pos="4785" w:leader="none"/>
        </w:tabs>
        <w:rPr>
          <w:szCs w:val="21"/>
        </w:rPr>
      </w:pPr>
      <w:r>
        <w:rPr>
          <w:szCs w:val="21"/>
        </w:rPr>
        <w:t xml:space="preserve">11. 技术资料</w:t>
      </w:r>
      <w:r/>
    </w:p>
    <w:p>
      <w:pPr>
        <w:ind w:firstLine="420"/>
        <w:jc w:val="left"/>
        <w:spacing w:line="360" w:lineRule="auto"/>
        <w:tabs>
          <w:tab w:val="left" w:pos="4785" w:leader="none"/>
        </w:tabs>
        <w:rPr>
          <w:szCs w:val="21"/>
        </w:rPr>
      </w:pPr>
      <w:r>
        <w:rPr>
          <w:szCs w:val="21"/>
        </w:rPr>
        <w:t xml:space="preserve">按第四章技术规格、参数及其他要求中的要求提供相关资料（见附件）。</w:t>
      </w:r>
      <w:r/>
    </w:p>
    <w:p>
      <w:pPr>
        <w:ind w:firstLine="420"/>
        <w:jc w:val="left"/>
        <w:spacing w:line="360" w:lineRule="auto"/>
        <w:tabs>
          <w:tab w:val="left" w:pos="4785" w:leader="none"/>
        </w:tabs>
        <w:rPr>
          <w:szCs w:val="21"/>
        </w:rPr>
      </w:pPr>
      <w:r>
        <w:rPr>
          <w:szCs w:val="21"/>
        </w:rPr>
        <w:t xml:space="preserve">12.货物风险承担</w:t>
      </w:r>
      <w:r/>
    </w:p>
    <w:p>
      <w:pPr>
        <w:ind w:firstLine="420"/>
        <w:jc w:val="left"/>
        <w:spacing w:line="360" w:lineRule="auto"/>
        <w:tabs>
          <w:tab w:val="left" w:pos="4785" w:leader="none"/>
        </w:tabs>
        <w:rPr>
          <w:szCs w:val="21"/>
        </w:rPr>
      </w:pPr>
      <w:r>
        <w:rPr>
          <w:szCs w:val="21"/>
        </w:rPr>
        <w:t xml:space="preserve">12.1乙方应当按照甲方指定的地点交货，需要运输的货物，乙方应当妥善保障货物在运输过程中的安全。</w:t>
      </w:r>
      <w:r/>
    </w:p>
    <w:p>
      <w:pPr>
        <w:ind w:firstLine="420"/>
        <w:jc w:val="left"/>
        <w:spacing w:line="360" w:lineRule="auto"/>
        <w:tabs>
          <w:tab w:val="left" w:pos="4785" w:leader="none"/>
        </w:tabs>
        <w:rPr>
          <w:szCs w:val="21"/>
        </w:rPr>
      </w:pPr>
      <w:r>
        <w:rPr>
          <w:szCs w:val="21"/>
        </w:rPr>
        <w:t xml:space="preserve">12.2乙方将货物运输至甲方指定的地点后，应当及时通知甲方进行接收，由甲方进行检验。</w:t>
      </w:r>
      <w:r/>
    </w:p>
    <w:p>
      <w:pPr>
        <w:ind w:firstLine="420"/>
        <w:jc w:val="left"/>
        <w:spacing w:line="360" w:lineRule="auto"/>
        <w:tabs>
          <w:tab w:val="left" w:pos="4785" w:leader="none"/>
        </w:tabs>
        <w:rPr>
          <w:szCs w:val="21"/>
        </w:rPr>
      </w:pPr>
      <w:r>
        <w:rPr>
          <w:szCs w:val="21"/>
        </w:rPr>
        <w:t xml:space="preserve">12.3在货物验收合格之前毁损、灭失的风险由乙方承担，因甲方原因造成货物毁损、灭失的除外。</w:t>
      </w:r>
      <w:r/>
    </w:p>
    <w:p>
      <w:pPr>
        <w:ind w:firstLine="420"/>
        <w:jc w:val="left"/>
        <w:spacing w:line="360" w:lineRule="auto"/>
        <w:tabs>
          <w:tab w:val="left" w:pos="4785" w:leader="none"/>
        </w:tabs>
        <w:rPr>
          <w:szCs w:val="21"/>
        </w:rPr>
      </w:pPr>
      <w:r>
        <w:rPr>
          <w:szCs w:val="21"/>
        </w:rPr>
        <w:t xml:space="preserve">13. 乙方的违约责任</w:t>
      </w:r>
      <w:r/>
    </w:p>
    <w:p>
      <w:pPr>
        <w:ind w:firstLine="420"/>
        <w:jc w:val="left"/>
        <w:spacing w:line="360" w:lineRule="auto"/>
        <w:tabs>
          <w:tab w:val="left" w:pos="4785" w:leader="none"/>
        </w:tabs>
        <w:rPr>
          <w:szCs w:val="21"/>
        </w:rPr>
      </w:pPr>
      <w:r>
        <w:rPr>
          <w:szCs w:val="21"/>
        </w:rPr>
        <w:t xml:space="preserve">13.1乙方未按合同规定的质量要求交货，甲方有权拒收，由此造成的直接损失和间接损失由乙方承担。</w:t>
      </w:r>
      <w:r/>
    </w:p>
    <w:p>
      <w:pPr>
        <w:ind w:firstLine="420"/>
        <w:jc w:val="left"/>
        <w:spacing w:line="360" w:lineRule="auto"/>
        <w:widowControl/>
        <w:rPr>
          <w:szCs w:val="21"/>
        </w:rPr>
      </w:pPr>
      <w:r>
        <w:rPr>
          <w:szCs w:val="21"/>
        </w:rPr>
        <w:t xml:space="preserve">13.2乙方逾期交付的，每逾期1天，乙方应向甲方支付合同总价款的5‰的逾期违约金。</w:t>
      </w:r>
      <w:r/>
    </w:p>
    <w:p>
      <w:pPr>
        <w:ind w:firstLine="420"/>
        <w:jc w:val="left"/>
        <w:spacing w:line="360" w:lineRule="auto"/>
        <w:tabs>
          <w:tab w:val="left" w:pos="4785" w:leader="none"/>
        </w:tabs>
        <w:rPr>
          <w:szCs w:val="21"/>
        </w:rPr>
      </w:pPr>
      <w:r>
        <w:rPr>
          <w:szCs w:val="21"/>
        </w:rPr>
        <w:t xml:space="preserve">13.3货物有合格证及说明书等资料的，在交付货物时，乙方应当一并交付合格证及说明书等资料，未交付的甲方有权拒绝接收。因此造成的损失由乙方承担。</w:t>
      </w:r>
      <w:r/>
    </w:p>
    <w:p>
      <w:pPr>
        <w:ind w:firstLine="420"/>
        <w:spacing w:line="360" w:lineRule="auto"/>
        <w:tabs>
          <w:tab w:val="left" w:pos="4785" w:leader="none"/>
        </w:tabs>
        <w:rPr>
          <w:szCs w:val="21"/>
        </w:rPr>
      </w:pPr>
      <w:r>
        <w:rPr>
          <w:szCs w:val="21"/>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bookmarkStart w:id="121" w:name="OLE_LINK11"/>
      <w:r>
        <w:rPr>
          <w:szCs w:val="21"/>
        </w:rPr>
        <w:t xml:space="preserve">违约金标准：合同金额50万（含）以下的违约金按照合同总价款的20%计算，合同金额50万至100万（含）的违约金按照合同总价款的10%计算，合同金额超过100万的违约金按照合同总价款的5%计算</w:t>
      </w:r>
      <w:bookmarkEnd w:id="121"/>
      <w:r>
        <w:rPr>
          <w:szCs w:val="21"/>
        </w:rPr>
        <w:t xml:space="preserve">）。</w:t>
      </w:r>
      <w:r/>
    </w:p>
    <w:p>
      <w:pPr>
        <w:ind w:firstLine="420"/>
        <w:jc w:val="left"/>
        <w:spacing w:line="360" w:lineRule="auto"/>
        <w:widowControl/>
        <w:rPr>
          <w:szCs w:val="21"/>
        </w:rPr>
      </w:pPr>
      <w:r>
        <w:rPr>
          <w:szCs w:val="21"/>
        </w:rPr>
        <w:t xml:space="preserve">13.5乙方逾期交付达10天，视为乙方拒绝交付、不能交付或不能完成合同，甲方有权解除合同，解除合同的通知自到达乙方时生效，解除合同造成的直接损失和间接损失全部由乙方承担。</w:t>
      </w:r>
      <w:r/>
    </w:p>
    <w:p>
      <w:pPr>
        <w:ind w:firstLine="420"/>
        <w:jc w:val="left"/>
        <w:spacing w:line="360" w:lineRule="auto"/>
        <w:tabs>
          <w:tab w:val="left" w:pos="4785" w:leader="none"/>
        </w:tabs>
        <w:rPr>
          <w:szCs w:val="21"/>
        </w:rPr>
      </w:pPr>
      <w:r>
        <w:rPr>
          <w:szCs w:val="21"/>
        </w:rPr>
        <w:t xml:space="preserve">13.6本合同所有货物的制造及安装，都必须由乙方自己或投标文件中明确的单位承担，不得分包给其他单位。否则，甲方有权按乙方拒绝交付、不能交付或不能完成合同处理。</w:t>
      </w:r>
      <w:r/>
    </w:p>
    <w:p>
      <w:pPr>
        <w:ind w:firstLine="420"/>
        <w:spacing w:line="360" w:lineRule="auto"/>
        <w:widowControl/>
        <w:rPr>
          <w:szCs w:val="21"/>
        </w:rPr>
      </w:pPr>
      <w:r>
        <w:rPr>
          <w:szCs w:val="21"/>
        </w:rPr>
        <w:t xml:space="preserve">13.7乙方所交付的货物或服务不符合合同规定的，甲方有权拒收。甲方拒收的，</w:t>
      </w:r>
      <w:bookmarkStart w:id="122" w:name="OLE_LINK9"/>
      <w:r>
        <w:rPr>
          <w:szCs w:val="21"/>
        </w:rPr>
        <w:t xml:space="preserve">乙方应向甲方支付违约金</w:t>
      </w:r>
      <w:bookmarkStart w:id="123" w:name="OLE_LINK8"/>
      <w:r>
        <w:rPr>
          <w:szCs w:val="21"/>
        </w:rPr>
        <w:t xml:space="preserve">（违约金标准：合同金额50万（含）以下的违约金按照合同总价款的20%计算，合同金额50万至100万（含）的违约金按照合同总价款的10%计算，合同金额超过100万的违约金按照合同总价款的5%计算）</w:t>
      </w:r>
      <w:bookmarkEnd w:id="122"/>
      <w:r/>
      <w:bookmarkEnd w:id="123"/>
      <w:r>
        <w:rPr>
          <w:szCs w:val="21"/>
        </w:rPr>
        <w:t xml:space="preserve">。甲方未拒收的，采购代理机构发现后将向有关部门反映，并责成乙方按照采购结果提供服务。</w:t>
      </w:r>
      <w:r/>
    </w:p>
    <w:p>
      <w:pPr>
        <w:ind w:firstLine="420"/>
        <w:jc w:val="left"/>
        <w:spacing w:line="360" w:lineRule="auto"/>
        <w:tabs>
          <w:tab w:val="left" w:pos="4785" w:leader="none"/>
        </w:tabs>
        <w:rPr>
          <w:szCs w:val="21"/>
        </w:rPr>
      </w:pPr>
      <w:r>
        <w:rPr>
          <w:szCs w:val="21"/>
        </w:rPr>
        <w:t xml:space="preserve">13.8乙方履行义务不符合合同约定时，甲方将扣减合同总价款10%的尾款，同时甲方有权按照本合同的约定追究乙方的违约责任。</w:t>
      </w:r>
      <w:r/>
    </w:p>
    <w:p>
      <w:pPr>
        <w:ind w:firstLine="420"/>
        <w:jc w:val="left"/>
        <w:spacing w:line="360" w:lineRule="auto"/>
        <w:tabs>
          <w:tab w:val="left" w:pos="4785" w:leader="none"/>
        </w:tabs>
        <w:rPr>
          <w:szCs w:val="21"/>
        </w:rPr>
      </w:pPr>
      <w:r>
        <w:rPr>
          <w:szCs w:val="21"/>
        </w:rPr>
        <w:t xml:space="preserve">13.9乙方应当向甲方提供合法且符合甲方要求的发票，乙方未提供发票之前甲方有权拒绝支付合同款项，由此造成的损失由乙方承担，因乙方未提供发票导致甲方未支付货款的，并不因此免除乙方按约定供货的义务。</w:t>
      </w:r>
      <w:r/>
    </w:p>
    <w:p>
      <w:pPr>
        <w:ind w:firstLine="420"/>
        <w:jc w:val="left"/>
        <w:spacing w:line="360" w:lineRule="auto"/>
        <w:tabs>
          <w:tab w:val="left" w:pos="4785" w:leader="none"/>
        </w:tabs>
        <w:rPr>
          <w:szCs w:val="21"/>
        </w:rPr>
      </w:pPr>
      <w:r>
        <w:rPr>
          <w:szCs w:val="21"/>
        </w:rPr>
        <w:t xml:space="preserve">14.甲方的违约责任</w:t>
      </w:r>
      <w:r/>
    </w:p>
    <w:p>
      <w:pPr>
        <w:ind w:firstLine="420"/>
        <w:jc w:val="left"/>
        <w:spacing w:line="360" w:lineRule="auto"/>
        <w:tabs>
          <w:tab w:val="left" w:pos="4785" w:leader="none"/>
        </w:tabs>
        <w:rPr>
          <w:szCs w:val="21"/>
        </w:rPr>
      </w:pPr>
      <w:r>
        <w:rPr>
          <w:szCs w:val="21"/>
        </w:rPr>
        <w:t xml:space="preserve">14.1甲方未按合同规定的时间和要求向乙方提供技术资料等，乙方交付时间顺延。</w:t>
      </w:r>
      <w:r/>
    </w:p>
    <w:p>
      <w:pPr>
        <w:ind w:firstLine="420"/>
        <w:jc w:val="left"/>
        <w:spacing w:line="360" w:lineRule="auto"/>
        <w:tabs>
          <w:tab w:val="left" w:pos="4785" w:leader="none"/>
        </w:tabs>
        <w:rPr>
          <w:szCs w:val="21"/>
        </w:rPr>
      </w:pPr>
      <w:r>
        <w:rPr>
          <w:szCs w:val="21"/>
        </w:rPr>
        <w:t xml:space="preserve">15. 乙方供给甲方的设备、材料及乙方自己的施工用具，进入甲方现场后的保管，由乙方负责；乙方在甲方现场安装、调试、验收人员的安全、保险、食宿、交通由乙方负责。</w:t>
      </w:r>
      <w:r/>
    </w:p>
    <w:p>
      <w:pPr>
        <w:ind w:firstLine="420"/>
        <w:jc w:val="left"/>
        <w:spacing w:line="360" w:lineRule="auto"/>
        <w:tabs>
          <w:tab w:val="left" w:pos="4785" w:leader="none"/>
        </w:tabs>
        <w:rPr>
          <w:szCs w:val="21"/>
        </w:rPr>
      </w:pPr>
      <w:r>
        <w:rPr>
          <w:szCs w:val="21"/>
        </w:rPr>
        <w:t xml:space="preserve">16. 乙方在设备安装、调试、验收过程中，甲方提供下列条件和配合，超出下列范围的由乙方自理：</w:t>
      </w:r>
      <w:r>
        <w:rPr>
          <w:szCs w:val="21"/>
          <w:u w:val="single"/>
        </w:rPr>
        <w:t xml:space="preserve">无</w:t>
      </w:r>
      <w:r>
        <w:rPr>
          <w:szCs w:val="21"/>
        </w:rPr>
        <w:t xml:space="preserve">。</w:t>
      </w:r>
      <w:r/>
    </w:p>
    <w:p>
      <w:pPr>
        <w:ind w:firstLine="420"/>
        <w:jc w:val="left"/>
        <w:spacing w:line="360" w:lineRule="auto"/>
        <w:tabs>
          <w:tab w:val="left" w:pos="4785" w:leader="none"/>
        </w:tabs>
        <w:rPr>
          <w:szCs w:val="21"/>
        </w:rPr>
      </w:pPr>
      <w:r>
        <w:rPr>
          <w:szCs w:val="21"/>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szCs w:val="21"/>
          <w:lang w:val="zh-CN"/>
        </w:rPr>
        <w:t xml:space="preserve">甲方为解决纠纷支付的律师费、诉讼费、差旅费等合理费用</w:t>
      </w:r>
      <w:r>
        <w:rPr>
          <w:szCs w:val="21"/>
        </w:rPr>
        <w:t xml:space="preserve">。</w:t>
      </w:r>
      <w:r/>
    </w:p>
    <w:p>
      <w:pPr>
        <w:ind w:firstLine="420"/>
        <w:jc w:val="left"/>
        <w:spacing w:line="360" w:lineRule="auto"/>
        <w:tabs>
          <w:tab w:val="left" w:pos="4785" w:leader="none"/>
        </w:tabs>
        <w:rPr>
          <w:szCs w:val="21"/>
        </w:rPr>
      </w:pPr>
      <w:r>
        <w:rPr>
          <w:szCs w:val="21"/>
        </w:rPr>
        <w:t xml:space="preserve">18. 合同的生效：本合同一式陆份，各份具有同等法律效力，自甲乙双方签字、盖章并加盖骑缝章之日起生效。</w:t>
      </w:r>
      <w:r/>
    </w:p>
    <w:p>
      <w:pPr>
        <w:ind w:firstLine="420"/>
        <w:jc w:val="left"/>
        <w:spacing w:line="360" w:lineRule="auto"/>
        <w:tabs>
          <w:tab w:val="left" w:pos="4785" w:leader="none"/>
        </w:tabs>
        <w:rPr>
          <w:szCs w:val="21"/>
        </w:rPr>
      </w:pPr>
      <w:r>
        <w:rPr>
          <w:szCs w:val="21"/>
        </w:rPr>
        <w:t xml:space="preserve">19. 未尽事宜、双方协商解决，并按《中华人民共和国民法典》的规定调整。</w:t>
      </w:r>
      <w:r/>
    </w:p>
    <w:p>
      <w:pPr>
        <w:ind w:firstLine="420"/>
        <w:jc w:val="left"/>
        <w:spacing w:line="360" w:lineRule="auto"/>
        <w:tabs>
          <w:tab w:val="left" w:pos="4785" w:leader="none"/>
        </w:tabs>
        <w:rPr>
          <w:szCs w:val="21"/>
        </w:rPr>
      </w:pPr>
      <w:r>
        <w:rPr>
          <w:szCs w:val="21"/>
        </w:rPr>
        <w:t xml:space="preserve">20. 招标文件、成交通知书、乙方的投标文件及投标承诺书是签订本合同的依据，本合同未尽事项首先依据招标文件、成交通知书、乙方的投标文件及投标承诺书进行履行，双方也可以在不违背本合同实质性内容的基础上达成补充协议，补充协议与本合同具有相同的法律效力。</w:t>
      </w:r>
      <w:r/>
    </w:p>
    <w:p>
      <w:pPr>
        <w:ind w:firstLine="420"/>
        <w:jc w:val="left"/>
        <w:spacing w:line="360" w:lineRule="auto"/>
        <w:tabs>
          <w:tab w:val="left" w:pos="4785" w:leader="none"/>
        </w:tabs>
        <w:rPr>
          <w:szCs w:val="21"/>
        </w:rPr>
      </w:pPr>
      <w:r>
        <w:rPr>
          <w:szCs w:val="21"/>
        </w:rPr>
        <w:t xml:space="preserve">三、合同的变更和终止</w:t>
      </w:r>
      <w:r/>
    </w:p>
    <w:p>
      <w:pPr>
        <w:ind w:firstLine="420"/>
        <w:jc w:val="left"/>
        <w:spacing w:line="360" w:lineRule="auto"/>
        <w:tabs>
          <w:tab w:val="left" w:pos="4785" w:leader="none"/>
        </w:tabs>
        <w:rPr>
          <w:szCs w:val="21"/>
        </w:rPr>
      </w:pPr>
      <w:r>
        <w:rPr>
          <w:szCs w:val="21"/>
        </w:rPr>
        <w:t xml:space="preserve">1、除《政府采购法》第50条第二款规定的情形外，本合同一经签订，甲乙双方不得擅自变更、中止或终止合同。</w:t>
      </w:r>
      <w:r/>
    </w:p>
    <w:p>
      <w:pPr>
        <w:ind w:firstLine="420"/>
        <w:jc w:val="left"/>
        <w:spacing w:line="360" w:lineRule="auto"/>
        <w:tabs>
          <w:tab w:val="left" w:pos="4785" w:leader="none"/>
        </w:tabs>
        <w:rPr>
          <w:szCs w:val="21"/>
        </w:rPr>
      </w:pPr>
      <w:r>
        <w:rPr>
          <w:szCs w:val="21"/>
        </w:rPr>
        <w:t xml:space="preserve">2、除发生法律规定的不能预见、不能避免并不能克服的客观情况外，甲乙双方不得放弃或拒绝履行合同。</w:t>
      </w:r>
      <w:r/>
    </w:p>
    <w:p>
      <w:pPr>
        <w:ind w:firstLine="420"/>
        <w:jc w:val="left"/>
        <w:spacing w:line="360" w:lineRule="auto"/>
        <w:tabs>
          <w:tab w:val="left" w:pos="4785" w:leader="none"/>
        </w:tabs>
        <w:rPr>
          <w:szCs w:val="21"/>
        </w:rPr>
      </w:pPr>
      <w:r>
        <w:rPr>
          <w:szCs w:val="21"/>
        </w:rPr>
        <w:t xml:space="preserve">3、在不改变合同其他条款的前提下，甲方有权在合同价款百分之十的范围内追加与合同标的相同的货物或服务，并就此与乙方签订补充合同，乙方不得拒绝。</w:t>
      </w:r>
      <w:r/>
    </w:p>
    <w:p>
      <w:pPr>
        <w:ind w:firstLine="420"/>
        <w:jc w:val="left"/>
        <w:spacing w:line="360" w:lineRule="auto"/>
        <w:tabs>
          <w:tab w:val="left" w:pos="4785" w:leader="none"/>
        </w:tabs>
        <w:rPr>
          <w:szCs w:val="21"/>
        </w:rPr>
      </w:pPr>
      <w:r>
        <w:rPr>
          <w:szCs w:val="21"/>
        </w:rPr>
        <w:t xml:space="preserve">四、合同权利义务的转让</w:t>
      </w:r>
      <w:r/>
    </w:p>
    <w:p>
      <w:pPr>
        <w:ind w:firstLine="420"/>
        <w:jc w:val="left"/>
        <w:spacing w:line="360" w:lineRule="auto"/>
        <w:tabs>
          <w:tab w:val="left" w:pos="4785" w:leader="none"/>
        </w:tabs>
        <w:rPr>
          <w:szCs w:val="21"/>
        </w:rPr>
      </w:pPr>
      <w:r>
        <w:rPr>
          <w:szCs w:val="21"/>
        </w:rPr>
        <w:t xml:space="preserve">合同履行过程中，乙方未经甲方书面同意，不得将合同权利义务转让给第三方，否则甲方有权解除合同，同时乙方应当向甲方支付合同总价款10%的违约金，造成甲方损失的还应当进行赔偿。</w:t>
      </w:r>
      <w:r/>
    </w:p>
    <w:p>
      <w:pPr>
        <w:ind w:firstLine="420"/>
        <w:jc w:val="left"/>
        <w:spacing w:line="360" w:lineRule="auto"/>
        <w:tabs>
          <w:tab w:val="left" w:pos="4785" w:leader="none"/>
        </w:tabs>
        <w:rPr>
          <w:szCs w:val="21"/>
        </w:rPr>
      </w:pPr>
      <w:r>
        <w:rPr>
          <w:szCs w:val="21"/>
        </w:rPr>
        <w:t xml:space="preserve">五、货物、服务的购买或租赁权利瑕疵</w:t>
      </w:r>
      <w:r/>
    </w:p>
    <w:p>
      <w:pPr>
        <w:ind w:firstLine="420"/>
        <w:jc w:val="left"/>
        <w:spacing w:line="360" w:lineRule="auto"/>
        <w:tabs>
          <w:tab w:val="left" w:pos="4785" w:leader="none"/>
        </w:tabs>
        <w:rPr>
          <w:szCs w:val="21"/>
        </w:rPr>
      </w:pPr>
      <w:r>
        <w:rPr>
          <w:szCs w:val="21"/>
        </w:rPr>
        <w:t xml:space="preserve">乙方应保证提供的货物、设备或服务不存在所有权、抵押权、使用权、知识产权等权利瑕疵。</w:t>
      </w:r>
      <w:r/>
    </w:p>
    <w:p>
      <w:pPr>
        <w:ind w:firstLine="420"/>
        <w:jc w:val="left"/>
        <w:spacing w:line="360" w:lineRule="auto"/>
        <w:tabs>
          <w:tab w:val="left" w:pos="4785" w:leader="none"/>
        </w:tabs>
        <w:rPr>
          <w:szCs w:val="21"/>
        </w:rPr>
      </w:pPr>
      <w:r>
        <w:rPr>
          <w:szCs w:val="21"/>
        </w:rPr>
        <w:t xml:space="preserve">六、争议解决条款</w:t>
      </w:r>
      <w:r/>
    </w:p>
    <w:p>
      <w:pPr>
        <w:ind w:firstLine="420"/>
        <w:jc w:val="left"/>
        <w:spacing w:line="360" w:lineRule="auto"/>
        <w:tabs>
          <w:tab w:val="left" w:pos="4785" w:leader="none"/>
        </w:tabs>
        <w:rPr>
          <w:szCs w:val="21"/>
        </w:rPr>
      </w:pPr>
      <w:r>
        <w:rPr>
          <w:szCs w:val="21"/>
        </w:rPr>
        <w:t xml:space="preserve">合同履行过程中发生争议，双方应友好协商，协商不成的，同意提交南京仲裁委员会按其仲裁规则裁决，仲裁产生的仲裁费、鉴定费、保全费、担保费、律师费等合理支出由违约方承担。</w:t>
      </w:r>
      <w:r/>
    </w:p>
    <w:p>
      <w:pPr>
        <w:ind w:firstLine="420"/>
        <w:jc w:val="left"/>
        <w:spacing w:line="360" w:lineRule="auto"/>
        <w:tabs>
          <w:tab w:val="left" w:pos="4785" w:leader="none"/>
        </w:tabs>
        <w:rPr>
          <w:szCs w:val="21"/>
        </w:rPr>
      </w:pPr>
      <w:r>
        <w:rPr>
          <w:szCs w:val="21"/>
        </w:rPr>
        <w:t xml:space="preserve">七、廉洁条款</w:t>
      </w:r>
      <w:r/>
    </w:p>
    <w:p>
      <w:pPr>
        <w:ind w:firstLine="420"/>
        <w:jc w:val="left"/>
        <w:spacing w:line="360" w:lineRule="auto"/>
        <w:tabs>
          <w:tab w:val="left" w:pos="4785" w:leader="none"/>
        </w:tabs>
        <w:rPr>
          <w:szCs w:val="21"/>
        </w:rPr>
      </w:pPr>
      <w:r>
        <w:rPr>
          <w:szCs w:val="21"/>
        </w:rPr>
        <w:t xml:space="preserve">合同签订前、履行期间及履行完毕后，乙方应当遵守廉洁原则，不得向甲方工作人员行贿、变相行贿，不得以任何理由向甲方工作人员及第三方赠送礼品、礼金、各种有价证券及其他支付凭证，不以任何理由为甲方工作人员报销应由个人支付的费用。一旦发生上述事由，甲方有权无条件解除本合同。</w:t>
      </w:r>
      <w:r/>
    </w:p>
    <w:p>
      <w:pPr>
        <w:ind w:firstLine="420"/>
        <w:jc w:val="left"/>
        <w:spacing w:line="360" w:lineRule="auto"/>
        <w:tabs>
          <w:tab w:val="left" w:pos="4785" w:leader="none"/>
        </w:tabs>
        <w:rPr>
          <w:szCs w:val="21"/>
        </w:rPr>
      </w:pPr>
      <w:r>
        <w:rPr>
          <w:szCs w:val="21"/>
        </w:rPr>
        <w:t xml:space="preserve">八、保密条款</w:t>
      </w:r>
      <w:r/>
    </w:p>
    <w:p>
      <w:pPr>
        <w:ind w:firstLine="420"/>
        <w:jc w:val="left"/>
        <w:spacing w:line="360" w:lineRule="auto"/>
        <w:tabs>
          <w:tab w:val="left" w:pos="4785" w:leader="none"/>
        </w:tabs>
        <w:rPr>
          <w:szCs w:val="21"/>
        </w:rPr>
      </w:pPr>
      <w:r>
        <w:rPr>
          <w:szCs w:val="21"/>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p>
    <w:p>
      <w:pPr>
        <w:ind w:firstLine="420"/>
        <w:jc w:val="left"/>
        <w:spacing w:line="360" w:lineRule="auto"/>
        <w:tabs>
          <w:tab w:val="left" w:pos="4785" w:leader="none"/>
        </w:tabs>
        <w:rPr>
          <w:rFonts w:eastAsiaTheme="minorEastAsia"/>
          <w:szCs w:val="21"/>
        </w:rPr>
      </w:pPr>
      <w:r>
        <w:rPr>
          <w:rFonts w:eastAsiaTheme="minorEastAsia"/>
          <w:szCs w:val="21"/>
        </w:rPr>
        <w:t xml:space="preserve">九、不可抗力</w:t>
      </w:r>
      <w:r/>
    </w:p>
    <w:p>
      <w:pPr>
        <w:ind w:firstLine="420"/>
        <w:jc w:val="left"/>
        <w:spacing w:line="360" w:lineRule="auto"/>
        <w:tabs>
          <w:tab w:val="left" w:pos="4785" w:leader="none"/>
        </w:tabs>
        <w:rPr>
          <w:rFonts w:eastAsiaTheme="minorEastAsia"/>
          <w:szCs w:val="21"/>
        </w:rPr>
      </w:pPr>
      <w:r>
        <w:rPr>
          <w:rFonts w:eastAsiaTheme="minorEastAsia"/>
          <w:szCs w:val="21"/>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ind w:firstLine="420"/>
        <w:jc w:val="left"/>
        <w:spacing w:line="360" w:lineRule="auto"/>
        <w:tabs>
          <w:tab w:val="left" w:pos="4785" w:leader="none"/>
        </w:tabs>
        <w:rPr>
          <w:szCs w:val="21"/>
        </w:rPr>
      </w:pPr>
      <w:r>
        <w:rPr>
          <w:szCs w:val="21"/>
        </w:rPr>
        <w:t xml:space="preserve">十、送达条款</w:t>
      </w:r>
      <w:r/>
    </w:p>
    <w:p>
      <w:pPr>
        <w:ind w:firstLine="420"/>
        <w:jc w:val="left"/>
        <w:spacing w:line="360" w:lineRule="auto"/>
        <w:tabs>
          <w:tab w:val="left" w:pos="4785" w:leader="none"/>
        </w:tabs>
        <w:rPr>
          <w:szCs w:val="21"/>
        </w:rPr>
      </w:pPr>
      <w:r>
        <w:rPr>
          <w:szCs w:val="21"/>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p>
    <w:p>
      <w:pPr>
        <w:ind w:firstLine="420"/>
        <w:jc w:val="left"/>
        <w:spacing w:line="360" w:lineRule="auto"/>
        <w:tabs>
          <w:tab w:val="left" w:pos="4785" w:leader="none"/>
        </w:tabs>
        <w:rPr>
          <w:rFonts w:eastAsiaTheme="minorEastAsia"/>
          <w:szCs w:val="21"/>
        </w:rPr>
      </w:pPr>
      <w:r>
        <w:rPr>
          <w:rFonts w:eastAsiaTheme="minorEastAsia"/>
          <w:szCs w:val="21"/>
        </w:rPr>
        <w:t xml:space="preserve">十一、其他</w:t>
      </w:r>
      <w:r/>
    </w:p>
    <w:p>
      <w:pPr>
        <w:ind w:left="420"/>
        <w:jc w:val="left"/>
        <w:spacing w:line="360" w:lineRule="auto"/>
        <w:tabs>
          <w:tab w:val="left" w:pos="4785" w:leader="none"/>
        </w:tabs>
        <w:rPr>
          <w:rFonts w:eastAsiaTheme="minorEastAsia"/>
          <w:szCs w:val="21"/>
        </w:rPr>
      </w:pPr>
      <w:r>
        <w:rPr>
          <w:rFonts w:eastAsiaTheme="minorEastAsia"/>
          <w:szCs w:val="21"/>
        </w:rPr>
        <w:t xml:space="preserve">1、合同的生效：本合同一式陆份，自甲乙双方签字并加盖骑缝章之日起生效。</w:t>
      </w:r>
      <w:r/>
    </w:p>
    <w:p>
      <w:pPr>
        <w:ind w:left="420"/>
        <w:jc w:val="left"/>
        <w:spacing w:line="360" w:lineRule="auto"/>
        <w:tabs>
          <w:tab w:val="left" w:pos="4785" w:leader="none"/>
        </w:tabs>
        <w:rPr>
          <w:rFonts w:eastAsiaTheme="minorEastAsia"/>
          <w:szCs w:val="21"/>
        </w:rPr>
      </w:pPr>
      <w:r>
        <w:rPr>
          <w:rFonts w:eastAsiaTheme="minorEastAsia"/>
          <w:szCs w:val="21"/>
        </w:rPr>
        <w:t xml:space="preserve">2、未尽事宜、双方协商解决，并按《中华人民共和国民法典》及相关法律、法规的规定调整。</w:t>
      </w:r>
      <w:r/>
    </w:p>
    <w:p>
      <w:pPr>
        <w:ind w:firstLine="420"/>
        <w:jc w:val="left"/>
        <w:spacing w:line="360" w:lineRule="auto"/>
        <w:tabs>
          <w:tab w:val="left" w:pos="4785" w:leader="none"/>
        </w:tabs>
        <w:rPr>
          <w:rFonts w:eastAsiaTheme="minorEastAsia"/>
          <w:szCs w:val="21"/>
        </w:rPr>
      </w:pPr>
      <w:r>
        <w:rPr>
          <w:rFonts w:eastAsiaTheme="minorEastAsia"/>
          <w:szCs w:val="21"/>
        </w:rPr>
        <w:t xml:space="preserve">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p>
    <w:p>
      <w:pPr>
        <w:ind w:firstLine="420"/>
        <w:jc w:val="left"/>
        <w:spacing w:line="360" w:lineRule="auto"/>
        <w:tabs>
          <w:tab w:val="left" w:pos="4785" w:leader="none"/>
        </w:tabs>
        <w:rPr>
          <w:szCs w:val="21"/>
        </w:rPr>
      </w:pPr>
      <w:r>
        <w:rPr>
          <w:szCs w:val="21"/>
        </w:rPr>
        <w:t xml:space="preserve">（以下无正文）</w:t>
      </w:r>
      <w:r/>
    </w:p>
    <w:p>
      <w:pPr>
        <w:ind w:firstLine="420"/>
        <w:jc w:val="left"/>
        <w:spacing w:line="360" w:lineRule="auto"/>
        <w:tabs>
          <w:tab w:val="left" w:pos="4785" w:leader="none"/>
        </w:tabs>
        <w:rPr>
          <w:szCs w:val="21"/>
        </w:rPr>
      </w:pPr>
      <w:r>
        <w:rPr>
          <w:szCs w:val="21"/>
        </w:rPr>
      </w:r>
      <w:r/>
    </w:p>
    <w:tbl>
      <w:tblPr>
        <w:tblStyle w:val="1405"/>
        <w:tblW w:w="96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jc w:val="center"/>
          <w:trHeight w:val="4629"/>
        </w:trPr>
        <w:tc>
          <w:tcPr>
            <w:tcW w:w="4946" w:type="dxa"/>
            <w:textDirection w:val="lrTb"/>
            <w:noWrap w:val="false"/>
          </w:tcPr>
          <w:p>
            <w:pPr>
              <w:spacing w:line="400" w:lineRule="exact"/>
              <w:rPr>
                <w:szCs w:val="21"/>
              </w:rPr>
            </w:pPr>
            <w:r>
              <w:rPr>
                <w:szCs w:val="21"/>
              </w:rPr>
              <w:t xml:space="preserve">甲方（盖章）：</w:t>
            </w:r>
            <w:r/>
          </w:p>
          <w:p>
            <w:pPr>
              <w:spacing w:line="400" w:lineRule="exact"/>
              <w:rPr>
                <w:szCs w:val="21"/>
              </w:rPr>
            </w:pPr>
            <w:r>
              <w:rPr>
                <w:szCs w:val="21"/>
              </w:rPr>
              <w:t xml:space="preserve">单位名称：江苏省特种设备安全监督检验研究院</w:t>
            </w:r>
            <w:r/>
          </w:p>
          <w:p>
            <w:pPr>
              <w:spacing w:line="400" w:lineRule="exact"/>
              <w:rPr>
                <w:szCs w:val="21"/>
              </w:rPr>
            </w:pPr>
            <w:r>
              <w:rPr>
                <w:szCs w:val="21"/>
              </w:rPr>
              <w:t xml:space="preserve">单位地址：江苏省南京市鼓楼区草场门大街107号龙江大厦</w:t>
            </w:r>
            <w:r/>
          </w:p>
          <w:p>
            <w:pPr>
              <w:spacing w:line="400" w:lineRule="exact"/>
              <w:rPr>
                <w:szCs w:val="21"/>
              </w:rPr>
            </w:pPr>
            <w:r>
              <w:rPr>
                <w:szCs w:val="21"/>
              </w:rPr>
              <w:t xml:space="preserve">法定代表人：</w:t>
            </w:r>
            <w:r/>
          </w:p>
          <w:p>
            <w:pPr>
              <w:spacing w:line="400" w:lineRule="exact"/>
              <w:rPr>
                <w:szCs w:val="21"/>
              </w:rPr>
            </w:pPr>
            <w:r>
              <w:rPr>
                <w:szCs w:val="21"/>
              </w:rPr>
              <w:t xml:space="preserve">委托代理人（签字）：</w:t>
            </w:r>
            <w:r/>
          </w:p>
          <w:p>
            <w:pPr>
              <w:spacing w:line="400" w:lineRule="exact"/>
              <w:rPr>
                <w:szCs w:val="21"/>
              </w:rPr>
            </w:pPr>
            <w:r>
              <w:rPr>
                <w:szCs w:val="21"/>
              </w:rPr>
              <w:t xml:space="preserve">联系方式：</w:t>
            </w:r>
            <w:r/>
          </w:p>
          <w:p>
            <w:pPr>
              <w:spacing w:line="400" w:lineRule="exact"/>
              <w:rPr>
                <w:szCs w:val="21"/>
              </w:rPr>
            </w:pPr>
            <w:r>
              <w:rPr>
                <w:szCs w:val="21"/>
              </w:rPr>
            </w:r>
            <w:r/>
          </w:p>
          <w:p>
            <w:pPr>
              <w:spacing w:line="400" w:lineRule="exact"/>
              <w:rPr>
                <w:szCs w:val="21"/>
              </w:rPr>
            </w:pPr>
            <w:r>
              <w:rPr>
                <w:szCs w:val="21"/>
              </w:rPr>
            </w:r>
            <w:r/>
          </w:p>
          <w:p>
            <w:pPr>
              <w:spacing w:line="400" w:lineRule="exact"/>
              <w:rPr>
                <w:szCs w:val="21"/>
              </w:rPr>
            </w:pPr>
            <w:r>
              <w:rPr>
                <w:szCs w:val="21"/>
              </w:rPr>
            </w:r>
            <w:r/>
          </w:p>
          <w:p>
            <w:pPr>
              <w:spacing w:line="400" w:lineRule="exact"/>
              <w:rPr>
                <w:szCs w:val="21"/>
              </w:rPr>
            </w:pPr>
            <w:r>
              <w:rPr>
                <w:szCs w:val="21"/>
              </w:rPr>
              <w:t xml:space="preserve">签订日期：  年  月  日</w:t>
            </w:r>
            <w:r/>
          </w:p>
        </w:tc>
        <w:tc>
          <w:tcPr>
            <w:tcW w:w="4684" w:type="dxa"/>
            <w:textDirection w:val="lrTb"/>
            <w:noWrap w:val="false"/>
          </w:tcPr>
          <w:p>
            <w:pPr>
              <w:spacing w:line="400" w:lineRule="exact"/>
              <w:rPr>
                <w:szCs w:val="21"/>
              </w:rPr>
            </w:pPr>
            <w:r>
              <w:rPr>
                <w:szCs w:val="21"/>
              </w:rPr>
              <w:t xml:space="preserve">乙方（盖章）：</w:t>
            </w:r>
            <w:r/>
          </w:p>
          <w:p>
            <w:pPr>
              <w:spacing w:line="400" w:lineRule="exact"/>
              <w:rPr>
                <w:szCs w:val="21"/>
              </w:rPr>
            </w:pPr>
            <w:r>
              <w:rPr>
                <w:szCs w:val="21"/>
              </w:rPr>
              <w:t xml:space="preserve">单位名称：</w:t>
            </w:r>
            <w:r/>
          </w:p>
          <w:p>
            <w:pPr>
              <w:spacing w:line="400" w:lineRule="exact"/>
              <w:rPr>
                <w:szCs w:val="21"/>
              </w:rPr>
            </w:pPr>
            <w:r>
              <w:rPr>
                <w:szCs w:val="21"/>
              </w:rPr>
              <w:t xml:space="preserve">单位地址：</w:t>
            </w:r>
            <w:r/>
          </w:p>
          <w:p>
            <w:pPr>
              <w:spacing w:line="400" w:lineRule="exact"/>
              <w:rPr>
                <w:szCs w:val="21"/>
              </w:rPr>
            </w:pPr>
            <w:r>
              <w:rPr>
                <w:szCs w:val="21"/>
              </w:rPr>
              <w:t xml:space="preserve">法定代表人：</w:t>
            </w:r>
            <w:r/>
          </w:p>
          <w:p>
            <w:pPr>
              <w:spacing w:line="400" w:lineRule="exact"/>
              <w:rPr>
                <w:szCs w:val="21"/>
              </w:rPr>
            </w:pPr>
            <w:r>
              <w:rPr>
                <w:szCs w:val="21"/>
              </w:rPr>
              <w:t xml:space="preserve">委托代理人（签字）：</w:t>
            </w:r>
            <w:r/>
          </w:p>
          <w:p>
            <w:pPr>
              <w:spacing w:line="400" w:lineRule="exact"/>
              <w:rPr>
                <w:szCs w:val="21"/>
              </w:rPr>
            </w:pPr>
            <w:r>
              <w:rPr>
                <w:szCs w:val="21"/>
              </w:rPr>
              <w:t xml:space="preserve">电话：</w:t>
            </w:r>
            <w:r/>
          </w:p>
          <w:p>
            <w:pPr>
              <w:spacing w:line="400" w:lineRule="exact"/>
              <w:rPr>
                <w:szCs w:val="21"/>
              </w:rPr>
            </w:pPr>
            <w:r>
              <w:rPr>
                <w:szCs w:val="21"/>
              </w:rPr>
              <w:t xml:space="preserve">传真：</w:t>
            </w:r>
            <w:r/>
          </w:p>
          <w:p>
            <w:pPr>
              <w:spacing w:line="400" w:lineRule="exact"/>
              <w:rPr>
                <w:szCs w:val="21"/>
              </w:rPr>
            </w:pPr>
            <w:r>
              <w:rPr>
                <w:szCs w:val="21"/>
              </w:rPr>
              <w:t xml:space="preserve">开户银行：</w:t>
            </w:r>
            <w:r/>
          </w:p>
          <w:p>
            <w:pPr>
              <w:spacing w:line="400" w:lineRule="exact"/>
              <w:rPr>
                <w:szCs w:val="21"/>
              </w:rPr>
            </w:pPr>
            <w:r>
              <w:rPr>
                <w:szCs w:val="21"/>
              </w:rPr>
              <w:t xml:space="preserve">帐号：</w:t>
            </w:r>
            <w:r/>
          </w:p>
          <w:p>
            <w:pPr>
              <w:spacing w:line="400" w:lineRule="exact"/>
              <w:rPr>
                <w:szCs w:val="21"/>
              </w:rPr>
            </w:pPr>
            <w:r>
              <w:rPr>
                <w:szCs w:val="21"/>
              </w:rPr>
              <w:t xml:space="preserve">税号：</w:t>
            </w:r>
            <w:r/>
          </w:p>
          <w:p>
            <w:pPr>
              <w:spacing w:line="400" w:lineRule="exact"/>
              <w:rPr>
                <w:szCs w:val="21"/>
              </w:rPr>
            </w:pPr>
            <w:r>
              <w:rPr>
                <w:szCs w:val="21"/>
              </w:rPr>
              <w:t xml:space="preserve">签订日期：  年  月  日</w:t>
            </w:r>
            <w:r/>
          </w:p>
        </w:tc>
      </w:tr>
    </w:tbl>
    <w:p>
      <w:pPr>
        <w:spacing w:line="360" w:lineRule="auto"/>
        <w:rPr>
          <w:b/>
          <w:color w:val="000000"/>
          <w:szCs w:val="21"/>
        </w:rPr>
      </w:pPr>
      <w:r>
        <w:rPr>
          <w:b/>
          <w:color w:val="000000"/>
          <w:szCs w:val="21"/>
        </w:rPr>
      </w:r>
      <w:r/>
    </w:p>
    <w:p>
      <w:pPr>
        <w:rPr>
          <w:b/>
          <w:color w:val="000000"/>
          <w:sz w:val="28"/>
          <w:szCs w:val="28"/>
        </w:rPr>
      </w:pPr>
      <w:r>
        <w:rPr>
          <w:b/>
          <w:color w:val="000000"/>
          <w:sz w:val="28"/>
          <w:szCs w:val="28"/>
        </w:rPr>
        <w:br w:type="page" w:clear="all"/>
      </w:r>
      <w:r/>
    </w:p>
    <w:p>
      <w:pPr>
        <w:ind w:firstLine="3373"/>
        <w:rPr>
          <w:b/>
          <w:color w:val="000000"/>
          <w:sz w:val="28"/>
          <w:szCs w:val="28"/>
        </w:rPr>
        <w:outlineLvl w:val="0"/>
      </w:pPr>
      <w:r/>
      <w:bookmarkStart w:id="124" w:name="_Toc231822744"/>
      <w:r>
        <w:rPr>
          <w:b/>
          <w:color w:val="000000"/>
          <w:sz w:val="28"/>
          <w:szCs w:val="28"/>
        </w:rPr>
        <w:t xml:space="preserve">第六章 投标文件格式及附件</w:t>
      </w:r>
      <w:bookmarkEnd w:id="124"/>
      <w:r/>
      <w:r/>
    </w:p>
    <w:p>
      <w:pPr>
        <w:spacing w:line="360" w:lineRule="auto"/>
        <w:rPr>
          <w:b/>
          <w:bCs/>
          <w:color w:val="000000"/>
          <w:szCs w:val="21"/>
        </w:rPr>
      </w:pPr>
      <w:r>
        <w:rPr>
          <w:b/>
          <w:bCs/>
          <w:color w:val="000000"/>
          <w:szCs w:val="21"/>
        </w:rPr>
        <w:t xml:space="preserve">注：</w:t>
      </w:r>
      <w:r/>
    </w:p>
    <w:p>
      <w:pPr>
        <w:jc w:val="left"/>
        <w:spacing w:line="360" w:lineRule="auto"/>
        <w:rPr>
          <w:color w:val="000000"/>
          <w:szCs w:val="21"/>
        </w:rPr>
      </w:pPr>
      <w:r>
        <w:rPr>
          <w:color w:val="000000"/>
          <w:szCs w:val="21"/>
        </w:rPr>
        <w:t xml:space="preserve">1.本部分内容仅提供格式参考。 </w:t>
      </w:r>
      <w:r/>
    </w:p>
    <w:p>
      <w:pPr>
        <w:jc w:val="left"/>
        <w:spacing w:line="360" w:lineRule="auto"/>
        <w:rPr>
          <w:color w:val="000000"/>
          <w:szCs w:val="21"/>
        </w:rPr>
      </w:pPr>
      <w:r>
        <w:rPr>
          <w:color w:val="000000"/>
          <w:szCs w:val="21"/>
        </w:rPr>
        <w:t xml:space="preserve">2.投标人应按照以下文件的要求格式、内容制作投标文件，并编制目录及页码，混乱的编排导致投标文件被误读或查找不到，后果由投标人承担。 </w:t>
      </w:r>
      <w:r/>
    </w:p>
    <w:p>
      <w:pPr>
        <w:jc w:val="left"/>
        <w:spacing w:line="360" w:lineRule="auto"/>
        <w:rPr>
          <w:color w:val="000000"/>
          <w:szCs w:val="21"/>
        </w:rPr>
      </w:pPr>
      <w:r>
        <w:rPr>
          <w:color w:val="000000"/>
          <w:szCs w:val="21"/>
        </w:rPr>
        <w:t xml:space="preserve">3.所附表格中要求回答的全部问题和信息都必须正面回答。 </w:t>
      </w:r>
      <w:r/>
    </w:p>
    <w:p>
      <w:pPr>
        <w:jc w:val="left"/>
        <w:spacing w:line="360" w:lineRule="auto"/>
        <w:rPr>
          <w:color w:val="000000"/>
          <w:szCs w:val="21"/>
        </w:rPr>
      </w:pPr>
      <w:r>
        <w:rPr>
          <w:color w:val="000000"/>
          <w:szCs w:val="21"/>
        </w:rPr>
        <w:t xml:space="preserve">4.投标人提交的材料不予退还。 </w:t>
      </w:r>
      <w:r/>
    </w:p>
    <w:p>
      <w:pPr>
        <w:jc w:val="left"/>
        <w:spacing w:line="360" w:lineRule="auto"/>
        <w:rPr>
          <w:color w:val="000000"/>
          <w:szCs w:val="21"/>
        </w:rPr>
      </w:pPr>
      <w:r>
        <w:rPr>
          <w:color w:val="000000"/>
          <w:szCs w:val="21"/>
        </w:rPr>
        <w:t xml:space="preserve">5.全部文件应按投标人须知以及前附表中规定的语言和份数提交。 </w:t>
      </w:r>
      <w:r/>
    </w:p>
    <w:p>
      <w:pPr>
        <w:jc w:val="left"/>
        <w:spacing w:line="360" w:lineRule="auto"/>
        <w:rPr>
          <w:color w:val="000000"/>
          <w:szCs w:val="21"/>
        </w:rPr>
      </w:pPr>
      <w:r>
        <w:rPr>
          <w:color w:val="000000"/>
          <w:szCs w:val="21"/>
        </w:rPr>
        <w:t xml:space="preserve">6.投标文件应按照投标文件格式逐项填写，无相应内容可填的项应填写“无”“未测试”“没有相应指标”等明确的回答文字。 </w:t>
      </w:r>
      <w:r/>
    </w:p>
    <w:p>
      <w:pPr>
        <w:spacing w:line="360" w:lineRule="auto"/>
        <w:rPr>
          <w:color w:val="000000"/>
          <w:szCs w:val="21"/>
        </w:rPr>
        <w:sectPr>
          <w:headerReference w:type="first" r:id="rId12"/>
          <w:footerReference w:type="default" r:id="rId16"/>
          <w:footnotePr/>
          <w:endnotePr/>
          <w:type w:val="nextPage"/>
          <w:pgSz w:w="11906" w:h="16838" w:orient="portrait"/>
          <w:pgMar w:top="1134" w:right="1312" w:bottom="1134" w:left="1134" w:header="567" w:footer="992" w:gutter="0"/>
          <w:cols w:num="1" w:sep="0" w:space="720" w:equalWidth="1"/>
          <w:docGrid w:linePitch="360"/>
        </w:sectPr>
      </w:pPr>
      <w:r>
        <w:rPr>
          <w:color w:val="000000"/>
          <w:szCs w:val="21"/>
        </w:rPr>
        <w:t xml:space="preserve"> </w:t>
      </w:r>
      <w:r/>
    </w:p>
    <w:p>
      <w:pPr>
        <w:jc w:val="center"/>
        <w:spacing w:line="360" w:lineRule="auto"/>
        <w:rPr>
          <w:b/>
          <w:color w:val="000000"/>
          <w:szCs w:val="21"/>
        </w:rPr>
      </w:pPr>
      <w:r/>
      <w:bookmarkStart w:id="125" w:name="_Toc496780634"/>
      <w:r/>
      <w:bookmarkStart w:id="126" w:name="_Toc29373"/>
      <w:r/>
      <w:bookmarkStart w:id="127" w:name="_Toc24614"/>
      <w:r/>
      <w:bookmarkStart w:id="128" w:name="_Toc31843"/>
      <w:r/>
      <w:bookmarkStart w:id="129" w:name="_Toc4200"/>
      <w:r>
        <w:rPr>
          <w:b/>
          <w:color w:val="000000"/>
          <w:szCs w:val="21"/>
        </w:rPr>
        <w:t xml:space="preserve">评审索引</w:t>
      </w:r>
      <w:bookmarkEnd w:id="125"/>
      <w:r/>
      <w:bookmarkEnd w:id="126"/>
      <w:r>
        <w:rPr>
          <w:b/>
          <w:color w:val="000000"/>
          <w:szCs w:val="21"/>
        </w:rPr>
        <w:t xml:space="preserve">表</w:t>
      </w:r>
      <w:bookmarkEnd w:id="127"/>
      <w:r/>
      <w:bookmarkEnd w:id="128"/>
      <w:r/>
      <w:bookmarkEnd w:id="129"/>
      <w:r/>
      <w:r/>
    </w:p>
    <w:tbl>
      <w:tblPr>
        <w:tblStyle w:val="1405"/>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1304"/>
        <w:gridCol w:w="6604"/>
        <w:gridCol w:w="1524"/>
      </w:tblGrid>
      <w:tr>
        <w:trPr>
          <w:jc w:val="center"/>
        </w:trPr>
        <w:tc>
          <w:tcPr>
            <w:gridSpan w:val="2"/>
            <w:tcW w:w="1726" w:type="dxa"/>
            <w:vAlign w:val="center"/>
            <w:textDirection w:val="lrTb"/>
            <w:noWrap w:val="false"/>
          </w:tcPr>
          <w:p>
            <w:pPr>
              <w:jc w:val="center"/>
              <w:spacing w:line="360" w:lineRule="auto"/>
              <w:widowControl/>
              <w:rPr>
                <w:b/>
                <w:color w:val="000000"/>
                <w:szCs w:val="21"/>
              </w:rPr>
            </w:pPr>
            <w:r>
              <w:rPr>
                <w:b/>
                <w:color w:val="000000"/>
                <w:szCs w:val="21"/>
              </w:rPr>
              <w:t xml:space="preserve">评审项目</w:t>
            </w:r>
            <w:r/>
          </w:p>
        </w:tc>
        <w:tc>
          <w:tcPr>
            <w:tcW w:w="6604" w:type="dxa"/>
            <w:textDirection w:val="lrTb"/>
            <w:noWrap w:val="false"/>
          </w:tcPr>
          <w:p>
            <w:pPr>
              <w:jc w:val="center"/>
              <w:spacing w:line="360" w:lineRule="auto"/>
              <w:rPr>
                <w:b/>
                <w:color w:val="000000"/>
                <w:szCs w:val="21"/>
              </w:rPr>
            </w:pPr>
            <w:r>
              <w:rPr>
                <w:b/>
                <w:color w:val="000000"/>
                <w:szCs w:val="21"/>
              </w:rPr>
              <w:t xml:space="preserve">评分要求</w:t>
            </w:r>
            <w:r/>
          </w:p>
        </w:tc>
        <w:tc>
          <w:tcPr>
            <w:tcW w:w="1524" w:type="dxa"/>
            <w:textDirection w:val="lrTb"/>
            <w:noWrap w:val="false"/>
          </w:tcPr>
          <w:p>
            <w:pPr>
              <w:jc w:val="center"/>
              <w:spacing w:line="360" w:lineRule="auto"/>
              <w:rPr>
                <w:b/>
                <w:color w:val="000000"/>
                <w:szCs w:val="21"/>
              </w:rPr>
            </w:pPr>
            <w:r>
              <w:rPr>
                <w:b/>
                <w:color w:val="000000"/>
                <w:szCs w:val="21"/>
              </w:rPr>
              <w:t xml:space="preserve">所在页码</w:t>
            </w:r>
            <w:r/>
          </w:p>
        </w:tc>
      </w:tr>
      <w:tr>
        <w:trPr>
          <w:jc w:val="center"/>
        </w:trPr>
        <w:tc>
          <w:tcPr>
            <w:tcW w:w="422" w:type="dxa"/>
            <w:vAlign w:val="center"/>
            <w:textDirection w:val="lrTb"/>
            <w:noWrap w:val="false"/>
          </w:tcPr>
          <w:p>
            <w:pPr>
              <w:spacing w:line="360" w:lineRule="auto"/>
              <w:widowControl/>
              <w:rPr>
                <w:color w:val="000000"/>
                <w:szCs w:val="21"/>
              </w:rPr>
            </w:pPr>
            <w:r>
              <w:rPr>
                <w:color w:val="000000"/>
                <w:szCs w:val="21"/>
              </w:rPr>
            </w:r>
            <w:r/>
          </w:p>
        </w:tc>
        <w:tc>
          <w:tcPr>
            <w:tcW w:w="1304" w:type="dxa"/>
            <w:vAlign w:val="center"/>
            <w:textDirection w:val="lrTb"/>
            <w:noWrap w:val="false"/>
          </w:tcPr>
          <w:p>
            <w:pPr>
              <w:spacing w:line="360" w:lineRule="auto"/>
              <w:widowControl/>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ind w:left="613"/>
              <w:spacing w:line="360" w:lineRule="auto"/>
              <w:widowControl/>
              <w:tabs>
                <w:tab w:val="left" w:pos="403" w:leader="none"/>
              </w:tabs>
              <w:rPr>
                <w:color w:val="000000"/>
                <w:szCs w:val="21"/>
              </w:rPr>
            </w:pPr>
            <w:r>
              <w:rPr>
                <w:color w:val="000000"/>
                <w:szCs w:val="21"/>
              </w:rPr>
            </w:r>
            <w:r/>
          </w:p>
        </w:tc>
      </w:tr>
      <w:tr>
        <w:trPr>
          <w:jc w:val="center"/>
          <w:trHeight w:val="61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65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65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51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51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bl>
    <w:p>
      <w:pPr>
        <w:ind w:firstLine="630"/>
        <w:spacing w:line="360" w:lineRule="auto"/>
        <w:rPr>
          <w:color w:val="000000"/>
          <w:szCs w:val="21"/>
        </w:rPr>
        <w:sectPr>
          <w:footnotePr/>
          <w:endnotePr/>
          <w:type w:val="nextPage"/>
          <w:pgSz w:w="11906" w:h="16838" w:orient="portrait"/>
          <w:pgMar w:top="1134" w:right="1134" w:bottom="1134" w:left="1134" w:header="851" w:footer="992" w:gutter="0"/>
          <w:cols w:num="1" w:sep="0" w:space="720" w:equalWidth="1"/>
          <w:docGrid w:linePitch="360"/>
        </w:sectPr>
        <w:outlineLvl w:val="1"/>
      </w:pPr>
      <w:r>
        <w:rPr>
          <w:color w:val="000000"/>
          <w:szCs w:val="21"/>
        </w:rPr>
      </w:r>
      <w:r/>
    </w:p>
    <w:p>
      <w:pPr>
        <w:jc w:val="left"/>
        <w:spacing w:line="360" w:lineRule="auto"/>
        <w:outlineLvl w:val="1"/>
      </w:pPr>
      <w:r/>
      <w:bookmarkStart w:id="130" w:name="_Toc15346"/>
      <w:r/>
      <w:bookmarkStart w:id="131" w:name="_Toc231822745"/>
      <w:r/>
      <w:bookmarkStart w:id="132" w:name="_Toc28190"/>
      <w:r/>
      <w:bookmarkStart w:id="133" w:name="_Toc4034"/>
      <w:r/>
      <w:bookmarkStart w:id="134" w:name="_Toc1929"/>
      <w:r/>
      <w:bookmarkStart w:id="135" w:name="_Toc9700"/>
      <w:r/>
      <w:bookmarkStart w:id="136" w:name="_Toc24640"/>
      <w:r>
        <w:rPr>
          <w:b/>
          <w:color w:val="000000"/>
          <w:szCs w:val="21"/>
        </w:rPr>
        <w:t xml:space="preserve">附件一 投标函格式</w:t>
      </w:r>
      <w:bookmarkEnd w:id="130"/>
      <w:r/>
      <w:bookmarkEnd w:id="131"/>
      <w:r/>
      <w:bookmarkEnd w:id="132"/>
      <w:r/>
      <w:bookmarkEnd w:id="133"/>
      <w:r/>
      <w:r/>
    </w:p>
    <w:p>
      <w:pPr>
        <w:jc w:val="center"/>
        <w:spacing w:line="360" w:lineRule="auto"/>
        <w:rPr>
          <w:b/>
          <w:color w:val="000000"/>
          <w:szCs w:val="21"/>
        </w:rPr>
      </w:pPr>
      <w:r>
        <w:rPr>
          <w:b/>
          <w:color w:val="000000"/>
          <w:szCs w:val="21"/>
        </w:rPr>
        <w:t xml:space="preserve">投标函</w:t>
      </w:r>
      <w:r/>
    </w:p>
    <w:p>
      <w:pPr>
        <w:spacing w:line="360" w:lineRule="auto"/>
        <w:rPr>
          <w:color w:val="000000"/>
          <w:szCs w:val="21"/>
        </w:rPr>
      </w:pPr>
      <w:r>
        <w:rPr>
          <w:color w:val="000000"/>
          <w:szCs w:val="21"/>
        </w:rPr>
        <w:t xml:space="preserve">致：江苏美达机电贸易有限公司</w:t>
      </w:r>
      <w:r/>
    </w:p>
    <w:p>
      <w:pPr>
        <w:ind w:firstLine="420"/>
        <w:spacing w:line="360" w:lineRule="auto"/>
        <w:rPr>
          <w:color w:val="000000"/>
          <w:szCs w:val="21"/>
          <w:lang w:val="zh-CN"/>
        </w:rPr>
      </w:pPr>
      <w:r>
        <w:rPr>
          <w:color w:val="000000"/>
          <w:szCs w:val="21"/>
          <w:lang w:val="zh-CN"/>
        </w:rPr>
        <w:t xml:space="preserve">根据贵方</w:t>
      </w:r>
      <w:r>
        <w:rPr>
          <w:color w:val="000000"/>
          <w:szCs w:val="21"/>
          <w:u w:val="single"/>
          <w:lang w:val="zh-CN"/>
        </w:rPr>
        <w:t xml:space="preserve">         </w:t>
      </w:r>
      <w:r>
        <w:rPr>
          <w:color w:val="000000"/>
          <w:szCs w:val="21"/>
          <w:lang w:val="zh-CN"/>
        </w:rPr>
        <w:t xml:space="preserve">（项目名称） </w:t>
      </w:r>
      <w:r>
        <w:rPr>
          <w:b/>
          <w:color w:val="000000"/>
          <w:szCs w:val="21"/>
          <w:u w:val="single"/>
        </w:rPr>
        <w:t xml:space="preserve">        </w:t>
      </w:r>
      <w:r>
        <w:rPr>
          <w:color w:val="000000"/>
          <w:szCs w:val="21"/>
          <w:lang w:val="zh-CN"/>
        </w:rPr>
        <w:t xml:space="preserve">（项目编号）投标邀请，正式授权下述签字人</w:t>
      </w:r>
      <w:r>
        <w:rPr>
          <w:color w:val="000000"/>
          <w:szCs w:val="21"/>
          <w:u w:val="single"/>
          <w:lang w:val="zh-CN"/>
        </w:rPr>
        <w:t xml:space="preserve">       </w:t>
      </w:r>
      <w:r>
        <w:rPr>
          <w:color w:val="000000"/>
          <w:szCs w:val="21"/>
          <w:lang w:val="zh-CN"/>
        </w:rPr>
        <w:t xml:space="preserve">(姓名和职务)代表</w:t>
      </w:r>
      <w:r>
        <w:rPr>
          <w:color w:val="000000"/>
          <w:szCs w:val="21"/>
          <w:u w:val="single"/>
          <w:lang w:val="zh-CN"/>
        </w:rPr>
        <w:t xml:space="preserve">        </w:t>
      </w:r>
      <w:r>
        <w:rPr>
          <w:color w:val="000000"/>
          <w:szCs w:val="21"/>
          <w:u w:val="single"/>
        </w:rPr>
        <w:t xml:space="preserve">   </w:t>
      </w:r>
      <w:r>
        <w:rPr>
          <w:color w:val="000000"/>
          <w:szCs w:val="21"/>
          <w:u w:val="single"/>
          <w:lang w:val="zh-CN"/>
        </w:rPr>
        <w:t xml:space="preserve">    </w:t>
      </w:r>
      <w:r>
        <w:rPr>
          <w:color w:val="000000"/>
          <w:szCs w:val="21"/>
          <w:lang w:val="zh-CN"/>
        </w:rPr>
        <w:t xml:space="preserve">（投标人名称），提交投标文件。</w:t>
      </w:r>
      <w:r/>
    </w:p>
    <w:p>
      <w:pPr>
        <w:ind w:firstLine="420"/>
        <w:spacing w:line="360" w:lineRule="auto"/>
        <w:rPr>
          <w:color w:val="000000"/>
          <w:szCs w:val="21"/>
        </w:rPr>
      </w:pPr>
      <w:r>
        <w:rPr>
          <w:color w:val="000000"/>
          <w:szCs w:val="21"/>
        </w:rPr>
        <w:t xml:space="preserve">据此函，签字人兹宣布同意如下：</w:t>
      </w:r>
      <w:r/>
    </w:p>
    <w:p>
      <w:pPr>
        <w:spacing w:line="360" w:lineRule="auto"/>
        <w:rPr>
          <w:color w:val="000000"/>
          <w:szCs w:val="21"/>
        </w:rPr>
      </w:pPr>
      <w:r>
        <w:rPr>
          <w:color w:val="000000"/>
          <w:szCs w:val="21"/>
        </w:rPr>
        <w:t xml:space="preserve">1．我们的资格条件完全符合《中华人民共和国政府采购法》和本次招标要求，我们同意并向贵方提供了与本次招标活动有关的所有证据和资料。    </w:t>
      </w:r>
      <w:r/>
    </w:p>
    <w:p>
      <w:pPr>
        <w:spacing w:line="360" w:lineRule="auto"/>
        <w:rPr>
          <w:color w:val="000000"/>
          <w:szCs w:val="21"/>
        </w:rPr>
      </w:pPr>
      <w:r>
        <w:rPr>
          <w:color w:val="000000"/>
          <w:szCs w:val="21"/>
        </w:rPr>
        <w:t xml:space="preserve">2．我们已详细审核全部招标文件及其有效补充文件，我们放弃对招标文件任何误解的权利，提交投标文件后，</w:t>
      </w:r>
      <w:r>
        <w:rPr>
          <w:b/>
          <w:bCs/>
          <w:color w:val="000000"/>
          <w:szCs w:val="21"/>
        </w:rPr>
        <w:t xml:space="preserve">不对招标文件本身提出质疑</w:t>
      </w:r>
      <w:r>
        <w:rPr>
          <w:color w:val="000000"/>
          <w:szCs w:val="21"/>
        </w:rPr>
        <w:t xml:space="preserve">。否则，属于不诚信和故意扰乱政府采购活动行为，我们将无条件接受处罚。</w:t>
      </w:r>
      <w:r/>
    </w:p>
    <w:p>
      <w:pPr>
        <w:spacing w:line="360" w:lineRule="auto"/>
        <w:rPr>
          <w:color w:val="000000"/>
          <w:szCs w:val="21"/>
        </w:rPr>
      </w:pPr>
      <w:r>
        <w:rPr>
          <w:color w:val="000000"/>
          <w:szCs w:val="21"/>
        </w:rPr>
        <w:t xml:space="preserve">3．我们同意在本项目招标文件中规定的开标之日起90天内遵守本投标文件中的承诺且在此期限期满之前均具有约束力。</w:t>
      </w:r>
      <w:r/>
    </w:p>
    <w:p>
      <w:pPr>
        <w:spacing w:line="360" w:lineRule="auto"/>
        <w:rPr>
          <w:color w:val="000000"/>
          <w:szCs w:val="21"/>
        </w:rPr>
      </w:pPr>
      <w:r>
        <w:rPr>
          <w:color w:val="000000"/>
          <w:szCs w:val="21"/>
        </w:rPr>
        <w:t xml:space="preserve">4．我们愿意向采购代理机构提供任何与本次招标有关的其他资料，并保证已提供和将要提供的文件是真实的、准确的。</w:t>
      </w:r>
      <w:r/>
    </w:p>
    <w:p>
      <w:pPr>
        <w:spacing w:line="360" w:lineRule="auto"/>
        <w:rPr>
          <w:color w:val="000000"/>
          <w:szCs w:val="21"/>
        </w:rPr>
      </w:pPr>
      <w:r>
        <w:rPr>
          <w:color w:val="000000"/>
          <w:szCs w:val="21"/>
        </w:rPr>
        <w:t xml:space="preserve">5．我们理解，你们无义务必须接受投标价最低的投标，并有权拒绝所有的投标。</w:t>
      </w:r>
      <w:r/>
    </w:p>
    <w:p>
      <w:pPr>
        <w:spacing w:line="360" w:lineRule="auto"/>
        <w:rPr>
          <w:color w:val="000000"/>
          <w:szCs w:val="21"/>
        </w:rPr>
      </w:pPr>
      <w:r>
        <w:rPr>
          <w:color w:val="000000"/>
          <w:szCs w:val="21"/>
        </w:rPr>
        <w:t xml:space="preserve">6．如果我们中标，本次招标文件和本投标文件（含承诺书）将作为采购合同的附件。我们将根据招标文件的规定严格履行合同，履行自己在投标文件中的全部承诺和责任。</w:t>
      </w:r>
      <w:r/>
    </w:p>
    <w:p>
      <w:pPr>
        <w:spacing w:line="360" w:lineRule="auto"/>
        <w:rPr>
          <w:color w:val="000000"/>
          <w:szCs w:val="21"/>
        </w:rPr>
      </w:pPr>
      <w:r>
        <w:rPr>
          <w:color w:val="000000"/>
          <w:szCs w:val="21"/>
        </w:rPr>
        <w:t xml:space="preserve">7．其他说明：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w:t>
      </w:r>
      <w:r>
        <w:rPr>
          <w:color w:val="000000"/>
          <w:szCs w:val="21"/>
          <w:u w:val="single"/>
        </w:rPr>
        <w:t xml:space="preserve">                   （公章）</w:t>
      </w:r>
      <w:r/>
    </w:p>
    <w:p>
      <w:pPr>
        <w:spacing w:line="360" w:lineRule="auto"/>
        <w:rPr>
          <w:color w:val="000000"/>
          <w:szCs w:val="21"/>
          <w:u w:val="single"/>
        </w:rPr>
      </w:pPr>
      <w:r>
        <w:rPr>
          <w:color w:val="000000"/>
          <w:szCs w:val="21"/>
        </w:rPr>
        <w:t xml:space="preserve">地址：</w:t>
      </w:r>
      <w:r>
        <w:rPr>
          <w:color w:val="000000"/>
          <w:szCs w:val="21"/>
          <w:u w:val="single"/>
        </w:rPr>
        <w:t xml:space="preserve">            </w:t>
      </w:r>
      <w:r>
        <w:rPr>
          <w:color w:val="000000"/>
          <w:szCs w:val="21"/>
        </w:rPr>
        <w:t xml:space="preserve"> 邮编：</w:t>
      </w:r>
      <w:r>
        <w:rPr>
          <w:color w:val="000000"/>
          <w:szCs w:val="21"/>
          <w:u w:val="single"/>
        </w:rPr>
        <w:t xml:space="preserve">              </w:t>
      </w:r>
      <w:r/>
    </w:p>
    <w:p>
      <w:pPr>
        <w:spacing w:line="360" w:lineRule="auto"/>
        <w:rPr>
          <w:color w:val="000000"/>
          <w:szCs w:val="21"/>
          <w:u w:val="single"/>
        </w:rPr>
      </w:pPr>
      <w:r>
        <w:rPr>
          <w:color w:val="000000"/>
          <w:szCs w:val="21"/>
        </w:rPr>
        <w:t xml:space="preserve">电话：</w:t>
      </w:r>
      <w:r>
        <w:rPr>
          <w:color w:val="000000"/>
          <w:szCs w:val="21"/>
          <w:u w:val="single"/>
        </w:rPr>
        <w:t xml:space="preserve">            </w:t>
      </w:r>
      <w:r>
        <w:rPr>
          <w:color w:val="000000"/>
          <w:szCs w:val="21"/>
        </w:rPr>
        <w:t xml:space="preserve"> 传真：</w:t>
      </w:r>
      <w:r>
        <w:rPr>
          <w:color w:val="000000"/>
          <w:szCs w:val="21"/>
          <w:u w:val="single"/>
        </w:rPr>
        <w:t xml:space="preserve">              </w:t>
      </w:r>
      <w:r/>
    </w:p>
    <w:p>
      <w:pPr>
        <w:spacing w:line="360" w:lineRule="auto"/>
        <w:rPr>
          <w:color w:val="000000"/>
          <w:szCs w:val="21"/>
        </w:rPr>
      </w:pPr>
      <w:r>
        <w:rPr>
          <w:color w:val="000000"/>
          <w:szCs w:val="21"/>
        </w:rPr>
        <w:t xml:space="preserve">日期：</w:t>
      </w:r>
      <w:r>
        <w:rPr>
          <w:color w:val="000000"/>
          <w:szCs w:val="21"/>
          <w:u w:val="single"/>
        </w:rPr>
        <w:t xml:space="preserve">               </w:t>
      </w:r>
      <w:r/>
    </w:p>
    <w:p>
      <w:pPr>
        <w:spacing w:line="360" w:lineRule="auto"/>
        <w:rPr>
          <w:color w:val="000000"/>
          <w:szCs w:val="21"/>
        </w:rPr>
        <w:sectPr>
          <w:footnotePr/>
          <w:endnotePr/>
          <w:type w:val="nextPage"/>
          <w:pgSz w:w="11906" w:h="16838" w:orient="portrait"/>
          <w:pgMar w:top="1134" w:right="1134" w:bottom="1134" w:left="1134" w:header="851" w:footer="992" w:gutter="0"/>
          <w:cols w:num="1" w:sep="0" w:space="720" w:equalWidth="1"/>
          <w:docGrid w:linePitch="360"/>
        </w:sectPr>
      </w:pPr>
      <w:r>
        <w:rPr>
          <w:color w:val="000000"/>
          <w:szCs w:val="21"/>
        </w:rPr>
      </w:r>
      <w:bookmarkEnd w:id="134"/>
      <w:r/>
      <w:bookmarkEnd w:id="135"/>
      <w:r/>
      <w:bookmarkEnd w:id="136"/>
      <w:r/>
      <w:r/>
    </w:p>
    <w:p>
      <w:pPr>
        <w:jc w:val="left"/>
        <w:spacing w:line="360" w:lineRule="auto"/>
        <w:rPr>
          <w:b/>
          <w:color w:val="000000"/>
          <w:szCs w:val="21"/>
        </w:rPr>
        <w:outlineLvl w:val="1"/>
      </w:pPr>
      <w:r/>
      <w:bookmarkStart w:id="137" w:name="_Toc231822746"/>
      <w:r>
        <w:rPr>
          <w:b/>
          <w:color w:val="000000"/>
          <w:szCs w:val="21"/>
        </w:rPr>
        <w:t xml:space="preserve">附件二 开标一览表</w:t>
      </w:r>
      <w:bookmarkEnd w:id="137"/>
      <w:r/>
      <w:r/>
    </w:p>
    <w:p>
      <w:pPr>
        <w:jc w:val="center"/>
        <w:spacing w:line="360" w:lineRule="auto"/>
        <w:rPr>
          <w:b/>
          <w:color w:val="000000"/>
          <w:szCs w:val="21"/>
        </w:rPr>
      </w:pPr>
      <w:r>
        <w:rPr>
          <w:b/>
          <w:color w:val="000000"/>
          <w:szCs w:val="21"/>
        </w:rPr>
        <w:t xml:space="preserve">开标一览表</w:t>
      </w:r>
      <w:r/>
    </w:p>
    <w:p>
      <w:pPr>
        <w:spacing w:line="360" w:lineRule="auto"/>
        <w:rPr>
          <w:color w:val="000000"/>
          <w:szCs w:val="21"/>
        </w:rPr>
      </w:pPr>
      <w:r>
        <w:rPr>
          <w:color w:val="000000"/>
          <w:szCs w:val="21"/>
        </w:rPr>
      </w:r>
      <w:r/>
    </w:p>
    <w:p>
      <w:pPr>
        <w:spacing w:after="120" w:line="360" w:lineRule="auto"/>
        <w:rPr>
          <w:color w:val="000000"/>
          <w:szCs w:val="21"/>
          <w:u w:val="single"/>
        </w:rPr>
      </w:pPr>
      <w:r>
        <w:rPr>
          <w:color w:val="000000"/>
          <w:szCs w:val="21"/>
        </w:rPr>
        <w:t xml:space="preserve">  项目名称：</w:t>
      </w:r>
      <w:r>
        <w:rPr>
          <w:color w:val="000000"/>
          <w:szCs w:val="21"/>
          <w:u w:val="single"/>
        </w:rPr>
        <w:t xml:space="preserve">                </w:t>
      </w:r>
      <w:r>
        <w:rPr>
          <w:color w:val="000000"/>
          <w:szCs w:val="21"/>
        </w:rPr>
        <w:t xml:space="preserve">        招标编号：</w:t>
      </w:r>
      <w:r>
        <w:rPr>
          <w:color w:val="000000"/>
          <w:szCs w:val="21"/>
          <w:u w:val="single"/>
        </w:rPr>
        <w:t xml:space="preserve">               </w:t>
      </w:r>
      <w:r/>
    </w:p>
    <w:tbl>
      <w:tblPr>
        <w:tblStyle w:val="1405"/>
        <w:tblW w:w="999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6"/>
        <w:gridCol w:w="542"/>
        <w:gridCol w:w="667"/>
        <w:gridCol w:w="780"/>
        <w:gridCol w:w="1349"/>
        <w:gridCol w:w="1275"/>
        <w:gridCol w:w="1666"/>
        <w:gridCol w:w="1095"/>
        <w:gridCol w:w="1902"/>
      </w:tblGrid>
      <w:tr>
        <w:trPr>
          <w:jc w:val="center"/>
          <w:trHeight w:val="877"/>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spacing w:line="360" w:lineRule="auto"/>
              <w:rPr>
                <w:szCs w:val="21"/>
              </w:rPr>
            </w:pPr>
            <w:r>
              <w:rPr>
                <w:szCs w:val="21"/>
              </w:rPr>
              <w:t xml:space="preserve">包号</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t xml:space="preserve">产品名称</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t xml:space="preserve">所投品牌</w:t>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t xml:space="preserve">数量</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t xml:space="preserve">投标货币/投标价格</w:t>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t xml:space="preserve">交货期</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t xml:space="preserve">是否为进口产品（是/否）</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t xml:space="preserve">投标标的是否全部由小微企业提供（是/否）</w:t>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r>
            <w:r/>
          </w:p>
        </w:tc>
      </w:tr>
      <w:tr>
        <w:trPr>
          <w:jc w:val="center"/>
        </w:trPr>
        <w:tc>
          <w:tcPr>
            <w:gridSpan w:val="8"/>
            <w:tcBorders>
              <w:top w:val="single" w:color="auto" w:sz="4" w:space="0"/>
              <w:left w:val="single" w:color="auto" w:sz="4" w:space="0"/>
              <w:bottom w:val="single" w:color="auto" w:sz="4" w:space="0"/>
              <w:right w:val="single" w:color="auto" w:sz="4" w:space="0"/>
            </w:tcBorders>
            <w:tcW w:w="8090" w:type="dxa"/>
            <w:vAlign w:val="center"/>
            <w:textDirection w:val="lrTb"/>
            <w:noWrap w:val="false"/>
          </w:tcPr>
          <w:p>
            <w:pPr>
              <w:jc w:val="left"/>
              <w:spacing w:line="360" w:lineRule="auto"/>
              <w:rPr>
                <w:szCs w:val="21"/>
              </w:rPr>
            </w:pPr>
            <w:r>
              <w:rPr>
                <w:szCs w:val="21"/>
              </w:rPr>
              <w:t xml:space="preserve">投标总价合计：   （大写）   （小写）</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left"/>
              <w:spacing w:line="360" w:lineRule="auto"/>
              <w:rPr>
                <w:szCs w:val="21"/>
              </w:rPr>
            </w:pPr>
            <w:r>
              <w:rPr>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ind w:left="420" w:firstLine="420"/>
        <w:spacing w:after="120"/>
      </w:pPr>
      <w:r/>
      <w:r/>
    </w:p>
    <w:p>
      <w:pPr>
        <w:spacing w:line="360" w:lineRule="auto"/>
        <w:rPr>
          <w:color w:val="000000"/>
          <w:szCs w:val="21"/>
        </w:rPr>
      </w:pPr>
      <w:r>
        <w:rPr>
          <w:color w:val="000000"/>
          <w:szCs w:val="21"/>
        </w:rPr>
        <w:t xml:space="preserve">注：1、此表应按“投标人须知”的规定密封标记单独提交。</w:t>
      </w:r>
      <w:r/>
    </w:p>
    <w:p>
      <w:pPr>
        <w:ind w:firstLine="420"/>
        <w:spacing w:line="360" w:lineRule="auto"/>
        <w:rPr>
          <w:color w:val="000000"/>
          <w:szCs w:val="21"/>
        </w:rPr>
      </w:pPr>
      <w:r>
        <w:rPr>
          <w:color w:val="000000"/>
          <w:szCs w:val="21"/>
        </w:rPr>
        <w:t xml:space="preserve">2、此表中，投标总价合计应和分项报价表中的总价一致。</w:t>
      </w:r>
      <w:r/>
    </w:p>
    <w:p>
      <w:pPr>
        <w:ind w:firstLine="420"/>
        <w:spacing w:line="360" w:lineRule="auto"/>
        <w:rPr>
          <w:color w:val="000000"/>
          <w:szCs w:val="21"/>
        </w:rPr>
      </w:pPr>
      <w:r>
        <w:rPr>
          <w:color w:val="000000"/>
          <w:szCs w:val="21"/>
        </w:rPr>
        <w:t xml:space="preserve">3、本项目仅接受一个价格，不得填报有选择性报价方案。若有优惠条款须注明，但不得影响报价，影响产品整体功能。</w:t>
      </w:r>
      <w:r/>
    </w:p>
    <w:p>
      <w:pPr>
        <w:ind w:firstLine="420"/>
        <w:spacing w:line="360" w:lineRule="auto"/>
        <w:rPr>
          <w:color w:val="000000"/>
          <w:szCs w:val="21"/>
        </w:rPr>
      </w:pPr>
      <w:r>
        <w:rPr>
          <w:color w:val="000000"/>
          <w:szCs w:val="21"/>
        </w:rPr>
        <w:t xml:space="preserve">4、“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p>
    <w:p>
      <w:pPr>
        <w:jc w:val="cente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jc w:val="left"/>
        <w:spacing w:line="360" w:lineRule="auto"/>
        <w:outlineLvl w:val="1"/>
      </w:pPr>
      <w:r/>
      <w:bookmarkStart w:id="138" w:name="_Toc5534"/>
      <w:r/>
      <w:bookmarkStart w:id="139" w:name="_Toc231822747"/>
      <w:r/>
      <w:bookmarkStart w:id="140" w:name="_Toc24465"/>
      <w:r/>
      <w:bookmarkStart w:id="141" w:name="_Toc11266"/>
      <w:r>
        <w:rPr>
          <w:b/>
          <w:color w:val="000000"/>
          <w:szCs w:val="21"/>
        </w:rPr>
        <w:t xml:space="preserve">附件三 分项报价表</w:t>
      </w:r>
      <w:bookmarkEnd w:id="138"/>
      <w:r/>
      <w:bookmarkEnd w:id="139"/>
      <w:r/>
      <w:bookmarkEnd w:id="140"/>
      <w:r/>
      <w:bookmarkEnd w:id="141"/>
      <w:r/>
      <w:r/>
    </w:p>
    <w:p>
      <w:pPr>
        <w:jc w:val="center"/>
        <w:spacing w:line="360" w:lineRule="auto"/>
        <w:rPr>
          <w:b/>
          <w:color w:val="000000"/>
          <w:szCs w:val="21"/>
        </w:rPr>
      </w:pPr>
      <w:r>
        <w:rPr>
          <w:b/>
          <w:color w:val="000000"/>
          <w:szCs w:val="21"/>
        </w:rPr>
        <w:t xml:space="preserve">分项报价表</w:t>
      </w:r>
      <w:r/>
    </w:p>
    <w:p>
      <w:pPr>
        <w:ind w:firstLine="525"/>
        <w:spacing w:after="120" w:line="360" w:lineRule="auto"/>
        <w:rPr>
          <w:color w:val="000000"/>
          <w:szCs w:val="21"/>
        </w:rPr>
      </w:pPr>
      <w:r>
        <w:rPr>
          <w:color w:val="000000"/>
          <w:szCs w:val="21"/>
        </w:rPr>
        <w:t xml:space="preserve">项目名称：</w:t>
      </w:r>
      <w:r>
        <w:rPr>
          <w:color w:val="000000"/>
          <w:szCs w:val="21"/>
          <w:u w:val="single"/>
        </w:rPr>
        <w:t xml:space="preserve">                  </w:t>
      </w:r>
      <w:r>
        <w:rPr>
          <w:color w:val="000000"/>
          <w:szCs w:val="21"/>
        </w:rPr>
        <w:t xml:space="preserve">招标编号：</w:t>
      </w:r>
      <w:r>
        <w:rPr>
          <w:color w:val="000000"/>
          <w:szCs w:val="21"/>
          <w:u w:val="single"/>
        </w:rPr>
        <w:t xml:space="preserve">                     </w:t>
      </w:r>
      <w:r>
        <w:rPr>
          <w:color w:val="000000"/>
          <w:szCs w:val="21"/>
        </w:rPr>
        <w:t xml:space="preserve"> 包号： </w:t>
      </w:r>
      <w:r>
        <w:rPr>
          <w:color w:val="000000"/>
          <w:szCs w:val="21"/>
          <w:u w:val="single"/>
        </w:rPr>
        <w:t xml:space="preserve">               </w:t>
      </w:r>
      <w:r/>
    </w:p>
    <w:tbl>
      <w:tblPr>
        <w:tblStyle w:val="1405"/>
        <w:tblW w:w="97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1077"/>
        <w:gridCol w:w="1557"/>
        <w:gridCol w:w="976"/>
        <w:gridCol w:w="2269"/>
        <w:gridCol w:w="1677"/>
        <w:gridCol w:w="1677"/>
        <w:gridCol w:w="9"/>
      </w:tblGrid>
      <w:tr>
        <w:trPr>
          <w:gridAfter w:val="1"/>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60" w:lineRule="auto"/>
              <w:rPr>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jc w:val="center"/>
              <w:spacing w:line="360" w:lineRule="auto"/>
              <w:rPr>
                <w:color w:val="000000"/>
                <w:szCs w:val="21"/>
              </w:rPr>
            </w:pPr>
            <w:r>
              <w:rPr>
                <w:color w:val="000000"/>
                <w:szCs w:val="21"/>
              </w:rPr>
              <w:t xml:space="preserve">名 称</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jc w:val="center"/>
              <w:spacing w:line="360" w:lineRule="auto"/>
              <w:rPr>
                <w:color w:val="000000"/>
                <w:szCs w:val="21"/>
              </w:rPr>
            </w:pPr>
            <w:r>
              <w:rPr>
                <w:color w:val="000000"/>
                <w:szCs w:val="21"/>
              </w:rPr>
              <w:t xml:space="preserve">品牌、规格或型号或分项目</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rPr>
                <w:color w:val="000000"/>
                <w:szCs w:val="21"/>
              </w:rPr>
            </w:pPr>
            <w:r>
              <w:rPr>
                <w:color w:val="000000"/>
                <w:szCs w:val="21"/>
              </w:rPr>
              <w:t xml:space="preserve">数量</w:t>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jc w:val="center"/>
              <w:spacing w:line="360" w:lineRule="auto"/>
              <w:rPr>
                <w:color w:val="000000"/>
                <w:szCs w:val="21"/>
              </w:rPr>
            </w:pPr>
            <w:r>
              <w:rPr>
                <w:color w:val="000000"/>
                <w:szCs w:val="21"/>
              </w:rPr>
              <w:t xml:space="preserve">原产地和</w:t>
            </w:r>
            <w:r/>
          </w:p>
          <w:p>
            <w:pPr>
              <w:jc w:val="center"/>
              <w:spacing w:line="360" w:lineRule="auto"/>
              <w:rPr>
                <w:color w:val="000000"/>
                <w:szCs w:val="21"/>
              </w:rPr>
            </w:pPr>
            <w:r>
              <w:rPr>
                <w:color w:val="000000"/>
                <w:szCs w:val="21"/>
              </w:rPr>
              <w:t xml:space="preserve">制造商名称</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rPr>
                <w:color w:val="000000"/>
                <w:szCs w:val="21"/>
              </w:rPr>
            </w:pPr>
            <w:r>
              <w:rPr>
                <w:color w:val="000000"/>
                <w:szCs w:val="21"/>
              </w:rPr>
              <w:t xml:space="preserve">单项金额</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rPr>
                <w:color w:val="000000"/>
                <w:szCs w:val="21"/>
              </w:rPr>
            </w:pPr>
            <w:r>
              <w:rPr>
                <w:color w:val="000000"/>
                <w:szCs w:val="21"/>
              </w:rPr>
              <w:t xml:space="preserve">总价金额</w:t>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1</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2</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3</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ind w:left="-827" w:firstLine="827"/>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4</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5</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6</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jc w:val="center"/>
        </w:trPr>
        <w:tc>
          <w:tcPr>
            <w:gridSpan w:val="3"/>
            <w:tcBorders>
              <w:top w:val="single" w:color="auto" w:sz="4" w:space="0"/>
              <w:left w:val="single" w:color="auto" w:sz="4" w:space="0"/>
              <w:bottom w:val="single" w:color="auto" w:sz="4" w:space="0"/>
              <w:right w:val="single" w:color="auto" w:sz="4" w:space="0"/>
            </w:tcBorders>
            <w:tcW w:w="3168" w:type="dxa"/>
            <w:textDirection w:val="lrTb"/>
            <w:noWrap w:val="false"/>
          </w:tcPr>
          <w:p>
            <w:pPr>
              <w:jc w:val="center"/>
              <w:spacing w:line="360" w:lineRule="auto"/>
              <w:rPr>
                <w:color w:val="000000"/>
                <w:szCs w:val="21"/>
              </w:rPr>
            </w:pPr>
            <w:r>
              <w:rPr>
                <w:color w:val="000000"/>
                <w:szCs w:val="21"/>
              </w:rPr>
              <w:t xml:space="preserve">投标总价合计：</w:t>
            </w:r>
            <w:r/>
          </w:p>
        </w:tc>
        <w:tc>
          <w:tcPr>
            <w:gridSpan w:val="5"/>
            <w:tcBorders>
              <w:top w:val="single" w:color="auto" w:sz="4" w:space="0"/>
              <w:left w:val="single" w:color="auto" w:sz="4" w:space="0"/>
              <w:bottom w:val="single" w:color="auto" w:sz="4" w:space="0"/>
              <w:right w:val="single" w:color="auto" w:sz="4" w:space="0"/>
            </w:tcBorders>
            <w:tcW w:w="6608" w:type="dxa"/>
            <w:textDirection w:val="lrTb"/>
            <w:noWrap w:val="false"/>
          </w:tcPr>
          <w:p>
            <w:pPr>
              <w:spacing w:line="360" w:lineRule="auto"/>
              <w:rPr>
                <w:color w:val="000000"/>
                <w:szCs w:val="21"/>
              </w:rPr>
            </w:pPr>
            <w:r>
              <w:rPr>
                <w:color w:val="000000"/>
                <w:szCs w:val="21"/>
              </w:rPr>
            </w:r>
            <w:r/>
          </w:p>
        </w:tc>
      </w:tr>
      <w:tr>
        <w:trPr>
          <w:jc w:val="center"/>
          <w:trHeight w:val="590"/>
        </w:trPr>
        <w:tc>
          <w:tcPr>
            <w:gridSpan w:val="3"/>
            <w:tcBorders>
              <w:top w:val="single" w:color="auto" w:sz="4" w:space="0"/>
              <w:left w:val="single" w:color="auto" w:sz="4" w:space="0"/>
              <w:bottom w:val="single" w:color="auto" w:sz="4" w:space="0"/>
              <w:right w:val="single" w:color="auto" w:sz="4" w:space="0"/>
            </w:tcBorders>
            <w:tcW w:w="3168" w:type="dxa"/>
            <w:textDirection w:val="lrTb"/>
            <w:noWrap w:val="false"/>
          </w:tcPr>
          <w:p>
            <w:pPr>
              <w:jc w:val="center"/>
              <w:spacing w:line="360" w:lineRule="auto"/>
              <w:rPr>
                <w:color w:val="000000"/>
                <w:szCs w:val="21"/>
              </w:rPr>
            </w:pPr>
            <w:r>
              <w:rPr>
                <w:color w:val="000000"/>
                <w:szCs w:val="21"/>
              </w:rPr>
              <w:t xml:space="preserve">属于小微企业产品的金额：</w:t>
            </w:r>
            <w:r/>
          </w:p>
        </w:tc>
        <w:tc>
          <w:tcPr>
            <w:gridSpan w:val="5"/>
            <w:tcBorders>
              <w:top w:val="single" w:color="auto" w:sz="4" w:space="0"/>
              <w:left w:val="single" w:color="auto" w:sz="4" w:space="0"/>
              <w:bottom w:val="single" w:color="auto" w:sz="4" w:space="0"/>
              <w:right w:val="single" w:color="auto" w:sz="4" w:space="0"/>
            </w:tcBorders>
            <w:tcW w:w="6608" w:type="dxa"/>
            <w:textDirection w:val="lrTb"/>
            <w:noWrap w:val="false"/>
          </w:tcPr>
          <w:p>
            <w:pPr>
              <w:spacing w:line="360" w:lineRule="auto"/>
              <w:rPr>
                <w:color w:val="000000"/>
                <w:szCs w:val="21"/>
              </w:rPr>
            </w:pPr>
            <w:r>
              <w:rPr>
                <w:color w:val="000000"/>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注：1、投标人应根据其所投产品情况，提供配置的详细分项报价。投标人应对上述每项内容列明组成的详细分项价格。</w:t>
      </w:r>
      <w:r/>
    </w:p>
    <w:p>
      <w:pPr>
        <w:ind w:firstLine="420"/>
        <w:spacing w:line="360" w:lineRule="auto"/>
        <w:rPr>
          <w:color w:val="000000"/>
          <w:szCs w:val="21"/>
        </w:rPr>
      </w:pPr>
      <w:r>
        <w:rPr>
          <w:color w:val="000000"/>
          <w:szCs w:val="21"/>
        </w:rPr>
        <w:t xml:space="preserve">2、表中表格行数可自行添加。</w:t>
      </w:r>
      <w:r/>
    </w:p>
    <w:p>
      <w:pPr>
        <w:ind w:firstLine="420"/>
        <w:spacing w:line="360" w:lineRule="auto"/>
        <w:rPr>
          <w:color w:val="000000"/>
          <w:szCs w:val="21"/>
        </w:rPr>
      </w:pPr>
      <w:r>
        <w:rPr>
          <w:color w:val="000000"/>
          <w:szCs w:val="21"/>
        </w:rPr>
      </w:r>
      <w:r/>
    </w:p>
    <w:p>
      <w:pPr>
        <w:jc w:val="center"/>
        <w:spacing w:line="360" w:lineRule="auto"/>
        <w:rPr>
          <w:b/>
          <w:color w:val="000000"/>
          <w:szCs w:val="21"/>
        </w:rPr>
      </w:pPr>
      <w:r>
        <w:rPr>
          <w:b/>
          <w:color w:val="000000"/>
          <w:szCs w:val="21"/>
        </w:rPr>
      </w:r>
      <w:r/>
    </w:p>
    <w:p>
      <w:pPr>
        <w:spacing w:line="360" w:lineRule="auto"/>
        <w:rPr>
          <w:color w:val="000000"/>
          <w:szCs w:val="21"/>
        </w:rPr>
      </w:pPr>
      <w:r>
        <w:rPr>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jc w:val="left"/>
        <w:spacing w:line="360" w:lineRule="auto"/>
        <w:outlineLvl w:val="1"/>
      </w:pPr>
      <w:r/>
      <w:bookmarkStart w:id="142" w:name="_Toc231822748"/>
      <w:r/>
      <w:bookmarkStart w:id="143" w:name="_Toc113527849"/>
      <w:r/>
      <w:bookmarkStart w:id="144" w:name="_Toc1916"/>
      <w:r/>
      <w:bookmarkStart w:id="145" w:name="_Toc31821"/>
      <w:r/>
      <w:bookmarkStart w:id="146" w:name="_Toc14830"/>
      <w:r>
        <w:rPr>
          <w:b/>
          <w:color w:val="000000"/>
          <w:szCs w:val="21"/>
        </w:rPr>
        <w:t xml:space="preserve">附件四 商务条款偏离表</w:t>
      </w:r>
      <w:bookmarkEnd w:id="142"/>
      <w:r/>
      <w:bookmarkEnd w:id="143"/>
      <w:r/>
      <w:bookmarkEnd w:id="144"/>
      <w:r/>
      <w:bookmarkEnd w:id="145"/>
      <w:r/>
      <w:bookmarkEnd w:id="146"/>
      <w:r/>
      <w:r/>
    </w:p>
    <w:tbl>
      <w:tblPr>
        <w:tblStyle w:val="1405"/>
        <w:tblW w:w="976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jc w:val="center"/>
          <w:trHeight w:val="642"/>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center"/>
              <w:spacing w:before="120" w:line="360" w:lineRule="auto"/>
              <w:rPr>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jc w:val="center"/>
              <w:spacing w:before="120" w:line="360" w:lineRule="auto"/>
              <w:rPr>
                <w:color w:val="000000"/>
                <w:szCs w:val="21"/>
              </w:rPr>
            </w:pPr>
            <w:r>
              <w:rPr>
                <w:color w:val="000000"/>
                <w:szCs w:val="21"/>
              </w:rPr>
              <w:t xml:space="preserve">招标文件条目号</w:t>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jc w:val="center"/>
              <w:spacing w:before="120" w:line="360" w:lineRule="auto"/>
              <w:rPr>
                <w:color w:val="000000"/>
                <w:szCs w:val="21"/>
              </w:rPr>
            </w:pPr>
            <w:r>
              <w:rPr>
                <w:color w:val="000000"/>
                <w:szCs w:val="21"/>
              </w:rPr>
              <w:t xml:space="preserve">招标文件的商务条款</w:t>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jc w:val="center"/>
              <w:spacing w:before="120" w:line="360" w:lineRule="auto"/>
              <w:rPr>
                <w:color w:val="000000"/>
                <w:szCs w:val="21"/>
              </w:rPr>
            </w:pPr>
            <w:r>
              <w:rPr>
                <w:color w:val="000000"/>
                <w:szCs w:val="21"/>
              </w:rPr>
              <w:t xml:space="preserve">投标文件响应</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center"/>
              <w:spacing w:before="120" w:line="360" w:lineRule="auto"/>
              <w:rPr>
                <w:color w:val="000000"/>
                <w:szCs w:val="21"/>
              </w:rPr>
            </w:pPr>
            <w:r>
              <w:rPr>
                <w:color w:val="000000"/>
                <w:szCs w:val="21"/>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r>
        <w:trPr>
          <w:jc w:val="center"/>
          <w:trHeight w:val="71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r>
        <w:trPr>
          <w:jc w:val="center"/>
          <w:trHeight w:val="5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color w:val="000000"/>
                <w:szCs w:val="21"/>
              </w:rPr>
            </w:pPr>
            <w:r>
              <w:rPr>
                <w:color w:val="000000"/>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color w:val="000000"/>
                <w:szCs w:val="21"/>
              </w:rPr>
            </w:pPr>
            <w:r>
              <w:rPr>
                <w:color w:val="000000"/>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color w:val="000000"/>
                <w:szCs w:val="21"/>
              </w:rPr>
            </w:pPr>
            <w:r>
              <w:rPr>
                <w:color w:val="000000"/>
                <w:szCs w:val="21"/>
              </w:rPr>
            </w:r>
            <w:r/>
          </w:p>
        </w:tc>
      </w:tr>
      <w:tr>
        <w:trPr>
          <w:jc w:val="center"/>
          <w:trHeight w:val="82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注：1、投标人如对包括</w:t>
      </w:r>
      <w:r>
        <w:rPr>
          <w:b/>
          <w:bCs/>
          <w:color w:val="000000"/>
          <w:szCs w:val="21"/>
        </w:rPr>
        <w:t xml:space="preserve">交货期/工期、质保期、售后服务要求、付款方式等</w:t>
      </w:r>
      <w:r>
        <w:rPr>
          <w:color w:val="000000"/>
          <w:szCs w:val="21"/>
        </w:rPr>
        <w:t xml:space="preserve">商务条款的响应有任何偏离，请在本表中详细填写；如不列出，则视为投标人完全同意招标文件的商务条款。</w:t>
      </w:r>
      <w:r/>
    </w:p>
    <w:p>
      <w:pPr>
        <w:ind w:left="420"/>
        <w:spacing w:line="360" w:lineRule="auto"/>
        <w:rPr>
          <w:color w:val="000000"/>
          <w:szCs w:val="21"/>
        </w:rPr>
      </w:pPr>
      <w:r>
        <w:rPr>
          <w:color w:val="000000"/>
          <w:szCs w:val="21"/>
        </w:rPr>
        <w:t xml:space="preserve">2、“投标人的承诺或说明”栏请注明“响应/正偏离/负偏离”，正偏离指投标人的响应高于招标文件要求，负偏离指投标人的响应低于招标文件要求。</w:t>
      </w:r>
      <w:r/>
    </w:p>
    <w:p>
      <w:pPr>
        <w:ind w:firstLine="420"/>
        <w:spacing w:line="360" w:lineRule="auto"/>
        <w:rPr>
          <w:color w:val="000000"/>
          <w:szCs w:val="21"/>
        </w:rPr>
      </w:pPr>
      <w:r>
        <w:rPr>
          <w:color w:val="000000"/>
          <w:szCs w:val="21"/>
        </w:rPr>
        <w:t xml:space="preserve">3、如果行数不够，请自行增加。</w:t>
      </w:r>
      <w:r/>
    </w:p>
    <w:p>
      <w:pPr>
        <w:ind w:firstLine="5494"/>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ind w:right="-334"/>
        <w:spacing w:line="360" w:lineRule="auto"/>
        <w:rPr>
          <w:color w:val="000000"/>
          <w:szCs w:val="21"/>
        </w:rPr>
      </w:pPr>
      <w:r>
        <w:rPr>
          <w:color w:val="000000"/>
          <w:szCs w:val="21"/>
        </w:rPr>
      </w:r>
      <w:r/>
    </w:p>
    <w:p>
      <w:pPr>
        <w:ind w:right="-334"/>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jc w:val="left"/>
        <w:spacing w:line="360" w:lineRule="auto"/>
        <w:rPr>
          <w:b/>
          <w:color w:val="000000"/>
          <w:szCs w:val="21"/>
        </w:rPr>
        <w:outlineLvl w:val="1"/>
      </w:pPr>
      <w:r/>
      <w:bookmarkStart w:id="147" w:name="_Toc231822749"/>
      <w:r/>
      <w:bookmarkStart w:id="148" w:name="_Toc7213"/>
      <w:r/>
      <w:bookmarkStart w:id="149" w:name="_Toc6138"/>
      <w:r/>
      <w:bookmarkStart w:id="150" w:name="_Toc113527850"/>
      <w:r/>
      <w:bookmarkStart w:id="151" w:name="_Toc25051"/>
      <w:r>
        <w:rPr>
          <w:b/>
          <w:color w:val="000000"/>
          <w:szCs w:val="21"/>
        </w:rPr>
        <w:t xml:space="preserve">附件五 技术条款偏离表</w:t>
      </w:r>
      <w:bookmarkEnd w:id="147"/>
      <w:r/>
      <w:bookmarkEnd w:id="148"/>
      <w:r/>
      <w:bookmarkEnd w:id="149"/>
      <w:r/>
      <w:bookmarkEnd w:id="150"/>
      <w:r/>
      <w:bookmarkEnd w:id="151"/>
      <w:r/>
      <w:r/>
    </w:p>
    <w:tbl>
      <w:tblPr>
        <w:tblStyle w:val="1405"/>
        <w:tblW w:w="941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076"/>
      </w:tblGrid>
      <w:tr>
        <w:trPr>
          <w:cantSplit/>
          <w:jc w:val="center"/>
        </w:trPr>
        <w:tc>
          <w:tcPr>
            <w:tcBorders>
              <w:top w:val="single" w:color="auto" w:sz="4" w:space="0"/>
              <w:left w:val="single" w:color="auto" w:sz="4" w:space="0"/>
              <w:bottom w:val="single" w:color="auto" w:sz="4" w:space="0"/>
              <w:right w:val="single" w:color="auto" w:sz="4" w:space="0"/>
            </w:tcBorders>
            <w:tcW w:w="675" w:type="dxa"/>
            <w:vMerge w:val="restart"/>
            <w:textDirection w:val="lrTb"/>
            <w:noWrap w:val="false"/>
          </w:tcPr>
          <w:p>
            <w:pPr>
              <w:jc w:val="center"/>
              <w:spacing w:line="360" w:lineRule="auto"/>
              <w:rPr>
                <w:color w:val="000000"/>
                <w:szCs w:val="21"/>
              </w:rPr>
            </w:pPr>
            <w:r>
              <w:rPr>
                <w:color w:val="000000"/>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360" w:lineRule="auto"/>
              <w:rPr>
                <w:color w:val="000000"/>
                <w:szCs w:val="21"/>
              </w:rPr>
            </w:pPr>
            <w:r>
              <w:rPr>
                <w:color w:val="000000"/>
                <w:szCs w:val="21"/>
              </w:rPr>
              <w:t xml:space="preserve">招标文件</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color w:val="000000"/>
                <w:szCs w:val="21"/>
              </w:rPr>
            </w:pPr>
            <w:r>
              <w:rPr>
                <w:color w:val="000000"/>
                <w:szCs w:val="21"/>
              </w:rPr>
              <w:t xml:space="preserve">投标文件</w:t>
            </w:r>
            <w:r/>
          </w:p>
        </w:tc>
        <w:tc>
          <w:tcPr>
            <w:tcBorders>
              <w:top w:val="single" w:color="auto" w:sz="4" w:space="0"/>
              <w:left w:val="single" w:color="auto" w:sz="4" w:space="0"/>
              <w:right w:val="single" w:color="auto" w:sz="4" w:space="0"/>
            </w:tcBorders>
            <w:tcW w:w="1843" w:type="dxa"/>
            <w:vMerge w:val="restart"/>
            <w:textDirection w:val="lrTb"/>
            <w:noWrap w:val="false"/>
          </w:tcPr>
          <w:p>
            <w:pPr>
              <w:jc w:val="center"/>
              <w:spacing w:line="360" w:lineRule="auto"/>
              <w:rPr>
                <w:color w:val="000000"/>
                <w:szCs w:val="21"/>
              </w:rPr>
            </w:pPr>
            <w:r>
              <w:rPr>
                <w:color w:val="000000"/>
                <w:szCs w:val="21"/>
              </w:rPr>
            </w:r>
            <w:r/>
          </w:p>
          <w:p>
            <w:pPr>
              <w:jc w:val="center"/>
              <w:spacing w:line="360" w:lineRule="auto"/>
              <w:rPr>
                <w:color w:val="000000"/>
                <w:szCs w:val="21"/>
              </w:rPr>
            </w:pPr>
            <w:r>
              <w:rPr>
                <w:color w:val="000000"/>
                <w:szCs w:val="21"/>
              </w:rPr>
              <w:t xml:space="preserve">说明</w:t>
            </w:r>
            <w:r/>
          </w:p>
        </w:tc>
        <w:tc>
          <w:tcPr>
            <w:tcBorders>
              <w:top w:val="single" w:color="auto" w:sz="4" w:space="0"/>
              <w:left w:val="single" w:color="auto" w:sz="4" w:space="0"/>
              <w:right w:val="single" w:color="auto" w:sz="4" w:space="0"/>
            </w:tcBorders>
            <w:tcW w:w="2076" w:type="dxa"/>
            <w:vMerge w:val="restart"/>
            <w:textDirection w:val="lrTb"/>
            <w:noWrap w:val="false"/>
          </w:tcPr>
          <w:p>
            <w:pPr>
              <w:jc w:val="center"/>
              <w:spacing w:line="360" w:lineRule="auto"/>
              <w:rPr>
                <w:color w:val="000000"/>
                <w:szCs w:val="21"/>
              </w:rPr>
            </w:pPr>
            <w:r>
              <w:rPr>
                <w:color w:val="000000"/>
                <w:szCs w:val="21"/>
              </w:rPr>
              <w:t xml:space="preserve">重要参数证明文件响应的具体位置</w:t>
            </w:r>
            <w:r/>
          </w:p>
        </w:tc>
      </w:tr>
      <w:tr>
        <w:trPr>
          <w:cantSplit/>
          <w:jc w:val="cente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color w:val="000000"/>
                <w:szCs w:val="21"/>
              </w:rPr>
            </w:pPr>
            <w:r>
              <w:rPr>
                <w:color w:val="000000"/>
                <w:szCs w:val="21"/>
              </w:rPr>
              <w:t xml:space="preserve">条目号</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color w:val="000000"/>
                <w:szCs w:val="21"/>
              </w:rPr>
            </w:pPr>
            <w:r>
              <w:rPr>
                <w:color w:val="000000"/>
                <w:szCs w:val="21"/>
              </w:rPr>
              <w:t xml:space="preserve">采购要求规格</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color w:val="000000"/>
                <w:szCs w:val="21"/>
              </w:rPr>
            </w:pPr>
            <w:r>
              <w:rPr>
                <w:color w:val="000000"/>
                <w:szCs w:val="21"/>
              </w:rPr>
              <w:t xml:space="preserve">响应具体情况</w:t>
            </w:r>
            <w:r/>
          </w:p>
        </w:tc>
        <w:tc>
          <w:tcPr>
            <w:tcBorders>
              <w:left w:val="single" w:color="auto" w:sz="4" w:space="0"/>
              <w:bottom w:val="single" w:color="auto" w:sz="4" w:space="0"/>
              <w:right w:val="single" w:color="auto" w:sz="4" w:space="0"/>
            </w:tcBorders>
            <w:tcW w:w="1843" w:type="dxa"/>
            <w:vMerge w:val="continue"/>
            <w:textDirection w:val="lrTb"/>
            <w:noWrap w:val="false"/>
          </w:tcPr>
          <w:p>
            <w:pPr>
              <w:jc w:val="center"/>
              <w:spacing w:line="360" w:lineRule="auto"/>
              <w:rPr>
                <w:color w:val="000000"/>
                <w:szCs w:val="21"/>
              </w:rPr>
            </w:pPr>
            <w:r>
              <w:rPr>
                <w:color w:val="000000"/>
                <w:szCs w:val="21"/>
              </w:rPr>
            </w:r>
            <w:r/>
          </w:p>
        </w:tc>
        <w:tc>
          <w:tcPr>
            <w:tcBorders>
              <w:left w:val="single" w:color="auto" w:sz="4" w:space="0"/>
              <w:bottom w:val="single" w:color="auto" w:sz="4" w:space="0"/>
              <w:right w:val="single" w:color="auto" w:sz="4" w:space="0"/>
            </w:tcBorders>
            <w:tcW w:w="2076" w:type="dxa"/>
            <w:vMerge w:val="continue"/>
            <w:textDirection w:val="lrTb"/>
            <w:noWrap w:val="false"/>
          </w:tcPr>
          <w:p>
            <w:pPr>
              <w:jc w:val="cente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jc w:val="left"/>
        <w:spacing w:line="360" w:lineRule="auto"/>
        <w:rPr>
          <w:color w:val="000000"/>
          <w:szCs w:val="21"/>
        </w:rPr>
      </w:pPr>
      <w:r>
        <w:rPr>
          <w:color w:val="000000"/>
          <w:szCs w:val="21"/>
        </w:rPr>
        <w:t xml:space="preserve">注：1、投标人应对招标文件第四章招标技术规格及要求的内容给予</w:t>
      </w:r>
      <w:r>
        <w:rPr>
          <w:b/>
          <w:bCs/>
          <w:color w:val="000000"/>
          <w:szCs w:val="21"/>
        </w:rPr>
        <w:t xml:space="preserve">逐条响应</w:t>
      </w:r>
      <w:r>
        <w:rPr>
          <w:color w:val="000000"/>
          <w:szCs w:val="21"/>
        </w:rPr>
        <w:t xml:space="preserve">，</w:t>
      </w:r>
      <w:r>
        <w:rPr>
          <w:b/>
          <w:bCs/>
          <w:color w:val="000000"/>
          <w:szCs w:val="21"/>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w:t>
      </w:r>
      <w:r>
        <w:rPr>
          <w:color w:val="000000"/>
          <w:szCs w:val="21"/>
        </w:rPr>
        <w:t xml:space="preserve">。</w:t>
      </w:r>
      <w:r/>
    </w:p>
    <w:p>
      <w:pPr>
        <w:spacing w:line="360" w:lineRule="auto"/>
        <w:rPr>
          <w:color w:val="000000"/>
          <w:szCs w:val="21"/>
        </w:rPr>
      </w:pPr>
      <w:r>
        <w:rPr>
          <w:color w:val="000000"/>
          <w:szCs w:val="21"/>
        </w:rPr>
        <w:t xml:space="preserve">2、投标文件“响应具体情况",指所投产品的技术应答情况。“说明”栏请注明“响应/正偏离/负偏离”，并且标注针对重要技术参数响应的证明文件在投标文件中的页码及具体位置。</w:t>
      </w:r>
      <w:r/>
    </w:p>
    <w:p>
      <w:pPr>
        <w:spacing w:line="360" w:lineRule="auto"/>
        <w:rPr>
          <w:color w:val="000000"/>
          <w:szCs w:val="21"/>
        </w:rPr>
      </w:pPr>
      <w:r>
        <w:rPr>
          <w:color w:val="000000"/>
          <w:szCs w:val="21"/>
        </w:rPr>
        <w:t xml:space="preserve">3、</w:t>
      </w:r>
      <w:r>
        <w:rPr>
          <w:b/>
          <w:bCs/>
          <w:color w:val="000000"/>
          <w:szCs w:val="21"/>
        </w:rPr>
        <w:t xml:space="preserve">投标人投标规格和招标规格不一致，而投标人却在此表应答为响应或正偏离时，必须提供充分理由说明（不提供或理由不充分将视为负偏离）；因此种情况在产品验收时产生争议，采购人有权按照招标文件的原始标准进行验收。</w:t>
      </w:r>
      <w:r/>
    </w:p>
    <w:p>
      <w:pPr>
        <w:spacing w:line="360" w:lineRule="auto"/>
        <w:rPr>
          <w:color w:val="000000"/>
          <w:szCs w:val="21"/>
        </w:rPr>
      </w:pPr>
      <w:r>
        <w:rPr>
          <w:color w:val="000000"/>
          <w:szCs w:val="21"/>
        </w:rPr>
        <w:t xml:space="preserve">4、如果行数不够，请自行增加。</w:t>
      </w:r>
      <w:bookmarkStart w:id="152" w:name="_Toc17724"/>
      <w:r/>
      <w:bookmarkStart w:id="153" w:name="_Toc3639"/>
      <w:r/>
      <w:bookmarkStart w:id="154" w:name="_Toc22252"/>
      <w:r/>
      <w:r/>
    </w:p>
    <w:p>
      <w:pPr>
        <w:spacing w:line="360" w:lineRule="auto"/>
        <w:rPr>
          <w:color w:val="000000"/>
          <w:szCs w:val="21"/>
        </w:rPr>
      </w:pPr>
      <w:r>
        <w:rPr>
          <w:color w:val="000000"/>
          <w:szCs w:val="21"/>
        </w:rPr>
      </w:r>
      <w:r/>
    </w:p>
    <w:p>
      <w:pPr>
        <w:rPr>
          <w:b/>
          <w:bCs/>
          <w:szCs w:val="21"/>
        </w:rPr>
      </w:pPr>
      <w:r>
        <w:rPr>
          <w:b/>
          <w:bCs/>
          <w:szCs w:val="21"/>
        </w:rPr>
        <w:br w:type="page" w:clear="all"/>
      </w:r>
      <w:r/>
    </w:p>
    <w:p>
      <w:pPr>
        <w:jc w:val="left"/>
        <w:spacing w:line="360" w:lineRule="auto"/>
        <w:rPr>
          <w:b/>
          <w:color w:val="000000"/>
          <w:szCs w:val="21"/>
        </w:rPr>
        <w:outlineLvl w:val="1"/>
      </w:pPr>
      <w:r/>
      <w:bookmarkStart w:id="155" w:name="_Toc231822750"/>
      <w:r>
        <w:rPr>
          <w:b/>
          <w:color w:val="000000"/>
          <w:szCs w:val="21"/>
        </w:rPr>
        <w:t xml:space="preserve">附件六 拟参与本项目服务人员一览表</w:t>
      </w:r>
      <w:bookmarkEnd w:id="155"/>
      <w:r/>
      <w:r/>
    </w:p>
    <w:p>
      <w:pPr>
        <w:jc w:val="center"/>
        <w:spacing w:line="360" w:lineRule="auto"/>
        <w:rPr>
          <w:b/>
          <w:color w:val="000000"/>
          <w:szCs w:val="21"/>
        </w:rPr>
      </w:pPr>
      <w:r>
        <w:rPr>
          <w:b/>
          <w:color w:val="000000"/>
          <w:szCs w:val="21"/>
        </w:rPr>
      </w:r>
      <w:r/>
    </w:p>
    <w:p>
      <w:pPr>
        <w:jc w:val="center"/>
        <w:spacing w:line="360" w:lineRule="auto"/>
        <w:rPr>
          <w:b/>
          <w:color w:val="000000"/>
          <w:szCs w:val="21"/>
        </w:rPr>
      </w:pPr>
      <w:r>
        <w:rPr>
          <w:b/>
          <w:color w:val="000000"/>
          <w:szCs w:val="21"/>
        </w:rPr>
      </w:r>
      <w:r/>
    </w:p>
    <w:p>
      <w:pPr>
        <w:jc w:val="center"/>
        <w:spacing w:line="360" w:lineRule="auto"/>
        <w:rPr>
          <w:b/>
          <w:color w:val="000000"/>
          <w:szCs w:val="21"/>
        </w:rPr>
      </w:pPr>
      <w:r>
        <w:rPr>
          <w:b/>
          <w:color w:val="000000"/>
          <w:szCs w:val="21"/>
        </w:rPr>
        <w:t xml:space="preserve">拟参与本项目服务人员一览表</w:t>
      </w:r>
      <w:r/>
    </w:p>
    <w:p>
      <w:pPr>
        <w:ind w:left="420"/>
        <w:spacing w:before="1" w:after="120" w:line="360" w:lineRule="auto"/>
        <w:rPr>
          <w:b/>
          <w:szCs w:val="21"/>
        </w:rPr>
      </w:pPr>
      <w:r>
        <w:rPr>
          <w:b/>
          <w:szCs w:val="21"/>
        </w:rPr>
      </w:r>
      <w:r/>
    </w:p>
    <w:p>
      <w:pPr>
        <w:ind w:left="420"/>
        <w:spacing w:before="1" w:after="22" w:line="360" w:lineRule="auto"/>
        <w:rPr>
          <w:szCs w:val="21"/>
        </w:rPr>
      </w:pPr>
      <w:r>
        <w:rPr>
          <w:szCs w:val="21"/>
        </w:rPr>
        <w:t xml:space="preserve">项目名称：项目编号：</w:t>
      </w:r>
      <w:r/>
    </w:p>
    <w:tbl>
      <w:tblPr>
        <w:tblStyle w:val="1405"/>
        <w:tblW w:w="0" w:type="auto"/>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rHeight w:val="624"/>
        </w:trPr>
        <w:tc>
          <w:tcPr>
            <w:tcW w:w="534" w:type="dxa"/>
            <w:textDirection w:val="lrTb"/>
            <w:noWrap w:val="false"/>
          </w:tcPr>
          <w:p>
            <w:pPr>
              <w:ind w:left="161"/>
              <w:spacing w:before="20" w:line="360" w:lineRule="auto"/>
              <w:rPr>
                <w:b/>
                <w:szCs w:val="21"/>
                <w:lang w:val="zh-CN" w:bidi="zh-CN"/>
              </w:rPr>
            </w:pPr>
            <w:r>
              <w:rPr>
                <w:b/>
                <w:szCs w:val="21"/>
                <w:lang w:val="zh-CN" w:bidi="zh-CN"/>
              </w:rPr>
              <w:t xml:space="preserve">序</w:t>
            </w:r>
            <w:r/>
          </w:p>
          <w:p>
            <w:pPr>
              <w:ind w:left="161"/>
              <w:spacing w:before="43" w:line="360" w:lineRule="auto"/>
              <w:rPr>
                <w:b/>
                <w:szCs w:val="21"/>
                <w:lang w:val="zh-CN" w:bidi="zh-CN"/>
              </w:rPr>
            </w:pPr>
            <w:r>
              <w:rPr>
                <w:b/>
                <w:szCs w:val="21"/>
                <w:lang w:val="zh-CN" w:bidi="zh-CN"/>
              </w:rPr>
              <w:t xml:space="preserve">号</w:t>
            </w:r>
            <w:r/>
          </w:p>
        </w:tc>
        <w:tc>
          <w:tcPr>
            <w:tcW w:w="896" w:type="dxa"/>
            <w:textDirection w:val="lrTb"/>
            <w:noWrap w:val="false"/>
          </w:tcPr>
          <w:p>
            <w:pPr>
              <w:ind w:left="237"/>
              <w:spacing w:before="176" w:line="360" w:lineRule="auto"/>
              <w:rPr>
                <w:b/>
                <w:szCs w:val="21"/>
                <w:lang w:val="zh-CN" w:bidi="zh-CN"/>
              </w:rPr>
            </w:pPr>
            <w:r>
              <w:rPr>
                <w:b/>
                <w:szCs w:val="21"/>
                <w:lang w:val="zh-CN" w:bidi="zh-CN"/>
              </w:rPr>
              <w:t xml:space="preserve">姓名</w:t>
            </w:r>
            <w:r/>
          </w:p>
        </w:tc>
        <w:tc>
          <w:tcPr>
            <w:tcW w:w="663" w:type="dxa"/>
            <w:textDirection w:val="lrTb"/>
            <w:noWrap w:val="false"/>
          </w:tcPr>
          <w:p>
            <w:pPr>
              <w:ind w:left="121"/>
              <w:spacing w:before="176" w:line="360" w:lineRule="auto"/>
              <w:rPr>
                <w:b/>
                <w:szCs w:val="21"/>
                <w:lang w:val="zh-CN" w:bidi="zh-CN"/>
              </w:rPr>
            </w:pPr>
            <w:r>
              <w:rPr>
                <w:b/>
                <w:szCs w:val="21"/>
                <w:lang w:val="zh-CN" w:bidi="zh-CN"/>
              </w:rPr>
              <w:t xml:space="preserve">性别</w:t>
            </w:r>
            <w:r/>
          </w:p>
        </w:tc>
        <w:tc>
          <w:tcPr>
            <w:tcW w:w="709" w:type="dxa"/>
            <w:textDirection w:val="lrTb"/>
            <w:noWrap w:val="false"/>
          </w:tcPr>
          <w:p>
            <w:pPr>
              <w:ind w:left="144"/>
              <w:spacing w:before="176" w:line="360" w:lineRule="auto"/>
              <w:rPr>
                <w:b/>
                <w:szCs w:val="21"/>
                <w:lang w:val="zh-CN" w:bidi="zh-CN"/>
              </w:rPr>
            </w:pPr>
            <w:r>
              <w:rPr>
                <w:b/>
                <w:szCs w:val="21"/>
                <w:lang w:val="zh-CN" w:bidi="zh-CN"/>
              </w:rPr>
              <w:t xml:space="preserve">年龄</w:t>
            </w:r>
            <w:r/>
          </w:p>
        </w:tc>
        <w:tc>
          <w:tcPr>
            <w:tcW w:w="1134" w:type="dxa"/>
            <w:textDirection w:val="lrTb"/>
            <w:noWrap w:val="false"/>
          </w:tcPr>
          <w:p>
            <w:pPr>
              <w:ind w:left="357"/>
              <w:spacing w:before="176" w:line="360" w:lineRule="auto"/>
              <w:rPr>
                <w:b/>
                <w:szCs w:val="21"/>
                <w:lang w:val="zh-CN" w:bidi="zh-CN"/>
              </w:rPr>
            </w:pPr>
            <w:r>
              <w:rPr>
                <w:b/>
                <w:szCs w:val="21"/>
                <w:lang w:val="zh-CN" w:bidi="zh-CN"/>
              </w:rPr>
              <w:t xml:space="preserve">专业</w:t>
            </w:r>
            <w:r/>
          </w:p>
        </w:tc>
        <w:tc>
          <w:tcPr>
            <w:tcW w:w="931" w:type="dxa"/>
            <w:textDirection w:val="lrTb"/>
            <w:noWrap w:val="false"/>
          </w:tcPr>
          <w:p>
            <w:pPr>
              <w:ind w:left="255"/>
              <w:spacing w:before="176" w:line="360" w:lineRule="auto"/>
              <w:rPr>
                <w:b/>
                <w:szCs w:val="21"/>
                <w:lang w:val="zh-CN" w:bidi="zh-CN"/>
              </w:rPr>
            </w:pPr>
            <w:r>
              <w:rPr>
                <w:b/>
                <w:szCs w:val="21"/>
                <w:lang w:val="zh-CN" w:bidi="zh-CN"/>
              </w:rPr>
              <w:t xml:space="preserve">学历</w:t>
            </w:r>
            <w:r/>
          </w:p>
        </w:tc>
        <w:tc>
          <w:tcPr>
            <w:tcW w:w="1020" w:type="dxa"/>
            <w:textDirection w:val="lrTb"/>
            <w:noWrap w:val="false"/>
          </w:tcPr>
          <w:p>
            <w:pPr>
              <w:ind w:left="298"/>
              <w:spacing w:before="20" w:line="360" w:lineRule="auto"/>
              <w:rPr>
                <w:b/>
                <w:szCs w:val="21"/>
                <w:lang w:val="zh-CN" w:bidi="zh-CN"/>
              </w:rPr>
            </w:pPr>
            <w:r>
              <w:rPr>
                <w:b/>
                <w:szCs w:val="21"/>
                <w:lang w:val="zh-CN" w:bidi="zh-CN"/>
              </w:rPr>
              <w:t xml:space="preserve">执业</w:t>
            </w:r>
            <w:r/>
          </w:p>
          <w:p>
            <w:pPr>
              <w:ind w:left="298"/>
              <w:spacing w:before="43" w:line="360" w:lineRule="auto"/>
              <w:rPr>
                <w:b/>
                <w:szCs w:val="21"/>
                <w:lang w:val="zh-CN" w:bidi="zh-CN"/>
              </w:rPr>
            </w:pPr>
            <w:r>
              <w:rPr>
                <w:b/>
                <w:szCs w:val="21"/>
                <w:lang w:val="zh-CN" w:bidi="zh-CN"/>
              </w:rPr>
              <w:t xml:space="preserve">资格</w:t>
            </w:r>
            <w:r/>
          </w:p>
        </w:tc>
        <w:tc>
          <w:tcPr>
            <w:tcW w:w="994" w:type="dxa"/>
            <w:textDirection w:val="lrTb"/>
            <w:noWrap w:val="false"/>
          </w:tcPr>
          <w:p>
            <w:pPr>
              <w:ind w:left="181"/>
              <w:spacing w:before="176" w:line="360" w:lineRule="auto"/>
              <w:rPr>
                <w:b/>
                <w:szCs w:val="21"/>
                <w:lang w:val="zh-CN" w:bidi="zh-CN"/>
              </w:rPr>
            </w:pPr>
            <w:r>
              <w:rPr>
                <w:b/>
                <w:szCs w:val="21"/>
                <w:lang w:val="zh-CN" w:bidi="zh-CN"/>
              </w:rPr>
              <w:t xml:space="preserve">证书号</w:t>
            </w:r>
            <w:r/>
          </w:p>
        </w:tc>
        <w:tc>
          <w:tcPr>
            <w:tcW w:w="882" w:type="dxa"/>
            <w:textDirection w:val="lrTb"/>
            <w:noWrap w:val="false"/>
          </w:tcPr>
          <w:p>
            <w:pPr>
              <w:ind w:left="104" w:right="94"/>
              <w:jc w:val="center"/>
              <w:spacing w:before="20" w:line="360" w:lineRule="auto"/>
              <w:rPr>
                <w:b/>
                <w:szCs w:val="21"/>
                <w:lang w:val="zh-CN" w:bidi="zh-CN"/>
              </w:rPr>
            </w:pPr>
            <w:r>
              <w:rPr>
                <w:b/>
                <w:szCs w:val="21"/>
                <w:lang w:val="zh-CN" w:bidi="zh-CN"/>
              </w:rPr>
              <w:t xml:space="preserve">技术职</w:t>
            </w:r>
            <w:r/>
          </w:p>
          <w:p>
            <w:pPr>
              <w:ind w:left="10"/>
              <w:jc w:val="center"/>
              <w:spacing w:before="43" w:line="360" w:lineRule="auto"/>
              <w:rPr>
                <w:b/>
                <w:szCs w:val="21"/>
                <w:lang w:val="zh-CN" w:bidi="zh-CN"/>
              </w:rPr>
            </w:pPr>
            <w:r>
              <w:rPr>
                <w:b/>
                <w:szCs w:val="21"/>
                <w:lang w:val="zh-CN" w:bidi="zh-CN"/>
              </w:rPr>
              <w:t xml:space="preserve">称</w:t>
            </w:r>
            <w:r/>
          </w:p>
        </w:tc>
        <w:tc>
          <w:tcPr>
            <w:tcW w:w="850" w:type="dxa"/>
            <w:textDirection w:val="lrTb"/>
            <w:noWrap w:val="false"/>
          </w:tcPr>
          <w:p>
            <w:pPr>
              <w:ind w:left="109"/>
              <w:spacing w:before="20" w:line="360" w:lineRule="auto"/>
              <w:rPr>
                <w:b/>
                <w:szCs w:val="21"/>
                <w:lang w:val="zh-CN" w:bidi="zh-CN"/>
              </w:rPr>
            </w:pPr>
            <w:r>
              <w:rPr>
                <w:b/>
                <w:szCs w:val="21"/>
                <w:lang w:val="zh-CN" w:bidi="zh-CN"/>
              </w:rPr>
              <w:t xml:space="preserve">相关工</w:t>
            </w:r>
            <w:r/>
          </w:p>
          <w:p>
            <w:pPr>
              <w:ind w:left="109"/>
              <w:spacing w:before="43" w:line="360" w:lineRule="auto"/>
              <w:rPr>
                <w:b/>
                <w:szCs w:val="21"/>
                <w:lang w:val="zh-CN" w:bidi="zh-CN"/>
              </w:rPr>
            </w:pPr>
            <w:r>
              <w:rPr>
                <w:b/>
                <w:szCs w:val="21"/>
                <w:lang w:val="zh-CN" w:bidi="zh-CN"/>
              </w:rPr>
              <w:t xml:space="preserve">作年限</w:t>
            </w:r>
            <w:r/>
          </w:p>
        </w:tc>
        <w:tc>
          <w:tcPr>
            <w:tcW w:w="851" w:type="dxa"/>
            <w:textDirection w:val="lrTb"/>
            <w:noWrap w:val="false"/>
          </w:tcPr>
          <w:p>
            <w:pPr>
              <w:ind w:left="215"/>
              <w:spacing w:before="176" w:line="360" w:lineRule="auto"/>
              <w:rPr>
                <w:b/>
                <w:szCs w:val="21"/>
                <w:lang w:val="zh-CN" w:bidi="zh-CN"/>
              </w:rPr>
            </w:pPr>
            <w:r>
              <w:rPr>
                <w:b/>
                <w:szCs w:val="21"/>
                <w:lang w:val="zh-CN" w:bidi="zh-CN"/>
              </w:rPr>
              <w:t xml:space="preserve">备注</w:t>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1"/>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1"/>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bl>
    <w:p>
      <w:pPr>
        <w:ind w:left="420"/>
        <w:spacing w:before="98" w:after="120" w:line="360" w:lineRule="auto"/>
        <w:tabs>
          <w:tab w:val="left" w:pos="4429" w:leader="none"/>
        </w:tabs>
        <w:rPr>
          <w:szCs w:val="21"/>
        </w:rPr>
      </w:pPr>
      <w:r>
        <w:rPr>
          <w:szCs w:val="21"/>
        </w:rPr>
        <w:t xml:space="preserve">投标单位（盖章）：</w:t>
      </w:r>
      <w:r>
        <w:rPr>
          <w:szCs w:val="21"/>
          <w:u w:val="single"/>
        </w:rPr>
        <w:tab/>
      </w:r>
      <w:r/>
    </w:p>
    <w:p>
      <w:pPr>
        <w:ind w:left="420"/>
        <w:spacing w:before="3" w:after="120" w:line="360" w:lineRule="auto"/>
        <w:rPr>
          <w:szCs w:val="21"/>
        </w:rPr>
      </w:pPr>
      <w:r>
        <w:rPr>
          <w:color w:val="000000"/>
          <w:szCs w:val="21"/>
        </w:rPr>
        <w:t xml:space="preserve">日期：</w:t>
      </w:r>
      <w:r/>
    </w:p>
    <w:p>
      <w:pPr>
        <w:ind w:left="420"/>
        <w:spacing w:before="70" w:after="120" w:line="360" w:lineRule="auto"/>
        <w:tabs>
          <w:tab w:val="left" w:pos="4535" w:leader="none"/>
        </w:tabs>
        <w:rPr>
          <w:szCs w:val="21"/>
        </w:rPr>
      </w:pPr>
      <w:r>
        <w:rPr>
          <w:szCs w:val="21"/>
        </w:rPr>
      </w:r>
      <w:r/>
    </w:p>
    <w:p>
      <w:pPr>
        <w:spacing w:line="360" w:lineRule="auto"/>
        <w:rPr>
          <w:szCs w:val="21"/>
        </w:rPr>
        <w:sectPr>
          <w:footnotePr/>
          <w:endnotePr/>
          <w:type w:val="nextPage"/>
          <w:pgSz w:w="11906" w:h="16838" w:orient="portrait"/>
          <w:pgMar w:top="1134" w:right="1134" w:bottom="1083" w:left="1134" w:header="850" w:footer="992" w:gutter="0"/>
          <w:cols w:num="1" w:sep="0" w:space="720" w:equalWidth="1"/>
          <w:docGrid w:linePitch="360"/>
        </w:sectPr>
      </w:pPr>
      <w:r>
        <w:rPr>
          <w:szCs w:val="21"/>
        </w:rPr>
      </w:r>
      <w:r/>
    </w:p>
    <w:p>
      <w:pPr>
        <w:jc w:val="left"/>
        <w:spacing w:line="360" w:lineRule="auto"/>
        <w:rPr>
          <w:b/>
          <w:color w:val="000000"/>
          <w:szCs w:val="21"/>
        </w:rPr>
        <w:outlineLvl w:val="1"/>
      </w:pPr>
      <w:r/>
      <w:bookmarkStart w:id="156" w:name="_Toc231822751"/>
      <w:r>
        <w:rPr>
          <w:b/>
          <w:color w:val="000000"/>
          <w:szCs w:val="21"/>
        </w:rPr>
        <w:t xml:space="preserve">附件七 投标人类似业绩情况表</w:t>
      </w:r>
      <w:bookmarkEnd w:id="156"/>
      <w:r/>
      <w:r/>
    </w:p>
    <w:p>
      <w:pPr>
        <w:ind w:left="420"/>
        <w:spacing w:after="120" w:line="360" w:lineRule="auto"/>
        <w:rPr>
          <w:b/>
          <w:szCs w:val="21"/>
        </w:rPr>
      </w:pPr>
      <w:r>
        <w:rPr>
          <w:b/>
          <w:szCs w:val="21"/>
        </w:rPr>
      </w:r>
      <w:r/>
    </w:p>
    <w:p>
      <w:pPr>
        <w:ind w:left="420"/>
        <w:spacing w:after="120" w:line="360" w:lineRule="auto"/>
        <w:rPr>
          <w:b/>
          <w:szCs w:val="21"/>
        </w:rPr>
      </w:pPr>
      <w:r>
        <w:rPr>
          <w:b/>
          <w:szCs w:val="21"/>
        </w:rPr>
      </w:r>
      <w:r/>
    </w:p>
    <w:p>
      <w:pPr>
        <w:jc w:val="center"/>
        <w:spacing w:line="360" w:lineRule="auto"/>
        <w:rPr>
          <w:b/>
          <w:color w:val="000000"/>
          <w:szCs w:val="21"/>
        </w:rPr>
      </w:pPr>
      <w:r>
        <w:rPr>
          <w:b/>
          <w:color w:val="000000"/>
          <w:szCs w:val="21"/>
        </w:rPr>
        <w:t xml:space="preserve">投标人类似业绩情况表</w:t>
      </w:r>
      <w:r/>
    </w:p>
    <w:p>
      <w:pPr>
        <w:ind w:left="420"/>
        <w:spacing w:before="3" w:after="120" w:line="360" w:lineRule="auto"/>
        <w:rPr>
          <w:b/>
          <w:szCs w:val="21"/>
        </w:rPr>
      </w:pPr>
      <w:r>
        <w:rPr>
          <w:b/>
          <w:szCs w:val="21"/>
        </w:rPr>
      </w:r>
      <w:r/>
    </w:p>
    <w:tbl>
      <w:tblPr>
        <w:tblStyle w:val="1405"/>
        <w:tblW w:w="0" w:type="auto"/>
        <w:tblInd w:w="2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838"/>
      </w:tblGrid>
      <w:tr>
        <w:trPr>
          <w:trHeight w:val="800"/>
        </w:trPr>
        <w:tc>
          <w:tcPr>
            <w:tcW w:w="682" w:type="dxa"/>
            <w:vAlign w:val="center"/>
            <w:textDirection w:val="lrTb"/>
            <w:noWrap w:val="false"/>
          </w:tcPr>
          <w:p>
            <w:pPr>
              <w:jc w:val="center"/>
              <w:spacing w:line="360" w:lineRule="auto"/>
              <w:rPr>
                <w:szCs w:val="21"/>
                <w:lang w:val="zh-CN" w:bidi="zh-CN"/>
              </w:rPr>
            </w:pPr>
            <w:r>
              <w:rPr>
                <w:szCs w:val="21"/>
                <w:lang w:val="zh-CN" w:bidi="zh-CN"/>
              </w:rPr>
              <w:t xml:space="preserve">序号</w:t>
            </w:r>
            <w:r/>
          </w:p>
        </w:tc>
        <w:tc>
          <w:tcPr>
            <w:tcW w:w="1559" w:type="dxa"/>
            <w:vAlign w:val="center"/>
            <w:textDirection w:val="lrTb"/>
            <w:noWrap w:val="false"/>
          </w:tcPr>
          <w:p>
            <w:pPr>
              <w:jc w:val="center"/>
              <w:spacing w:line="360" w:lineRule="auto"/>
              <w:rPr>
                <w:szCs w:val="21"/>
                <w:lang w:val="zh-CN" w:bidi="zh-CN"/>
              </w:rPr>
            </w:pPr>
            <w:r>
              <w:rPr>
                <w:szCs w:val="21"/>
                <w:lang w:val="zh-CN" w:bidi="zh-CN"/>
              </w:rPr>
              <w:t xml:space="preserve">项目名称</w:t>
            </w:r>
            <w:r/>
          </w:p>
        </w:tc>
        <w:tc>
          <w:tcPr>
            <w:tcW w:w="1418" w:type="dxa"/>
            <w:vAlign w:val="center"/>
            <w:textDirection w:val="lrTb"/>
            <w:noWrap w:val="false"/>
          </w:tcPr>
          <w:p>
            <w:pPr>
              <w:jc w:val="center"/>
              <w:spacing w:line="360" w:lineRule="auto"/>
              <w:rPr>
                <w:szCs w:val="21"/>
                <w:lang w:val="zh-CN" w:bidi="zh-CN"/>
              </w:rPr>
            </w:pPr>
            <w:r>
              <w:rPr>
                <w:szCs w:val="21"/>
                <w:lang w:val="zh-CN" w:bidi="zh-CN"/>
              </w:rPr>
              <w:t xml:space="preserve">业主单位</w:t>
            </w:r>
            <w:r/>
          </w:p>
        </w:tc>
        <w:tc>
          <w:tcPr>
            <w:tcW w:w="992" w:type="dxa"/>
            <w:textDirection w:val="lrTb"/>
            <w:noWrap w:val="false"/>
          </w:tcPr>
          <w:p>
            <w:pPr>
              <w:ind w:left="286" w:right="275"/>
              <w:spacing w:before="19" w:line="360" w:lineRule="auto"/>
              <w:rPr>
                <w:szCs w:val="21"/>
                <w:lang w:val="zh-CN" w:bidi="zh-CN"/>
              </w:rPr>
            </w:pPr>
            <w:r>
              <w:rPr>
                <w:szCs w:val="21"/>
                <w:lang w:val="zh-CN" w:bidi="zh-CN"/>
              </w:rPr>
              <w:t xml:space="preserve">项目规模</w:t>
            </w:r>
            <w:r/>
          </w:p>
        </w:tc>
        <w:tc>
          <w:tcPr>
            <w:tcW w:w="1034" w:type="dxa"/>
            <w:textDirection w:val="lrTb"/>
            <w:noWrap w:val="false"/>
          </w:tcPr>
          <w:p>
            <w:pPr>
              <w:ind w:left="307" w:right="296"/>
              <w:spacing w:before="19" w:line="360" w:lineRule="auto"/>
              <w:rPr>
                <w:szCs w:val="21"/>
                <w:lang w:val="zh-CN" w:bidi="zh-CN"/>
              </w:rPr>
            </w:pPr>
            <w:r>
              <w:rPr>
                <w:szCs w:val="21"/>
                <w:lang w:val="zh-CN" w:bidi="zh-CN"/>
              </w:rPr>
              <w:t xml:space="preserve">获奖情况</w:t>
            </w:r>
            <w:r/>
          </w:p>
        </w:tc>
        <w:tc>
          <w:tcPr>
            <w:tcW w:w="1517" w:type="dxa"/>
            <w:textDirection w:val="lrTb"/>
            <w:noWrap w:val="false"/>
          </w:tcPr>
          <w:p>
            <w:pPr>
              <w:ind w:left="547" w:right="222" w:hanging="315"/>
              <w:spacing w:before="19" w:line="360" w:lineRule="auto"/>
              <w:rPr>
                <w:szCs w:val="21"/>
                <w:lang w:val="zh-CN" w:bidi="zh-CN"/>
              </w:rPr>
            </w:pPr>
            <w:r>
              <w:rPr>
                <w:szCs w:val="21"/>
                <w:lang w:val="zh-CN" w:bidi="zh-CN"/>
              </w:rPr>
              <w:t xml:space="preserve">签约及服务时间</w:t>
            </w:r>
            <w:r/>
          </w:p>
        </w:tc>
        <w:tc>
          <w:tcPr>
            <w:tcW w:w="1134" w:type="dxa"/>
            <w:textDirection w:val="lrTb"/>
            <w:noWrap w:val="false"/>
          </w:tcPr>
          <w:p>
            <w:pPr>
              <w:ind w:left="355" w:right="137" w:hanging="209"/>
              <w:spacing w:before="19" w:line="360" w:lineRule="auto"/>
              <w:rPr>
                <w:szCs w:val="21"/>
                <w:lang w:val="zh-CN" w:bidi="zh-CN"/>
              </w:rPr>
            </w:pPr>
            <w:r>
              <w:rPr>
                <w:szCs w:val="21"/>
                <w:lang w:val="zh-CN" w:bidi="zh-CN"/>
              </w:rPr>
              <w:t xml:space="preserve">联系人及电话</w:t>
            </w:r>
            <w:r/>
          </w:p>
        </w:tc>
        <w:tc>
          <w:tcPr>
            <w:tcW w:w="838" w:type="dxa"/>
            <w:textDirection w:val="lrTb"/>
            <w:noWrap w:val="false"/>
          </w:tcPr>
          <w:p>
            <w:pPr>
              <w:ind w:left="207"/>
              <w:spacing w:before="129" w:line="360" w:lineRule="auto"/>
              <w:rPr>
                <w:szCs w:val="21"/>
                <w:lang w:val="zh-CN" w:bidi="zh-CN"/>
              </w:rPr>
            </w:pPr>
            <w:r>
              <w:rPr>
                <w:szCs w:val="21"/>
                <w:lang w:val="zh-CN" w:bidi="zh-CN"/>
              </w:rPr>
              <w:t xml:space="preserve">备注</w:t>
            </w:r>
            <w:r/>
          </w:p>
        </w:tc>
      </w:tr>
      <w:tr>
        <w:trPr>
          <w:trHeight w:val="381"/>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bl>
    <w:p>
      <w:pPr>
        <w:ind w:left="420"/>
        <w:spacing w:before="100" w:after="120" w:line="360" w:lineRule="auto"/>
        <w:tabs>
          <w:tab w:val="left" w:pos="4429" w:leader="none"/>
        </w:tabs>
        <w:rPr>
          <w:szCs w:val="21"/>
        </w:rPr>
      </w:pPr>
      <w:r>
        <w:rPr>
          <w:szCs w:val="21"/>
        </w:rPr>
        <w:t xml:space="preserve">投标单位（盖章）：</w:t>
      </w:r>
      <w:r>
        <w:rPr>
          <w:szCs w:val="21"/>
          <w:u w:val="single"/>
        </w:rPr>
        <w:tab/>
      </w:r>
      <w:r/>
    </w:p>
    <w:p>
      <w:pPr>
        <w:ind w:left="420"/>
        <w:spacing w:before="3" w:after="120" w:line="360" w:lineRule="auto"/>
        <w:rPr>
          <w:szCs w:val="21"/>
        </w:rPr>
      </w:pPr>
      <w:r>
        <w:rPr>
          <w:szCs w:val="21"/>
        </w:rPr>
      </w:r>
      <w:r/>
    </w:p>
    <w:p>
      <w:pPr>
        <w:ind w:left="420"/>
        <w:spacing w:before="70" w:after="120" w:line="360" w:lineRule="auto"/>
        <w:tabs>
          <w:tab w:val="left" w:pos="4535" w:leader="none"/>
        </w:tabs>
        <w:rPr>
          <w:szCs w:val="21"/>
        </w:rPr>
      </w:pPr>
      <w:r>
        <w:rPr>
          <w:color w:val="000000"/>
          <w:szCs w:val="21"/>
        </w:rPr>
        <w:t xml:space="preserve">日期：</w:t>
      </w:r>
      <w:r/>
    </w:p>
    <w:p>
      <w:pPr>
        <w:spacing w:after="120" w:line="360" w:lineRule="auto"/>
        <w:rPr>
          <w:b/>
          <w:bCs/>
          <w:color w:val="000000"/>
          <w:szCs w:val="21"/>
        </w:rPr>
        <w:outlineLvl w:val="1"/>
      </w:pPr>
      <w:r>
        <w:rPr>
          <w:b/>
          <w:bCs/>
          <w:color w:val="000000"/>
          <w:szCs w:val="21"/>
        </w:rPr>
      </w:r>
      <w:r/>
    </w:p>
    <w:p>
      <w:pPr>
        <w:rPr>
          <w:b/>
          <w:bCs/>
          <w:color w:val="000000"/>
          <w:szCs w:val="21"/>
        </w:rPr>
      </w:pPr>
      <w:r/>
      <w:bookmarkStart w:id="157" w:name="_Toc113527851"/>
      <w:r>
        <w:rPr>
          <w:b/>
          <w:bCs/>
          <w:color w:val="000000"/>
          <w:szCs w:val="21"/>
        </w:rPr>
        <w:br w:type="page" w:clear="all"/>
      </w:r>
      <w:r/>
    </w:p>
    <w:p>
      <w:pPr>
        <w:jc w:val="left"/>
        <w:spacing w:line="360" w:lineRule="auto"/>
        <w:rPr>
          <w:b/>
          <w:color w:val="000000"/>
          <w:szCs w:val="21"/>
        </w:rPr>
        <w:outlineLvl w:val="1"/>
      </w:pPr>
      <w:r/>
      <w:bookmarkStart w:id="158" w:name="_Toc231822752"/>
      <w:r>
        <w:rPr>
          <w:b/>
          <w:color w:val="000000"/>
          <w:szCs w:val="21"/>
        </w:rPr>
        <w:t xml:space="preserve">附件八 政府采购政策</w:t>
      </w:r>
      <w:bookmarkEnd w:id="152"/>
      <w:r/>
      <w:bookmarkEnd w:id="153"/>
      <w:r/>
      <w:bookmarkEnd w:id="154"/>
      <w:r/>
      <w:bookmarkEnd w:id="157"/>
      <w:r/>
      <w:bookmarkEnd w:id="158"/>
      <w:r/>
      <w:r/>
    </w:p>
    <w:p>
      <w:pPr>
        <w:jc w:val="center"/>
        <w:spacing w:line="360" w:lineRule="auto"/>
        <w:rPr>
          <w:b/>
          <w:color w:val="000000"/>
          <w:szCs w:val="21"/>
        </w:rPr>
      </w:pPr>
      <w:r/>
      <w:bookmarkStart w:id="159" w:name="_Toc231820635"/>
      <w:r/>
      <w:bookmarkStart w:id="160" w:name="_Toc17125"/>
      <w:r/>
      <w:bookmarkStart w:id="161" w:name="_Toc21802"/>
      <w:r/>
      <w:bookmarkStart w:id="162" w:name="_Toc28798"/>
      <w:r/>
      <w:bookmarkStart w:id="163" w:name="_Toc92"/>
      <w:r/>
      <w:bookmarkStart w:id="164" w:name="_Toc18700"/>
      <w:r/>
      <w:r/>
    </w:p>
    <w:p>
      <w:pPr>
        <w:jc w:val="center"/>
        <w:spacing w:line="360" w:lineRule="auto"/>
      </w:pPr>
      <w:r>
        <w:rPr>
          <w:b/>
          <w:color w:val="000000"/>
          <w:szCs w:val="21"/>
        </w:rPr>
        <w:t xml:space="preserve">（一）《中小企业声明函》</w:t>
      </w:r>
      <w:bookmarkEnd w:id="159"/>
      <w:r/>
      <w:bookmarkEnd w:id="160"/>
      <w:r/>
      <w:bookmarkEnd w:id="161"/>
      <w:r/>
      <w:bookmarkEnd w:id="162"/>
      <w:r>
        <w:br/>
      </w:r>
      <w:r>
        <w:br/>
      </w:r>
      <w:bookmarkEnd w:id="163"/>
      <w:r/>
      <w:bookmarkEnd w:id="164"/>
      <w:r/>
      <w:r/>
    </w:p>
    <w:p>
      <w:pPr>
        <w:jc w:val="center"/>
        <w:spacing w:line="360" w:lineRule="auto"/>
        <w:widowControl/>
        <w:rPr>
          <w:color w:val="ff0000"/>
          <w:szCs w:val="21"/>
        </w:rPr>
      </w:pPr>
      <w:r>
        <w:rPr>
          <w:b/>
          <w:color w:val="ff0000"/>
          <w:szCs w:val="21"/>
        </w:rPr>
        <w:t xml:space="preserve">【不属于小微企业的无需填写、递交】</w:t>
      </w:r>
      <w:r>
        <w:rPr>
          <w:b/>
          <w:color w:val="ff0000"/>
          <w:szCs w:val="21"/>
        </w:rPr>
        <w:br/>
      </w:r>
      <w:r/>
    </w:p>
    <w:p>
      <w:pPr>
        <w:ind w:firstLine="420"/>
        <w:spacing w:line="360" w:lineRule="auto"/>
        <w:rPr>
          <w:szCs w:val="21"/>
        </w:rPr>
      </w:pPr>
      <w:r>
        <w:rPr>
          <w:szCs w:val="21"/>
        </w:rPr>
        <w:t xml:space="preserve">本公司（联合体）郑重声明，根据《政府采购促进中小企业发展管理办法》（财库﹝2020﹞46 号）的规定，本公司 （联合体）参加</w:t>
      </w:r>
      <w:r>
        <w:rPr>
          <w:i/>
          <w:iCs/>
          <w:szCs w:val="21"/>
          <w:u w:val="single"/>
        </w:rPr>
        <w:t xml:space="preserve">（单位名称）</w:t>
      </w:r>
      <w:r>
        <w:rPr>
          <w:szCs w:val="21"/>
        </w:rPr>
        <w:t xml:space="preserve">的</w:t>
      </w:r>
      <w:r>
        <w:rPr>
          <w:i/>
          <w:iCs/>
          <w:szCs w:val="21"/>
          <w:u w:val="single"/>
        </w:rPr>
        <w:t xml:space="preserve">（项目名称）</w:t>
      </w:r>
      <w:r>
        <w:rPr>
          <w:szCs w:val="21"/>
        </w:rPr>
        <w:t xml:space="preserve">采购活动，提供的货物全部由符合政策要求的中小企业制造。相关企业 （含联合体中的中小企业、签订分包意向协议的中小企业）的具体情况如下： </w:t>
      </w:r>
      <w:r/>
    </w:p>
    <w:p>
      <w:pPr>
        <w:numPr>
          <w:ilvl w:val="0"/>
          <w:numId w:val="35"/>
        </w:numPr>
        <w:ind w:firstLine="420"/>
        <w:spacing w:line="360" w:lineRule="auto"/>
        <w:rPr>
          <w:szCs w:val="21"/>
        </w:rPr>
      </w:pPr>
      <w:r>
        <w:rPr>
          <w:i/>
          <w:iCs/>
          <w:szCs w:val="21"/>
          <w:u w:val="single"/>
        </w:rPr>
        <w:t xml:space="preserve">（标的名称）</w:t>
      </w:r>
      <w:r>
        <w:rPr>
          <w:szCs w:val="21"/>
        </w:rPr>
        <w:t xml:space="preserve"> ，属于</w:t>
      </w:r>
      <w:r>
        <w:rPr>
          <w:i/>
          <w:iCs/>
          <w:szCs w:val="21"/>
          <w:u w:val="single"/>
        </w:rPr>
        <w:t xml:space="preserve">（采购文件中明确的所属行业）</w:t>
      </w:r>
      <w:r>
        <w:rPr>
          <w:szCs w:val="21"/>
        </w:rPr>
        <w:t xml:space="preserve"> </w:t>
      </w:r>
      <w:r>
        <w:rPr>
          <w:szCs w:val="21"/>
          <w:vertAlign w:val="superscript"/>
        </w:rPr>
        <w:t xml:space="preserve">1</w:t>
      </w:r>
      <w:r>
        <w:rPr>
          <w:szCs w:val="21"/>
        </w:rPr>
        <w:t xml:space="preserve">行业；制造商为</w:t>
      </w:r>
      <w:r>
        <w:rPr>
          <w:i/>
          <w:iCs/>
          <w:szCs w:val="21"/>
          <w:u w:val="single"/>
        </w:rPr>
        <w:t xml:space="preserve">（企业名称）</w:t>
      </w:r>
      <w:r>
        <w:rPr>
          <w:szCs w:val="21"/>
        </w:rPr>
        <w:t xml:space="preserve">，从业人员人，营业收入为</w:t>
      </w:r>
      <w:r>
        <w:rPr>
          <w:szCs w:val="21"/>
          <w:u w:val="single"/>
        </w:rPr>
        <w:t xml:space="preserve">   </w:t>
      </w:r>
      <w:r>
        <w:rPr>
          <w:szCs w:val="21"/>
        </w:rPr>
        <w:t xml:space="preserve">万元，资产总额为</w:t>
      </w:r>
      <w:r>
        <w:rPr>
          <w:szCs w:val="21"/>
          <w:u w:val="single"/>
        </w:rPr>
        <w:t xml:space="preserve">   </w:t>
      </w:r>
      <w:r>
        <w:rPr>
          <w:szCs w:val="21"/>
        </w:rPr>
        <w:t xml:space="preserve">万元</w:t>
      </w:r>
      <w:r>
        <w:rPr>
          <w:szCs w:val="21"/>
          <w:vertAlign w:val="superscript"/>
        </w:rPr>
        <w:t xml:space="preserve">2</w:t>
      </w:r>
      <w:r>
        <w:rPr>
          <w:szCs w:val="21"/>
        </w:rPr>
        <w:t xml:space="preserve">，属于</w:t>
      </w:r>
      <w:r>
        <w:rPr>
          <w:i/>
          <w:iCs/>
          <w:szCs w:val="21"/>
          <w:u w:val="single"/>
        </w:rPr>
        <w:t xml:space="preserve">（中型企业、小型企业、微型企业）</w:t>
      </w:r>
      <w:r>
        <w:rPr>
          <w:szCs w:val="21"/>
        </w:rPr>
        <w:t xml:space="preserve">； </w:t>
      </w:r>
      <w:r/>
    </w:p>
    <w:p>
      <w:pPr>
        <w:numPr>
          <w:ilvl w:val="0"/>
          <w:numId w:val="35"/>
        </w:numPr>
        <w:ind w:firstLine="420"/>
        <w:spacing w:line="360" w:lineRule="auto"/>
        <w:rPr>
          <w:b/>
          <w:bCs/>
          <w:szCs w:val="21"/>
        </w:rPr>
      </w:pPr>
      <w:r>
        <w:rPr>
          <w:i/>
          <w:iCs/>
          <w:szCs w:val="21"/>
          <w:u w:val="single"/>
        </w:rPr>
        <w:t xml:space="preserve">（标的名称）</w:t>
      </w:r>
      <w:r>
        <w:rPr>
          <w:szCs w:val="21"/>
        </w:rPr>
        <w:t xml:space="preserve"> ，属于</w:t>
      </w:r>
      <w:r>
        <w:rPr>
          <w:i/>
          <w:iCs/>
          <w:szCs w:val="21"/>
          <w:u w:val="single"/>
        </w:rPr>
        <w:t xml:space="preserve">（采购文件中明确的所属行业）</w:t>
      </w:r>
      <w:r>
        <w:rPr>
          <w:szCs w:val="21"/>
        </w:rPr>
        <w:t xml:space="preserve"> 行业；制造商为</w:t>
      </w:r>
      <w:r>
        <w:rPr>
          <w:i/>
          <w:iCs/>
          <w:szCs w:val="21"/>
          <w:u w:val="single"/>
        </w:rPr>
        <w:t xml:space="preserve">（企业名称）</w:t>
      </w:r>
      <w:r>
        <w:rPr>
          <w:szCs w:val="21"/>
        </w:rPr>
        <w:t xml:space="preserve">，从业人员人，营业收入为</w:t>
      </w:r>
      <w:r>
        <w:rPr>
          <w:szCs w:val="21"/>
          <w:u w:val="single"/>
        </w:rPr>
        <w:t xml:space="preserve">   </w:t>
      </w:r>
      <w:r>
        <w:rPr>
          <w:szCs w:val="21"/>
        </w:rPr>
        <w:t xml:space="preserve">万元，资产总额为</w:t>
      </w:r>
      <w:r>
        <w:rPr>
          <w:szCs w:val="21"/>
          <w:u w:val="single"/>
        </w:rPr>
        <w:t xml:space="preserve">   </w:t>
      </w:r>
      <w:r>
        <w:rPr>
          <w:szCs w:val="21"/>
        </w:rPr>
        <w:t xml:space="preserve">万元，属于</w:t>
      </w:r>
      <w:r>
        <w:rPr>
          <w:i/>
          <w:iCs/>
          <w:szCs w:val="21"/>
          <w:u w:val="single"/>
        </w:rPr>
        <w:t xml:space="preserve">（中型企业、小 型企业、微型企业）</w:t>
      </w:r>
      <w:r>
        <w:rPr>
          <w:szCs w:val="21"/>
        </w:rPr>
        <w:t xml:space="preserve">；</w:t>
      </w:r>
      <w:r/>
    </w:p>
    <w:p>
      <w:pPr>
        <w:ind w:left="420"/>
        <w:spacing w:line="360" w:lineRule="auto"/>
        <w:rPr>
          <w:szCs w:val="21"/>
        </w:rPr>
      </w:pPr>
      <w:r>
        <w:rPr>
          <w:szCs w:val="21"/>
        </w:rPr>
        <w:t xml:space="preserve"> …… </w:t>
      </w:r>
      <w:r/>
    </w:p>
    <w:p>
      <w:pPr>
        <w:ind w:left="420"/>
        <w:spacing w:line="360" w:lineRule="auto"/>
        <w:rPr>
          <w:szCs w:val="21"/>
        </w:rPr>
      </w:pPr>
      <w:r>
        <w:rPr>
          <w:szCs w:val="21"/>
        </w:rPr>
        <w:t xml:space="preserve">以上企业，不属于大企业的分支机构，不存在控股股东为大企业的情形，也不存在与大企业的负责</w:t>
      </w:r>
      <w:r/>
    </w:p>
    <w:p>
      <w:pPr>
        <w:spacing w:line="360" w:lineRule="auto"/>
        <w:rPr>
          <w:szCs w:val="21"/>
        </w:rPr>
      </w:pPr>
      <w:r>
        <w:rPr>
          <w:szCs w:val="21"/>
        </w:rPr>
        <w:t xml:space="preserve">人为同一人的情形。 </w:t>
      </w:r>
      <w:r/>
    </w:p>
    <w:p>
      <w:pPr>
        <w:ind w:left="420"/>
        <w:spacing w:line="360" w:lineRule="auto"/>
        <w:rPr>
          <w:szCs w:val="21"/>
        </w:rPr>
      </w:pPr>
      <w:r>
        <w:rPr>
          <w:szCs w:val="21"/>
        </w:rPr>
        <w:t xml:space="preserve">本企业对上述声明内容的真实性负责。如有虚假，将依法承担相应责任。 </w:t>
      </w:r>
      <w:r/>
    </w:p>
    <w:p>
      <w:pPr>
        <w:ind w:left="420"/>
        <w:spacing w:line="360" w:lineRule="auto"/>
        <w:rPr>
          <w:szCs w:val="21"/>
        </w:rPr>
      </w:pPr>
      <w:r>
        <w:rPr>
          <w:szCs w:val="21"/>
        </w:rPr>
      </w:r>
      <w:r/>
    </w:p>
    <w:p>
      <w:pPr>
        <w:spacing w:line="360" w:lineRule="auto"/>
        <w:rPr>
          <w:szCs w:val="21"/>
        </w:rPr>
      </w:pPr>
      <w:r>
        <w:rPr>
          <w:szCs w:val="21"/>
        </w:rPr>
      </w:r>
      <w:r/>
    </w:p>
    <w:p>
      <w:pPr>
        <w:ind w:left="420" w:firstLine="6090"/>
        <w:spacing w:line="360" w:lineRule="auto"/>
        <w:rPr>
          <w:szCs w:val="21"/>
        </w:rPr>
      </w:pPr>
      <w:r>
        <w:rPr>
          <w:szCs w:val="21"/>
        </w:rPr>
        <w:t xml:space="preserve">企业名称（盖章）： </w:t>
      </w:r>
      <w:r/>
    </w:p>
    <w:p>
      <w:pPr>
        <w:ind w:left="420" w:firstLine="6090"/>
        <w:spacing w:line="360" w:lineRule="auto"/>
        <w:rPr>
          <w:szCs w:val="21"/>
        </w:rPr>
      </w:pPr>
      <w:r>
        <w:rPr>
          <w:szCs w:val="21"/>
        </w:rPr>
        <w:t xml:space="preserve">日 期：</w:t>
      </w:r>
      <w:r/>
    </w:p>
    <w:p>
      <w:pPr>
        <w:rPr>
          <w:szCs w:val="21"/>
        </w:rPr>
      </w:pPr>
      <w:r>
        <w:rPr>
          <w:szCs w:val="21"/>
        </w:rPr>
      </w:r>
      <w:r/>
    </w:p>
    <w:p>
      <w:pPr>
        <w:ind w:firstLine="280"/>
        <w:rPr>
          <w:sz w:val="28"/>
        </w:rPr>
      </w:pPr>
      <w:r>
        <w:rPr>
          <w:sz w:val="28"/>
        </w:rPr>
      </w:r>
      <w:r/>
    </w:p>
    <w:p>
      <w:pPr>
        <w:ind w:firstLine="422"/>
        <w:spacing w:line="360" w:lineRule="auto"/>
        <w:rPr>
          <w:b/>
          <w:bCs/>
          <w:szCs w:val="21"/>
        </w:rPr>
      </w:pPr>
      <w:r>
        <w:rPr>
          <w:b/>
          <w:bCs/>
          <w:szCs w:val="21"/>
        </w:rPr>
        <w:t xml:space="preserve">注：</w:t>
      </w:r>
      <w:r>
        <w:rPr>
          <w:szCs w:val="21"/>
          <w:vertAlign w:val="superscript"/>
        </w:rPr>
        <w:t xml:space="preserve">1</w:t>
      </w:r>
      <w:r>
        <w:rPr>
          <w:b/>
          <w:bCs/>
          <w:szCs w:val="21"/>
        </w:rPr>
        <w:t xml:space="preserve">采购文件中明确的所属行业详见第一章项目基本情况。</w:t>
      </w:r>
      <w:r/>
    </w:p>
    <w:p>
      <w:pPr>
        <w:ind w:firstLine="840"/>
        <w:spacing w:line="360" w:lineRule="auto"/>
        <w:rPr>
          <w:b/>
          <w:bCs/>
          <w:szCs w:val="21"/>
        </w:rPr>
      </w:pPr>
      <w:r>
        <w:rPr>
          <w:szCs w:val="21"/>
          <w:vertAlign w:val="superscript"/>
        </w:rPr>
        <w:t xml:space="preserve">2</w:t>
      </w:r>
      <w:r>
        <w:rPr>
          <w:b/>
          <w:bCs/>
          <w:szCs w:val="21"/>
        </w:rPr>
        <w:t xml:space="preserve">从业人员、营业收入、资产总额填报上一年度数据，无上一年度数据的新成立企业可不填报。</w:t>
      </w:r>
      <w:r/>
    </w:p>
    <w:p>
      <w:pPr>
        <w:ind w:firstLine="840"/>
        <w:spacing w:line="360" w:lineRule="auto"/>
        <w:rPr>
          <w:b/>
          <w:bCs/>
          <w:szCs w:val="21"/>
        </w:rPr>
      </w:pPr>
      <w:r>
        <w:rPr>
          <w:szCs w:val="21"/>
          <w:vertAlign w:val="superscript"/>
        </w:rPr>
        <w:t xml:space="preserve">3</w:t>
      </w:r>
      <w:r>
        <w:rPr>
          <w:b/>
          <w:bCs/>
          <w:szCs w:val="21"/>
        </w:rPr>
        <w:t xml:space="preserve">供应商未严格按上述要求提供完整声明函的，价格将不做相应扣除。</w:t>
      </w:r>
      <w:r/>
    </w:p>
    <w:p>
      <w:pPr>
        <w:ind w:left="840"/>
        <w:spacing w:line="360" w:lineRule="auto"/>
        <w:rPr>
          <w:b/>
          <w:bCs/>
          <w:szCs w:val="21"/>
        </w:rPr>
      </w:pPr>
      <w:r>
        <w:rPr>
          <w:szCs w:val="21"/>
          <w:vertAlign w:val="superscript"/>
        </w:rPr>
        <w:t xml:space="preserve">4</w:t>
      </w:r>
      <w:r>
        <w:rPr>
          <w:b/>
          <w:bCs/>
          <w:szCs w:val="21"/>
        </w:rPr>
        <w:t xml:space="preserve">“中小企业划型标准”详见《关于印发中小企业划型标准规定的通知》工信部联企业(2011)300号，供应商也可登录中华人民共和国工信部官网，使用“中小企业规模类型自测小程序”进行企业规模自测。</w:t>
      </w:r>
      <w:r/>
    </w:p>
    <w:p>
      <w:pPr>
        <w:jc w:val="center"/>
        <w:spacing w:line="360" w:lineRule="auto"/>
        <w:rPr>
          <w:b/>
          <w:bCs/>
          <w:color w:val="000000"/>
          <w:szCs w:val="21"/>
        </w:rPr>
        <w:sectPr>
          <w:footerReference w:type="first" r:id="rId17"/>
          <w:footnotePr/>
          <w:endnotePr/>
          <w:type w:val="nextPage"/>
          <w:pgSz w:w="11906" w:h="16838" w:orient="portrait"/>
          <w:pgMar w:top="1134" w:right="1134" w:bottom="1083" w:left="1134" w:header="851" w:footer="992" w:gutter="0"/>
          <w:cols w:num="1" w:sep="0" w:space="720" w:equalWidth="1"/>
          <w:docGrid w:linePitch="360"/>
        </w:sectPr>
        <w:outlineLvl w:val="2"/>
      </w:pPr>
      <w:r>
        <w:rPr>
          <w:b/>
          <w:bCs/>
          <w:color w:val="000000"/>
          <w:szCs w:val="21"/>
        </w:rPr>
      </w:r>
      <w:r/>
    </w:p>
    <w:p>
      <w:pPr>
        <w:jc w:val="center"/>
        <w:spacing w:line="360" w:lineRule="auto"/>
        <w:rPr>
          <w:b/>
          <w:color w:val="000000"/>
          <w:szCs w:val="21"/>
        </w:rPr>
      </w:pPr>
      <w:r/>
      <w:bookmarkStart w:id="165" w:name="_Toc113527853"/>
      <w:r/>
      <w:bookmarkStart w:id="166" w:name="_Toc17686"/>
      <w:r/>
      <w:bookmarkStart w:id="167" w:name="_Toc231820636"/>
      <w:r/>
      <w:bookmarkStart w:id="168" w:name="_Toc17455"/>
      <w:r/>
      <w:bookmarkStart w:id="169" w:name="_Toc13680"/>
      <w:r>
        <w:rPr>
          <w:b/>
          <w:color w:val="000000"/>
          <w:szCs w:val="21"/>
        </w:rPr>
        <w:t xml:space="preserve">（二）残疾人福利性单位声明函</w:t>
      </w:r>
      <w:bookmarkEnd w:id="165"/>
      <w:r/>
      <w:bookmarkEnd w:id="166"/>
      <w:r/>
      <w:bookmarkEnd w:id="167"/>
      <w:r/>
      <w:bookmarkEnd w:id="168"/>
      <w:r/>
      <w:bookmarkEnd w:id="169"/>
      <w:r/>
      <w:r/>
    </w:p>
    <w:p>
      <w:pPr>
        <w:ind w:right="178" w:firstLine="444"/>
        <w:jc w:val="left"/>
        <w:spacing w:line="360" w:lineRule="auto"/>
        <w:tabs>
          <w:tab w:val="left" w:pos="4860" w:leader="none"/>
        </w:tabs>
        <w:rPr>
          <w:color w:val="000000"/>
          <w:spacing w:val="6"/>
          <w:szCs w:val="21"/>
        </w:rPr>
      </w:pPr>
      <w:r>
        <w:rPr>
          <w:color w:val="000000"/>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right="1560" w:firstLine="444"/>
        <w:jc w:val="left"/>
        <w:spacing w:line="360" w:lineRule="auto"/>
        <w:tabs>
          <w:tab w:val="left" w:pos="4860" w:leader="none"/>
        </w:tabs>
        <w:rPr>
          <w:color w:val="000000"/>
          <w:spacing w:val="6"/>
          <w:szCs w:val="21"/>
        </w:rPr>
      </w:pPr>
      <w:r>
        <w:rPr>
          <w:color w:val="000000"/>
          <w:spacing w:val="6"/>
          <w:szCs w:val="21"/>
        </w:rPr>
        <w:t xml:space="preserve">本单位对上述声明的真实性负责。如有虚假，将依法承担相应责任。</w:t>
      </w:r>
      <w:r/>
    </w:p>
    <w:p>
      <w:pPr>
        <w:ind w:right="1560" w:firstLine="444"/>
        <w:jc w:val="right"/>
        <w:spacing w:line="360" w:lineRule="auto"/>
        <w:tabs>
          <w:tab w:val="left" w:pos="4860" w:leader="none"/>
        </w:tabs>
        <w:rPr>
          <w:color w:val="000000"/>
          <w:spacing w:val="6"/>
          <w:szCs w:val="21"/>
        </w:rPr>
      </w:pPr>
      <w:r>
        <w:rPr>
          <w:color w:val="000000"/>
          <w:spacing w:val="6"/>
          <w:szCs w:val="21"/>
        </w:rPr>
      </w:r>
      <w:r/>
    </w:p>
    <w:p>
      <w:pPr>
        <w:ind w:right="1560" w:firstLine="444"/>
        <w:jc w:val="right"/>
        <w:spacing w:line="360" w:lineRule="auto"/>
        <w:tabs>
          <w:tab w:val="left" w:pos="4860" w:leader="none"/>
        </w:tabs>
        <w:rPr>
          <w:color w:val="000000"/>
          <w:spacing w:val="6"/>
          <w:szCs w:val="21"/>
        </w:rPr>
      </w:pPr>
      <w:r>
        <w:rPr>
          <w:color w:val="000000"/>
          <w:spacing w:val="6"/>
          <w:szCs w:val="21"/>
        </w:rPr>
        <w:t xml:space="preserve">单位名称（盖章）：</w:t>
      </w:r>
      <w:r/>
    </w:p>
    <w:p>
      <w:pPr>
        <w:ind w:right="1560" w:firstLine="444"/>
        <w:jc w:val="right"/>
        <w:spacing w:line="360" w:lineRule="auto"/>
        <w:tabs>
          <w:tab w:val="left" w:pos="4860" w:leader="none"/>
        </w:tabs>
        <w:rPr>
          <w:color w:val="000000"/>
          <w:spacing w:val="6"/>
          <w:szCs w:val="21"/>
        </w:rPr>
      </w:pPr>
      <w:r>
        <w:rPr>
          <w:color w:val="000000"/>
          <w:spacing w:val="6"/>
          <w:szCs w:val="21"/>
        </w:rPr>
        <w:t xml:space="preserve">日 期：    </w:t>
      </w:r>
      <w:r/>
    </w:p>
    <w:p>
      <w:pPr>
        <w:jc w:val="center"/>
        <w:rPr>
          <w:b/>
          <w:bCs/>
          <w:color w:val="000000"/>
          <w:szCs w:val="21"/>
        </w:rPr>
      </w:pPr>
      <w:r/>
      <w:bookmarkStart w:id="170" w:name="_Toc113527854"/>
      <w:r/>
      <w:bookmarkStart w:id="171" w:name="_Toc231820637"/>
      <w:r/>
      <w:r/>
    </w:p>
    <w:p>
      <w:pPr>
        <w:jc w:val="center"/>
        <w:rPr>
          <w:b/>
          <w:bCs/>
          <w:color w:val="000000"/>
          <w:szCs w:val="21"/>
        </w:rPr>
      </w:pPr>
      <w:r>
        <w:rPr>
          <w:b/>
          <w:bCs/>
          <w:color w:val="000000"/>
          <w:szCs w:val="21"/>
        </w:rPr>
      </w:r>
      <w:r/>
    </w:p>
    <w:p>
      <w:pPr>
        <w:jc w:val="center"/>
        <w:rPr>
          <w:b/>
          <w:bCs/>
          <w:color w:val="000000"/>
          <w:szCs w:val="21"/>
        </w:rPr>
      </w:pPr>
      <w:r>
        <w:rPr>
          <w:b/>
          <w:bCs/>
          <w:color w:val="000000"/>
          <w:szCs w:val="21"/>
        </w:rPr>
      </w:r>
      <w:r/>
    </w:p>
    <w:p>
      <w:pPr>
        <w:jc w:val="center"/>
        <w:rPr>
          <w:b/>
          <w:bCs/>
          <w:color w:val="000000"/>
          <w:szCs w:val="21"/>
        </w:rPr>
      </w:pPr>
      <w:r>
        <w:rPr>
          <w:b/>
          <w:color w:val="000000"/>
          <w:szCs w:val="21"/>
        </w:rPr>
        <w:t xml:space="preserve">（三）属于监狱企业的证明文件</w:t>
      </w:r>
      <w:bookmarkEnd w:id="170"/>
      <w:r/>
      <w:bookmarkEnd w:id="171"/>
      <w:r/>
      <w:r/>
    </w:p>
    <w:p>
      <w:pPr>
        <w:ind w:left="420" w:right="597"/>
        <w:jc w:val="left"/>
        <w:spacing w:before="232" w:after="120" w:line="360" w:lineRule="auto"/>
        <w:rPr>
          <w:color w:val="000000"/>
          <w:spacing w:val="6"/>
          <w:szCs w:val="21"/>
        </w:rPr>
      </w:pPr>
      <w:r>
        <w:rPr>
          <w:color w:val="000000"/>
          <w:spacing w:val="6"/>
          <w:szCs w:val="21"/>
        </w:rPr>
        <w:t xml:space="preserve">（提供由省级以上监狱管理局、戒毒管理局(含新疆生产建设兵团)出具的属于监狱企业的证明文件</w:t>
      </w:r>
      <w:r/>
    </w:p>
    <w:p>
      <w:pPr>
        <w:ind w:left="420" w:right="597"/>
        <w:jc w:val="center"/>
        <w:spacing w:before="232" w:after="120" w:line="360" w:lineRule="auto"/>
        <w:rPr>
          <w:color w:val="000000"/>
          <w:spacing w:val="6"/>
          <w:szCs w:val="21"/>
        </w:rPr>
      </w:pPr>
      <w:r>
        <w:rPr>
          <w:color w:val="000000"/>
          <w:spacing w:val="6"/>
          <w:szCs w:val="21"/>
        </w:rPr>
      </w:r>
      <w:r/>
    </w:p>
    <w:p>
      <w:pPr>
        <w:jc w:val="center"/>
        <w:rPr>
          <w:b/>
          <w:color w:val="000000"/>
          <w:szCs w:val="21"/>
        </w:rPr>
      </w:pPr>
      <w:r>
        <w:rPr>
          <w:b/>
          <w:color w:val="000000"/>
          <w:szCs w:val="21"/>
        </w:rPr>
      </w:r>
      <w:r/>
    </w:p>
    <w:p>
      <w:pPr>
        <w:jc w:val="center"/>
        <w:rPr>
          <w:b/>
          <w:color w:val="000000"/>
          <w:szCs w:val="21"/>
        </w:rPr>
      </w:pPr>
      <w:r/>
      <w:bookmarkStart w:id="172" w:name="_Toc113527855"/>
      <w:r/>
      <w:bookmarkStart w:id="173" w:name="_Toc231820638"/>
      <w:r>
        <w:rPr>
          <w:b/>
          <w:color w:val="000000"/>
          <w:szCs w:val="21"/>
        </w:rPr>
        <w:t xml:space="preserve">（四）节能产品认证证书</w:t>
      </w:r>
      <w:bookmarkEnd w:id="172"/>
      <w:r/>
      <w:bookmarkEnd w:id="173"/>
      <w:r/>
      <w:r/>
    </w:p>
    <w:p>
      <w:pPr>
        <w:ind w:left="420"/>
        <w:jc w:val="center"/>
        <w:spacing w:before="229" w:after="120" w:line="360" w:lineRule="auto"/>
        <w:rPr>
          <w:szCs w:val="21"/>
        </w:rPr>
      </w:pPr>
      <w:r>
        <w:rPr>
          <w:szCs w:val="21"/>
        </w:rPr>
        <w:t xml:space="preserve">（提供国家确定的认证机构出具的、处于有效期之内的产品认证证书）</w:t>
      </w:r>
      <w:r/>
    </w:p>
    <w:p>
      <w:pPr>
        <w:ind w:left="420"/>
        <w:jc w:val="center"/>
        <w:spacing w:after="120" w:line="360" w:lineRule="auto"/>
        <w:rPr>
          <w:szCs w:val="21"/>
        </w:rPr>
      </w:pPr>
      <w:r>
        <w:rPr>
          <w:szCs w:val="21"/>
        </w:rPr>
      </w:r>
      <w:r/>
    </w:p>
    <w:p>
      <w:pPr>
        <w:ind w:left="420"/>
        <w:jc w:val="center"/>
        <w:spacing w:after="120" w:line="360" w:lineRule="auto"/>
        <w:rPr>
          <w:szCs w:val="21"/>
        </w:rPr>
      </w:pPr>
      <w:r>
        <w:rPr>
          <w:szCs w:val="21"/>
        </w:rPr>
      </w:r>
      <w:r/>
    </w:p>
    <w:p>
      <w:pPr>
        <w:spacing w:after="120" w:line="360" w:lineRule="auto"/>
        <w:rPr>
          <w:szCs w:val="21"/>
        </w:rPr>
      </w:pPr>
      <w:r>
        <w:rPr>
          <w:szCs w:val="21"/>
        </w:rPr>
      </w:r>
      <w:r/>
    </w:p>
    <w:p>
      <w:pPr>
        <w:ind w:left="420"/>
        <w:jc w:val="center"/>
        <w:spacing w:before="12" w:after="120" w:line="360" w:lineRule="auto"/>
        <w:rPr>
          <w:szCs w:val="21"/>
        </w:rPr>
      </w:pPr>
      <w:r>
        <w:rPr>
          <w:szCs w:val="21"/>
        </w:rPr>
      </w:r>
      <w:r/>
    </w:p>
    <w:p>
      <w:pPr>
        <w:jc w:val="center"/>
      </w:pPr>
      <w:r/>
      <w:bookmarkStart w:id="174" w:name="_Toc231820639"/>
      <w:r/>
      <w:bookmarkStart w:id="175" w:name="_Toc113527856"/>
      <w:r>
        <w:rPr>
          <w:b/>
          <w:color w:val="000000"/>
          <w:szCs w:val="21"/>
        </w:rPr>
        <w:t xml:space="preserve">（五）环境标志产品认证证书</w:t>
      </w:r>
      <w:bookmarkEnd w:id="174"/>
      <w:r/>
      <w:bookmarkEnd w:id="175"/>
      <w:r/>
      <w:r/>
    </w:p>
    <w:p>
      <w:pPr>
        <w:ind w:left="420"/>
        <w:jc w:val="center"/>
        <w:spacing w:before="230" w:after="120" w:line="360" w:lineRule="auto"/>
        <w:rPr>
          <w:szCs w:val="21"/>
        </w:rPr>
      </w:pPr>
      <w:r>
        <w:rPr>
          <w:szCs w:val="21"/>
        </w:rPr>
        <w:t xml:space="preserve">（提供国家确定的认证机构出具的、处于有效期之内的产品认证证书）</w:t>
      </w:r>
      <w:r/>
    </w:p>
    <w:p>
      <w:pPr>
        <w:ind w:left="420"/>
        <w:jc w:val="center"/>
        <w:spacing w:after="120" w:line="360" w:lineRule="auto"/>
        <w:rPr>
          <w:szCs w:val="21"/>
        </w:rPr>
      </w:pPr>
      <w:r>
        <w:rPr>
          <w:szCs w:val="21"/>
        </w:rPr>
      </w:r>
      <w:r/>
    </w:p>
    <w:p>
      <w:pPr>
        <w:spacing w:after="120" w:line="360" w:lineRule="auto"/>
        <w:rPr>
          <w:szCs w:val="21"/>
        </w:rPr>
      </w:pPr>
      <w:r>
        <w:rPr>
          <w:szCs w:val="21"/>
        </w:rPr>
      </w:r>
      <w:r/>
    </w:p>
    <w:p>
      <w:pPr>
        <w:ind w:left="420"/>
        <w:jc w:val="center"/>
        <w:spacing w:before="12" w:after="120" w:line="360" w:lineRule="auto"/>
        <w:rPr>
          <w:szCs w:val="21"/>
        </w:rPr>
      </w:pPr>
      <w:r>
        <w:rPr>
          <w:szCs w:val="21"/>
        </w:rPr>
      </w:r>
      <w:r/>
    </w:p>
    <w:p>
      <w:pPr>
        <w:jc w:val="center"/>
      </w:pPr>
      <w:r/>
      <w:bookmarkStart w:id="176" w:name="_Toc113527857"/>
      <w:r/>
      <w:bookmarkStart w:id="177" w:name="_Toc231820640"/>
      <w:r>
        <w:rPr>
          <w:b/>
          <w:color w:val="000000"/>
          <w:szCs w:val="21"/>
        </w:rPr>
        <w:t xml:space="preserve">（六）进口产品转让技术、消化吸收再创新方案</w:t>
      </w:r>
      <w:bookmarkEnd w:id="176"/>
      <w:r/>
      <w:bookmarkEnd w:id="177"/>
      <w:r/>
      <w:r/>
    </w:p>
    <w:p>
      <w:pPr>
        <w:jc w:val="center"/>
        <w:spacing w:before="230" w:after="120" w:line="360" w:lineRule="auto"/>
        <w:rPr>
          <w:szCs w:val="21"/>
        </w:rPr>
      </w:pPr>
      <w:r>
        <w:rPr>
          <w:szCs w:val="21"/>
        </w:rPr>
        <w:t xml:space="preserve">（对于允许进口产品参加的项目）</w:t>
      </w:r>
      <w:r/>
    </w:p>
    <w:p>
      <w:pPr>
        <w:ind w:left="420" w:right="597"/>
        <w:spacing w:before="232" w:line="360" w:lineRule="auto"/>
        <w:rPr>
          <w:color w:val="000000"/>
          <w:spacing w:val="6"/>
          <w:szCs w:val="21"/>
        </w:rPr>
      </w:pPr>
      <w:r>
        <w:rPr>
          <w:color w:val="000000"/>
          <w:spacing w:val="6"/>
          <w:szCs w:val="21"/>
        </w:rPr>
      </w:r>
      <w:r/>
    </w:p>
    <w:p>
      <w:pPr>
        <w:spacing w:line="360" w:lineRule="auto"/>
        <w:rPr>
          <w:b/>
          <w:bCs/>
          <w:color w:val="000000"/>
          <w:szCs w:val="21"/>
        </w:rPr>
        <w:outlineLvl w:val="2"/>
      </w:pPr>
      <w:r>
        <w:rPr>
          <w:b/>
          <w:bCs/>
          <w:color w:val="000000"/>
          <w:szCs w:val="21"/>
        </w:rPr>
      </w:r>
      <w:r/>
    </w:p>
    <w:p>
      <w:pPr>
        <w:jc w:val="center"/>
        <w:rPr>
          <w:b/>
          <w:color w:val="000000"/>
          <w:szCs w:val="21"/>
        </w:rPr>
      </w:pPr>
      <w:r/>
      <w:bookmarkStart w:id="178" w:name="_Toc231820641"/>
      <w:r>
        <w:rPr>
          <w:b/>
          <w:color w:val="000000"/>
          <w:szCs w:val="21"/>
        </w:rPr>
        <w:t xml:space="preserve">（七）本国产品相关资信证明文件</w:t>
      </w:r>
      <w:bookmarkEnd w:id="178"/>
      <w:r/>
      <w:r/>
    </w:p>
    <w:p>
      <w:pPr>
        <w:ind w:firstLine="422"/>
        <w:jc w:val="left"/>
        <w:spacing w:line="360" w:lineRule="auto"/>
        <w:rPr>
          <w:b/>
          <w:color w:val="000000"/>
          <w:szCs w:val="21"/>
        </w:rPr>
      </w:pPr>
      <w:r/>
      <w:bookmarkStart w:id="179" w:name="_Toc231820642"/>
      <w:r>
        <w:rPr>
          <w:b/>
          <w:color w:val="000000"/>
          <w:szCs w:val="21"/>
        </w:rPr>
        <w:t xml:space="preserve">《关于符合本国产品标准的声明函》或财政部会同有关部门规定的有关证明文件</w:t>
      </w:r>
      <w:bookmarkEnd w:id="179"/>
      <w:r/>
      <w:r/>
    </w:p>
    <w:p>
      <w:pPr>
        <w:ind w:firstLine="422"/>
        <w:jc w:val="left"/>
        <w:spacing w:line="360" w:lineRule="auto"/>
        <w:rPr>
          <w:b/>
          <w:color w:val="000000"/>
          <w:szCs w:val="21"/>
        </w:rPr>
      </w:pPr>
      <w:r/>
      <w:bookmarkStart w:id="180" w:name="_Toc231820643"/>
      <w:r>
        <w:rPr>
          <w:b/>
          <w:color w:val="000000"/>
          <w:szCs w:val="21"/>
        </w:rPr>
        <w:t xml:space="preserve">（特别说明：格式如下，请按要求填写，加盖CA电子公章。供应商填写以下具体情况时，序号、产品名称请与招标文件附件《采购清单》各采购包中的序号、产品名称在顺序、内容上均保持一致，供评委现场评审时逐一核对确认，请勿遗漏）</w:t>
      </w:r>
      <w:bookmarkEnd w:id="180"/>
      <w:r/>
      <w:r/>
    </w:p>
    <w:p>
      <w:pPr>
        <w:jc w:val="center"/>
        <w:rPr>
          <w:b/>
          <w:color w:val="000000"/>
          <w:szCs w:val="21"/>
        </w:rPr>
      </w:pPr>
      <w:r/>
      <w:bookmarkStart w:id="181" w:name="_Toc231820644"/>
      <w:r/>
      <w:r/>
    </w:p>
    <w:p>
      <w:pPr>
        <w:jc w:val="center"/>
        <w:rPr>
          <w:b/>
          <w:color w:val="000000"/>
          <w:szCs w:val="21"/>
        </w:rPr>
      </w:pPr>
      <w:r>
        <w:rPr>
          <w:b/>
          <w:color w:val="000000"/>
          <w:szCs w:val="21"/>
        </w:rPr>
      </w:r>
      <w:r/>
    </w:p>
    <w:p>
      <w:pPr>
        <w:jc w:val="center"/>
        <w:rPr>
          <w:b/>
          <w:color w:val="000000"/>
          <w:szCs w:val="21"/>
        </w:rPr>
      </w:pPr>
      <w:r>
        <w:rPr>
          <w:b/>
          <w:color w:val="000000"/>
          <w:szCs w:val="21"/>
        </w:rPr>
        <w:t xml:space="preserve">关于符合本国产品标准的声明函</w:t>
      </w:r>
      <w:bookmarkEnd w:id="181"/>
      <w:r/>
      <w:r/>
    </w:p>
    <w:p>
      <w:pPr>
        <w:ind w:firstLine="420"/>
        <w:spacing w:line="360" w:lineRule="auto"/>
        <w:rPr>
          <w:color w:val="000000"/>
          <w:szCs w:val="21"/>
        </w:rPr>
      </w:pPr>
      <w:r>
        <w:rPr>
          <w:color w:val="000000"/>
          <w:szCs w:val="21"/>
        </w:rPr>
        <w:t xml:space="preserve">本单位郑重声明，根据《国务院办公厅关于在政府采购中实施本国产品标准及相关政策的通知》(国办发〔2025〕34号)的规定，本单位提供的以下产品属于本国产品。具体情况如下：</w:t>
      </w:r>
      <w:r/>
    </w:p>
    <w:p>
      <w:pPr>
        <w:ind w:firstLine="420"/>
        <w:spacing w:line="360" w:lineRule="auto"/>
        <w:rPr>
          <w:color w:val="000000"/>
          <w:szCs w:val="21"/>
        </w:rPr>
      </w:pPr>
      <w:r>
        <w:rPr>
          <w:color w:val="000000"/>
          <w:szCs w:val="21"/>
        </w:rPr>
        <w:t xml:space="preserve">1.(</w:t>
      </w:r>
      <w:r>
        <w:rPr>
          <w:color w:val="000000"/>
          <w:szCs w:val="21"/>
          <w:u w:val="single"/>
        </w:rPr>
        <w:t xml:space="preserve">产品名称1</w:t>
      </w:r>
      <w:r>
        <w:rPr>
          <w:color w:val="000000"/>
          <w:szCs w:val="21"/>
        </w:rPr>
        <w:t xml:space="preserve">)</w:t>
      </w:r>
      <w:r>
        <w:rPr>
          <w:color w:val="000000"/>
          <w:szCs w:val="21"/>
          <w:vertAlign w:val="superscript"/>
        </w:rPr>
        <w:t xml:space="preserve">1</w:t>
      </w:r>
      <w:r>
        <w:rPr>
          <w:color w:val="000000"/>
          <w:szCs w:val="21"/>
        </w:rPr>
        <w:t xml:space="preserve">，生产厂为(</w:t>
      </w:r>
      <w:r>
        <w:rPr>
          <w:color w:val="000000"/>
          <w:szCs w:val="21"/>
          <w:u w:val="single"/>
        </w:rPr>
        <w:t xml:space="preserve">厂名</w:t>
      </w:r>
      <w:r>
        <w:rPr>
          <w:color w:val="000000"/>
          <w:szCs w:val="21"/>
        </w:rPr>
        <w:t xml:space="preserve">)</w:t>
      </w:r>
      <w:r>
        <w:rPr>
          <w:color w:val="000000"/>
          <w:szCs w:val="21"/>
          <w:vertAlign w:val="superscript"/>
        </w:rPr>
        <w:t xml:space="preserve">2</w:t>
      </w:r>
      <w:r>
        <w:rPr>
          <w:color w:val="000000"/>
          <w:szCs w:val="21"/>
        </w:rPr>
        <w:t xml:space="preserve">，厂址为(</w:t>
      </w:r>
      <w:r>
        <w:rPr>
          <w:color w:val="000000"/>
          <w:szCs w:val="21"/>
          <w:u w:val="single"/>
        </w:rPr>
        <w:t xml:space="preserve">生产厂址</w:t>
      </w:r>
      <w:r>
        <w:rPr>
          <w:color w:val="000000"/>
          <w:szCs w:val="21"/>
        </w:rPr>
        <w:t xml:space="preserve">)。(</w:t>
      </w:r>
      <w:r>
        <w:rPr>
          <w:color w:val="000000"/>
          <w:szCs w:val="21"/>
          <w:u w:val="single"/>
        </w:rPr>
        <w:t xml:space="preserve">产品名称1</w:t>
      </w:r>
      <w:r>
        <w:rPr>
          <w:color w:val="000000"/>
          <w:szCs w:val="21"/>
        </w:rPr>
        <w:t xml:space="preserve">)的中国境内生产的组件成本占比≥(</w:t>
      </w:r>
      <w:r>
        <w:rPr>
          <w:color w:val="000000"/>
          <w:szCs w:val="21"/>
          <w:u w:val="single"/>
        </w:rPr>
        <w:t xml:space="preserve">规定比例</w:t>
      </w:r>
      <w:r>
        <w:rPr>
          <w:color w:val="000000"/>
          <w:szCs w:val="21"/>
        </w:rPr>
        <w:t xml:space="preserve">)</w:t>
      </w:r>
      <w:r>
        <w:rPr>
          <w:color w:val="000000"/>
          <w:szCs w:val="21"/>
          <w:vertAlign w:val="superscript"/>
        </w:rPr>
        <w:t xml:space="preserve">3</w:t>
      </w:r>
      <w:r>
        <w:rPr>
          <w:color w:val="000000"/>
          <w:szCs w:val="21"/>
        </w:rPr>
        <w:t xml:space="preserve">。(</w:t>
      </w:r>
      <w:r>
        <w:rPr>
          <w:color w:val="000000"/>
          <w:szCs w:val="21"/>
          <w:u w:val="single"/>
        </w:rPr>
        <w:t xml:space="preserve">产品名称1</w:t>
      </w:r>
      <w:r>
        <w:rPr>
          <w:color w:val="000000"/>
          <w:szCs w:val="21"/>
        </w:rPr>
        <w:t xml:space="preserve">)的(</w:t>
      </w:r>
      <w:r>
        <w:rPr>
          <w:color w:val="000000"/>
          <w:szCs w:val="21"/>
          <w:u w:val="single"/>
        </w:rPr>
        <w:t xml:space="preserve">关键组件)</w:t>
      </w:r>
      <w:r>
        <w:rPr>
          <w:color w:val="000000"/>
          <w:szCs w:val="21"/>
          <w:vertAlign w:val="superscript"/>
        </w:rPr>
        <w:t xml:space="preserve">4</w:t>
      </w:r>
      <w:r>
        <w:rPr>
          <w:color w:val="000000"/>
          <w:szCs w:val="21"/>
        </w:rPr>
        <w:t xml:space="preserve">在中国境内生产。(</w:t>
      </w:r>
      <w:r>
        <w:rPr>
          <w:color w:val="000000"/>
          <w:szCs w:val="21"/>
          <w:u w:val="single"/>
        </w:rPr>
        <w:t xml:space="preserve">产品名称1</w:t>
      </w:r>
      <w:r>
        <w:rPr>
          <w:color w:val="000000"/>
          <w:szCs w:val="21"/>
        </w:rPr>
        <w:t xml:space="preserve">)的(</w:t>
      </w:r>
      <w:r>
        <w:rPr>
          <w:color w:val="000000"/>
          <w:szCs w:val="21"/>
          <w:u w:val="single"/>
        </w:rPr>
        <w:t xml:space="preserve">关键工序</w:t>
      </w:r>
      <w:r>
        <w:rPr>
          <w:color w:val="000000"/>
          <w:szCs w:val="21"/>
        </w:rPr>
        <w:t xml:space="preserve">)</w:t>
      </w:r>
      <w:r>
        <w:rPr>
          <w:color w:val="000000"/>
          <w:szCs w:val="21"/>
          <w:vertAlign w:val="superscript"/>
        </w:rPr>
        <w:t xml:space="preserve">5</w:t>
      </w:r>
      <w:r>
        <w:rPr>
          <w:color w:val="000000"/>
          <w:szCs w:val="21"/>
        </w:rPr>
        <w:t xml:space="preserve">在中国境内完成。</w:t>
      </w:r>
      <w:r/>
    </w:p>
    <w:p>
      <w:pPr>
        <w:ind w:firstLine="420"/>
        <w:spacing w:line="360" w:lineRule="auto"/>
        <w:rPr>
          <w:color w:val="000000"/>
          <w:szCs w:val="21"/>
        </w:rPr>
      </w:pPr>
      <w:r>
        <w:rPr>
          <w:color w:val="000000"/>
          <w:szCs w:val="21"/>
        </w:rPr>
        <w:t xml:space="preserve">2.(</w:t>
      </w:r>
      <w:r>
        <w:rPr>
          <w:color w:val="000000"/>
          <w:szCs w:val="21"/>
          <w:u w:val="single"/>
        </w:rPr>
        <w:t xml:space="preserve">产品名称2</w:t>
      </w:r>
      <w:r>
        <w:rPr>
          <w:color w:val="000000"/>
          <w:szCs w:val="21"/>
        </w:rPr>
        <w:t xml:space="preserve">)，生产厂为(</w:t>
      </w:r>
      <w:r>
        <w:rPr>
          <w:color w:val="000000"/>
          <w:szCs w:val="21"/>
          <w:u w:val="single"/>
        </w:rPr>
        <w:t xml:space="preserve">厂名</w:t>
      </w:r>
      <w:r>
        <w:rPr>
          <w:color w:val="000000"/>
          <w:szCs w:val="21"/>
        </w:rPr>
        <w:t xml:space="preserve">)，厂址为(</w:t>
      </w:r>
      <w:r>
        <w:rPr>
          <w:color w:val="000000"/>
          <w:szCs w:val="21"/>
          <w:u w:val="single"/>
        </w:rPr>
        <w:t xml:space="preserve">生产厂址</w:t>
      </w:r>
      <w:r>
        <w:rPr>
          <w:color w:val="000000"/>
          <w:szCs w:val="21"/>
        </w:rPr>
        <w:t xml:space="preserve">)。(</w:t>
      </w:r>
      <w:r>
        <w:rPr>
          <w:color w:val="000000"/>
          <w:szCs w:val="21"/>
          <w:u w:val="single"/>
        </w:rPr>
        <w:t xml:space="preserve">产品名称2</w:t>
      </w:r>
      <w:r>
        <w:rPr>
          <w:color w:val="000000"/>
          <w:szCs w:val="21"/>
        </w:rPr>
        <w:t xml:space="preserve">)的中国境内生产的组件成本占比≥(</w:t>
      </w:r>
      <w:r>
        <w:rPr>
          <w:color w:val="000000"/>
          <w:szCs w:val="21"/>
          <w:u w:val="single"/>
        </w:rPr>
        <w:t xml:space="preserve">规定比例</w:t>
      </w:r>
      <w:r>
        <w:rPr>
          <w:color w:val="000000"/>
          <w:szCs w:val="21"/>
        </w:rPr>
        <w:t xml:space="preserve">)。(</w:t>
      </w:r>
      <w:r>
        <w:rPr>
          <w:color w:val="000000"/>
          <w:szCs w:val="21"/>
          <w:u w:val="single"/>
        </w:rPr>
        <w:t xml:space="preserve">产品名称2</w:t>
      </w:r>
      <w:r>
        <w:rPr>
          <w:color w:val="000000"/>
          <w:szCs w:val="21"/>
        </w:rPr>
        <w:t xml:space="preserve">)的(</w:t>
      </w:r>
      <w:r>
        <w:rPr>
          <w:color w:val="000000"/>
          <w:szCs w:val="21"/>
          <w:u w:val="single"/>
        </w:rPr>
        <w:t xml:space="preserve">关键组件</w:t>
      </w:r>
      <w:r>
        <w:rPr>
          <w:color w:val="000000"/>
          <w:szCs w:val="21"/>
        </w:rPr>
        <w:t xml:space="preserve">)在中国境内生产。(</w:t>
      </w:r>
      <w:r>
        <w:rPr>
          <w:color w:val="000000"/>
          <w:szCs w:val="21"/>
          <w:u w:val="single"/>
        </w:rPr>
        <w:t xml:space="preserve">产品名称2</w:t>
      </w:r>
      <w:r>
        <w:rPr>
          <w:color w:val="000000"/>
          <w:szCs w:val="21"/>
        </w:rPr>
        <w:t xml:space="preserve">)的(</w:t>
      </w:r>
      <w:r>
        <w:rPr>
          <w:color w:val="000000"/>
          <w:szCs w:val="21"/>
          <w:u w:val="single"/>
        </w:rPr>
        <w:t xml:space="preserve">关键工序</w:t>
      </w:r>
      <w:r>
        <w:rPr>
          <w:color w:val="000000"/>
          <w:szCs w:val="21"/>
        </w:rPr>
        <w:t xml:space="preserve">)在中国境内完成。</w:t>
      </w:r>
      <w:r/>
    </w:p>
    <w:p>
      <w:pPr>
        <w:ind w:firstLine="420"/>
        <w:spacing w:line="360" w:lineRule="auto"/>
        <w:rPr>
          <w:color w:val="000000"/>
          <w:szCs w:val="21"/>
        </w:rPr>
      </w:pPr>
      <w:r>
        <w:rPr>
          <w:color w:val="000000"/>
          <w:szCs w:val="21"/>
        </w:rPr>
        <w:t xml:space="preserve">.....</w:t>
      </w:r>
      <w:r/>
    </w:p>
    <w:p>
      <w:pPr>
        <w:ind w:firstLine="420"/>
        <w:spacing w:line="360" w:lineRule="auto"/>
        <w:rPr>
          <w:color w:val="000000"/>
          <w:szCs w:val="21"/>
        </w:rPr>
      </w:pPr>
      <w:r>
        <w:rPr>
          <w:color w:val="000000"/>
          <w:szCs w:val="21"/>
        </w:rPr>
        <w:t xml:space="preserve">本公司(单位)对上述声明内容的真实性负责。如有虚假，愿承担相应法律责任。</w:t>
      </w:r>
      <w:r/>
    </w:p>
    <w:p>
      <w:pPr>
        <w:ind w:firstLine="1134"/>
        <w:jc w:val="right"/>
        <w:spacing w:line="588" w:lineRule="exact"/>
        <w:tabs>
          <w:tab w:val="left" w:pos="4860" w:leader="none"/>
        </w:tabs>
        <w:rPr>
          <w:color w:val="000000"/>
          <w:szCs w:val="21"/>
        </w:rPr>
      </w:pPr>
      <w:r/>
      <w:bookmarkStart w:id="182" w:name="_Hlk218765471"/>
      <w:r>
        <w:rPr>
          <w:color w:val="000000"/>
          <w:szCs w:val="21"/>
        </w:rPr>
        <w:t xml:space="preserve">供应商全称（加盖公章）：</w:t>
      </w:r>
      <w:r/>
    </w:p>
    <w:p>
      <w:pPr>
        <w:ind w:firstLine="1134"/>
        <w:jc w:val="right"/>
        <w:spacing w:line="360" w:lineRule="auto"/>
        <w:rPr>
          <w:color w:val="000000"/>
          <w:szCs w:val="21"/>
        </w:rPr>
        <w:pBdr>
          <w:bottom w:val="single" w:color="auto" w:sz="6" w:space="1"/>
        </w:pBdr>
      </w:pPr>
      <w:r>
        <w:rPr>
          <w:color w:val="000000"/>
          <w:szCs w:val="21"/>
        </w:rPr>
        <w:t xml:space="preserve">                              日  期：</w:t>
      </w:r>
      <w:bookmarkEnd w:id="182"/>
      <w:r/>
      <w:r/>
    </w:p>
    <w:p>
      <w:pPr>
        <w:spacing w:before="62" w:after="62" w:line="360" w:lineRule="auto"/>
        <w:rPr>
          <w:rFonts w:eastAsiaTheme="minorEastAsia"/>
          <w:color w:val="000000"/>
          <w:szCs w:val="21"/>
        </w:rPr>
      </w:pPr>
      <w:r>
        <w:rPr>
          <w:rFonts w:eastAsiaTheme="minorEastAsia"/>
          <w:color w:val="000000"/>
          <w:szCs w:val="21"/>
        </w:rPr>
        <w:t xml:space="preserve">1.产品如有型号，请在“产品名称”栏一并填写。</w:t>
      </w:r>
      <w:r/>
    </w:p>
    <w:p>
      <w:pPr>
        <w:spacing w:before="62" w:after="62" w:line="360" w:lineRule="auto"/>
        <w:rPr>
          <w:rFonts w:eastAsiaTheme="minorEastAsia"/>
          <w:color w:val="000000"/>
          <w:szCs w:val="21"/>
        </w:rPr>
      </w:pPr>
      <w:r>
        <w:rPr>
          <w:rFonts w:eastAsiaTheme="minorEastAsia"/>
          <w:color w:val="000000"/>
          <w:szCs w:val="21"/>
        </w:rPr>
        <w:t xml:space="preserve">2.生产厂名与厂址应与生产厂营业执照载明的相关信息保持一致。</w:t>
      </w:r>
      <w:r/>
    </w:p>
    <w:p>
      <w:pPr>
        <w:spacing w:before="62" w:after="62" w:line="360" w:lineRule="auto"/>
        <w:rPr>
          <w:rFonts w:eastAsiaTheme="minorEastAsia"/>
          <w:color w:val="000000"/>
          <w:szCs w:val="21"/>
        </w:rPr>
      </w:pPr>
      <w:r>
        <w:rPr>
          <w:rFonts w:eastAsiaTheme="minorEastAsia"/>
          <w:color w:val="000000"/>
          <w:szCs w:val="21"/>
        </w:rPr>
        <w:t xml:space="preserve">3.该产品的中国境内生产的组件成本占比相关要求实施前，“规定比例”栏可不填，下同。</w:t>
      </w:r>
      <w:r/>
    </w:p>
    <w:p>
      <w:pPr>
        <w:spacing w:before="62" w:after="62" w:line="360" w:lineRule="auto"/>
        <w:rPr>
          <w:rFonts w:eastAsiaTheme="minorEastAsia"/>
          <w:color w:val="000000"/>
          <w:szCs w:val="21"/>
        </w:rPr>
      </w:pPr>
      <w:r>
        <w:rPr>
          <w:rFonts w:eastAsiaTheme="minorEastAsia"/>
          <w:color w:val="000000"/>
          <w:szCs w:val="21"/>
        </w:rPr>
        <w:t xml:space="preserve">4.该产品的关键组件要求实施前,“关键组件”栏可不填，下同。</w:t>
      </w:r>
      <w:r/>
    </w:p>
    <w:p>
      <w:pPr>
        <w:spacing w:before="62" w:after="62" w:line="360" w:lineRule="auto"/>
        <w:rPr>
          <w:rFonts w:eastAsiaTheme="minorEastAsia"/>
          <w:color w:val="000000"/>
          <w:szCs w:val="21"/>
        </w:rPr>
      </w:pPr>
      <w:r>
        <w:rPr>
          <w:rFonts w:eastAsiaTheme="minorEastAsia"/>
          <w:color w:val="000000"/>
          <w:szCs w:val="21"/>
        </w:rPr>
        <w:t xml:space="preserve">5.该产品的关键工序要求实施前,“关键工序”栏可不填，下同。</w:t>
      </w:r>
      <w:r/>
    </w:p>
    <w:p>
      <w:pPr>
        <w:spacing w:before="62" w:after="62"/>
        <w:rPr>
          <w:rFonts w:eastAsiaTheme="minorEastAsia"/>
          <w:bCs/>
          <w:color w:val="000000"/>
          <w:szCs w:val="21"/>
        </w:rPr>
      </w:pPr>
      <w:r/>
      <w:bookmarkStart w:id="183" w:name="_Hlk218765485"/>
      <w:r>
        <w:rPr>
          <w:rFonts w:eastAsiaTheme="minorEastAsia"/>
          <w:bCs/>
          <w:color w:val="000000"/>
          <w:szCs w:val="21"/>
        </w:rPr>
        <w:t xml:space="preserve">注：1）投标人如不提供此声明函，价格将不做相应扣除。 </w:t>
      </w:r>
      <w:r/>
    </w:p>
    <w:p>
      <w:pPr>
        <w:ind w:left="420" w:right="597"/>
        <w:spacing w:before="232" w:line="360" w:lineRule="auto"/>
        <w:rPr>
          <w:rFonts w:eastAsiaTheme="minorEastAsia"/>
          <w:color w:val="000000"/>
          <w:spacing w:val="6"/>
          <w:szCs w:val="21"/>
        </w:rPr>
        <w:sectPr>
          <w:footerReference w:type="default" r:id="rId18"/>
          <w:footnotePr/>
          <w:endnotePr/>
          <w:type w:val="nextPage"/>
          <w:pgSz w:w="11906" w:h="16838" w:orient="portrait"/>
          <w:pgMar w:top="1134" w:right="1134" w:bottom="1083" w:left="1134" w:header="850" w:footer="992" w:gutter="0"/>
          <w:cols w:num="1" w:sep="0" w:space="720" w:equalWidth="1"/>
          <w:docGrid w:linePitch="360"/>
        </w:sectPr>
      </w:pPr>
      <w:r>
        <w:rPr>
          <w:rFonts w:eastAsiaTheme="minorEastAsia"/>
          <w:bCs/>
          <w:color w:val="000000"/>
          <w:szCs w:val="21"/>
        </w:rPr>
        <w:t xml:space="preserve">2）此声明函将随中标结果同时公告，接受社会监督。</w:t>
      </w:r>
      <w:bookmarkEnd w:id="183"/>
      <w:r/>
      <w:r/>
    </w:p>
    <w:p>
      <w:pPr>
        <w:spacing w:line="360" w:lineRule="auto"/>
        <w:rPr>
          <w:b/>
          <w:bCs/>
        </w:rPr>
        <w:outlineLvl w:val="1"/>
      </w:pPr>
      <w:r/>
      <w:bookmarkStart w:id="184" w:name="_Toc27256"/>
      <w:r/>
      <w:bookmarkStart w:id="185" w:name="_Toc14428"/>
      <w:r/>
      <w:bookmarkStart w:id="186" w:name="_Toc3177"/>
      <w:r/>
      <w:bookmarkStart w:id="187" w:name="_Toc231822753"/>
      <w:r/>
      <w:bookmarkStart w:id="188" w:name="_Toc113527858"/>
      <w:r>
        <w:rPr>
          <w:b/>
          <w:bCs/>
          <w:lang w:val="zh-CN"/>
        </w:rPr>
        <w:t xml:space="preserve">附件</w:t>
      </w:r>
      <w:r>
        <w:rPr>
          <w:b/>
          <w:bCs/>
        </w:rPr>
        <w:t xml:space="preserve">九</w:t>
      </w:r>
      <w:r>
        <w:rPr>
          <w:b/>
          <w:bCs/>
          <w:lang w:val="zh-CN"/>
        </w:rPr>
        <w:t xml:space="preserve"> 资格</w:t>
      </w:r>
      <w:bookmarkEnd w:id="184"/>
      <w:r/>
      <w:bookmarkEnd w:id="185"/>
      <w:r>
        <w:rPr>
          <w:b/>
          <w:bCs/>
          <w:lang w:val="zh-CN"/>
        </w:rPr>
        <w:t xml:space="preserve">证明文件</w:t>
      </w:r>
      <w:bookmarkEnd w:id="186"/>
      <w:r/>
      <w:bookmarkEnd w:id="187"/>
      <w:r/>
      <w:bookmarkEnd w:id="188"/>
      <w:r/>
      <w:r/>
    </w:p>
    <w:p>
      <w:pPr>
        <w:spacing w:line="360" w:lineRule="auto"/>
        <w:rPr>
          <w:b/>
          <w:bCs/>
          <w:lang w:val="zh-CN"/>
        </w:rPr>
      </w:pPr>
      <w:r/>
      <w:bookmarkStart w:id="189" w:name="_Toc113527859"/>
      <w:r/>
      <w:bookmarkStart w:id="190" w:name="_Toc231820646"/>
      <w:r/>
      <w:bookmarkStart w:id="191" w:name="_Toc12234"/>
      <w:r/>
      <w:bookmarkStart w:id="192" w:name="_Toc4916"/>
      <w:r/>
      <w:bookmarkStart w:id="193" w:name="_Toc13646"/>
      <w:r>
        <w:rPr>
          <w:b/>
          <w:bCs/>
          <w:lang w:val="zh-CN"/>
        </w:rPr>
        <w:t xml:space="preserve">1、法人或其他组织的营业执照等证明文件（复印件加盖公章）</w:t>
      </w:r>
      <w:bookmarkEnd w:id="189"/>
      <w:r/>
      <w:bookmarkEnd w:id="190"/>
      <w:r/>
      <w:bookmarkEnd w:id="191"/>
      <w:r/>
      <w:bookmarkEnd w:id="192"/>
      <w:r/>
      <w:bookmarkEnd w:id="193"/>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jc w:val="left"/>
        <w:spacing w:line="360" w:lineRule="auto"/>
        <w:rPr>
          <w:b/>
          <w:bCs/>
          <w:color w:val="000000"/>
          <w:szCs w:val="21"/>
          <w:lang w:val="zh-CN"/>
        </w:rPr>
        <w:sectPr>
          <w:footnotePr/>
          <w:endnotePr/>
          <w:type w:val="nextPage"/>
          <w:pgSz w:w="11906" w:h="16838" w:orient="portrait"/>
          <w:pgMar w:top="1134" w:right="1134" w:bottom="1083" w:left="1134" w:header="851" w:footer="992" w:gutter="0"/>
          <w:cols w:num="1" w:sep="0" w:space="720" w:equalWidth="1"/>
          <w:docGrid w:linePitch="360"/>
        </w:sectPr>
        <w:outlineLvl w:val="2"/>
      </w:pPr>
      <w:r>
        <w:rPr>
          <w:b/>
          <w:bCs/>
          <w:color w:val="000000"/>
          <w:szCs w:val="21"/>
          <w:lang w:val="zh-CN"/>
        </w:rPr>
      </w:r>
      <w:r/>
    </w:p>
    <w:p>
      <w:pPr>
        <w:spacing w:line="360" w:lineRule="auto"/>
        <w:rPr>
          <w:b/>
          <w:bCs/>
          <w:color w:val="000000"/>
          <w:szCs w:val="21"/>
          <w:lang w:val="zh-CN"/>
        </w:rPr>
      </w:pPr>
      <w:r/>
      <w:bookmarkStart w:id="194" w:name="_Toc24535"/>
      <w:r/>
      <w:bookmarkStart w:id="195" w:name="_Toc26588"/>
      <w:r/>
      <w:bookmarkStart w:id="196" w:name="_Toc1205"/>
      <w:r/>
      <w:bookmarkStart w:id="197" w:name="_Toc231820647"/>
      <w:r>
        <w:rPr>
          <w:b/>
          <w:bCs/>
          <w:lang w:val="zh-CN"/>
        </w:rPr>
        <w:t xml:space="preserve">2、法人代表授权书</w:t>
      </w:r>
      <w:bookmarkEnd w:id="194"/>
      <w:r/>
      <w:bookmarkEnd w:id="195"/>
      <w:r/>
      <w:bookmarkEnd w:id="196"/>
      <w:r>
        <w:rPr>
          <w:b/>
          <w:bCs/>
        </w:rPr>
        <w:t xml:space="preserve">（如果是法定代表人直接参与投标的可以不提供授权书，但须提供法定代表人身份证复印件</w:t>
      </w:r>
      <w:r>
        <w:rPr>
          <w:b/>
          <w:bCs/>
          <w:szCs w:val="21"/>
        </w:rPr>
        <w:t xml:space="preserve">）</w:t>
      </w:r>
      <w:bookmarkEnd w:id="197"/>
      <w:r/>
      <w:r/>
    </w:p>
    <w:p>
      <w:pPr>
        <w:spacing w:line="360" w:lineRule="auto"/>
        <w:rPr>
          <w:b/>
          <w:color w:val="000000"/>
          <w:szCs w:val="21"/>
        </w:rPr>
      </w:pPr>
      <w:r>
        <w:rPr>
          <w:b/>
          <w:color w:val="000000"/>
          <w:szCs w:val="21"/>
        </w:rPr>
        <w:t xml:space="preserve">致江苏美达机电贸易有限公司：</w:t>
      </w:r>
      <w:r/>
    </w:p>
    <w:p>
      <w:pPr>
        <w:spacing w:line="360" w:lineRule="auto"/>
        <w:rPr>
          <w:color w:val="000000"/>
          <w:szCs w:val="21"/>
        </w:rPr>
      </w:pPr>
      <w:r>
        <w:rPr>
          <w:b/>
          <w:color w:val="000000"/>
          <w:szCs w:val="21"/>
        </w:rPr>
        <w:t xml:space="preserve">   </w:t>
      </w:r>
      <w:r>
        <w:rPr>
          <w:color w:val="000000"/>
          <w:szCs w:val="21"/>
        </w:rPr>
        <w:t xml:space="preserve">本授权委托书声明：注册于</w:t>
      </w:r>
      <w:r>
        <w:rPr>
          <w:color w:val="000000"/>
          <w:szCs w:val="21"/>
          <w:u w:val="single"/>
        </w:rPr>
        <w:t xml:space="preserve">                </w:t>
      </w:r>
      <w:r>
        <w:rPr>
          <w:color w:val="000000"/>
          <w:szCs w:val="21"/>
        </w:rPr>
        <w:t xml:space="preserve">（供应商住址）的</w:t>
      </w:r>
      <w:r>
        <w:rPr>
          <w:b/>
          <w:color w:val="000000"/>
          <w:szCs w:val="21"/>
          <w:u w:val="single"/>
        </w:rPr>
        <w:t xml:space="preserve">              </w:t>
      </w:r>
      <w:r>
        <w:rPr>
          <w:color w:val="000000"/>
          <w:szCs w:val="21"/>
        </w:rPr>
        <w:t xml:space="preserve">（供应商名称）法定代表人</w:t>
      </w:r>
      <w:r>
        <w:rPr>
          <w:color w:val="000000"/>
          <w:szCs w:val="21"/>
          <w:u w:val="single"/>
        </w:rPr>
        <w:t xml:space="preserve"> </w:t>
      </w:r>
      <w:r>
        <w:rPr>
          <w:b/>
          <w:color w:val="000000"/>
          <w:szCs w:val="21"/>
          <w:u w:val="single"/>
        </w:rPr>
        <w:t xml:space="preserve">          </w:t>
      </w:r>
      <w:r>
        <w:rPr>
          <w:color w:val="000000"/>
          <w:szCs w:val="21"/>
        </w:rPr>
        <w:t xml:space="preserve">（法定代表人姓名、职务）代表本公司授权在下面签字的</w:t>
      </w:r>
      <w:r>
        <w:rPr>
          <w:color w:val="000000"/>
          <w:szCs w:val="21"/>
          <w:u w:val="single"/>
        </w:rPr>
        <w:t xml:space="preserve">         </w:t>
      </w:r>
      <w:r>
        <w:rPr>
          <w:color w:val="000000"/>
          <w:szCs w:val="21"/>
        </w:rPr>
        <w:t xml:space="preserve">（供应商代表姓名、职务）为本公司的合法代理人，就贵方组织的</w:t>
      </w:r>
      <w:r>
        <w:rPr>
          <w:color w:val="000000"/>
          <w:szCs w:val="21"/>
          <w:u w:val="single"/>
        </w:rPr>
        <w:t xml:space="preserve">         </w:t>
      </w:r>
      <w:r>
        <w:rPr>
          <w:color w:val="000000"/>
          <w:szCs w:val="21"/>
        </w:rPr>
        <w:t xml:space="preserve">（项目名称）</w:t>
      </w:r>
      <w:r>
        <w:rPr>
          <w:color w:val="000000"/>
          <w:szCs w:val="21"/>
          <w:u w:val="single"/>
        </w:rPr>
        <w:t xml:space="preserve">            </w:t>
      </w:r>
      <w:r>
        <w:rPr>
          <w:color w:val="000000"/>
          <w:szCs w:val="21"/>
        </w:rPr>
        <w:t xml:space="preserve">（项目编号）投标，以本公司名义处理一切与之有关的事务。</w:t>
      </w:r>
      <w:r/>
    </w:p>
    <w:p>
      <w:pPr>
        <w:ind w:firstLine="420"/>
        <w:jc w:val="left"/>
        <w:spacing w:line="360" w:lineRule="auto"/>
        <w:shd w:val="clear" w:color="auto" w:fill="ffffff"/>
        <w:widowControl/>
        <w:rPr>
          <w:color w:val="000000"/>
          <w:szCs w:val="21"/>
        </w:rPr>
      </w:pPr>
      <w:r>
        <w:rPr>
          <w:color w:val="000000"/>
          <w:szCs w:val="21"/>
        </w:rPr>
        <w:t xml:space="preserve">本授权书于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日生效，特此声明。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 </w:t>
      </w:r>
      <w:r/>
    </w:p>
    <w:p>
      <w:pPr>
        <w:spacing w:line="360" w:lineRule="auto"/>
        <w:rPr>
          <w:color w:val="000000"/>
          <w:szCs w:val="21"/>
        </w:rPr>
      </w:pPr>
      <w:r>
        <w:rPr>
          <w:color w:val="000000"/>
          <w:szCs w:val="21"/>
        </w:rPr>
        <w:t xml:space="preserve">供应商名称（公章）： </w:t>
      </w:r>
      <w:r/>
    </w:p>
    <w:p>
      <w:pPr>
        <w:spacing w:line="360" w:lineRule="auto"/>
        <w:rPr>
          <w:color w:val="000000"/>
          <w:szCs w:val="21"/>
        </w:rPr>
      </w:pPr>
      <w:r>
        <w:rPr>
          <w:color w:val="000000"/>
          <w:szCs w:val="21"/>
        </w:rPr>
        <w:t xml:space="preserve">日期：</w:t>
      </w:r>
      <w:r/>
    </w:p>
    <w:p>
      <w:pPr>
        <w:spacing w:line="360" w:lineRule="auto"/>
        <w:rPr>
          <w:b/>
          <w:color w:val="000000"/>
          <w:szCs w:val="21"/>
        </w:rPr>
      </w:pPr>
      <w:r>
        <w:rPr>
          <w:color w:val="000000"/>
          <w:szCs w:val="21"/>
        </w:rPr>
        <w:t xml:space="preserve"> </w:t>
      </w:r>
      <w:r/>
    </w:p>
    <w:p>
      <w:pPr>
        <w:spacing w:line="360" w:lineRule="auto"/>
        <w:rPr>
          <w:b/>
          <w:bCs/>
          <w:color w:val="000000"/>
          <w:szCs w:val="21"/>
        </w:rPr>
      </w:pPr>
      <w:r>
        <w:rPr>
          <w:b/>
          <w:bCs/>
          <w:color w:val="000000"/>
          <w:szCs w:val="21"/>
        </w:rPr>
        <w:t xml:space="preserve">附：法定代表人、供应商授权代表的身份证复印件</w:t>
      </w:r>
      <w:r/>
    </w:p>
    <w:tbl>
      <w:tblPr>
        <w:tblStyle w:val="1405"/>
        <w:tblW w:w="985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textDirection w:val="lrTb"/>
            <w:noWrap w:val="false"/>
          </w:tcPr>
          <w:p>
            <w:pPr>
              <w:spacing w:line="360" w:lineRule="auto"/>
              <w:rPr>
                <w:b/>
                <w:color w:val="000000"/>
                <w:szCs w:val="21"/>
              </w:rPr>
            </w:pPr>
            <w:r>
              <w:rPr>
                <w:b/>
                <w:color w:val="000000"/>
                <w:szCs w:val="21"/>
              </w:rPr>
            </w:r>
            <w:r/>
          </w:p>
        </w:tc>
      </w:tr>
    </w:tbl>
    <w:p>
      <w:pPr>
        <w:ind w:right="-5"/>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198" w:name="_Toc3499"/>
      <w:r/>
      <w:bookmarkStart w:id="199" w:name="_Toc231820648"/>
      <w:r/>
      <w:bookmarkStart w:id="200" w:name="_Toc1910"/>
      <w:r/>
      <w:bookmarkStart w:id="201" w:name="_Toc8662"/>
      <w:r>
        <w:rPr>
          <w:b/>
          <w:bCs/>
        </w:rPr>
        <w:t xml:space="preserve">3、制造商授权书（如需）</w:t>
      </w:r>
      <w:bookmarkEnd w:id="198"/>
      <w:r/>
      <w:bookmarkEnd w:id="199"/>
      <w:r/>
      <w:bookmarkEnd w:id="200"/>
      <w:r/>
      <w:bookmarkEnd w:id="201"/>
      <w:r/>
      <w:r/>
    </w:p>
    <w:p>
      <w:pPr>
        <w:spacing w:line="360" w:lineRule="auto"/>
        <w:rPr>
          <w:b/>
          <w:color w:val="000000"/>
          <w:szCs w:val="21"/>
        </w:rPr>
      </w:pPr>
      <w:r>
        <w:rPr>
          <w:color w:val="000000"/>
          <w:szCs w:val="21"/>
        </w:rPr>
        <w:t xml:space="preserve">致：</w:t>
      </w:r>
      <w:r>
        <w:rPr>
          <w:color w:val="000000"/>
          <w:szCs w:val="21"/>
          <w:u w:val="single"/>
        </w:rPr>
        <w:t xml:space="preserve">                </w:t>
      </w:r>
      <w:r>
        <w:rPr>
          <w:color w:val="000000"/>
          <w:szCs w:val="21"/>
        </w:rPr>
        <w:t xml:space="preserve"> （采购代理机构）</w:t>
      </w:r>
      <w:r/>
    </w:p>
    <w:p>
      <w:pPr>
        <w:ind w:firstLine="420"/>
        <w:spacing w:line="360" w:lineRule="auto"/>
        <w:rPr>
          <w:color w:val="000000"/>
          <w:szCs w:val="21"/>
        </w:rPr>
      </w:pPr>
      <w:r>
        <w:rPr>
          <w:color w:val="000000"/>
          <w:szCs w:val="21"/>
        </w:rPr>
        <w:t xml:space="preserve">我们 </w:t>
      </w:r>
      <w:r>
        <w:rPr>
          <w:color w:val="000000"/>
          <w:szCs w:val="21"/>
          <w:u w:val="single"/>
        </w:rPr>
        <w:t xml:space="preserve">            </w:t>
      </w:r>
      <w:r>
        <w:rPr>
          <w:color w:val="000000"/>
          <w:szCs w:val="21"/>
        </w:rPr>
        <w:t xml:space="preserve">（制造商名称）是按</w:t>
      </w:r>
      <w:r>
        <w:rPr>
          <w:color w:val="000000"/>
          <w:szCs w:val="21"/>
          <w:u w:val="single"/>
        </w:rPr>
        <w:t xml:space="preserve">    </w:t>
      </w:r>
      <w:r>
        <w:rPr>
          <w:color w:val="000000"/>
          <w:szCs w:val="21"/>
        </w:rPr>
        <w:t xml:space="preserve">（国家名称）法律成立的一家制造商，主要营业地点设在 </w:t>
      </w:r>
      <w:r>
        <w:rPr>
          <w:color w:val="000000"/>
          <w:szCs w:val="21"/>
          <w:u w:val="single"/>
        </w:rPr>
        <w:t xml:space="preserve">          </w:t>
      </w:r>
      <w:r>
        <w:rPr>
          <w:color w:val="000000"/>
          <w:szCs w:val="21"/>
        </w:rPr>
        <w:t xml:space="preserve">（制造商地址）。兹指派按</w:t>
      </w:r>
      <w:r>
        <w:rPr>
          <w:color w:val="000000"/>
          <w:szCs w:val="21"/>
          <w:u w:val="single"/>
        </w:rPr>
        <w:t xml:space="preserve">     </w:t>
      </w:r>
      <w:r>
        <w:rPr>
          <w:color w:val="000000"/>
          <w:szCs w:val="21"/>
        </w:rPr>
        <w:t xml:space="preserve">（国家名称）的法律正式成立的，主要营业地点设在</w:t>
      </w:r>
      <w:r>
        <w:rPr>
          <w:color w:val="000000"/>
          <w:szCs w:val="21"/>
          <w:u w:val="single"/>
        </w:rPr>
        <w:t xml:space="preserve">      </w:t>
      </w:r>
      <w:r>
        <w:rPr>
          <w:color w:val="000000"/>
          <w:szCs w:val="21"/>
        </w:rPr>
        <w:t xml:space="preserve">（贸易公司地址）的 </w:t>
      </w:r>
      <w:r>
        <w:rPr>
          <w:color w:val="000000"/>
          <w:szCs w:val="21"/>
          <w:u w:val="single"/>
        </w:rPr>
        <w:t xml:space="preserve">            </w:t>
      </w:r>
      <w:r>
        <w:rPr>
          <w:color w:val="000000"/>
          <w:szCs w:val="21"/>
        </w:rPr>
        <w:t xml:space="preserve">（贸易公司名称）作为我方真正的和合法的代理人进行下列有效的活动：</w:t>
      </w:r>
      <w:r/>
    </w:p>
    <w:p>
      <w:pPr>
        <w:ind w:firstLine="420"/>
        <w:spacing w:line="360" w:lineRule="auto"/>
        <w:rPr>
          <w:color w:val="000000"/>
          <w:szCs w:val="21"/>
        </w:rPr>
      </w:pPr>
      <w:r>
        <w:rPr>
          <w:color w:val="000000"/>
          <w:szCs w:val="21"/>
        </w:rPr>
        <w:t xml:space="preserve">代表我方在中华人民共和国办理贵方第</w:t>
      </w:r>
      <w:r>
        <w:rPr>
          <w:color w:val="000000"/>
          <w:szCs w:val="21"/>
          <w:u w:val="single"/>
        </w:rPr>
        <w:t xml:space="preserve">     </w:t>
      </w:r>
      <w:r>
        <w:rPr>
          <w:color w:val="000000"/>
          <w:szCs w:val="21"/>
        </w:rPr>
        <w:t xml:space="preserve">号竞争性磋商要求提供的由我方制造的产品的有关事宜，并对我方具有约束力。</w:t>
      </w:r>
      <w:r/>
    </w:p>
    <w:p>
      <w:pPr>
        <w:ind w:firstLine="420"/>
        <w:spacing w:line="360" w:lineRule="auto"/>
        <w:rPr>
          <w:color w:val="000000"/>
          <w:szCs w:val="21"/>
        </w:rPr>
      </w:pPr>
      <w:r>
        <w:rPr>
          <w:color w:val="000000"/>
          <w:szCs w:val="21"/>
        </w:rPr>
        <w:t xml:space="preserve">作为制造商，我方保证以公开投标合作者来约束自己，并对该公开投标共同和分别承担响应文件中所规定的义务。</w:t>
      </w:r>
      <w:r/>
    </w:p>
    <w:p>
      <w:pPr>
        <w:ind w:firstLine="420"/>
        <w:spacing w:line="360" w:lineRule="auto"/>
        <w:rPr>
          <w:color w:val="000000"/>
          <w:szCs w:val="21"/>
        </w:rPr>
      </w:pPr>
      <w:r>
        <w:rPr>
          <w:color w:val="000000"/>
          <w:szCs w:val="21"/>
        </w:rPr>
        <w:t xml:space="preserve">我方兹授予</w:t>
      </w:r>
      <w:r>
        <w:rPr>
          <w:color w:val="000000"/>
          <w:szCs w:val="21"/>
          <w:u w:val="single"/>
        </w:rPr>
        <w:t xml:space="preserve">          </w:t>
      </w:r>
      <w:r>
        <w:rPr>
          <w:color w:val="000000"/>
          <w:szCs w:val="21"/>
        </w:rPr>
        <w:t xml:space="preserve">（贸易公司名称）全权办理和履行上述我方为完成上述各点所必须的事宜，具有替换或撤销的全权。兹确认</w:t>
      </w:r>
      <w:r>
        <w:rPr>
          <w:color w:val="000000"/>
          <w:szCs w:val="21"/>
          <w:u w:val="single"/>
        </w:rPr>
        <w:t xml:space="preserve">           </w:t>
      </w:r>
      <w:r>
        <w:rPr>
          <w:color w:val="000000"/>
          <w:szCs w:val="21"/>
        </w:rPr>
        <w:t xml:space="preserve"> （贸易公司名称）或其正式授权代表依此合法地办理一切事宜。</w:t>
      </w:r>
      <w:r/>
    </w:p>
    <w:p>
      <w:pPr>
        <w:ind w:firstLine="480"/>
        <w:spacing w:line="360" w:lineRule="auto"/>
        <w:rPr>
          <w:color w:val="000000"/>
          <w:szCs w:val="21"/>
        </w:rPr>
      </w:pPr>
      <w:r>
        <w:rPr>
          <w:color w:val="000000"/>
          <w:szCs w:val="21"/>
        </w:rPr>
        <w:t xml:space="preserve">我方于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日签署本文件，</w:t>
      </w:r>
      <w:r>
        <w:rPr>
          <w:color w:val="000000"/>
          <w:szCs w:val="21"/>
          <w:u w:val="single"/>
        </w:rPr>
        <w:t xml:space="preserve">          </w:t>
      </w:r>
      <w:r>
        <w:rPr>
          <w:color w:val="000000"/>
          <w:szCs w:val="21"/>
        </w:rPr>
        <w:t xml:space="preserve">（贸易公司名称）于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日接受此件，以此为证。</w:t>
      </w:r>
      <w:r/>
    </w:p>
    <w:p>
      <w:pPr>
        <w:ind w:firstLine="480"/>
        <w:spacing w:line="360" w:lineRule="auto"/>
        <w:rPr>
          <w:color w:val="000000"/>
          <w:szCs w:val="21"/>
        </w:rPr>
      </w:pPr>
      <w:r>
        <w:rPr>
          <w:color w:val="000000"/>
          <w:szCs w:val="21"/>
        </w:rPr>
      </w:r>
      <w:r/>
    </w:p>
    <w:p>
      <w:pPr>
        <w:spacing w:line="360" w:lineRule="auto"/>
        <w:rPr>
          <w:b/>
          <w:color w:val="000000"/>
          <w:szCs w:val="21"/>
        </w:rPr>
      </w:pPr>
      <w:r>
        <w:rPr>
          <w:color w:val="000000"/>
          <w:szCs w:val="21"/>
        </w:rPr>
        <w:t xml:space="preserve">制造商名称</w:t>
      </w:r>
      <w:r>
        <w:rPr>
          <w:color w:val="000000"/>
          <w:szCs w:val="21"/>
          <w:u w:val="single"/>
        </w:rPr>
        <w:t xml:space="preserve">         </w:t>
      </w:r>
      <w:r>
        <w:rPr>
          <w:b/>
          <w:color w:val="000000"/>
          <w:szCs w:val="21"/>
        </w:rPr>
        <w:t xml:space="preserve">（盖章）</w:t>
      </w:r>
      <w:r/>
    </w:p>
    <w:p>
      <w:pPr>
        <w:spacing w:line="360" w:lineRule="auto"/>
        <w:rPr>
          <w:b/>
          <w:bCs/>
          <w:color w:val="000000"/>
          <w:szCs w:val="21"/>
        </w:rPr>
      </w:pPr>
      <w:r>
        <w:rPr>
          <w:color w:val="000000"/>
          <w:szCs w:val="21"/>
        </w:rPr>
        <w:t xml:space="preserve">签字人姓名</w:t>
      </w:r>
      <w:r>
        <w:rPr>
          <w:color w:val="000000"/>
          <w:szCs w:val="21"/>
          <w:u w:val="single"/>
        </w:rPr>
        <w:t xml:space="preserve">         </w:t>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202" w:name="_Toc19702"/>
      <w:r/>
      <w:bookmarkStart w:id="203" w:name="_Toc24273"/>
      <w:r/>
      <w:bookmarkStart w:id="204" w:name="_Toc3078"/>
      <w:r/>
      <w:bookmarkStart w:id="205" w:name="_Toc113527862"/>
      <w:r/>
      <w:bookmarkStart w:id="206" w:name="_Toc231820649"/>
      <w:r>
        <w:rPr>
          <w:b/>
          <w:bCs/>
        </w:rPr>
        <w:t xml:space="preserve">4、具有良好的商业信誉和健全的财务会计制度</w:t>
      </w:r>
      <w:bookmarkEnd w:id="202"/>
      <w:r/>
      <w:bookmarkEnd w:id="203"/>
      <w:r/>
      <w:bookmarkEnd w:id="204"/>
      <w:r/>
      <w:bookmarkEnd w:id="205"/>
      <w:r/>
      <w:bookmarkEnd w:id="206"/>
      <w:r/>
      <w:r/>
    </w:p>
    <w:p>
      <w:pPr>
        <w:ind w:left="-2" w:right="-5"/>
        <w:spacing w:line="360" w:lineRule="auto"/>
        <w:rPr>
          <w:color w:val="000000"/>
          <w:szCs w:val="21"/>
        </w:rPr>
      </w:pPr>
      <w:r>
        <w:rPr>
          <w:color w:val="000000"/>
          <w:szCs w:val="21"/>
        </w:rPr>
      </w:r>
      <w:r/>
    </w:p>
    <w:p>
      <w:pPr>
        <w:jc w:val="left"/>
        <w:spacing w:line="360" w:lineRule="auto"/>
        <w:rPr>
          <w:color w:val="000000"/>
          <w:szCs w:val="21"/>
          <w:lang w:val="zh-CN"/>
        </w:rPr>
      </w:pPr>
      <w:r>
        <w:rPr>
          <w:szCs w:val="21"/>
        </w:rPr>
        <w:t xml:space="preserve">提供距开标时间十二个月内任意一月份的财务状况报告（至少包括资产负债表和利润表）（法人或者其他组织成立未满三个月的可以不提供）或其银行出具的资信证书（复印件）（开标前十二个月内），或其上一年度经审计的财务报告复印件，加盖公章</w:t>
      </w:r>
      <w:r>
        <w:rPr>
          <w:color w:val="000000"/>
          <w:szCs w:val="21"/>
          <w:lang w:val="zh-CN"/>
        </w:rPr>
        <w:t xml:space="preserve">。</w:t>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ind w:right="-5"/>
        <w:spacing w:line="360" w:lineRule="auto"/>
        <w:rPr>
          <w:color w:val="000000"/>
          <w:szCs w:val="21"/>
        </w:rPr>
      </w:pPr>
      <w:r>
        <w:rPr>
          <w:color w:val="000000"/>
          <w:szCs w:val="21"/>
        </w:rPr>
      </w:r>
      <w:r/>
    </w:p>
    <w:p>
      <w:pPr>
        <w:ind w:right="-5"/>
        <w:spacing w:line="360" w:lineRule="auto"/>
        <w:rPr>
          <w:color w:val="000000"/>
          <w:szCs w:val="21"/>
        </w:rPr>
      </w:pPr>
      <w:r>
        <w:rPr>
          <w:color w:val="000000"/>
          <w:szCs w:val="21"/>
        </w:rPr>
      </w:r>
      <w:r/>
    </w:p>
    <w:p>
      <w:pPr>
        <w:jc w:val="left"/>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207" w:name="_Toc15262"/>
      <w:r/>
      <w:bookmarkStart w:id="208" w:name="_Toc113527863"/>
      <w:r/>
      <w:bookmarkStart w:id="209" w:name="_Toc231820650"/>
      <w:r/>
      <w:bookmarkStart w:id="210" w:name="_Toc385"/>
      <w:r/>
      <w:bookmarkStart w:id="211" w:name="_Toc23961"/>
      <w:r>
        <w:rPr>
          <w:b/>
          <w:bCs/>
        </w:rPr>
        <w:t xml:space="preserve">5、具有履行合同所必需的设备和专业技术能力</w:t>
      </w:r>
      <w:bookmarkEnd w:id="207"/>
      <w:r/>
      <w:bookmarkEnd w:id="208"/>
      <w:r/>
      <w:bookmarkEnd w:id="209"/>
      <w:r/>
      <w:bookmarkEnd w:id="210"/>
      <w:r/>
      <w:bookmarkEnd w:id="211"/>
      <w:r/>
      <w:r/>
    </w:p>
    <w:p>
      <w:pPr>
        <w:jc w:val="left"/>
        <w:spacing w:line="360" w:lineRule="auto"/>
        <w:rPr>
          <w:color w:val="000000"/>
          <w:szCs w:val="21"/>
        </w:rPr>
      </w:pPr>
      <w:r>
        <w:rPr>
          <w:color w:val="000000"/>
          <w:szCs w:val="21"/>
        </w:rPr>
        <w:t xml:space="preserve">根据项目需求提供履行合同所必需的设备和专业技术能力的证明材料或相关加盖公章的承诺函，承诺函自行编写。</w:t>
      </w:r>
      <w:r/>
    </w:p>
    <w:p>
      <w:pPr>
        <w:jc w:val="left"/>
        <w:spacing w:line="360" w:lineRule="auto"/>
        <w:rPr>
          <w:color w:val="000000"/>
          <w:szCs w:val="21"/>
        </w:rPr>
      </w:pPr>
      <w:r>
        <w:rPr>
          <w:color w:val="000000"/>
          <w:szCs w:val="21"/>
        </w:rPr>
      </w:r>
      <w:r/>
    </w:p>
    <w:p>
      <w:pPr>
        <w:jc w:val="left"/>
        <w:widowControl/>
      </w:pPr>
      <w:r>
        <w:rPr>
          <w:color w:val="000000"/>
          <w:sz w:val="20"/>
        </w:rPr>
        <w:t xml:space="preserve">承诺函参考格式： </w:t>
      </w:r>
      <w:r/>
    </w:p>
    <w:p>
      <w:pPr>
        <w:jc w:val="left"/>
        <w:widowControl/>
        <w:rPr>
          <w:b/>
          <w:bCs/>
          <w:color w:val="000000"/>
          <w:sz w:val="20"/>
        </w:rPr>
      </w:pPr>
      <w:r>
        <w:rPr>
          <w:b/>
          <w:bCs/>
          <w:color w:val="000000"/>
          <w:sz w:val="20"/>
        </w:rPr>
      </w:r>
      <w:r/>
    </w:p>
    <w:p>
      <w:pPr>
        <w:jc w:val="center"/>
        <w:widowControl/>
        <w:rPr>
          <w:b/>
          <w:bCs/>
          <w:color w:val="000000"/>
          <w:sz w:val="20"/>
        </w:rPr>
      </w:pPr>
      <w:r>
        <w:rPr>
          <w:b/>
          <w:bCs/>
          <w:color w:val="000000"/>
          <w:sz w:val="20"/>
        </w:rPr>
      </w:r>
      <w:r/>
    </w:p>
    <w:p>
      <w:pPr>
        <w:jc w:val="center"/>
        <w:widowControl/>
        <w:rPr>
          <w:b/>
          <w:bCs/>
          <w:color w:val="000000"/>
          <w:sz w:val="20"/>
        </w:rPr>
      </w:pPr>
      <w:r>
        <w:rPr>
          <w:b/>
          <w:bCs/>
          <w:color w:val="000000"/>
          <w:sz w:val="20"/>
        </w:rPr>
        <w:t xml:space="preserve">承诺函</w:t>
      </w:r>
      <w:r/>
    </w:p>
    <w:p>
      <w:pPr>
        <w:ind w:left="420" w:firstLine="420"/>
        <w:spacing w:after="120"/>
        <w:rPr>
          <w:b/>
          <w:bCs/>
          <w:color w:val="000000"/>
          <w:sz w:val="20"/>
        </w:rPr>
      </w:pPr>
      <w:r>
        <w:rPr>
          <w:b/>
          <w:bCs/>
          <w:color w:val="000000"/>
          <w:sz w:val="20"/>
        </w:rPr>
      </w:r>
      <w:r/>
    </w:p>
    <w:p>
      <w:pPr>
        <w:jc w:val="center"/>
        <w:widowControl/>
      </w:pPr>
      <w:r>
        <w:rPr>
          <w:color w:val="000000"/>
          <w:sz w:val="20"/>
        </w:rPr>
        <w:t xml:space="preserve">我单位承诺：具有履行合同所必需的设备和专业技术能力。</w:t>
      </w:r>
      <w:r/>
    </w:p>
    <w:p>
      <w:pPr>
        <w:jc w:val="left"/>
        <w:spacing w:line="360" w:lineRule="auto"/>
        <w:rPr>
          <w:color w:val="000000"/>
          <w:szCs w:val="21"/>
        </w:rPr>
      </w:pPr>
      <w:r>
        <w:rPr>
          <w:color w:val="000000"/>
          <w:szCs w:val="21"/>
        </w:rPr>
      </w:r>
      <w:r/>
    </w:p>
    <w:p>
      <w:pPr>
        <w:jc w:val="left"/>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jc w:val="left"/>
        <w:spacing w:line="360" w:lineRule="auto"/>
        <w:rPr>
          <w:color w:val="000000"/>
          <w:szCs w:val="21"/>
        </w:rPr>
      </w:pPr>
      <w:r>
        <w:rPr>
          <w:color w:val="000000"/>
          <w:szCs w:val="21"/>
        </w:rPr>
      </w:r>
      <w:r/>
    </w:p>
    <w:p>
      <w:pPr>
        <w:jc w:val="left"/>
        <w:spacing w:line="360" w:lineRule="auto"/>
        <w:rPr>
          <w:color w:val="000000"/>
          <w:szCs w:val="21"/>
        </w:rPr>
      </w:pPr>
      <w:r>
        <w:rPr>
          <w:color w:val="000000"/>
          <w:szCs w:val="21"/>
        </w:rPr>
      </w:r>
      <w:r/>
    </w:p>
    <w:p>
      <w:pPr>
        <w:jc w:val="left"/>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212" w:name="_Toc1099"/>
      <w:r/>
      <w:bookmarkStart w:id="213" w:name="_Toc231820651"/>
      <w:r/>
      <w:bookmarkStart w:id="214" w:name="_Toc17836"/>
      <w:r/>
      <w:bookmarkStart w:id="215" w:name="_Toc113527864"/>
      <w:r/>
      <w:bookmarkStart w:id="216" w:name="_Toc18889"/>
      <w:r>
        <w:rPr>
          <w:b/>
          <w:bCs/>
        </w:rPr>
        <w:t xml:space="preserve">6、参加政府采购活动近三年内（成立时间不足三年的、自成立时间起），在经营活动中没有重大违法记录</w:t>
      </w:r>
      <w:bookmarkEnd w:id="212"/>
      <w:r/>
      <w:bookmarkEnd w:id="213"/>
      <w:r/>
      <w:bookmarkEnd w:id="214"/>
      <w:r/>
      <w:bookmarkEnd w:id="215"/>
      <w:r/>
      <w:bookmarkEnd w:id="216"/>
      <w:r/>
      <w:r/>
    </w:p>
    <w:p>
      <w:pPr>
        <w:jc w:val="center"/>
        <w:spacing w:line="360" w:lineRule="auto"/>
        <w:rPr>
          <w:b/>
          <w:bCs/>
        </w:rPr>
      </w:pPr>
      <w:r>
        <w:rPr>
          <w:b/>
          <w:bCs/>
        </w:rPr>
      </w:r>
      <w:r/>
    </w:p>
    <w:p>
      <w:pPr>
        <w:jc w:val="center"/>
        <w:spacing w:line="360" w:lineRule="auto"/>
        <w:rPr>
          <w:b/>
          <w:bCs/>
        </w:rPr>
      </w:pPr>
      <w:r>
        <w:rPr>
          <w:b/>
          <w:bCs/>
        </w:rPr>
      </w:r>
      <w:r/>
    </w:p>
    <w:p>
      <w:pPr>
        <w:jc w:val="center"/>
        <w:spacing w:line="360" w:lineRule="auto"/>
        <w:rPr>
          <w:b/>
          <w:bCs/>
        </w:rPr>
      </w:pPr>
      <w:r>
        <w:rPr>
          <w:b/>
          <w:bCs/>
        </w:rPr>
        <w:t xml:space="preserve">无重大违法记录声明</w:t>
      </w:r>
      <w:r/>
    </w:p>
    <w:p>
      <w:pPr>
        <w:spacing w:line="360" w:lineRule="auto"/>
        <w:rPr>
          <w:szCs w:val="21"/>
        </w:rPr>
      </w:pPr>
      <w:r>
        <w:rPr>
          <w:szCs w:val="21"/>
        </w:rPr>
      </w:r>
      <w:r/>
    </w:p>
    <w:p>
      <w:pPr>
        <w:spacing w:before="6" w:line="360" w:lineRule="auto"/>
        <w:rPr>
          <w:szCs w:val="21"/>
        </w:rPr>
      </w:pPr>
      <w:r>
        <w:rPr>
          <w:szCs w:val="21"/>
        </w:rPr>
      </w:r>
      <w:r/>
    </w:p>
    <w:p>
      <w:pPr>
        <w:ind w:left="598"/>
        <w:spacing w:line="360" w:lineRule="auto"/>
        <w:rPr>
          <w:szCs w:val="21"/>
        </w:rPr>
      </w:pPr>
      <w:r>
        <w:rPr>
          <w:szCs w:val="21"/>
        </w:rPr>
        <w:t xml:space="preserve">江苏美达机电贸易有限公司：</w:t>
      </w:r>
      <w:r/>
    </w:p>
    <w:p>
      <w:pPr>
        <w:spacing w:line="360" w:lineRule="auto"/>
        <w:rPr>
          <w:szCs w:val="21"/>
        </w:rPr>
      </w:pPr>
      <w:r>
        <w:rPr>
          <w:szCs w:val="21"/>
        </w:rPr>
      </w:r>
      <w:r/>
    </w:p>
    <w:p>
      <w:pPr>
        <w:spacing w:line="360" w:lineRule="auto"/>
        <w:rPr>
          <w:szCs w:val="21"/>
        </w:rPr>
      </w:pPr>
      <w:r>
        <w:rPr>
          <w:szCs w:val="21"/>
        </w:rPr>
      </w:r>
      <w:r/>
    </w:p>
    <w:p>
      <w:pPr>
        <w:ind w:left="1018"/>
        <w:spacing w:before="154" w:line="360" w:lineRule="auto"/>
        <w:rPr>
          <w:szCs w:val="21"/>
        </w:rPr>
      </w:pPr>
      <w:r>
        <w:rPr>
          <w:szCs w:val="21"/>
        </w:rPr>
        <w:t xml:space="preserve">我单位（供应商名称）郑重声明：</w:t>
      </w:r>
      <w:r/>
    </w:p>
    <w:p>
      <w:pPr>
        <w:spacing w:before="10" w:line="360" w:lineRule="auto"/>
        <w:rPr>
          <w:szCs w:val="21"/>
        </w:rPr>
      </w:pPr>
      <w:r>
        <w:rPr>
          <w:szCs w:val="21"/>
        </w:rPr>
      </w:r>
      <w:r/>
    </w:p>
    <w:p>
      <w:pPr>
        <w:ind w:left="598" w:right="583" w:firstLine="420"/>
        <w:jc w:val="left"/>
        <w:spacing w:line="360" w:lineRule="auto"/>
        <w:rPr>
          <w:szCs w:val="21"/>
        </w:rPr>
      </w:pPr>
      <w:r>
        <w:rPr>
          <w:spacing w:val="7"/>
          <w:szCs w:val="21"/>
        </w:rPr>
        <w:t xml:space="preserve">参加政府采购活动前3</w:t>
      </w:r>
      <w:r>
        <w:rPr>
          <w:spacing w:val="6"/>
          <w:szCs w:val="21"/>
        </w:rPr>
        <w:t xml:space="preserve">年内在经营活动中</w:t>
      </w:r>
      <w:r>
        <w:rPr>
          <w:spacing w:val="6"/>
          <w:szCs w:val="21"/>
          <w:u w:val="single"/>
        </w:rPr>
        <w:t xml:space="preserve">      </w:t>
      </w:r>
      <w:r>
        <w:rPr>
          <w:spacing w:val="6"/>
          <w:szCs w:val="21"/>
        </w:rPr>
        <w:t xml:space="preserve">（在下划线上如实填写 “有”或“没有”）</w:t>
      </w:r>
      <w:r>
        <w:rPr>
          <w:spacing w:val="1"/>
          <w:szCs w:val="21"/>
        </w:rPr>
        <w:t xml:space="preserve">重大违法记录。</w:t>
      </w:r>
      <w:r/>
    </w:p>
    <w:p>
      <w:pPr>
        <w:ind w:left="598" w:right="597" w:firstLine="314"/>
        <w:spacing w:before="9" w:line="360" w:lineRule="auto"/>
        <w:rPr>
          <w:szCs w:val="21"/>
        </w:rPr>
      </w:pPr>
      <w:r>
        <w:rPr>
          <w:szCs w:val="21"/>
        </w:rPr>
        <w:t xml:space="preserve">（说明：政府采购法第二十二条第一款第五项所称重大违法记录，是指供应商因违法经营受到刑事处罚或者责令停产停业、吊销许可证或者执照、较大数额罚款等行政处罚。）</w:t>
      </w:r>
      <w:r/>
    </w:p>
    <w:p>
      <w:pPr>
        <w:ind w:left="420" w:right="597" w:firstLine="314"/>
        <w:spacing w:before="9" w:after="120" w:line="360" w:lineRule="auto"/>
        <w:rPr>
          <w:szCs w:val="21"/>
        </w:rPr>
      </w:pPr>
      <w:r>
        <w:rPr>
          <w:szCs w:val="21"/>
        </w:rPr>
      </w:r>
      <w:r/>
    </w:p>
    <w:p>
      <w:pPr>
        <w:ind w:left="420"/>
        <w:spacing w:after="120" w:line="360" w:lineRule="auto"/>
        <w:rPr>
          <w:szCs w:val="21"/>
        </w:rPr>
      </w:pPr>
      <w:r>
        <w:rPr>
          <w:szCs w:val="21"/>
        </w:rPr>
      </w:r>
      <w:r/>
    </w:p>
    <w:p>
      <w:pPr>
        <w:ind w:left="420"/>
        <w:spacing w:after="120" w:line="360" w:lineRule="auto"/>
        <w:rPr>
          <w:szCs w:val="21"/>
        </w:rPr>
      </w:pPr>
      <w:r>
        <w:rPr>
          <w:szCs w:val="21"/>
        </w:rPr>
      </w:r>
      <w:r/>
    </w:p>
    <w:p>
      <w:pPr>
        <w:ind w:left="420"/>
        <w:spacing w:after="120" w:line="360" w:lineRule="auto"/>
        <w:rPr>
          <w:szCs w:val="21"/>
        </w:rPr>
      </w:pPr>
      <w:r>
        <w:rPr>
          <w:szCs w:val="21"/>
        </w:rPr>
      </w:r>
      <w:r/>
    </w:p>
    <w:p>
      <w:pPr>
        <w:spacing w:line="360" w:lineRule="auto"/>
        <w:rPr>
          <w:color w:val="000000"/>
          <w:szCs w:val="21"/>
        </w:rPr>
      </w:pPr>
      <w:r>
        <w:rPr>
          <w:color w:val="000000"/>
          <w:szCs w:val="21"/>
        </w:rPr>
        <w:t xml:space="preserve">供应商名称（公章）：</w:t>
      </w:r>
      <w:r/>
    </w:p>
    <w:p>
      <w:pPr>
        <w:spacing w:line="360" w:lineRule="auto"/>
        <w:rPr>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t xml:space="preserve">日期：</w:t>
      </w:r>
      <w:r/>
    </w:p>
    <w:p>
      <w:pPr>
        <w:spacing w:line="360" w:lineRule="auto"/>
        <w:rPr>
          <w:b/>
          <w:bCs/>
        </w:rPr>
      </w:pPr>
      <w:r/>
      <w:bookmarkStart w:id="217" w:name="_Toc231820652"/>
      <w:r/>
      <w:bookmarkStart w:id="218" w:name="_Toc13811"/>
      <w:r/>
      <w:bookmarkStart w:id="219" w:name="_Toc113527865"/>
      <w:r/>
      <w:bookmarkStart w:id="220" w:name="_Toc3968"/>
      <w:r/>
      <w:bookmarkStart w:id="221" w:name="_Toc18345"/>
      <w:r>
        <w:rPr>
          <w:b/>
          <w:bCs/>
        </w:rPr>
        <w:t xml:space="preserve">7、依法缴纳税收的记录</w:t>
      </w:r>
      <w:bookmarkEnd w:id="217"/>
      <w:r/>
      <w:bookmarkEnd w:id="218"/>
      <w:r/>
      <w:bookmarkEnd w:id="219"/>
      <w:r/>
      <w:bookmarkEnd w:id="220"/>
      <w:r/>
      <w:bookmarkEnd w:id="221"/>
      <w:r/>
      <w:r/>
    </w:p>
    <w:p>
      <w:pPr>
        <w:spacing w:line="360" w:lineRule="auto"/>
        <w:rPr>
          <w:color w:val="000000"/>
          <w:szCs w:val="21"/>
        </w:rPr>
      </w:pPr>
      <w:r>
        <w:rPr>
          <w:color w:val="000000"/>
          <w:szCs w:val="21"/>
        </w:rPr>
        <w:t xml:space="preserve">提供所属时期为距开标时间六个月内任意一月份的税收完税证明等相关证明材料复印件加盖公章（提供材料须体现所属时期，依法免税的应提供相应文件说明）。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222" w:name="_Toc17181"/>
      <w:r/>
      <w:bookmarkStart w:id="223" w:name="_Toc28812"/>
      <w:r/>
      <w:bookmarkStart w:id="224" w:name="_Toc231820653"/>
      <w:r/>
      <w:bookmarkStart w:id="225" w:name="_Toc8843"/>
      <w:r/>
      <w:bookmarkStart w:id="226" w:name="_Toc113527866"/>
      <w:r>
        <w:rPr>
          <w:b/>
          <w:bCs/>
        </w:rPr>
        <w:t xml:space="preserve">8、依法缴纳社会保障资金的记录</w:t>
      </w:r>
      <w:bookmarkEnd w:id="222"/>
      <w:r/>
      <w:bookmarkEnd w:id="223"/>
      <w:r/>
      <w:bookmarkEnd w:id="224"/>
      <w:r/>
      <w:bookmarkEnd w:id="225"/>
      <w:r/>
      <w:bookmarkEnd w:id="226"/>
      <w:r/>
      <w:r/>
    </w:p>
    <w:p>
      <w:pPr>
        <w:spacing w:line="360" w:lineRule="auto"/>
        <w:rPr>
          <w:color w:val="000000"/>
          <w:szCs w:val="21"/>
        </w:rPr>
      </w:pPr>
      <w:r>
        <w:rPr>
          <w:color w:val="000000"/>
          <w:szCs w:val="21"/>
        </w:rPr>
        <w:t xml:space="preserve">提供</w:t>
      </w:r>
      <w:r>
        <w:rPr>
          <w:b/>
          <w:bCs/>
          <w:color w:val="000000"/>
          <w:szCs w:val="21"/>
        </w:rPr>
        <w:t xml:space="preserve">所属时期</w:t>
      </w:r>
      <w:r>
        <w:rPr>
          <w:color w:val="000000"/>
          <w:szCs w:val="21"/>
        </w:rPr>
        <w:t xml:space="preserve">为距开标时间六个月内任意一月份的依法缴纳社会保障资金的凭据复印件加盖公章（</w:t>
      </w:r>
      <w:r>
        <w:rPr>
          <w:szCs w:val="21"/>
        </w:rPr>
        <w:t xml:space="preserve">提供材料须体现</w:t>
      </w:r>
      <w:r>
        <w:rPr>
          <w:b/>
          <w:bCs/>
          <w:szCs w:val="21"/>
        </w:rPr>
        <w:t xml:space="preserve">所属时期</w:t>
      </w:r>
      <w:r>
        <w:rPr>
          <w:szCs w:val="21"/>
        </w:rPr>
        <w:t xml:space="preserve">，</w:t>
      </w:r>
      <w:r>
        <w:rPr>
          <w:color w:val="000000"/>
          <w:szCs w:val="21"/>
        </w:rPr>
        <w:t xml:space="preserve">凭据可以是缴费的银行单据、专用收据、社会保险缴纳清单或者所在社保机构开具的证明等，自行编写无效，依法不需要缴纳社会保障资金的应提供相应文件说明）。</w:t>
      </w:r>
      <w:r/>
    </w:p>
    <w:p>
      <w:pPr>
        <w:spacing w:line="360" w:lineRule="auto"/>
        <w:rPr>
          <w:color w:val="000000"/>
          <w:szCs w:val="21"/>
        </w:rPr>
      </w:pPr>
      <w:r>
        <w:rPr>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sectPr>
          <w:footerReference w:type="first" r:id="rId19"/>
          <w:footnotePr/>
          <w:endnotePr/>
          <w:type w:val="nextPage"/>
          <w:pgSz w:w="11906" w:h="16838" w:orient="portrait"/>
          <w:pgMar w:top="1134" w:right="1134" w:bottom="1083" w:left="1134" w:header="851" w:footer="992" w:gutter="0"/>
          <w:cols w:num="1" w:sep="0" w:space="720" w:equalWidth="1"/>
          <w:docGrid w:linePitch="360"/>
        </w:sectPr>
      </w:pPr>
      <w:r>
        <w:rPr>
          <w:b/>
          <w:color w:val="000000"/>
          <w:szCs w:val="21"/>
        </w:rPr>
      </w:r>
      <w:r/>
    </w:p>
    <w:p>
      <w:pPr>
        <w:spacing w:line="360" w:lineRule="auto"/>
        <w:rPr>
          <w:b/>
          <w:bCs/>
        </w:rPr>
      </w:pPr>
      <w:r/>
      <w:bookmarkStart w:id="227" w:name="_Toc113527867"/>
      <w:r/>
      <w:bookmarkStart w:id="228" w:name="_Toc23117"/>
      <w:r/>
      <w:bookmarkStart w:id="229" w:name="_Toc9645"/>
      <w:r/>
      <w:bookmarkStart w:id="230" w:name="_Toc29638"/>
      <w:r/>
      <w:bookmarkStart w:id="231" w:name="_Toc231820654"/>
      <w:r>
        <w:rPr>
          <w:b/>
          <w:bCs/>
        </w:rPr>
        <w:t xml:space="preserve">9、</w:t>
      </w:r>
      <w:bookmarkEnd w:id="227"/>
      <w:r/>
      <w:bookmarkEnd w:id="228"/>
      <w:r/>
      <w:bookmarkEnd w:id="229"/>
      <w:r/>
      <w:bookmarkEnd w:id="230"/>
      <w:r>
        <w:rPr>
          <w:b/>
          <w:bCs/>
        </w:rPr>
        <w:t xml:space="preserve">未被“信用中国”网站(www.creditchina.gov.cn)、“中国政府采购网”(www.ccgp.gov.cn)列入失信被执行人、重大税收违法案件当事人名单、政府采购严重失信行为记录名单的截图。</w:t>
      </w:r>
      <w:bookmarkEnd w:id="231"/>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ind w:right="-5"/>
        <w:spacing w:line="360" w:lineRule="auto"/>
        <w:rPr>
          <w:b/>
          <w:color w:val="000000"/>
          <w:szCs w:val="21"/>
        </w:rPr>
      </w:pPr>
      <w:r>
        <w:rPr>
          <w:b/>
          <w:color w:val="000000"/>
          <w:szCs w:val="21"/>
        </w:rPr>
      </w:r>
      <w:r/>
    </w:p>
    <w:p>
      <w:pPr>
        <w:spacing w:line="360" w:lineRule="auto"/>
        <w:rPr>
          <w:b/>
          <w:bCs/>
          <w:color w:val="000000"/>
          <w:szCs w:val="21"/>
        </w:rPr>
      </w:pPr>
      <w:r/>
      <w:bookmarkStart w:id="232" w:name="_Toc20105"/>
      <w:r>
        <w:rPr>
          <w:b/>
          <w:bCs/>
          <w:color w:val="000000"/>
          <w:szCs w:val="21"/>
        </w:rPr>
        <w:br w:type="page" w:clear="all"/>
      </w:r>
      <w:r/>
    </w:p>
    <w:p>
      <w:pPr>
        <w:spacing w:line="360" w:lineRule="auto"/>
        <w:rPr>
          <w:b/>
          <w:bCs/>
        </w:rPr>
      </w:pPr>
      <w:r/>
      <w:bookmarkStart w:id="233" w:name="_Toc231820655"/>
      <w:r/>
      <w:bookmarkStart w:id="234" w:name="_Toc3374"/>
      <w:r/>
      <w:bookmarkStart w:id="235" w:name="_Toc19453"/>
      <w:r/>
      <w:bookmarkStart w:id="236" w:name="_Toc113527868"/>
      <w:r>
        <w:rPr>
          <w:b/>
          <w:bCs/>
        </w:rPr>
        <w:t xml:space="preserve">10、其他资格要求承诺函</w:t>
      </w:r>
      <w:bookmarkEnd w:id="233"/>
      <w:r/>
      <w:r/>
    </w:p>
    <w:p>
      <w:pPr>
        <w:ind w:firstLine="420"/>
        <w:jc w:val="center"/>
        <w:spacing w:line="360" w:lineRule="auto"/>
      </w:pPr>
      <w:r/>
      <w:bookmarkStart w:id="237" w:name="_Toc231820656"/>
      <w:r/>
      <w:r/>
    </w:p>
    <w:p>
      <w:pPr>
        <w:ind w:firstLine="420"/>
        <w:jc w:val="center"/>
        <w:spacing w:line="360" w:lineRule="auto"/>
      </w:pPr>
      <w:r>
        <w:t xml:space="preserve">我单位承诺：</w:t>
      </w:r>
      <w:bookmarkEnd w:id="237"/>
      <w:r/>
      <w:r/>
    </w:p>
    <w:p>
      <w:pPr>
        <w:ind w:firstLine="420"/>
        <w:spacing w:line="360" w:lineRule="auto"/>
      </w:pPr>
      <w:r/>
      <w:bookmarkStart w:id="238" w:name="_Toc231820657"/>
      <w:r>
        <w:t xml:space="preserve">1、 我单位独立参加本项目采购活动，未与其他潜在供应商组成联合体响应。未提供进口产品投标。</w:t>
      </w:r>
      <w:bookmarkEnd w:id="238"/>
      <w:r/>
      <w:r/>
    </w:p>
    <w:p>
      <w:pPr>
        <w:ind w:firstLine="420"/>
        <w:spacing w:line="360" w:lineRule="auto"/>
      </w:pPr>
      <w:r/>
      <w:bookmarkStart w:id="239" w:name="_Toc231820658"/>
      <w:r>
        <w:t xml:space="preserve">2、我单位参加本次采购活动，遵守并符合以下要求：</w:t>
      </w:r>
      <w:bookmarkEnd w:id="239"/>
      <w:r/>
      <w:r/>
    </w:p>
    <w:p>
      <w:pPr>
        <w:ind w:firstLine="420"/>
        <w:spacing w:line="360" w:lineRule="auto"/>
      </w:pPr>
      <w:r/>
      <w:bookmarkStart w:id="240" w:name="_Toc231820659"/>
      <w:r>
        <w:t xml:space="preserve">（1）供应商单位负责人为同一人或者存在直接控股、管理关系的不同供应商，不得参加同一合同项下的政府采购活动；不存在与我单位负责人为同一人或者存在直接控股、管理关系的不同供应商同时参加本项目同一包响应的情形。</w:t>
      </w:r>
      <w:bookmarkEnd w:id="240"/>
      <w:r/>
      <w:r/>
    </w:p>
    <w:p>
      <w:pPr>
        <w:ind w:firstLine="420"/>
        <w:spacing w:line="360" w:lineRule="auto"/>
      </w:pPr>
      <w:r/>
      <w:bookmarkStart w:id="241" w:name="_Toc231820660"/>
      <w:r>
        <w:t xml:space="preserve">（2）凡为采购项目提供整体设计、规范编制或者项目管理、监理、检测等服务的供应商，不得再参加本项目的采购活动；我单位不存在为采购项目提供整体设计、规范编制或者项目管理、监理、检测等服务的情形。</w:t>
      </w:r>
      <w:bookmarkEnd w:id="241"/>
      <w:r/>
      <w:r/>
    </w:p>
    <w:p>
      <w:pPr>
        <w:ind w:firstLine="420"/>
        <w:spacing w:line="360" w:lineRule="auto"/>
      </w:pPr>
      <w:r/>
      <w:bookmarkStart w:id="242" w:name="_Toc231820661"/>
      <w:r>
        <w:t xml:space="preserve">（3）公益一类事业单位、使用事业编制且由财政拨款保障的群团组织，不得参加本项目的采购活动；我单位性质不属于此类情况。</w:t>
      </w:r>
      <w:bookmarkEnd w:id="242"/>
      <w:r/>
      <w:r/>
    </w:p>
    <w:p>
      <w:pPr>
        <w:ind w:firstLine="420"/>
        <w:spacing w:line="360" w:lineRule="auto"/>
      </w:pPr>
      <w:r/>
      <w:bookmarkStart w:id="243" w:name="_Toc231820662"/>
      <w:r>
        <w:t xml:space="preserve">特此承诺。</w:t>
      </w:r>
      <w:bookmarkEnd w:id="243"/>
      <w:r/>
      <w:r/>
    </w:p>
    <w:p>
      <w:pPr>
        <w:ind w:firstLine="420"/>
        <w:spacing w:line="360" w:lineRule="auto"/>
      </w:pPr>
      <w:r/>
      <w:r/>
    </w:p>
    <w:p>
      <w:pPr>
        <w:ind w:firstLine="420"/>
        <w:spacing w:line="360" w:lineRule="auto"/>
      </w:pPr>
      <w:r/>
      <w:r/>
    </w:p>
    <w:p>
      <w:pPr>
        <w:ind w:firstLine="420"/>
        <w:spacing w:line="360" w:lineRule="auto"/>
      </w:pPr>
      <w:r>
        <w:t xml:space="preserve">供应商名称（公章）：</w:t>
      </w:r>
      <w:r/>
    </w:p>
    <w:p>
      <w:pPr>
        <w:ind w:firstLine="420"/>
        <w:spacing w:line="360" w:lineRule="auto"/>
      </w:pPr>
      <w:r>
        <w:t xml:space="preserve">日期：</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bookmarkStart w:id="244" w:name="_Toc231820663"/>
      <w:r>
        <w:rPr>
          <w:b/>
          <w:bCs/>
        </w:rPr>
        <w:t xml:space="preserve">11、供应商认为其需要提供的其他资格证明文件。</w:t>
      </w:r>
      <w:bookmarkEnd w:id="232"/>
      <w:r/>
      <w:bookmarkEnd w:id="234"/>
      <w:r/>
      <w:bookmarkEnd w:id="235"/>
      <w:r/>
      <w:bookmarkEnd w:id="236"/>
      <w:r/>
      <w:bookmarkEnd w:id="244"/>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spacing w:line="360" w:lineRule="auto"/>
        <w:rPr>
          <w:b/>
          <w:bCs/>
          <w:color w:val="000000"/>
          <w:szCs w:val="21"/>
          <w:lang w:val="zh-CN"/>
        </w:rPr>
      </w:pPr>
      <w:r>
        <w:rPr>
          <w:b/>
          <w:color w:val="000000"/>
          <w:szCs w:val="21"/>
        </w:rPr>
        <w:br w:type="page" w:clear="all"/>
      </w:r>
      <w:bookmarkStart w:id="245" w:name="_Toc22079"/>
      <w:r/>
      <w:bookmarkStart w:id="246" w:name="_Toc21790"/>
      <w:r/>
      <w:bookmarkStart w:id="247" w:name="_Toc5506"/>
      <w:r/>
      <w:bookmarkEnd w:id="245"/>
      <w:r/>
      <w:bookmarkEnd w:id="246"/>
      <w:r/>
      <w:bookmarkEnd w:id="247"/>
      <w:r/>
      <w:r/>
    </w:p>
    <w:p>
      <w:pPr>
        <w:spacing w:line="360" w:lineRule="auto"/>
        <w:rPr>
          <w:b/>
          <w:bCs/>
        </w:rPr>
        <w:outlineLvl w:val="1"/>
      </w:pPr>
      <w:r/>
      <w:bookmarkStart w:id="248" w:name="_Toc231822754"/>
      <w:r>
        <w:rPr>
          <w:b/>
          <w:bCs/>
        </w:rPr>
        <w:t xml:space="preserve">附件十 其他相关文件</w:t>
      </w:r>
      <w:bookmarkEnd w:id="248"/>
      <w:r/>
      <w:r/>
    </w:p>
    <w:p>
      <w:pPr>
        <w:spacing w:line="360" w:lineRule="auto"/>
        <w:rPr>
          <w:b/>
          <w:color w:val="000000"/>
          <w:szCs w:val="21"/>
          <w:lang w:val="zh-CN"/>
        </w:rPr>
      </w:pPr>
      <w:r>
        <w:rPr>
          <w:b/>
          <w:color w:val="000000"/>
          <w:szCs w:val="21"/>
          <w:lang w:val="zh-CN"/>
        </w:rPr>
      </w:r>
      <w:r/>
    </w:p>
    <w:p>
      <w:pPr>
        <w:spacing w:line="360" w:lineRule="auto"/>
        <w:rPr>
          <w:b/>
          <w:color w:val="000000"/>
          <w:szCs w:val="21"/>
          <w:lang w:val="zh-CN"/>
        </w:rPr>
      </w:pPr>
      <w:r>
        <w:rPr>
          <w:color w:val="000000"/>
          <w:szCs w:val="21"/>
        </w:rPr>
        <w:t xml:space="preserve">注：须授权代表签字或加盖投标单位公章</w:t>
      </w:r>
      <w:r/>
    </w:p>
    <w:p>
      <w:pPr>
        <w:spacing w:line="360" w:lineRule="auto"/>
        <w:rPr>
          <w:b/>
          <w:color w:val="000000"/>
          <w:szCs w:val="21"/>
          <w:lang w:val="zh-CN"/>
        </w:rPr>
      </w:pPr>
      <w:r>
        <w:rPr>
          <w:b/>
          <w:color w:val="000000"/>
          <w:szCs w:val="21"/>
          <w:lang w:val="zh-CN"/>
        </w:rPr>
      </w:r>
      <w:r/>
    </w:p>
    <w:p>
      <w:pPr>
        <w:spacing w:line="360" w:lineRule="auto"/>
        <w:rPr>
          <w:color w:val="000000"/>
          <w:szCs w:val="21"/>
        </w:rPr>
      </w:pPr>
      <w:r>
        <w:rPr>
          <w:color w:val="000000"/>
          <w:szCs w:val="21"/>
        </w:rPr>
        <w:t xml:space="preserve">1、投标产品配置清单及技术说明</w:t>
      </w:r>
      <w:r/>
    </w:p>
    <w:p>
      <w:pPr>
        <w:spacing w:line="360" w:lineRule="auto"/>
        <w:rPr>
          <w:color w:val="000000"/>
          <w:szCs w:val="21"/>
        </w:rPr>
      </w:pPr>
      <w:r>
        <w:rPr>
          <w:color w:val="000000"/>
          <w:szCs w:val="21"/>
        </w:rPr>
      </w:r>
      <w:r/>
    </w:p>
    <w:p>
      <w:pPr>
        <w:ind w:right="-5"/>
        <w:spacing w:line="360" w:lineRule="auto"/>
        <w:rPr>
          <w:color w:val="000000"/>
          <w:szCs w:val="21"/>
        </w:rPr>
      </w:pPr>
      <w:r>
        <w:rPr>
          <w:color w:val="000000"/>
          <w:szCs w:val="21"/>
        </w:rPr>
        <w:t xml:space="preserve">2、公开招标设备</w:t>
      </w:r>
      <w:r>
        <w:rPr>
          <w:szCs w:val="21"/>
        </w:rPr>
        <w:t xml:space="preserve">质保期内（外）的备品备件明细折扣表</w:t>
      </w:r>
      <w:r/>
    </w:p>
    <w:tbl>
      <w:tblPr>
        <w:tblStyle w:val="1405"/>
        <w:tblW w:w="9605"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96"/>
        <w:gridCol w:w="1843"/>
        <w:gridCol w:w="1995"/>
        <w:gridCol w:w="1260"/>
        <w:gridCol w:w="945"/>
        <w:gridCol w:w="761"/>
        <w:gridCol w:w="2205"/>
      </w:tblGrid>
      <w:tr>
        <w:trPr>
          <w:trHeight w:val="604"/>
        </w:trPr>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ind w:right="-5"/>
              <w:jc w:val="center"/>
              <w:spacing w:line="360" w:lineRule="auto"/>
              <w:rPr>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5"/>
              <w:jc w:val="center"/>
              <w:spacing w:line="360" w:lineRule="auto"/>
              <w:tabs>
                <w:tab w:val="left" w:pos="972" w:leader="none"/>
              </w:tabs>
              <w:rPr>
                <w:color w:val="000000"/>
                <w:szCs w:val="21"/>
              </w:rPr>
            </w:pPr>
            <w:r>
              <w:rPr>
                <w:color w:val="000000"/>
                <w:szCs w:val="21"/>
              </w:rPr>
              <w:t xml:space="preserve">备品备件</w:t>
            </w:r>
            <w:r/>
          </w:p>
          <w:p>
            <w:pPr>
              <w:ind w:right="-5"/>
              <w:jc w:val="center"/>
              <w:spacing w:line="360" w:lineRule="auto"/>
              <w:tabs>
                <w:tab w:val="left" w:pos="972" w:leader="none"/>
              </w:tabs>
              <w:rPr>
                <w:color w:val="000000"/>
                <w:szCs w:val="21"/>
              </w:rPr>
            </w:pPr>
            <w:r>
              <w:rPr>
                <w:color w:val="000000"/>
                <w:szCs w:val="21"/>
              </w:rPr>
              <w:t xml:space="preserve">名称</w:t>
            </w:r>
            <w:r/>
          </w:p>
        </w:tc>
        <w:tc>
          <w:tcPr>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ind w:right="-5"/>
              <w:jc w:val="center"/>
              <w:spacing w:line="360" w:lineRule="auto"/>
              <w:rPr>
                <w:color w:val="000000"/>
                <w:szCs w:val="21"/>
              </w:rPr>
            </w:pPr>
            <w:r>
              <w:rPr>
                <w:color w:val="000000"/>
                <w:szCs w:val="21"/>
              </w:rPr>
              <w:t xml:space="preserve">型号及规格</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5"/>
              <w:jc w:val="center"/>
              <w:spacing w:line="360" w:lineRule="auto"/>
              <w:rPr>
                <w:color w:val="000000"/>
                <w:szCs w:val="21"/>
              </w:rPr>
            </w:pPr>
            <w:r>
              <w:rPr>
                <w:color w:val="000000"/>
                <w:szCs w:val="21"/>
              </w:rPr>
              <w:t xml:space="preserve">数量</w:t>
            </w:r>
            <w:r/>
          </w:p>
          <w:p>
            <w:pPr>
              <w:ind w:right="-5"/>
              <w:jc w:val="center"/>
              <w:spacing w:line="360" w:lineRule="auto"/>
              <w:rPr>
                <w:color w:val="000000"/>
                <w:szCs w:val="21"/>
              </w:rPr>
            </w:pPr>
            <w:r>
              <w:rPr>
                <w:color w:val="000000"/>
                <w:szCs w:val="21"/>
              </w:rPr>
              <w:t xml:space="preserve">(台/套)</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right="-5"/>
              <w:jc w:val="center"/>
              <w:spacing w:line="360" w:lineRule="auto"/>
              <w:rPr>
                <w:color w:val="000000"/>
                <w:szCs w:val="21"/>
              </w:rPr>
            </w:pPr>
            <w:r>
              <w:rPr>
                <w:color w:val="000000"/>
                <w:szCs w:val="21"/>
              </w:rPr>
              <w:t xml:space="preserve">单价</w:t>
            </w:r>
            <w:r/>
          </w:p>
          <w:p>
            <w:pPr>
              <w:ind w:right="-5"/>
              <w:jc w:val="center"/>
              <w:spacing w:line="360" w:lineRule="auto"/>
              <w:rPr>
                <w:color w:val="000000"/>
                <w:szCs w:val="21"/>
              </w:rPr>
            </w:pPr>
            <w:r>
              <w:rPr>
                <w:color w:val="000000"/>
                <w:szCs w:val="21"/>
              </w:rPr>
              <w:t xml:space="preserve">(万元)</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right="-5"/>
              <w:jc w:val="center"/>
              <w:spacing w:line="360" w:lineRule="auto"/>
              <w:rPr>
                <w:color w:val="000000"/>
                <w:szCs w:val="21"/>
              </w:rPr>
            </w:pPr>
            <w:r>
              <w:rPr>
                <w:color w:val="000000"/>
                <w:szCs w:val="21"/>
              </w:rPr>
              <w:t xml:space="preserve">折扣率%</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ind w:right="-5"/>
              <w:jc w:val="center"/>
              <w:spacing w:line="360" w:lineRule="auto"/>
              <w:rPr>
                <w:color w:val="000000"/>
                <w:szCs w:val="21"/>
              </w:rPr>
            </w:pPr>
            <w:r>
              <w:rPr>
                <w:color w:val="000000"/>
                <w:szCs w:val="21"/>
              </w:rPr>
              <w:t xml:space="preserve">备注</w:t>
            </w:r>
            <w:r/>
          </w:p>
          <w:p>
            <w:pPr>
              <w:ind w:right="-5"/>
              <w:jc w:val="center"/>
              <w:spacing w:line="360" w:lineRule="auto"/>
              <w:rPr>
                <w:color w:val="000000"/>
                <w:szCs w:val="21"/>
              </w:rPr>
            </w:pPr>
            <w:r>
              <w:rPr>
                <w:color w:val="000000"/>
                <w:szCs w:val="21"/>
              </w:rPr>
              <w:t xml:space="preserve">(如外购请注明产地、制造商)</w:t>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tc>
      </w:tr>
    </w:tbl>
    <w:p>
      <w:pPr>
        <w:ind w:left="525" w:right="-5" w:hanging="525"/>
        <w:spacing w:line="360" w:lineRule="auto"/>
        <w:rPr>
          <w:b/>
          <w:color w:val="000000"/>
          <w:szCs w:val="21"/>
        </w:rPr>
      </w:pPr>
      <w:r>
        <w:rPr>
          <w:b/>
          <w:color w:val="000000"/>
          <w:szCs w:val="21"/>
        </w:rPr>
        <w:tab/>
      </w:r>
      <w:r/>
    </w:p>
    <w:p>
      <w:pPr>
        <w:ind w:right="-5"/>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sectPr>
          <w:footerReference w:type="default" r:id="rId20"/>
          <w:footerReference w:type="first" r:id="rId21"/>
          <w:footnotePr/>
          <w:endnotePr/>
          <w:type w:val="nextPage"/>
          <w:pgSz w:w="11906" w:h="16838" w:orient="portrait"/>
          <w:pgMar w:top="1134" w:right="1134" w:bottom="1134" w:left="1134" w:header="851" w:footer="992" w:gutter="0"/>
          <w:cols w:num="1" w:sep="0" w:space="720" w:equalWidth="1"/>
          <w:docGrid w:linePitch="360"/>
        </w:sectPr>
      </w:pPr>
      <w:r>
        <w:rPr>
          <w:b/>
          <w:color w:val="000000"/>
          <w:szCs w:val="21"/>
        </w:rPr>
      </w:r>
      <w:r/>
    </w:p>
    <w:p>
      <w:pPr>
        <w:spacing w:line="360" w:lineRule="auto"/>
        <w:rPr>
          <w:color w:val="000000"/>
          <w:szCs w:val="21"/>
        </w:rPr>
      </w:pPr>
      <w:r>
        <w:rPr>
          <w:bCs/>
          <w:color w:val="000000"/>
          <w:szCs w:val="21"/>
        </w:rPr>
        <w:t xml:space="preserve">3、随机</w:t>
      </w:r>
      <w:r>
        <w:rPr>
          <w:color w:val="000000"/>
          <w:szCs w:val="21"/>
        </w:rPr>
        <w:t xml:space="preserve">提供的文件、资料、图纸等（文件资料名称、份数）</w:t>
      </w:r>
      <w:r/>
    </w:p>
    <w:p>
      <w:pPr>
        <w:jc w:val="center"/>
        <w:spacing w:line="360" w:lineRule="auto"/>
        <w:rPr>
          <w:color w:val="000000"/>
          <w:szCs w:val="21"/>
        </w:rPr>
      </w:pPr>
      <w:r>
        <w:rPr>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ind w:right="-5"/>
        <w:spacing w:line="360" w:lineRule="auto"/>
        <w:rPr>
          <w:b/>
          <w:color w:val="000000"/>
          <w:szCs w:val="21"/>
        </w:rPr>
      </w:pPr>
      <w:r>
        <w:rPr>
          <w:color w:val="000000"/>
          <w:szCs w:val="21"/>
        </w:rPr>
        <w:t xml:space="preserve">4、培训计划及方案（人数、时间、内容、地点）</w:t>
      </w:r>
      <w:r/>
    </w:p>
    <w:p>
      <w:pPr>
        <w:spacing w:line="360" w:lineRule="auto"/>
        <w:rPr>
          <w:b/>
          <w:color w:val="000000"/>
          <w:szCs w:val="21"/>
        </w:rPr>
      </w:pPr>
      <w:r>
        <w:rPr>
          <w:b/>
          <w:color w:val="000000"/>
          <w:szCs w:val="21"/>
        </w:rPr>
      </w:r>
      <w:r/>
    </w:p>
    <w:p>
      <w:pPr>
        <w:ind w:left="5100" w:firstLine="425"/>
        <w:spacing w:line="360" w:lineRule="auto"/>
        <w:rPr>
          <w:color w:val="000000"/>
          <w:szCs w:val="21"/>
        </w:rPr>
      </w:pPr>
      <w:r>
        <w:rPr>
          <w:color w:val="000000"/>
          <w:szCs w:val="21"/>
        </w:rPr>
      </w:r>
      <w:r/>
    </w:p>
    <w:p>
      <w:pPr>
        <w:ind w:right="-5"/>
        <w:spacing w:line="360" w:lineRule="auto"/>
        <w:rPr>
          <w:b/>
          <w:color w:val="000000"/>
          <w:szCs w:val="21"/>
        </w:rPr>
      </w:pPr>
      <w:r>
        <w:rPr>
          <w:color w:val="000000"/>
          <w:szCs w:val="21"/>
        </w:rPr>
        <w:tab/>
      </w:r>
      <w:r>
        <w:rPr>
          <w:color w:val="000000"/>
          <w:szCs w:val="21"/>
        </w:rPr>
        <w:tab/>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t xml:space="preserve">5、供货及安装日期和质量保证期及售后服务承诺</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ind w:right="-5"/>
        <w:spacing w:line="360" w:lineRule="auto"/>
        <w:rPr>
          <w:b/>
          <w:color w:val="000000"/>
          <w:szCs w:val="21"/>
          <w:lang w:val="zh-CN"/>
        </w:rPr>
      </w:pPr>
      <w:r>
        <w:rPr>
          <w:b/>
          <w:color w:val="000000"/>
          <w:szCs w:val="21"/>
        </w:rPr>
        <w:t xml:space="preserve">6</w:t>
      </w:r>
      <w:r>
        <w:rPr>
          <w:b/>
          <w:color w:val="000000"/>
          <w:szCs w:val="21"/>
          <w:lang w:val="zh-CN"/>
        </w:rPr>
        <w:t xml:space="preserve">、供应商认为应提供的其他材料</w:t>
      </w:r>
      <w:r/>
    </w:p>
    <w:p>
      <w:pPr>
        <w:ind w:right="-5"/>
        <w:spacing w:line="360" w:lineRule="auto"/>
        <w:rPr>
          <w:b/>
          <w:color w:val="000000"/>
          <w:szCs w:val="21"/>
          <w:lang w:val="zh-CN"/>
        </w:rPr>
      </w:pPr>
      <w:r>
        <w:rPr>
          <w:b/>
          <w:color w:val="000000"/>
          <w:szCs w:val="21"/>
          <w:lang w:val="zh-CN"/>
        </w:rPr>
        <w:t xml:space="preserve">（针对具体的评标标准提供相应其他材料）</w:t>
      </w:r>
      <w:r/>
    </w:p>
    <w:p>
      <w:r/>
      <w:r/>
    </w:p>
    <w:p>
      <w:r/>
      <w:r/>
    </w:p>
    <w:p>
      <w:r/>
      <w:r/>
    </w:p>
    <w:p>
      <w:r/>
      <w:r/>
    </w:p>
    <w:sectPr>
      <w:footerReference w:type="default" r:id="rId22"/>
      <w:footerReference w:type="first" r:id="rId23"/>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FZHTK--GBK1-0">
    <w:panose1 w:val="020B0503020202020204"/>
  </w:font>
  <w:font w:name="Symbol">
    <w:panose1 w:val="05050102010706020507"/>
  </w:font>
  <w:font w:name="Wingdings">
    <w:panose1 w:val="05000000000000000000"/>
  </w:font>
  <w:font w:name="仿宋">
    <w:panose1 w:val="02010609060101010101"/>
  </w:font>
  <w:font w:name="Calibri">
    <w:panose1 w:val="020F0502020204030204"/>
  </w:font>
  <w:font w:name="微软雅黑">
    <w:panose1 w:val="020B0503020204020204"/>
  </w:font>
  <w:font w:name="方正仿宋简体">
    <w:panose1 w:val="020B0503020202020204"/>
  </w:font>
  <w:font w:name="Tahoma">
    <w:panose1 w:val="020B0604030504040204"/>
  </w:font>
  <w:font w:name="Courier New">
    <w:panose1 w:val="02070309020205020404"/>
  </w:font>
  <w:font w:name="Segoe UI Symbol">
    <w:panose1 w:val="020B0502040204020203"/>
  </w:font>
  <w:font w:name="华文新魏">
    <w:panose1 w:val="02010800040101010101"/>
  </w:font>
  <w:font w:name="Cambria">
    <w:panose1 w:val="02040503050406030204"/>
  </w:font>
  <w:font w:name="仿宋_GB2312">
    <w:panose1 w:val="02010609060101010101"/>
  </w:font>
  <w:font w:name="黑体">
    <w:panose1 w:val="02010609060101010101"/>
  </w:font>
  <w:font w:name="Arial Unicode MS">
    <w:panose1 w:val="020B0604020202020204"/>
  </w:font>
  <w:font w:name="Arial">
    <w:panose1 w:val="020B0604020202020204"/>
  </w:font>
  <w:font w:name="隶书">
    <w:panose1 w:val="02010509060101010101"/>
  </w:font>
  <w:font w:name="Univers LT Std 45 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7"/>
      <w:jc w:val="center"/>
      <w:rPr>
        <w:sz w:val="24"/>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244475" cy="163830"/>
              <wp:effectExtent l="0" t="0" r="0" b="0"/>
              <wp:wrapNone/>
              <wp:docPr id="4" name="文本框 1025"/>
              <wp:cNvGraphicFramePr/>
              <a:graphic xmlns:a="http://schemas.openxmlformats.org/drawingml/2006/main">
                <a:graphicData uri="http://schemas.microsoft.com/office/word/2010/wordprocessingShape">
                  <wps:wsp>
                    <wps:cNvPr id="0" name=""/>
                    <wps:cNvSpPr txBox="1"/>
                    <wps:spPr bwMode="auto">
                      <a:xfrm>
                        <a:off x="0" y="0"/>
                        <a:ext cx="244475" cy="16383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22</w:t>
                          </w:r>
                          <w:r>
                            <w:rPr>
                              <w:rFonts w:hint="eastAsia"/>
                              <w:sz w:val="18"/>
                            </w:rPr>
                            <w:fldChar w:fldCharType="end"/>
                          </w:r>
                          <w:r/>
                        </w:p>
                      </w:txbxContent>
                    </wps:txbx>
                    <wps:bodyPr lIns="0" tIns="0" rIns="0" bIns="0" upright="1"/>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9.2pt;height:12.9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22</w:t>
                    </w:r>
                    <w:r>
                      <w:rPr>
                        <w:rFonts w:hint="eastAsia"/>
                        <w:sz w:val="18"/>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page">
                <wp:posOffset>3875405</wp:posOffset>
              </wp:positionH>
              <wp:positionV relativeFrom="paragraph">
                <wp:posOffset>32385</wp:posOffset>
              </wp:positionV>
              <wp:extent cx="9525" cy="131445"/>
              <wp:effectExtent l="0" t="0" r="0" b="0"/>
              <wp:wrapSquare wrapText="bothSides"/>
              <wp:docPr id="5" name="文本框 1026"/>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a:effectLst/>
                    </wps:spPr>
                    <wps:txbx>
                      <w:txbxContent>
                        <w:p>
                          <w:pPr>
                            <w:pStyle w:val="1427"/>
                            <w:rPr>
                              <w:rStyle w:val="1443"/>
                            </w:rPr>
                          </w:pPr>
                          <w:r>
                            <w:rPr>
                              <w:rStyle w:val="1443"/>
                              <w:rFonts w:hint="eastAsia"/>
                            </w:rPr>
                            <w:t xml:space="preserve">                   </w:t>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page;margin-left:305.1pt;mso-position-horizontal:absolute;mso-position-vertical-relative:text;margin-top:2.5pt;mso-position-vertical:absolute;width:0.8pt;height:10.3pt;mso-wrap-distance-left:0.0pt;mso-wrap-distance-top:0.0pt;mso-wrap-distance-right:0.0pt;mso-wrap-distance-bottom:0.0pt;visibility:visible;" filled="f" stroked="f">
              <w10:wrap type="square"/>
              <v:textbox inset="0,0,0,0">
                <w:txbxContent>
                  <w:p>
                    <w:pPr>
                      <w:pStyle w:val="1427"/>
                      <w:rPr>
                        <w:rStyle w:val="1443"/>
                      </w:rPr>
                    </w:pPr>
                    <w:r>
                      <w:rPr>
                        <w:rStyle w:val="1443"/>
                        <w:rFonts w:hint="eastAsia"/>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7"/>
      <w:jc w:val="center"/>
    </w:pPr>
    <w:r>
      <w:fldChar w:fldCharType="begin"/>
    </w:r>
    <w:r>
      <w:instrText xml:space="preserve">PAGE   \* MERGEFORMAT</w:instrText>
    </w:r>
    <w:r>
      <w:fldChar w:fldCharType="separate"/>
    </w:r>
    <w:r>
      <w:rPr>
        <w:lang w:val="zh-CN"/>
      </w:rPr>
      <w:t xml:space="preserve">36</w:t>
    </w:r>
    <w:r>
      <w:rPr>
        <w:lang w:val="zh-CN"/>
      </w:rPr>
      <w:fldChar w:fldCharType="end"/>
    </w:r>
    <w:r/>
  </w:p>
  <w:p>
    <w:pPr>
      <w:pStyle w:val="1427"/>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txbxContent>
                    </wps:txbx>
                    <wps:bodyPr wrap="none" lIns="0" tIns="0" rIns="0" bIns="0">
                      <a:spAutoFit/>
                    </wps:bodyPr>
                  </wps:wsp>
                </a:graphicData>
              </a:graphic>
            </wp:anchor>
          </w:drawing>
        </mc:Choice>
        <mc:Fallback>
          <w:pict>
            <v:shape id="shape 5" o:spid="_x0000_s5"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txbxContent>
              </v:textbox>
            </v:shape>
          </w:pict>
        </mc:Fallback>
      </mc:AlternateContent>
    </w:r>
    <w:r>
      <w:rPr>
        <w:lang w:val="zh-CN"/>
      </w:rPr>
      <w:t xml:space="preserve"> </w:t>
    </w:r>
    <w:r/>
  </w:p>
  <w:p>
    <w:pPr>
      <w:pStyle w:val="1427"/>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56</w:t>
                          </w:r>
                          <w:r>
                            <w:rPr>
                              <w:sz w:val="18"/>
                              <w:szCs w:val="18"/>
                            </w:rP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56</w:t>
                    </w:r>
                    <w:r>
                      <w:rPr>
                        <w:sz w:val="18"/>
                        <w:szCs w:val="18"/>
                      </w:rPr>
                      <w:fldChar w:fldCharType="end"/>
                    </w:r>
                    <w:r/>
                  </w:p>
                </w:txbxContent>
              </v:textbox>
            </v:shape>
          </w:pict>
        </mc:Fallback>
      </mc:AlternateContent>
    </w:r>
    <w:r/>
  </w:p>
  <w:p>
    <w:pPr>
      <w:jc w:val="left"/>
      <w:tabs>
        <w:tab w:val="center" w:pos="4153" w:leader="none"/>
        <w:tab w:val="right" w:pos="8306" w:leader="none"/>
      </w:tabs>
      <w:rPr>
        <w:sz w:val="18"/>
        <w:szCs w:val="18"/>
      </w:rPr>
    </w:pPr>
    <w:r>
      <w:rPr>
        <w:sz w:val="18"/>
        <w:szCs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spacing w:after="120"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65</w:t>
                          </w:r>
                          <w:r>
                            <w:rPr>
                              <w:sz w:val="18"/>
                              <w:szCs w:val="1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65</w:t>
                    </w:r>
                    <w:r>
                      <w:rPr>
                        <w:sz w:val="18"/>
                        <w:szCs w:val="18"/>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9" name="文本框 8"/>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8" o:spid="_x0000_s8" o:spt="202" type="#_x0000_t202" style="position:absolute;z-index:-251660288;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59</w:t>
                          </w:r>
                          <w:r>
                            <w:rPr>
                              <w:sz w:val="18"/>
                              <w:szCs w:val="18"/>
                            </w:rPr>
                            <w:fldChar w:fldCharType="end"/>
                          </w:r>
                          <w:r/>
                        </w:p>
                      </w:txbxContent>
                    </wps:txbx>
                    <wps:bodyPr wrap="none" lIns="0" tIns="0" rIns="0" bIns="0" upright="1">
                      <a:spAutoFit/>
                    </wps:bodyPr>
                  </wps:wsp>
                </a:graphicData>
              </a:graphic>
            </wp:anchor>
          </w:drawing>
        </mc:Choice>
        <mc:Fallback>
          <w:pict>
            <v:shape id="shape 9" o:spid="_x0000_s9" o:spt="1" type="#_x0000_t1"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59</w:t>
                    </w:r>
                    <w:r>
                      <w:rPr>
                        <w:sz w:val="18"/>
                        <w:szCs w:val="18"/>
                      </w:rPr>
                      <w:fldChar w:fldCharType="end"/>
                    </w:r>
                    <w:r/>
                  </w:p>
                </w:txbxContent>
              </v:textbox>
            </v:shape>
          </w:pict>
        </mc:Fallback>
      </mc:AlternateContent>
    </w:r>
    <w:r/>
  </w:p>
  <w:p>
    <w:pPr>
      <w:jc w:val="left"/>
      <w:tabs>
        <w:tab w:val="center" w:pos="4153" w:leader="none"/>
        <w:tab w:val="right" w:pos="8306" w:leader="none"/>
      </w:tabs>
      <w:rPr>
        <w:sz w:val="18"/>
        <w:szCs w:val="18"/>
      </w:rPr>
    </w:pPr>
    <w:r>
      <w:rPr>
        <w:sz w:val="18"/>
        <w:szCs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3"/>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427"/>
                          </w:pPr>
                          <w:r>
                            <w:fldChar w:fldCharType="begin"/>
                          </w:r>
                          <w:r>
                            <w:instrText xml:space="preserve"> PAGE  \* MERGEFORMAT </w:instrText>
                          </w:r>
                          <w:r>
                            <w:fldChar w:fldCharType="separate"/>
                          </w:r>
                          <w:r>
                            <w:t xml:space="preserve">69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0" o:spid="_x0000_s10"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7"/>
                    </w:pPr>
                    <w:r>
                      <w:fldChar w:fldCharType="begin"/>
                    </w:r>
                    <w:r>
                      <w:instrText xml:space="preserve"> PAGE  \* MERGEFORMAT </w:instrText>
                    </w:r>
                    <w:r>
                      <w:fldChar w:fldCharType="separate"/>
                    </w:r>
                    <w:r>
                      <w:t xml:space="preserve">69</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12" name="文本框 5"/>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11" o:spid="_x0000_s11" o:spt="202" type="#_x0000_t202" style="position:absolute;z-index:-251659264;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427"/>
                          </w:pPr>
                          <w:r>
                            <w:fldChar w:fldCharType="begin"/>
                          </w:r>
                          <w:r>
                            <w:instrText xml:space="preserve"> PAGE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12" o:spid="_x0000_s12" o:spt="1" type="#_x0000_t1"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27"/>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p>
    <w:pPr>
      <w:pStyle w:val="1427"/>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3"/>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427"/>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3" o:spid="_x0000_s1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7"/>
                    </w:pPr>
                    <w:r>
                      <w:fldChar w:fldCharType="begin"/>
                    </w:r>
                    <w:r>
                      <w:instrText xml:space="preserve"> PAGE  \* MERGEFORMAT </w:instrText>
                    </w:r>
                    <w:r>
                      <w:fldChar w:fldCharType="separate"/>
                    </w:r>
                    <w:r>
                      <w:t xml:space="preserve">70</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15" name="文本框 2"/>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14" o:spid="_x0000_s14" o:spt="202" type="#_x0000_t202" style="position:absolute;z-index:-251662336;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427"/>
                          </w:pPr>
                          <w:r>
                            <w:fldChar w:fldCharType="begin"/>
                          </w:r>
                          <w:r>
                            <w:instrText xml:space="preserve"> PAGE  \* MERGEFORMAT </w:instrText>
                          </w:r>
                          <w:r>
                            <w:fldChar w:fldCharType="separate"/>
                          </w:r>
                          <w:r>
                            <w:t xml:space="preserve">57</w:t>
                          </w:r>
                          <w:r>
                            <w:fldChar w:fldCharType="end"/>
                          </w:r>
                          <w:r/>
                        </w:p>
                      </w:txbxContent>
                    </wps:txbx>
                    <wps:bodyPr wrap="none" lIns="0" tIns="0" rIns="0" bIns="0" upright="1">
                      <a:spAutoFit/>
                    </wps:bodyPr>
                  </wps:wsp>
                </a:graphicData>
              </a:graphic>
            </wp:anchor>
          </w:drawing>
        </mc:Choice>
        <mc:Fallback>
          <w:pict>
            <v:shape id="shape 15" o:spid="_x0000_s15" o:spt="1" type="#_x0000_t1"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27"/>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p>
    <w:pPr>
      <w:pStyle w:val="14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8"/>
      <w:jc w:val="right"/>
    </w:pPr>
    <w:r>
      <w:rPr>
        <w:rFonts w:hint="eastAsia"/>
      </w:rPr>
      <mc:AlternateContent>
        <mc:Choice Requires="wpg">
          <w:drawing>
            <wp:inline xmlns:wp="http://schemas.openxmlformats.org/drawingml/2006/wordprocessingDrawing" distT="0" distB="0" distL="0" distR="0">
              <wp:extent cx="1188085" cy="360045"/>
              <wp:effectExtent l="0" t="0" r="12065" b="1905"/>
              <wp:docPr id="1" name="图片 167603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031753" name="图片 1676031753"/>
                      <pic:cNvPicPr>
                        <a:picLocks noChangeAspect="1"/>
                      </pic:cNvPicPr>
                      <pic:nvPr/>
                    </pic:nvPicPr>
                    <pic:blipFill>
                      <a:blip r:embed="rId1"/>
                      <a:stretch/>
                    </pic:blipFill>
                    <pic:spPr bwMode="auto">
                      <a:xfrm>
                        <a:off x="0" y="0"/>
                        <a:ext cx="1188085" cy="3600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3.5pt;height:28.3pt;mso-wrap-distance-left:0.0pt;mso-wrap-distance-top:0.0pt;mso-wrap-distance-right:0.0pt;mso-wrap-distance-bottom:0.0pt;" stroked="false">
              <v:path textboxrect="0,0,0,0"/>
              <v:imagedata r:id="rId1" o:title=""/>
            </v:shape>
          </w:pict>
        </mc:Fallback>
      </mc:AlternateContent>
    </w:r>
    <w:r>
      <w:t xml:space="preserve">                              </w:t>
    </w:r>
    <w:r>
      <w:rPr>
        <w:rFonts w:hint="eastAsia"/>
      </w:rPr>
      <w:t xml:space="preserve">                     江苏省特种设备安全监督检验研究院</w:t>
    </w:r>
    <w:r/>
  </w:p>
  <w:p>
    <w:pPr>
      <w:pStyle w:val="1428"/>
      <w:jc w:val="right"/>
      <w:rPr>
        <w:sz w:val="21"/>
      </w:rPr>
    </w:pPr>
    <w:r>
      <w:rPr>
        <w:rFonts w:hint="eastAsia"/>
      </w:rPr>
      <w:t xml:space="preserve">水介质检验检测设备招标文件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8"/>
      <w:jc w:val="left"/>
    </w:pPr>
    <w:r>
      <w:rPr>
        <w:rFonts w:hint="eastAsia"/>
      </w:rPr>
      <mc:AlternateContent>
        <mc:Choice Requires="wpg">
          <w:drawing>
            <wp:inline xmlns:wp="http://schemas.openxmlformats.org/drawingml/2006/wordprocessingDrawing" distT="0" distB="0" distL="0" distR="0">
              <wp:extent cx="995045" cy="301625"/>
              <wp:effectExtent l="0" t="0" r="14604" b="3175"/>
              <wp:docPr id="2" name="图片 1746747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747741" name="图片 1746747741"/>
                      <pic:cNvPicPr>
                        <a:picLocks noChangeAspect="1"/>
                      </pic:cNvPicPr>
                      <pic:nvPr/>
                    </pic:nvPicPr>
                    <pic:blipFill>
                      <a:blip r:embed="rId1"/>
                      <a:stretch/>
                    </pic:blipFill>
                    <pic:spPr bwMode="auto">
                      <a:xfrm>
                        <a:off x="0" y="0"/>
                        <a:ext cx="995045" cy="301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8.3pt;height:23.8pt;mso-wrap-distance-left:0.0pt;mso-wrap-distance-top:0.0pt;mso-wrap-distance-right:0.0pt;mso-wrap-distance-bottom:0.0pt;" stroked="false">
              <v:path textboxrect="0,0,0,0"/>
              <v:imagedata r:id="rId1" o:title=""/>
            </v:shape>
          </w:pict>
        </mc:Fallback>
      </mc:AlternateContent>
    </w:r>
    <w:r>
      <w:t xml:space="preserve">                        </w:t>
    </w:r>
    <w:r>
      <w:rPr>
        <w:rFonts w:hint="eastAsia"/>
      </w:rPr>
      <w:t xml:space="preserve">                               江苏省特种设备安全监督检验研究院</w:t>
    </w:r>
    <w:r/>
  </w:p>
  <w:p>
    <w:pPr>
      <w:pStyle w:val="1428"/>
      <w:jc w:val="right"/>
    </w:pPr>
    <w:r>
      <w:t xml:space="preserve">  </w:t>
    </w:r>
    <w:r>
      <w:rPr>
        <w:rFonts w:hint="eastAsia"/>
      </w:rPr>
      <w:t xml:space="preserve">观片灯等23项设备招标文件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8"/>
      <w:jc w:val="both"/>
    </w:pPr>
    <w:r>
      <w:rPr>
        <w:rFonts w:hint="eastAsia"/>
      </w:rPr>
      <mc:AlternateContent>
        <mc:Choice Requires="wpg">
          <w:drawing>
            <wp:inline xmlns:wp="http://schemas.openxmlformats.org/drawingml/2006/wordprocessingDrawing" distT="0" distB="0" distL="0" distR="0">
              <wp:extent cx="1188085" cy="360045"/>
              <wp:effectExtent l="0" t="0" r="12065" b="1905"/>
              <wp:docPr id="3" name="图片 96011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112987" name="图片 960112987"/>
                      <pic:cNvPicPr>
                        <a:picLocks noChangeAspect="1"/>
                      </pic:cNvPicPr>
                      <pic:nvPr/>
                    </pic:nvPicPr>
                    <pic:blipFill>
                      <a:blip r:embed="rId1"/>
                      <a:stretch/>
                    </pic:blipFill>
                    <pic:spPr bwMode="auto">
                      <a:xfrm>
                        <a:off x="0" y="0"/>
                        <a:ext cx="1188085" cy="3600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3.5pt;height:28.3pt;mso-wrap-distance-left:0.0pt;mso-wrap-distance-top:0.0pt;mso-wrap-distance-right:0.0pt;mso-wrap-distance-bottom:0.0pt;" stroked="false">
              <v:path textboxrect="0,0,0,0"/>
              <v:imagedata r:id="rId1" o:title=""/>
            </v:shape>
          </w:pict>
        </mc:Fallback>
      </mc:AlternateContent>
    </w:r>
    <w:r>
      <w:t xml:space="preserve">                              </w:t>
    </w:r>
    <w:r>
      <w:rPr>
        <w:rFonts w:hint="eastAsia"/>
      </w:rPr>
      <w:t xml:space="preserve">                      江苏省特种设备安全监督检验研究院 </w:t>
    </w:r>
    <w:r/>
  </w:p>
  <w:p>
    <w:pPr>
      <w:pStyle w:val="1428"/>
      <w:rPr>
        <w:sz w:val="21"/>
      </w:rPr>
    </w:pPr>
    <w:r>
      <w:rPr>
        <w:rFonts w:hint="eastAsia"/>
      </w:rPr>
      <w:t xml:space="preserve">                                                              </w:t>
    </w:r>
    <w:r>
      <w:t xml:space="preserve">         </w:t>
    </w:r>
    <w:r>
      <w:rPr>
        <w:rFonts w:hint="eastAsia"/>
      </w:rPr>
      <w:t xml:space="preserve">观片灯等23项设备招标文件</w:t>
    </w:r>
    <w:r/>
  </w:p>
  <w:p>
    <w:pPr>
      <w:pStyle w:val="1428"/>
      <w:jc w:val="right"/>
      <w:pBdr>
        <w:bottom w:val="none" w:color="auto" w:sz="0" w:space="1"/>
      </w:pBdr>
    </w:pP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pStyle w:val="1450"/>
      <w:isLgl w:val="false"/>
      <w:suff w:val="space"/>
      <w:lvlText w:val="%1　"/>
      <w:lvlJc w:val="left"/>
      <w:pPr/>
      <w:rPr>
        <w:rFonts w:hint="default" w:ascii="Times New Roman" w:hAnsi="Times New Roman" w:eastAsia="宋体"/>
        <w:b/>
        <w:i w:val="0"/>
        <w:caps w:val="0"/>
        <w:strike w:val="0"/>
        <w:color w:val="000000"/>
        <w:sz w:val="28"/>
        <w:szCs w:val="28"/>
      </w:rPr>
    </w:lvl>
    <w:lvl w:ilvl="1">
      <w:start w:val="1"/>
      <w:numFmt w:val="decimal"/>
      <w:isLgl w:val="false"/>
      <w:suff w:val="space"/>
      <w:lvlText w:val="%1.%2　"/>
      <w:lvlJc w:val="left"/>
      <w:pPr/>
      <w:rPr>
        <w:rFonts w:hint="default" w:ascii="Times New Roman" w:hAnsi="Times New Roman" w:eastAsia="宋体" w:cs="Times New Roman"/>
        <w:b/>
        <w:bCs w:val="0"/>
        <w:i w:val="0"/>
        <w:iCs w:val="0"/>
        <w:caps w:val="0"/>
        <w:strike w:val="0"/>
        <w:color w:val="000000"/>
        <w:spacing w:val="0"/>
        <w:position w:val="0"/>
        <w:sz w:val="24"/>
        <w:szCs w:val="24"/>
        <w:u w:val="none"/>
      </w:rPr>
    </w:lvl>
    <w:lvl w:ilvl="2">
      <w:start w:val="1"/>
      <w:numFmt w:val="decimal"/>
      <w:isLgl w:val="false"/>
      <w:suff w:val="space"/>
      <w:lvlText w:val="%1.%2.%3　"/>
      <w:lvlJc w:val="left"/>
      <w:pPr/>
      <w:rPr>
        <w:rFonts w:hint="default" w:ascii="Times New Roman" w:hAnsi="Times New Roman" w:eastAsia="宋体"/>
        <w:b/>
        <w:i w:val="0"/>
        <w:caps w:val="0"/>
        <w:strike w:val="0"/>
        <w:color w:val="000000"/>
        <w:sz w:val="24"/>
        <w:szCs w:val="24"/>
      </w:rPr>
    </w:lvl>
    <w:lvl w:ilvl="3">
      <w:start w:val="1"/>
      <w:numFmt w:val="decimal"/>
      <w:isLgl w:val="false"/>
      <w:suff w:val="space"/>
      <w:lvlText w:val="%1.%2.%3.%4　"/>
      <w:lvlJc w:val="left"/>
      <w:pPr/>
      <w:rPr>
        <w:rFonts w:hint="default" w:ascii="Times New Roman" w:hAnsi="Times New Roman" w:eastAsia="宋体"/>
        <w:b/>
        <w:i w:val="0"/>
        <w:caps w:val="0"/>
        <w:strike w:val="0"/>
        <w:color w:val="000000"/>
        <w:sz w:val="24"/>
        <w:szCs w:val="24"/>
      </w:rPr>
    </w:lvl>
    <w:lvl w:ilvl="4">
      <w:start w:val="1"/>
      <w:numFmt w:val="decimal"/>
      <w:isLgl w:val="false"/>
      <w:suff w:val="space"/>
      <w:lvlText w:val="%1.%2.%3.%4.%5　"/>
      <w:lvlJc w:val="left"/>
      <w:pPr/>
      <w:rPr>
        <w:rFonts w:hint="default" w:ascii="Times New Roman" w:hAnsi="Times New Roman" w:eastAsia="宋体"/>
        <w:b/>
        <w:i w:val="0"/>
        <w:caps w:val="0"/>
        <w:strike w:val="0"/>
        <w:color w:val="000000"/>
        <w:sz w:val="24"/>
        <w:szCs w:val="24"/>
      </w:rPr>
    </w:lvl>
    <w:lvl w:ilvl="5">
      <w:start w:val="1"/>
      <w:numFmt w:val="decimal"/>
      <w:isLgl w:val="false"/>
      <w:suff w:val="space"/>
      <w:lvlText w:val="%1.%2.%3.%4.%5.%6　"/>
      <w:lvlJc w:val="left"/>
      <w:pPr/>
      <w:rPr>
        <w:rFonts w:hint="default" w:ascii="Times New Roman" w:hAnsi="Times New Roman" w:eastAsia="宋体"/>
        <w:b/>
        <w:i w:val="0"/>
        <w:caps w:val="0"/>
        <w:strike w:val="0"/>
        <w:color w:val="000000"/>
        <w:sz w:val="24"/>
        <w:szCs w:val="24"/>
      </w:rPr>
    </w:lvl>
    <w:lvl w:ilvl="6">
      <w:start w:val="1"/>
      <w:numFmt w:val="lowerLetter"/>
      <w:pStyle w:val="1468"/>
      <w:isLgl w:val="false"/>
      <w:suff w:val="tab"/>
      <w:lvlText w:val="%7)"/>
      <w:lvlJc w:val="left"/>
      <w:pPr/>
      <w:rPr>
        <w:rFonts w:hint="default" w:ascii="Times New Roman" w:hAnsi="Times New Roman" w:eastAsia="宋体" w:cs="Times New Roman"/>
        <w:b w:val="0"/>
        <w:i w:val="0"/>
        <w:caps w:val="0"/>
        <w:strike w:val="0"/>
        <w:color w:val="000000"/>
        <w:sz w:val="24"/>
        <w:szCs w:val="24"/>
      </w:rPr>
    </w:lvl>
    <w:lvl w:ilvl="7">
      <w:start w:val="1"/>
      <w:numFmt w:val="decimal"/>
      <w:isLgl w:val="false"/>
      <w:suff w:val="tab"/>
      <w:lvlText w:val="%8)"/>
      <w:lvlJc w:val="left"/>
      <w:pPr/>
      <w:rPr>
        <w:rFonts w:hint="default" w:ascii="Times New Roman" w:hAnsi="Times New Roman" w:eastAsia="宋体"/>
        <w:b w:val="0"/>
        <w:i w:val="0"/>
        <w:caps w:val="0"/>
        <w:strike w:val="0"/>
        <w:color w:val="000000"/>
        <w:sz w:val="24"/>
        <w:szCs w:val="24"/>
      </w:rPr>
    </w:lvl>
    <w:lvl w:ilvl="8">
      <w:start w:val="1"/>
      <w:numFmt w:val="bullet"/>
      <w:isLgl w:val="false"/>
      <w:suff w:val="tab"/>
      <w:lvlText w:val=""/>
      <w:lvlJc w:val="left"/>
      <w:pPr/>
      <w:rPr>
        <w:rFonts w:hint="default" w:ascii="Symbol" w:hAnsi="Symbol"/>
        <w:b w:val="0"/>
        <w:i w:val="0"/>
        <w:caps w:val="0"/>
        <w:strike w:val="0"/>
        <w:color w:val="000000"/>
        <w:sz w:val="24"/>
        <w:szCs w:val="24"/>
      </w:rPr>
    </w:lvl>
  </w:abstractNum>
  <w:abstractNum w:abstractNumId="26">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bullet"/>
      <w:pStyle w:val="1517"/>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FZHTK--GBK1-0" w:hAnsi="FZHTK--GBK1-0"/>
      </w:rPr>
    </w:lvl>
    <w:lvl w:ilvl="2">
      <w:start w:val="1"/>
      <w:numFmt w:val="bullet"/>
      <w:isLgl w:val="false"/>
      <w:suff w:val="tab"/>
      <w:lvlText w:val=""/>
      <w:lvlJc w:val="left"/>
      <w:pPr>
        <w:ind w:left="1260" w:hanging="420"/>
        <w:tabs>
          <w:tab w:val="left" w:pos="1260" w:leader="none"/>
        </w:tabs>
      </w:pPr>
      <w:rPr>
        <w:rFonts w:hint="default" w:ascii="FZHTK--GBK1-0" w:hAnsi="FZHTK--GBK1-0"/>
      </w:rPr>
    </w:lvl>
    <w:lvl w:ilvl="3">
      <w:start w:val="1"/>
      <w:numFmt w:val="bullet"/>
      <w:isLgl w:val="false"/>
      <w:suff w:val="tab"/>
      <w:lvlText w:val=""/>
      <w:lvlJc w:val="left"/>
      <w:pPr>
        <w:ind w:left="1680" w:hanging="420"/>
        <w:tabs>
          <w:tab w:val="left" w:pos="1680" w:leader="none"/>
        </w:tabs>
      </w:pPr>
      <w:rPr>
        <w:rFonts w:hint="default" w:ascii="FZHTK--GBK1-0" w:hAnsi="FZHTK--GBK1-0"/>
      </w:rPr>
    </w:lvl>
    <w:lvl w:ilvl="4">
      <w:start w:val="1"/>
      <w:numFmt w:val="bullet"/>
      <w:isLgl w:val="false"/>
      <w:suff w:val="tab"/>
      <w:lvlText w:val=""/>
      <w:lvlJc w:val="left"/>
      <w:pPr>
        <w:ind w:left="2100" w:hanging="420"/>
        <w:tabs>
          <w:tab w:val="left" w:pos="2100" w:leader="none"/>
        </w:tabs>
      </w:pPr>
      <w:rPr>
        <w:rFonts w:hint="default" w:ascii="FZHTK--GBK1-0" w:hAnsi="FZHTK--GBK1-0"/>
      </w:rPr>
    </w:lvl>
    <w:lvl w:ilvl="5">
      <w:start w:val="1"/>
      <w:numFmt w:val="bullet"/>
      <w:isLgl w:val="false"/>
      <w:suff w:val="tab"/>
      <w:lvlText w:val=""/>
      <w:lvlJc w:val="left"/>
      <w:pPr>
        <w:ind w:left="2520" w:hanging="420"/>
        <w:tabs>
          <w:tab w:val="left" w:pos="2520" w:leader="none"/>
        </w:tabs>
      </w:pPr>
      <w:rPr>
        <w:rFonts w:hint="default" w:ascii="FZHTK--GBK1-0" w:hAnsi="FZHTK--GBK1-0"/>
      </w:rPr>
    </w:lvl>
    <w:lvl w:ilvl="6">
      <w:start w:val="1"/>
      <w:numFmt w:val="bullet"/>
      <w:isLgl w:val="false"/>
      <w:suff w:val="tab"/>
      <w:lvlText w:val=""/>
      <w:lvlJc w:val="left"/>
      <w:pPr>
        <w:ind w:left="2940" w:hanging="420"/>
        <w:tabs>
          <w:tab w:val="left" w:pos="2940" w:leader="none"/>
        </w:tabs>
      </w:pPr>
      <w:rPr>
        <w:rFonts w:hint="default" w:ascii="FZHTK--GBK1-0" w:hAnsi="FZHTK--GBK1-0"/>
      </w:rPr>
    </w:lvl>
    <w:lvl w:ilvl="7">
      <w:start w:val="1"/>
      <w:numFmt w:val="bullet"/>
      <w:isLgl w:val="false"/>
      <w:suff w:val="tab"/>
      <w:lvlText w:val=""/>
      <w:lvlJc w:val="left"/>
      <w:pPr>
        <w:ind w:left="3360" w:hanging="420"/>
        <w:tabs>
          <w:tab w:val="left" w:pos="3360" w:leader="none"/>
        </w:tabs>
      </w:pPr>
      <w:rPr>
        <w:rFonts w:hint="default" w:ascii="FZHTK--GBK1-0" w:hAnsi="FZHTK--GBK1-0"/>
      </w:rPr>
    </w:lvl>
    <w:lvl w:ilvl="8">
      <w:start w:val="1"/>
      <w:numFmt w:val="bullet"/>
      <w:isLgl w:val="false"/>
      <w:suff w:val="tab"/>
      <w:lvlText w:val=""/>
      <w:lvlJc w:val="left"/>
      <w:pPr>
        <w:ind w:left="3780" w:hanging="420"/>
        <w:tabs>
          <w:tab w:val="left" w:pos="3780" w:leader="none"/>
        </w:tabs>
      </w:pPr>
      <w:rPr>
        <w:rFonts w:hint="default" w:ascii="FZHTK--GBK1-0" w:hAnsi="FZHTK--GBK1-0"/>
      </w:rPr>
    </w:lvl>
  </w:abstractNum>
  <w:abstractNum w:abstractNumId="28">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5"/>
  </w:num>
  <w:num w:numId="2">
    <w:abstractNumId w:val="27"/>
  </w:num>
  <w:num w:numId="3">
    <w:abstractNumId w:val="3"/>
  </w:num>
  <w:num w:numId="4">
    <w:abstractNumId w:val="18"/>
  </w:num>
  <w:num w:numId="5">
    <w:abstractNumId w:val="19"/>
  </w:num>
  <w:num w:numId="6">
    <w:abstractNumId w:val="13"/>
  </w:num>
  <w:num w:numId="7">
    <w:abstractNumId w:val="10"/>
  </w:num>
  <w:num w:numId="8">
    <w:abstractNumId w:val="26"/>
  </w:num>
  <w:num w:numId="9">
    <w:abstractNumId w:val="21"/>
  </w:num>
  <w:num w:numId="10">
    <w:abstractNumId w:val="0"/>
  </w:num>
  <w:num w:numId="11">
    <w:abstractNumId w:val="11"/>
  </w:num>
  <w:num w:numId="12">
    <w:abstractNumId w:val="2"/>
  </w:num>
  <w:num w:numId="13">
    <w:abstractNumId w:val="29"/>
  </w:num>
  <w:num w:numId="14">
    <w:abstractNumId w:val="24"/>
  </w:num>
  <w:num w:numId="15">
    <w:abstractNumId w:val="30"/>
  </w:num>
  <w:num w:numId="16">
    <w:abstractNumId w:val="33"/>
  </w:num>
  <w:num w:numId="17">
    <w:abstractNumId w:val="22"/>
  </w:num>
  <w:num w:numId="18">
    <w:abstractNumId w:val="7"/>
  </w:num>
  <w:num w:numId="19">
    <w:abstractNumId w:val="6"/>
  </w:num>
  <w:num w:numId="20">
    <w:abstractNumId w:val="8"/>
  </w:num>
  <w:num w:numId="21">
    <w:abstractNumId w:val="20"/>
  </w:num>
  <w:num w:numId="22">
    <w:abstractNumId w:val="14"/>
  </w:num>
  <w:num w:numId="23">
    <w:abstractNumId w:val="34"/>
  </w:num>
  <w:num w:numId="24">
    <w:abstractNumId w:val="23"/>
  </w:num>
  <w:num w:numId="25">
    <w:abstractNumId w:val="28"/>
  </w:num>
  <w:num w:numId="26">
    <w:abstractNumId w:val="15"/>
  </w:num>
  <w:num w:numId="27">
    <w:abstractNumId w:val="16"/>
  </w:num>
  <w:num w:numId="28">
    <w:abstractNumId w:val="5"/>
  </w:num>
  <w:num w:numId="29">
    <w:abstractNumId w:val="4"/>
  </w:num>
  <w:num w:numId="30">
    <w:abstractNumId w:val="31"/>
  </w:num>
  <w:num w:numId="31">
    <w:abstractNumId w:val="1"/>
  </w:num>
  <w:num w:numId="32">
    <w:abstractNumId w:val="9"/>
  </w:num>
  <w:num w:numId="33">
    <w:abstractNumId w:val="32"/>
  </w:num>
  <w:num w:numId="34">
    <w:abstractNumId w:val="17"/>
  </w:num>
  <w:num w:numId="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242">
    <w:name w:val="Heading 1 Char"/>
    <w:basedOn w:val="1404"/>
    <w:link w:val="1398"/>
    <w:uiPriority w:val="9"/>
    <w:rPr>
      <w:rFonts w:ascii="Arial" w:hAnsi="Arial" w:eastAsia="Arial" w:cs="Arial"/>
      <w:sz w:val="40"/>
      <w:szCs w:val="40"/>
    </w:rPr>
  </w:style>
  <w:style w:type="character" w:styleId="1243">
    <w:name w:val="Heading 2 Char"/>
    <w:basedOn w:val="1404"/>
    <w:link w:val="1399"/>
    <w:uiPriority w:val="9"/>
    <w:rPr>
      <w:rFonts w:ascii="Arial" w:hAnsi="Arial" w:eastAsia="Arial" w:cs="Arial"/>
      <w:sz w:val="34"/>
    </w:rPr>
  </w:style>
  <w:style w:type="character" w:styleId="1244">
    <w:name w:val="Heading 3 Char"/>
    <w:basedOn w:val="1404"/>
    <w:link w:val="1400"/>
    <w:uiPriority w:val="9"/>
    <w:rPr>
      <w:rFonts w:ascii="Arial" w:hAnsi="Arial" w:eastAsia="Arial" w:cs="Arial"/>
      <w:sz w:val="30"/>
      <w:szCs w:val="30"/>
    </w:rPr>
  </w:style>
  <w:style w:type="character" w:styleId="1245">
    <w:name w:val="Heading 4 Char"/>
    <w:basedOn w:val="1404"/>
    <w:link w:val="1401"/>
    <w:uiPriority w:val="9"/>
    <w:rPr>
      <w:rFonts w:ascii="Arial" w:hAnsi="Arial" w:eastAsia="Arial" w:cs="Arial"/>
      <w:b/>
      <w:bCs/>
      <w:sz w:val="26"/>
      <w:szCs w:val="26"/>
    </w:rPr>
  </w:style>
  <w:style w:type="character" w:styleId="1246">
    <w:name w:val="Heading 5 Char"/>
    <w:basedOn w:val="1404"/>
    <w:link w:val="1402"/>
    <w:uiPriority w:val="9"/>
    <w:rPr>
      <w:rFonts w:ascii="Arial" w:hAnsi="Arial" w:eastAsia="Arial" w:cs="Arial"/>
      <w:b/>
      <w:bCs/>
      <w:sz w:val="24"/>
      <w:szCs w:val="24"/>
    </w:rPr>
  </w:style>
  <w:style w:type="paragraph" w:styleId="1247">
    <w:name w:val="Heading 6"/>
    <w:basedOn w:val="1397"/>
    <w:next w:val="1397"/>
    <w:link w:val="1248"/>
    <w:uiPriority w:val="9"/>
    <w:unhideWhenUsed/>
    <w:qFormat/>
    <w:pPr>
      <w:keepLines/>
      <w:keepNext/>
      <w:spacing w:before="320" w:after="200"/>
      <w:outlineLvl w:val="5"/>
    </w:pPr>
    <w:rPr>
      <w:rFonts w:ascii="Arial" w:hAnsi="Arial" w:eastAsia="Arial" w:cs="Arial"/>
      <w:b/>
      <w:bCs/>
      <w:sz w:val="22"/>
      <w:szCs w:val="22"/>
    </w:rPr>
  </w:style>
  <w:style w:type="character" w:styleId="1248">
    <w:name w:val="Heading 6 Char"/>
    <w:basedOn w:val="1404"/>
    <w:link w:val="1247"/>
    <w:uiPriority w:val="9"/>
    <w:rPr>
      <w:rFonts w:ascii="Arial" w:hAnsi="Arial" w:eastAsia="Arial" w:cs="Arial"/>
      <w:b/>
      <w:bCs/>
      <w:sz w:val="22"/>
      <w:szCs w:val="22"/>
    </w:rPr>
  </w:style>
  <w:style w:type="character" w:styleId="1249">
    <w:name w:val="Heading 7 Char"/>
    <w:basedOn w:val="1404"/>
    <w:link w:val="1403"/>
    <w:uiPriority w:val="9"/>
    <w:rPr>
      <w:rFonts w:ascii="Arial" w:hAnsi="Arial" w:eastAsia="Arial" w:cs="Arial"/>
      <w:b/>
      <w:bCs/>
      <w:i/>
      <w:iCs/>
      <w:sz w:val="22"/>
      <w:szCs w:val="22"/>
    </w:rPr>
  </w:style>
  <w:style w:type="paragraph" w:styleId="1250">
    <w:name w:val="Heading 8"/>
    <w:basedOn w:val="1397"/>
    <w:next w:val="1397"/>
    <w:link w:val="1251"/>
    <w:uiPriority w:val="9"/>
    <w:unhideWhenUsed/>
    <w:qFormat/>
    <w:pPr>
      <w:keepLines/>
      <w:keepNext/>
      <w:spacing w:before="320" w:after="200"/>
      <w:outlineLvl w:val="7"/>
    </w:pPr>
    <w:rPr>
      <w:rFonts w:ascii="Arial" w:hAnsi="Arial" w:eastAsia="Arial" w:cs="Arial"/>
      <w:i/>
      <w:iCs/>
      <w:sz w:val="22"/>
      <w:szCs w:val="22"/>
    </w:rPr>
  </w:style>
  <w:style w:type="character" w:styleId="1251">
    <w:name w:val="Heading 8 Char"/>
    <w:basedOn w:val="1404"/>
    <w:link w:val="1250"/>
    <w:uiPriority w:val="9"/>
    <w:rPr>
      <w:rFonts w:ascii="Arial" w:hAnsi="Arial" w:eastAsia="Arial" w:cs="Arial"/>
      <w:i/>
      <w:iCs/>
      <w:sz w:val="22"/>
      <w:szCs w:val="22"/>
    </w:rPr>
  </w:style>
  <w:style w:type="paragraph" w:styleId="1252">
    <w:name w:val="Heading 9"/>
    <w:basedOn w:val="1397"/>
    <w:next w:val="1397"/>
    <w:link w:val="1253"/>
    <w:uiPriority w:val="9"/>
    <w:unhideWhenUsed/>
    <w:qFormat/>
    <w:pPr>
      <w:keepLines/>
      <w:keepNext/>
      <w:spacing w:before="320" w:after="200"/>
      <w:outlineLvl w:val="8"/>
    </w:pPr>
    <w:rPr>
      <w:rFonts w:ascii="Arial" w:hAnsi="Arial" w:eastAsia="Arial" w:cs="Arial"/>
      <w:i/>
      <w:iCs/>
      <w:sz w:val="21"/>
      <w:szCs w:val="21"/>
    </w:rPr>
  </w:style>
  <w:style w:type="character" w:styleId="1253">
    <w:name w:val="Heading 9 Char"/>
    <w:basedOn w:val="1404"/>
    <w:link w:val="1252"/>
    <w:uiPriority w:val="9"/>
    <w:rPr>
      <w:rFonts w:ascii="Arial" w:hAnsi="Arial" w:eastAsia="Arial" w:cs="Arial"/>
      <w:i/>
      <w:iCs/>
      <w:sz w:val="21"/>
      <w:szCs w:val="21"/>
    </w:rPr>
  </w:style>
  <w:style w:type="paragraph" w:styleId="1254">
    <w:name w:val="No Spacing"/>
    <w:uiPriority w:val="1"/>
    <w:qFormat/>
    <w:pPr>
      <w:spacing w:before="0" w:after="0" w:line="240" w:lineRule="auto"/>
    </w:pPr>
  </w:style>
  <w:style w:type="character" w:styleId="1255">
    <w:name w:val="Title Char"/>
    <w:basedOn w:val="1404"/>
    <w:link w:val="1438"/>
    <w:uiPriority w:val="10"/>
    <w:rPr>
      <w:sz w:val="48"/>
      <w:szCs w:val="48"/>
    </w:rPr>
  </w:style>
  <w:style w:type="character" w:styleId="1256">
    <w:name w:val="Subtitle Char"/>
    <w:basedOn w:val="1404"/>
    <w:link w:val="1431"/>
    <w:uiPriority w:val="11"/>
    <w:rPr>
      <w:sz w:val="24"/>
      <w:szCs w:val="24"/>
    </w:rPr>
  </w:style>
  <w:style w:type="paragraph" w:styleId="1257">
    <w:name w:val="Quote"/>
    <w:basedOn w:val="1397"/>
    <w:next w:val="1397"/>
    <w:link w:val="1258"/>
    <w:uiPriority w:val="29"/>
    <w:qFormat/>
    <w:pPr>
      <w:ind w:left="720" w:right="720"/>
    </w:pPr>
    <w:rPr>
      <w:i/>
    </w:rPr>
  </w:style>
  <w:style w:type="character" w:styleId="1258">
    <w:name w:val="Quote Char"/>
    <w:link w:val="1257"/>
    <w:uiPriority w:val="29"/>
    <w:rPr>
      <w:i/>
    </w:rPr>
  </w:style>
  <w:style w:type="paragraph" w:styleId="1259">
    <w:name w:val="Intense Quote"/>
    <w:basedOn w:val="1397"/>
    <w:next w:val="1397"/>
    <w:link w:val="12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60">
    <w:name w:val="Intense Quote Char"/>
    <w:link w:val="1259"/>
    <w:uiPriority w:val="30"/>
    <w:rPr>
      <w:i/>
    </w:rPr>
  </w:style>
  <w:style w:type="character" w:styleId="1261">
    <w:name w:val="Header Char"/>
    <w:basedOn w:val="1404"/>
    <w:link w:val="1428"/>
    <w:uiPriority w:val="99"/>
  </w:style>
  <w:style w:type="character" w:styleId="1262">
    <w:name w:val="Footer Char"/>
    <w:basedOn w:val="1404"/>
    <w:link w:val="1427"/>
    <w:uiPriority w:val="99"/>
  </w:style>
  <w:style w:type="character" w:styleId="1263">
    <w:name w:val="Caption Char"/>
    <w:basedOn w:val="1409"/>
    <w:link w:val="1427"/>
    <w:uiPriority w:val="99"/>
  </w:style>
  <w:style w:type="table" w:styleId="1264">
    <w:name w:val="Table Grid Light"/>
    <w:basedOn w:val="14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65">
    <w:name w:val="Plain Table 1"/>
    <w:basedOn w:val="14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66">
    <w:name w:val="Plain Table 2"/>
    <w:basedOn w:val="14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67">
    <w:name w:val="Plain Table 3"/>
    <w:basedOn w:val="14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68">
    <w:name w:val="Plain Table 4"/>
    <w:basedOn w:val="14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69">
    <w:name w:val="Plain Table 5"/>
    <w:basedOn w:val="14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70">
    <w:name w:val="Grid Table 1 Light"/>
    <w:basedOn w:val="14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71">
    <w:name w:val="Grid Table 1 Light - Accent 1"/>
    <w:basedOn w:val="14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72">
    <w:name w:val="Grid Table 1 Light - Accent 2"/>
    <w:basedOn w:val="14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73">
    <w:name w:val="Grid Table 1 Light - Accent 3"/>
    <w:basedOn w:val="14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74">
    <w:name w:val="Grid Table 1 Light - Accent 4"/>
    <w:basedOn w:val="14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75">
    <w:name w:val="Grid Table 1 Light - Accent 5"/>
    <w:basedOn w:val="14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76">
    <w:name w:val="Grid Table 1 Light - Accent 6"/>
    <w:basedOn w:val="14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77">
    <w:name w:val="Grid Table 2"/>
    <w:basedOn w:val="14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78">
    <w:name w:val="Grid Table 2 - Accent 1"/>
    <w:basedOn w:val="14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79">
    <w:name w:val="Grid Table 2 - Accent 2"/>
    <w:basedOn w:val="14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80">
    <w:name w:val="Grid Table 2 - Accent 3"/>
    <w:basedOn w:val="14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81">
    <w:name w:val="Grid Table 2 - Accent 4"/>
    <w:basedOn w:val="14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82">
    <w:name w:val="Grid Table 2 - Accent 5"/>
    <w:basedOn w:val="14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83">
    <w:name w:val="Grid Table 2 - Accent 6"/>
    <w:basedOn w:val="14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84">
    <w:name w:val="Grid Table 3"/>
    <w:basedOn w:val="14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85">
    <w:name w:val="Grid Table 3 - Accent 1"/>
    <w:basedOn w:val="14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86">
    <w:name w:val="Grid Table 3 - Accent 2"/>
    <w:basedOn w:val="14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87">
    <w:name w:val="Grid Table 3 - Accent 3"/>
    <w:basedOn w:val="14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88">
    <w:name w:val="Grid Table 3 - Accent 4"/>
    <w:basedOn w:val="14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89">
    <w:name w:val="Grid Table 3 - Accent 5"/>
    <w:basedOn w:val="14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90">
    <w:name w:val="Grid Table 3 - Accent 6"/>
    <w:basedOn w:val="14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91">
    <w:name w:val="Grid Table 4"/>
    <w:basedOn w:val="14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92">
    <w:name w:val="Grid Table 4 - Accent 1"/>
    <w:basedOn w:val="14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93">
    <w:name w:val="Grid Table 4 - Accent 2"/>
    <w:basedOn w:val="14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94">
    <w:name w:val="Grid Table 4 - Accent 3"/>
    <w:basedOn w:val="14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95">
    <w:name w:val="Grid Table 4 - Accent 4"/>
    <w:basedOn w:val="14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96">
    <w:name w:val="Grid Table 4 - Accent 5"/>
    <w:basedOn w:val="14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97">
    <w:name w:val="Grid Table 4 - Accent 6"/>
    <w:basedOn w:val="14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98">
    <w:name w:val="Grid Table 5 Dark"/>
    <w:basedOn w:val="14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99">
    <w:name w:val="Grid Table 5 Dark- Accent 1"/>
    <w:basedOn w:val="14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00">
    <w:name w:val="Grid Table 5 Dark - Accent 2"/>
    <w:basedOn w:val="14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01">
    <w:name w:val="Grid Table 5 Dark - Accent 3"/>
    <w:basedOn w:val="14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02">
    <w:name w:val="Grid Table 5 Dark- Accent 4"/>
    <w:basedOn w:val="14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03">
    <w:name w:val="Grid Table 5 Dark - Accent 5"/>
    <w:basedOn w:val="14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04">
    <w:name w:val="Grid Table 5 Dark - Accent 6"/>
    <w:basedOn w:val="14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05">
    <w:name w:val="Grid Table 6 Colorful"/>
    <w:basedOn w:val="14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06">
    <w:name w:val="Grid Table 6 Colorful - Accent 1"/>
    <w:basedOn w:val="14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07">
    <w:name w:val="Grid Table 6 Colorful - Accent 2"/>
    <w:basedOn w:val="14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08">
    <w:name w:val="Grid Table 6 Colorful - Accent 3"/>
    <w:basedOn w:val="14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09">
    <w:name w:val="Grid Table 6 Colorful - Accent 4"/>
    <w:basedOn w:val="14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10">
    <w:name w:val="Grid Table 6 Colorful - Accent 5"/>
    <w:basedOn w:val="14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11">
    <w:name w:val="Grid Table 6 Colorful - Accent 6"/>
    <w:basedOn w:val="14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12">
    <w:name w:val="Grid Table 7 Colorful"/>
    <w:basedOn w:val="14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13">
    <w:name w:val="Grid Table 7 Colorful - Accent 1"/>
    <w:basedOn w:val="14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14">
    <w:name w:val="Grid Table 7 Colorful - Accent 2"/>
    <w:basedOn w:val="14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15">
    <w:name w:val="Grid Table 7 Colorful - Accent 3"/>
    <w:basedOn w:val="14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16">
    <w:name w:val="Grid Table 7 Colorful - Accent 4"/>
    <w:basedOn w:val="14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17">
    <w:name w:val="Grid Table 7 Colorful - Accent 5"/>
    <w:basedOn w:val="14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18">
    <w:name w:val="Grid Table 7 Colorful - Accent 6"/>
    <w:basedOn w:val="14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19">
    <w:name w:val="List Table 1 Light"/>
    <w:basedOn w:val="14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20">
    <w:name w:val="List Table 1 Light - Accent 1"/>
    <w:basedOn w:val="140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21">
    <w:name w:val="List Table 1 Light - Accent 2"/>
    <w:basedOn w:val="140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22">
    <w:name w:val="List Table 1 Light - Accent 3"/>
    <w:basedOn w:val="140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23">
    <w:name w:val="List Table 1 Light - Accent 4"/>
    <w:basedOn w:val="140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24">
    <w:name w:val="List Table 1 Light - Accent 5"/>
    <w:basedOn w:val="140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25">
    <w:name w:val="List Table 1 Light - Accent 6"/>
    <w:basedOn w:val="140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26">
    <w:name w:val="List Table 2"/>
    <w:basedOn w:val="14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27">
    <w:name w:val="List Table 2 - Accent 1"/>
    <w:basedOn w:val="14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28">
    <w:name w:val="List Table 2 - Accent 2"/>
    <w:basedOn w:val="14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29">
    <w:name w:val="List Table 2 - Accent 3"/>
    <w:basedOn w:val="14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30">
    <w:name w:val="List Table 2 - Accent 4"/>
    <w:basedOn w:val="14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31">
    <w:name w:val="List Table 2 - Accent 5"/>
    <w:basedOn w:val="14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32">
    <w:name w:val="List Table 2 - Accent 6"/>
    <w:basedOn w:val="14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333">
    <w:name w:val="List Table 3"/>
    <w:basedOn w:val="14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34">
    <w:name w:val="List Table 3 - Accent 1"/>
    <w:basedOn w:val="14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35">
    <w:name w:val="List Table 3 - Accent 2"/>
    <w:basedOn w:val="14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336">
    <w:name w:val="List Table 3 - Accent 3"/>
    <w:basedOn w:val="14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337">
    <w:name w:val="List Table 3 - Accent 4"/>
    <w:basedOn w:val="14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338">
    <w:name w:val="List Table 3 - Accent 5"/>
    <w:basedOn w:val="14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339">
    <w:name w:val="List Table 3 - Accent 6"/>
    <w:basedOn w:val="14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340">
    <w:name w:val="List Table 4"/>
    <w:basedOn w:val="14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41">
    <w:name w:val="List Table 4 - Accent 1"/>
    <w:basedOn w:val="14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42">
    <w:name w:val="List Table 4 - Accent 2"/>
    <w:basedOn w:val="14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343">
    <w:name w:val="List Table 4 - Accent 3"/>
    <w:basedOn w:val="14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44">
    <w:name w:val="List Table 4 - Accent 4"/>
    <w:basedOn w:val="14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45">
    <w:name w:val="List Table 4 - Accent 5"/>
    <w:basedOn w:val="14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46">
    <w:name w:val="List Table 4 - Accent 6"/>
    <w:basedOn w:val="14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47">
    <w:name w:val="List Table 5 Dark"/>
    <w:basedOn w:val="14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8">
    <w:name w:val="List Table 5 Dark - Accent 1"/>
    <w:basedOn w:val="14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9">
    <w:name w:val="List Table 5 Dark - Accent 2"/>
    <w:basedOn w:val="14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0">
    <w:name w:val="List Table 5 Dark - Accent 3"/>
    <w:basedOn w:val="14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1">
    <w:name w:val="List Table 5 Dark - Accent 4"/>
    <w:basedOn w:val="14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2">
    <w:name w:val="List Table 5 Dark - Accent 5"/>
    <w:basedOn w:val="14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3">
    <w:name w:val="List Table 5 Dark - Accent 6"/>
    <w:basedOn w:val="14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4">
    <w:name w:val="List Table 6 Colorful"/>
    <w:basedOn w:val="14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55">
    <w:name w:val="List Table 6 Colorful - Accent 1"/>
    <w:basedOn w:val="14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56">
    <w:name w:val="List Table 6 Colorful - Accent 2"/>
    <w:basedOn w:val="14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57">
    <w:name w:val="List Table 6 Colorful - Accent 3"/>
    <w:basedOn w:val="14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58">
    <w:name w:val="List Table 6 Colorful - Accent 4"/>
    <w:basedOn w:val="14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59">
    <w:name w:val="List Table 6 Colorful - Accent 5"/>
    <w:basedOn w:val="14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60">
    <w:name w:val="List Table 6 Colorful - Accent 6"/>
    <w:basedOn w:val="14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61">
    <w:name w:val="List Table 7 Colorful"/>
    <w:basedOn w:val="14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62">
    <w:name w:val="List Table 7 Colorful - Accent 1"/>
    <w:basedOn w:val="14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63">
    <w:name w:val="List Table 7 Colorful - Accent 2"/>
    <w:basedOn w:val="14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64">
    <w:name w:val="List Table 7 Colorful - Accent 3"/>
    <w:basedOn w:val="14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65">
    <w:name w:val="List Table 7 Colorful - Accent 4"/>
    <w:basedOn w:val="14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66">
    <w:name w:val="List Table 7 Colorful - Accent 5"/>
    <w:basedOn w:val="14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67">
    <w:name w:val="List Table 7 Colorful - Accent 6"/>
    <w:basedOn w:val="14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68">
    <w:name w:val="Lined - Accent"/>
    <w:basedOn w:val="14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69">
    <w:name w:val="Lined - Accent 1"/>
    <w:basedOn w:val="14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70">
    <w:name w:val="Lined - Accent 2"/>
    <w:basedOn w:val="14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71">
    <w:name w:val="Lined - Accent 3"/>
    <w:basedOn w:val="14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72">
    <w:name w:val="Lined - Accent 4"/>
    <w:basedOn w:val="14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73">
    <w:name w:val="Lined - Accent 5"/>
    <w:basedOn w:val="14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74">
    <w:name w:val="Lined - Accent 6"/>
    <w:basedOn w:val="14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75">
    <w:name w:val="Bordered &amp; Lined - Accent"/>
    <w:basedOn w:val="14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76">
    <w:name w:val="Bordered &amp; Lined - Accent 1"/>
    <w:basedOn w:val="14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77">
    <w:name w:val="Bordered &amp; Lined - Accent 2"/>
    <w:basedOn w:val="14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78">
    <w:name w:val="Bordered &amp; Lined - Accent 3"/>
    <w:basedOn w:val="14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79">
    <w:name w:val="Bordered &amp; Lined - Accent 4"/>
    <w:basedOn w:val="14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80">
    <w:name w:val="Bordered &amp; Lined - Accent 5"/>
    <w:basedOn w:val="14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81">
    <w:name w:val="Bordered &amp; Lined - Accent 6"/>
    <w:basedOn w:val="14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82">
    <w:name w:val="Bordered"/>
    <w:basedOn w:val="14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83">
    <w:name w:val="Bordered - Accent 1"/>
    <w:basedOn w:val="14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84">
    <w:name w:val="Bordered - Accent 2"/>
    <w:basedOn w:val="14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85">
    <w:name w:val="Bordered - Accent 3"/>
    <w:basedOn w:val="14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86">
    <w:name w:val="Bordered - Accent 4"/>
    <w:basedOn w:val="14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87">
    <w:name w:val="Bordered - Accent 5"/>
    <w:basedOn w:val="14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88">
    <w:name w:val="Bordered - Accent 6"/>
    <w:basedOn w:val="14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389">
    <w:name w:val="footnote text"/>
    <w:basedOn w:val="1397"/>
    <w:link w:val="1390"/>
    <w:uiPriority w:val="99"/>
    <w:semiHidden/>
    <w:unhideWhenUsed/>
    <w:pPr>
      <w:spacing w:after="40" w:line="240" w:lineRule="auto"/>
    </w:pPr>
    <w:rPr>
      <w:sz w:val="18"/>
    </w:rPr>
  </w:style>
  <w:style w:type="character" w:styleId="1390">
    <w:name w:val="Footnote Text Char"/>
    <w:link w:val="1389"/>
    <w:uiPriority w:val="99"/>
    <w:rPr>
      <w:sz w:val="18"/>
    </w:rPr>
  </w:style>
  <w:style w:type="character" w:styleId="1391">
    <w:name w:val="footnote reference"/>
    <w:basedOn w:val="1404"/>
    <w:uiPriority w:val="99"/>
    <w:unhideWhenUsed/>
    <w:rPr>
      <w:vertAlign w:val="superscript"/>
    </w:rPr>
  </w:style>
  <w:style w:type="paragraph" w:styleId="1392">
    <w:name w:val="endnote text"/>
    <w:basedOn w:val="1397"/>
    <w:link w:val="1393"/>
    <w:uiPriority w:val="99"/>
    <w:semiHidden/>
    <w:unhideWhenUsed/>
    <w:pPr>
      <w:spacing w:after="0" w:line="240" w:lineRule="auto"/>
    </w:pPr>
    <w:rPr>
      <w:sz w:val="20"/>
    </w:rPr>
  </w:style>
  <w:style w:type="character" w:styleId="1393">
    <w:name w:val="Endnote Text Char"/>
    <w:link w:val="1392"/>
    <w:uiPriority w:val="99"/>
    <w:rPr>
      <w:sz w:val="20"/>
    </w:rPr>
  </w:style>
  <w:style w:type="character" w:styleId="1394">
    <w:name w:val="endnote reference"/>
    <w:basedOn w:val="1404"/>
    <w:uiPriority w:val="99"/>
    <w:semiHidden/>
    <w:unhideWhenUsed/>
    <w:rPr>
      <w:vertAlign w:val="superscript"/>
    </w:rPr>
  </w:style>
  <w:style w:type="paragraph" w:styleId="1395">
    <w:name w:val="TOC Heading"/>
    <w:uiPriority w:val="39"/>
    <w:unhideWhenUsed/>
  </w:style>
  <w:style w:type="paragraph" w:styleId="1396">
    <w:name w:val="table of figures"/>
    <w:basedOn w:val="1397"/>
    <w:next w:val="1397"/>
    <w:uiPriority w:val="99"/>
    <w:unhideWhenUsed/>
    <w:pPr>
      <w:spacing w:after="0" w:afterAutospacing="0"/>
    </w:pPr>
  </w:style>
  <w:style w:type="paragraph" w:styleId="1397"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398">
    <w:name w:val="Heading 1"/>
    <w:basedOn w:val="1397"/>
    <w:next w:val="1397"/>
    <w:uiPriority w:val="0"/>
    <w:qFormat/>
    <w:pPr>
      <w:jc w:val="center"/>
      <w:keepNext/>
      <w:spacing w:line="440" w:lineRule="exact"/>
      <w:outlineLvl w:val="0"/>
    </w:pPr>
    <w:rPr>
      <w:rFonts w:ascii="宋体"/>
      <w:sz w:val="28"/>
    </w:rPr>
  </w:style>
  <w:style w:type="paragraph" w:styleId="1399">
    <w:name w:val="Heading 2"/>
    <w:basedOn w:val="1397"/>
    <w:next w:val="1397"/>
    <w:uiPriority w:val="0"/>
    <w:qFormat/>
    <w:pPr>
      <w:keepLines/>
      <w:keepNext/>
      <w:spacing w:line="360" w:lineRule="auto"/>
      <w:outlineLvl w:val="1"/>
    </w:pPr>
    <w:rPr>
      <w:b/>
      <w:szCs w:val="21"/>
    </w:rPr>
  </w:style>
  <w:style w:type="paragraph" w:styleId="1400">
    <w:name w:val="Heading 3"/>
    <w:basedOn w:val="1397"/>
    <w:next w:val="1397"/>
    <w:uiPriority w:val="0"/>
    <w:qFormat/>
    <w:pPr>
      <w:ind w:firstLine="422"/>
      <w:keepNext/>
      <w:spacing w:line="360" w:lineRule="auto"/>
      <w:tabs>
        <w:tab w:val="left" w:pos="480" w:leader="none"/>
      </w:tabs>
      <w:outlineLvl w:val="2"/>
    </w:pPr>
    <w:rPr>
      <w:b/>
      <w:szCs w:val="21"/>
    </w:rPr>
  </w:style>
  <w:style w:type="paragraph" w:styleId="1401">
    <w:name w:val="Heading 4"/>
    <w:basedOn w:val="1397"/>
    <w:next w:val="1397"/>
    <w:uiPriority w:val="0"/>
    <w:qFormat/>
    <w:pPr>
      <w:keepLines/>
      <w:keepNext/>
      <w:spacing w:before="280" w:after="290" w:line="372" w:lineRule="auto"/>
      <w:outlineLvl w:val="3"/>
    </w:pPr>
    <w:rPr>
      <w:rFonts w:ascii="Arial" w:hAnsi="Arial" w:eastAsia="黑体" w:cs="Arial"/>
      <w:b/>
      <w:bCs/>
      <w:sz w:val="28"/>
      <w:szCs w:val="28"/>
    </w:rPr>
  </w:style>
  <w:style w:type="paragraph" w:styleId="1402">
    <w:name w:val="Heading 5"/>
    <w:basedOn w:val="1397"/>
    <w:next w:val="1397"/>
    <w:uiPriority w:val="1"/>
    <w:qFormat/>
    <w:pPr>
      <w:ind w:left="598"/>
      <w:spacing w:before="1"/>
      <w:outlineLvl w:val="4"/>
    </w:pPr>
    <w:rPr>
      <w:rFonts w:ascii="宋体" w:hAnsi="宋体" w:cs="宋体"/>
      <w:b/>
      <w:bCs/>
      <w:sz w:val="24"/>
      <w:szCs w:val="24"/>
      <w:lang w:val="zh-CN" w:bidi="zh-CN"/>
    </w:rPr>
  </w:style>
  <w:style w:type="paragraph" w:styleId="1403">
    <w:name w:val="Heading 7"/>
    <w:basedOn w:val="1397"/>
    <w:next w:val="1397"/>
    <w:uiPriority w:val="1"/>
    <w:qFormat/>
    <w:pPr>
      <w:ind w:left="1018"/>
      <w:outlineLvl w:val="6"/>
    </w:pPr>
    <w:rPr>
      <w:rFonts w:ascii="宋体" w:hAnsi="宋体" w:cs="宋体"/>
      <w:b/>
      <w:bCs/>
      <w:szCs w:val="21"/>
      <w:lang w:val="zh-CN" w:bidi="zh-CN"/>
    </w:rPr>
  </w:style>
  <w:style w:type="character" w:styleId="1404" w:default="1">
    <w:name w:val="Default Paragraph Font"/>
    <w:uiPriority w:val="1"/>
    <w:unhideWhenUsed/>
    <w:qFormat/>
  </w:style>
  <w:style w:type="table" w:styleId="1405" w:default="1">
    <w:name w:val="Normal Table"/>
    <w:uiPriority w:val="99"/>
    <w:semiHidden/>
    <w:unhideWhenUsed/>
    <w:qFormat/>
    <w:tblPr>
      <w:tblCellMar>
        <w:left w:w="108" w:type="dxa"/>
        <w:top w:w="0" w:type="dxa"/>
        <w:right w:w="108" w:type="dxa"/>
        <w:bottom w:w="0" w:type="dxa"/>
      </w:tblCellMar>
    </w:tblPr>
  </w:style>
  <w:style w:type="paragraph" w:styleId="1406">
    <w:name w:val="List 3"/>
    <w:basedOn w:val="1397"/>
    <w:uiPriority w:val="0"/>
    <w:qFormat/>
    <w:pPr>
      <w:contextualSpacing/>
      <w:ind w:left="600" w:hanging="200"/>
    </w:pPr>
  </w:style>
  <w:style w:type="paragraph" w:styleId="1407">
    <w:name w:val="toc 7"/>
    <w:basedOn w:val="1397"/>
    <w:next w:val="1397"/>
    <w:uiPriority w:val="0"/>
    <w:qFormat/>
    <w:pPr>
      <w:ind w:left="1200"/>
    </w:pPr>
  </w:style>
  <w:style w:type="paragraph" w:styleId="1408">
    <w:name w:val="Normal Indent"/>
    <w:basedOn w:val="1397"/>
    <w:uiPriority w:val="0"/>
    <w:qFormat/>
    <w:pPr>
      <w:ind w:firstLine="420"/>
    </w:pPr>
    <w:rPr>
      <w:b/>
      <w:sz w:val="24"/>
    </w:rPr>
  </w:style>
  <w:style w:type="paragraph" w:styleId="1409">
    <w:name w:val="Caption"/>
    <w:basedOn w:val="1397"/>
    <w:next w:val="1397"/>
    <w:uiPriority w:val="0"/>
    <w:qFormat/>
    <w:pPr>
      <w:jc w:val="center"/>
    </w:pPr>
    <w:rPr>
      <w:rFonts w:cs="Arial"/>
    </w:rPr>
  </w:style>
  <w:style w:type="paragraph" w:styleId="1410">
    <w:name w:val="Document Map"/>
    <w:basedOn w:val="1397"/>
    <w:uiPriority w:val="0"/>
    <w:qFormat/>
    <w:rPr>
      <w:rFonts w:ascii="宋体"/>
      <w:sz w:val="18"/>
      <w:szCs w:val="18"/>
    </w:rPr>
  </w:style>
  <w:style w:type="paragraph" w:styleId="1411">
    <w:name w:val="toa heading"/>
    <w:basedOn w:val="1397"/>
    <w:next w:val="1397"/>
    <w:uiPriority w:val="99"/>
    <w:qFormat/>
    <w:pPr>
      <w:spacing w:before="120"/>
    </w:pPr>
    <w:rPr>
      <w:rFonts w:ascii="Cambria" w:hAnsi="Cambria"/>
      <w:sz w:val="24"/>
    </w:rPr>
  </w:style>
  <w:style w:type="paragraph" w:styleId="1412">
    <w:name w:val="annotation text"/>
    <w:basedOn w:val="1397"/>
    <w:link w:val="1503"/>
    <w:uiPriority w:val="99"/>
    <w:qFormat/>
    <w:pPr>
      <w:jc w:val="left"/>
    </w:pPr>
  </w:style>
  <w:style w:type="paragraph" w:styleId="1413">
    <w:name w:val="Body Text"/>
    <w:basedOn w:val="1397"/>
    <w:next w:val="1414"/>
    <w:uiPriority w:val="0"/>
    <w:qFormat/>
    <w:rPr>
      <w:rFonts w:ascii="宋体"/>
      <w:sz w:val="28"/>
    </w:rPr>
  </w:style>
  <w:style w:type="paragraph" w:styleId="1414">
    <w:name w:val="Body Text First Indent"/>
    <w:basedOn w:val="1413"/>
    <w:uiPriority w:val="0"/>
    <w:qFormat/>
    <w:pPr>
      <w:ind w:firstLine="420"/>
    </w:pPr>
  </w:style>
  <w:style w:type="paragraph" w:styleId="1415">
    <w:name w:val="Body Text Indent"/>
    <w:basedOn w:val="1397"/>
    <w:next w:val="1416"/>
    <w:link w:val="1501"/>
    <w:uiPriority w:val="0"/>
    <w:qFormat/>
    <w:pPr>
      <w:ind w:firstLine="420"/>
      <w:spacing w:line="360" w:lineRule="auto"/>
    </w:pPr>
    <w:rPr>
      <w:rFonts w:ascii="宋体"/>
      <w:sz w:val="24"/>
    </w:rPr>
  </w:style>
  <w:style w:type="paragraph" w:styleId="1416">
    <w:name w:val="envelope return"/>
    <w:basedOn w:val="1397"/>
    <w:uiPriority w:val="99"/>
    <w:qFormat/>
    <w:rPr>
      <w:rFonts w:ascii="Arial" w:hAnsi="Arial"/>
    </w:rPr>
  </w:style>
  <w:style w:type="paragraph" w:styleId="1417">
    <w:name w:val="List 2"/>
    <w:basedOn w:val="1397"/>
    <w:uiPriority w:val="0"/>
    <w:qFormat/>
    <w:pPr>
      <w:ind w:left="400" w:hanging="200"/>
    </w:pPr>
  </w:style>
  <w:style w:type="paragraph" w:styleId="1418">
    <w:name w:val="Block Text"/>
    <w:basedOn w:val="1397"/>
    <w:uiPriority w:val="0"/>
    <w:qFormat/>
    <w:pPr>
      <w:ind w:left="540" w:right="26"/>
    </w:pPr>
    <w:rPr>
      <w:sz w:val="24"/>
    </w:rPr>
  </w:style>
  <w:style w:type="paragraph" w:styleId="1419">
    <w:name w:val="index 4"/>
    <w:basedOn w:val="1397"/>
    <w:next w:val="1397"/>
    <w:uiPriority w:val="0"/>
    <w:qFormat/>
    <w:pPr>
      <w:ind w:left="600"/>
    </w:pPr>
    <w:rPr>
      <w:rFonts w:ascii="宋体"/>
      <w:b/>
      <w:position w:val="-10"/>
      <w:sz w:val="24"/>
    </w:rPr>
  </w:style>
  <w:style w:type="paragraph" w:styleId="1420">
    <w:name w:val="toc 5"/>
    <w:basedOn w:val="1397"/>
    <w:next w:val="1397"/>
    <w:uiPriority w:val="0"/>
    <w:qFormat/>
    <w:pPr>
      <w:ind w:left="800"/>
    </w:pPr>
  </w:style>
  <w:style w:type="paragraph" w:styleId="1421">
    <w:name w:val="toc 3"/>
    <w:basedOn w:val="1397"/>
    <w:next w:val="1397"/>
    <w:uiPriority w:val="39"/>
    <w:qFormat/>
    <w:pPr>
      <w:ind w:left="400"/>
    </w:pPr>
  </w:style>
  <w:style w:type="paragraph" w:styleId="1422">
    <w:name w:val="Plain Text"/>
    <w:basedOn w:val="1397"/>
    <w:uiPriority w:val="0"/>
    <w:qFormat/>
    <w:rPr>
      <w:rFonts w:ascii="宋体"/>
    </w:rPr>
  </w:style>
  <w:style w:type="paragraph" w:styleId="1423">
    <w:name w:val="toc 8"/>
    <w:basedOn w:val="1397"/>
    <w:next w:val="1397"/>
    <w:uiPriority w:val="0"/>
    <w:qFormat/>
    <w:pPr>
      <w:ind w:left="1400"/>
    </w:pPr>
  </w:style>
  <w:style w:type="paragraph" w:styleId="1424">
    <w:name w:val="Date"/>
    <w:basedOn w:val="1397"/>
    <w:next w:val="1397"/>
    <w:uiPriority w:val="0"/>
    <w:qFormat/>
    <w:rPr>
      <w:rFonts w:ascii="宋体"/>
    </w:rPr>
  </w:style>
  <w:style w:type="paragraph" w:styleId="1425">
    <w:name w:val="Body Text Indent 2"/>
    <w:basedOn w:val="1397"/>
    <w:uiPriority w:val="0"/>
    <w:qFormat/>
    <w:pPr>
      <w:ind w:firstLine="525"/>
      <w:spacing w:line="420" w:lineRule="exact"/>
    </w:pPr>
    <w:rPr>
      <w:rFonts w:ascii="宋体"/>
    </w:rPr>
  </w:style>
  <w:style w:type="paragraph" w:styleId="1426">
    <w:name w:val="Balloon Text"/>
    <w:basedOn w:val="1397"/>
    <w:uiPriority w:val="0"/>
    <w:qFormat/>
    <w:rPr>
      <w:sz w:val="18"/>
      <w:szCs w:val="18"/>
    </w:rPr>
  </w:style>
  <w:style w:type="paragraph" w:styleId="1427">
    <w:name w:val="Footer"/>
    <w:basedOn w:val="1397"/>
    <w:uiPriority w:val="0"/>
    <w:qFormat/>
    <w:pPr>
      <w:jc w:val="left"/>
      <w:tabs>
        <w:tab w:val="center" w:pos="4153" w:leader="none"/>
        <w:tab w:val="right" w:pos="8306" w:leader="none"/>
      </w:tabs>
    </w:pPr>
    <w:rPr>
      <w:sz w:val="18"/>
    </w:rPr>
  </w:style>
  <w:style w:type="paragraph" w:styleId="1428">
    <w:name w:val="Header"/>
    <w:basedOn w:val="1397"/>
    <w:uiPriority w:val="0"/>
    <w:qFormat/>
    <w:pPr>
      <w:jc w:val="center"/>
      <w:tabs>
        <w:tab w:val="center" w:pos="4153" w:leader="none"/>
        <w:tab w:val="right" w:pos="8306" w:leader="none"/>
      </w:tabs>
      <w:pBdr>
        <w:bottom w:val="single" w:color="auto" w:sz="6" w:space="1"/>
      </w:pBdr>
    </w:pPr>
    <w:rPr>
      <w:sz w:val="18"/>
    </w:rPr>
  </w:style>
  <w:style w:type="paragraph" w:styleId="1429">
    <w:name w:val="toc 1"/>
    <w:basedOn w:val="1397"/>
    <w:next w:val="1397"/>
    <w:uiPriority w:val="39"/>
    <w:qFormat/>
  </w:style>
  <w:style w:type="paragraph" w:styleId="1430">
    <w:name w:val="toc 4"/>
    <w:basedOn w:val="1397"/>
    <w:next w:val="1397"/>
    <w:uiPriority w:val="0"/>
    <w:qFormat/>
    <w:pPr>
      <w:ind w:left="600"/>
    </w:pPr>
  </w:style>
  <w:style w:type="paragraph" w:styleId="1431">
    <w:name w:val="Subtitle"/>
    <w:basedOn w:val="1397"/>
    <w:next w:val="1397"/>
    <w:uiPriority w:val="0"/>
    <w:qFormat/>
    <w:pPr>
      <w:jc w:val="center"/>
      <w:spacing w:before="240" w:after="60" w:line="312" w:lineRule="auto"/>
      <w:outlineLvl w:val="1"/>
    </w:pPr>
    <w:rPr>
      <w:rFonts w:ascii="Cambria" w:hAnsi="Cambria"/>
      <w:b/>
      <w:bCs/>
      <w:sz w:val="32"/>
      <w:szCs w:val="32"/>
    </w:rPr>
  </w:style>
  <w:style w:type="paragraph" w:styleId="1432">
    <w:name w:val="toc 6"/>
    <w:basedOn w:val="1397"/>
    <w:next w:val="1397"/>
    <w:uiPriority w:val="0"/>
    <w:qFormat/>
    <w:pPr>
      <w:ind w:left="1000"/>
    </w:pPr>
  </w:style>
  <w:style w:type="paragraph" w:styleId="1433">
    <w:name w:val="Body Text Indent 3"/>
    <w:basedOn w:val="1397"/>
    <w:uiPriority w:val="0"/>
    <w:qFormat/>
    <w:pPr>
      <w:ind w:firstLine="100"/>
    </w:pPr>
    <w:rPr>
      <w:rFonts w:eastAsia="华文新魏"/>
      <w:b/>
      <w:bCs/>
      <w:sz w:val="84"/>
    </w:rPr>
  </w:style>
  <w:style w:type="paragraph" w:styleId="1434">
    <w:name w:val="toc 2"/>
    <w:basedOn w:val="1397"/>
    <w:next w:val="1397"/>
    <w:uiPriority w:val="39"/>
    <w:qFormat/>
    <w:pPr>
      <w:ind w:left="200"/>
    </w:pPr>
  </w:style>
  <w:style w:type="paragraph" w:styleId="1435">
    <w:name w:val="toc 9"/>
    <w:basedOn w:val="1397"/>
    <w:next w:val="1397"/>
    <w:uiPriority w:val="0"/>
    <w:qFormat/>
    <w:pPr>
      <w:ind w:left="1600"/>
    </w:pPr>
  </w:style>
  <w:style w:type="paragraph" w:styleId="1436">
    <w:name w:val="HTML Preformatted"/>
    <w:basedOn w:val="139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cs="Courier New"/>
      <w:sz w:val="20"/>
    </w:rPr>
  </w:style>
  <w:style w:type="paragraph" w:styleId="1437">
    <w:name w:val="Normal (Web)"/>
    <w:basedOn w:val="1397"/>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38">
    <w:name w:val="Title"/>
    <w:basedOn w:val="1397"/>
    <w:uiPriority w:val="0"/>
    <w:qFormat/>
    <w:pPr>
      <w:jc w:val="center"/>
    </w:pPr>
    <w:rPr>
      <w:sz w:val="30"/>
      <w:szCs w:val="24"/>
    </w:rPr>
  </w:style>
  <w:style w:type="paragraph" w:styleId="1439">
    <w:name w:val="annotation subject"/>
    <w:basedOn w:val="1412"/>
    <w:next w:val="1412"/>
    <w:uiPriority w:val="0"/>
    <w:qFormat/>
    <w:rPr>
      <w:b/>
      <w:bCs/>
    </w:rPr>
  </w:style>
  <w:style w:type="paragraph" w:styleId="1440">
    <w:name w:val="Body Text First Indent 2"/>
    <w:basedOn w:val="1415"/>
    <w:link w:val="1509"/>
    <w:uiPriority w:val="0"/>
    <w:qFormat/>
    <w:pPr>
      <w:ind w:left="420"/>
      <w:spacing w:after="120" w:line="240" w:lineRule="auto"/>
    </w:pPr>
    <w:rPr>
      <w:sz w:val="21"/>
    </w:rPr>
  </w:style>
  <w:style w:type="table" w:styleId="1441">
    <w:name w:val="Table Grid"/>
    <w:basedOn w:val="140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42">
    <w:name w:val="Strong"/>
    <w:uiPriority w:val="0"/>
    <w:qFormat/>
    <w:rPr>
      <w:b/>
      <w:bCs/>
    </w:rPr>
  </w:style>
  <w:style w:type="character" w:styleId="1443">
    <w:name w:val="page number"/>
    <w:basedOn w:val="1404"/>
    <w:uiPriority w:val="0"/>
    <w:qFormat/>
  </w:style>
  <w:style w:type="character" w:styleId="1444">
    <w:name w:val="Emphasis"/>
    <w:uiPriority w:val="0"/>
    <w:qFormat/>
    <w:rPr>
      <w:i/>
    </w:rPr>
  </w:style>
  <w:style w:type="character" w:styleId="1445">
    <w:name w:val="Hyperlink"/>
    <w:uiPriority w:val="99"/>
    <w:qFormat/>
    <w:rPr>
      <w:color w:val="000000"/>
      <w:sz w:val="18"/>
      <w:szCs w:val="18"/>
      <w:u w:val="none"/>
    </w:rPr>
  </w:style>
  <w:style w:type="character" w:styleId="1446">
    <w:name w:val="annotation reference"/>
    <w:basedOn w:val="1404"/>
    <w:uiPriority w:val="0"/>
    <w:qFormat/>
    <w:rPr>
      <w:sz w:val="21"/>
      <w:szCs w:val="21"/>
    </w:rPr>
  </w:style>
  <w:style w:type="paragraph" w:styleId="1447" w:customStyle="1">
    <w:name w:val="[Normal]"/>
    <w:uiPriority w:val="99"/>
    <w:qFormat/>
    <w:rPr>
      <w:rFonts w:ascii="方正仿宋简体" w:hAnsi="方正仿宋简体" w:eastAsia="方正仿宋简体" w:cs="Courier New"/>
      <w:sz w:val="24"/>
      <w:szCs w:val="22"/>
      <w:lang w:val="zh-CN" w:eastAsia="zh-CN" w:bidi="ar-SA"/>
    </w:rPr>
  </w:style>
  <w:style w:type="paragraph" w:styleId="1448" w:customStyle="1">
    <w:name w:val="二级条标题"/>
    <w:basedOn w:val="1449"/>
    <w:next w:val="1397"/>
    <w:uiPriority w:val="0"/>
    <w:qFormat/>
    <w:pPr>
      <w:outlineLvl w:val="2"/>
    </w:pPr>
    <w:rPr>
      <w:szCs w:val="24"/>
    </w:rPr>
  </w:style>
  <w:style w:type="paragraph" w:styleId="1449" w:customStyle="1">
    <w:name w:val="一级条标题"/>
    <w:basedOn w:val="1450"/>
    <w:next w:val="1397"/>
    <w:uiPriority w:val="0"/>
    <w:qFormat/>
    <w:pPr>
      <w:outlineLvl w:val="1"/>
    </w:pPr>
    <w:rPr>
      <w:sz w:val="24"/>
    </w:rPr>
  </w:style>
  <w:style w:type="paragraph" w:styleId="1450" w:customStyle="1">
    <w:name w:val="章标题"/>
    <w:basedOn w:val="1397"/>
    <w:next w:val="1397"/>
    <w:uiPriority w:val="0"/>
    <w:qFormat/>
    <w:pPr>
      <w:numPr>
        <w:ilvl w:val="0"/>
        <w:numId w:val="1"/>
      </w:numPr>
      <w:jc w:val="left"/>
      <w:outlineLvl w:val="0"/>
    </w:pPr>
    <w:rPr>
      <w:b/>
      <w:sz w:val="28"/>
      <w:szCs w:val="28"/>
    </w:rPr>
  </w:style>
  <w:style w:type="paragraph" w:styleId="1451" w:customStyle="1">
    <w:name w:val="Char Char Char Char Char Char Char"/>
    <w:basedOn w:val="1397"/>
    <w:uiPriority w:val="0"/>
    <w:qFormat/>
    <w:pPr>
      <w:ind w:left="432" w:hanging="432"/>
      <w:jc w:val="center"/>
      <w:tabs>
        <w:tab w:val="left" w:pos="432" w:leader="none"/>
      </w:tabs>
    </w:pPr>
    <w:rPr>
      <w:rFonts w:ascii="仿宋_GB2312" w:hAnsi="仿宋_GB2312" w:eastAsia="仿宋_GB2312"/>
      <w:sz w:val="24"/>
      <w:szCs w:val="24"/>
    </w:rPr>
  </w:style>
  <w:style w:type="paragraph" w:styleId="1452" w:customStyle="1">
    <w:name w:val="Char Char Char Char Char Char Char1"/>
    <w:basedOn w:val="1397"/>
    <w:uiPriority w:val="0"/>
    <w:qFormat/>
    <w:rPr>
      <w:rFonts w:ascii="Tahoma" w:hAnsi="Tahoma" w:cs="仿宋_GB2312"/>
      <w:sz w:val="24"/>
      <w:szCs w:val="28"/>
    </w:rPr>
  </w:style>
  <w:style w:type="paragraph" w:styleId="1453" w:customStyle="1">
    <w:name w:val="正文文本首行缩进1"/>
    <w:basedOn w:val="1413"/>
    <w:uiPriority w:val="0"/>
    <w:qFormat/>
    <w:pPr>
      <w:ind w:firstLine="420"/>
    </w:pPr>
  </w:style>
  <w:style w:type="paragraph" w:styleId="1454" w:customStyle="1">
    <w:name w:val="表中字"/>
    <w:basedOn w:val="1397"/>
    <w:uiPriority w:val="0"/>
    <w:qFormat/>
    <w:pPr>
      <w:jc w:val="center"/>
    </w:pPr>
    <w:rPr>
      <w:szCs w:val="21"/>
    </w:rPr>
  </w:style>
  <w:style w:type="paragraph" w:styleId="1455" w:customStyle="1">
    <w:name w:val="Char Char"/>
    <w:basedOn w:val="1397"/>
    <w:uiPriority w:val="0"/>
    <w:qFormat/>
    <w:pPr>
      <w:ind w:left="360" w:hanging="360"/>
    </w:pPr>
    <w:rPr>
      <w:sz w:val="24"/>
      <w:szCs w:val="24"/>
    </w:rPr>
  </w:style>
  <w:style w:type="paragraph" w:styleId="1456" w:customStyle="1">
    <w:name w:val="正文1"/>
    <w:basedOn w:val="1397"/>
    <w:uiPriority w:val="0"/>
    <w:qFormat/>
    <w:pPr>
      <w:jc w:val="left"/>
      <w:spacing w:after="200" w:line="300" w:lineRule="atLeast"/>
      <w:widowControl/>
    </w:pPr>
    <w:rPr>
      <w:rFonts w:ascii="Calibri" w:hAnsi="Calibri" w:cs="宋体"/>
      <w:sz w:val="22"/>
      <w:szCs w:val="22"/>
    </w:rPr>
  </w:style>
  <w:style w:type="paragraph" w:styleId="1457" w:customStyle="1">
    <w:name w:val="彩色列表 - 强调文字颜色 11"/>
    <w:basedOn w:val="1397"/>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458" w:customStyle="1">
    <w:name w:val="图片格式"/>
    <w:basedOn w:val="1397"/>
    <w:next w:val="1397"/>
    <w:uiPriority w:val="0"/>
    <w:qFormat/>
    <w:pPr>
      <w:jc w:val="center"/>
      <w:keepNext/>
    </w:pPr>
  </w:style>
  <w:style w:type="paragraph" w:styleId="1459" w:customStyle="1">
    <w:name w:val="列表段落1"/>
    <w:basedOn w:val="1397"/>
    <w:uiPriority w:val="0"/>
    <w:qFormat/>
    <w:pPr>
      <w:ind w:firstLine="200"/>
    </w:pPr>
    <w:rPr>
      <w:rFonts w:ascii="Calibri" w:hAnsi="Calibri"/>
      <w:szCs w:val="22"/>
    </w:rPr>
  </w:style>
  <w:style w:type="paragraph" w:styleId="1460" w:customStyle="1">
    <w:name w:val="简单回函地址"/>
    <w:basedOn w:val="1397"/>
    <w:uiPriority w:val="0"/>
    <w:qFormat/>
    <w:rPr>
      <w:szCs w:val="24"/>
    </w:rPr>
  </w:style>
  <w:style w:type="paragraph" w:styleId="1461" w:customStyle="1">
    <w:name w:val="Table Sub Section"/>
    <w:basedOn w:val="1397"/>
    <w:uiPriority w:val="0"/>
    <w:qFormat/>
    <w:pPr>
      <w:jc w:val="left"/>
      <w:keepNext/>
      <w:spacing w:before="160" w:after="160" w:line="276" w:lineRule="auto"/>
      <w:widowControl/>
    </w:pPr>
    <w:rPr>
      <w:rFonts w:ascii="Arial" w:hAnsi="Arial"/>
      <w:b/>
      <w:color w:val="0f0f0f"/>
      <w:sz w:val="20"/>
      <w:lang w:eastAsia="en-US"/>
    </w:rPr>
  </w:style>
  <w:style w:type="paragraph" w:styleId="1462" w:customStyle="1">
    <w:name w:val="yiv1658056056msonormal"/>
    <w:basedOn w:val="1397"/>
    <w:uiPriority w:val="0"/>
    <w:qFormat/>
    <w:pPr>
      <w:jc w:val="left"/>
      <w:spacing w:before="100" w:beforeAutospacing="1" w:after="100" w:afterAutospacing="1"/>
      <w:widowControl/>
    </w:pPr>
    <w:rPr>
      <w:rFonts w:ascii="宋体" w:cs="宋体"/>
      <w:sz w:val="24"/>
      <w:szCs w:val="24"/>
    </w:rPr>
  </w:style>
  <w:style w:type="paragraph" w:styleId="1463" w:customStyle="1">
    <w:name w:val="列出段落1"/>
    <w:basedOn w:val="1397"/>
    <w:uiPriority w:val="0"/>
    <w:qFormat/>
    <w:pPr>
      <w:ind w:firstLine="200"/>
    </w:pPr>
    <w:rPr>
      <w:rFonts w:ascii="Calibri" w:hAnsi="Calibri"/>
      <w:szCs w:val="22"/>
    </w:rPr>
  </w:style>
  <w:style w:type="paragraph" w:styleId="1464" w:customStyle="1">
    <w:name w:val="样式 首行缩进:  2 字符"/>
    <w:basedOn w:val="1397"/>
    <w:uiPriority w:val="0"/>
    <w:qFormat/>
    <w:pPr>
      <w:ind w:firstLine="200"/>
      <w:spacing w:line="400" w:lineRule="exact"/>
    </w:pPr>
    <w:rPr>
      <w:rFonts w:cs="宋体"/>
      <w:sz w:val="24"/>
      <w:szCs w:val="24"/>
    </w:rPr>
  </w:style>
  <w:style w:type="paragraph" w:styleId="1465" w:customStyle="1">
    <w:name w:val="p0"/>
    <w:basedOn w:val="1397"/>
    <w:uiPriority w:val="0"/>
    <w:qFormat/>
    <w:pPr>
      <w:widowControl/>
    </w:pPr>
    <w:rPr>
      <w:szCs w:val="21"/>
    </w:rPr>
  </w:style>
  <w:style w:type="paragraph" w:styleId="1466" w:customStyle="1">
    <w:name w:val="列表段落2"/>
    <w:basedOn w:val="1397"/>
    <w:uiPriority w:val="0"/>
    <w:qFormat/>
    <w:pPr>
      <w:ind w:firstLine="200"/>
      <w:jc w:val="left"/>
      <w:spacing w:line="300" w:lineRule="auto"/>
    </w:pPr>
    <w:rPr>
      <w:szCs w:val="22"/>
    </w:rPr>
  </w:style>
  <w:style w:type="paragraph" w:styleId="1467" w:customStyle="1">
    <w:name w:val="Char Char Char"/>
    <w:basedOn w:val="1397"/>
    <w:uiPriority w:val="0"/>
    <w:qFormat/>
    <w:pPr>
      <w:jc w:val="center"/>
      <w:spacing w:line="400" w:lineRule="exact"/>
      <w:widowControl/>
    </w:pPr>
    <w:rPr>
      <w:szCs w:val="24"/>
    </w:rPr>
  </w:style>
  <w:style w:type="paragraph" w:styleId="1468" w:customStyle="1">
    <w:name w:val="编号一级列项"/>
    <w:basedOn w:val="1397"/>
    <w:uiPriority w:val="0"/>
    <w:qFormat/>
    <w:pPr>
      <w:numPr>
        <w:ilvl w:val="6"/>
        <w:numId w:val="1"/>
      </w:numPr>
      <w:jc w:val="left"/>
      <w:outlineLvl w:val="6"/>
    </w:pPr>
  </w:style>
  <w:style w:type="paragraph" w:styleId="1469"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470" w:customStyle="1">
    <w:name w:val="Normal1"/>
    <w:basedOn w:val="1397"/>
    <w:uiPriority w:val="0"/>
    <w:qFormat/>
    <w:pPr>
      <w:jc w:val="left"/>
      <w:spacing w:after="200" w:line="300" w:lineRule="atLeast"/>
      <w:widowControl/>
    </w:pPr>
    <w:rPr>
      <w:rFonts w:ascii="Calibri" w:hAnsi="Calibri" w:cs="宋体"/>
      <w:sz w:val="22"/>
      <w:szCs w:val="22"/>
    </w:rPr>
  </w:style>
  <w:style w:type="paragraph" w:styleId="1471" w:customStyle="1">
    <w:name w:val="标准文本"/>
    <w:basedOn w:val="1397"/>
    <w:uiPriority w:val="0"/>
    <w:qFormat/>
    <w:pPr>
      <w:ind w:firstLine="200"/>
      <w:spacing w:line="300" w:lineRule="auto"/>
    </w:pPr>
    <w:rPr>
      <w:rFonts w:ascii="宋体" w:cs="宋体"/>
      <w:szCs w:val="21"/>
    </w:rPr>
  </w:style>
  <w:style w:type="paragraph" w:styleId="1472" w:customStyle="1">
    <w:name w:val="正文文本首行缩进 21"/>
    <w:basedOn w:val="1397"/>
    <w:uiPriority w:val="0"/>
    <w:qFormat/>
    <w:pPr>
      <w:ind w:firstLine="200"/>
    </w:pPr>
    <w:rPr>
      <w:sz w:val="24"/>
      <w:szCs w:val="24"/>
    </w:rPr>
  </w:style>
  <w:style w:type="paragraph" w:styleId="1473" w:customStyle="1">
    <w:name w:val="样式 113 10 磅"/>
    <w:uiPriority w:val="0"/>
    <w:qFormat/>
    <w:pPr>
      <w:jc w:val="both"/>
      <w:widowControl w:val="off"/>
    </w:pPr>
    <w:rPr>
      <w:rFonts w:ascii="宋体" w:hAnsi="Times New Roman" w:eastAsia="宋体" w:cs="Times New Roman"/>
      <w:sz w:val="21"/>
      <w:szCs w:val="21"/>
      <w:lang w:val="en-US" w:eastAsia="zh-CN" w:bidi="ar-SA"/>
    </w:rPr>
  </w:style>
  <w:style w:type="paragraph" w:styleId="1474" w:customStyle="1">
    <w:name w:val="样式 118 10 磅"/>
    <w:uiPriority w:val="0"/>
    <w:qFormat/>
    <w:pPr>
      <w:jc w:val="both"/>
      <w:widowControl w:val="off"/>
    </w:pPr>
    <w:rPr>
      <w:rFonts w:ascii="宋体" w:hAnsi="Times New Roman" w:eastAsia="宋体" w:cs="Times New Roman"/>
      <w:sz w:val="21"/>
      <w:szCs w:val="21"/>
      <w:lang w:val="en-US" w:eastAsia="zh-CN" w:bidi="ar-SA"/>
    </w:rPr>
  </w:style>
  <w:style w:type="paragraph" w:styleId="1475" w:customStyle="1">
    <w:name w:val="样式 117 10 磅"/>
    <w:uiPriority w:val="0"/>
    <w:qFormat/>
    <w:pPr>
      <w:jc w:val="both"/>
      <w:widowControl w:val="off"/>
    </w:pPr>
    <w:rPr>
      <w:rFonts w:ascii="宋体" w:hAnsi="Times New Roman" w:eastAsia="宋体" w:cs="Times New Roman"/>
      <w:sz w:val="21"/>
      <w:szCs w:val="21"/>
      <w:lang w:val="en-US" w:eastAsia="zh-CN" w:bidi="ar-SA"/>
    </w:rPr>
  </w:style>
  <w:style w:type="paragraph" w:styleId="1476" w:customStyle="1">
    <w:name w:val="样式 120 10 磅"/>
    <w:uiPriority w:val="0"/>
    <w:qFormat/>
    <w:pPr>
      <w:jc w:val="both"/>
      <w:widowControl w:val="off"/>
    </w:pPr>
    <w:rPr>
      <w:rFonts w:ascii="宋体" w:hAnsi="Times New Roman" w:eastAsia="宋体" w:cs="Times New Roman"/>
      <w:sz w:val="21"/>
      <w:szCs w:val="21"/>
      <w:lang w:val="en-US" w:eastAsia="zh-CN" w:bidi="ar-SA"/>
    </w:rPr>
  </w:style>
  <w:style w:type="paragraph" w:styleId="1477" w:customStyle="1">
    <w:name w:val="样式 114 10 磅"/>
    <w:uiPriority w:val="0"/>
    <w:qFormat/>
    <w:pPr>
      <w:jc w:val="both"/>
      <w:widowControl w:val="off"/>
    </w:pPr>
    <w:rPr>
      <w:rFonts w:ascii="宋体" w:hAnsi="Times New Roman" w:eastAsia="宋体" w:cs="Times New Roman"/>
      <w:sz w:val="21"/>
      <w:szCs w:val="21"/>
      <w:lang w:val="en-US" w:eastAsia="zh-CN" w:bidi="ar-SA"/>
    </w:rPr>
  </w:style>
  <w:style w:type="paragraph" w:styleId="1478" w:customStyle="1">
    <w:name w:val="样式 116 10 磅"/>
    <w:uiPriority w:val="0"/>
    <w:qFormat/>
    <w:pPr>
      <w:jc w:val="both"/>
      <w:widowControl w:val="off"/>
    </w:pPr>
    <w:rPr>
      <w:rFonts w:ascii="宋体" w:hAnsi="Times New Roman" w:eastAsia="宋体" w:cs="Times New Roman"/>
      <w:sz w:val="21"/>
      <w:szCs w:val="21"/>
      <w:lang w:val="en-US" w:eastAsia="zh-CN" w:bidi="ar-SA"/>
    </w:rPr>
  </w:style>
  <w:style w:type="paragraph" w:styleId="1479" w:customStyle="1">
    <w:name w:val="样式 119 10 磅"/>
    <w:uiPriority w:val="0"/>
    <w:qFormat/>
    <w:pPr>
      <w:jc w:val="both"/>
      <w:widowControl w:val="off"/>
    </w:pPr>
    <w:rPr>
      <w:rFonts w:ascii="宋体" w:hAnsi="Times New Roman" w:eastAsia="宋体" w:cs="Times New Roman"/>
      <w:sz w:val="21"/>
      <w:szCs w:val="21"/>
      <w:lang w:val="en-US" w:eastAsia="zh-CN" w:bidi="ar-SA"/>
    </w:rPr>
  </w:style>
  <w:style w:type="paragraph" w:styleId="1480" w:customStyle="1">
    <w:name w:val="样式 115 10 磅"/>
    <w:uiPriority w:val="0"/>
    <w:qFormat/>
    <w:pPr>
      <w:jc w:val="both"/>
      <w:widowControl w:val="off"/>
    </w:pPr>
    <w:rPr>
      <w:rFonts w:ascii="宋体" w:hAnsi="Times New Roman" w:eastAsia="宋体" w:cs="Times New Roman"/>
      <w:sz w:val="21"/>
      <w:szCs w:val="21"/>
      <w:lang w:val="en-US" w:eastAsia="zh-CN" w:bidi="ar-SA"/>
    </w:rPr>
  </w:style>
  <w:style w:type="paragraph" w:styleId="1481" w:customStyle="1">
    <w:name w:val="样式 9 11 磅"/>
    <w:uiPriority w:val="0"/>
    <w:qFormat/>
    <w:pPr>
      <w:spacing w:after="200"/>
    </w:pPr>
    <w:rPr>
      <w:rFonts w:ascii="Tahoma" w:hAnsi="Tahoma" w:eastAsia="微软雅黑" w:cs="Times New Roman"/>
      <w:sz w:val="22"/>
      <w:szCs w:val="22"/>
      <w:lang w:val="en-US" w:eastAsia="zh-CN" w:bidi="ar-SA"/>
    </w:rPr>
  </w:style>
  <w:style w:type="paragraph" w:styleId="1482" w:customStyle="1">
    <w:name w:val="样式 123 10 磅"/>
    <w:uiPriority w:val="0"/>
    <w:qFormat/>
    <w:pPr>
      <w:jc w:val="both"/>
      <w:widowControl w:val="off"/>
    </w:pPr>
    <w:rPr>
      <w:rFonts w:ascii="Times New Roman" w:hAnsi="Times New Roman" w:eastAsia="宋体" w:cs="Times New Roman"/>
      <w:sz w:val="21"/>
      <w:szCs w:val="22"/>
      <w:lang w:val="en-US" w:eastAsia="zh-CN" w:bidi="ar-SA"/>
    </w:rPr>
  </w:style>
  <w:style w:type="paragraph" w:styleId="1483" w:customStyle="1">
    <w:name w:val="样式 112 10 磅"/>
    <w:uiPriority w:val="0"/>
    <w:qFormat/>
    <w:pPr>
      <w:jc w:val="both"/>
      <w:widowControl w:val="off"/>
    </w:pPr>
    <w:rPr>
      <w:rFonts w:ascii="宋体" w:hAnsi="Times New Roman" w:eastAsia="宋体" w:cs="Times New Roman"/>
      <w:sz w:val="21"/>
      <w:szCs w:val="21"/>
      <w:lang w:val="en-US" w:eastAsia="zh-CN" w:bidi="ar-SA"/>
    </w:rPr>
  </w:style>
  <w:style w:type="paragraph" w:styleId="1484" w:customStyle="1">
    <w:name w:val="样式 121 10 磅"/>
    <w:uiPriority w:val="0"/>
    <w:qFormat/>
    <w:pPr>
      <w:jc w:val="both"/>
      <w:widowControl w:val="off"/>
    </w:pPr>
    <w:rPr>
      <w:rFonts w:ascii="Times New Roman" w:hAnsi="Times New Roman" w:eastAsia="宋体" w:cs="Times New Roman"/>
      <w:sz w:val="21"/>
      <w:szCs w:val="22"/>
      <w:lang w:val="en-US" w:eastAsia="zh-CN" w:bidi="ar-SA"/>
    </w:rPr>
  </w:style>
  <w:style w:type="paragraph" w:styleId="1485" w:customStyle="1">
    <w:name w:val="样式 80 小四"/>
    <w:uiPriority w:val="0"/>
    <w:qFormat/>
    <w:pPr>
      <w:ind w:left="130" w:hanging="10"/>
      <w:spacing w:after="5" w:line="268" w:lineRule="auto"/>
    </w:pPr>
    <w:rPr>
      <w:rFonts w:ascii="微软雅黑" w:hAnsi="Times New Roman" w:eastAsia="微软雅黑" w:cs="微软雅黑"/>
      <w:color w:val="000000"/>
      <w:sz w:val="24"/>
      <w:szCs w:val="22"/>
      <w:lang w:val="en-US" w:eastAsia="zh-CN" w:bidi="ar-SA"/>
    </w:rPr>
  </w:style>
  <w:style w:type="paragraph" w:styleId="1486" w:customStyle="1">
    <w:name w:val="样式 122 10 磅"/>
    <w:uiPriority w:val="0"/>
    <w:qFormat/>
    <w:pPr>
      <w:jc w:val="both"/>
      <w:widowControl w:val="off"/>
    </w:pPr>
    <w:rPr>
      <w:rFonts w:ascii="宋体" w:hAnsi="Times New Roman" w:eastAsia="宋体" w:cs="Times New Roman"/>
      <w:sz w:val="21"/>
      <w:szCs w:val="21"/>
      <w:lang w:val="en-US" w:eastAsia="zh-CN" w:bidi="ar-SA"/>
    </w:rPr>
  </w:style>
  <w:style w:type="paragraph" w:styleId="1487" w:customStyle="1">
    <w:name w:val="样式 8 11 磅"/>
    <w:uiPriority w:val="0"/>
    <w:qFormat/>
    <w:pPr>
      <w:spacing w:after="200"/>
    </w:pPr>
    <w:rPr>
      <w:rFonts w:ascii="Tahoma" w:hAnsi="Tahoma" w:eastAsia="微软雅黑" w:cs="Times New Roman"/>
      <w:sz w:val="22"/>
      <w:szCs w:val="22"/>
      <w:lang w:val="en-US" w:eastAsia="zh-CN" w:bidi="ar-SA"/>
    </w:rPr>
  </w:style>
  <w:style w:type="paragraph" w:styleId="1488" w:customStyle="1">
    <w:name w:val="样式 125 10 磅"/>
    <w:uiPriority w:val="0"/>
    <w:qFormat/>
    <w:pPr>
      <w:jc w:val="both"/>
      <w:widowControl w:val="off"/>
    </w:pPr>
    <w:rPr>
      <w:rFonts w:ascii="宋体" w:hAnsi="Times New Roman" w:eastAsia="宋体" w:cs="Times New Roman"/>
      <w:sz w:val="21"/>
      <w:szCs w:val="21"/>
      <w:lang w:val="en-US" w:eastAsia="zh-CN" w:bidi="ar-SA"/>
    </w:rPr>
  </w:style>
  <w:style w:type="paragraph" w:styleId="1489" w:customStyle="1">
    <w:name w:val="样式 124 10 磅"/>
    <w:uiPriority w:val="0"/>
    <w:qFormat/>
    <w:pPr>
      <w:jc w:val="both"/>
      <w:widowControl w:val="off"/>
    </w:pPr>
    <w:rPr>
      <w:rFonts w:ascii="宋体" w:hAnsi="Times New Roman" w:eastAsia="宋体" w:cs="Times New Roman"/>
      <w:sz w:val="21"/>
      <w:szCs w:val="21"/>
      <w:lang w:val="en-US" w:eastAsia="zh-CN" w:bidi="ar-SA"/>
    </w:rPr>
  </w:style>
  <w:style w:type="paragraph" w:styleId="1490" w:customStyle="1">
    <w:name w:val="列出段落2"/>
    <w:basedOn w:val="1397"/>
    <w:uiPriority w:val="99"/>
    <w:qFormat/>
    <w:pPr>
      <w:ind w:firstLine="420"/>
    </w:pPr>
    <w:rPr>
      <w:rFonts w:ascii="Calibri" w:hAnsi="Calibri"/>
      <w:szCs w:val="22"/>
    </w:rPr>
  </w:style>
  <w:style w:type="paragraph" w:styleId="1491" w:customStyle="1">
    <w:name w:val="表格"/>
    <w:basedOn w:val="1431"/>
    <w:next w:val="1397"/>
    <w:uiPriority w:val="0"/>
    <w:qFormat/>
    <w:pPr>
      <w:jc w:val="left"/>
      <w:spacing w:line="240" w:lineRule="auto"/>
      <w:widowControl/>
      <w:outlineLvl w:val="9"/>
    </w:pPr>
    <w:rPr>
      <w:rFonts w:eastAsia="仿宋"/>
      <w:b w:val="0"/>
      <w:sz w:val="21"/>
    </w:rPr>
  </w:style>
  <w:style w:type="paragraph" w:styleId="1492" w:customStyle="1">
    <w:name w:val="列表段落3"/>
    <w:basedOn w:val="1397"/>
    <w:uiPriority w:val="34"/>
    <w:qFormat/>
    <w:pPr>
      <w:ind w:firstLine="420"/>
    </w:pPr>
    <w:rPr>
      <w:rFonts w:ascii="Calibri" w:hAnsi="Calibri"/>
      <w:szCs w:val="22"/>
    </w:rPr>
  </w:style>
  <w:style w:type="paragraph" w:styleId="1493" w:customStyle="1">
    <w:name w:val="列出段落21"/>
    <w:uiPriority w:val="99"/>
    <w:qFormat/>
    <w:pPr>
      <w:ind w:firstLine="420"/>
      <w:jc w:val="both"/>
      <w:widowControl w:val="off"/>
    </w:pPr>
    <w:rPr>
      <w:rFonts w:ascii="Times New Roman" w:hAnsi="Times New Roman" w:eastAsia="宋体" w:cs="Times New Roman"/>
      <w:sz w:val="21"/>
      <w:szCs w:val="24"/>
      <w:lang w:val="en-US" w:eastAsia="zh-CN" w:bidi="ar-SA"/>
    </w:rPr>
  </w:style>
  <w:style w:type="character" w:styleId="1494" w:customStyle="1">
    <w:name w:val="访问过的超链接1"/>
    <w:uiPriority w:val="0"/>
    <w:qFormat/>
    <w:rPr>
      <w:color w:val="000000"/>
      <w:sz w:val="18"/>
      <w:szCs w:val="18"/>
      <w:u w:val="none"/>
    </w:rPr>
  </w:style>
  <w:style w:type="character" w:styleId="1495" w:customStyle="1">
    <w:name w:val="c lh15"/>
    <w:basedOn w:val="1404"/>
    <w:uiPriority w:val="0"/>
    <w:qFormat/>
  </w:style>
  <w:style w:type="character" w:styleId="1496" w:customStyle="1">
    <w:name w:val="style21"/>
    <w:uiPriority w:val="0"/>
    <w:qFormat/>
    <w:rPr>
      <w:sz w:val="18"/>
      <w:szCs w:val="18"/>
    </w:rPr>
  </w:style>
  <w:style w:type="character" w:styleId="1497" w:customStyle="1">
    <w:name w:val="A13"/>
    <w:uiPriority w:val="0"/>
    <w:qFormat/>
    <w:rPr>
      <w:rFonts w:ascii="Univers LT Std 45 Light" w:eastAsia="Univers LT Std 45 Light" w:cs="Univers LT Std 45 Light"/>
      <w:color w:val="221e1f"/>
      <w:sz w:val="10"/>
      <w:szCs w:val="10"/>
    </w:rPr>
  </w:style>
  <w:style w:type="character" w:styleId="1498" w:customStyle="1">
    <w:name w:val="页脚 字符"/>
    <w:uiPriority w:val="0"/>
    <w:qFormat/>
  </w:style>
  <w:style w:type="character" w:styleId="1499" w:customStyle="1">
    <w:name w:val="font21"/>
    <w:uiPriority w:val="0"/>
    <w:qFormat/>
    <w:rPr>
      <w:rFonts w:ascii="宋体" w:eastAsia="宋体" w:cs="宋体"/>
      <w:color w:val="000000"/>
      <w:sz w:val="20"/>
      <w:szCs w:val="20"/>
      <w:u w:val="none"/>
      <w:lang w:bidi="ar-SA"/>
    </w:rPr>
  </w:style>
  <w:style w:type="character" w:styleId="1500" w:customStyle="1">
    <w:name w:val="font31"/>
    <w:uiPriority w:val="0"/>
    <w:qFormat/>
    <w:rPr>
      <w:rFonts w:ascii="宋体" w:eastAsia="宋体" w:cs="宋体"/>
      <w:color w:val="000000"/>
      <w:sz w:val="20"/>
      <w:szCs w:val="20"/>
      <w:u w:val="none"/>
      <w:lang w:bidi="ar-SA"/>
    </w:rPr>
  </w:style>
  <w:style w:type="character" w:styleId="1501" w:customStyle="1">
    <w:name w:val="正文文本缩进 字符"/>
    <w:link w:val="1415"/>
    <w:uiPriority w:val="0"/>
    <w:qFormat/>
    <w:rPr>
      <w:rFonts w:ascii="宋体"/>
      <w:sz w:val="24"/>
    </w:rPr>
  </w:style>
  <w:style w:type="character" w:styleId="1502" w:customStyle="1">
    <w:name w:val="doctitle"/>
    <w:basedOn w:val="1404"/>
    <w:uiPriority w:val="0"/>
    <w:qFormat/>
  </w:style>
  <w:style w:type="character" w:styleId="1503" w:customStyle="1">
    <w:name w:val="批注文字 字符"/>
    <w:link w:val="1412"/>
    <w:uiPriority w:val="99"/>
    <w:qFormat/>
    <w:rPr>
      <w:sz w:val="21"/>
    </w:rPr>
  </w:style>
  <w:style w:type="paragraph" w:styleId="1504">
    <w:name w:val="List Paragraph"/>
    <w:basedOn w:val="1397"/>
    <w:uiPriority w:val="1"/>
    <w:qFormat/>
    <w:pPr>
      <w:ind w:left="598" w:firstLine="420"/>
    </w:pPr>
    <w:rPr>
      <w:rFonts w:ascii="宋体" w:hAnsi="宋体" w:cs="宋体"/>
      <w:lang w:val="zh-CN" w:bidi="zh-CN"/>
    </w:rPr>
  </w:style>
  <w:style w:type="paragraph" w:styleId="1505" w:customStyle="1">
    <w:name w:val="Table Paragraph"/>
    <w:basedOn w:val="1397"/>
    <w:uiPriority w:val="1"/>
    <w:qFormat/>
    <w:rPr>
      <w:rFonts w:ascii="宋体" w:hAnsi="宋体" w:cs="宋体"/>
      <w:lang w:val="zh-CN" w:bidi="zh-CN"/>
    </w:rPr>
  </w:style>
  <w:style w:type="paragraph" w:styleId="1506" w:customStyle="1">
    <w:name w:val="列表段落31"/>
    <w:basedOn w:val="1397"/>
    <w:uiPriority w:val="34"/>
    <w:qFormat/>
    <w:pPr>
      <w:ind w:firstLine="420"/>
    </w:pPr>
    <w:rPr>
      <w:rFonts w:ascii="Calibri" w:hAnsi="Calibri"/>
      <w:szCs w:val="22"/>
    </w:rPr>
  </w:style>
  <w:style w:type="paragraph" w:styleId="1507" w:customStyle="1">
    <w:name w:val="修订1"/>
    <w:hidden/>
    <w:uiPriority w:val="99"/>
    <w:semiHidden/>
    <w:qFormat/>
    <w:rPr>
      <w:rFonts w:ascii="Times New Roman" w:hAnsi="Times New Roman" w:eastAsia="宋体" w:cs="Times New Roman"/>
      <w:sz w:val="21"/>
      <w:lang w:val="en-US" w:eastAsia="zh-CN" w:bidi="ar-SA"/>
    </w:rPr>
  </w:style>
  <w:style w:type="paragraph" w:styleId="1508" w:customStyle="1">
    <w:name w:val="首行缩进"/>
    <w:basedOn w:val="1397"/>
    <w:uiPriority w:val="0"/>
    <w:qFormat/>
    <w:pPr>
      <w:ind w:firstLine="480"/>
    </w:pPr>
    <w:rPr>
      <w:rFonts w:ascii="Calibri" w:hAnsi="Calibri" w:eastAsia="Calibri" w:cs="宋体"/>
      <w:sz w:val="20"/>
      <w:lang w:val="zh-CN"/>
    </w:rPr>
  </w:style>
  <w:style w:type="character" w:styleId="1509" w:customStyle="1">
    <w:name w:val="正文文本首行缩进 2 字符"/>
    <w:basedOn w:val="1501"/>
    <w:link w:val="1440"/>
    <w:uiPriority w:val="0"/>
    <w:qFormat/>
    <w:rPr>
      <w:rFonts w:ascii="宋体"/>
      <w:sz w:val="21"/>
    </w:rPr>
  </w:style>
  <w:style w:type="paragraph" w:styleId="1510" w:customStyle="1">
    <w:name w:val="修订2"/>
    <w:hidden/>
    <w:uiPriority w:val="99"/>
    <w:unhideWhenUsed/>
    <w:qFormat/>
    <w:rPr>
      <w:rFonts w:ascii="Times New Roman" w:hAnsi="Times New Roman" w:eastAsia="宋体" w:cs="Times New Roman"/>
      <w:sz w:val="21"/>
      <w:lang w:val="en-US" w:eastAsia="zh-CN" w:bidi="ar-SA"/>
    </w:rPr>
  </w:style>
  <w:style w:type="paragraph" w:styleId="1511" w:customStyle="1">
    <w:name w:val="正文缩进1"/>
    <w:basedOn w:val="1397"/>
    <w:uiPriority w:val="0"/>
    <w:qFormat/>
    <w:pPr>
      <w:ind w:firstLine="420"/>
    </w:pPr>
  </w:style>
  <w:style w:type="paragraph" w:styleId="1512" w:customStyle="1">
    <w:name w:val="修订3"/>
    <w:hidden/>
    <w:uiPriority w:val="99"/>
    <w:unhideWhenUsed/>
    <w:qFormat/>
    <w:rPr>
      <w:rFonts w:ascii="Times New Roman" w:hAnsi="Times New Roman" w:eastAsia="宋体" w:cs="Times New Roman"/>
      <w:sz w:val="21"/>
      <w:lang w:val="en-US" w:eastAsia="zh-CN" w:bidi="ar-SA"/>
    </w:rPr>
  </w:style>
  <w:style w:type="paragraph" w:styleId="1513" w:customStyle="1">
    <w:name w:val="正文首行缩进1"/>
    <w:basedOn w:val="1514"/>
    <w:uiPriority w:val="0"/>
    <w:qFormat/>
    <w:pPr>
      <w:ind w:firstLine="420"/>
      <w:spacing w:line="360" w:lineRule="auto"/>
    </w:pPr>
    <w:rPr>
      <w:rFonts w:ascii="Times New Roman"/>
      <w:szCs w:val="21"/>
    </w:rPr>
  </w:style>
  <w:style w:type="paragraph" w:styleId="1514" w:customStyle="1">
    <w:name w:val="正文文本1"/>
    <w:basedOn w:val="1397"/>
    <w:next w:val="1397"/>
    <w:uiPriority w:val="0"/>
    <w:qFormat/>
    <w:rPr>
      <w:rFonts w:ascii="宋体"/>
      <w:sz w:val="28"/>
    </w:rPr>
  </w:style>
  <w:style w:type="paragraph" w:styleId="1515" w:customStyle="1">
    <w:name w:val="页脚1"/>
    <w:basedOn w:val="1397"/>
    <w:uiPriority w:val="99"/>
    <w:qFormat/>
    <w:pPr>
      <w:jc w:val="left"/>
      <w:tabs>
        <w:tab w:val="center" w:pos="4153" w:leader="none"/>
        <w:tab w:val="right" w:pos="8306" w:leader="none"/>
      </w:tabs>
    </w:pPr>
    <w:rPr>
      <w:sz w:val="18"/>
    </w:rPr>
  </w:style>
  <w:style w:type="paragraph" w:styleId="1516" w:customStyle="1">
    <w:name w:val="LC主要特点"/>
    <w:basedOn w:val="1397"/>
    <w:uiPriority w:val="0"/>
    <w:qFormat/>
    <w:pPr>
      <w:outlineLvl w:val="3"/>
    </w:pPr>
    <w:rPr>
      <w:rFonts w:eastAsia="微软雅黑"/>
      <w:b/>
    </w:rPr>
  </w:style>
  <w:style w:type="paragraph" w:styleId="1517" w:customStyle="1">
    <w:name w:val="LC 文字内容 带符号编码"/>
    <w:next w:val="1397"/>
    <w:uiPriority w:val="0"/>
    <w:qFormat/>
    <w:pPr>
      <w:numPr>
        <w:ilvl w:val="0"/>
        <w:numId w:val="2"/>
      </w:numPr>
      <w:ind w:left="840"/>
      <w:jc w:val="both"/>
    </w:pPr>
    <w:rPr>
      <w:rFonts w:ascii="微软雅黑" w:hAnsi="微软雅黑" w:eastAsia="微软雅黑" w:cs="Times New Roman"/>
      <w:sz w:val="21"/>
      <w:lang w:val="en-US" w:eastAsia="zh-CN" w:bidi="ar-SA"/>
    </w:rPr>
  </w:style>
  <w:style w:type="paragraph" w:styleId="1518" w:customStyle="1">
    <w:name w:val="产品手册——表"/>
    <w:uiPriority w:val="0"/>
    <w:qFormat/>
    <w:pPr>
      <w:jc w:val="center"/>
      <w:spacing w:before="20" w:after="20"/>
    </w:pPr>
    <w:rPr>
      <w:rFonts w:ascii="微软雅黑" w:hAnsi="微软雅黑" w:eastAsia="微软雅黑" w:cs="微软雅黑"/>
      <w:sz w:val="21"/>
      <w:szCs w:val="22"/>
      <w:lang w:val="en-US" w:eastAsia="zh-CN" w:bidi="ar-SA"/>
    </w:rPr>
  </w:style>
  <w:style w:type="numbering" w:styleId="15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Birthday</dc:subject>
  <dc:creator>Emotiona</dc:creator>
  <cp:lastModifiedBy>宣家红</cp:lastModifiedBy>
  <cp:revision>21</cp:revision>
  <dcterms:created xsi:type="dcterms:W3CDTF">2026-06-08T06:51:00Z</dcterms:created>
  <dcterms:modified xsi:type="dcterms:W3CDTF">2026-08-05T09:01:47Z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342A20E8A0F444A787420476B3AEA7FB_13</vt:lpwstr>
  </property>
  <property fmtid="{D5CDD505-2E9C-101B-9397-08002B2CF9AE}" pid="4" name="KSOTemplateDocerSaveRecord">
    <vt:lpwstr>eyJoZGlkIjoiOTRmYWI3MDVmNTgxOTNlOGI1YjQ5YjRjZDMzYzRlMzQiLCJ1c2VySWQiOiIxODAwNDg2ODQ5In0=</vt:lpwstr>
  </property>
</Properties>
</file>