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2025年度占补平衡项目补充耕地质量验收工作</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项目编号/包号：JSZC-320413-JTHY-G2026-0011</w:t>
      </w:r>
      <w:r>
        <w:rPr>
          <w:rFonts w:ascii="宋体" w:hAnsi="宋体" w:cs="宋体"/>
          <w:bCs/>
          <w:sz w:val="32"/>
          <w:szCs w:val="32"/>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常州市金坛区农业农村局</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3"/>
      <w:r/>
      <w:bookmarkStart w:id="3" w:name="_Hlt100754102"/>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28359002"/>
      <w:r/>
      <w:bookmarkStart w:id="6" w:name="_Toc35393621"/>
      <w:r/>
      <w:bookmarkStart w:id="7" w:name="_Toc28359079"/>
      <w:r/>
      <w:bookmarkStart w:id="8" w:name="_Toc35393790"/>
      <w:r/>
      <w:bookmarkStart w:id="9" w:name="_Hlk24379207"/>
      <w:r/>
      <w:bookmarkStart w:id="10" w:name="_Toc28359085"/>
      <w:r/>
      <w:bookmarkStart w:id="11" w:name="_Toc35393627"/>
      <w:r/>
      <w:bookmarkStart w:id="12" w:name="_Toc7145"/>
      <w:r/>
      <w:bookmarkStart w:id="13" w:name="_Toc28359008"/>
      <w:r/>
      <w:bookmarkStart w:id="14" w:name="_Toc35393796"/>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1.项目编号/包号：JSZC-320413-JTHY-G2026-0011</w:t>
      </w:r>
      <w:r>
        <w:rPr>
          <w:rFonts w:ascii="宋体" w:hAnsi="宋体"/>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2025年度占补平衡项目补充耕地质量验收工作</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109万元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109万元。</w:t>
      </w:r>
      <w:r>
        <w:rPr>
          <w:rFonts w:hint="eastAsia" w:ascii="宋体" w:hAnsi="宋体" w:cs="宋体"/>
          <w:szCs w:val="21"/>
          <w:lang w:val="en-US" w:eastAsia="zh-CN"/>
        </w:rPr>
        <w:t xml:space="preserve">投标</w:t>
      </w:r>
      <w:r>
        <w:rPr>
          <w:rFonts w:hint="eastAsia" w:ascii="宋体" w:hAnsi="宋体" w:cs="宋体"/>
          <w:szCs w:val="21"/>
        </w:rPr>
        <w:t xml:space="preserve">报价不得高于最高限价，否则作无效</w:t>
      </w:r>
      <w:r>
        <w:rPr>
          <w:rFonts w:hint="eastAsia" w:ascii="宋体" w:hAnsi="宋体" w:cs="宋体"/>
          <w:szCs w:val="21"/>
          <w:lang w:val="en-US" w:eastAsia="zh-CN"/>
        </w:rPr>
        <w:t xml:space="preserve">标</w:t>
      </w:r>
      <w:r>
        <w:rPr>
          <w:rFonts w:hint="eastAsia" w:ascii="宋体" w:hAnsi="宋体" w:cs="宋体"/>
          <w:szCs w:val="21"/>
        </w:rPr>
        <w:t xml:space="preserve">处理</w:t>
      </w:r>
      <w:r>
        <w:rPr>
          <w:rFonts w:hint="eastAsia" w:ascii="宋体" w:hAnsi="宋体" w:cs="宋体"/>
          <w:spacing w:val="2"/>
          <w:szCs w:val="21"/>
        </w:rPr>
        <w:t xml:space="preserve">。</w:t>
      </w:r>
      <w:r>
        <w:rPr>
          <w:rFonts w:hint="eastAsia" w:ascii="宋体" w:hAnsi="宋体"/>
          <w:szCs w:val="21"/>
          <w:highlight w:val="none"/>
        </w:rPr>
      </w:r>
      <w:r/>
    </w:p>
    <w:p>
      <w:pPr>
        <w:pStyle w:val="1030"/>
        <w:ind w:firstLine="420"/>
        <w:spacing w:line="360" w:lineRule="auto"/>
        <w:rPr>
          <w:rFonts w:ascii="宋体" w:hAnsi="宋体" w:cs="宋体"/>
          <w:spacing w:val="2"/>
          <w:highlight w:val="none"/>
          <w:lang w:val="en-US"/>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szCs w:val="21"/>
          <w:highlight w:val="none"/>
          <w:lang w:eastAsia="zh-CN"/>
        </w:rPr>
        <w:t xml:space="preserve">对金坛区2025年度占补平衡项目补充耕地开展质量验收相关工作，包括上一年度占用耕地质量核算、基础资料收集，土壤采样化验、实地踏勘、组织专家评审等有关工作，共计35个项目，约3216亩。</w:t>
      </w:r>
      <w:r>
        <w:rPr>
          <w:rFonts w:ascii="宋体" w:hAnsi="宋体" w:cs="宋体"/>
          <w:spacing w:val="2"/>
          <w:highlight w:val="none"/>
          <w:lang w:val="en-US"/>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eastAsia="宋体" w:cs="宋体"/>
          <w:sz w:val="21"/>
          <w:szCs w:val="21"/>
          <w:highlight w:val="none"/>
          <w:lang w:eastAsia="zh-CN"/>
        </w:rPr>
        <w:t xml:space="preserve">2026年11月30日前完成。</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28359003"/>
      <w:r/>
      <w:bookmarkStart w:id="16" w:name="_Toc35393791"/>
      <w:r/>
      <w:bookmarkStart w:id="17" w:name="_Toc35393622"/>
      <w:r/>
      <w:bookmarkStart w:id="18" w:name="_Toc28359080"/>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本项目专门面向中小企业采购。</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eastAsia="zh-CN"/>
        </w:rPr>
      </w:pPr>
      <w:r>
        <w:rPr>
          <w:rFonts w:ascii="宋体" w:hAnsi="宋体"/>
          <w:szCs w:val="21"/>
          <w:highlight w:val="none"/>
        </w:rPr>
        <w:t xml:space="preserve">3.2本项目是否属于政府购买服务：■是，公益一类事业单位、使用事业编制且由财政拨款保障的群团组织，不得作为承接主体</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val="en-US" w:eastAsia="zh-CN"/>
        </w:rPr>
      </w:pPr>
      <w:r>
        <w:rPr>
          <w:rFonts w:ascii="宋体" w:hAnsi="宋体"/>
          <w:szCs w:val="21"/>
        </w:rPr>
        <w:t xml:space="preserve">3.3其他特定资格要求：</w:t>
      </w:r>
      <w:r>
        <w:rPr>
          <w:rFonts w:hint="eastAsia" w:ascii="宋体" w:hAnsi="宋体"/>
          <w:szCs w:val="21"/>
          <w:lang w:val="en-US" w:eastAsia="zh-CN"/>
        </w:rPr>
        <w:t xml:space="preserve">无。</w:t>
      </w:r>
      <w:r>
        <w:rPr>
          <w:rFonts w:hint="eastAsia" w:ascii="宋体" w:hAnsi="宋体" w:eastAsia="宋体" w:cs="宋体"/>
          <w:sz w:val="21"/>
          <w:szCs w:val="21"/>
          <w:highlight w:val="none"/>
          <w:lang w:val="en-US"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35393624"/>
      <w:r/>
      <w:bookmarkStart w:id="24" w:name="_Toc35393793"/>
      <w:r/>
      <w:bookmarkStart w:id="25" w:name="_Toc28359005"/>
      <w:r/>
      <w:bookmarkStart w:id="26" w:name="_Toc28359082"/>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10</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28359007"/>
      <w:r/>
      <w:bookmarkStart w:id="28" w:name="_Toc35393794"/>
      <w:r/>
      <w:bookmarkStart w:id="29" w:name="_Toc28359084"/>
      <w:r/>
      <w:bookmarkStart w:id="30" w:name="_Toc35393625"/>
      <w:r>
        <w:rPr>
          <w:rFonts w:hint="eastAsia" w:ascii="宋体" w:hAnsi="宋体" w:cs="宋体"/>
          <w:highlight w:val="none"/>
          <w:u w:val="single"/>
        </w:rPr>
        <w:t xml:space="preserve">本项目采用不见面交易方式，无需到现场提交，</w:t>
      </w:r>
      <w:r>
        <w:rPr>
          <w:rFonts w:hint="eastAsia" w:ascii="宋体" w:hAnsi="宋体" w:cs="宋体"/>
          <w:highlight w:val="none"/>
          <w:u w:val="single"/>
          <w:lang w:eastAsia="zh-CN"/>
        </w:rPr>
        <w:t xml:space="preserve">投标人</w:t>
      </w:r>
      <w:r>
        <w:rPr>
          <w:rFonts w:hint="eastAsia" w:ascii="宋体" w:hAnsi="宋体" w:cs="宋体"/>
          <w:highlight w:val="none"/>
          <w:u w:val="single"/>
        </w:rPr>
        <w:t xml:space="preserve">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szCs w:val="21"/>
          <w:highlight w:val="none"/>
          <w:lang w:val="zh-TW" w:eastAsia="zh-CN" w:bidi="ar"/>
        </w:rPr>
        <w:t xml:space="preserve">投标人</w:t>
      </w:r>
      <w:r>
        <w:rPr>
          <w:rFonts w:hint="eastAsia" w:ascii="宋体" w:hAnsi="宋体"/>
          <w:szCs w:val="21"/>
          <w:highlight w:val="none"/>
          <w:lang w:val="zh-TW" w:bidi="ar"/>
        </w:rPr>
        <w:t xml:space="preserve">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3" w:name="_Toc35393617"/>
      <w:r/>
      <w:bookmarkStart w:id="34" w:name="_Toc28359075"/>
      <w:r/>
      <w:bookmarkStart w:id="35" w:name="_Toc35393786"/>
      <w:r/>
      <w:bookmarkStart w:id="36" w:name="_Toc28358998"/>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常州市金坛区农业农村局</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常州市金坛区清风路1号</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徐女士</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18861210118</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7" w:name="_Toc28359077"/>
      <w:r/>
      <w:bookmarkStart w:id="38" w:name="_Toc35393788"/>
      <w:r/>
      <w:bookmarkStart w:id="39" w:name="_Toc35393619"/>
      <w:r/>
      <w:bookmarkStart w:id="40" w:name="_Toc28359000"/>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1" w:name="_Toc150774783"/>
      <w:r/>
      <w:bookmarkStart w:id="42" w:name="_Toc305158928"/>
      <w:r/>
      <w:bookmarkStart w:id="43" w:name="_Toc353873938"/>
      <w:r/>
      <w:bookmarkStart w:id="44" w:name="_Toc265228423"/>
      <w:r/>
      <w:bookmarkStart w:id="45" w:name="_Toc195842950"/>
      <w:r/>
      <w:bookmarkStart w:id="46" w:name="_Toc127151777"/>
      <w:r/>
      <w:bookmarkStart w:id="47" w:name="_Toc226965856"/>
      <w:r/>
      <w:bookmarkStart w:id="48" w:name="_Toc512937850"/>
      <w:r/>
      <w:bookmarkStart w:id="49" w:name="_Toc99301420"/>
      <w:r/>
      <w:bookmarkStart w:id="50" w:name="_Toc264969275"/>
      <w:r/>
      <w:bookmarkStart w:id="51" w:name="_Toc127161488"/>
      <w:r/>
      <w:bookmarkStart w:id="52" w:name="_Toc305158854"/>
      <w:r/>
      <w:bookmarkStart w:id="53" w:name="_Toc353825548"/>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4" w:name="_Toc164608788"/>
      <w:r/>
      <w:bookmarkStart w:id="55" w:name="_Toc164229360"/>
      <w:r/>
      <w:bookmarkStart w:id="56" w:name="_Toc149720812"/>
      <w:r/>
      <w:bookmarkStart w:id="57" w:name="_Toc151193689"/>
      <w:r/>
      <w:bookmarkStart w:id="58" w:name="_Toc127151519"/>
      <w:r/>
      <w:bookmarkStart w:id="59" w:name="_Toc195842884"/>
      <w:r/>
      <w:bookmarkStart w:id="60" w:name="_Toc226965709"/>
      <w:r/>
      <w:bookmarkStart w:id="61" w:name="_Toc164351613"/>
      <w:r/>
      <w:bookmarkStart w:id="62" w:name="_Toc164608633"/>
      <w:r/>
      <w:bookmarkStart w:id="63" w:name="_Toc164229214"/>
      <w:r/>
      <w:bookmarkStart w:id="64" w:name="_Toc520356144"/>
      <w:r/>
      <w:bookmarkStart w:id="65" w:name="_Toc151193617"/>
      <w:r/>
      <w:bookmarkStart w:id="66" w:name="_Toc226337215"/>
      <w:r/>
      <w:bookmarkStart w:id="67" w:name="_Toc151193761"/>
      <w:r/>
      <w:bookmarkStart w:id="68" w:name="_Toc150509270"/>
      <w:r/>
      <w:bookmarkStart w:id="69" w:name="_Toc226965792"/>
      <w:r/>
      <w:bookmarkStart w:id="70" w:name="_Toc142311021"/>
      <w:r/>
      <w:bookmarkStart w:id="71" w:name="_Toc127161433"/>
      <w:r/>
      <w:bookmarkStart w:id="72" w:name="_Toc151193907"/>
      <w:r/>
      <w:bookmarkStart w:id="73" w:name="_Toc151190146"/>
      <w:r/>
      <w:bookmarkStart w:id="74" w:name="_Toc150774724"/>
      <w:r/>
      <w:bookmarkStart w:id="75" w:name="_Toc150480757"/>
      <w:r/>
      <w:bookmarkStart w:id="76" w:name="_Toc151193833"/>
      <w:r/>
      <w:bookmarkStart w:id="77" w:name="_Toc127151720"/>
      <w:r/>
      <w:bookmarkStart w:id="78" w:name="_Toc226309763"/>
      <w:r/>
      <w:bookmarkStart w:id="79" w:name="_Toc150774619"/>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eastAsia="宋体" w:cs="宋体"/>
                <w:szCs w:val="21"/>
                <w:highlight w:val="none"/>
              </w:rPr>
              <w:t xml:space="preserve">。</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cs="宋体"/>
                <w:sz w:val="21"/>
                <w:szCs w:val="21"/>
                <w:highlight w:val="none"/>
              </w:rPr>
            </w:pPr>
            <w:r>
              <w:rPr>
                <w:rFonts w:hint="eastAsia"/>
                <w:sz w:val="21"/>
                <w:szCs w:val="21"/>
              </w:rPr>
              <w:t xml:space="preserve">本国产品政策支持</w:t>
            </w:r>
            <w:r>
              <w:rPr>
                <w:rFonts w:hint="eastAsia" w:ascii="宋体" w:hAnsi="宋体" w:cs="宋体"/>
                <w:sz w:val="21"/>
                <w:szCs w:val="21"/>
                <w:highlight w:val="none"/>
              </w:rPr>
            </w:r>
            <w:r/>
          </w:p>
        </w:tc>
        <w:tc>
          <w:tcPr>
            <w:tcW w:w="7551" w:type="dxa"/>
            <w:vAlign w:val="center"/>
            <w:textDirection w:val="lrTb"/>
            <w:noWrap w:val="false"/>
          </w:tcPr>
          <w:p>
            <w:pPr>
              <w:pStyle w:val="1030"/>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03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sz w:val="21"/>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lang w:val="en-US" w:eastAsia="zh-CN"/>
              </w:rPr>
              <w:t xml:space="preserve">投标</w:t>
            </w:r>
            <w:r>
              <w:rPr>
                <w:rFonts w:hint="eastAsia" w:ascii="宋体" w:hAnsi="宋体" w:cs="宋体"/>
                <w:b/>
                <w:color w:val="000000"/>
                <w:szCs w:val="21"/>
              </w:rPr>
              <w:t xml:space="preserve">报价不得高于最高限价，否则作无效</w:t>
            </w:r>
            <w:r>
              <w:rPr>
                <w:rFonts w:hint="eastAsia" w:ascii="宋体" w:hAnsi="宋体" w:cs="宋体"/>
                <w:b/>
                <w:color w:val="000000"/>
                <w:szCs w:val="21"/>
                <w:lang w:val="en-US" w:eastAsia="zh-CN"/>
              </w:rPr>
              <w:t xml:space="preserve">标</w:t>
            </w:r>
            <w:r>
              <w:rPr>
                <w:rFonts w:hint="eastAsia" w:ascii="宋体" w:hAnsi="宋体" w:cs="宋体"/>
                <w:b/>
                <w:color w:val="000000"/>
                <w:szCs w:val="21"/>
              </w:rPr>
              <w:t xml:space="preserve">处理</w:t>
            </w:r>
            <w:r>
              <w:rPr>
                <w:rFonts w:hint="eastAsia" w:ascii="宋体" w:hAnsi="宋体" w:cs="宋体"/>
                <w:b w:val="0"/>
                <w:bCs/>
                <w:color w:val="000000"/>
                <w:szCs w:val="21"/>
                <w:highlight w:val="none"/>
              </w:rPr>
              <w:t xml:space="preserve">。</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eastAsia="宋体" w:cs="宋体"/>
                <w:sz w:val="21"/>
                <w:szCs w:val="21"/>
                <w:highlight w:val="none"/>
              </w:rPr>
              <w:t xml:space="preserve">，因采购人预算金额包含代理费，本项目向</w:t>
            </w:r>
            <w:r>
              <w:rPr>
                <w:rFonts w:hint="eastAsia" w:ascii="宋体" w:hAnsi="宋体" w:eastAsia="宋体" w:cs="宋体"/>
                <w:sz w:val="21"/>
                <w:szCs w:val="21"/>
                <w:highlight w:val="none"/>
                <w:lang w:val="en-US" w:eastAsia="zh-CN"/>
              </w:rPr>
              <w:t xml:space="preserve">中标人</w:t>
            </w:r>
            <w:r>
              <w:rPr>
                <w:rFonts w:hint="eastAsia" w:ascii="宋体" w:hAnsi="宋体" w:eastAsia="宋体" w:cs="宋体"/>
                <w:sz w:val="21"/>
                <w:szCs w:val="21"/>
                <w:highlight w:val="none"/>
              </w:rPr>
              <w:t xml:space="preserve">收取代理费</w:t>
            </w:r>
            <w:r>
              <w:rPr>
                <w:rFonts w:hint="eastAsia" w:ascii="宋体" w:hAnsi="宋体" w:eastAsia="宋体" w:cs="宋体"/>
                <w:sz w:val="21"/>
                <w:szCs w:val="21"/>
                <w:highlight w:val="none"/>
                <w:lang w:eastAsia="zh-CN"/>
              </w:rPr>
              <w:t xml:space="preserve">。</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r>
              <w:rPr>
                <w:rFonts w:hint="eastAsia" w:ascii="宋体" w:hAnsi="宋体" w:eastAsia="宋体" w:cs="宋体"/>
                <w:sz w:val="21"/>
                <w:szCs w:val="21"/>
                <w:highlight w:val="none"/>
                <w:lang w:val="en-US" w:eastAsia="zh-CN"/>
              </w:rPr>
              <w:t xml:space="preserve">中标金额的1%，不足3000元按3000元计取</w:t>
            </w:r>
            <w:r>
              <w:rPr>
                <w:rFonts w:hint="eastAsia" w:ascii="宋体" w:hAnsi="宋体" w:eastAsia="宋体" w:cs="宋体"/>
                <w:sz w:val="21"/>
                <w:szCs w:val="21"/>
                <w:highlight w:val="none"/>
                <w:u w:val="none"/>
                <w:lang w:val="en-US" w:eastAsia="zh-CN"/>
              </w:rPr>
              <w:t xml:space="preserve">。供应商的投标报价包含代理费，请供应商在投标报价时综合考虑</w:t>
            </w:r>
            <w:r>
              <w:rPr>
                <w:rFonts w:hint="eastAsia" w:ascii="宋体" w:hAnsi="宋体" w:eastAsia="宋体" w:cs="宋体"/>
                <w:sz w:val="21"/>
                <w:szCs w:val="21"/>
                <w:highlight w:val="none"/>
              </w:rPr>
              <w:t xml:space="preserve">。</w:t>
            </w:r>
            <w:r>
              <w:rPr>
                <w:rFonts w:hint="eastAsia" w:ascii="宋体" w:hAnsi="宋体" w:cs="宋体"/>
                <w:szCs w:val="21"/>
                <w:highlight w:val="none"/>
                <w:u w:val="singl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缴纳时间：中标单位在领取中标通知书时一次性支付给招标代理单位。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2026年8月17日至投标截止时间15日前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eastAsia="宋体" w:cs="宋体"/>
                <w:bCs/>
                <w:color w:val="000000"/>
                <w:szCs w:val="21"/>
                <w:highlight w:val="none"/>
                <w:lang w:eastAsia="zh-CN"/>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lang w:val="en-US" w:eastAsia="zh-CN"/>
              </w:rPr>
              <w:t xml:space="preserve">否。</w:t>
            </w:r>
            <w:r>
              <w:rPr>
                <w:rFonts w:hint="eastAsia" w:ascii="宋体" w:hAnsi="宋体" w:eastAsia="宋体" w:cs="宋体"/>
                <w:bCs/>
                <w:color w:val="000000"/>
                <w:szCs w:val="21"/>
                <w:highlight w:val="none"/>
                <w:lang w:eastAsia="zh-CN"/>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0" w:name="_Toc353825542"/>
      <w:r/>
      <w:bookmarkStart w:id="81" w:name="_Toc150480755"/>
      <w:r/>
      <w:bookmarkStart w:id="82" w:name="_Toc226337213"/>
      <w:r/>
      <w:bookmarkStart w:id="83" w:name="_Toc150774722"/>
      <w:r/>
      <w:bookmarkStart w:id="84" w:name="_Toc305158859"/>
      <w:r/>
      <w:bookmarkStart w:id="85" w:name="_Toc226965790"/>
      <w:r/>
      <w:bookmarkStart w:id="86" w:name="_Toc127151517"/>
      <w:r/>
      <w:bookmarkStart w:id="87" w:name="_Toc353873932"/>
      <w:r/>
      <w:bookmarkStart w:id="88" w:name="_Toc353873662"/>
      <w:r/>
      <w:bookmarkStart w:id="89" w:name="_Toc264969207"/>
      <w:r/>
      <w:bookmarkStart w:id="90" w:name="_Toc142311019"/>
      <w:r/>
      <w:bookmarkStart w:id="91" w:name="_Toc195842882"/>
      <w:r/>
      <w:bookmarkStart w:id="92" w:name="_Toc265228355"/>
      <w:r/>
      <w:bookmarkStart w:id="93" w:name="_Toc305158785"/>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520356143"/>
      <w:r/>
      <w:bookmarkStart w:id="95" w:name="_Toc127151518"/>
      <w:r>
        <w:rPr>
          <w:rFonts w:ascii="Times New Roman" w:hAnsi="Times New Roman" w:eastAsia="宋体"/>
          <w:sz w:val="28"/>
          <w:highlight w:val="none"/>
        </w:rPr>
        <w:tab/>
      </w:r>
      <w:bookmarkEnd w:id="94"/>
      <w:r/>
      <w:bookmarkEnd w:id="95"/>
      <w:r/>
      <w:bookmarkStart w:id="96" w:name="_Toc151193760"/>
      <w:r/>
      <w:bookmarkStart w:id="97" w:name="_Toc151193616"/>
      <w:r/>
      <w:bookmarkStart w:id="98" w:name="_Toc151193832"/>
      <w:r/>
      <w:bookmarkStart w:id="99" w:name="_Toc150509269"/>
      <w:r/>
      <w:bookmarkStart w:id="100" w:name="_Toc305158860"/>
      <w:r/>
      <w:bookmarkStart w:id="101" w:name="_Toc226309762"/>
      <w:r/>
      <w:bookmarkStart w:id="102" w:name="_Toc151190145"/>
      <w:r/>
      <w:bookmarkStart w:id="103" w:name="_Toc226337214"/>
      <w:r/>
      <w:bookmarkStart w:id="104" w:name="_Toc305158786"/>
      <w:r/>
      <w:bookmarkStart w:id="105" w:name="_Toc226965708"/>
      <w:r/>
      <w:bookmarkStart w:id="106" w:name="_Toc264969208"/>
      <w:r/>
      <w:bookmarkStart w:id="107" w:name="_Toc195842883"/>
      <w:r/>
      <w:bookmarkStart w:id="108" w:name="_Toc151193906"/>
      <w:r/>
      <w:bookmarkStart w:id="109" w:name="_Toc150774723"/>
      <w:r/>
      <w:bookmarkStart w:id="110" w:name="_Toc226965791"/>
      <w:r/>
      <w:bookmarkStart w:id="111" w:name="_Toc142311020"/>
      <w:r/>
      <w:bookmarkStart w:id="112" w:name="_Toc151193688"/>
      <w:r/>
      <w:bookmarkStart w:id="113" w:name="_Toc150480756"/>
      <w:r/>
      <w:bookmarkStart w:id="114" w:name="_Toc150774618"/>
      <w:r/>
      <w:bookmarkStart w:id="115" w:name="_Toc265228356"/>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16" w:name="_Toc305158787"/>
      <w:r/>
      <w:bookmarkStart w:id="117" w:name="_Toc264969209"/>
      <w:r/>
      <w:bookmarkStart w:id="118" w:name="_Toc265228357"/>
      <w:r/>
      <w:bookmarkStart w:id="119" w:name="_Toc305158861"/>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20" w:name="_Toc149720813"/>
      <w:r/>
      <w:bookmarkStart w:id="121" w:name="_Toc195842885"/>
      <w:r/>
      <w:bookmarkStart w:id="122" w:name="_Toc164608789"/>
      <w:r/>
      <w:bookmarkStart w:id="123" w:name="_Toc305158788"/>
      <w:r/>
      <w:bookmarkStart w:id="124" w:name="_Toc151190147"/>
      <w:r/>
      <w:bookmarkStart w:id="125" w:name="_Toc305158862"/>
      <w:r/>
      <w:bookmarkStart w:id="126" w:name="_Toc226337216"/>
      <w:r/>
      <w:bookmarkStart w:id="127" w:name="_Toc226309764"/>
      <w:r/>
      <w:bookmarkStart w:id="128" w:name="_Toc265228358"/>
      <w:r/>
      <w:bookmarkStart w:id="129" w:name="_Toc127151721"/>
      <w:r/>
      <w:bookmarkStart w:id="130" w:name="_Toc226965793"/>
      <w:r/>
      <w:bookmarkStart w:id="131" w:name="_Toc150774725"/>
      <w:r/>
      <w:bookmarkStart w:id="132" w:name="_Toc151193762"/>
      <w:r/>
      <w:bookmarkStart w:id="133" w:name="_Toc226965710"/>
      <w:r/>
      <w:bookmarkStart w:id="134" w:name="_Toc164351614"/>
      <w:r/>
      <w:bookmarkStart w:id="135" w:name="_Toc151193618"/>
      <w:r/>
      <w:bookmarkStart w:id="136" w:name="_Toc127151520"/>
      <w:r/>
      <w:bookmarkStart w:id="137" w:name="_Toc264969210"/>
      <w:r/>
      <w:bookmarkStart w:id="138" w:name="_Toc150509271"/>
      <w:r/>
      <w:bookmarkStart w:id="139" w:name="_Toc151193908"/>
      <w:r/>
      <w:bookmarkStart w:id="140" w:name="_Toc164608634"/>
      <w:r/>
      <w:bookmarkStart w:id="141" w:name="_Toc151193690"/>
      <w:r/>
      <w:bookmarkStart w:id="142" w:name="_Toc164229215"/>
      <w:r/>
      <w:bookmarkStart w:id="143" w:name="_Toc142311022"/>
      <w:r/>
      <w:bookmarkStart w:id="144" w:name="_Toc151193834"/>
      <w:r/>
      <w:bookmarkStart w:id="145" w:name="_Toc127161434"/>
      <w:r/>
      <w:bookmarkStart w:id="146" w:name="_Toc164229361"/>
      <w:r/>
      <w:bookmarkStart w:id="147" w:name="_Toc150774620"/>
      <w:r/>
      <w:bookmarkStart w:id="148" w:name="_Toc150480758"/>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226965795"/>
      <w:r/>
      <w:bookmarkStart w:id="150" w:name="_Toc151193836"/>
      <w:r/>
      <w:bookmarkStart w:id="151" w:name="_Toc195842887"/>
      <w:r/>
      <w:bookmarkStart w:id="152" w:name="_Toc150480760"/>
      <w:r/>
      <w:bookmarkStart w:id="153" w:name="_Toc305158790"/>
      <w:r/>
      <w:bookmarkStart w:id="154" w:name="_Toc151193620"/>
      <w:r/>
      <w:bookmarkStart w:id="155" w:name="_Toc142311024"/>
      <w:r/>
      <w:bookmarkStart w:id="156" w:name="_Toc226337218"/>
      <w:r/>
      <w:bookmarkStart w:id="157" w:name="_Toc150774622"/>
      <w:r/>
      <w:bookmarkStart w:id="158" w:name="_Toc520356146"/>
      <w:r/>
      <w:bookmarkStart w:id="159" w:name="_Toc264969212"/>
      <w:r/>
      <w:bookmarkStart w:id="160" w:name="_Toc305158864"/>
      <w:r/>
      <w:bookmarkStart w:id="161" w:name="_Toc226309766"/>
      <w:r/>
      <w:bookmarkStart w:id="162" w:name="_Toc265228360"/>
      <w:r/>
      <w:bookmarkStart w:id="163" w:name="_Toc127151522"/>
      <w:r/>
      <w:bookmarkStart w:id="164" w:name="_Toc150509273"/>
      <w:r/>
      <w:bookmarkStart w:id="165" w:name="_Toc151193910"/>
      <w:r/>
      <w:bookmarkStart w:id="166" w:name="_Toc151190149"/>
      <w:r/>
      <w:bookmarkStart w:id="167" w:name="_Toc151193692"/>
      <w:r/>
      <w:bookmarkStart w:id="168" w:name="_Toc151193764"/>
      <w:r/>
      <w:bookmarkStart w:id="169" w:name="_Toc226965712"/>
      <w:r/>
      <w:bookmarkStart w:id="170" w:name="_Toc150774727"/>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highlight w:val="none"/>
        </w:rPr>
      </w:r>
      <w:r/>
    </w:p>
    <w:p>
      <w:pPr>
        <w:pStyle w:val="1030"/>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0"/>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5.8.1本项目对采购本国产品给予政策支持，具体内容见招标文件“第四章 评标程序、评标方法与评标标准”。</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172" w:name="_Toc151193837"/>
      <w:r/>
      <w:bookmarkStart w:id="173" w:name="_Toc150774728"/>
      <w:r/>
      <w:bookmarkStart w:id="174" w:name="_Toc226965713"/>
      <w:r/>
      <w:bookmarkStart w:id="175" w:name="_Toc264969213"/>
      <w:r/>
      <w:bookmarkStart w:id="176" w:name="_Toc151193621"/>
      <w:r/>
      <w:bookmarkStart w:id="177" w:name="_Toc520356147"/>
      <w:r/>
      <w:bookmarkStart w:id="178" w:name="_Toc142311025"/>
      <w:r/>
      <w:bookmarkStart w:id="179" w:name="_Toc150509274"/>
      <w:r/>
      <w:bookmarkStart w:id="180" w:name="_Toc149720816"/>
      <w:r/>
      <w:bookmarkStart w:id="181" w:name="_Toc151190150"/>
      <w:r/>
      <w:bookmarkStart w:id="182" w:name="_Toc127151523"/>
      <w:r/>
      <w:bookmarkStart w:id="183" w:name="_Toc305158865"/>
      <w:r/>
      <w:bookmarkStart w:id="184" w:name="_Toc164229218"/>
      <w:r/>
      <w:bookmarkStart w:id="185" w:name="_Toc164608792"/>
      <w:r/>
      <w:bookmarkStart w:id="186" w:name="_Toc151193693"/>
      <w:r/>
      <w:bookmarkStart w:id="187" w:name="_Toc226337219"/>
      <w:r/>
      <w:bookmarkStart w:id="188" w:name="_Toc127161437"/>
      <w:r/>
      <w:bookmarkStart w:id="189" w:name="_Toc226965796"/>
      <w:r/>
      <w:bookmarkStart w:id="190" w:name="_Toc164608637"/>
      <w:r/>
      <w:bookmarkStart w:id="191" w:name="_Toc150480761"/>
      <w:r/>
      <w:bookmarkStart w:id="192" w:name="_Toc151193911"/>
      <w:r/>
      <w:bookmarkStart w:id="193" w:name="_Toc150774623"/>
      <w:r/>
      <w:bookmarkStart w:id="194" w:name="_Toc305158791"/>
      <w:r/>
      <w:bookmarkStart w:id="195" w:name="_Toc151193765"/>
      <w:r/>
      <w:bookmarkStart w:id="196" w:name="_Toc164229364"/>
      <w:r/>
      <w:bookmarkStart w:id="197" w:name="_Toc164351617"/>
      <w:r/>
      <w:bookmarkStart w:id="198" w:name="_Toc195842888"/>
      <w:r/>
      <w:bookmarkStart w:id="199" w:name="_Toc226309767"/>
      <w:r/>
      <w:bookmarkStart w:id="200" w:name="_Toc265228361"/>
      <w:r/>
      <w:bookmarkStart w:id="201" w:name="_Toc127151724"/>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pageBreakBefore w:val="0"/>
        <w:spacing w:line="480" w:lineRule="exact"/>
        <w:widowControl w:val="off"/>
        <w:tabs>
          <w:tab w:val="left" w:pos="1080" w:leader="none"/>
          <w:tab w:val="left" w:pos="1561" w:leader="none"/>
        </w:tabs>
        <w:rPr>
          <w:rFonts w:hint="eastAsia" w:ascii="宋体" w:hAnsi="宋体" w:cs="宋体"/>
          <w:szCs w:val="21"/>
          <w:highlight w:val="none"/>
        </w:rPr>
      </w:pPr>
      <w:r/>
      <w:bookmarkStart w:id="202" w:name="_Toc127151526"/>
      <w:r/>
      <w:bookmarkStart w:id="203" w:name="_Toc151193768"/>
      <w:r/>
      <w:bookmarkStart w:id="204" w:name="_Toc142311028"/>
      <w:r/>
      <w:bookmarkStart w:id="205" w:name="_Toc151190153"/>
      <w:r/>
      <w:bookmarkStart w:id="206" w:name="_Toc195842891"/>
      <w:r/>
      <w:bookmarkStart w:id="207" w:name="_Toc226965799"/>
      <w:r/>
      <w:bookmarkStart w:id="208" w:name="_Toc516367020"/>
      <w:r/>
      <w:bookmarkStart w:id="209" w:name="_Toc151193624"/>
      <w:r/>
      <w:bookmarkStart w:id="210" w:name="_Toc226965716"/>
      <w:r/>
      <w:bookmarkStart w:id="211" w:name="_Toc150480764"/>
      <w:r/>
      <w:bookmarkStart w:id="212" w:name="_Toc305158868"/>
      <w:r/>
      <w:bookmarkStart w:id="213" w:name="_Toc150774626"/>
      <w:r/>
      <w:bookmarkStart w:id="214" w:name="_Toc226309770"/>
      <w:r/>
      <w:bookmarkStart w:id="215" w:name="_Toc226337222"/>
      <w:r/>
      <w:bookmarkStart w:id="216" w:name="_Toc264969216"/>
      <w:r/>
      <w:bookmarkStart w:id="217" w:name="_Toc150509277"/>
      <w:r/>
      <w:bookmarkStart w:id="218" w:name="_Toc305158794"/>
      <w:r/>
      <w:bookmarkStart w:id="219" w:name="_Toc151193914"/>
      <w:r/>
      <w:bookmarkStart w:id="220" w:name="_Toc150774731"/>
      <w:r/>
      <w:bookmarkStart w:id="221" w:name="_Toc151193840"/>
      <w:r/>
      <w:bookmarkStart w:id="222" w:name="_Toc265228364"/>
      <w:r/>
      <w:bookmarkStart w:id="223" w:name="_Toc520356150"/>
      <w:r/>
      <w:bookmarkStart w:id="224" w:name="_Toc151193696"/>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25" w:name="_Toc305158869"/>
      <w:r/>
      <w:bookmarkStart w:id="226" w:name="_Toc164229368"/>
      <w:r/>
      <w:bookmarkStart w:id="227" w:name="_Toc151193697"/>
      <w:r/>
      <w:bookmarkStart w:id="228" w:name="_Toc226965717"/>
      <w:r/>
      <w:bookmarkStart w:id="229" w:name="_Toc226965800"/>
      <w:r/>
      <w:bookmarkStart w:id="230" w:name="_Toc516367021"/>
      <w:r/>
      <w:bookmarkStart w:id="231" w:name="_Toc151193841"/>
      <w:r/>
      <w:bookmarkStart w:id="232" w:name="_Toc151190154"/>
      <w:r/>
      <w:bookmarkStart w:id="233" w:name="_Toc151193769"/>
      <w:r/>
      <w:bookmarkStart w:id="234" w:name="_Toc150480765"/>
      <w:r/>
      <w:bookmarkStart w:id="235" w:name="_Toc164608641"/>
      <w:r/>
      <w:bookmarkStart w:id="236" w:name="_Toc151193625"/>
      <w:r/>
      <w:bookmarkStart w:id="237" w:name="_Toc226337223"/>
      <w:r/>
      <w:bookmarkStart w:id="238" w:name="_Toc142311029"/>
      <w:r/>
      <w:bookmarkStart w:id="239" w:name="_Toc305158795"/>
      <w:r/>
      <w:bookmarkStart w:id="240" w:name="_Toc265228365"/>
      <w:r/>
      <w:bookmarkStart w:id="241" w:name="_Toc150509278"/>
      <w:r/>
      <w:bookmarkStart w:id="242" w:name="_Toc164229222"/>
      <w:r/>
      <w:bookmarkStart w:id="243" w:name="_Toc127151728"/>
      <w:r/>
      <w:bookmarkStart w:id="244" w:name="_Toc150774732"/>
      <w:r/>
      <w:bookmarkStart w:id="245" w:name="_Toc151193915"/>
      <w:r/>
      <w:bookmarkStart w:id="246" w:name="_Toc164351621"/>
      <w:r/>
      <w:bookmarkStart w:id="247" w:name="_Toc127161441"/>
      <w:r/>
      <w:bookmarkStart w:id="248" w:name="_Toc150774627"/>
      <w:r/>
      <w:bookmarkStart w:id="249" w:name="_Toc127151527"/>
      <w:r/>
      <w:bookmarkStart w:id="250" w:name="_Toc195842892"/>
      <w:r/>
      <w:bookmarkStart w:id="251" w:name="_Toc520356151"/>
      <w:r/>
      <w:bookmarkStart w:id="252" w:name="_Toc149720820"/>
      <w:r/>
      <w:bookmarkStart w:id="253" w:name="_Toc164608796"/>
      <w:r/>
      <w:bookmarkStart w:id="254" w:name="_Toc226309771"/>
      <w:r/>
      <w:bookmarkStart w:id="255" w:name="_Toc264969217"/>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56" w:name="_Toc151193698"/>
      <w:r/>
      <w:bookmarkStart w:id="257" w:name="_Toc164229369"/>
      <w:r/>
      <w:bookmarkStart w:id="258" w:name="_Toc305158870"/>
      <w:r/>
      <w:bookmarkStart w:id="259" w:name="_Toc226965801"/>
      <w:r/>
      <w:bookmarkStart w:id="260" w:name="_Toc305158796"/>
      <w:r/>
      <w:bookmarkStart w:id="261" w:name="_Toc149720821"/>
      <w:r/>
      <w:bookmarkStart w:id="262" w:name="_Toc127151729"/>
      <w:r/>
      <w:bookmarkStart w:id="263" w:name="_Toc195842893"/>
      <w:r/>
      <w:bookmarkStart w:id="264" w:name="_Toc150774733"/>
      <w:r/>
      <w:bookmarkStart w:id="265" w:name="_Toc265228366"/>
      <w:r/>
      <w:bookmarkStart w:id="266" w:name="_Toc151190155"/>
      <w:r/>
      <w:bookmarkStart w:id="267" w:name="_Toc151193842"/>
      <w:r/>
      <w:bookmarkStart w:id="268" w:name="_Toc150774628"/>
      <w:r/>
      <w:bookmarkStart w:id="269" w:name="_Toc226965718"/>
      <w:r/>
      <w:bookmarkStart w:id="270" w:name="_Toc164351622"/>
      <w:r/>
      <w:bookmarkStart w:id="271" w:name="_Toc150509279"/>
      <w:r/>
      <w:bookmarkStart w:id="272" w:name="_Toc127161442"/>
      <w:r/>
      <w:bookmarkStart w:id="273" w:name="_Toc226337224"/>
      <w:r/>
      <w:bookmarkStart w:id="274" w:name="_Toc520356152"/>
      <w:r/>
      <w:bookmarkStart w:id="275" w:name="_Toc151193916"/>
      <w:r/>
      <w:bookmarkStart w:id="276" w:name="_Toc164608642"/>
      <w:r/>
      <w:bookmarkStart w:id="277" w:name="_Toc264969218"/>
      <w:r/>
      <w:bookmarkStart w:id="278" w:name="_Toc127151528"/>
      <w:r/>
      <w:bookmarkStart w:id="279" w:name="_Toc164608797"/>
      <w:r/>
      <w:bookmarkStart w:id="280" w:name="_Toc150480766"/>
      <w:r/>
      <w:bookmarkStart w:id="281" w:name="_Toc226309772"/>
      <w:r/>
      <w:bookmarkStart w:id="282" w:name="_Toc142311030"/>
      <w:r/>
      <w:bookmarkStart w:id="283" w:name="_Toc164229223"/>
      <w:r/>
      <w:bookmarkStart w:id="284" w:name="_Toc151193626"/>
      <w:r/>
      <w:bookmarkStart w:id="285" w:name="_Toc516367022"/>
      <w:r/>
      <w:bookmarkStart w:id="286" w:name="_Ref467306195"/>
      <w:r/>
      <w:bookmarkStart w:id="287" w:name="_Toc151193770"/>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90" w:name="_Toc151190157"/>
      <w:r/>
      <w:bookmarkStart w:id="291" w:name="_Toc150774630"/>
      <w:r/>
      <w:bookmarkStart w:id="292" w:name="_Toc164608799"/>
      <w:r/>
      <w:bookmarkStart w:id="293" w:name="_Toc127161444"/>
      <w:r/>
      <w:bookmarkStart w:id="294" w:name="_Toc142311032"/>
      <w:r/>
      <w:bookmarkStart w:id="295" w:name="_Toc127151530"/>
      <w:r/>
      <w:bookmarkStart w:id="296" w:name="_Toc127151731"/>
      <w:r/>
      <w:bookmarkStart w:id="297" w:name="_Toc195842895"/>
      <w:r/>
      <w:bookmarkStart w:id="298" w:name="_Toc151193918"/>
      <w:r/>
      <w:bookmarkStart w:id="299" w:name="_Toc151193628"/>
      <w:r/>
      <w:bookmarkStart w:id="300" w:name="_Toc150774735"/>
      <w:r/>
      <w:bookmarkStart w:id="301" w:name="_Toc151193844"/>
      <w:r/>
      <w:bookmarkStart w:id="302" w:name="_Toc164229371"/>
      <w:r/>
      <w:bookmarkStart w:id="303" w:name="_Toc150509281"/>
      <w:r/>
      <w:bookmarkStart w:id="304" w:name="_Toc164229225"/>
      <w:r/>
      <w:bookmarkStart w:id="305" w:name="_Toc151193772"/>
      <w:r/>
      <w:bookmarkStart w:id="306" w:name="_Toc520356155"/>
      <w:r/>
      <w:bookmarkStart w:id="307" w:name="_Toc151193700"/>
      <w:r/>
      <w:bookmarkStart w:id="308" w:name="_Toc149720823"/>
      <w:r/>
      <w:bookmarkStart w:id="309" w:name="_Toc150480768"/>
      <w:r/>
      <w:bookmarkStart w:id="310" w:name="_Toc164351624"/>
      <w:r/>
      <w:bookmarkStart w:id="311" w:name="_Toc164608644"/>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12" w:name="_Toc151193701"/>
      <w:r/>
      <w:bookmarkStart w:id="313" w:name="_Toc195842896"/>
      <w:r/>
      <w:bookmarkStart w:id="314" w:name="_Toc305158873"/>
      <w:r/>
      <w:bookmarkStart w:id="315" w:name="_Toc226337227"/>
      <w:r/>
      <w:bookmarkStart w:id="316" w:name="_Toc150774631"/>
      <w:r/>
      <w:bookmarkStart w:id="317" w:name="_Toc142311033"/>
      <w:r/>
      <w:bookmarkStart w:id="318" w:name="_Toc265228369"/>
      <w:r/>
      <w:bookmarkStart w:id="319" w:name="_Toc127151732"/>
      <w:r/>
      <w:bookmarkStart w:id="320" w:name="_Toc520356156"/>
      <w:r/>
      <w:bookmarkStart w:id="321" w:name="_Toc151193629"/>
      <w:r/>
      <w:bookmarkStart w:id="322" w:name="_Ref467306513"/>
      <w:r/>
      <w:bookmarkStart w:id="323" w:name="_Toc151190158"/>
      <w:r/>
      <w:bookmarkStart w:id="324" w:name="_Toc226309775"/>
      <w:r/>
      <w:bookmarkStart w:id="325" w:name="_Toc151193773"/>
      <w:r/>
      <w:bookmarkStart w:id="326" w:name="_Toc164229226"/>
      <w:r/>
      <w:bookmarkStart w:id="327" w:name="_Toc149720824"/>
      <w:r/>
      <w:bookmarkStart w:id="328" w:name="_Toc164229372"/>
      <w:r/>
      <w:bookmarkStart w:id="329" w:name="_Toc151193919"/>
      <w:r/>
      <w:bookmarkStart w:id="330" w:name="_Toc164608800"/>
      <w:r/>
      <w:bookmarkStart w:id="331" w:name="_Toc164351625"/>
      <w:r/>
      <w:bookmarkStart w:id="332" w:name="_Toc226965804"/>
      <w:r/>
      <w:bookmarkStart w:id="333" w:name="_Toc127161445"/>
      <w:r/>
      <w:bookmarkStart w:id="334" w:name="_Toc164608645"/>
      <w:r/>
      <w:bookmarkStart w:id="335" w:name="_Toc150509282"/>
      <w:r/>
      <w:bookmarkStart w:id="336" w:name="_Toc150774736"/>
      <w:r/>
      <w:bookmarkStart w:id="337" w:name="_Toc151193845"/>
      <w:r/>
      <w:bookmarkStart w:id="338" w:name="_Toc150480769"/>
      <w:r/>
      <w:bookmarkStart w:id="339" w:name="_Toc305158799"/>
      <w:r/>
      <w:bookmarkStart w:id="340" w:name="_Toc264969221"/>
      <w:r/>
      <w:bookmarkStart w:id="341" w:name="_Toc226965721"/>
      <w:r/>
      <w:bookmarkStart w:id="342" w:name="_Toc127151531"/>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0"/>
        <w:ind w:left="357"/>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43" w:name="_Toc305158800"/>
      <w:r/>
      <w:bookmarkStart w:id="344" w:name="_Toc164608801"/>
      <w:r/>
      <w:bookmarkStart w:id="345" w:name="_Toc127161446"/>
      <w:r/>
      <w:bookmarkStart w:id="346" w:name="_Toc226337228"/>
      <w:r/>
      <w:bookmarkStart w:id="347" w:name="_Toc150774632"/>
      <w:r/>
      <w:bookmarkStart w:id="348" w:name="_Toc164351626"/>
      <w:r/>
      <w:bookmarkStart w:id="349" w:name="_Toc305158874"/>
      <w:r/>
      <w:bookmarkStart w:id="350" w:name="_Toc164229373"/>
      <w:r/>
      <w:bookmarkStart w:id="351" w:name="_Toc226965722"/>
      <w:r/>
      <w:bookmarkStart w:id="352" w:name="_Toc164608646"/>
      <w:r/>
      <w:bookmarkStart w:id="353" w:name="_Toc150509283"/>
      <w:r/>
      <w:bookmarkStart w:id="354" w:name="_Toc151193702"/>
      <w:r/>
      <w:bookmarkStart w:id="355" w:name="_Toc127151532"/>
      <w:r/>
      <w:bookmarkStart w:id="356" w:name="_Toc150774737"/>
      <w:r/>
      <w:bookmarkStart w:id="357" w:name="_Toc151193846"/>
      <w:r/>
      <w:bookmarkStart w:id="358" w:name="_Toc151193920"/>
      <w:r/>
      <w:bookmarkStart w:id="359" w:name="_Toc151190159"/>
      <w:r/>
      <w:bookmarkStart w:id="360" w:name="_Toc151193630"/>
      <w:r/>
      <w:bookmarkStart w:id="361" w:name="_Toc127151733"/>
      <w:r/>
      <w:bookmarkStart w:id="362" w:name="_Toc151193774"/>
      <w:r/>
      <w:bookmarkStart w:id="363" w:name="_Toc520356157"/>
      <w:r/>
      <w:bookmarkStart w:id="364" w:name="_Toc149720825"/>
      <w:r/>
      <w:bookmarkStart w:id="365" w:name="_Toc142311034"/>
      <w:r/>
      <w:bookmarkStart w:id="366" w:name="_Toc264969222"/>
      <w:r/>
      <w:bookmarkStart w:id="367" w:name="_Toc226309776"/>
      <w:r/>
      <w:bookmarkStart w:id="368" w:name="_Toc164229227"/>
      <w:r/>
      <w:bookmarkStart w:id="369" w:name="_Toc265228370"/>
      <w:r/>
      <w:bookmarkStart w:id="370" w:name="_Toc226965805"/>
      <w:r/>
      <w:bookmarkStart w:id="371" w:name="_Toc195842897"/>
      <w:r/>
      <w:bookmarkStart w:id="372" w:name="_Toc150480770"/>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73" w:name="_Toc265228371"/>
      <w:r/>
      <w:bookmarkStart w:id="374" w:name="_Toc151193921"/>
      <w:r/>
      <w:bookmarkStart w:id="375" w:name="_Toc127161447"/>
      <w:r/>
      <w:bookmarkStart w:id="376" w:name="_Toc226965723"/>
      <w:r/>
      <w:bookmarkStart w:id="377" w:name="_Toc150509284"/>
      <w:r/>
      <w:bookmarkStart w:id="378" w:name="_Toc164351627"/>
      <w:r/>
      <w:bookmarkStart w:id="379" w:name="_Toc264969223"/>
      <w:r/>
      <w:bookmarkStart w:id="380" w:name="_Toc164229228"/>
      <w:r/>
      <w:bookmarkStart w:id="381" w:name="_Toc150774738"/>
      <w:r/>
      <w:bookmarkStart w:id="382" w:name="_Toc149720826"/>
      <w:r/>
      <w:bookmarkStart w:id="383" w:name="_Toc164608647"/>
      <w:r/>
      <w:bookmarkStart w:id="384" w:name="_Toc151193631"/>
      <w:r/>
      <w:bookmarkStart w:id="385" w:name="_Toc164229374"/>
      <w:r/>
      <w:bookmarkStart w:id="386" w:name="_Toc151193847"/>
      <w:r/>
      <w:bookmarkStart w:id="387" w:name="_Toc520356158"/>
      <w:r/>
      <w:bookmarkStart w:id="388" w:name="_Toc305158801"/>
      <w:r/>
      <w:bookmarkStart w:id="389" w:name="_Toc127151533"/>
      <w:r/>
      <w:bookmarkStart w:id="390" w:name="_Toc151193703"/>
      <w:r/>
      <w:bookmarkStart w:id="391" w:name="_Toc195842898"/>
      <w:r/>
      <w:bookmarkStart w:id="392" w:name="_Toc226337229"/>
      <w:r/>
      <w:bookmarkStart w:id="393" w:name="_Toc305158875"/>
      <w:r/>
      <w:bookmarkStart w:id="394" w:name="_Toc142311035"/>
      <w:r/>
      <w:bookmarkStart w:id="395" w:name="_Toc127151734"/>
      <w:r/>
      <w:bookmarkStart w:id="396" w:name="_Toc226309777"/>
      <w:r/>
      <w:bookmarkStart w:id="397" w:name="_Toc150774633"/>
      <w:r/>
      <w:bookmarkStart w:id="398" w:name="_Toc150480771"/>
      <w:r/>
      <w:bookmarkStart w:id="399" w:name="_Toc226965806"/>
      <w:r/>
      <w:bookmarkStart w:id="400" w:name="_Toc151193775"/>
      <w:r/>
      <w:bookmarkStart w:id="401" w:name="_Toc164608802"/>
      <w:r/>
      <w:bookmarkStart w:id="402" w:name="_Toc151190160"/>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403" w:name="_Toc264969224"/>
      <w:r/>
      <w:bookmarkStart w:id="404" w:name="_Toc150480772"/>
      <w:r/>
      <w:bookmarkStart w:id="405" w:name="_Toc151193922"/>
      <w:r/>
      <w:bookmarkStart w:id="406" w:name="_Toc305158802"/>
      <w:r/>
      <w:bookmarkStart w:id="407" w:name="_Toc305158876"/>
      <w:r/>
      <w:bookmarkStart w:id="408" w:name="_Toc151193632"/>
      <w:r/>
      <w:bookmarkStart w:id="409" w:name="_Toc151193848"/>
      <w:r/>
      <w:bookmarkStart w:id="410" w:name="_Toc151193776"/>
      <w:r/>
      <w:bookmarkStart w:id="411" w:name="_Toc265228372"/>
      <w:r/>
      <w:bookmarkStart w:id="412" w:name="_Toc150509285"/>
      <w:r/>
      <w:bookmarkStart w:id="413" w:name="_Toc142311036"/>
      <w:r/>
      <w:bookmarkStart w:id="414" w:name="_Toc520356159"/>
      <w:r/>
      <w:bookmarkStart w:id="415" w:name="_Toc150774634"/>
      <w:r/>
      <w:bookmarkStart w:id="416" w:name="_Toc195842899"/>
      <w:r/>
      <w:bookmarkStart w:id="417" w:name="_Toc151190161"/>
      <w:r/>
      <w:bookmarkStart w:id="418" w:name="_Toc150774739"/>
      <w:r/>
      <w:bookmarkStart w:id="419" w:name="_Toc226337230"/>
      <w:r/>
      <w:bookmarkStart w:id="420" w:name="_Toc151193704"/>
      <w:r/>
      <w:bookmarkStart w:id="421" w:name="_Toc226965807"/>
      <w:r/>
      <w:bookmarkStart w:id="422" w:name="_Toc127151534"/>
      <w:r/>
      <w:bookmarkStart w:id="423" w:name="_Toc226309778"/>
      <w:r/>
      <w:bookmarkStart w:id="424" w:name="_Toc226965724"/>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pageBreakBefore w:val="0"/>
        <w:spacing w:line="480" w:lineRule="exact"/>
        <w:widowControl w:val="off"/>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25" w:name="_Toc164608649"/>
      <w:r/>
      <w:bookmarkStart w:id="426" w:name="_Toc151193849"/>
      <w:r/>
      <w:bookmarkStart w:id="427" w:name="_Toc127151736"/>
      <w:r/>
      <w:bookmarkStart w:id="428" w:name="_Toc151193777"/>
      <w:r/>
      <w:bookmarkStart w:id="429" w:name="_Toc142311037"/>
      <w:r/>
      <w:bookmarkStart w:id="430" w:name="_Toc127161449"/>
      <w:r/>
      <w:bookmarkStart w:id="431" w:name="_Toc226965808"/>
      <w:r/>
      <w:bookmarkStart w:id="432" w:name="_Toc164351629"/>
      <w:r/>
      <w:bookmarkStart w:id="433" w:name="_Toc305158877"/>
      <w:r/>
      <w:bookmarkStart w:id="434" w:name="_Toc226309779"/>
      <w:r/>
      <w:bookmarkStart w:id="435" w:name="_Toc265228373"/>
      <w:r/>
      <w:bookmarkStart w:id="436" w:name="_Toc164608804"/>
      <w:r/>
      <w:bookmarkStart w:id="437" w:name="_Toc226965725"/>
      <w:r/>
      <w:bookmarkStart w:id="438" w:name="_Toc151193705"/>
      <w:r/>
      <w:bookmarkStart w:id="439" w:name="_Toc149720828"/>
      <w:r/>
      <w:bookmarkStart w:id="440" w:name="_Toc264969225"/>
      <w:r/>
      <w:bookmarkStart w:id="441" w:name="_Toc127151535"/>
      <w:r/>
      <w:bookmarkStart w:id="442" w:name="_Toc164229376"/>
      <w:r/>
      <w:bookmarkStart w:id="443" w:name="_Toc150774635"/>
      <w:r/>
      <w:bookmarkStart w:id="444" w:name="_Toc151190162"/>
      <w:r/>
      <w:bookmarkStart w:id="445" w:name="_Toc226337231"/>
      <w:r/>
      <w:bookmarkStart w:id="446" w:name="_Toc305158803"/>
      <w:r/>
      <w:bookmarkStart w:id="447" w:name="_Toc151193923"/>
      <w:r/>
      <w:bookmarkStart w:id="448" w:name="_Toc520356160"/>
      <w:r/>
      <w:bookmarkStart w:id="449" w:name="_Toc150774740"/>
      <w:r/>
      <w:bookmarkStart w:id="450" w:name="_Toc150480773"/>
      <w:r/>
      <w:bookmarkStart w:id="451" w:name="_Toc151193633"/>
      <w:r/>
      <w:bookmarkStart w:id="452" w:name="_Toc150509286"/>
      <w:r/>
      <w:bookmarkStart w:id="453" w:name="_Toc195842900"/>
      <w:r/>
      <w:bookmarkStart w:id="454" w:name="_Toc164229230"/>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55" w:name="_Toc151193634"/>
      <w:r/>
      <w:bookmarkStart w:id="456" w:name="_Toc520356161"/>
      <w:r/>
      <w:bookmarkStart w:id="457" w:name="_Toc142311038"/>
      <w:r/>
      <w:bookmarkStart w:id="458" w:name="_Toc151193778"/>
      <w:r/>
      <w:bookmarkStart w:id="459" w:name="_Toc150774741"/>
      <w:r/>
      <w:bookmarkStart w:id="460" w:name="_Toc226965726"/>
      <w:r/>
      <w:bookmarkStart w:id="461" w:name="_Toc127151737"/>
      <w:r/>
      <w:bookmarkStart w:id="462" w:name="_Toc149720829"/>
      <w:r/>
      <w:bookmarkStart w:id="463" w:name="_Toc151193706"/>
      <w:r/>
      <w:bookmarkStart w:id="464" w:name="_Toc151193850"/>
      <w:r/>
      <w:bookmarkStart w:id="465" w:name="_Toc127151536"/>
      <w:r/>
      <w:bookmarkStart w:id="466" w:name="_Toc264969226"/>
      <w:r/>
      <w:bookmarkStart w:id="467" w:name="_Toc150774636"/>
      <w:r/>
      <w:bookmarkStart w:id="468" w:name="_Toc151190163"/>
      <w:r/>
      <w:bookmarkStart w:id="469" w:name="_Toc305158878"/>
      <w:r/>
      <w:bookmarkStart w:id="470" w:name="_Toc226309780"/>
      <w:r/>
      <w:bookmarkStart w:id="471" w:name="_Toc195842901"/>
      <w:r/>
      <w:bookmarkStart w:id="472" w:name="_Toc226337232"/>
      <w:r/>
      <w:bookmarkStart w:id="473" w:name="_Toc150480774"/>
      <w:r/>
      <w:bookmarkStart w:id="474" w:name="_Toc226965809"/>
      <w:r/>
      <w:bookmarkStart w:id="475" w:name="_Toc265228374"/>
      <w:r/>
      <w:bookmarkStart w:id="476" w:name="_Toc305158804"/>
      <w:r/>
      <w:bookmarkStart w:id="477" w:name="_Toc164229231"/>
      <w:r/>
      <w:bookmarkStart w:id="478" w:name="_Toc164608650"/>
      <w:r/>
      <w:bookmarkStart w:id="479" w:name="_Toc150509287"/>
      <w:r/>
      <w:bookmarkStart w:id="480" w:name="_Toc164608805"/>
      <w:r/>
      <w:bookmarkStart w:id="481" w:name="_Toc164351630"/>
      <w:r/>
      <w:bookmarkStart w:id="482" w:name="_Toc151193924"/>
      <w:r/>
      <w:bookmarkStart w:id="483" w:name="_Toc164229377"/>
      <w:r/>
      <w:bookmarkStart w:id="484" w:name="_Toc127161450"/>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85" w:name="_Toc150774637"/>
      <w:r/>
      <w:bookmarkStart w:id="486" w:name="_Toc226965727"/>
      <w:r/>
      <w:bookmarkStart w:id="487" w:name="_Toc151193851"/>
      <w:r/>
      <w:bookmarkStart w:id="488" w:name="_Toc226309781"/>
      <w:r/>
      <w:bookmarkStart w:id="489" w:name="_Toc149720830"/>
      <w:r/>
      <w:bookmarkStart w:id="490" w:name="_Toc226337233"/>
      <w:r/>
      <w:bookmarkStart w:id="491" w:name="_Toc520356162"/>
      <w:r/>
      <w:bookmarkStart w:id="492" w:name="_Toc305158879"/>
      <w:r/>
      <w:bookmarkStart w:id="493" w:name="_Toc164351631"/>
      <w:r/>
      <w:bookmarkStart w:id="494" w:name="_Toc226965810"/>
      <w:r/>
      <w:bookmarkStart w:id="495" w:name="_Toc164229378"/>
      <w:r/>
      <w:bookmarkStart w:id="496" w:name="_Toc127161451"/>
      <w:r/>
      <w:bookmarkStart w:id="497" w:name="_Toc151193635"/>
      <w:r/>
      <w:bookmarkStart w:id="498" w:name="_Toc265228375"/>
      <w:r/>
      <w:bookmarkStart w:id="499" w:name="_Toc151193925"/>
      <w:r/>
      <w:bookmarkStart w:id="500" w:name="_Toc151190164"/>
      <w:r/>
      <w:bookmarkStart w:id="501" w:name="_Toc142311039"/>
      <w:r/>
      <w:bookmarkStart w:id="502" w:name="_Toc164608806"/>
      <w:r/>
      <w:bookmarkStart w:id="503" w:name="_Toc151193707"/>
      <w:r/>
      <w:bookmarkStart w:id="504" w:name="_Toc195842902"/>
      <w:r/>
      <w:bookmarkStart w:id="505" w:name="_Toc164608651"/>
      <w:r/>
      <w:bookmarkStart w:id="506" w:name="_Toc150480775"/>
      <w:r/>
      <w:bookmarkStart w:id="507" w:name="_Toc150774742"/>
      <w:r/>
      <w:bookmarkStart w:id="508" w:name="_Toc305158805"/>
      <w:r/>
      <w:bookmarkStart w:id="509" w:name="_Toc164229232"/>
      <w:r/>
      <w:bookmarkStart w:id="510" w:name="_Toc127151738"/>
      <w:r/>
      <w:bookmarkStart w:id="511" w:name="_Toc150509288"/>
      <w:r/>
      <w:bookmarkStart w:id="512" w:name="_Toc127151537"/>
      <w:r/>
      <w:bookmarkStart w:id="513" w:name="_Toc264969227"/>
      <w:r/>
      <w:bookmarkStart w:id="514" w:name="_Toc151193779"/>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pageBreakBefore w:val="0"/>
        <w:spacing w:line="480" w:lineRule="exact"/>
        <w:widowControl w:val="off"/>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15" w:name="_Toc142311040"/>
      <w:r/>
      <w:bookmarkStart w:id="516" w:name="_Toc150509289"/>
      <w:r/>
      <w:bookmarkStart w:id="517" w:name="_Toc305158880"/>
      <w:r/>
      <w:bookmarkStart w:id="518" w:name="_Toc151193926"/>
      <w:r/>
      <w:bookmarkStart w:id="519" w:name="_Toc151193636"/>
      <w:r/>
      <w:bookmarkStart w:id="520" w:name="_Toc151193852"/>
      <w:r/>
      <w:bookmarkStart w:id="521" w:name="_Toc127151538"/>
      <w:r/>
      <w:bookmarkStart w:id="522" w:name="_Toc151193780"/>
      <w:r/>
      <w:bookmarkStart w:id="523" w:name="_Toc226965811"/>
      <w:r/>
      <w:bookmarkStart w:id="524" w:name="_Toc520356163"/>
      <w:r/>
      <w:bookmarkStart w:id="525" w:name="_Toc150774743"/>
      <w:r/>
      <w:bookmarkStart w:id="526" w:name="_Toc195842903"/>
      <w:r/>
      <w:bookmarkStart w:id="527" w:name="_Toc305158806"/>
      <w:r/>
      <w:bookmarkStart w:id="528" w:name="_Toc265228376"/>
      <w:r/>
      <w:bookmarkStart w:id="529" w:name="_Toc226965728"/>
      <w:r/>
      <w:bookmarkStart w:id="530" w:name="_Toc150480776"/>
      <w:r/>
      <w:bookmarkStart w:id="531" w:name="_Toc151190165"/>
      <w:r/>
      <w:bookmarkStart w:id="532" w:name="_Toc226337234"/>
      <w:r/>
      <w:bookmarkStart w:id="533" w:name="_Toc150774638"/>
      <w:r/>
      <w:bookmarkStart w:id="534" w:name="_Toc151193708"/>
      <w:r/>
      <w:bookmarkStart w:id="535" w:name="_Toc226309782"/>
      <w:r/>
      <w:bookmarkStart w:id="536" w:name="_Toc264969228"/>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537" w:name="_Toc305158881"/>
      <w:r/>
      <w:bookmarkStart w:id="538" w:name="_Toc264969229"/>
      <w:r/>
      <w:bookmarkStart w:id="539" w:name="_Toc164351633"/>
      <w:r/>
      <w:bookmarkStart w:id="540" w:name="_Toc226337235"/>
      <w:r/>
      <w:bookmarkStart w:id="541" w:name="_Toc149720832"/>
      <w:r/>
      <w:bookmarkStart w:id="542" w:name="_Toc164608653"/>
      <w:r/>
      <w:bookmarkStart w:id="543" w:name="_Toc151190166"/>
      <w:r/>
      <w:bookmarkStart w:id="544" w:name="_Toc127151740"/>
      <w:r/>
      <w:bookmarkStart w:id="545" w:name="_Toc164608808"/>
      <w:r/>
      <w:bookmarkStart w:id="546" w:name="_Toc226309783"/>
      <w:r/>
      <w:bookmarkStart w:id="547" w:name="_Toc150774744"/>
      <w:r/>
      <w:bookmarkStart w:id="548" w:name="_Toc305158807"/>
      <w:r/>
      <w:bookmarkStart w:id="549" w:name="_Toc150774639"/>
      <w:r/>
      <w:bookmarkStart w:id="550" w:name="_Toc265228377"/>
      <w:r/>
      <w:bookmarkStart w:id="551" w:name="_Toc520356164"/>
      <w:r/>
      <w:bookmarkStart w:id="552" w:name="_Toc164229380"/>
      <w:r/>
      <w:bookmarkStart w:id="553" w:name="_Toc151193853"/>
      <w:r/>
      <w:bookmarkStart w:id="554" w:name="_Toc164229234"/>
      <w:r/>
      <w:bookmarkStart w:id="555" w:name="_Toc150480777"/>
      <w:r/>
      <w:bookmarkStart w:id="556" w:name="_Toc142311041"/>
      <w:r/>
      <w:bookmarkStart w:id="557" w:name="_Toc151193781"/>
      <w:r/>
      <w:bookmarkStart w:id="558" w:name="_Toc127161453"/>
      <w:r/>
      <w:bookmarkStart w:id="559" w:name="_Toc226965729"/>
      <w:r/>
      <w:bookmarkStart w:id="560" w:name="_Toc127151539"/>
      <w:r/>
      <w:bookmarkStart w:id="561" w:name="_Toc151193927"/>
      <w:r/>
      <w:bookmarkStart w:id="562" w:name="_Toc151193637"/>
      <w:r/>
      <w:bookmarkStart w:id="563" w:name="_Toc195842904"/>
      <w:r/>
      <w:bookmarkStart w:id="564" w:name="_Toc151193709"/>
      <w:r/>
      <w:bookmarkStart w:id="565" w:name="_Toc150509290"/>
      <w:r/>
      <w:bookmarkStart w:id="566" w:name="_Toc226965812"/>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567"/>
      <w:r/>
      <w:bookmarkStart w:id="568" w:name="_Toc164229235"/>
      <w:r/>
      <w:bookmarkStart w:id="569" w:name="_Toc305158882"/>
      <w:r/>
      <w:bookmarkStart w:id="570" w:name="_Toc151190167"/>
      <w:r/>
      <w:bookmarkStart w:id="571" w:name="_Toc151193710"/>
      <w:r/>
      <w:bookmarkStart w:id="572" w:name="_Toc226965730"/>
      <w:r/>
      <w:bookmarkStart w:id="573" w:name="_Toc149720833"/>
      <w:r/>
      <w:bookmarkStart w:id="574" w:name="_Toc226965813"/>
      <w:r/>
      <w:bookmarkStart w:id="575" w:name="_Toc150774640"/>
      <w:r/>
      <w:bookmarkStart w:id="576" w:name="_Toc226309784"/>
      <w:r/>
      <w:bookmarkStart w:id="577" w:name="_Toc164229381"/>
      <w:r/>
      <w:bookmarkStart w:id="578" w:name="_Toc151193638"/>
      <w:r/>
      <w:bookmarkStart w:id="579" w:name="_Toc164608654"/>
      <w:r/>
      <w:bookmarkStart w:id="580" w:name="_Toc195842905"/>
      <w:r/>
      <w:bookmarkStart w:id="581" w:name="_Toc226337236"/>
      <w:r/>
      <w:bookmarkStart w:id="582" w:name="_Toc151193928"/>
      <w:r/>
      <w:bookmarkStart w:id="583" w:name="_Toc150480778"/>
      <w:r/>
      <w:bookmarkStart w:id="584" w:name="_Toc127151741"/>
      <w:r/>
      <w:bookmarkStart w:id="585" w:name="_Toc264969230"/>
      <w:r/>
      <w:bookmarkStart w:id="586" w:name="_Toc151193854"/>
      <w:r/>
      <w:bookmarkStart w:id="587" w:name="_Toc127151540"/>
      <w:r/>
      <w:bookmarkStart w:id="588" w:name="_Toc150509291"/>
      <w:r/>
      <w:bookmarkStart w:id="589" w:name="_Toc151193782"/>
      <w:r/>
      <w:bookmarkStart w:id="590" w:name="_Toc164608809"/>
      <w:r/>
      <w:bookmarkStart w:id="591" w:name="_Toc150774745"/>
      <w:r/>
      <w:bookmarkStart w:id="592" w:name="_Toc164351634"/>
      <w:r/>
      <w:bookmarkStart w:id="593" w:name="_Toc305158808"/>
      <w:r/>
      <w:bookmarkStart w:id="594" w:name="_Toc265228378"/>
      <w:r/>
      <w:bookmarkStart w:id="595" w:name="_Toc127161454"/>
      <w:r/>
      <w:bookmarkStart w:id="596" w:name="_Toc142311042"/>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pageBreakBefore w:val="0"/>
        <w:spacing w:line="480" w:lineRule="exact"/>
        <w:widowControl w:val="off"/>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99" w:name="_Toc226309789"/>
      <w:r/>
      <w:bookmarkStart w:id="600" w:name="_Toc151193933"/>
      <w:r/>
      <w:bookmarkStart w:id="601" w:name="_Toc265228383"/>
      <w:r/>
      <w:bookmarkStart w:id="602" w:name="_Toc151193787"/>
      <w:r/>
      <w:bookmarkStart w:id="603" w:name="_Toc150774750"/>
      <w:r/>
      <w:bookmarkStart w:id="604" w:name="_Toc142311047"/>
      <w:r/>
      <w:bookmarkStart w:id="605" w:name="_Toc226337241"/>
      <w:r/>
      <w:bookmarkStart w:id="606" w:name="_Toc127151545"/>
      <w:r/>
      <w:bookmarkStart w:id="607" w:name="_Toc150480783"/>
      <w:r/>
      <w:bookmarkStart w:id="608" w:name="_Toc226965735"/>
      <w:r/>
      <w:bookmarkStart w:id="609" w:name="_Toc150509296"/>
      <w:r/>
      <w:bookmarkStart w:id="610" w:name="_Toc151193859"/>
      <w:r/>
      <w:bookmarkStart w:id="611" w:name="_Toc195842910"/>
      <w:r/>
      <w:bookmarkStart w:id="612" w:name="_Toc264969235"/>
      <w:r/>
      <w:bookmarkStart w:id="613" w:name="_Toc305158887"/>
      <w:r/>
      <w:bookmarkStart w:id="614" w:name="_Toc226965818"/>
      <w:r/>
      <w:bookmarkStart w:id="615" w:name="_Toc151193643"/>
      <w:r/>
      <w:bookmarkStart w:id="616" w:name="_Toc151190172"/>
      <w:r/>
      <w:bookmarkStart w:id="617" w:name="_Toc151193715"/>
      <w:r/>
      <w:bookmarkStart w:id="618" w:name="_Toc150774645"/>
      <w:r/>
      <w:bookmarkStart w:id="619" w:name="_Toc305158813"/>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1193789"/>
      <w:r/>
      <w:bookmarkStart w:id="621" w:name="_Toc195842912"/>
      <w:r/>
      <w:bookmarkStart w:id="622" w:name="_Toc151193645"/>
      <w:r/>
      <w:bookmarkStart w:id="623" w:name="_Toc142311049"/>
      <w:r/>
      <w:bookmarkStart w:id="624" w:name="_Toc164608816"/>
      <w:r/>
      <w:bookmarkStart w:id="625" w:name="_Toc127151547"/>
      <w:r/>
      <w:bookmarkStart w:id="626" w:name="_Toc264969237"/>
      <w:r/>
      <w:bookmarkStart w:id="627" w:name="_Toc164608661"/>
      <w:r/>
      <w:bookmarkStart w:id="628" w:name="_Toc226965820"/>
      <w:r/>
      <w:bookmarkStart w:id="629" w:name="_Toc226337243"/>
      <w:r/>
      <w:bookmarkStart w:id="630" w:name="_Toc150774752"/>
      <w:r/>
      <w:bookmarkStart w:id="631" w:name="_Toc151190174"/>
      <w:r/>
      <w:bookmarkStart w:id="632" w:name="_Toc150774647"/>
      <w:r/>
      <w:bookmarkStart w:id="633" w:name="_Toc164229242"/>
      <w:r/>
      <w:bookmarkStart w:id="634" w:name="_Toc164351641"/>
      <w:r/>
      <w:bookmarkStart w:id="635" w:name="_Toc226309791"/>
      <w:r/>
      <w:bookmarkStart w:id="636" w:name="_Toc226965737"/>
      <w:r/>
      <w:bookmarkStart w:id="637" w:name="_Toc151193861"/>
      <w:r/>
      <w:bookmarkStart w:id="638" w:name="_Toc151193935"/>
      <w:r/>
      <w:bookmarkStart w:id="639" w:name="_Toc127161461"/>
      <w:r/>
      <w:bookmarkStart w:id="640" w:name="_Toc127151748"/>
      <w:r/>
      <w:bookmarkStart w:id="641" w:name="_Toc265228385"/>
      <w:r/>
      <w:bookmarkStart w:id="642" w:name="_Toc150509298"/>
      <w:r/>
      <w:bookmarkStart w:id="643" w:name="_Toc164229388"/>
      <w:r/>
      <w:bookmarkStart w:id="644" w:name="_Toc151193717"/>
      <w:r/>
      <w:bookmarkStart w:id="645" w:name="_Toc305158815"/>
      <w:r/>
      <w:bookmarkStart w:id="646" w:name="_Toc305158889"/>
      <w:r/>
      <w:bookmarkStart w:id="647" w:name="_Toc150480785"/>
      <w:r/>
      <w:bookmarkStart w:id="648" w:name="_Toc149720840"/>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649" w:name="_Toc151193791"/>
      <w:r/>
      <w:bookmarkStart w:id="650" w:name="_Toc164351643"/>
      <w:r/>
      <w:bookmarkStart w:id="651" w:name="_Toc150774649"/>
      <w:r/>
      <w:bookmarkStart w:id="652" w:name="_Toc305158817"/>
      <w:r/>
      <w:bookmarkStart w:id="653" w:name="_Toc265228387"/>
      <w:r/>
      <w:bookmarkStart w:id="654" w:name="_Toc520356176"/>
      <w:r/>
      <w:bookmarkStart w:id="655" w:name="_Ref467306425"/>
      <w:r/>
      <w:bookmarkStart w:id="656" w:name="_Ref467307090"/>
      <w:r/>
      <w:bookmarkStart w:id="657" w:name="_Toc305158891"/>
      <w:r/>
      <w:bookmarkStart w:id="658" w:name="_Toc150480787"/>
      <w:r/>
      <w:bookmarkStart w:id="659" w:name="_Toc151193863"/>
      <w:r/>
      <w:bookmarkStart w:id="660" w:name="_Toc164229390"/>
      <w:r/>
      <w:bookmarkStart w:id="661" w:name="_Toc164229244"/>
      <w:r/>
      <w:bookmarkStart w:id="662" w:name="_Toc226309793"/>
      <w:r/>
      <w:bookmarkStart w:id="663" w:name="_Toc151193937"/>
      <w:r/>
      <w:bookmarkStart w:id="664" w:name="_Toc151190176"/>
      <w:r/>
      <w:bookmarkStart w:id="665" w:name="_Toc264969239"/>
      <w:r/>
      <w:bookmarkStart w:id="666" w:name="_Toc127151750"/>
      <w:r/>
      <w:bookmarkStart w:id="667" w:name="_Toc226965822"/>
      <w:r/>
      <w:bookmarkStart w:id="668" w:name="_Toc127151549"/>
      <w:r/>
      <w:bookmarkStart w:id="669" w:name="_Toc164608663"/>
      <w:r/>
      <w:bookmarkStart w:id="670" w:name="_Toc226965739"/>
      <w:r/>
      <w:bookmarkStart w:id="671" w:name="_Toc151193719"/>
      <w:r/>
      <w:bookmarkStart w:id="672" w:name="_Toc150509300"/>
      <w:r/>
      <w:bookmarkStart w:id="673" w:name="_Toc149720842"/>
      <w:r/>
      <w:bookmarkStart w:id="674" w:name="_Toc164608818"/>
      <w:r/>
      <w:bookmarkStart w:id="675" w:name="_Toc195842914"/>
      <w:r/>
      <w:bookmarkStart w:id="676" w:name="_Toc226337245"/>
      <w:r/>
      <w:bookmarkStart w:id="677" w:name="_Toc150774754"/>
      <w:r/>
      <w:bookmarkStart w:id="678" w:name="_Toc142311051"/>
      <w:r/>
      <w:bookmarkStart w:id="679" w:name="_Toc127161463"/>
      <w:r/>
      <w:bookmarkStart w:id="680" w:name="_Toc151193647"/>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Ref467307062"/>
      <w:r/>
      <w:bookmarkStart w:id="682" w:name="_Toc150480788"/>
      <w:r/>
      <w:bookmarkStart w:id="683" w:name="_Toc226965740"/>
      <w:r/>
      <w:bookmarkStart w:id="684" w:name="_Toc151193792"/>
      <w:r/>
      <w:bookmarkStart w:id="685" w:name="_Toc264969240"/>
      <w:r/>
      <w:bookmarkStart w:id="686" w:name="_Toc520356175"/>
      <w:r/>
      <w:bookmarkStart w:id="687" w:name="_Toc195842915"/>
      <w:r/>
      <w:bookmarkStart w:id="688" w:name="_Toc164229245"/>
      <w:r/>
      <w:bookmarkStart w:id="689" w:name="_Toc151193938"/>
      <w:r/>
      <w:bookmarkStart w:id="690" w:name="_Toc164608664"/>
      <w:r/>
      <w:bookmarkStart w:id="691" w:name="_Toc151190177"/>
      <w:r/>
      <w:bookmarkStart w:id="692" w:name="_Toc142311052"/>
      <w:r/>
      <w:bookmarkStart w:id="693" w:name="_Toc151193864"/>
      <w:r/>
      <w:bookmarkStart w:id="694" w:name="_Toc150509301"/>
      <w:r/>
      <w:bookmarkStart w:id="695" w:name="_Toc150774755"/>
      <w:r/>
      <w:bookmarkStart w:id="696" w:name="_Ref467306978"/>
      <w:r/>
      <w:bookmarkStart w:id="697" w:name="_Toc127151751"/>
      <w:r/>
      <w:bookmarkStart w:id="698" w:name="_Ref467306377"/>
      <w:r/>
      <w:bookmarkStart w:id="699" w:name="_Toc164229391"/>
      <w:r/>
      <w:bookmarkStart w:id="700" w:name="_Toc151193648"/>
      <w:r/>
      <w:bookmarkStart w:id="701" w:name="_Toc226309794"/>
      <w:r/>
      <w:bookmarkStart w:id="702" w:name="_Toc305158818"/>
      <w:r/>
      <w:bookmarkStart w:id="703" w:name="_Toc226337246"/>
      <w:r/>
      <w:bookmarkStart w:id="704" w:name="_Toc127151550"/>
      <w:r/>
      <w:bookmarkStart w:id="705" w:name="_Toc265228388"/>
      <w:r/>
      <w:bookmarkStart w:id="706" w:name="_Toc164608819"/>
      <w:r/>
      <w:bookmarkStart w:id="707" w:name="_Toc149720843"/>
      <w:r/>
      <w:bookmarkStart w:id="708" w:name="_Toc305158892"/>
      <w:r/>
      <w:bookmarkStart w:id="709" w:name="_Toc164351644"/>
      <w:r/>
      <w:bookmarkStart w:id="710" w:name="_Toc150774650"/>
      <w:r/>
      <w:bookmarkStart w:id="711" w:name="_Toc226965823"/>
      <w:r/>
      <w:bookmarkStart w:id="712" w:name="_Ref467307204"/>
      <w:r/>
      <w:bookmarkStart w:id="713" w:name="_Toc127161464"/>
      <w:r/>
      <w:bookmarkStart w:id="714" w:name="_Toc151193720"/>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5" w:name="_Hlt100654014"/>
      <w:r>
        <w:rPr>
          <w:rStyle w:val="1108"/>
          <w:rFonts w:hint="eastAsia" w:ascii="宋体" w:hAnsi="宋体" w:cs="宋体"/>
          <w:szCs w:val="21"/>
          <w:highlight w:val="none"/>
        </w:rPr>
        <w:t xml:space="preserve">s</w:t>
      </w:r>
      <w:bookmarkEnd w:id="715"/>
      <w:r>
        <w:rPr>
          <w:rStyle w:val="1108"/>
          <w:rFonts w:hint="eastAsia" w:ascii="宋体" w:hAnsi="宋体" w:cs="宋体"/>
          <w:szCs w:val="21"/>
          <w:highlight w:val="none"/>
        </w:rPr>
        <w:t xml:space="preserve">.m</w:t>
      </w:r>
      <w:bookmarkStart w:id="716" w:name="_Hlt100653994"/>
      <w:r/>
      <w:bookmarkStart w:id="717" w:name="_Hlt100653993"/>
      <w:r>
        <w:rPr>
          <w:rStyle w:val="1108"/>
          <w:rFonts w:hint="eastAsia" w:ascii="宋体" w:hAnsi="宋体" w:cs="宋体"/>
          <w:szCs w:val="21"/>
          <w:highlight w:val="none"/>
        </w:rPr>
        <w:t xml:space="preserve">o</w:t>
      </w:r>
      <w:bookmarkEnd w:id="716"/>
      <w:r/>
      <w:bookmarkEnd w:id="717"/>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18" w:name="_Toc150480792"/>
      <w:r/>
      <w:bookmarkStart w:id="719" w:name="_Toc305158896"/>
      <w:r/>
      <w:bookmarkStart w:id="720" w:name="_Toc353873664"/>
      <w:r/>
      <w:bookmarkStart w:id="721" w:name="_Toc353873934"/>
      <w:r/>
      <w:bookmarkStart w:id="722" w:name="_Toc142311056"/>
      <w:r/>
      <w:bookmarkStart w:id="723" w:name="_Toc353825544"/>
      <w:r/>
      <w:bookmarkStart w:id="724" w:name="_Toc265228392"/>
      <w:r/>
      <w:bookmarkStart w:id="725" w:name="_Toc226965827"/>
      <w:r/>
      <w:bookmarkStart w:id="726" w:name="_Toc127151554"/>
      <w:r/>
      <w:bookmarkStart w:id="727" w:name="_Toc226337250"/>
      <w:r/>
      <w:bookmarkStart w:id="728" w:name="_Toc305158822"/>
      <w:r/>
      <w:bookmarkStart w:id="729" w:name="_Toc150774759"/>
      <w:r/>
      <w:bookmarkStart w:id="730" w:name="_Toc264969244"/>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51779"/>
            <w:r/>
            <w:bookmarkStart w:id="736" w:name="_Toc226965858"/>
            <w:r/>
            <w:bookmarkStart w:id="737" w:name="_Toc353825550"/>
            <w:r/>
            <w:bookmarkStart w:id="738" w:name="_Toc127161490"/>
            <w:r/>
            <w:bookmarkStart w:id="739" w:name="_Toc353873940"/>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982"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中小企业声明函</w:t>
            </w:r>
            <w:r>
              <w:rPr>
                <w:rFonts w:hint="eastAsia" w:ascii="宋体" w:hAnsi="宋体" w:eastAsia="宋体" w:cs="宋体"/>
                <w:szCs w:val="21"/>
              </w:rPr>
            </w:r>
            <w:r/>
          </w:p>
        </w:tc>
        <w:tc>
          <w:tcPr>
            <w:tcW w:w="482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注2：残疾人福利性单位须按招标文件要求提供《残疾人福利性单位声明函》。</w:t>
            </w:r>
            <w:r>
              <w:rPr>
                <w:rFonts w:hint="eastAsia" w:ascii="宋体" w:hAnsi="宋体" w:eastAsia="宋体" w:cs="宋体"/>
                <w:szCs w:val="21"/>
              </w:rPr>
            </w:r>
            <w:r/>
          </w:p>
        </w:tc>
        <w:tc>
          <w:tcPr>
            <w:tcW w:w="1638"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格式见《投标文件格式》</w:t>
            </w:r>
            <w:r>
              <w:rPr>
                <w:rFonts w:hint="eastAsia" w:ascii="宋体" w:hAnsi="宋体" w:eastAsia="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0"/>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0"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2" w:name="_Toc195842906"/>
      <w:r/>
      <w:bookmarkStart w:id="743" w:name="_Toc164229236"/>
      <w:r/>
      <w:bookmarkStart w:id="744" w:name="_Toc226309785"/>
      <w:r/>
      <w:bookmarkStart w:id="745" w:name="_Toc226337237"/>
      <w:r/>
      <w:bookmarkStart w:id="746" w:name="_Toc151193855"/>
      <w:r/>
      <w:bookmarkStart w:id="747" w:name="_Toc151193639"/>
      <w:r/>
      <w:bookmarkStart w:id="748" w:name="_Toc226965814"/>
      <w:r/>
      <w:bookmarkStart w:id="749" w:name="_Toc164608810"/>
      <w:r/>
      <w:bookmarkStart w:id="750" w:name="_Toc149720834"/>
      <w:r/>
      <w:bookmarkStart w:id="751" w:name="_Toc127151742"/>
      <w:r/>
      <w:bookmarkStart w:id="752" w:name="_Toc150480779"/>
      <w:r/>
      <w:bookmarkStart w:id="753" w:name="_Toc265228379"/>
      <w:r/>
      <w:bookmarkStart w:id="754" w:name="_Toc142311043"/>
      <w:r/>
      <w:bookmarkStart w:id="755" w:name="_Toc151190168"/>
      <w:r/>
      <w:bookmarkStart w:id="756" w:name="_Toc150774746"/>
      <w:r/>
      <w:bookmarkStart w:id="757" w:name="_Toc151193783"/>
      <w:r/>
      <w:bookmarkStart w:id="758" w:name="_Toc305158883"/>
      <w:r/>
      <w:bookmarkStart w:id="759" w:name="_Toc151193711"/>
      <w:r/>
      <w:bookmarkStart w:id="760" w:name="_Toc305158809"/>
      <w:r/>
      <w:bookmarkStart w:id="761" w:name="_Toc127151541"/>
      <w:r/>
      <w:bookmarkStart w:id="762" w:name="_Toc150774641"/>
      <w:r/>
      <w:bookmarkStart w:id="763" w:name="_Toc226965731"/>
      <w:r/>
      <w:bookmarkStart w:id="764" w:name="_Toc264969231"/>
      <w:r/>
      <w:bookmarkStart w:id="765" w:name="_Toc150509292"/>
      <w:r/>
      <w:bookmarkStart w:id="766" w:name="_Toc151193929"/>
      <w:r/>
      <w:bookmarkStart w:id="767" w:name="_Toc164229382"/>
      <w:r/>
      <w:bookmarkStart w:id="768" w:name="_Toc127161455"/>
      <w:r/>
      <w:bookmarkStart w:id="769" w:name="_Toc164351635"/>
      <w:r/>
      <w:bookmarkStart w:id="770" w:name="_Toc164608655"/>
      <w:r/>
      <w:bookmarkStart w:id="771" w:name="_Toc353825551"/>
      <w:r/>
      <w:bookmarkStart w:id="772" w:name="_Toc353873941"/>
      <w:r/>
      <w:bookmarkStart w:id="773" w:name="_Toc226337251"/>
      <w:r/>
      <w:bookmarkStart w:id="774" w:name="_Toc142311057"/>
      <w:r/>
      <w:bookmarkStart w:id="775" w:name="_Toc195842920"/>
      <w:r/>
      <w:bookmarkStart w:id="776" w:name="_Toc150480793"/>
      <w:r/>
      <w:bookmarkStart w:id="777" w:name="_Toc353825545"/>
      <w:r/>
      <w:bookmarkStart w:id="778" w:name="_Toc353873935"/>
      <w:r/>
      <w:bookmarkStart w:id="779" w:name="_Toc264969245"/>
      <w:r/>
      <w:bookmarkStart w:id="780" w:name="_Toc127151555"/>
      <w:r/>
      <w:bookmarkStart w:id="781" w:name="_Toc305158823"/>
      <w:r/>
      <w:bookmarkStart w:id="782" w:name="_Toc265228393"/>
      <w:r/>
      <w:bookmarkStart w:id="783" w:name="_Toc226965828"/>
      <w:r/>
      <w:bookmarkStart w:id="784" w:name="_Toc353873665"/>
      <w:r/>
      <w:bookmarkStart w:id="785" w:name="_Toc150774760"/>
      <w:r/>
      <w:bookmarkStart w:id="786" w:name="_Toc305158897"/>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 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w:t>
      </w:r>
      <w:r>
        <w:rPr>
          <w:rFonts w:hint="eastAsia" w:ascii="宋体" w:hAnsi="宋体" w:eastAsia="宋体" w:cs="宋体"/>
          <w:sz w:val="21"/>
          <w:szCs w:val="21"/>
        </w:rPr>
        <w:t xml:space="preserve">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lang w:eastAsia="zh-CN"/>
        </w:rPr>
        <w:t xml:space="preserve">评标委员会</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（3）投标报价低于采购项目最高限价45%的，即投标报价&lt;采购项目最高限价×45%；</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ff"/>
          <w:szCs w:val="21"/>
          <w:lang w:val="en-US" w:eastAsia="zh-CN"/>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color w:val="0000ff"/>
          <w:szCs w:val="21"/>
          <w:lang w:val="en-US" w:eastAsia="zh-CN"/>
        </w:rPr>
        <w:t xml:space="preserve">启动异常低价响应审查后，评标委员会应当要求相关投标人在评标现场合理的时间（30分钟）内，提供项目具体成本测算等与报价合理性相关的书面说明及相关证明材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投标价格作出解释，由评标委员会依据专业经验，参考同类项目中标（成交）价格、类似产品市场价格水平、行业人工费用标准、国家有关部门指导行业协会发布的行业平均成本等情况，对投标人报价合理性进行判断。其中，属于第（3）项情形，投标人已随投标文件一并提交相关书面说明及必要的证明材料的，在评审时可不再重复提交。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142311048"/>
      <w:r/>
      <w:bookmarkStart w:id="789" w:name="_Toc164229241"/>
      <w:r/>
      <w:bookmarkStart w:id="790" w:name="_Toc151190173"/>
      <w:r/>
      <w:bookmarkStart w:id="791" w:name="_Toc520356170"/>
      <w:r/>
      <w:bookmarkStart w:id="792" w:name="_Toc127161460"/>
      <w:r/>
      <w:bookmarkStart w:id="793" w:name="_Toc226965819"/>
      <w:r/>
      <w:bookmarkStart w:id="794" w:name="_Toc164608660"/>
      <w:r/>
      <w:bookmarkStart w:id="795" w:name="_Toc195842911"/>
      <w:r/>
      <w:bookmarkStart w:id="796" w:name="_Toc226337242"/>
      <w:r/>
      <w:bookmarkStart w:id="797" w:name="_Toc164608815"/>
      <w:r/>
      <w:bookmarkStart w:id="798" w:name="_Toc127151747"/>
      <w:r/>
      <w:bookmarkStart w:id="799" w:name="_Toc151193788"/>
      <w:r/>
      <w:bookmarkStart w:id="800" w:name="_Toc164351640"/>
      <w:r/>
      <w:bookmarkStart w:id="801" w:name="_Toc150774646"/>
      <w:r/>
      <w:bookmarkStart w:id="802" w:name="_Toc150480784"/>
      <w:r/>
      <w:bookmarkStart w:id="803" w:name="_Toc305158814"/>
      <w:r/>
      <w:bookmarkStart w:id="804" w:name="_Ref467307010"/>
      <w:r/>
      <w:bookmarkStart w:id="805" w:name="_Toc151193860"/>
      <w:r/>
      <w:bookmarkStart w:id="806" w:name="_Toc305158888"/>
      <w:r/>
      <w:bookmarkStart w:id="807" w:name="_Toc226309790"/>
      <w:r/>
      <w:bookmarkStart w:id="808" w:name="_Toc164229387"/>
      <w:r/>
      <w:bookmarkStart w:id="809" w:name="_Toc226965736"/>
      <w:r/>
      <w:bookmarkStart w:id="810" w:name="_Toc151193716"/>
      <w:r/>
      <w:bookmarkStart w:id="811" w:name="_Toc149720839"/>
      <w:r/>
      <w:bookmarkStart w:id="812" w:name="_Toc265228384"/>
      <w:r/>
      <w:bookmarkStart w:id="813" w:name="_Toc264969236"/>
      <w:r/>
      <w:bookmarkStart w:id="814" w:name="_Toc150509297"/>
      <w:r/>
      <w:bookmarkStart w:id="815" w:name="_Toc151193644"/>
      <w:r/>
      <w:bookmarkStart w:id="816" w:name="_Toc127151546"/>
      <w:r/>
      <w:bookmarkStart w:id="817" w:name="_Toc150774751"/>
      <w:r/>
      <w:bookmarkStart w:id="818" w:name="_Toc151193934"/>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序号</w:t>
            </w:r>
            <w:r>
              <w:rPr>
                <w:rFonts w:hint="eastAsia"/>
                <w:b/>
                <w:bCs/>
                <w:szCs w:val="21"/>
                <w:highlight w:val="none"/>
                <w:lang w:bidi="ar"/>
              </w:rPr>
            </w:r>
            <w:r/>
          </w:p>
        </w:tc>
        <w:tc>
          <w:tcPr>
            <w:tcW w:w="1126"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评分因素</w:t>
            </w:r>
            <w:r>
              <w:rPr>
                <w:rFonts w:hint="eastAsia"/>
                <w:b/>
                <w:bCs/>
                <w:szCs w:val="21"/>
                <w:highlight w:val="none"/>
                <w:lang w:bidi="ar"/>
              </w:rPr>
            </w:r>
            <w:r/>
          </w:p>
        </w:tc>
        <w:tc>
          <w:tcPr>
            <w:tcW w:w="700"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分值</w:t>
            </w:r>
            <w:r>
              <w:rPr>
                <w:rFonts w:hint="eastAsia"/>
                <w:b/>
                <w:bCs/>
                <w:szCs w:val="21"/>
                <w:highlight w:val="none"/>
                <w:lang w:bidi="ar"/>
              </w:rPr>
            </w:r>
            <w:r/>
          </w:p>
        </w:tc>
        <w:tc>
          <w:tcPr>
            <w:tcW w:w="4523"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ascii="宋体" w:hAnsi="宋体" w:cs="宋体"/>
                <w:b/>
                <w:bCs/>
                <w:szCs w:val="21"/>
              </w:rPr>
              <w:t xml:space="preserve">评分标准和评审材料</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1</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价格分</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bidi="ar"/>
              </w:rPr>
              <w:framePr w:vAnchor="text" w:hAnchor="page" w:xAlign="center" w:y="394"/>
            </w:pPr>
            <w:r>
              <w:rPr>
                <w:rFonts w:hint="eastAsia"/>
                <w:szCs w:val="21"/>
                <w:highlight w:val="none"/>
                <w:lang w:val="en-US" w:eastAsia="zh-CN" w:bidi="ar"/>
              </w:rPr>
              <w:t xml:space="preserve">10</w:t>
            </w:r>
            <w:r>
              <w:rPr>
                <w:rFonts w:hint="eastAsia" w:eastAsia="宋体"/>
                <w:szCs w:val="21"/>
                <w:highlight w:val="none"/>
                <w:lang w:eastAsia="zh-CN" w:bidi="ar"/>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满足招标文件要求且报价最低的投标报价为评标基准价，其价格分为满分。其他投标人的价格分统一按照下列公式计算：</w:t>
            </w:r>
            <w:r>
              <w:rPr>
                <w:rFonts w:hint="eastAsia" w:ascii="宋体" w:hAnsi="宋体" w:eastAsia="宋体" w:cs="宋体"/>
                <w:color w:val="000000"/>
                <w:sz w:val="21"/>
                <w:szCs w:val="21"/>
                <w:lang w:val="en-US" w:eastAsia="zh-CN"/>
              </w:rPr>
            </w:r>
            <w:r/>
          </w:p>
          <w:p>
            <w:pPr>
              <w:pStyle w:val="1030"/>
              <w:spacing w:line="360" w:lineRule="exact"/>
              <w:widowControl/>
              <w:rPr>
                <w:rFonts w:hint="eastAsia"/>
                <w:szCs w:val="21"/>
                <w:highlight w:val="none"/>
                <w:lang w:bidi="ar"/>
              </w:rPr>
              <w:framePr w:vAnchor="text" w:hAnchor="page" w:xAlign="center" w:y="394"/>
            </w:pPr>
            <w:r>
              <w:rPr>
                <w:rFonts w:hint="eastAsia" w:ascii="宋体" w:hAnsi="宋体" w:eastAsia="宋体" w:cs="宋体"/>
                <w:color w:val="000000"/>
                <w:sz w:val="21"/>
                <w:szCs w:val="21"/>
                <w:lang w:val="en-US" w:eastAsia="zh-CN"/>
              </w:rPr>
              <w:t xml:space="preserve">投标报价得分＝（评标基准价/投标报价）×10。</w:t>
            </w:r>
            <w:r>
              <w:rPr>
                <w:rFonts w:hint="eastAsia"/>
                <w:szCs w:val="21"/>
                <w:highlight w:val="none"/>
                <w:lang w:bidi="ar"/>
              </w:rPr>
            </w:r>
            <w:r/>
          </w:p>
        </w:tc>
        <w:tc>
          <w:tcPr>
            <w:tcW w:w="702" w:type="dxa"/>
            <w:vAlign w:val="center"/>
            <w:textDirection w:val="lrTb"/>
            <w:noWrap w:val="false"/>
          </w:tcPr>
          <w:p>
            <w:pPr>
              <w:pStyle w:val="1030"/>
              <w:jc w:val="center"/>
              <w:rPr>
                <w:rFonts w:hint="eastAsia" w:eastAsia="宋体"/>
                <w:szCs w:val="21"/>
                <w:highlight w:val="none"/>
                <w:lang w:val="en-US" w:eastAsia="zh-CN" w:bidi="ar"/>
              </w:rPr>
              <w:framePr w:vAnchor="text" w:hAnchor="page" w:xAlign="center" w:y="394"/>
            </w:pPr>
            <w:r>
              <w:rPr>
                <w:rFonts w:hint="eastAsia"/>
                <w:szCs w:val="21"/>
                <w:highlight w:val="none"/>
                <w:lang w:val="en-US" w:eastAsia="zh-CN" w:bidi="ar"/>
              </w:rPr>
              <w:t xml:space="preserve">0</w:t>
            </w:r>
            <w:r>
              <w:rPr>
                <w:rFonts w:hint="eastAsia" w:eastAsia="宋体"/>
                <w:szCs w:val="21"/>
                <w:highlight w:val="none"/>
                <w:lang w:val="en-US" w:eastAsia="zh-CN" w:bidi="ar"/>
              </w:rPr>
            </w:r>
            <w:r/>
          </w:p>
        </w:tc>
        <w:tc>
          <w:tcPr>
            <w:tcW w:w="702" w:type="dxa"/>
            <w:vAlign w:val="center"/>
            <w:textDirection w:val="lrTb"/>
            <w:noWrap w:val="false"/>
          </w:tcPr>
          <w:p>
            <w:pPr>
              <w:pStyle w:val="1030"/>
              <w:jc w:val="center"/>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10</w:t>
            </w:r>
            <w:r>
              <w:rPr>
                <w:rFonts w:eastAsia="宋体"/>
                <w:szCs w:val="21"/>
                <w:highlight w:val="none"/>
                <w:lang w:val="en-US"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否</w:t>
            </w:r>
            <w:r>
              <w:rPr>
                <w:rFonts w:hint="eastAsia" w:eastAsia="宋体"/>
                <w:szCs w:val="21"/>
                <w:highlight w:val="none"/>
                <w:lang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是</w:t>
            </w:r>
            <w:r>
              <w:rPr>
                <w:rFonts w:hint="eastAsia" w:eastAsia="宋体"/>
                <w:szCs w:val="21"/>
                <w:highlight w:val="none"/>
                <w:lang w:eastAsia="zh-CN" w:bidi="ar"/>
              </w:rPr>
            </w:r>
            <w:r/>
          </w:p>
        </w:tc>
      </w:tr>
      <w:tr>
        <w:trPr>
          <w:trHeight w:val="676"/>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2</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主观分</w:t>
            </w:r>
            <w:r>
              <w:rPr>
                <w:rFonts w:hint="eastAsia"/>
                <w:szCs w:val="21"/>
                <w:highlight w:val="none"/>
                <w:lang w:bidi="ar"/>
              </w:rPr>
            </w:r>
            <w:r/>
          </w:p>
        </w:tc>
        <w:tc>
          <w:tcPr>
            <w:tcW w:w="700" w:type="dxa"/>
            <w:vAlign w:val="center"/>
            <w:textDirection w:val="lrTb"/>
            <w:noWrap w:val="false"/>
          </w:tcPr>
          <w:p>
            <w:pPr>
              <w:pStyle w:val="1030"/>
              <w:jc w:val="center"/>
              <w:widowControl/>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45</w:t>
            </w:r>
            <w:r>
              <w:rPr>
                <w:rFonts w:eastAsia="宋体"/>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r>
      <w:tr>
        <w:trPr>
          <w:trHeight w:val="90"/>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2.1</w:t>
            </w:r>
            <w:r>
              <w:rPr>
                <w:szCs w:val="21"/>
                <w:highlight w:val="none"/>
              </w:rPr>
            </w:r>
            <w:r/>
          </w:p>
        </w:tc>
        <w:tc>
          <w:tcPr>
            <w:tcW w:w="1126" w:type="dxa"/>
            <w:vAlign w:val="center"/>
            <w:textDirection w:val="lrTb"/>
            <w:noWrap w:val="false"/>
          </w:tcPr>
          <w:p>
            <w:pPr>
              <w:pStyle w:val="1030"/>
              <w:jc w:val="center"/>
              <w:spacing w:line="360" w:lineRule="exact"/>
              <w:widowControl/>
              <w:rPr>
                <w:rFonts w:ascii="宋体" w:hAnsi="宋体" w:eastAsia="宋体" w:cs="宋体"/>
                <w:szCs w:val="21"/>
                <w:highlight w:val="none"/>
                <w:lang w:val="en-US" w:eastAsia="zh-CN"/>
              </w:rPr>
              <w:framePr w:vAnchor="text" w:hAnchor="page" w:xAlign="center" w:y="394"/>
            </w:pPr>
            <w:r>
              <w:rPr>
                <w:rFonts w:hint="eastAsia" w:ascii="宋体" w:hAnsi="宋体" w:cs="宋体"/>
                <w:bCs/>
                <w:szCs w:val="21"/>
                <w:highlight w:val="none"/>
              </w:rPr>
              <w:t xml:space="preserve">项目理解</w:t>
            </w:r>
            <w:r>
              <w:rPr>
                <w:rFonts w:hint="eastAsia" w:ascii="宋体" w:hAnsi="宋体" w:cs="宋体"/>
                <w:bCs/>
                <w:szCs w:val="21"/>
                <w:highlight w:val="none"/>
                <w:lang w:val="en-US" w:eastAsia="zh-CN"/>
              </w:rPr>
              <w:t xml:space="preserve">与需求分析</w:t>
            </w:r>
            <w:r>
              <w:rPr>
                <w:rFonts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bCs/>
                <w:szCs w:val="21"/>
                <w:highlight w:val="none"/>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1.对项目背景的了解情况；</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2.对项目区域概况的了解情况；</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3.对项目需求的了解情况。</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考察以上内容，每满足一项内容得1分，最高得3分。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sz w:val="24"/>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lang w:val="zh-CN"/>
              </w:rPr>
              <w:t xml:space="preserve">否</w:t>
            </w:r>
            <w:r>
              <w:rPr>
                <w:rFonts w:hint="eastAsia" w:eastAsia="宋体"/>
                <w:szCs w:val="21"/>
                <w:highlight w:val="none"/>
                <w:lang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lang w:val="zh-CN"/>
              </w:rPr>
              <w:t xml:space="preserve">否</w:t>
            </w:r>
            <w:r>
              <w:rPr>
                <w:rFonts w:hint="eastAsia" w:eastAsia="宋体"/>
                <w:szCs w:val="21"/>
                <w:highlight w:val="none"/>
                <w:lang w:eastAsia="zh-CN"/>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2.2</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cs="宋体"/>
                <w:bCs/>
                <w:szCs w:val="21"/>
                <w:highlight w:val="none"/>
                <w:lang w:val="en-US" w:eastAsia="zh-CN"/>
              </w:rPr>
              <w:t xml:space="preserve">工作思路及实施方案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cs="宋体"/>
                <w:szCs w:val="21"/>
                <w:highlight w:val="none"/>
                <w:lang w:val="en-US" w:eastAsia="zh-CN"/>
              </w:rPr>
              <w:t xml:space="preserve">10</w:t>
            </w:r>
            <w:r>
              <w:rPr>
                <w:rFonts w:eastAsia="宋体"/>
                <w:szCs w:val="21"/>
                <w:highlight w:val="none"/>
                <w:lang w:val="en-US"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1.工作技术思路；</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2.资料收集与审核；</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3.评价单元划分与踏勘布点及实地踏勘；</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4.土壤样品采集与土壤样品检测；</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5.土壤污染状况调查与耕地土壤质量类别划分。</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考察以上内容，每满足一项内容得1分，最高得5分。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sz w:val="24"/>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cs="宋体"/>
                <w:szCs w:val="21"/>
                <w:lang w:val="en-US" w:eastAsia="zh-CN"/>
              </w:rPr>
              <w:t xml:space="preserve">10</w:t>
            </w:r>
            <w:r>
              <w:rPr>
                <w:rFonts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2.3</w:t>
            </w:r>
            <w:r>
              <w:rPr>
                <w:szCs w:val="21"/>
                <w:highlight w:val="none"/>
              </w:rPr>
            </w:r>
            <w:r/>
          </w:p>
        </w:tc>
        <w:tc>
          <w:tcPr>
            <w:tcW w:w="1126" w:type="dxa"/>
            <w:vAlign w:val="center"/>
            <w:textDirection w:val="lrTb"/>
            <w:noWrap w:val="false"/>
          </w:tcPr>
          <w:p>
            <w:pPr>
              <w:pStyle w:val="1030"/>
              <w:jc w:val="center"/>
              <w:spacing w:line="360" w:lineRule="exact"/>
              <w:widowControl/>
              <w:rPr>
                <w:rFonts w:ascii="宋体" w:hAnsi="宋体" w:cs="宋体"/>
                <w:szCs w:val="21"/>
                <w:highlight w:val="none"/>
                <w:lang w:bidi="ar"/>
              </w:rPr>
              <w:framePr w:vAnchor="text" w:hAnchor="page" w:xAlign="center" w:y="394"/>
            </w:pPr>
            <w:r>
              <w:rPr>
                <w:rFonts w:hint="eastAsia" w:ascii="宋体" w:hAnsi="宋体" w:cs="宋体"/>
                <w:bCs/>
                <w:szCs w:val="21"/>
                <w:highlight w:val="none"/>
                <w:lang w:val="en-US" w:eastAsia="zh-CN"/>
              </w:rPr>
              <w:t xml:space="preserve">技术方案</w:t>
            </w:r>
            <w:r>
              <w:rPr>
                <w:rFonts w:ascii="宋体" w:hAnsi="宋体" w:cs="宋体"/>
                <w:szCs w:val="21"/>
                <w:highlight w:val="none"/>
                <w:lang w:bidi="ar"/>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highlight w:val="none"/>
                <w:lang w:val="en-US" w:eastAsia="zh-CN"/>
              </w:rPr>
              <w:t xml:space="preserve">10</w:t>
            </w:r>
            <w:r>
              <w:rPr>
                <w:rFonts w:hint="eastAsia" w:eastAsia="宋体"/>
                <w:szCs w:val="21"/>
                <w:highlight w:val="none"/>
                <w:lang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1.农业生产符合性评价；</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2.耕地质量等级评价；</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3.质量核算与鉴定意见；</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4.会议组织与数据填报；</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5.培肥与再评价。</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考察以上内容，每满足一项内容得1分，最高得5分。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sz w:val="24"/>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lang w:val="en-US" w:eastAsia="zh-CN"/>
              </w:rPr>
              <w:t xml:space="preserve">10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2.4</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cs="宋体"/>
                <w:bCs/>
                <w:szCs w:val="21"/>
                <w:highlight w:val="none"/>
              </w:rPr>
              <w:t xml:space="preserve">组织方案</w:t>
            </w:r>
            <w:r>
              <w:rPr>
                <w:rFonts w:hint="eastAsia" w:ascii="宋体" w:hAnsi="宋体" w:cs="宋体"/>
                <w:bCs/>
                <w:szCs w:val="21"/>
                <w:highlight w:val="none"/>
                <w:lang w:val="en-US" w:eastAsia="zh-CN"/>
              </w:rPr>
              <w:t xml:space="preserve">与进度安排</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highlight w:val="none"/>
                <w:lang w:val="en-US" w:eastAsia="zh-CN"/>
              </w:rPr>
              <w:t xml:space="preserve">7</w:t>
            </w:r>
            <w:r>
              <w:rPr>
                <w:rFonts w:hint="eastAsia" w:eastAsia="宋体"/>
                <w:szCs w:val="21"/>
                <w:highlight w:val="none"/>
                <w:lang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1.组织方案；</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2.进度安排。</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考察以上内容，每满足一项内容得1.5分，最高得3分。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sz w:val="24"/>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lang w:val="en-US" w:eastAsia="zh-CN"/>
              </w:rPr>
              <w:t xml:space="preserve">7</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2.5</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val="en-US" w:eastAsia="zh-CN"/>
              </w:rPr>
              <w:framePr w:vAnchor="text" w:hAnchor="page" w:xAlign="center" w:y="394"/>
            </w:pPr>
            <w:r>
              <w:rPr>
                <w:rFonts w:hint="eastAsia" w:ascii="宋体" w:hAnsi="宋体" w:cs="宋体"/>
                <w:bCs/>
                <w:szCs w:val="21"/>
              </w:rPr>
              <w:t xml:space="preserve">质量保障</w:t>
            </w:r>
            <w:r>
              <w:rPr>
                <w:rFonts w:hint="eastAsia" w:ascii="宋体" w:hAnsi="宋体" w:cs="宋体"/>
                <w:bCs/>
                <w:szCs w:val="21"/>
                <w:lang w:val="en-US" w:eastAsia="zh-CN"/>
              </w:rPr>
              <w:t xml:space="preserve">与安全保障措施</w:t>
            </w:r>
            <w:r>
              <w:rPr>
                <w:rFonts w:hint="eastAsia"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1.质量保障措施；</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2.安全保障措施。</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考察以上内容，每满足一项内容得1分，最高得2分。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2.6</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rPr>
              <w:framePr w:vAnchor="text" w:hAnchor="page" w:xAlign="center" w:y="394"/>
            </w:pPr>
            <w:r>
              <w:rPr>
                <w:rFonts w:hint="eastAsia" w:ascii="宋体" w:hAnsi="宋体" w:cs="宋体"/>
                <w:bCs/>
                <w:szCs w:val="21"/>
                <w:lang w:val="en-US" w:eastAsia="zh-CN"/>
              </w:rPr>
              <w:t xml:space="preserve">售后承诺与应急预案</w:t>
            </w:r>
            <w:r>
              <w:rPr>
                <w:rFonts w:hint="eastAsia" w:ascii="宋体" w:hAnsi="宋体" w:eastAsia="宋体"/>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1.售后承诺；</w:t>
            </w:r>
            <w:r>
              <w:rPr>
                <w:rFonts w:hint="eastAsia" w:ascii="宋体" w:hAnsi="宋体" w:eastAsia="宋体" w:cs="宋体"/>
                <w:sz w:val="21"/>
                <w:szCs w:val="21"/>
                <w:lang w:val="en-US" w:eastAsia="zh-CN"/>
              </w:rPr>
            </w:r>
            <w:r/>
          </w:p>
          <w:p>
            <w:pPr>
              <w:pStyle w:val="1030"/>
              <w:spacing w:line="400" w:lineRule="exact"/>
              <w:rPr>
                <w:rFonts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2.应急预案。</w:t>
            </w:r>
            <w:r>
              <w:rPr>
                <w:rFonts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考察以上内容，每满足一项内容得1分，最高得2分。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lang w:eastAsia="zh-CN"/>
              </w:rPr>
              <w:framePr w:vAnchor="text" w:hAnchor="page" w:xAlign="center" w:y="394"/>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400" w:lineRule="exact"/>
              <w:rPr>
                <w:rFonts w:hint="eastAsia" w:ascii="宋体" w:hAnsi="宋体" w:eastAsia="宋体" w:cs="宋体"/>
                <w:sz w:val="21"/>
                <w:szCs w:val="21"/>
                <w:lang w:val="en-US" w:eastAsia="zh-CN"/>
              </w:rPr>
              <w:framePr w:vAnchor="text" w:hAnchor="page" w:xAlign="center" w:y="394"/>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1030"/>
              <w:spacing w:line="400" w:lineRule="exact"/>
              <w:rPr>
                <w:rFonts w:hint="eastAsia" w:ascii="宋体" w:hAnsi="宋体" w:eastAsia="宋体" w:cs="宋体"/>
                <w:sz w:val="21"/>
                <w:szCs w:val="21"/>
              </w:rPr>
              <w:framePr w:vAnchor="text" w:hAnchor="page" w:xAlign="center" w:y="394"/>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cs="宋体"/>
                <w:szCs w:val="21"/>
              </w:rPr>
              <w:t xml:space="preserve">0</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cs="宋体"/>
                <w:szCs w:val="21"/>
                <w:lang w:val="en-US" w:eastAsia="zh-CN"/>
              </w:rPr>
              <w:t xml:space="preserve">6</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cs="宋体"/>
                <w:szCs w:val="21"/>
                <w:lang w:val="zh-CN"/>
              </w:rPr>
              <w:t xml:space="preserve">否</w:t>
            </w:r>
            <w:r>
              <w:rPr>
                <w:rFonts w:hint="eastAsia"/>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cs="宋体"/>
                <w:szCs w:val="21"/>
                <w:lang w:val="zh-CN"/>
              </w:rPr>
              <w:t xml:space="preserve">否</w:t>
            </w:r>
            <w:r>
              <w:rPr>
                <w:rFonts w:hint="eastAsia"/>
                <w:sz w:val="21"/>
                <w:szCs w:val="21"/>
                <w:highlight w:val="none"/>
                <w:lang w:val="en-US" w:eastAsia="zh-CN" w:bidi="ar-SA"/>
              </w:rPr>
            </w:r>
            <w:r/>
          </w:p>
        </w:tc>
      </w:tr>
      <w:tr>
        <w:trPr>
          <w:trHeight w:val="454"/>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3</w:t>
            </w:r>
            <w:r>
              <w:rPr>
                <w:rFonts w:hint="eastAsia"/>
                <w:szCs w:val="21"/>
                <w:highlight w:val="none"/>
              </w:rPr>
            </w:r>
            <w:r/>
          </w:p>
        </w:tc>
        <w:tc>
          <w:tcPr>
            <w:tcW w:w="1126" w:type="dxa"/>
            <w:vAlign w:val="center"/>
            <w:textDirection w:val="lrTb"/>
            <w:noWrap w:val="false"/>
          </w:tcPr>
          <w:p>
            <w:pPr>
              <w:pStyle w:val="1030"/>
              <w:ind w:firstLine="28"/>
              <w:jc w:val="center"/>
              <w:rPr>
                <w:sz w:val="24"/>
                <w:highlight w:val="none"/>
              </w:rPr>
              <w:framePr w:vAnchor="text" w:hAnchor="page" w:xAlign="center" w:y="394"/>
            </w:pPr>
            <w:r>
              <w:rPr>
                <w:rFonts w:hint="eastAsia"/>
                <w:szCs w:val="21"/>
                <w:highlight w:val="none"/>
                <w:lang w:bidi="ar"/>
              </w:rPr>
              <w:t xml:space="preserve">客观分</w:t>
            </w:r>
            <w:r>
              <w:rPr>
                <w:sz w:val="24"/>
                <w:highlight w:val="none"/>
              </w:rPr>
            </w:r>
            <w:r/>
          </w:p>
        </w:tc>
        <w:tc>
          <w:tcPr>
            <w:tcW w:w="700"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eastAsia="宋体"/>
                <w:szCs w:val="21"/>
                <w:highlight w:val="none"/>
                <w:lang w:val="en-US" w:eastAsia="zh-CN"/>
              </w:rPr>
              <w:t xml:space="preserve">45</w:t>
            </w:r>
            <w:r>
              <w:rPr>
                <w:rFonts w:eastAsia="宋体"/>
                <w:szCs w:val="21"/>
                <w:highlight w:val="none"/>
                <w:lang w:val="en-US" w:eastAsia="zh-CN"/>
              </w:rPr>
            </w:r>
            <w:r/>
          </w:p>
        </w:tc>
        <w:tc>
          <w:tcPr>
            <w:tcW w:w="4523" w:type="dxa"/>
            <w:vAlign w:val="center"/>
            <w:textDirection w:val="lrTb"/>
            <w:noWrap w:val="false"/>
          </w:tcPr>
          <w:p>
            <w:pPr>
              <w:pStyle w:val="1030"/>
              <w:spacing w:line="360" w:lineRule="auto"/>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r>
        <w:trPr>
          <w:trHeight w:val="652"/>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3.1</w:t>
            </w:r>
            <w:r>
              <w:rPr>
                <w:szCs w:val="21"/>
                <w:highlight w:val="none"/>
              </w:rPr>
            </w:r>
            <w:r/>
          </w:p>
        </w:tc>
        <w:tc>
          <w:tcPr>
            <w:tcW w:w="1126" w:type="dxa"/>
            <w:vAlign w:val="center"/>
            <w:textDirection w:val="lrTb"/>
            <w:noWrap w:val="false"/>
          </w:tcPr>
          <w:p>
            <w:pPr>
              <w:pStyle w:val="1030"/>
              <w:jc w:val="center"/>
              <w:spacing w:line="360" w:lineRule="exact"/>
              <w:widowControl/>
              <w:rPr>
                <w:rFonts w:hint="eastAsia"/>
                <w:szCs w:val="21"/>
                <w:highlight w:val="none"/>
                <w:lang w:bidi="ar"/>
              </w:rPr>
              <w:framePr w:vAnchor="text" w:hAnchor="page" w:xAlign="center" w:y="394"/>
            </w:pPr>
            <w:r>
              <w:rPr>
                <w:rFonts w:hint="eastAsia" w:ascii="宋体" w:hAnsi="宋体" w:cs="宋体"/>
                <w:bCs/>
                <w:szCs w:val="21"/>
                <w:highlight w:val="none"/>
              </w:rPr>
              <w:t xml:space="preserve">类似业绩</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rPr>
              <w:framePr w:vAnchor="text" w:hAnchor="page" w:xAlign="center" w:y="394"/>
            </w:pPr>
            <w:r>
              <w:rPr>
                <w:rFonts w:hint="eastAsia" w:ascii="宋体" w:hAnsi="宋体"/>
                <w:szCs w:val="21"/>
                <w:lang w:val="en-US" w:eastAsia="zh-CN"/>
              </w:rPr>
              <w:t xml:space="preserve">10  </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rPr>
              <w:framePr w:vAnchor="text" w:hAnchor="page" w:xAlign="center" w:y="394"/>
            </w:pPr>
            <w:r>
              <w:rPr>
                <w:rFonts w:hint="eastAsia" w:ascii="宋体" w:hAnsi="宋体" w:eastAsia="宋体" w:cs="宋体"/>
                <w:color w:val="000000"/>
                <w:sz w:val="21"/>
                <w:szCs w:val="21"/>
                <w:lang w:val="en-US" w:eastAsia="zh-CN"/>
              </w:rPr>
              <w:t xml:space="preserve">投标人2024年1月1日以来承担过类似项目业绩的（以合同签订时间为准），每有一个得2分，最高得10分。</w:t>
            </w:r>
            <w:r>
              <w:rPr>
                <w:rFonts w:hint="eastAsia" w:ascii="宋体" w:hAnsi="宋体" w:eastAsia="宋体" w:cs="宋体"/>
                <w:color w:val="000000"/>
                <w:sz w:val="21"/>
                <w:szCs w:val="21"/>
              </w:rPr>
            </w:r>
            <w:r/>
          </w:p>
          <w:p>
            <w:pPr>
              <w:pStyle w:val="1030"/>
              <w:spacing w:line="360" w:lineRule="exact"/>
              <w:widowControl/>
              <w:rPr>
                <w:rFonts w:hint="eastAsia"/>
                <w:highlight w:val="none"/>
              </w:rPr>
              <w:framePr w:vAnchor="text" w:hAnchor="page" w:xAlign="center" w:y="394"/>
            </w:pPr>
            <w:r>
              <w:rPr>
                <w:rFonts w:hint="eastAsia" w:ascii="宋体" w:hAnsi="宋体"/>
                <w:b/>
                <w:bCs/>
                <w:szCs w:val="21"/>
                <w:lang w:bidi="ar"/>
              </w:rPr>
              <w:t xml:space="preserve">注：提供业绩的合同扫描件</w:t>
            </w:r>
            <w:r>
              <w:rPr>
                <w:rFonts w:hint="eastAsia" w:ascii="宋体" w:hAnsi="宋体"/>
                <w:b/>
                <w:bCs/>
                <w:szCs w:val="21"/>
                <w:lang w:eastAsia="zh-CN" w:bidi="ar"/>
              </w:rPr>
              <w:t xml:space="preserve">（</w:t>
            </w:r>
            <w:r>
              <w:rPr>
                <w:rFonts w:hint="eastAsia" w:ascii="宋体" w:hAnsi="宋体"/>
                <w:b/>
                <w:bCs/>
                <w:szCs w:val="21"/>
                <w:lang w:val="en-US" w:eastAsia="zh-CN" w:bidi="ar"/>
              </w:rPr>
              <w:t xml:space="preserve">或照片）</w:t>
            </w:r>
            <w:r>
              <w:rPr>
                <w:rFonts w:hint="eastAsia" w:ascii="宋体" w:hAnsi="宋体"/>
                <w:b/>
                <w:bCs/>
                <w:szCs w:val="21"/>
                <w:lang w:bidi="ar"/>
              </w:rPr>
              <w:t xml:space="preserve">。不提供</w:t>
            </w:r>
            <w:r>
              <w:rPr>
                <w:rFonts w:hint="eastAsia" w:ascii="宋体" w:hAnsi="宋体"/>
                <w:b/>
                <w:bCs/>
                <w:szCs w:val="21"/>
                <w:lang w:val="en-US" w:eastAsia="zh-CN" w:bidi="ar"/>
              </w:rPr>
              <w:t xml:space="preserve">或提供不全</w:t>
            </w:r>
            <w:r>
              <w:rPr>
                <w:rFonts w:hint="eastAsia" w:ascii="宋体" w:hAnsi="宋体"/>
                <w:b/>
                <w:bCs/>
                <w:szCs w:val="21"/>
                <w:lang w:bidi="ar"/>
              </w:rPr>
              <w:t xml:space="preserve">不得分。</w:t>
            </w:r>
            <w:r>
              <w:rPr>
                <w:rFonts w:hint="eastAsia"/>
                <w:highlight w:val="none"/>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10</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3.2</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eastAsia="宋体"/>
                <w:szCs w:val="21"/>
                <w:highlight w:val="none"/>
                <w:lang w:val="en-US" w:eastAsia="zh-CN" w:bidi="ar"/>
              </w:rPr>
              <w:framePr w:vAnchor="text" w:hAnchor="page" w:xAlign="center" w:y="394"/>
            </w:pPr>
            <w:r>
              <w:rPr>
                <w:rFonts w:hint="eastAsia" w:ascii="宋体" w:hAnsi="宋体" w:cs="宋体"/>
                <w:bCs/>
                <w:szCs w:val="21"/>
                <w:lang w:val="en-US" w:eastAsia="zh-CN"/>
              </w:rPr>
              <w:t xml:space="preserve">综合</w:t>
            </w:r>
            <w:r>
              <w:rPr>
                <w:rFonts w:hint="eastAsia" w:ascii="宋体" w:hAnsi="宋体" w:cs="宋体"/>
                <w:bCs/>
                <w:szCs w:val="21"/>
              </w:rPr>
              <w:t xml:space="preserve">实力</w:t>
            </w:r>
            <w:r>
              <w:rPr>
                <w:rFonts w:hint="eastAsia" w:eastAsia="宋体"/>
                <w:szCs w:val="21"/>
                <w:highlight w:val="none"/>
                <w:lang w:val="en-US" w:eastAsia="zh-CN" w:bidi="ar"/>
              </w:rPr>
            </w:r>
            <w:r/>
          </w:p>
        </w:tc>
        <w:tc>
          <w:tcPr>
            <w:tcW w:w="700" w:type="dxa"/>
            <w:vAlign w:val="center"/>
            <w:textDirection w:val="lrTb"/>
            <w:noWrap w:val="false"/>
          </w:tcPr>
          <w:p>
            <w:pPr>
              <w:pStyle w:val="1030"/>
              <w:jc w:val="center"/>
              <w:widowControl/>
              <w:rPr>
                <w:rFonts w:eastAsia="宋体"/>
                <w:szCs w:val="21"/>
                <w:highlight w:val="none"/>
                <w:lang w:val="en-US" w:eastAsia="zh-CN"/>
              </w:rPr>
              <w:framePr w:vAnchor="text" w:hAnchor="page" w:xAlign="center" w:y="394"/>
            </w:pPr>
            <w:r>
              <w:rPr>
                <w:rFonts w:hint="eastAsia" w:ascii="宋体" w:hAnsi="宋体"/>
                <w:szCs w:val="21"/>
                <w:lang w:val="en-US" w:eastAsia="zh-CN"/>
              </w:rPr>
              <w:t xml:space="preserve">10</w:t>
            </w:r>
            <w:r>
              <w:rPr>
                <w:rFonts w:eastAsia="宋体"/>
                <w:szCs w:val="21"/>
                <w:highlight w:val="none"/>
                <w:lang w:val="en-US" w:eastAsia="zh-CN"/>
              </w:rPr>
            </w:r>
            <w:r/>
          </w:p>
        </w:tc>
        <w:tc>
          <w:tcPr>
            <w:tcW w:w="4523" w:type="dxa"/>
            <w:vAlign w:val="center"/>
            <w:textDirection w:val="lrTb"/>
            <w:noWrap w:val="false"/>
          </w:tcPr>
          <w:p>
            <w:pPr>
              <w:pStyle w:val="1030"/>
              <w:spacing w:line="360" w:lineRule="exact"/>
              <w:widowControl/>
              <w:rPr>
                <w:rFonts w:ascii="宋体" w:hAnsi="宋体" w:eastAsia="宋体" w:cs="Times New Roman"/>
                <w:szCs w:val="21"/>
                <w:lang w:val="en-US" w:eastAsia="zh-CN" w:bidi="ar"/>
              </w:rPr>
              <w:framePr w:vAnchor="text" w:hAnchor="page" w:xAlign="center" w:y="394"/>
            </w:pPr>
            <w:r>
              <w:rPr>
                <w:rFonts w:hint="eastAsia" w:ascii="宋体" w:hAnsi="宋体" w:eastAsia="宋体" w:cs="Times New Roman"/>
                <w:szCs w:val="21"/>
                <w:lang w:val="en-US" w:eastAsia="zh-CN" w:bidi="ar"/>
              </w:rPr>
              <w:t xml:space="preserve">1.投标人获得过</w:t>
            </w:r>
            <w:r>
              <w:rPr>
                <w:rFonts w:hint="eastAsia" w:ascii="宋体" w:hAnsi="宋体" w:eastAsia="宋体" w:cs="Times New Roman"/>
                <w:szCs w:val="21"/>
                <w:highlight w:val="none"/>
                <w:lang w:val="en-US" w:eastAsia="zh-CN" w:bidi="ar"/>
              </w:rPr>
              <w:t xml:space="preserve">主管部门颁发的</w:t>
            </w:r>
            <w:r>
              <w:rPr>
                <w:rFonts w:hint="eastAsia" w:ascii="宋体" w:hAnsi="宋体" w:eastAsia="宋体" w:cs="Times New Roman"/>
                <w:szCs w:val="21"/>
                <w:lang w:val="en-US" w:eastAsia="zh-CN" w:bidi="ar"/>
              </w:rPr>
              <w:t xml:space="preserve">土壤类科学技术奖的</w:t>
            </w:r>
            <w:r>
              <w:rPr>
                <w:rFonts w:hint="eastAsia" w:ascii="宋体" w:hAnsi="宋体" w:cs="宋体"/>
                <w:szCs w:val="21"/>
              </w:rPr>
              <w:t xml:space="preserve">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eastAsia="宋体" w:cs="Times New Roman"/>
                <w:szCs w:val="21"/>
                <w:lang w:val="en-US" w:eastAsia="zh-CN" w:bidi="ar"/>
              </w:rPr>
            </w:r>
            <w:r/>
          </w:p>
          <w:p>
            <w:pPr>
              <w:pStyle w:val="1030"/>
              <w:spacing w:line="360" w:lineRule="exact"/>
              <w:widowControl/>
              <w:rPr>
                <w:rFonts w:hint="eastAsia" w:ascii="宋体" w:hAnsi="宋体" w:eastAsia="宋体" w:cs="Times New Roman"/>
                <w:szCs w:val="21"/>
                <w:lang w:bidi="ar"/>
              </w:rPr>
              <w:framePr w:vAnchor="text" w:hAnchor="page" w:xAlign="center" w:y="394"/>
            </w:pPr>
            <w:r>
              <w:rPr>
                <w:rFonts w:hint="eastAsia" w:ascii="宋体" w:hAnsi="宋体"/>
                <w:b/>
                <w:bCs/>
                <w:szCs w:val="21"/>
                <w:lang w:bidi="ar"/>
              </w:rPr>
              <w:t xml:space="preserve">注：提供相关证明材料扫描件（或照片），不提供</w:t>
            </w:r>
            <w:r>
              <w:rPr>
                <w:rFonts w:hint="eastAsia" w:ascii="宋体" w:hAnsi="宋体"/>
                <w:b/>
                <w:bCs/>
                <w:szCs w:val="21"/>
                <w:lang w:val="en-US" w:eastAsia="zh-CN" w:bidi="ar"/>
              </w:rPr>
              <w:t xml:space="preserve">或不符合的</w:t>
            </w:r>
            <w:r>
              <w:rPr>
                <w:rFonts w:hint="eastAsia" w:ascii="宋体" w:hAnsi="宋体"/>
                <w:b/>
                <w:bCs/>
                <w:szCs w:val="21"/>
                <w:lang w:bidi="ar"/>
              </w:rPr>
              <w:t xml:space="preserve">不得分。</w:t>
            </w:r>
            <w:r>
              <w:rPr>
                <w:rFonts w:hint="eastAsia" w:ascii="宋体" w:hAnsi="宋体" w:eastAsia="宋体" w:cs="Times New Roman"/>
                <w:szCs w:val="21"/>
                <w:lang w:bidi="ar"/>
              </w:rPr>
            </w:r>
            <w:r/>
          </w:p>
          <w:p>
            <w:pPr>
              <w:pStyle w:val="1030"/>
              <w:spacing w:line="360" w:lineRule="exact"/>
              <w:widowControl/>
              <w:rPr>
                <w:rFonts w:hint="eastAsia" w:ascii="宋体" w:hAnsi="宋体"/>
                <w:b/>
                <w:bCs/>
                <w:szCs w:val="21"/>
                <w:lang w:bidi="ar"/>
              </w:rPr>
              <w:framePr w:vAnchor="text" w:hAnchor="page" w:xAlign="center" w:y="394"/>
            </w:pPr>
            <w:r>
              <w:rPr>
                <w:rFonts w:hint="eastAsia" w:ascii="宋体" w:hAnsi="宋体" w:eastAsia="宋体" w:cs="Times New Roman"/>
                <w:szCs w:val="21"/>
                <w:lang w:val="en-US" w:eastAsia="zh-CN" w:bidi="ar"/>
              </w:rPr>
              <w:t xml:space="preserve">2.</w:t>
            </w:r>
            <w:r>
              <w:rPr>
                <w:rFonts w:hint="eastAsia" w:ascii="宋体" w:hAnsi="宋体" w:eastAsia="宋体"/>
                <w:szCs w:val="21"/>
                <w:lang w:val="en-US" w:eastAsia="zh-CN" w:bidi="ar"/>
              </w:rPr>
              <w:t xml:space="preserve">投标人</w:t>
            </w:r>
            <w:r>
              <w:rPr>
                <w:rFonts w:hint="eastAsia" w:ascii="宋体" w:hAnsi="宋体"/>
                <w:szCs w:val="21"/>
                <w:lang w:bidi="ar"/>
              </w:rPr>
              <w:t xml:space="preserve">具有农业类土壤相关的重点实验室或工程技术中心</w:t>
            </w:r>
            <w:r>
              <w:rPr>
                <w:rFonts w:hint="eastAsia" w:ascii="宋体" w:hAnsi="宋体"/>
                <w:szCs w:val="21"/>
                <w:lang w:val="en-US" w:eastAsia="zh-CN" w:bidi="ar"/>
              </w:rPr>
              <w:t xml:space="preserve">的</w:t>
            </w:r>
            <w:r>
              <w:rPr>
                <w:rFonts w:hint="eastAsia" w:ascii="宋体" w:hAnsi="宋体"/>
                <w:szCs w:val="21"/>
                <w:lang w:bidi="ar"/>
              </w:rPr>
              <w:t xml:space="preserve">得</w:t>
            </w:r>
            <w:r>
              <w:rPr>
                <w:rFonts w:hint="eastAsia" w:ascii="宋体" w:hAnsi="宋体"/>
                <w:szCs w:val="21"/>
                <w:lang w:val="en-US" w:eastAsia="zh-CN" w:bidi="ar"/>
              </w:rPr>
              <w:t xml:space="preserve">5</w:t>
            </w:r>
            <w:r>
              <w:rPr>
                <w:rFonts w:hint="eastAsia" w:ascii="宋体" w:hAnsi="宋体"/>
                <w:szCs w:val="21"/>
                <w:lang w:bidi="ar"/>
              </w:rPr>
              <w:t xml:space="preserve">分。</w:t>
            </w:r>
            <w:r>
              <w:rPr>
                <w:rFonts w:hint="eastAsia" w:ascii="宋体" w:hAnsi="宋体"/>
                <w:b/>
                <w:bCs/>
                <w:szCs w:val="21"/>
                <w:lang w:bidi="ar"/>
              </w:rPr>
            </w:r>
            <w:r/>
          </w:p>
          <w:p>
            <w:pPr>
              <w:pStyle w:val="1030"/>
              <w:spacing w:line="360" w:lineRule="exact"/>
              <w:widowControl/>
              <w:rPr>
                <w:rFonts w:ascii="宋体" w:hAnsi="宋体" w:eastAsia="宋体" w:cs="宋体"/>
                <w:b/>
                <w:szCs w:val="21"/>
                <w:highlight w:val="none"/>
                <w:lang w:val="en-US" w:eastAsia="zh-CN"/>
              </w:rPr>
              <w:framePr w:vAnchor="text" w:hAnchor="page" w:xAlign="center" w:y="394"/>
            </w:pPr>
            <w:r>
              <w:rPr>
                <w:rFonts w:hint="eastAsia" w:ascii="宋体" w:hAnsi="宋体"/>
                <w:b/>
                <w:bCs/>
                <w:szCs w:val="21"/>
                <w:lang w:bidi="ar"/>
              </w:rPr>
              <w:t xml:space="preserve">注：</w:t>
            </w:r>
            <w:r>
              <w:rPr>
                <w:rFonts w:hint="eastAsia" w:ascii="宋体" w:hAnsi="宋体"/>
                <w:b/>
                <w:bCs/>
                <w:szCs w:val="21"/>
                <w:lang w:eastAsia="zh-CN" w:bidi="ar"/>
              </w:rPr>
            </w:r>
            <w:r>
              <w:rPr>
                <w:rFonts w:hint="eastAsia" w:ascii="宋体" w:hAnsi="宋体"/>
                <w:b/>
                <w:bCs/>
                <w:szCs w:val="21"/>
                <w:lang w:bidi="ar"/>
              </w:rPr>
              <w:t xml:space="preserve">提供相关证明材料</w:t>
            </w:r>
            <w:r>
              <w:rPr>
                <w:rFonts w:hint="eastAsia" w:ascii="宋体" w:hAnsi="宋体"/>
                <w:b/>
                <w:bCs/>
                <w:szCs w:val="21"/>
                <w:lang w:eastAsia="zh-CN" w:bidi="ar"/>
              </w:rPr>
              <w:t xml:space="preserve">（管理部门同意建设实验室或工程技术中心的文件）</w:t>
            </w:r>
            <w:r>
              <w:rPr>
                <w:rFonts w:hint="eastAsia" w:ascii="宋体" w:hAnsi="宋体"/>
                <w:b/>
                <w:bCs/>
                <w:szCs w:val="21"/>
                <w:lang w:bidi="ar"/>
              </w:rPr>
              <w:t xml:space="preserve">扫描件（或照片），不提供不得分。</w:t>
            </w:r>
            <w:r>
              <w:rPr>
                <w:rFonts w:ascii="宋体" w:hAnsi="宋体" w:eastAsia="宋体" w:cs="宋体"/>
                <w:b/>
                <w:szCs w:val="21"/>
                <w:highlight w:val="none"/>
                <w:lang w:val="en-US" w:eastAsia="zh-CN"/>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cs="宋体"/>
                <w:szCs w:val="21"/>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cs="宋体"/>
                <w:szCs w:val="21"/>
                <w:lang w:val="en-US" w:eastAsia="zh-CN"/>
              </w:rPr>
              <w:t xml:space="preserve">10</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cs="宋体"/>
                <w:szCs w:val="21"/>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3.3</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cs="宋体"/>
                <w:lang w:val="en-US" w:eastAsia="zh-CN"/>
              </w:rPr>
              <w:framePr w:vAnchor="text" w:hAnchor="page" w:xAlign="center" w:y="394"/>
            </w:pPr>
            <w:r>
              <w:rPr>
                <w:rFonts w:ascii="宋体" w:hAnsi="宋体" w:cs="宋体"/>
                <w:bCs/>
                <w:szCs w:val="21"/>
                <w:highlight w:val="none"/>
              </w:rPr>
              <w:t xml:space="preserve">项目</w:t>
            </w:r>
            <w:r>
              <w:rPr>
                <w:rFonts w:hint="eastAsia" w:ascii="宋体" w:hAnsi="宋体" w:cs="宋体"/>
                <w:bCs/>
                <w:szCs w:val="21"/>
                <w:highlight w:val="none"/>
              </w:rPr>
              <w:t xml:space="preserve">人员配备</w:t>
            </w:r>
            <w:r>
              <w:rPr>
                <w:rFonts w:eastAsia="宋体" w:cs="宋体"/>
                <w:lang w:val="en-US" w:eastAsia="zh-CN"/>
              </w:rPr>
            </w:r>
            <w:r/>
          </w:p>
        </w:tc>
        <w:tc>
          <w:tcPr>
            <w:tcW w:w="700" w:type="dxa"/>
            <w:vAlign w:val="center"/>
            <w:textDirection w:val="lrTb"/>
            <w:noWrap w:val="false"/>
          </w:tcPr>
          <w:p>
            <w:pPr>
              <w:pStyle w:val="1030"/>
              <w:jc w:val="center"/>
              <w:widowControl/>
              <w:rPr>
                <w:rFonts w:ascii="宋体" w:hAnsi="宋体"/>
                <w:szCs w:val="21"/>
                <w:lang w:val="en-US" w:eastAsia="zh-CN"/>
              </w:rPr>
              <w:framePr w:vAnchor="text" w:hAnchor="page" w:xAlign="center" w:y="394"/>
            </w:pPr>
            <w:r>
              <w:rPr>
                <w:rFonts w:hint="eastAsia" w:ascii="宋体" w:hAnsi="宋体"/>
                <w:szCs w:val="21"/>
                <w:highlight w:val="none"/>
              </w:rPr>
              <w:t xml:space="preserve">2</w:t>
            </w:r>
            <w:r>
              <w:rPr>
                <w:rFonts w:hint="eastAsia" w:ascii="宋体" w:hAnsi="宋体"/>
                <w:szCs w:val="21"/>
                <w:highlight w:val="none"/>
                <w:lang w:val="en-US" w:eastAsia="zh-CN"/>
              </w:rPr>
              <w:t xml:space="preserve">5</w:t>
            </w:r>
            <w:r>
              <w:rPr>
                <w:rFonts w:ascii="宋体" w:hAnsi="宋体"/>
                <w:szCs w:val="21"/>
                <w:lang w:val="en-US" w:eastAsia="zh-CN"/>
              </w:rPr>
            </w:r>
            <w:r/>
          </w:p>
        </w:tc>
        <w:tc>
          <w:tcPr>
            <w:tcW w:w="4523" w:type="dxa"/>
            <w:vAlign w:val="center"/>
            <w:textDirection w:val="lrTb"/>
            <w:noWrap w:val="false"/>
          </w:tcPr>
          <w:p>
            <w:pPr>
              <w:pStyle w:val="1030"/>
              <w:spacing w:line="360" w:lineRule="exact"/>
              <w:tabs>
                <w:tab w:val="left" w:pos="426" w:leader="none"/>
              </w:tabs>
              <w:rPr>
                <w:rFonts w:hint="eastAsia" w:ascii="宋体" w:hAnsi="宋体" w:cs="宋体"/>
                <w:szCs w:val="21"/>
                <w:highlight w:val="none"/>
              </w:rPr>
              <w:framePr w:vAnchor="text" w:hAnchor="page" w:xAlign="center" w:y="394"/>
            </w:pPr>
            <w:r>
              <w:rPr>
                <w:rFonts w:hint="eastAsia" w:ascii="宋体" w:hAnsi="宋体" w:cs="宋体"/>
                <w:szCs w:val="21"/>
                <w:highlight w:val="none"/>
              </w:rPr>
              <w:t xml:space="preserve">1.拟投入</w:t>
            </w:r>
            <w:r>
              <w:rPr>
                <w:rFonts w:hint="eastAsia" w:ascii="宋体" w:hAnsi="宋体" w:cs="宋体"/>
                <w:b/>
                <w:bCs/>
                <w:szCs w:val="21"/>
                <w:highlight w:val="none"/>
              </w:rPr>
              <w:t xml:space="preserve">项目负责人（1人）</w:t>
            </w:r>
            <w:r>
              <w:rPr>
                <w:rFonts w:hint="eastAsia" w:ascii="宋体" w:hAnsi="宋体" w:cs="宋体"/>
                <w:szCs w:val="21"/>
                <w:highlight w:val="none"/>
              </w:rPr>
              <w:t xml:space="preserve">具有土壤学及相关专业正高级职称的得4分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具有土壤学及相关专业副高级职称的得2分。</w:t>
            </w:r>
            <w:r>
              <w:rPr>
                <w:rFonts w:hint="eastAsia" w:ascii="宋体" w:hAnsi="宋体" w:cs="宋体"/>
                <w:szCs w:val="21"/>
                <w:highlight w:val="none"/>
              </w:rPr>
            </w:r>
            <w:r/>
          </w:p>
          <w:p>
            <w:pPr>
              <w:pStyle w:val="1030"/>
              <w:spacing w:line="360" w:lineRule="exact"/>
              <w:tabs>
                <w:tab w:val="left" w:pos="426" w:leader="none"/>
              </w:tabs>
              <w:rPr>
                <w:rFonts w:hint="eastAsia" w:ascii="宋体" w:hAnsi="宋体" w:cs="宋体"/>
                <w:szCs w:val="21"/>
                <w:highlight w:val="none"/>
              </w:rPr>
              <w:framePr w:vAnchor="text" w:hAnchor="page" w:xAlign="center" w:y="394"/>
            </w:pPr>
            <w:r>
              <w:rPr>
                <w:rFonts w:hint="eastAsia" w:ascii="宋体" w:hAnsi="宋体" w:cs="宋体"/>
                <w:szCs w:val="21"/>
                <w:highlight w:val="none"/>
              </w:rPr>
              <w:t xml:space="preserve">2.拟投入本项目的</w:t>
            </w:r>
            <w:r>
              <w:rPr>
                <w:rFonts w:hint="eastAsia" w:ascii="宋体" w:hAnsi="宋体" w:cs="宋体"/>
                <w:b/>
                <w:bCs/>
                <w:szCs w:val="21"/>
                <w:highlight w:val="none"/>
              </w:rPr>
              <w:t xml:space="preserve">技术负责人（1人）</w:t>
            </w:r>
            <w:r>
              <w:rPr>
                <w:rFonts w:hint="eastAsia" w:ascii="宋体" w:hAnsi="宋体" w:cs="宋体"/>
                <w:szCs w:val="21"/>
                <w:highlight w:val="none"/>
              </w:rPr>
              <w:t xml:space="preserve">具有土壤学及相关专业正高级职称的得4分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具有土壤学及相关专业副高级职称的得2分。</w:t>
            </w:r>
            <w:r>
              <w:rPr>
                <w:rFonts w:hint="eastAsia" w:ascii="宋体" w:hAnsi="宋体" w:cs="宋体"/>
                <w:szCs w:val="21"/>
                <w:highlight w:val="none"/>
              </w:rPr>
            </w:r>
            <w:r/>
          </w:p>
          <w:p>
            <w:pPr>
              <w:pStyle w:val="1030"/>
              <w:spacing w:line="360" w:lineRule="exact"/>
              <w:tabs>
                <w:tab w:val="left" w:pos="426" w:leader="none"/>
              </w:tabs>
              <w:rPr>
                <w:rFonts w:hint="eastAsia" w:ascii="宋体" w:hAnsi="宋体" w:cs="宋体"/>
                <w:szCs w:val="21"/>
                <w:highlight w:val="none"/>
              </w:rPr>
              <w:framePr w:vAnchor="text" w:hAnchor="page" w:xAlign="center" w:y="394"/>
            </w:pPr>
            <w:r>
              <w:rPr>
                <w:rFonts w:hint="eastAsia" w:ascii="宋体" w:hAnsi="宋体" w:cs="宋体"/>
                <w:szCs w:val="21"/>
                <w:highlight w:val="none"/>
              </w:rPr>
              <w:t xml:space="preserve">3.拟投入本项目的</w:t>
            </w:r>
            <w:r>
              <w:rPr>
                <w:rFonts w:hint="eastAsia" w:ascii="宋体" w:hAnsi="宋体" w:cs="宋体"/>
                <w:b/>
                <w:bCs/>
                <w:szCs w:val="21"/>
                <w:highlight w:val="none"/>
                <w:lang w:val="en-US" w:eastAsia="zh-CN"/>
              </w:rPr>
              <w:t xml:space="preserve">项目组成员</w:t>
            </w:r>
            <w:r>
              <w:rPr>
                <w:rFonts w:hint="eastAsia" w:ascii="宋体" w:hAnsi="宋体" w:cs="宋体"/>
                <w:b/>
                <w:bCs/>
                <w:szCs w:val="21"/>
                <w:highlight w:val="none"/>
              </w:rPr>
              <w:t xml:space="preserve">（除项目负责人、技术负责人外）</w:t>
            </w:r>
            <w:r>
              <w:rPr>
                <w:rFonts w:hint="eastAsia" w:ascii="宋体" w:hAnsi="宋体" w:cs="宋体"/>
                <w:b/>
                <w:bCs/>
                <w:szCs w:val="21"/>
                <w:highlight w:val="none"/>
                <w:lang w:val="en-US" w:eastAsia="zh-CN"/>
              </w:rPr>
              <w:t xml:space="preserve">中：</w:t>
            </w:r>
            <w:r>
              <w:rPr>
                <w:rFonts w:hint="eastAsia" w:ascii="宋体" w:hAnsi="宋体" w:cs="宋体"/>
                <w:b w:val="0"/>
                <w:bCs w:val="0"/>
                <w:szCs w:val="21"/>
                <w:highlight w:val="none"/>
                <w:lang w:val="en-US" w:eastAsia="zh-CN"/>
              </w:rPr>
              <w:t xml:space="preserve">具有土壤学及相关专业高级及以上职称的</w:t>
            </w:r>
            <w:r>
              <w:rPr>
                <w:rFonts w:hint="eastAsia" w:ascii="宋体" w:hAnsi="宋体" w:cs="宋体"/>
                <w:szCs w:val="21"/>
                <w:highlight w:val="none"/>
              </w:rPr>
              <w:t xml:space="preserve">，有一人得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rPr>
                <w:rFonts w:hint="eastAsia" w:ascii="宋体" w:hAnsi="宋体" w:cs="宋体"/>
                <w:szCs w:val="21"/>
                <w:highlight w:val="none"/>
              </w:rPr>
            </w:r>
            <w:r/>
          </w:p>
          <w:p>
            <w:pPr>
              <w:pStyle w:val="1030"/>
              <w:spacing w:line="360" w:lineRule="exact"/>
              <w:widowControl/>
              <w:rPr>
                <w:rFonts w:hint="eastAsia" w:ascii="宋体" w:hAnsi="宋体"/>
                <w:szCs w:val="21"/>
                <w:highlight w:val="none"/>
                <w:lang w:bidi="ar"/>
              </w:rPr>
              <w:framePr w:vAnchor="text" w:hAnchor="page" w:xAlign="center" w:y="394"/>
            </w:pPr>
            <w:r>
              <w:rPr>
                <w:rFonts w:hint="eastAsia" w:ascii="宋体" w:hAnsi="宋体" w:cs="宋体"/>
                <w:szCs w:val="21"/>
                <w:highlight w:val="none"/>
              </w:rPr>
              <w:t xml:space="preserve">4.拟投入本项目的</w:t>
            </w:r>
            <w:r>
              <w:rPr>
                <w:rFonts w:hint="eastAsia" w:ascii="宋体" w:hAnsi="宋体" w:cs="宋体"/>
                <w:b/>
                <w:bCs/>
                <w:szCs w:val="21"/>
                <w:highlight w:val="none"/>
                <w:lang w:val="en-US" w:eastAsia="zh-CN"/>
              </w:rPr>
              <w:t xml:space="preserve">项目组成员</w:t>
            </w:r>
            <w:r>
              <w:rPr>
                <w:rFonts w:hint="eastAsia" w:ascii="宋体" w:hAnsi="宋体" w:cs="宋体"/>
                <w:b/>
                <w:bCs/>
                <w:szCs w:val="21"/>
                <w:highlight w:val="none"/>
              </w:rPr>
              <w:t xml:space="preserve">（除项目负责人、技术负责人外）</w:t>
            </w:r>
            <w:r>
              <w:rPr>
                <w:rFonts w:hint="eastAsia" w:ascii="宋体" w:hAnsi="宋体" w:cs="宋体"/>
                <w:b/>
                <w:bCs/>
                <w:szCs w:val="21"/>
                <w:highlight w:val="none"/>
                <w:lang w:val="en-US" w:eastAsia="zh-CN"/>
              </w:rPr>
              <w:t xml:space="preserve">中：</w:t>
            </w:r>
            <w:r>
              <w:rPr>
                <w:rFonts w:hint="eastAsia" w:ascii="宋体" w:hAnsi="宋体" w:cs="宋体"/>
                <w:b w:val="0"/>
                <w:bCs w:val="0"/>
                <w:szCs w:val="21"/>
                <w:highlight w:val="none"/>
                <w:lang w:val="en-US" w:eastAsia="zh-CN"/>
              </w:rPr>
              <w:t xml:space="preserve">具有土壤学及相关专业中级职称的</w:t>
            </w:r>
            <w:r>
              <w:rPr>
                <w:rFonts w:hint="eastAsia" w:ascii="宋体" w:hAnsi="宋体" w:cs="宋体"/>
                <w:szCs w:val="21"/>
                <w:highlight w:val="none"/>
              </w:rPr>
              <w:t xml:space="preserve">，有一人得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szCs w:val="21"/>
                <w:highlight w:val="none"/>
                <w:lang w:bidi="ar"/>
              </w:rPr>
            </w:r>
            <w:r/>
          </w:p>
          <w:p>
            <w:pPr>
              <w:pStyle w:val="1030"/>
              <w:spacing w:line="360" w:lineRule="exact"/>
              <w:widowControl/>
              <w:rPr>
                <w:rFonts w:hint="eastAsia" w:ascii="宋体" w:hAnsi="宋体"/>
                <w:b/>
                <w:bCs/>
                <w:szCs w:val="21"/>
                <w:highlight w:val="none"/>
                <w:lang w:bidi="ar"/>
              </w:rPr>
              <w:framePr w:vAnchor="text" w:hAnchor="page" w:xAlign="center" w:y="394"/>
            </w:pPr>
            <w:r>
              <w:rPr>
                <w:rFonts w:hint="eastAsia" w:ascii="宋体" w:hAnsi="宋体"/>
                <w:b/>
                <w:bCs/>
                <w:szCs w:val="21"/>
                <w:highlight w:val="none"/>
                <w:lang w:bidi="ar"/>
              </w:rPr>
              <w:t xml:space="preserve">注：</w:t>
            </w:r>
            <w:r>
              <w:rPr>
                <w:rFonts w:hint="eastAsia" w:ascii="宋体" w:hAnsi="宋体"/>
                <w:b/>
                <w:bCs/>
                <w:szCs w:val="21"/>
                <w:highlight w:val="none"/>
                <w:lang w:eastAsia="zh-CN" w:bidi="ar"/>
              </w:rPr>
              <w:t xml:space="preserve">（</w:t>
            </w:r>
            <w:r>
              <w:rPr>
                <w:rFonts w:hint="eastAsia" w:ascii="宋体" w:hAnsi="宋体"/>
                <w:b/>
                <w:bCs/>
                <w:szCs w:val="21"/>
                <w:highlight w:val="none"/>
                <w:lang w:val="en-US" w:eastAsia="zh-CN" w:bidi="ar"/>
              </w:rPr>
              <w:t xml:space="preserve">1）同一人员仅计分一次，</w:t>
            </w:r>
            <w:r>
              <w:rPr>
                <w:rFonts w:hint="eastAsia" w:ascii="宋体" w:hAnsi="宋体"/>
                <w:b/>
                <w:bCs/>
                <w:szCs w:val="21"/>
                <w:highlight w:val="none"/>
                <w:lang w:bidi="ar"/>
              </w:rPr>
              <w:t xml:space="preserve">提供人员相关证书及近</w:t>
            </w:r>
            <w:r>
              <w:rPr>
                <w:rFonts w:hint="eastAsia" w:ascii="宋体" w:hAnsi="宋体"/>
                <w:b/>
                <w:bCs/>
                <w:szCs w:val="21"/>
                <w:highlight w:val="none"/>
                <w:lang w:val="en-US" w:eastAsia="zh-CN" w:bidi="ar"/>
              </w:rPr>
              <w:t xml:space="preserve">半年内</w:t>
            </w:r>
            <w:r>
              <w:rPr>
                <w:rFonts w:hint="eastAsia" w:ascii="宋体" w:hAnsi="宋体"/>
                <w:b/>
                <w:bCs/>
                <w:szCs w:val="21"/>
                <w:highlight w:val="none"/>
                <w:lang w:bidi="ar"/>
              </w:rPr>
              <w:t xml:space="preserve">（自响应截止日之日起往前推算）</w:t>
            </w:r>
            <w:r>
              <w:rPr>
                <w:rFonts w:hint="eastAsia" w:ascii="宋体" w:hAnsi="宋体"/>
                <w:b/>
                <w:bCs/>
                <w:szCs w:val="21"/>
                <w:highlight w:val="none"/>
                <w:lang w:val="en-US" w:eastAsia="zh-CN" w:bidi="ar"/>
              </w:rPr>
              <w:t xml:space="preserve">任意一个月</w:t>
            </w:r>
            <w:r>
              <w:rPr>
                <w:rFonts w:hint="eastAsia" w:ascii="宋体" w:hAnsi="宋体"/>
                <w:b/>
                <w:bCs/>
                <w:szCs w:val="21"/>
                <w:highlight w:val="none"/>
                <w:lang w:bidi="ar"/>
              </w:rPr>
              <w:t xml:space="preserve">供应商为其缴纳的社保证明材料扫描件（或照片）。不提供或提供不全不得分。</w:t>
            </w:r>
            <w:r>
              <w:rPr>
                <w:rFonts w:hint="eastAsia" w:ascii="宋体" w:hAnsi="宋体"/>
                <w:b/>
                <w:bCs/>
                <w:szCs w:val="21"/>
                <w:highlight w:val="none"/>
                <w:lang w:bidi="ar"/>
              </w:rPr>
            </w:r>
            <w:r/>
          </w:p>
          <w:p>
            <w:pPr>
              <w:pStyle w:val="1030"/>
              <w:spacing w:line="360" w:lineRule="exact"/>
              <w:widowControl/>
              <w:rPr>
                <w:rFonts w:ascii="宋体" w:hAnsi="宋体" w:eastAsia="宋体" w:cs="Times New Roman"/>
                <w:b/>
                <w:bCs/>
                <w:szCs w:val="21"/>
                <w:lang w:val="en-US" w:eastAsia="zh-CN" w:bidi="ar"/>
              </w:rPr>
              <w:framePr w:vAnchor="text" w:hAnchor="page" w:xAlign="center" w:y="394"/>
            </w:pPr>
            <w:r>
              <w:rPr>
                <w:rFonts w:hint="eastAsia" w:ascii="宋体" w:hAnsi="宋体"/>
                <w:b/>
                <w:bCs/>
                <w:szCs w:val="21"/>
                <w:highlight w:val="none"/>
                <w:lang w:eastAsia="zh-CN" w:bidi="ar"/>
              </w:rPr>
              <w:t xml:space="preserve">（</w:t>
            </w:r>
            <w:r>
              <w:rPr>
                <w:rFonts w:hint="eastAsia" w:ascii="宋体" w:hAnsi="宋体"/>
                <w:b/>
                <w:bCs/>
                <w:szCs w:val="21"/>
                <w:highlight w:val="none"/>
                <w:lang w:val="en-US" w:eastAsia="zh-CN" w:bidi="ar"/>
              </w:rPr>
              <w:t xml:space="preserve">2）土壤学相关专业指土壤学、农业资源与环境、农业资源利用、土壤农化、植物营养学、水土保持与荒漠化防治、生态学、园艺学、作物栽培学与耕作学、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草学等</w:t>
            </w:r>
            <w:r>
              <w:rPr>
                <w:rFonts w:ascii="宋体" w:hAnsi="宋体" w:eastAsia="宋体" w:cs="Times New Roman"/>
                <w:b/>
                <w:bCs/>
                <w:szCs w:val="21"/>
                <w:lang w:val="en-US" w:eastAsia="zh-CN" w:bidi="ar"/>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cs="宋体"/>
                <w:szCs w:val="21"/>
              </w:rPr>
              <w:t xml:space="preserve">0</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cs="宋体"/>
                <w:szCs w:val="21"/>
              </w:rPr>
              <w:t xml:space="preserve">2</w:t>
            </w:r>
            <w:r>
              <w:rPr>
                <w:rFonts w:hint="eastAsia" w:ascii="宋体" w:hAnsi="宋体" w:cs="宋体"/>
                <w:szCs w:val="21"/>
                <w:lang w:val="en-US" w:eastAsia="zh-CN"/>
              </w:rPr>
              <w:t xml:space="preserve">5</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hint="eastAsia"/>
                <w:sz w:val="21"/>
                <w:szCs w:val="21"/>
                <w:highlight w:val="none"/>
                <w:lang w:val="zh-CN" w:eastAsia="zh-CN" w:bidi="ar-SA"/>
              </w:rPr>
              <w:framePr w:vAnchor="text" w:hAnchor="page" w:xAlign="center" w:y="394"/>
            </w:pPr>
            <w:r>
              <w:rPr>
                <w:rFonts w:hint="eastAsia" w:ascii="宋体" w:hAnsi="宋体" w:cs="宋体"/>
                <w:szCs w:val="21"/>
                <w:lang w:val="zh-CN"/>
              </w:rPr>
              <w:t xml:space="preserve">否</w:t>
            </w:r>
            <w:r>
              <w:rPr>
                <w:rFonts w:hint="eastAsia"/>
                <w:sz w:val="21"/>
                <w:szCs w:val="21"/>
                <w:highlight w:val="none"/>
                <w:lang w:val="zh-CN" w:eastAsia="zh-CN" w:bidi="ar-SA"/>
              </w:rPr>
            </w:r>
            <w:r/>
          </w:p>
        </w:tc>
        <w:tc>
          <w:tcPr>
            <w:tcW w:w="702" w:type="dxa"/>
            <w:vAlign w:val="center"/>
            <w:textDirection w:val="lrTb"/>
            <w:noWrap w:val="false"/>
          </w:tcPr>
          <w:p>
            <w:pPr>
              <w:pStyle w:val="1030"/>
              <w:jc w:val="center"/>
              <w:spacing w:line="360" w:lineRule="auto"/>
              <w:rPr>
                <w:rFonts w:hint="eastAsia"/>
                <w:sz w:val="21"/>
                <w:szCs w:val="21"/>
                <w:highlight w:val="none"/>
                <w:lang w:val="en-US" w:eastAsia="zh-CN" w:bidi="ar-SA"/>
              </w:rPr>
              <w:framePr w:vAnchor="text" w:hAnchor="page" w:xAlign="center" w:y="394"/>
            </w:pPr>
            <w:r>
              <w:rPr>
                <w:rFonts w:hint="eastAsia" w:ascii="宋体" w:hAnsi="宋体" w:cs="宋体"/>
                <w:szCs w:val="21"/>
              </w:rPr>
              <w:t xml:space="preserve">是</w:t>
            </w:r>
            <w:r>
              <w:rPr>
                <w:rFonts w:hint="eastAsia"/>
                <w:sz w:val="21"/>
                <w:szCs w:val="21"/>
                <w:highlight w:val="none"/>
                <w:lang w:val="en-US" w:eastAsia="zh-CN" w:bidi="ar-SA"/>
              </w:rPr>
            </w:r>
            <w:r/>
          </w:p>
        </w:tc>
      </w:tr>
      <w:tr>
        <w:trPr>
          <w:trHeight w:val="495"/>
        </w:trPr>
        <w:tc>
          <w:tcPr>
            <w:tcW w:w="835"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1126" w:type="dxa"/>
            <w:vAlign w:val="center"/>
            <w:textDirection w:val="lrTb"/>
            <w:noWrap w:val="false"/>
          </w:tcPr>
          <w:p>
            <w:pPr>
              <w:pStyle w:val="1030"/>
              <w:ind w:firstLine="28"/>
              <w:jc w:val="center"/>
              <w:rPr>
                <w:rFonts w:hint="eastAsia"/>
                <w:szCs w:val="21"/>
                <w:highlight w:val="none"/>
                <w:lang w:bidi="ar"/>
              </w:rPr>
              <w:framePr w:vAnchor="text" w:hAnchor="page" w:xAlign="center" w:y="394"/>
            </w:pPr>
            <w:r>
              <w:rPr>
                <w:rFonts w:hint="eastAsia"/>
                <w:szCs w:val="21"/>
                <w:highlight w:val="none"/>
                <w:lang w:bidi="ar"/>
              </w:rPr>
              <w:t xml:space="preserve">合计</w:t>
            </w:r>
            <w:r>
              <w:rPr>
                <w:rFonts w:hint="eastAsia"/>
                <w:szCs w:val="21"/>
                <w:highlight w:val="none"/>
                <w:lang w:bidi="ar"/>
              </w:rPr>
            </w:r>
            <w:r/>
          </w:p>
        </w:tc>
        <w:tc>
          <w:tcPr>
            <w:tcW w:w="700" w:type="dxa"/>
            <w:vAlign w:val="center"/>
            <w:textDirection w:val="lrTb"/>
            <w:noWrap w:val="false"/>
          </w:tcPr>
          <w:p>
            <w:pPr>
              <w:pStyle w:val="1030"/>
              <w:ind w:firstLine="28"/>
              <w:jc w:val="center"/>
              <w:rPr>
                <w:sz w:val="24"/>
                <w:highlight w:val="none"/>
              </w:rPr>
              <w:framePr w:vAnchor="text" w:hAnchor="page" w:xAlign="center" w:y="394"/>
            </w:pPr>
            <w:r>
              <w:rPr>
                <w:rFonts w:hint="eastAsia"/>
                <w:sz w:val="21"/>
                <w:szCs w:val="21"/>
                <w:highlight w:val="none"/>
              </w:rPr>
              <w:t xml:space="preserve">100</w:t>
            </w:r>
            <w:r>
              <w:rPr>
                <w:sz w:val="24"/>
                <w:highlight w:val="none"/>
              </w:rPr>
            </w:r>
            <w:r/>
          </w:p>
        </w:tc>
        <w:tc>
          <w:tcPr>
            <w:tcW w:w="4523" w:type="dxa"/>
            <w:vAlign w:val="center"/>
            <w:textDirection w:val="lrTb"/>
            <w:noWrap w:val="false"/>
          </w:tcPr>
          <w:p>
            <w:pPr>
              <w:pStyle w:val="1030"/>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hint="eastAsia" w:ascii="宋体" w:hAnsi="宋体"/>
          <w:szCs w:val="21"/>
          <w:highlight w:val="none"/>
          <w:lang w:val="en-US" w:eastAsia="zh-CN"/>
        </w:rPr>
        <w:t xml:space="preserve">投标</w:t>
      </w:r>
      <w:r>
        <w:rPr>
          <w:rFonts w:hint="eastAsia" w:ascii="宋体" w:hAnsi="宋体"/>
          <w:szCs w:val="21"/>
          <w:highlight w:val="none"/>
        </w:rPr>
        <w:t xml:space="preserve">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030"/>
        <w:ind w:firstLine="64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一、</w:t>
      </w:r>
      <w:r>
        <w:rPr>
          <w:rFonts w:hint="eastAsia" w:ascii="宋体" w:hAnsi="宋体" w:eastAsia="宋体" w:cs="宋体"/>
          <w:sz w:val="21"/>
          <w:szCs w:val="21"/>
          <w:lang w:val="en-US" w:eastAsia="zh-CN" w:bidi="ar-SA"/>
        </w:rPr>
        <w:t xml:space="preserve">采购标的</w:t>
      </w:r>
      <w:r>
        <w:rPr>
          <w:rFonts w:hint="eastAsia" w:ascii="宋体" w:hAnsi="宋体" w:eastAsia="宋体" w:cs="宋体"/>
          <w:sz w:val="21"/>
          <w:szCs w:val="21"/>
          <w:lang w:val="en-US" w:eastAsia="zh-CN" w:bidi="ar-SA"/>
        </w:rPr>
      </w:r>
      <w:r/>
    </w:p>
    <w:p>
      <w:pPr>
        <w:pStyle w:val="1030"/>
        <w:ind w:firstLine="64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1．项目名称：</w:t>
      </w:r>
      <w:r>
        <w:rPr>
          <w:rFonts w:hint="eastAsia" w:ascii="宋体" w:hAnsi="Times New Roman" w:eastAsia="宋体" w:cs="宋体"/>
          <w:bCs/>
          <w:szCs w:val="21"/>
          <w:lang w:eastAsia="zh-CN"/>
        </w:rPr>
        <w:t xml:space="preserve">2025年度占补平衡项目补充耕地质量验收工作</w:t>
      </w:r>
      <w:r>
        <w:rPr>
          <w:rFonts w:hint="eastAsia" w:ascii="宋体" w:hAnsi="宋体" w:eastAsia="宋体" w:cs="宋体"/>
          <w:szCs w:val="21"/>
          <w:lang w:eastAsia="zh-CN"/>
        </w:rPr>
      </w:r>
      <w:r/>
    </w:p>
    <w:p>
      <w:pPr>
        <w:pStyle w:val="1030"/>
        <w:ind w:firstLine="64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2．预算金额：</w:t>
      </w:r>
      <w:r>
        <w:rPr>
          <w:rFonts w:hint="eastAsia" w:ascii="宋体" w:hAnsi="宋体" w:eastAsia="宋体" w:cs="宋体"/>
          <w:szCs w:val="21"/>
          <w:lang w:val="en-US" w:eastAsia="zh-CN"/>
        </w:rPr>
        <w:t xml:space="preserve">109</w:t>
      </w:r>
      <w:r>
        <w:rPr>
          <w:rFonts w:hint="eastAsia" w:ascii="宋体" w:hAnsi="宋体" w:eastAsia="宋体" w:cs="宋体"/>
          <w:szCs w:val="21"/>
        </w:rPr>
        <w:t xml:space="preserve">万元</w:t>
      </w:r>
      <w:r>
        <w:rPr>
          <w:rFonts w:ascii="宋体" w:hAnsi="宋体" w:eastAsia="宋体" w:cs="宋体"/>
          <w:szCs w:val="21"/>
        </w:rPr>
      </w:r>
      <w:r/>
    </w:p>
    <w:p>
      <w:pPr>
        <w:pStyle w:val="1030"/>
        <w:ind w:firstLine="64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3．最高</w:t>
      </w:r>
      <w:r>
        <w:rPr>
          <w:rFonts w:hint="eastAsia" w:ascii="宋体" w:hAnsi="宋体" w:eastAsia="宋体" w:cs="宋体"/>
          <w:szCs w:val="21"/>
          <w:lang w:val="en-US" w:eastAsia="zh-CN"/>
        </w:rPr>
        <w:t xml:space="preserve">限价</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109</w:t>
      </w:r>
      <w:r>
        <w:rPr>
          <w:rFonts w:hint="eastAsia" w:ascii="宋体" w:hAnsi="宋体" w:eastAsia="宋体" w:cs="宋体"/>
          <w:szCs w:val="21"/>
        </w:rPr>
        <w:t xml:space="preserve">万元</w:t>
      </w:r>
      <w:r>
        <w:rPr>
          <w:rFonts w:hint="eastAsia" w:ascii="宋体" w:hAnsi="宋体" w:eastAsia="宋体" w:cs="宋体"/>
        </w:rPr>
        <w:t xml:space="preserve">。响应报价不得高于最高限价，否则作无效响应处理</w:t>
      </w:r>
      <w:r>
        <w:rPr>
          <w:rFonts w:hint="eastAsia" w:ascii="宋体" w:hAnsi="宋体" w:eastAsia="宋体" w:cs="宋体"/>
          <w:spacing w:val="2"/>
        </w:rPr>
        <w:t xml:space="preserve">。</w:t>
      </w:r>
      <w:r>
        <w:rPr>
          <w:rFonts w:hint="eastAsia" w:ascii="宋体" w:hAnsi="宋体" w:eastAsia="宋体" w:cs="宋体"/>
          <w:szCs w:val="21"/>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rPr>
        <w:t xml:space="preserve">4．采购项目概况：对金坛区2025年度占补平衡项目补充耕地开展质量验收相关工作，包括上一年度占用耕地质量核算、基础资料收集，土壤采样化验、实地踏勘、组织专家评审等有关工作</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共计35个项目，约3216亩</w:t>
      </w:r>
      <w:r>
        <w:rPr>
          <w:rFonts w:hint="eastAsia" w:ascii="宋体" w:hAnsi="宋体" w:eastAsia="宋体" w:cs="宋体"/>
          <w:szCs w:val="21"/>
        </w:rPr>
        <w:t xml:space="preserve">。</w:t>
      </w:r>
      <w:r>
        <w:rPr>
          <w:rFonts w:hint="eastAsia"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w:t>
      </w:r>
      <w:r>
        <w:rPr>
          <w:rFonts w:hint="eastAsia" w:ascii="宋体" w:hAnsi="宋体" w:eastAsia="宋体" w:cs="宋体"/>
          <w:szCs w:val="21"/>
          <w:highlight w:val="none"/>
          <w:lang w:eastAsia="zh-CN"/>
        </w:rPr>
        <w:t xml:space="preserve">2026年11月30日前完成</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6．是/否接受联合体投标：</w:t>
      </w:r>
      <w:r>
        <w:rPr>
          <w:rFonts w:hint="eastAsia" w:ascii="宋体" w:hAnsi="宋体" w:eastAsia="宋体" w:cs="宋体"/>
          <w:szCs w:val="21"/>
          <w:highlight w:val="none"/>
          <w:lang w:val="en-US" w:eastAsia="zh-CN"/>
        </w:rPr>
        <w:t xml:space="preserve">否</w:t>
      </w:r>
      <w:r>
        <w:rPr>
          <w:rFonts w:hint="eastAsia" w:ascii="宋体" w:hAnsi="宋体" w:eastAsia="宋体" w:cs="宋体"/>
          <w:szCs w:val="21"/>
          <w:highlight w:val="none"/>
          <w:lang w:eastAsia="zh-CN"/>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7．是/否接受分支机构参与响应：否</w:t>
      </w:r>
      <w:r>
        <w:rPr>
          <w:rFonts w:hint="eastAsia"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8．是/否属于政府购买服务：是</w:t>
      </w:r>
      <w:r>
        <w:rPr>
          <w:rFonts w:hint="eastAsia"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9．是/否接受进口产品投标：否</w:t>
      </w:r>
      <w:r>
        <w:rPr>
          <w:rFonts w:hint="eastAsia"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10．是/否专门面向中小企业预留采购份额：</w:t>
      </w:r>
      <w:r>
        <w:rPr>
          <w:rFonts w:hint="eastAsia" w:ascii="宋体" w:hAnsi="宋体" w:eastAsia="宋体" w:cs="宋体"/>
          <w:szCs w:val="21"/>
          <w:highlight w:val="none"/>
          <w:lang w:val="en-US" w:eastAsia="zh-CN"/>
        </w:rPr>
        <w:t xml:space="preserve">是</w:t>
      </w:r>
      <w:r>
        <w:rPr>
          <w:rFonts w:hint="eastAsia" w:ascii="宋体" w:hAnsi="宋体" w:eastAsia="宋体" w:cs="宋体"/>
          <w:szCs w:val="21"/>
          <w:highlight w:val="none"/>
          <w:lang w:eastAsia="zh-CN"/>
        </w:rPr>
      </w:r>
      <w:r/>
    </w:p>
    <w:p>
      <w:pPr>
        <w:pStyle w:val="1030"/>
        <w:ind w:firstLine="640"/>
        <w:keepLines w:val="0"/>
        <w:keepNext w:val="0"/>
        <w:pageBreakBefore w:val="0"/>
        <w:spacing w:line="360" w:lineRule="auto"/>
        <w:rPr>
          <w:rFonts w:hint="eastAsia" w:ascii="Times New Roman" w:hAnsi="Times New Roman" w:eastAsia="宋体" w:cs="Times New Roman"/>
          <w:highlight w:val="none"/>
        </w:rPr>
      </w:pPr>
      <w:r>
        <w:rPr>
          <w:rFonts w:hint="eastAsia" w:ascii="宋体" w:hAnsi="宋体" w:eastAsia="宋体" w:cs="宋体"/>
          <w:szCs w:val="21"/>
          <w:highlight w:val="none"/>
        </w:rPr>
        <w:t xml:space="preserve">11．本项目的特定资格要求：</w:t>
      </w:r>
      <w:r>
        <w:rPr>
          <w:rFonts w:hint="eastAsia" w:ascii="宋体" w:hAnsi="宋体" w:eastAsia="宋体" w:cs="Times New Roman"/>
          <w:szCs w:val="21"/>
          <w:highlight w:val="none"/>
          <w:lang w:val="en-US" w:eastAsia="zh-CN"/>
        </w:rPr>
        <w:t xml:space="preserve">无</w:t>
      </w:r>
      <w:r>
        <w:rPr>
          <w:rFonts w:hint="eastAsia" w:ascii="宋体" w:hAnsi="宋体" w:eastAsia="宋体" w:cs="Times New Roman"/>
          <w:szCs w:val="21"/>
          <w:highlight w:val="none"/>
        </w:rPr>
        <w:t xml:space="preserve">。</w:t>
      </w:r>
      <w:r>
        <w:rPr>
          <w:rFonts w:hint="eastAsia" w:ascii="Times New Roman" w:hAnsi="Times New Roman" w:eastAsia="宋体" w:cs="Times New Roman"/>
          <w:highlight w:val="none"/>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12．项目类别：服务类</w:t>
      </w:r>
      <w:r>
        <w:rPr>
          <w:rFonts w:hint="eastAsia" w:ascii="宋体" w:hAnsi="宋体" w:eastAsia="宋体" w:cs="宋体"/>
          <w:szCs w:val="21"/>
          <w:highlight w:val="none"/>
        </w:rPr>
      </w:r>
      <w:r/>
    </w:p>
    <w:p>
      <w:pPr>
        <w:pStyle w:val="1030"/>
        <w:ind w:firstLine="64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二、商务要求</w:t>
      </w:r>
      <w:r>
        <w:rPr>
          <w:rFonts w:hint="eastAsia" w:ascii="宋体" w:hAnsi="宋体" w:eastAsia="宋体" w:cs="宋体"/>
          <w:sz w:val="21"/>
          <w:szCs w:val="21"/>
          <w:highlight w:val="none"/>
          <w:lang w:val="en-US" w:eastAsia="zh-CN" w:bidi="ar-SA"/>
        </w:rPr>
      </w:r>
      <w:r/>
    </w:p>
    <w:p>
      <w:pPr>
        <w:pStyle w:val="1030"/>
        <w:ind w:firstLine="640"/>
        <w:keepLines w:val="0"/>
        <w:keepNext w:val="0"/>
        <w:pageBreakBefore w:val="0"/>
        <w:spacing w:line="360" w:lineRule="auto"/>
        <w:rPr>
          <w:rFonts w:hint="eastAsia" w:ascii="宋体" w:hAnsi="宋体" w:eastAsia="宋体" w:cs="宋体"/>
          <w:i/>
          <w:szCs w:val="21"/>
          <w:highlight w:val="none"/>
        </w:rPr>
      </w:pPr>
      <w:r>
        <w:rPr>
          <w:rFonts w:hint="eastAsia" w:ascii="宋体" w:hAnsi="宋体" w:eastAsia="宋体" w:cs="宋体"/>
          <w:szCs w:val="21"/>
          <w:highlight w:val="none"/>
        </w:rPr>
        <w:t xml:space="preserve">1．实施期限和范围：</w:t>
      </w:r>
      <w:r>
        <w:rPr>
          <w:rFonts w:hint="eastAsia" w:ascii="宋体" w:hAnsi="宋体" w:eastAsia="宋体" w:cs="宋体"/>
          <w:szCs w:val="21"/>
          <w:highlight w:val="none"/>
          <w:lang w:eastAsia="zh-CN"/>
        </w:rPr>
        <w:t xml:space="preserve">2026年11月30日前完成</w:t>
      </w:r>
      <w:r>
        <w:rPr>
          <w:rFonts w:hint="eastAsia" w:ascii="宋体" w:hAnsi="宋体" w:eastAsia="宋体" w:cs="宋体"/>
          <w:szCs w:val="21"/>
          <w:highlight w:val="none"/>
        </w:rPr>
        <w:t xml:space="preserve">，常州市金坛区。</w:t>
      </w:r>
      <w:r>
        <w:rPr>
          <w:rFonts w:hint="eastAsia" w:ascii="宋体" w:hAnsi="宋体" w:eastAsia="宋体" w:cs="宋体"/>
          <w:i/>
          <w:szCs w:val="21"/>
          <w:highlight w:val="none"/>
        </w:rPr>
      </w:r>
      <w:r/>
    </w:p>
    <w:p>
      <w:pPr>
        <w:pStyle w:val="1030"/>
        <w:ind w:firstLine="64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2．付款方式：</w:t>
      </w:r>
      <w:r>
        <w:rPr>
          <w:rFonts w:hint="eastAsia" w:ascii="宋体" w:hAnsi="宋体" w:eastAsia="宋体" w:cs="宋体"/>
          <w:szCs w:val="21"/>
          <w:highlight w:val="none"/>
          <w:lang w:val="en-US" w:eastAsia="zh-CN"/>
        </w:rPr>
        <w:t xml:space="preserve">项目结束并经验收合格后一次性付清。供应商</w:t>
      </w:r>
      <w:r>
        <w:rPr>
          <w:rFonts w:hint="eastAsia" w:ascii="宋体" w:hAnsi="宋体" w:eastAsia="宋体" w:cs="宋体"/>
          <w:szCs w:val="21"/>
          <w:highlight w:val="none"/>
          <w:lang w:eastAsia="zh-CN"/>
        </w:rPr>
        <w:t xml:space="preserve">应在</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lang w:eastAsia="zh-CN"/>
        </w:rPr>
        <w:t xml:space="preserve">付款前开具同等金额的、符合国家规定的</w:t>
      </w:r>
      <w:r>
        <w:rPr>
          <w:rFonts w:hint="eastAsia" w:ascii="宋体" w:hAnsi="宋体" w:eastAsia="宋体" w:cs="宋体"/>
          <w:szCs w:val="21"/>
          <w:highlight w:val="none"/>
          <w:lang w:val="en-US" w:eastAsia="zh-CN"/>
        </w:rPr>
        <w:t xml:space="preserve">正式</w:t>
      </w:r>
      <w:r>
        <w:rPr>
          <w:rFonts w:hint="eastAsia" w:ascii="宋体" w:hAnsi="宋体" w:eastAsia="宋体" w:cs="宋体"/>
          <w:szCs w:val="21"/>
          <w:highlight w:val="none"/>
          <w:lang w:eastAsia="zh-CN"/>
        </w:rPr>
        <w:t xml:space="preserve">发票。</w:t>
      </w:r>
      <w:r>
        <w:rPr>
          <w:rFonts w:ascii="宋体" w:hAnsi="宋体" w:eastAsia="宋体" w:cs="宋体"/>
          <w:szCs w:val="21"/>
          <w:highlight w:val="none"/>
        </w:rPr>
      </w:r>
      <w:r/>
    </w:p>
    <w:p>
      <w:pPr>
        <w:pStyle w:val="1030"/>
        <w:ind w:firstLine="640"/>
        <w:keepLines w:val="0"/>
        <w:keepNext w:val="0"/>
        <w:pageBreakBefore w:val="0"/>
        <w:spacing w:line="360" w:lineRule="auto"/>
        <w:rPr>
          <w:rFonts w:hint="eastAsia" w:ascii="宋体" w:hAnsi="宋体" w:eastAsia="宋体" w:cs="宋体"/>
          <w:spacing w:val="-4"/>
          <w:szCs w:val="21"/>
          <w:highlight w:val="none"/>
        </w:rPr>
      </w:pPr>
      <w:r>
        <w:rPr>
          <w:rFonts w:hint="eastAsia" w:ascii="宋体" w:hAnsi="宋体" w:eastAsia="宋体" w:cs="宋体"/>
          <w:szCs w:val="21"/>
          <w:highlight w:val="none"/>
        </w:rPr>
        <w:t xml:space="preserve">3．包装和运输：</w:t>
      </w:r>
      <w:r>
        <w:rPr>
          <w:rFonts w:hint="eastAsia" w:ascii="宋体" w:hAnsi="宋体" w:eastAsia="宋体" w:cs="宋体"/>
          <w:spacing w:val="-4"/>
          <w:szCs w:val="21"/>
          <w:highlight w:val="none"/>
        </w:rPr>
        <w:t xml:space="preserve">无</w:t>
      </w:r>
      <w:r>
        <w:rPr>
          <w:rFonts w:hint="eastAsia" w:ascii="宋体" w:hAnsi="宋体" w:eastAsia="宋体" w:cs="宋体"/>
          <w:spacing w:val="-4"/>
          <w:szCs w:val="21"/>
          <w:highlight w:val="none"/>
        </w:rPr>
      </w:r>
      <w:r/>
    </w:p>
    <w:p>
      <w:pPr>
        <w:pStyle w:val="1030"/>
        <w:ind w:firstLine="64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highlight w:val="none"/>
        </w:rPr>
        <w:t xml:space="preserve">4．售后服务（质保期等</w:t>
      </w:r>
      <w:r>
        <w:rPr>
          <w:rFonts w:hint="eastAsia" w:ascii="宋体" w:hAnsi="宋体" w:eastAsia="宋体" w:cs="宋体"/>
          <w:szCs w:val="21"/>
        </w:rPr>
        <w:t xml:space="preserve">）：无</w:t>
      </w:r>
      <w:r>
        <w:rPr>
          <w:rFonts w:hint="eastAsia" w:ascii="宋体" w:hAnsi="宋体" w:eastAsia="宋体" w:cs="宋体"/>
          <w:szCs w:val="21"/>
        </w:rPr>
      </w:r>
      <w:r/>
    </w:p>
    <w:p>
      <w:pPr>
        <w:pStyle w:val="1030"/>
        <w:ind w:firstLine="640"/>
        <w:keepLines w:val="0"/>
        <w:keepNext w:val="0"/>
        <w:pageBreakBefore w:val="0"/>
        <w:spacing w:line="360" w:lineRule="auto"/>
        <w:rPr>
          <w:rFonts w:hint="eastAsia" w:ascii="宋体" w:hAnsi="宋体" w:eastAsia="宋体" w:cs="宋体"/>
          <w:i/>
          <w:szCs w:val="21"/>
        </w:rPr>
      </w:pPr>
      <w:r>
        <w:rPr>
          <w:rFonts w:hint="eastAsia" w:ascii="宋体" w:hAnsi="宋体" w:eastAsia="宋体" w:cs="宋体"/>
          <w:szCs w:val="21"/>
        </w:rPr>
        <w:t xml:space="preserve">5．保险：无</w:t>
      </w:r>
      <w:r>
        <w:rPr>
          <w:rFonts w:hint="eastAsia" w:ascii="宋体" w:hAnsi="宋体" w:eastAsia="宋体" w:cs="宋体"/>
          <w:i/>
          <w:szCs w:val="21"/>
        </w:rPr>
      </w:r>
      <w:r/>
    </w:p>
    <w:p>
      <w:pPr>
        <w:pStyle w:val="1030"/>
        <w:ind w:firstLine="64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三、技术要求</w:t>
      </w:r>
      <w:r>
        <w:rPr>
          <w:rFonts w:hint="eastAsia" w:ascii="宋体" w:hAnsi="宋体" w:eastAsia="宋体" w:cs="宋体"/>
          <w:sz w:val="21"/>
          <w:szCs w:val="21"/>
          <w:lang w:val="en-US" w:eastAsia="zh-CN" w:bidi="ar-SA"/>
        </w:rPr>
      </w:r>
      <w:r/>
    </w:p>
    <w:p>
      <w:pPr>
        <w:pStyle w:val="1030"/>
        <w:ind w:firstLine="6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rPr>
        <w:t xml:space="preserve">1.</w:t>
      </w:r>
      <w:r>
        <w:rPr>
          <w:rFonts w:hint="eastAsia" w:ascii="宋体" w:hAnsi="宋体" w:eastAsia="宋体" w:cs="宋体"/>
          <w:szCs w:val="21"/>
          <w:highlight w:val="none"/>
        </w:rPr>
        <w:t xml:space="preserve">服务内容：</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根据《江苏省补充耕地质量验收实施细则（试行）》和《江苏省补充耕地质量鉴定技术规程（试行）》</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要求开展补充耕地质量鉴定工作，包括但不限于以下工作：</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资料收集与审核：整理全套申请</w:t>
      </w:r>
      <w:r>
        <w:rPr>
          <w:rFonts w:hint="eastAsia" w:ascii="宋体" w:hAnsi="宋体" w:eastAsia="宋体" w:cs="宋体"/>
          <w:szCs w:val="21"/>
          <w:highlight w:val="none"/>
          <w:lang w:val="en-US" w:eastAsia="zh-CN"/>
        </w:rPr>
        <w:t xml:space="preserve">鉴定</w:t>
      </w:r>
      <w:r>
        <w:rPr>
          <w:rFonts w:hint="eastAsia" w:ascii="宋体" w:hAnsi="宋体" w:eastAsia="宋体" w:cs="宋体"/>
          <w:szCs w:val="21"/>
          <w:highlight w:val="none"/>
        </w:rPr>
        <w:t xml:space="preserve">资料、审核资料的合规性和完整性、根据省级相关要求开展系统数据填报录入工作、形成一套完整的验收资料等；</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评价单元划分：评价单元的划定原则：要具备科学性、代表性。应遵循地形部位、土壤类型、补充耕地来源、农田基础设施、土地利用方式、行政区划等因素相对一致的原则，并考虑集中连片程度等因素。其中，补充耕地来源分为恢复、垦造；土地利用方式按《国土空间调查、规划、用途管制用地用海分类指南》分为水田、旱地、水浇地。</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踏勘布点：每个评价单元原则上布设不少于3个点位，当评价单元内有多个图斑时，每个图斑均应布设不少于1个点位。单个图斑面积大于200亩的，每200亩加密布设不少于1个点位，200亩内地形条件变化较大的，加密布设不少于2个点位。按照网格法将评价单元划分为不少于布点数量的均匀网格，在网格节点或中心点布设点位，使各点位在评价单元内均匀分布。布设点位应避免布设在沟渠、田坎和道路等位置。在遵循上述布点方法时，实地踏勘中如明确发现评价单元内踏勘点位以外的区域存在问题，应针对问题区域进行调查，并记录。</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现场踏勘：每个踏勘小组</w:t>
      </w:r>
      <w:r>
        <w:rPr>
          <w:rFonts w:hint="eastAsia" w:ascii="宋体" w:hAnsi="宋体" w:eastAsia="宋体" w:cs="宋体"/>
          <w:szCs w:val="21"/>
          <w:highlight w:val="none"/>
          <w:lang w:val="en-US" w:eastAsia="zh-CN"/>
        </w:rPr>
        <w:t xml:space="preserve">应</w:t>
      </w:r>
      <w:r>
        <w:rPr>
          <w:rFonts w:hint="eastAsia" w:ascii="宋体" w:hAnsi="宋体" w:eastAsia="宋体" w:cs="宋体"/>
          <w:szCs w:val="21"/>
          <w:highlight w:val="none"/>
        </w:rPr>
        <w:t xml:space="preserve">由踏勘专家、现场调查人员、</w:t>
      </w:r>
      <w:r>
        <w:rPr>
          <w:rFonts w:hint="eastAsia" w:ascii="宋体" w:hAnsi="宋体" w:eastAsia="宋体" w:cs="宋体"/>
          <w:szCs w:val="21"/>
          <w:highlight w:val="none"/>
          <w:lang w:val="en-US" w:eastAsia="zh-CN"/>
        </w:rPr>
        <w:t xml:space="preserve">建设单位和</w:t>
      </w:r>
      <w:r>
        <w:rPr>
          <w:rFonts w:hint="eastAsia" w:ascii="宋体" w:hAnsi="宋体" w:eastAsia="宋体" w:cs="宋体"/>
          <w:szCs w:val="21"/>
          <w:highlight w:val="none"/>
        </w:rPr>
        <w:t xml:space="preserve">司机组成，</w:t>
      </w:r>
      <w:r>
        <w:rPr>
          <w:rFonts w:hint="eastAsia" w:ascii="宋体" w:hAnsi="宋体" w:eastAsia="宋体" w:cs="宋体"/>
          <w:szCs w:val="21"/>
          <w:highlight w:val="none"/>
          <w:lang w:val="en-US" w:eastAsia="zh-CN"/>
        </w:rPr>
        <w:t xml:space="preserve">中标</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提供车辆；实地踏勘应覆盖所有图斑。踏勘内容主要包括农业生产符合性评价指标和耕地质量等级评价指标，并做好实地踏勘记录。</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土样采集：依照省级文件要求开展采样工作。一般表层土壤混合样品采集，在评价单元踏勘布点的每个点位上，采取挖掘法或土钻法采集等量土壤分样点样品，采样深度为0～20cm。采集过程中应去除地表秸秆与砾石等。将单个评价单元内所有点位采集的土壤分样点样品堆放于聚乙烯塑料布上面，去除明显根系后，充分混匀，然后采取“四分法”去除多余样品，留取以风干重计不少于1kg（建议留取鲜样1.5kg）的土壤混合样品。涉及土壤污染状况指标测定的表层土壤混合样品，根据省级文件要求进行采集。</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土壤样品检测：农业生产符合性评价踏勘指标合格后，再开展土壤检测工作。检测时，优先开展农业生产符合性评价指标检测。农业生产符合性评价指标检测结果不合格的，不再开展其他指标检测。</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（一）土壤样品检测项目按照以下原则确定：</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rPr>
        <w:t xml:space="preserve">必测项目为pH、容重、有机质、全氮、有效磷、速效钾、土壤质地相关的机械组成；</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对可能受污染的地块针对污染因子选择检测相关项目；</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（二）检测机构相关要求：</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rPr>
        <w:t xml:space="preserve">同一检测机构不得参与不同层级</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江苏省和常州市</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的同一地块补充耕地质量鉴定检测任务。</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检测机构应根据相关管理办法、标准等制定补充耕地质量鉴定样品检测质量控制方案，主动配合农业农村主管部门开展的质控与检查，并对质控与检查中发现的问题及时进行整改。</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rPr>
        <w:t xml:space="preserve">留存样品至少保存1年，保存期满后，应移交农业农村主管部门处理或由农业农村主管部门授权处理。</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rPr>
        <w:t xml:space="preserve">所有样品制备过程均应于监控设备下进行，监控视频保存不少于一年。</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照片采集要求：实地踏勘和土壤样品采集均应采集举证照片。举证照片应有经纬度坐标、海拔高度、拍摄时间等水印信息，举证照片与记录表填写的信息应保持一致。</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rPr>
        <w:t xml:space="preserve">景观照片采集</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在每个踏勘点附近拍摄景观照片。景观照片应着重体现样点地形地貌、植被景观、土地利用现状、地表特征、水资源保障条件、排水条件、道路通行条件等特征。其中，对存在可能影响符合性评价结论的问题特征应予重点采集。</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采样照片采集</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应拍摄现场工作照、剖面照或土钻断面照、土壤混合样品采集照、四分法工作照、土壤容重样品采集照、样品封存照等。</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开展耕地质量鉴定评价：</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rPr>
        <w:t xml:space="preserve">开展农业生产符合性评价：评价指标包括但不限于地形坡度、田面平整度、土壤侵入体及砾石含量、有效土层厚度、道路通行条件、水资源保障条件、排水能力、土壤有机质含量、土壤污染状况等。农业生产符合性评价指标中有一项不达标的，评价结果即为不合格。农业生产符合性评价不合格的，不开展耕地质量等级评价。</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rPr>
        <w:t xml:space="preserve">耕地质量等级评价：按照《第三次全国土壤普查耕地质量等级评价技术规范》开展耕地质量等级评价，江苏省耕地质量等级评价指标共12个：分别是有机质、排水能力、水资源条件、地形部位、耕层质地、速效钾、有效磷、土壤容重、质地构型、酸碱度、耕层厚度、有效土层厚度。</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评定会议：组织不少于5名省市级专家开展县级验收，出具县级补充耕地质量鉴定意见包括但不限于补充耕地基本信息、鉴定组织实施情况、鉴定主要环节分析说明、初步鉴定结论、异议及特殊情况说明、建议以及必要的附件等。</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10）配合省市级耕地质量鉴定工作</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如中标供应商鉴定的项目通过县级验收，但在省市级验收抽检中不合格的，由中标供应商承担后续再鉴定费用</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0"/>
        <w:ind w:firstLine="63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项目开展期间</w:t>
      </w:r>
      <w:r>
        <w:rPr>
          <w:rFonts w:hint="eastAsia" w:ascii="宋体" w:hAnsi="宋体" w:eastAsia="宋体" w:cs="宋体"/>
          <w:szCs w:val="21"/>
          <w:highlight w:val="none"/>
          <w:lang w:val="en-US" w:eastAsia="zh-CN"/>
        </w:rPr>
        <w:t xml:space="preserve">中标供应商</w:t>
      </w:r>
      <w:r>
        <w:rPr>
          <w:rFonts w:hint="eastAsia" w:ascii="宋体" w:hAnsi="宋体" w:eastAsia="宋体" w:cs="宋体"/>
          <w:szCs w:val="21"/>
          <w:highlight w:val="none"/>
        </w:rPr>
        <w:t xml:space="preserve">需派驻包含1名项目负责人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1名技术负责人</w:t>
      </w:r>
      <w:r>
        <w:rPr>
          <w:rFonts w:hint="eastAsia" w:ascii="宋体" w:hAnsi="宋体" w:eastAsia="宋体" w:cs="宋体"/>
          <w:szCs w:val="21"/>
          <w:highlight w:val="none"/>
        </w:rPr>
        <w:t xml:space="preserve">在内的不少于</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人以上项目小组在</w:t>
      </w:r>
      <w:r>
        <w:rPr>
          <w:rFonts w:hint="eastAsia" w:ascii="宋体" w:hAnsi="宋体" w:eastAsia="宋体" w:cs="宋体"/>
          <w:szCs w:val="21"/>
          <w:highlight w:val="none"/>
          <w:lang w:val="en-US" w:eastAsia="zh-CN"/>
        </w:rPr>
        <w:t xml:space="preserve">金坛区</w:t>
      </w:r>
      <w:r>
        <w:rPr>
          <w:rFonts w:hint="eastAsia" w:ascii="宋体" w:hAnsi="宋体" w:eastAsia="宋体" w:cs="宋体"/>
          <w:szCs w:val="21"/>
          <w:highlight w:val="none"/>
        </w:rPr>
        <w:t xml:space="preserve">办公。</w:t>
      </w:r>
      <w:r>
        <w:rPr>
          <w:rFonts w:hint="eastAsia" w:ascii="宋体" w:hAnsi="宋体" w:eastAsia="宋体" w:cs="宋体"/>
          <w:szCs w:val="21"/>
          <w:highlight w:val="none"/>
        </w:rPr>
      </w:r>
      <w:r/>
    </w:p>
    <w:p>
      <w:pPr>
        <w:pStyle w:val="1030"/>
        <w:ind w:left="630" w:firstLine="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如有最新省级补充耕地质量评定技术要求，最终服务内容可依据最新要求进行调整。</w:t>
      </w:r>
      <w:r>
        <w:rPr>
          <w:rFonts w:hint="eastAsia" w:ascii="宋体" w:hAnsi="宋体" w:eastAsia="宋体" w:cs="宋体"/>
          <w:szCs w:val="21"/>
          <w:highlight w:val="none"/>
        </w:rPr>
      </w:r>
      <w:r/>
    </w:p>
    <w:p>
      <w:pPr>
        <w:pStyle w:val="1030"/>
        <w:ind w:left="630" w:firstLine="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．采购标的对应的中小企业划分标准所属行业一览表</w:t>
      </w:r>
      <w:r>
        <w:rPr>
          <w:rFonts w:hint="eastAsia" w:ascii="宋体" w:hAnsi="宋体" w:eastAsia="宋体" w:cs="宋体"/>
          <w:szCs w:val="21"/>
          <w:highlight w:val="none"/>
        </w:rPr>
      </w:r>
      <w:r/>
    </w:p>
    <w:tbl>
      <w:tblPr>
        <w:tblW w:w="91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4890"/>
        <w:gridCol w:w="3431"/>
      </w:tblGrid>
      <w:tr>
        <w:trPr>
          <w:cantSplit/>
          <w:trHeight w:val="611"/>
        </w:trPr>
        <w:tc>
          <w:tcPr>
            <w:tcW w:w="818"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4890"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采购标的</w:t>
            </w:r>
            <w:r>
              <w:rPr>
                <w:rFonts w:hint="eastAsia" w:ascii="宋体" w:hAnsi="宋体" w:eastAsia="宋体" w:cs="宋体"/>
                <w:szCs w:val="21"/>
                <w:highlight w:val="none"/>
              </w:rPr>
            </w:r>
            <w:r/>
          </w:p>
        </w:tc>
        <w:tc>
          <w:tcPr>
            <w:tcW w:w="3431"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对应中小企业划分标准所属行业</w:t>
            </w:r>
            <w:r>
              <w:rPr>
                <w:rFonts w:hint="eastAsia" w:ascii="宋体" w:hAnsi="宋体" w:eastAsia="宋体" w:cs="宋体"/>
                <w:szCs w:val="21"/>
                <w:highlight w:val="none"/>
              </w:rPr>
            </w:r>
            <w:r/>
          </w:p>
        </w:tc>
      </w:tr>
      <w:tr>
        <w:trPr>
          <w:cantSplit/>
          <w:trHeight w:val="642"/>
        </w:trPr>
        <w:tc>
          <w:tcPr>
            <w:tcW w:w="818"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4890"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Times New Roman"/>
                <w:szCs w:val="21"/>
                <w:highlight w:val="none"/>
                <w:lang w:eastAsia="zh-CN"/>
              </w:rPr>
              <w:t xml:space="preserve">2025年度占补平衡项目补充耕地质量验收工作</w:t>
            </w:r>
            <w:r>
              <w:rPr>
                <w:rFonts w:hint="eastAsia" w:ascii="宋体" w:hAnsi="宋体" w:eastAsia="宋体" w:cs="宋体"/>
                <w:szCs w:val="21"/>
                <w:highlight w:val="none"/>
                <w:lang w:eastAsia="zh-CN"/>
              </w:rPr>
            </w:r>
            <w:r/>
          </w:p>
        </w:tc>
        <w:tc>
          <w:tcPr>
            <w:tcW w:w="3431"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其他未列明行业</w:t>
            </w:r>
            <w:r>
              <w:rPr>
                <w:rFonts w:hint="eastAsia" w:ascii="宋体" w:hAnsi="宋体" w:eastAsia="宋体" w:cs="宋体"/>
                <w:szCs w:val="21"/>
                <w:highlight w:val="none"/>
              </w:rPr>
            </w:r>
            <w:r/>
          </w:p>
        </w:tc>
      </w:tr>
    </w:tbl>
    <w:p>
      <w:pPr>
        <w:pStyle w:val="1030"/>
        <w:ind w:firstLine="630"/>
        <w:jc w:val="both"/>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bCs/>
          <w:sz w:val="21"/>
          <w:szCs w:val="21"/>
          <w:highlight w:val="none"/>
          <w:lang w:val="en-US" w:eastAsia="zh-CN" w:bidi="ar-SA"/>
        </w:rPr>
        <w:t xml:space="preserve">服务类产品清单</w:t>
      </w:r>
      <w:r>
        <w:rPr>
          <w:rFonts w:hint="eastAsia" w:ascii="宋体" w:hAnsi="宋体" w:eastAsia="宋体" w:cs="宋体"/>
          <w:bCs/>
          <w:sz w:val="21"/>
          <w:szCs w:val="21"/>
          <w:highlight w:val="none"/>
          <w:lang w:val="en-US" w:eastAsia="zh-CN" w:bidi="ar-SA"/>
        </w:rPr>
      </w:r>
      <w:r/>
    </w:p>
    <w:tbl>
      <w:tblPr>
        <w:tblW w:w="9343"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15"/>
        <w:gridCol w:w="4455"/>
        <w:gridCol w:w="1009"/>
        <w:gridCol w:w="909"/>
      </w:tblGrid>
      <w:tr>
        <w:trPr>
          <w:cantSplit/>
          <w:trHeight w:val="832"/>
        </w:trPr>
        <w:tc>
          <w:tcPr>
            <w:tcW w:w="85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11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服务名称</w:t>
            </w:r>
            <w:r>
              <w:rPr>
                <w:rFonts w:hint="eastAsia" w:ascii="宋体" w:hAnsi="宋体" w:eastAsia="宋体" w:cs="宋体"/>
                <w:color w:val="000000"/>
                <w:sz w:val="21"/>
                <w:szCs w:val="21"/>
                <w:highlight w:val="none"/>
                <w:lang w:val="en-US" w:eastAsia="zh-CN" w:bidi="ar-SA"/>
              </w:rPr>
            </w:r>
            <w:r/>
          </w:p>
        </w:tc>
        <w:tc>
          <w:tcPr>
            <w:tcW w:w="445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服务内容</w:t>
            </w:r>
            <w:r>
              <w:rPr>
                <w:rFonts w:hint="eastAsia" w:ascii="宋体" w:hAnsi="宋体" w:eastAsia="宋体" w:cs="宋体"/>
                <w:color w:val="000000"/>
                <w:sz w:val="21"/>
                <w:szCs w:val="21"/>
                <w:highlight w:val="none"/>
                <w:lang w:val="en-US" w:eastAsia="zh-CN" w:bidi="ar-SA"/>
              </w:rPr>
            </w:r>
            <w:r/>
          </w:p>
        </w:tc>
        <w:tc>
          <w:tcPr>
            <w:tcW w:w="10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9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r>
      <w:tr>
        <w:trPr>
          <w:cantSplit/>
          <w:trHeight w:val="2248"/>
        </w:trPr>
        <w:tc>
          <w:tcPr>
            <w:tcW w:w="85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rPr>
            </w:r>
            <w:r/>
          </w:p>
        </w:tc>
        <w:tc>
          <w:tcPr>
            <w:tcW w:w="2115" w:type="dxa"/>
            <w:vAlign w:val="center"/>
            <w:textDirection w:val="lrTb"/>
            <w:noWrap w:val="false"/>
          </w:tcPr>
          <w:p>
            <w:pPr>
              <w:pStyle w:val="103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Times New Roman"/>
                <w:szCs w:val="21"/>
                <w:highlight w:val="none"/>
                <w:lang w:eastAsia="zh-CN"/>
              </w:rPr>
              <w:t xml:space="preserve">2025年度占补平衡项目补充耕地质量验收工作</w:t>
            </w:r>
            <w:r>
              <w:rPr>
                <w:rFonts w:hint="eastAsia" w:ascii="宋体" w:hAnsi="宋体" w:eastAsia="宋体" w:cs="宋体"/>
                <w:color w:val="000000"/>
                <w:szCs w:val="21"/>
                <w:highlight w:val="none"/>
              </w:rPr>
            </w:r>
            <w:r/>
          </w:p>
        </w:tc>
        <w:tc>
          <w:tcPr>
            <w:tcW w:w="4455" w:type="dxa"/>
            <w:vAlign w:val="center"/>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对金坛区2025年度占补平衡项目补充耕地开展质量验收相关工作，包括上一年度占用耕地质量核算、基础资料收集，土壤采样化验、实地踏勘、组织专家评审等有关工作</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共计35个项目，约3216亩</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009" w:type="dxa"/>
            <w:vAlign w:val="center"/>
            <w:textDirection w:val="lrTb"/>
            <w:noWrap w:val="false"/>
          </w:tcPr>
          <w:p>
            <w:pPr>
              <w:pStyle w:val="1030"/>
              <w:jc w:val="center"/>
              <w:keepLines w:val="0"/>
              <w:keepNext w:val="0"/>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Arial"/>
                <w:szCs w:val="21"/>
                <w:highlight w:val="none"/>
                <w:lang w:val="en-US" w:eastAsia="zh-CN"/>
              </w:rPr>
              <w:t xml:space="preserve">项</w:t>
            </w:r>
            <w:r>
              <w:rPr>
                <w:rFonts w:hint="eastAsia" w:ascii="宋体" w:hAnsi="宋体" w:eastAsia="宋体" w:cs="宋体"/>
                <w:color w:val="000000"/>
                <w:szCs w:val="21"/>
                <w:highlight w:val="none"/>
                <w:lang w:eastAsia="zh-CN"/>
              </w:rPr>
            </w:r>
            <w:r/>
          </w:p>
        </w:tc>
        <w:tc>
          <w:tcPr>
            <w:tcW w:w="909" w:type="dxa"/>
            <w:vAlign w:val="center"/>
            <w:textDirection w:val="lrTb"/>
            <w:noWrap w:val="false"/>
          </w:tcPr>
          <w:p>
            <w:pPr>
              <w:pStyle w:val="1030"/>
              <w:jc w:val="center"/>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Arial"/>
                <w:szCs w:val="21"/>
                <w:highlight w:val="none"/>
                <w:lang w:val="en-US" w:eastAsia="zh-CN"/>
              </w:rPr>
              <w:t xml:space="preserve">1</w:t>
            </w:r>
            <w:r>
              <w:rPr>
                <w:rFonts w:hint="eastAsia" w:ascii="宋体" w:hAnsi="宋体" w:eastAsia="宋体" w:cs="宋体"/>
                <w:color w:val="000000"/>
                <w:szCs w:val="21"/>
                <w:highlight w:val="none"/>
                <w:lang w:val="en-US" w:eastAsia="zh-CN"/>
              </w:rPr>
            </w:r>
            <w:r/>
          </w:p>
        </w:tc>
      </w:tr>
    </w:tbl>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before="120"/>
        <w:rPr>
          <w:rFonts w:hint="eastAsia" w:ascii="宋体" w:hAnsi="宋体" w:eastAsia="宋体" w:cs="宋体"/>
          <w:b/>
          <w:sz w:val="52"/>
          <w:szCs w:val="72"/>
        </w:rPr>
      </w:pPr>
      <w:r/>
      <w:bookmarkStart w:id="820" w:name="_Toc99301426"/>
      <w:r>
        <w:rPr>
          <w:rFonts w:hint="eastAsia" w:ascii="宋体" w:hAnsi="宋体" w:eastAsia="宋体" w:cs="宋体"/>
          <w:b/>
          <w:sz w:val="52"/>
          <w:szCs w:val="72"/>
        </w:rPr>
      </w:r>
      <w:r/>
    </w:p>
    <w:p>
      <w:pPr>
        <w:pStyle w:val="1030"/>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0"/>
        <w:spacing w:line="360" w:lineRule="auto"/>
        <w:rPr>
          <w:rFonts w:hint="eastAsia" w:ascii="宋体" w:hAnsi="宋体" w:eastAsia="宋体" w:cs="宋体"/>
        </w:rPr>
      </w:pPr>
      <w:r>
        <w:rPr>
          <w:rFonts w:hint="eastAsia" w:ascii="宋体" w:hAnsi="宋体" w:eastAsia="宋体" w:cs="宋体"/>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0"/>
        <w:ind w:firstLine="640"/>
        <w:jc w:val="left"/>
        <w:keepLines w:val="0"/>
        <w:keepNext w:val="0"/>
        <w:pageBreakBefore w:val="0"/>
        <w:spacing w:line="10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甲方（采购人）：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r>
      <w:r/>
    </w:p>
    <w:p>
      <w:pPr>
        <w:pStyle w:val="1030"/>
        <w:ind w:firstLine="640"/>
        <w:keepLines w:val="0"/>
        <w:keepNext w:val="0"/>
        <w:pageBreakBefore w:val="0"/>
        <w:spacing w:line="1000" w:lineRule="exact"/>
        <w:rPr>
          <w:rFonts w:hint="eastAsia" w:ascii="宋体" w:hAnsi="宋体" w:eastAsia="宋体" w:cs="宋体"/>
          <w:b/>
          <w:sz w:val="32"/>
          <w:szCs w:val="32"/>
          <w:u w:val="single"/>
        </w:rPr>
      </w:pPr>
      <w:r>
        <w:rPr>
          <w:rFonts w:hint="eastAsia" w:ascii="宋体" w:hAnsi="宋体" w:eastAsia="宋体" w:cs="宋体"/>
          <w:sz w:val="32"/>
          <w:szCs w:val="32"/>
          <w:highlight w:val="none"/>
        </w:rPr>
        <w:t xml:space="preserve">乙方（</w:t>
      </w:r>
      <w:r>
        <w:rPr>
          <w:rFonts w:hint="eastAsia" w:ascii="宋体" w:hAnsi="宋体" w:eastAsia="宋体" w:cs="宋体"/>
          <w:sz w:val="32"/>
          <w:szCs w:val="32"/>
          <w:highlight w:val="none"/>
          <w:lang w:val="en-US" w:eastAsia="zh-CN"/>
        </w:rPr>
        <w:t xml:space="preserve">供应商</w:t>
      </w:r>
      <w:r>
        <w:rPr>
          <w:rFonts w:hint="eastAsia" w:ascii="宋体" w:hAnsi="宋体" w:eastAsia="宋体" w:cs="宋体"/>
          <w:sz w:val="32"/>
          <w:szCs w:val="32"/>
          <w:highlight w:val="none"/>
        </w:rPr>
        <w:t xml:space="preserve">）：</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jc w:val="center"/>
        <w:spacing w:line="360" w:lineRule="auto"/>
        <w:tabs>
          <w:tab w:val="left" w:pos="3045" w:leader="none"/>
          <w:tab w:val="left" w:pos="7140" w:leader="none"/>
          <w:tab w:val="left" w:pos="7350" w:leader="none"/>
        </w:tabs>
        <w:rPr>
          <w:rFonts w:ascii="宋体" w:hAnsi="宋体" w:eastAsia="宋体" w:cs="Times New Roman"/>
          <w:sz w:val="32"/>
          <w:szCs w:val="32"/>
        </w:rPr>
      </w:pP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ascii="宋体" w:hAnsi="宋体" w:eastAsia="宋体" w:cs="Times New Roman"/>
          <w:sz w:val="32"/>
          <w:szCs w:val="32"/>
        </w:rPr>
      </w:r>
      <w:r/>
    </w:p>
    <w:p>
      <w:pPr>
        <w:pStyle w:val="1030"/>
        <w:jc w:val="both"/>
        <w:spacing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zh-CN" w:eastAsia="zh-CN" w:bidi="ar-SA"/>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lang w:eastAsia="zh-CN"/>
        </w:rPr>
        <w:t xml:space="preserve">2025年度占补平衡项目补充耕地质量验收工作竞争性磋商</w:t>
      </w:r>
      <w:r>
        <w:rPr>
          <w:rFonts w:hint="eastAsia" w:ascii="宋体" w:hAnsi="宋体" w:eastAsia="宋体" w:cs="宋体"/>
        </w:rPr>
        <w:t xml:space="preserve">的结果，签署本合同。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1.1 标的名称：</w:t>
      </w:r>
      <w:r>
        <w:rPr>
          <w:rFonts w:hint="eastAsia" w:ascii="宋体" w:hAnsi="宋体" w:eastAsia="宋体" w:cs="宋体"/>
          <w:lang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1.2标的质量：</w:t>
      </w:r>
      <w:r>
        <w:rPr>
          <w:rFonts w:hint="eastAsia" w:ascii="宋体" w:hAnsi="宋体" w:eastAsia="宋体" w:cs="宋体"/>
          <w:sz w:val="21"/>
          <w:szCs w:val="21"/>
          <w:lang w:val="en-US" w:eastAsia="zh-CN"/>
        </w:rPr>
        <w:t xml:space="preserve">按国家和行业现行的法律、法规执行</w:t>
      </w:r>
      <w:r>
        <w:rPr>
          <w:rFonts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hint="eastAsia"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rPr>
        <w:t xml:space="preserve">1.4 履行期限：</w:t>
      </w:r>
      <w:r>
        <w:rPr>
          <w:rFonts w:hint="eastAsia" w:ascii="宋体" w:hAnsi="宋体" w:eastAsia="宋体" w:cs="宋体"/>
          <w:lang w:eastAsia="zh-CN"/>
        </w:rPr>
        <w:t xml:space="preserve">2026年11月30日前完成</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1.5 履行地点：</w:t>
      </w:r>
      <w:r>
        <w:rPr>
          <w:rFonts w:hint="eastAsia" w:ascii="宋体" w:hAnsi="宋体" w:eastAsia="宋体" w:cs="宋体"/>
          <w:highlight w:val="none"/>
          <w:lang w:eastAsia="zh-CN"/>
        </w:rPr>
        <w:t xml:space="preserve">常州市金坛区</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1.6履行方式：</w:t>
      </w:r>
      <w:r>
        <w:rPr>
          <w:rFonts w:hint="eastAsia" w:ascii="宋体" w:hAnsi="宋体" w:eastAsia="宋体" w:cs="宋体"/>
          <w:highlight w:val="none"/>
          <w:lang w:eastAsia="zh-CN"/>
        </w:rPr>
        <w:t xml:space="preserve">提供服务、完成服务合同要求的全部内容。</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1.7服务内容：对金坛区2025年度占补平衡项目补充耕地开展质量验收相关工作，包括上一年度占用耕地质量核算、基础资料收集，土壤采样化验、实地踏勘、组织专家评审等有关工作，共计35个项目，约3216亩。</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二、合同金额</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2.1 本合同金额为（大写）：_____________元整（____________元）人民币。</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本合同总价包括采购文件所确定的采购范围相应服务的提供、人员（包括工资和补贴）、办公场所及设施、采样费、检测费、报告费、专家评审费、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三、技术资料</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3.1乙方应按</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规定的时间向甲方提供服务（包含与服务相关的货物）的有关技术资料。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四、知识产权</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4.1本项目从征集至最终成果提交过程中的各类成果（含初步技术路线）及知识产权均归</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所有而不被视为侵权，研究单位须无条件提供。</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对编制过程中的阶段性成果和方案享有版权和使用权，并可以进行展览、印刷、出版等。</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i/>
          <w:highlight w:val="none"/>
        </w:rPr>
      </w:pPr>
      <w:r>
        <w:rPr>
          <w:rFonts w:hint="eastAsia" w:ascii="宋体" w:hAnsi="宋体" w:eastAsia="宋体" w:cs="宋体"/>
          <w:highlight w:val="none"/>
          <w:lang w:val="en-US" w:eastAsia="zh-CN"/>
        </w:rPr>
        <w:t xml:space="preserve">4.2</w:t>
      </w:r>
      <w:r>
        <w:rPr>
          <w:rFonts w:hint="eastAsia" w:ascii="宋体" w:hAnsi="宋体" w:eastAsia="宋体" w:cs="宋体"/>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u w:val="single"/>
          <w:lang w:val="en-US" w:eastAsia="zh-CN" w:bidi="ar-SA"/>
        </w:rPr>
      </w:pPr>
      <w:r>
        <w:rPr>
          <w:rFonts w:hint="eastAsia" w:ascii="宋体" w:hAnsi="宋体" w:eastAsia="宋体" w:cs="宋体"/>
          <w:b/>
          <w:bCs/>
          <w:sz w:val="21"/>
          <w:szCs w:val="32"/>
          <w:highlight w:val="none"/>
          <w:lang w:val="en-US" w:eastAsia="zh-CN" w:bidi="ar-SA"/>
        </w:rPr>
        <w:t xml:space="preserve">五、产权担保</w:t>
      </w:r>
      <w:r>
        <w:rPr>
          <w:rFonts w:hint="eastAsia" w:ascii="宋体" w:hAnsi="宋体" w:eastAsia="宋体" w:cs="宋体"/>
          <w:sz w:val="21"/>
          <w:szCs w:val="32"/>
          <w:highlight w:val="none"/>
          <w:u w:val="singl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rPr>
        <w:t xml:space="preserve">5.1 乙方保证所交付的服务（包含与服务相关的货物）的所有权完全属于乙方且无任何抵押、查封等产权瑕疵。</w:t>
      </w:r>
      <w:r>
        <w:rPr>
          <w:rFonts w:hint="eastAsia" w:ascii="宋体" w:hAnsi="宋体" w:eastAsia="宋体" w:cs="宋体"/>
          <w:highlight w:val="none"/>
          <w:u w:val="singl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六、履约保证金</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本项目</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不收取</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履约保证金。</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七、合同转包或分包</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7.1 乙方不得将合同标的转包给他人履行。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7.2 乙方不得将合同标的分包给他人履行。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7.3 乙方如有转包或未经甲方同意的分包行为，甲方有权解除合同。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b/>
          <w:bCs/>
          <w:sz w:val="21"/>
          <w:szCs w:val="32"/>
          <w:highlight w:val="none"/>
          <w:lang w:val="en-US" w:eastAsia="zh-CN" w:bidi="ar-SA"/>
        </w:rPr>
      </w:pPr>
      <w:r>
        <w:rPr>
          <w:rFonts w:hint="eastAsia" w:ascii="宋体" w:hAnsi="宋体" w:eastAsia="宋体" w:cs="宋体"/>
          <w:highlight w:val="none"/>
        </w:rPr>
        <w:t xml:space="preserve">8.1</w:t>
      </w:r>
      <w:r>
        <w:rPr>
          <w:rFonts w:hint="eastAsia" w:ascii="宋体" w:hAnsi="宋体" w:eastAsia="宋体" w:cs="宋体"/>
          <w:highlight w:val="none"/>
          <w:lang w:val="en-US" w:eastAsia="zh-CN"/>
        </w:rPr>
        <w:t xml:space="preserve">一次性</w:t>
      </w:r>
      <w:r>
        <w:rPr>
          <w:rFonts w:hint="eastAsia" w:ascii="宋体" w:hAnsi="宋体" w:eastAsia="宋体" w:cs="宋体"/>
          <w:highlight w:val="none"/>
        </w:rPr>
        <w:t xml:space="preserve">付款：</w:t>
      </w:r>
      <w:r>
        <w:rPr>
          <w:rFonts w:hint="eastAsia" w:ascii="宋体" w:hAnsi="宋体" w:eastAsia="宋体" w:cs="宋体"/>
          <w:sz w:val="21"/>
          <w:szCs w:val="21"/>
          <w:highlight w:val="none"/>
          <w:u w:val="single"/>
          <w:lang w:val="en-US" w:eastAsia="zh-CN"/>
        </w:rPr>
        <w:t xml:space="preserve">项目结束并经验收合格后一次性付清。乙方</w:t>
      </w:r>
      <w:r>
        <w:rPr>
          <w:rFonts w:hint="eastAsia" w:ascii="宋体" w:hAnsi="宋体" w:eastAsia="宋体" w:cs="宋体"/>
          <w:sz w:val="21"/>
          <w:szCs w:val="21"/>
          <w:highlight w:val="none"/>
          <w:u w:val="single"/>
          <w:lang w:eastAsia="zh-CN"/>
        </w:rPr>
        <w:t xml:space="preserve">应在</w:t>
      </w:r>
      <w:r>
        <w:rPr>
          <w:rFonts w:hint="eastAsia" w:ascii="宋体" w:hAnsi="宋体" w:eastAsia="宋体" w:cs="宋体"/>
          <w:sz w:val="21"/>
          <w:szCs w:val="21"/>
          <w:highlight w:val="none"/>
          <w:u w:val="single"/>
          <w:lang w:val="en-US" w:eastAsia="zh-CN"/>
        </w:rPr>
        <w:t xml:space="preserve">甲方</w:t>
      </w:r>
      <w:r>
        <w:rPr>
          <w:rFonts w:hint="eastAsia" w:ascii="宋体" w:hAnsi="宋体" w:eastAsia="宋体" w:cs="宋体"/>
          <w:sz w:val="21"/>
          <w:szCs w:val="21"/>
          <w:highlight w:val="none"/>
          <w:u w:val="single"/>
          <w:lang w:eastAsia="zh-CN"/>
        </w:rPr>
        <w:t xml:space="preserve">付款前开具同等金额的、符合国家规定的</w:t>
      </w:r>
      <w:r>
        <w:rPr>
          <w:rFonts w:hint="eastAsia" w:ascii="宋体" w:hAnsi="宋体" w:eastAsia="宋体" w:cs="宋体"/>
          <w:sz w:val="21"/>
          <w:szCs w:val="21"/>
          <w:highlight w:val="none"/>
          <w:u w:val="single"/>
          <w:lang w:val="en-US" w:eastAsia="zh-CN"/>
        </w:rPr>
        <w:t xml:space="preserve">正式</w:t>
      </w:r>
      <w:r>
        <w:rPr>
          <w:rFonts w:hint="eastAsia" w:ascii="宋体" w:hAnsi="宋体" w:eastAsia="宋体" w:cs="宋体"/>
          <w:sz w:val="21"/>
          <w:szCs w:val="21"/>
          <w:highlight w:val="none"/>
          <w:u w:val="single"/>
          <w:lang w:eastAsia="zh-CN"/>
        </w:rPr>
        <w:t xml:space="preserve">发票。</w:t>
      </w:r>
      <w:r>
        <w:rPr>
          <w:rFonts w:hint="eastAsia" w:ascii="宋体" w:hAnsi="宋体" w:eastAsia="宋体" w:cs="宋体"/>
          <w:highlight w:val="none"/>
        </w:rPr>
        <w:t xml:space="preserve">满足合同约定支付条件的，自收到发票后支付。</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11.1 甲方无正当理由拒绝接受乙方提供服务的，甲方向乙方偿付拒绝接受服务合同价款总值的违约金。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11.2 甲方无故逾期验收和办理合同款项支付手续的,甲方应按逾期付款总额每日向乙方支付违约金。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11.3 乙方逾期提供服务的，乙方应按逾期提供服务合同总额每日千分之六向甲方支付违约金，由甲方从待付合同款项中扣除</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上限为合同价的10%</w:t>
      </w:r>
      <w:r>
        <w:rPr>
          <w:rFonts w:hint="eastAsia" w:ascii="宋体" w:hAnsi="宋体" w:eastAsia="宋体" w:cs="宋体"/>
          <w:highlight w:val="none"/>
        </w:rPr>
        <w:t xml:space="preserve">。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11.4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十二、不可抗力事件处理</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12.2 不可抗力事件发生后，应立即通知对方，并寄送有关权威机构出具的证明。</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t xml:space="preserve">12</w:t>
      </w:r>
      <w:r>
        <w:rPr>
          <w:rFonts w:hint="eastAsia" w:ascii="宋体" w:hAnsi="宋体" w:eastAsia="宋体" w:cs="宋体"/>
        </w:rPr>
        <w:t xml:space="preserve">.3 不可抗力事件延续120天以上，双方应通过友好协商，确定是否继续履行合同。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14.2 本合同未尽事宜，遵照《中华人民共和国民法典》《中华人民共和国政府采购法》有关条文执行。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14.3 本合同一式</w:t>
      </w:r>
      <w:r>
        <w:rPr>
          <w:rFonts w:hint="eastAsia" w:ascii="宋体" w:hAnsi="宋体" w:eastAsia="宋体" w:cs="宋体"/>
          <w:lang w:eastAsia="zh-CN"/>
        </w:rPr>
        <w:t xml:space="preserve">六</w:t>
      </w:r>
      <w:r>
        <w:rPr>
          <w:rFonts w:hint="eastAsia" w:ascii="宋体" w:hAnsi="宋体" w:eastAsia="宋体" w:cs="宋体"/>
        </w:rPr>
        <w:t xml:space="preserve">份，具有同等法律效力，甲方、乙方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tbl>
      <w:tblPr>
        <w:tblW w:w="9354" w:type="dxa"/>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730"/>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甲方名称：（盖章）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乙方名称：（盖章）</w:t>
            </w:r>
            <w:r>
              <w:rPr>
                <w:rFonts w:hint="eastAsia" w:ascii="宋体" w:hAnsi="宋体" w:eastAsia="宋体" w:cs="宋体"/>
                <w:szCs w:val="21"/>
              </w:rPr>
            </w:r>
            <w:r/>
          </w:p>
        </w:tc>
      </w:tr>
      <w:tr>
        <w:trPr>
          <w:trHeight w:val="751"/>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r>
      <w:tr>
        <w:trPr>
          <w:trHeight w:val="71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r>
    </w:tbl>
    <w:p>
      <w:pPr>
        <w:pStyle w:val="1030"/>
        <w:jc w:val="left"/>
        <w:keepLines w:val="0"/>
        <w:keepNext w:val="0"/>
        <w:pageBreakBefore w:val="0"/>
        <w:spacing w:line="480" w:lineRule="exact"/>
        <w:widowControl/>
        <w:tabs>
          <w:tab w:val="left" w:pos="7740" w:leader="none"/>
        </w:tabs>
        <w:rPr>
          <w:rFonts w:hint="eastAsia" w:ascii="宋体" w:hAnsi="宋体" w:eastAsia="宋体" w:cs="宋体"/>
        </w:rPr>
      </w:pPr>
      <w:r>
        <w:rPr>
          <w:rFonts w:hint="eastAsia" w:ascii="宋体" w:hAnsi="宋体" w:eastAsia="宋体" w:cs="宋体"/>
        </w:rPr>
      </w:r>
      <w:r/>
    </w:p>
    <w:p>
      <w:pPr>
        <w:pStyle w:val="1030"/>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0"/>
        <w:jc w:val="center"/>
        <w:spacing w:line="360" w:lineRule="auto"/>
        <w:rPr>
          <w:b/>
          <w:sz w:val="36"/>
          <w:szCs w:val="36"/>
          <w:highlight w:val="none"/>
        </w:rPr>
        <w:outlineLvl w:val="0"/>
      </w:pPr>
      <w:r>
        <w:rPr>
          <w:rFonts w:hint="eastAsia" w:ascii="宋体" w:hAnsi="宋体" w:eastAsia="宋体" w:cs="宋体"/>
        </w:rPr>
        <w:br w:type="page" w:clear="all"/>
      </w:r>
      <w:r>
        <w:rPr>
          <w:b/>
          <w:sz w:val="36"/>
          <w:szCs w:val="36"/>
          <w:highlight w:val="none"/>
        </w:rPr>
        <w:t xml:space="preserve">第七章   投标文件格式</w:t>
      </w:r>
      <w:bookmarkEnd w:id="820"/>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5"/>
        <w:ind w:firstLine="480"/>
        <w:spacing w:line="460" w:lineRule="exact"/>
        <w:rPr>
          <w:highlight w:val="none"/>
        </w:rPr>
      </w:pPr>
      <w:r>
        <w:rPr>
          <w:highlight w:val="none"/>
        </w:rPr>
      </w:r>
      <w:r/>
    </w:p>
    <w:p>
      <w:pPr>
        <w:pStyle w:val="1045"/>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5"/>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val="en-US"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val="en-US" w:eastAsia="zh-CN"/>
        </w:rPr>
      </w:r>
      <w:r/>
    </w:p>
    <w:p>
      <w:pPr>
        <w:pStyle w:val="1030"/>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t xml:space="preserve">2 落实政府采购政策需满足的资格要求</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2-1 中小企业声明函</w:t>
      </w:r>
      <w:r>
        <w:rPr>
          <w:rFonts w:ascii="Times New Roman" w:hAnsi="Times New Roman" w:eastAsia="宋体" w:cs="Times New Roman"/>
          <w:color w:val="000000"/>
          <w:szCs w:val="21"/>
        </w:rPr>
        <w:t xml:space="preserve">（实质性格式）</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Cs w:val="21"/>
        </w:rPr>
        <w:t xml:space="preserve">否则不得享受相关中小企业扶持政策</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（2）如本项目（包）专门面向中小/小微企业采购，须提供《中小企业声明函》</w:t>
      </w:r>
      <w:r>
        <w:rPr>
          <w:rFonts w:hint="eastAsia" w:ascii="宋体" w:hAnsi="宋体" w:eastAsia="宋体" w:cs="宋体"/>
          <w:color w:val="000000"/>
          <w:szCs w:val="21"/>
        </w:rPr>
        <w:t xml:space="preserve">（实质性格式）</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（4）其它</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Cs w:val="21"/>
        </w:rPr>
      </w:r>
      <w:r/>
    </w:p>
    <w:p>
      <w:pPr>
        <w:pStyle w:val="1030"/>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0"/>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0"/>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0"/>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0"/>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0"/>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0"/>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0"/>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0"/>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0"/>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hint="eastAsia" w:ascii="宋体" w:hAnsi="宋体" w:eastAsia="宋体" w:cs="宋体"/>
          <w:spacing w:val="6"/>
          <w:szCs w:val="21"/>
        </w:rPr>
        <w:t xml:space="preserve">日  期</w:t>
      </w:r>
      <w:r>
        <w:rPr>
          <w:rFonts w:hint="eastAsia" w:ascii="宋体" w:hAnsi="宋体" w:eastAsia="宋体" w:cs="宋体"/>
          <w:spacing w:val="6"/>
          <w:szCs w:val="21"/>
          <w:lang w:eastAsia="zh-CN"/>
        </w:rPr>
        <w:t xml:space="preserve">：</w:t>
      </w: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1" w:name="_Toc520356217"/>
      <w:r/>
      <w:bookmarkStart w:id="822" w:name="_Toc226965829"/>
      <w:r/>
      <w:bookmarkStart w:id="823" w:name="_Toc226337252"/>
      <w:r/>
      <w:bookmarkStart w:id="824" w:name="_Toc226309800"/>
      <w:r/>
      <w:bookmarkStart w:id="825" w:name="_Toc150774761"/>
      <w:r/>
      <w:bookmarkStart w:id="826" w:name="_Toc142311058"/>
      <w:r/>
      <w:bookmarkStart w:id="827" w:name="_Toc127151556"/>
      <w:r/>
      <w:bookmarkStart w:id="828" w:name="_Ref467988698"/>
      <w:r/>
      <w:bookmarkStart w:id="829" w:name="_Toc195842921"/>
      <w:r/>
      <w:bookmarkStart w:id="830" w:name="_Toc226965746"/>
      <w:r/>
      <w:bookmarkStart w:id="831" w:name="_Toc480942349"/>
      <w:r/>
      <w:bookmarkStart w:id="832" w:name="_Toc150480794"/>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3" w:name="_Hlt520356243"/>
      <w:r/>
      <w:bookmarkEnd w:id="833"/>
      <w:r/>
      <w:bookmarkStart w:id="834" w:name="_Hlt520355938"/>
      <w:r/>
      <w:bookmarkEnd w:id="834"/>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5" w:name="_Hlt520273711"/>
      <w:r/>
      <w:bookmarkEnd w:id="835"/>
      <w:r/>
      <w:bookmarkStart w:id="836" w:name="_Hlt520274407"/>
      <w:r/>
      <w:bookmarkEnd w:id="836"/>
      <w:r/>
      <w:bookmarkStart w:id="837" w:name="_Hlt520350918"/>
      <w:r/>
      <w:bookmarkEnd w:id="837"/>
      <w:r/>
      <w:bookmarkStart w:id="838" w:name="_Hlt520271212"/>
      <w:r/>
      <w:bookmarkEnd w:id="838"/>
      <w:r/>
      <w:bookmarkStart w:id="839" w:name="_Hlt520355504"/>
      <w:r/>
      <w:bookmarkEnd w:id="839"/>
      <w:r/>
      <w:bookmarkStart w:id="840" w:name="_Hlt520274121"/>
      <w:r/>
      <w:bookmarkEnd w:id="840"/>
      <w:r/>
      <w:bookmarkStart w:id="841" w:name="_Hlt520274393"/>
      <w:r/>
      <w:bookmarkEnd w:id="841"/>
      <w:r/>
      <w:bookmarkStart w:id="842" w:name="_Hlt520343392"/>
      <w:r/>
      <w:bookmarkEnd w:id="842"/>
      <w:r/>
      <w:bookmarkStart w:id="843" w:name="_Hlt520343000"/>
      <w:r/>
      <w:bookmarkEnd w:id="843"/>
      <w:r/>
      <w:bookmarkStart w:id="844" w:name="_Hlt520274065"/>
      <w:r/>
      <w:bookmarkEnd w:id="844"/>
      <w:r/>
      <w:bookmarkStart w:id="845" w:name="_Toc195842922"/>
      <w:r/>
      <w:bookmarkStart w:id="846" w:name="_Toc127151557"/>
      <w:r/>
      <w:bookmarkStart w:id="847" w:name="_Ref467988705"/>
      <w:r/>
      <w:bookmarkStart w:id="848" w:name="_Toc142311059"/>
      <w:r/>
      <w:bookmarkStart w:id="849" w:name="_Toc226965747"/>
      <w:r/>
      <w:bookmarkStart w:id="850" w:name="_Toc226337253"/>
      <w:r/>
      <w:bookmarkStart w:id="851" w:name="_Toc480942350"/>
      <w:r/>
      <w:bookmarkStart w:id="852" w:name="_Toc264969247"/>
      <w:r/>
      <w:bookmarkStart w:id="853" w:name="_Toc226965830"/>
      <w:r/>
      <w:bookmarkStart w:id="854" w:name="_Toc520356218"/>
      <w:r/>
      <w:bookmarkStart w:id="855" w:name="_Toc226309801"/>
      <w:r/>
      <w:bookmarkStart w:id="856" w:name="_Toc265228395"/>
      <w:r/>
      <w:bookmarkStart w:id="857" w:name="_Toc305158825"/>
      <w:r/>
      <w:bookmarkStart w:id="858" w:name="_Toc150480795"/>
      <w:r/>
      <w:bookmarkStart w:id="859" w:name="_Toc305158899"/>
      <w:r/>
      <w:bookmarkStart w:id="860" w:name="_Toc150774762"/>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1" w:name="_Toc265228396"/>
      <w:r/>
      <w:bookmarkStart w:id="862" w:name="_Toc226965831"/>
      <w:r/>
      <w:bookmarkStart w:id="863" w:name="_Toc226965748"/>
      <w:r/>
      <w:bookmarkStart w:id="864" w:name="_Toc305158900"/>
      <w:r/>
      <w:bookmarkStart w:id="865" w:name="_Toc226309802"/>
      <w:r/>
      <w:bookmarkStart w:id="866" w:name="_Toc264969248"/>
      <w:r/>
      <w:bookmarkStart w:id="867" w:name="_Toc305158826"/>
      <w:r/>
      <w:bookmarkStart w:id="868" w:name="_Toc195842923"/>
      <w:r/>
      <w:bookmarkStart w:id="869" w:name="_Toc226337254"/>
      <w:r/>
      <w:bookmarkStart w:id="870" w:name="_Toc164608672"/>
      <w:r/>
      <w:bookmarkStart w:id="871" w:name="_Toc164608827"/>
      <w:r>
        <w:rPr>
          <w:rFonts w:hint="eastAsia"/>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投标</w:t>
            </w:r>
            <w:r>
              <w:rPr>
                <w:rFonts w:hint="eastAsia" w:ascii="宋体" w:hAnsi="宋体" w:cs="宋体"/>
                <w:bCs/>
                <w:szCs w:val="21"/>
                <w:highlight w:val="none"/>
                <w:lang w:val="en-US" w:eastAsia="zh-CN"/>
              </w:rPr>
              <w:t xml:space="preserve">报价</w:t>
            </w:r>
            <w:r>
              <w:rPr>
                <w:rFonts w:hint="eastAsia" w:ascii="宋体" w:hAnsi="宋体" w:eastAsia="宋体" w:cs="宋体"/>
                <w:bCs/>
                <w:szCs w:val="21"/>
                <w:highlight w:val="none"/>
                <w:lang w:eastAsia="zh-CN"/>
              </w:rPr>
            </w:r>
            <w:r/>
          </w:p>
        </w:tc>
        <w:tc>
          <w:tcPr>
            <w:tcW w:w="4006" w:type="dxa"/>
            <w:vAlign w:val="center"/>
            <w:textDirection w:val="lrTb"/>
            <w:noWrap w:val="false"/>
          </w:tcPr>
          <w:p>
            <w:pPr>
              <w:pStyle w:val="1030"/>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元</w:t>
            </w:r>
            <w:r>
              <w:rPr>
                <w:rFonts w:hint="eastAsia" w:ascii="宋体" w:hAnsi="宋体" w:eastAsia="宋体" w:cs="宋体"/>
                <w:szCs w:val="21"/>
                <w:highlight w:val="none"/>
                <w:lang w:val="en-US" w:eastAsia="zh-CN"/>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2" w:name="_Toc150774765"/>
      <w:r/>
      <w:bookmarkStart w:id="873" w:name="_Toc265228400"/>
      <w:r/>
      <w:bookmarkStart w:id="874" w:name="_Toc226965835"/>
      <w:r/>
      <w:bookmarkStart w:id="875" w:name="_Toc142311062"/>
      <w:r/>
      <w:bookmarkStart w:id="876" w:name="_Toc264969252"/>
      <w:r/>
      <w:bookmarkStart w:id="877" w:name="_Toc226965752"/>
      <w:r/>
      <w:bookmarkStart w:id="878" w:name="_Toc127151562"/>
      <w:r/>
      <w:bookmarkStart w:id="879" w:name="_Toc305158904"/>
      <w:r/>
      <w:bookmarkStart w:id="880" w:name="_Toc226309806"/>
      <w:r/>
      <w:bookmarkStart w:id="881" w:name="_Toc305158830"/>
      <w:r/>
      <w:bookmarkStart w:id="882" w:name="_Toc226337258"/>
      <w:r/>
      <w:bookmarkStart w:id="883" w:name="_Toc150480798"/>
      <w:r/>
      <w:bookmarkStart w:id="884" w:name="_Toc195842927"/>
      <w:r/>
      <w:bookmarkStart w:id="885" w:name="_Toc127151561"/>
      <w:r/>
      <w:bookmarkStart w:id="886" w:name="_Toc305158829"/>
      <w:r/>
      <w:bookmarkStart w:id="887" w:name="_Toc150774764"/>
      <w:r/>
      <w:bookmarkStart w:id="888" w:name="_Toc265228399"/>
      <w:r/>
      <w:bookmarkStart w:id="889" w:name="_Toc226965834"/>
      <w:r/>
      <w:bookmarkStart w:id="890" w:name="_Toc226965751"/>
      <w:r/>
      <w:bookmarkStart w:id="891" w:name="_Toc226337257"/>
      <w:r/>
      <w:bookmarkStart w:id="892" w:name="_Toc150480797"/>
      <w:r/>
      <w:bookmarkStart w:id="893" w:name="_Toc226309805"/>
      <w:r/>
      <w:bookmarkStart w:id="894" w:name="_Toc305158903"/>
      <w:r/>
      <w:bookmarkStart w:id="895" w:name="_Toc142311061"/>
      <w:r/>
      <w:bookmarkStart w:id="896" w:name="_Toc264969251"/>
      <w:r/>
      <w:bookmarkStart w:id="897" w:name="_Toc195842926"/>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8" w:name="OLE_LINK4"/>
      <w:r>
        <w:rPr>
          <w:rFonts w:hint="eastAsia" w:ascii="宋体" w:hAnsi="宋体" w:cs="宋体"/>
          <w:szCs w:val="21"/>
          <w:lang w:eastAsia="zh-CN"/>
        </w:rPr>
        <w:t xml:space="preserve">“不完全响应”或“不响应”</w:t>
      </w:r>
      <w:bookmarkEnd w:id="89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rFonts w:hint="eastAsia"/>
          <w:spacing w:val="6"/>
          <w:sz w:val="24"/>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899" w:name="_Toc288738839"/>
      <w:r/>
      <w:bookmarkStart w:id="900" w:name="_Toc288738397"/>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shd w:val="nil"/>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相关业绩案例一览表</w:t>
      </w:r>
      <w:r>
        <w:rPr>
          <w:rFonts w:hint="eastAsia" w:ascii="宋体" w:hAnsi="宋体" w:cs="宋体"/>
          <w:color w:val="000000"/>
          <w:szCs w:val="21"/>
          <w:highlight w:val="none"/>
        </w:rPr>
      </w:r>
      <w:r/>
    </w:p>
    <w:p>
      <w:pPr>
        <w:pStyle w:val="10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center"/>
        <w:rPr>
          <w:rFonts w:hint="eastAsia" w:ascii="宋体" w:hAnsi="宋体" w:cs="宋体"/>
          <w:b/>
          <w:szCs w:val="21"/>
          <w:highlight w:val="none"/>
        </w:rPr>
      </w:pPr>
      <w:r>
        <w:rPr>
          <w:rFonts w:hint="eastAsia"/>
          <w:b/>
          <w:bCs/>
          <w:color w:val="000000"/>
          <w:sz w:val="36"/>
          <w:szCs w:val="36"/>
          <w:highlight w:val="none"/>
        </w:rPr>
        <w:t xml:space="preserve">相关业绩案例一览表</w:t>
      </w:r>
      <w:bookmarkEnd w:id="899"/>
      <w:r/>
      <w:bookmarkEnd w:id="900"/>
      <w:r>
        <w:rPr>
          <w:rFonts w:hint="eastAsia" w:ascii="宋体" w:hAnsi="宋体" w:cs="宋体"/>
          <w:b/>
          <w:szCs w:val="21"/>
          <w:highlight w:val="none"/>
        </w:rPr>
      </w:r>
      <w:r/>
    </w:p>
    <w:p>
      <w:pPr>
        <w:pStyle w:val="103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95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4"/>
        <w:gridCol w:w="1787"/>
        <w:gridCol w:w="1616"/>
        <w:gridCol w:w="1273"/>
        <w:gridCol w:w="1839"/>
        <w:gridCol w:w="1697"/>
      </w:tblGrid>
      <w:tr>
        <w:trP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项目时间</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项目甲方单位</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合同金额</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单位地址</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联系电话</w:t>
            </w:r>
            <w:r>
              <w:rPr>
                <w:rFonts w:hint="eastAsia" w:ascii="宋体" w:hAnsi="宋体" w:cs="宋体"/>
                <w:szCs w:val="21"/>
                <w:highlight w:val="none"/>
                <w:lang w:val="zh-CN"/>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bl>
    <w:p>
      <w:pPr>
        <w:pStyle w:val="1030"/>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shd w:val="nil"/>
        <w:rPr>
          <w:rFonts w:ascii="Times New Roman" w:hAnsi="Times New Roman" w:eastAsia="宋体" w:cs="Times New Roman"/>
          <w:sz w:val="24"/>
          <w:szCs w:val="24"/>
        </w:rPr>
        <w:outlineLvl w:val="2"/>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p>
    <w:p>
      <w:pPr>
        <w:pStyle w:val="1030"/>
        <w:spacing w:line="360" w:lineRule="auto"/>
        <w:rPr>
          <w:rFonts w:hint="eastAsia" w:ascii="宋体" w:hAnsi="宋体" w:eastAsia="宋体" w:cs="宋体"/>
          <w:color w:val="000000"/>
          <w:highlight w:val="none"/>
        </w:rPr>
        <w:outlineLvl w:val="2"/>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关于符合本国产品标准的声明函</w:t>
      </w:r>
      <w:r>
        <w:rPr>
          <w:rFonts w:ascii="Times New Roman" w:hAnsi="Times New Roman" w:eastAsia="宋体" w:cs="Times New Roman"/>
          <w:sz w:val="24"/>
        </w:rPr>
      </w:r>
      <w:r/>
    </w:p>
    <w:p>
      <w:pPr>
        <w:pStyle w:val="1030"/>
        <w:jc w:val="center"/>
        <w:spacing w:line="480" w:lineRule="exact"/>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关于符合本国产品标准的声明函</w:t>
      </w:r>
      <w:r>
        <w:rPr>
          <w:rFonts w:ascii="Times New Roman" w:hAnsi="Times New Roman" w:eastAsia="宋体" w:cs="Times New Roman"/>
          <w:b/>
          <w:sz w:val="36"/>
          <w:szCs w:val="36"/>
        </w:rPr>
      </w:r>
      <w:r/>
    </w:p>
    <w:p>
      <w:pPr>
        <w:pStyle w:val="1030"/>
        <w:ind w:firstLine="480"/>
        <w:spacing w:before="25" w:after="25" w:line="360" w:lineRule="auto"/>
        <w:rPr>
          <w:rFonts w:ascii="Times New Roman" w:hAnsi="Times New Roman" w:eastAsia="宋体" w:cs="Times New Roman"/>
          <w:sz w:val="24"/>
        </w:rPr>
      </w:pPr>
      <w:r>
        <w:rPr>
          <w:rFonts w:ascii="Times New Roman" w:hAnsi="Times New Roman" w:eastAsia="宋体" w:cs="Times New Roman"/>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1.（</w:t>
      </w:r>
      <w:r>
        <w:rPr>
          <w:rFonts w:hint="eastAsia" w:ascii="宋体" w:hAnsi="宋体" w:eastAsia="宋体" w:cs="宋体"/>
          <w:sz w:val="24"/>
          <w:u w:val="single"/>
        </w:rPr>
        <w:t xml:space="preserve">产品名称1</w:t>
      </w:r>
      <w:r>
        <w:rPr>
          <w:rFonts w:hint="eastAsia" w:ascii="宋体" w:hAnsi="宋体" w:eastAsia="宋体" w:cs="宋体"/>
          <w:sz w:val="24"/>
        </w:rPr>
        <w:t xml:space="preserve">）</w:t>
      </w:r>
      <w:r>
        <w:rPr>
          <w:rFonts w:hint="eastAsia" w:ascii="宋体" w:hAnsi="宋体" w:eastAsia="宋体" w:cs="宋体"/>
          <w:sz w:val="24"/>
          <w:vertAlign w:val="superscript"/>
        </w:rPr>
        <w:t xml:space="preserve">1</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w:t>
      </w:r>
      <w:r>
        <w:rPr>
          <w:rFonts w:hint="eastAsia" w:ascii="宋体" w:hAnsi="宋体" w:eastAsia="宋体" w:cs="宋体"/>
          <w:sz w:val="24"/>
          <w:vertAlign w:val="superscript"/>
        </w:rPr>
        <w:t xml:space="preserve">2</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产品名称1</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w:t>
      </w:r>
      <w:r>
        <w:rPr>
          <w:rFonts w:hint="eastAsia" w:ascii="宋体" w:hAnsi="宋体" w:eastAsia="宋体" w:cs="宋体"/>
          <w:sz w:val="24"/>
          <w:vertAlign w:val="superscript"/>
        </w:rPr>
        <w:t xml:space="preserve">4</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w:t>
      </w:r>
      <w:r>
        <w:rPr>
          <w:rFonts w:hint="eastAsia" w:ascii="宋体" w:hAnsi="宋体" w:eastAsia="宋体" w:cs="宋体"/>
          <w:sz w:val="24"/>
          <w:vertAlign w:val="superscript"/>
        </w:rPr>
        <w:t xml:space="preserve">5</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2.（</w:t>
      </w:r>
      <w:r>
        <w:rPr>
          <w:rFonts w:hint="eastAsia" w:ascii="宋体" w:hAnsi="宋体" w:eastAsia="宋体" w:cs="宋体"/>
          <w:sz w:val="24"/>
          <w:u w:val="single"/>
        </w:rPr>
        <w:t xml:space="preserve">产品名称2</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产品名称2</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right="848"/>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r>
      <w:r/>
    </w:p>
    <w:p>
      <w:pPr>
        <w:pStyle w:val="1030"/>
        <w:ind w:right="848" w:firstLine="3720"/>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公司（单位）名称（盖章）：　        </w:t>
      </w:r>
      <w:r>
        <w:rPr>
          <w:rFonts w:hint="eastAsia" w:ascii="宋体" w:hAnsi="宋体" w:eastAsia="宋体" w:cs="宋体"/>
          <w:sz w:val="24"/>
          <w:szCs w:val="24"/>
        </w:rPr>
      </w:r>
      <w:r/>
    </w:p>
    <w:p>
      <w:pPr>
        <w:pStyle w:val="1030"/>
        <w:ind w:right="848"/>
        <w:jc w:val="righ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                                 日期：　   年　  月　  日</w:t>
      </w:r>
      <w:r>
        <w:rPr>
          <w:rFonts w:hint="eastAsia" w:ascii="宋体" w:hAnsi="宋体" w:eastAsia="宋体" w:cs="宋体"/>
          <w:sz w:val="24"/>
          <w:szCs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__________________</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rPr>
          <w:rFonts w:hint="eastAsia" w:ascii="宋体" w:hAnsi="宋体" w:eastAsia="宋体" w:cs="宋体"/>
          <w:sz w:val="24"/>
        </w:rPr>
      </w:r>
      <w:r/>
    </w:p>
    <w:p>
      <w:pPr>
        <w:pStyle w:val="1030"/>
        <w:spacing w:line="360" w:lineRule="auto"/>
        <w:rPr>
          <w:rFonts w:hint="eastAsia" w:ascii="宋体" w:hAnsi="宋体" w:cs="宋体"/>
          <w:color w:val="000000"/>
          <w:szCs w:val="21"/>
          <w:highlight w:val="none"/>
          <w:lang w:val="en-US" w:eastAsia="zh-CN"/>
        </w:rPr>
        <w:outlineLvl w:val="2"/>
      </w:pPr>
      <w:r>
        <w:rPr>
          <w:rFonts w:hint="eastAsia" w:ascii="宋体" w:hAnsi="宋体" w:eastAsia="宋体" w:cs="宋体"/>
          <w:sz w:val="24"/>
        </w:rPr>
        <w:t xml:space="preserve">6.用斜线划除的地方无需填写。</w:t>
      </w:r>
      <w:r>
        <w:rPr>
          <w:rFonts w:hint="eastAsia" w:ascii="宋体" w:hAnsi="宋体" w:cs="宋体"/>
          <w:color w:val="000000"/>
          <w:szCs w:val="21"/>
          <w:highlight w:val="none"/>
          <w:lang w:val="en-US" w:eastAsia="zh-CN"/>
        </w:rPr>
      </w:r>
      <w:r/>
    </w:p>
    <w:p>
      <w:pPr>
        <w:pStyle w:val="1030"/>
        <w:spacing w:line="360" w:lineRule="auto"/>
        <w:rPr>
          <w:color w:val="000000"/>
          <w:sz w:val="24"/>
          <w:highlight w:val="none"/>
          <w:lang w:val="zh-CN"/>
        </w:rPr>
        <w:outlineLvl w:val="2"/>
      </w:pP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11    </w:t>
      </w:r>
      <w:r>
        <w:rPr>
          <w:rFonts w:hint="eastAsia"/>
          <w:color w:val="000000"/>
          <w:szCs w:val="21"/>
          <w:highlight w:val="none"/>
        </w:rPr>
        <w:t xml:space="preserve">投标人认为需要提供的其它说明和资料</w:t>
      </w:r>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3"/>
    <w:link w:val="1030"/>
    <w:qFormat/>
    <w:pPr>
      <w:jc w:val="both"/>
      <w:widowControl w:val="off"/>
    </w:pPr>
    <w:rPr>
      <w:sz w:val="21"/>
      <w:szCs w:val="24"/>
      <w:lang w:val="en-US" w:eastAsia="zh-CN" w:bidi="ar-SA"/>
    </w:rPr>
  </w:style>
  <w:style w:type="paragraph" w:styleId="1031">
    <w:name w:val="标题 1"/>
    <w:basedOn w:val="1030"/>
    <w:next w:val="1030"/>
    <w:link w:val="1043"/>
    <w:qFormat/>
    <w:pPr>
      <w:jc w:val="center"/>
      <w:keepLines/>
      <w:keepNext/>
      <w:spacing w:before="240" w:after="120" w:line="300" w:lineRule="auto"/>
      <w:outlineLvl w:val="0"/>
    </w:pPr>
    <w:rPr>
      <w:rFonts w:ascii="宋体"/>
      <w:b/>
      <w:sz w:val="32"/>
      <w:szCs w:val="20"/>
    </w:rPr>
  </w:style>
  <w:style w:type="paragraph" w:styleId="1032">
    <w:name w:val="标题 2"/>
    <w:basedOn w:val="1030"/>
    <w:next w:val="1045"/>
    <w:link w:val="1044"/>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2"/>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3 Char1"/>
    <w:next w:val="1042"/>
    <w:link w:val="1033"/>
    <w:qFormat/>
    <w:rPr>
      <w:rFonts w:ascii="宋体" w:eastAsia="宋体"/>
      <w:b/>
      <w:sz w:val="24"/>
      <w:u w:val="single"/>
      <w:lang w:val="en-US" w:eastAsia="zh-CN" w:bidi="ar-SA"/>
    </w:rPr>
  </w:style>
  <w:style w:type="character" w:styleId="1043">
    <w:name w:val="标题 1 Char"/>
    <w:next w:val="1043"/>
    <w:link w:val="1031"/>
    <w:qFormat/>
    <w:rPr>
      <w:rFonts w:ascii="宋体"/>
      <w:b/>
      <w:sz w:val="32"/>
    </w:rPr>
  </w:style>
  <w:style w:type="character" w:styleId="1044">
    <w:name w:val="标题 2 Char1"/>
    <w:next w:val="1044"/>
    <w:link w:val="1032"/>
    <w:qFormat/>
    <w:rPr>
      <w:rFonts w:ascii="Arial" w:hAnsi="Arial" w:eastAsia="黑体"/>
      <w:b/>
      <w:sz w:val="30"/>
      <w:lang w:val="en-US" w:eastAsia="zh-CN" w:bidi="ar-SA"/>
    </w:rPr>
  </w:style>
  <w:style w:type="paragraph" w:styleId="1045">
    <w:name w:val="正文缩进"/>
    <w:basedOn w:val="1030"/>
    <w:next w:val="1030"/>
    <w:link w:val="1046"/>
    <w:qFormat/>
    <w:pPr>
      <w:ind w:firstLine="420"/>
      <w:jc w:val="left"/>
    </w:pPr>
    <w:rPr>
      <w:rFonts w:ascii="宋体"/>
      <w:sz w:val="24"/>
    </w:rPr>
  </w:style>
  <w:style w:type="character" w:styleId="1046">
    <w:name w:val="正文缩进 Char1"/>
    <w:next w:val="1046"/>
    <w:link w:val="1045"/>
    <w:qFormat/>
    <w:rPr>
      <w:rFonts w:ascii="宋体" w:eastAsia="宋体"/>
      <w:sz w:val="24"/>
      <w:szCs w:val="24"/>
      <w:lang w:val="en-US" w:eastAsia="zh-CN" w:bidi="ar-SA"/>
    </w:rPr>
  </w:style>
  <w:style w:type="character" w:styleId="1047">
    <w:name w:val="标题 4 Char"/>
    <w:next w:val="1047"/>
    <w:link w:val="1034"/>
    <w:qFormat/>
    <w:rPr>
      <w:rFonts w:ascii="Arial" w:hAnsi="Arial" w:eastAsia="黑体"/>
      <w:b/>
      <w:sz w:val="28"/>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5"/>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5"/>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5"/>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5"/>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14753" w:default="1">
    <w:name w:val="Default Paragraph Font"/>
    <w:uiPriority w:val="1"/>
    <w:semiHidden/>
    <w:unhideWhenUsed/>
  </w:style>
  <w:style w:type="numbering" w:styleId="14754" w:default="1">
    <w:name w:val="No List"/>
    <w:uiPriority w:val="99"/>
    <w:semiHidden/>
    <w:unhideWhenUsed/>
  </w:style>
  <w:style w:type="table" w:styleId="147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2024-07-31T08:33:00Z</dcterms:created>
  <dcterms:modified xsi:type="dcterms:W3CDTF">2026-08-17T07:23:50Z</dcterms:modified>
</cp:coreProperties>
</file>