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ind w:firstLine="0"/>
        <w:rPr>
          <w:rFonts w:eastAsia="黑体"/>
          <w:b/>
          <w:bCs/>
          <w:sz w:val="84"/>
        </w:rPr>
      </w:pPr>
      <w:r>
        <w:rPr>
          <w:rFonts w:hint="eastAsia" w:eastAsia="黑体"/>
          <w:b/>
          <w:bCs/>
          <w:sz w:val="84"/>
        </w:rPr>
        <w:t xml:space="preserve">  </w:t>
      </w:r>
      <w:r/>
    </w:p>
    <w:p>
      <w:pPr>
        <w:pStyle w:val="894"/>
        <w:ind w:firstLine="0"/>
        <w:jc w:val="center"/>
        <w:rPr>
          <w:rFonts w:eastAsia="黑体"/>
          <w:b/>
          <w:bCs/>
          <w:sz w:val="84"/>
        </w:rPr>
      </w:pPr>
      <w:r>
        <w:rPr>
          <w:rFonts w:hint="eastAsia" w:eastAsia="黑体"/>
          <w:b/>
          <w:bCs/>
          <w:sz w:val="84"/>
        </w:rPr>
        <w:t xml:space="preserve">招　标　文　件</w:t>
      </w:r>
      <w:r/>
    </w:p>
    <w:p>
      <w:pPr>
        <w:pStyle w:val="894"/>
        <w:ind w:firstLine="0"/>
        <w:rPr>
          <w:b/>
          <w:bCs/>
          <w:sz w:val="32"/>
        </w:rPr>
      </w:pPr>
      <w:r>
        <w:rPr>
          <w:b/>
          <w:bCs/>
          <w:sz w:val="32"/>
        </w:rPr>
      </w:r>
      <w:r/>
    </w:p>
    <w:p>
      <w:pPr>
        <w:pStyle w:val="894"/>
        <w:ind w:firstLine="0"/>
        <w:jc w:val="center"/>
        <w:rPr>
          <w:b/>
          <w:bCs/>
          <w:sz w:val="32"/>
        </w:rPr>
      </w:pPr>
      <w:r>
        <w:rPr>
          <w:rFonts w:hint="eastAsia"/>
          <w:b/>
          <w:bCs/>
          <w:sz w:val="32"/>
        </w:rPr>
        <w:t xml:space="preserve">项目名称：</w:t>
      </w:r>
      <w:r>
        <w:rPr>
          <w:rFonts w:hint="eastAsia"/>
          <w:b/>
          <w:bCs/>
          <w:sz w:val="32"/>
        </w:rPr>
        <w:t xml:space="preserve">2026</w:t>
      </w:r>
      <w:r>
        <w:rPr>
          <w:rFonts w:hint="eastAsia"/>
          <w:b/>
          <w:bCs/>
          <w:sz w:val="32"/>
        </w:rPr>
        <w:t xml:space="preserve">年江苏省部分省管海域水下地理信息数据获取</w:t>
      </w:r>
      <w:r/>
    </w:p>
    <w:p>
      <w:pPr>
        <w:jc w:val="center"/>
        <w:rPr>
          <w:b/>
          <w:sz w:val="30"/>
          <w:szCs w:val="30"/>
        </w:rPr>
      </w:pPr>
      <w:r>
        <w:rPr>
          <w:rFonts w:hint="eastAsia"/>
          <w:b/>
          <w:bCs/>
          <w:sz w:val="32"/>
        </w:rPr>
        <w:t xml:space="preserve">采购编号：</w:t>
      </w:r>
      <w:r>
        <w:rPr>
          <w:rFonts w:ascii="Arial" w:hAnsi="Arial"/>
          <w:b/>
          <w:bCs/>
          <w:sz w:val="32"/>
          <w:szCs w:val="24"/>
        </w:rPr>
        <w:t xml:space="preserve">JSZC-320000-SCZX-</w:t>
      </w:r>
      <w:r>
        <w:rPr>
          <w:rFonts w:hint="eastAsia" w:ascii="Arial" w:hAnsi="Arial"/>
          <w:b/>
          <w:bCs/>
          <w:sz w:val="32"/>
          <w:szCs w:val="24"/>
        </w:rPr>
        <w:t xml:space="preserve">G2026-0318</w:t>
      </w:r>
      <w:r/>
    </w:p>
    <w:p>
      <w:pPr>
        <w:ind w:left="2811" w:hanging="2811"/>
        <w:jc w:val="center"/>
        <w:rPr>
          <w:b/>
          <w:sz w:val="28"/>
          <w:szCs w:val="28"/>
        </w:rPr>
      </w:pPr>
      <w:r>
        <w:rPr>
          <w:b/>
          <w:sz w:val="28"/>
          <w:szCs w:val="28"/>
        </w:rPr>
      </w:r>
      <w:r/>
    </w:p>
    <w:p>
      <w:pPr>
        <w:pStyle w:val="894"/>
        <w:ind w:firstLine="0"/>
        <w:spacing w:before="0" w:after="0"/>
        <w:rPr>
          <w:rFonts w:hint="eastAsia" w:ascii="宋体" w:hAnsi="宋体"/>
        </w:rPr>
      </w:pPr>
      <w:r>
        <w:rPr>
          <w:rFonts w:hint="eastAsia" w:ascii="宋体" w:hAnsi="宋体"/>
        </w:rPr>
      </w:r>
      <w:r/>
    </w:p>
    <w:p>
      <w:pPr>
        <w:pStyle w:val="894"/>
        <w:ind w:firstLine="0"/>
        <w:spacing w:before="0" w:after="0"/>
        <w:rPr>
          <w:rFonts w:hint="eastAsia" w:ascii="宋体" w:hAnsi="宋体"/>
        </w:rPr>
      </w:pPr>
      <w:r>
        <w:rPr>
          <w:rFonts w:hint="eastAsia" w:ascii="宋体" w:hAnsi="宋体"/>
        </w:rPr>
      </w:r>
      <w:r/>
    </w:p>
    <w:p>
      <w:pPr>
        <w:pStyle w:val="894"/>
        <w:ind w:firstLine="0"/>
        <w:spacing w:before="0" w:after="0"/>
        <w:rPr>
          <w:rFonts w:hint="eastAsia" w:ascii="宋体" w:hAnsi="宋体"/>
        </w:rPr>
      </w:pPr>
      <w:r>
        <w:rPr>
          <w:rFonts w:hint="eastAsia" w:ascii="宋体" w:hAnsi="宋体"/>
        </w:rPr>
      </w:r>
      <w:r/>
    </w:p>
    <w:p>
      <w:pPr>
        <w:pStyle w:val="894"/>
        <w:ind w:firstLine="0"/>
        <w:spacing w:before="0" w:after="0"/>
        <w:rPr>
          <w:rFonts w:hint="eastAsia" w:ascii="宋体" w:hAnsi="宋体"/>
        </w:rPr>
      </w:pPr>
      <w:r>
        <w:rPr>
          <w:rFonts w:hint="eastAsia" w:ascii="宋体" w:hAnsi="宋体"/>
        </w:rPr>
      </w:r>
      <w:r/>
    </w:p>
    <w:p>
      <w:pPr>
        <w:pStyle w:val="894"/>
        <w:ind w:firstLine="0"/>
        <w:spacing w:before="0" w:after="0"/>
        <w:rPr>
          <w:rFonts w:hint="eastAsia" w:ascii="宋体" w:hAnsi="宋体"/>
        </w:rPr>
      </w:pPr>
      <w:r>
        <w:rPr>
          <w:rFonts w:hint="eastAsia" w:ascii="宋体" w:hAnsi="宋体"/>
        </w:rPr>
      </w:r>
      <w:r/>
    </w:p>
    <w:p>
      <w:pPr>
        <w:pStyle w:val="894"/>
        <w:ind w:firstLine="0"/>
        <w:spacing w:before="0" w:after="0"/>
        <w:rPr>
          <w:rFonts w:hint="eastAsia" w:ascii="宋体" w:hAnsi="宋体"/>
        </w:rPr>
      </w:pPr>
      <w:r>
        <w:rPr>
          <w:rFonts w:hint="eastAsia" w:ascii="宋体" w:hAnsi="宋体"/>
        </w:rPr>
      </w:r>
      <w:r/>
    </w:p>
    <w:p>
      <w:pPr>
        <w:pStyle w:val="894"/>
        <w:ind w:firstLine="0"/>
        <w:spacing w:before="0" w:after="0"/>
        <w:rPr>
          <w:rFonts w:hint="eastAsia" w:ascii="宋体" w:hAnsi="宋体"/>
        </w:rPr>
      </w:pPr>
      <w:r>
        <w:rPr>
          <w:rFonts w:hint="eastAsia" w:ascii="宋体" w:hAnsi="宋体"/>
        </w:rPr>
      </w:r>
      <w:r/>
    </w:p>
    <w:p>
      <w:pPr>
        <w:pStyle w:val="894"/>
        <w:ind w:firstLine="0"/>
        <w:jc w:val="center"/>
        <w:rPr>
          <w:b/>
          <w:bCs/>
          <w:sz w:val="32"/>
        </w:rPr>
      </w:pPr>
      <w:r>
        <w:rPr>
          <w:rFonts w:hint="eastAsia"/>
          <w:b/>
          <w:bCs/>
          <w:sz w:val="32"/>
        </w:rPr>
        <w:t xml:space="preserve">江苏省政府采购中心</w:t>
      </w:r>
      <w:r/>
    </w:p>
    <w:p>
      <w:pPr>
        <w:pStyle w:val="894"/>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8</w:t>
      </w:r>
      <w:r>
        <w:rPr>
          <w:rFonts w:hint="eastAsia"/>
          <w:b/>
          <w:bCs/>
          <w:sz w:val="32"/>
        </w:rPr>
        <w:t xml:space="preserve">月</w:t>
      </w:r>
      <w:r/>
    </w:p>
    <w:p>
      <w:pPr>
        <w:pStyle w:val="894"/>
        <w:ind w:firstLine="0"/>
        <w:rPr>
          <w:u w:val="single"/>
        </w:rPr>
      </w:pPr>
      <w:r>
        <w:rPr>
          <w:rFonts w:hint="eastAsia"/>
        </w:rPr>
        <w:t xml:space="preserve">                        </w:t>
      </w:r>
      <w:r/>
    </w:p>
    <w:p>
      <w:pPr>
        <w:pStyle w:val="89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rPr>
        <w:t xml:space="preserve"> </w:t>
      </w:r>
      <w:bookmarkStart w:id="6" w:name="_Toc235460863"/>
      <w:r>
        <w:rPr>
          <w:rFonts w:hint="eastAsia" w:ascii="黑体" w:hAnsi="Arial" w:eastAsia="黑体"/>
          <w:b/>
          <w:sz w:val="44"/>
        </w:rPr>
        <w:t xml:space="preserve">总  目</w:t>
      </w:r>
      <w:r>
        <w:rPr>
          <w:rFonts w:hint="eastAsia" w:ascii="黑体" w:hAnsi="Arial" w:eastAsia="黑体"/>
          <w:b/>
          <w:sz w:val="44"/>
        </w:rPr>
        <w:t xml:space="preserve">  录</w:t>
      </w:r>
      <w:bookmarkEnd w:id="6"/>
      <w:r/>
      <w:r/>
    </w:p>
    <w:p>
      <w:pPr>
        <w:pStyle w:val="743"/>
        <w:tabs>
          <w:tab w:val="right" w:pos="8943" w:leader="dot"/>
        </w:tabs>
        <w:rPr>
          <w:rFonts w:hint="eastAsia" w:ascii="等线" w:hAnsi="等线" w:eastAsia="等线"/>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_Toc235460863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43"/>
        <w:tabs>
          <w:tab w:val="right" w:pos="8943" w:leader="dot"/>
        </w:tabs>
        <w:rPr>
          <w:rFonts w:hint="eastAsia" w:ascii="等线" w:hAnsi="等线" w:eastAsia="等线"/>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_Toc235460864 \h</w:instrText>
      </w:r>
      <w:r>
        <w:rPr>
          <w:rFonts w:hint="eastAsia"/>
        </w:rPr>
        <w:instrText xml:space="preserve"> </w:instrText>
      </w:r>
      <w:r>
        <w:rPr>
          <w:rFonts w:hint="eastAsia"/>
        </w:rPr>
        <w:fldChar w:fldCharType="separate"/>
      </w:r>
      <w:r>
        <w:t xml:space="preserve">3</w:t>
      </w:r>
      <w:r>
        <w:rPr>
          <w:rFonts w:hint="eastAsia"/>
        </w:rPr>
        <w:fldChar w:fldCharType="end"/>
      </w:r>
      <w:r/>
    </w:p>
    <w:p>
      <w:pPr>
        <w:pStyle w:val="743"/>
        <w:tabs>
          <w:tab w:val="right" w:pos="8943" w:leader="dot"/>
        </w:tabs>
        <w:rPr>
          <w:rFonts w:hint="eastAsia" w:ascii="等线" w:hAnsi="等线" w:eastAsia="等线"/>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_Toc235460865 \h</w:instrText>
      </w:r>
      <w:r>
        <w:rPr>
          <w:rFonts w:hint="eastAsia"/>
        </w:rPr>
        <w:instrText xml:space="preserve"> </w:instrText>
      </w:r>
      <w:r>
        <w:rPr>
          <w:rFonts w:hint="eastAsia"/>
        </w:rPr>
        <w:fldChar w:fldCharType="separate"/>
      </w:r>
      <w:r>
        <w:t xml:space="preserve">7</w:t>
      </w:r>
      <w:r>
        <w:rPr>
          <w:rFonts w:hint="eastAsia"/>
        </w:rPr>
        <w:fldChar w:fldCharType="end"/>
      </w:r>
      <w:r/>
    </w:p>
    <w:p>
      <w:pPr>
        <w:pStyle w:val="743"/>
        <w:tabs>
          <w:tab w:val="right" w:pos="8943" w:leader="dot"/>
        </w:tabs>
        <w:rPr>
          <w:rFonts w:hint="eastAsia" w:ascii="等线" w:hAnsi="等线" w:eastAsia="等线"/>
          <w:sz w:val="22"/>
          <w:szCs w:val="24"/>
        </w:rPr>
      </w:pPr>
      <w:r>
        <w:rPr>
          <w:rFonts w:hint="eastAsia" w:ascii="黑体" w:eastAsia="黑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_Toc235460866 \h</w:instrText>
      </w:r>
      <w:r>
        <w:rPr>
          <w:rFonts w:hint="eastAsia"/>
        </w:rPr>
        <w:instrText xml:space="preserve"> </w:instrText>
      </w:r>
      <w:r>
        <w:rPr>
          <w:rFonts w:hint="eastAsia"/>
        </w:rPr>
        <w:fldChar w:fldCharType="separate"/>
      </w:r>
      <w:r>
        <w:t xml:space="preserve">17</w:t>
      </w:r>
      <w:r>
        <w:rPr>
          <w:rFonts w:hint="eastAsia"/>
        </w:rPr>
        <w:fldChar w:fldCharType="end"/>
      </w:r>
      <w:r/>
    </w:p>
    <w:p>
      <w:pPr>
        <w:pStyle w:val="743"/>
        <w:tabs>
          <w:tab w:val="right" w:pos="8943" w:leader="dot"/>
        </w:tabs>
        <w:rPr>
          <w:rFonts w:hint="eastAsia" w:ascii="等线" w:hAnsi="等线" w:eastAsia="等线"/>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_Toc235460867 \h</w:instrText>
      </w:r>
      <w:r>
        <w:rPr>
          <w:rFonts w:hint="eastAsia"/>
        </w:rPr>
        <w:instrText xml:space="preserve"> </w:instrText>
      </w:r>
      <w:r>
        <w:rPr>
          <w:rFonts w:hint="eastAsia"/>
        </w:rPr>
        <w:fldChar w:fldCharType="separate"/>
      </w:r>
      <w:r>
        <w:t xml:space="preserve">26</w:t>
      </w:r>
      <w:r>
        <w:rPr>
          <w:rFonts w:hint="eastAsia"/>
        </w:rPr>
        <w:fldChar w:fldCharType="end"/>
      </w:r>
      <w:r/>
    </w:p>
    <w:p>
      <w:pPr>
        <w:pStyle w:val="743"/>
        <w:tabs>
          <w:tab w:val="right" w:pos="8943" w:leader="dot"/>
        </w:tabs>
        <w:rPr>
          <w:rFonts w:hint="eastAsia" w:ascii="等线" w:hAnsi="等线" w:eastAsia="等线"/>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_Toc235460868 \h</w:instrText>
      </w:r>
      <w:r>
        <w:rPr>
          <w:rFonts w:hint="eastAsia"/>
        </w:rPr>
        <w:instrText xml:space="preserve"> </w:instrText>
      </w:r>
      <w:r>
        <w:rPr>
          <w:rFonts w:hint="eastAsia"/>
        </w:rPr>
        <w:fldChar w:fldCharType="separate"/>
      </w:r>
      <w:r>
        <w:t xml:space="preserve">35</w:t>
      </w:r>
      <w:r>
        <w:rPr>
          <w:rFonts w:hint="eastAsia"/>
        </w:rPr>
        <w:fldChar w:fldCharType="end"/>
      </w:r>
      <w:r/>
    </w:p>
    <w:p>
      <w:pPr>
        <w:pStyle w:val="743"/>
        <w:tabs>
          <w:tab w:val="right" w:pos="8943" w:leader="dot"/>
        </w:tabs>
        <w:rPr>
          <w:rFonts w:hint="eastAsia" w:ascii="等线" w:hAnsi="等线" w:eastAsia="等线"/>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_Toc235460869 \h</w:instrText>
      </w:r>
      <w:r>
        <w:rPr>
          <w:rFonts w:hint="eastAsia"/>
        </w:rPr>
        <w:instrText xml:space="preserve"> </w:instrText>
      </w:r>
      <w:r>
        <w:rPr>
          <w:rFonts w:hint="eastAsia"/>
        </w:rPr>
        <w:fldChar w:fldCharType="separate"/>
      </w:r>
      <w:r>
        <w:t xml:space="preserve">41</w:t>
      </w:r>
      <w:r>
        <w:rPr>
          <w:rFonts w:hint="eastAsia"/>
        </w:rP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711"/>
        <w:rPr>
          <w:rFonts w:ascii="黑体" w:eastAsia="黑体"/>
          <w:bCs/>
          <w:sz w:val="44"/>
          <w:szCs w:val="44"/>
        </w:rPr>
      </w:pPr>
      <w:r/>
      <w:bookmarkStart w:id="7" w:name="_Toc235460864"/>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受江苏省自然资源厅委托，江苏省政府采购中心就2026年江苏省部分省管海域水下地理信息数据获取(JSZC-320000-SCZX-G2026-0318)项目进行公开招标采购，欢迎符合条件的供应商投标。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2026年江苏省部分省管海域水下地理信息数据获取</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年9月18日09点30分（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3"/>
        <w:ind w:firstLine="498"/>
        <w:spacing w:before="145" w:after="145" w:line="400" w:lineRule="exact"/>
      </w:pPr>
      <w:r/>
      <w:bookmarkStart w:id="8" w:name="_Toc28359079"/>
      <w:r/>
      <w:bookmarkStart w:id="9" w:name="_Toc35393790"/>
      <w:r/>
      <w:bookmarkStart w:id="10" w:name="_Toc38985263"/>
      <w:r/>
      <w:bookmarkStart w:id="11" w:name="_Toc35393621"/>
      <w:r/>
      <w:bookmarkStart w:id="12" w:name="_Toc28359002"/>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1.采购编号：JSZC-320000-SCZX-G2026-0318</w:t>
      </w:r>
      <w:r/>
    </w:p>
    <w:p>
      <w:pPr>
        <w:ind w:firstLine="480"/>
        <w:spacing w:line="400" w:lineRule="exact"/>
        <w:rPr>
          <w:rFonts w:hint="eastAsia" w:ascii="宋体" w:hAnsi="宋体"/>
          <w:sz w:val="24"/>
          <w:szCs w:val="24"/>
        </w:rPr>
      </w:pPr>
      <w:r>
        <w:rPr>
          <w:rFonts w:hint="eastAsia" w:ascii="宋体" w:hAnsi="宋体"/>
          <w:sz w:val="24"/>
          <w:szCs w:val="24"/>
        </w:rPr>
        <w:t xml:space="preserve">2.项目名称：2026年江苏省部分省管海域水下地理信息数据获取</w:t>
      </w:r>
      <w:bookmarkEnd w:id="13"/>
      <w:r/>
      <w:r/>
    </w:p>
    <w:p>
      <w:pPr>
        <w:ind w:firstLine="480"/>
        <w:spacing w:line="400" w:lineRule="exact"/>
        <w:rPr>
          <w:rFonts w:hint="eastAsia" w:ascii="宋体" w:hAnsi="宋体" w:cs="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cs="宋体"/>
                <w:lang w:bidi="ar"/>
              </w:rPr>
              <w:t xml:space="preserve">预算金额（人民币）</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rPr>
            </w:pPr>
            <w:r>
              <w:rPr>
                <w:rFonts w:hint="eastAsia" w:ascii="宋体" w:hAnsi="宋体"/>
              </w:rPr>
              <w:t xml:space="preserve">457.0万元</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rPr>
            </w:pPr>
            <w:r>
              <w:rPr>
                <w:rFonts w:hint="eastAsia" w:ascii="宋体" w:hAnsi="宋体"/>
              </w:rPr>
              <w:t xml:space="preserve">453.7万元</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rPr>
            </w:pPr>
            <w:r>
              <w:rPr>
                <w:rFonts w:hint="eastAsia" w:ascii="宋体" w:hAnsi="宋体"/>
              </w:rPr>
              <w:t xml:space="preserve">450.3万元</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rPr>
            </w:pPr>
            <w:r>
              <w:rPr>
                <w:rFonts w:hint="eastAsia" w:ascii="宋体" w:hAnsi="宋体"/>
              </w:rPr>
              <w:t xml:space="preserve">447.0万元</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cs="宋体"/>
                <w:lang w:bidi="ar"/>
              </w:rPr>
              <w:t xml:space="preserve">最高限价（人民币）</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rPr>
            </w:pPr>
            <w:r>
              <w:rPr>
                <w:rFonts w:hint="eastAsia" w:ascii="宋体" w:hAnsi="宋体"/>
              </w:rPr>
              <w:t xml:space="preserve">457.0万元</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rPr>
            </w:pPr>
            <w:r>
              <w:rPr>
                <w:rFonts w:hint="eastAsia" w:ascii="宋体" w:hAnsi="宋体"/>
              </w:rPr>
              <w:t xml:space="preserve">453.7万元</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rPr>
            </w:pPr>
            <w:r>
              <w:rPr>
                <w:rFonts w:hint="eastAsia" w:ascii="宋体" w:hAnsi="宋体"/>
              </w:rPr>
              <w:t xml:space="preserve">450.3万元</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rFonts w:hint="eastAsia" w:ascii="宋体" w:hAnsi="宋体" w:cs="宋体"/>
              </w:rPr>
            </w:pPr>
            <w:r>
              <w:rPr>
                <w:rFonts w:hint="eastAsia" w:ascii="宋体" w:hAnsi="宋体"/>
              </w:rPr>
              <w:t xml:space="preserve">447.0万元</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lang w:bidi="ar"/>
        </w:rPr>
        <w:t xml:space="preserve">为加快推进陆海一体的实景三维江苏建设，支撑我省打造全国海洋经济高质量发展示范地，2026年计划安排获取江苏省部分省管海域水下地理信息数据，开展海底地形地貌调查。面向测绘单位进行公开招投标工作，本项目分为四个采购包。</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采购包一：连云港市赣榆港航道外侧海域，船测测量总面积约436.8平方千米，测线长度约10628千米。</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采购包二：连云港市车牛山岛南侧海域，总面积约525.4平方千米，测线长度约10550千米，含区域内4个海岛无人机LiDAR测量。</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采购包三：连云港市达山岛南侧海域，总面积约622.1平方千米，测线长度约10473千米。</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采购包四：连云港市达山岛东侧至领海外部界限海域，总面积约686.1平方千米，测线长度约10395千米。</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本项目每个采购包选取一名中标候选人，投标人可参与多个采购包投标，但同一投标人最多只能作一个采购包的中标候选人，不能兼中。评标委员会按采购包一、采购包二、采购包三、采购包四的顺序评审并确定中标候选人，采购包一的中标候选人不再参与采购包二、采购包三、采购包四的评审，采购包二的中标候选人不再参与采购包三、采购包四的评审，以此类推。</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（详细内容见本招标文件第四章） </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Times New Roman"/>
          <w:sz w:val="24"/>
          <w:szCs w:val="24"/>
          <w:lang w:bidi="ar"/>
        </w:rPr>
        <w:t xml:space="preserve">2026年12月30日前履行完毕。</w:t>
      </w:r>
      <w:r/>
    </w:p>
    <w:p>
      <w:pPr>
        <w:pStyle w:val="713"/>
        <w:ind w:firstLine="498"/>
        <w:spacing w:before="145" w:after="145" w:line="400" w:lineRule="exact"/>
      </w:pPr>
      <w:r/>
      <w:bookmarkStart w:id="14" w:name="_Toc35393622"/>
      <w:r/>
      <w:bookmarkStart w:id="15" w:name="_Toc28359003"/>
      <w:r/>
      <w:bookmarkStart w:id="16" w:name="_Toc35393791"/>
      <w:r/>
      <w:bookmarkStart w:id="17" w:name="_Toc28359080"/>
      <w:r/>
      <w:bookmarkStart w:id="18" w:name="_Toc38985264"/>
      <w:r>
        <w:rPr>
          <w:rFonts w:hint="eastAsia"/>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sz w:val="24"/>
          <w:szCs w:val="24"/>
        </w:rPr>
      </w:pPr>
      <w:r/>
      <w:bookmarkStart w:id="19" w:name="_Toc35393792"/>
      <w:r/>
      <w:bookmarkStart w:id="20" w:name="_Toc28359081"/>
      <w:r/>
      <w:bookmarkStart w:id="21" w:name="_Toc28359004"/>
      <w:r/>
      <w:bookmarkStart w:id="22" w:name="_Toc35393623"/>
      <w:r/>
      <w:bookmarkStart w:id="23"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400" w:lineRule="exact"/>
        <w:rPr>
          <w:rFonts w:hint="eastAsia" w:ascii="宋体" w:hAnsi="宋体"/>
          <w:b/>
          <w:bCs/>
          <w:sz w:val="24"/>
          <w:szCs w:val="24"/>
        </w:rPr>
      </w:pPr>
      <w:r>
        <w:rPr>
          <w:rFonts w:hint="eastAsia" w:ascii="宋体" w:hAnsi="宋体"/>
          <w:b/>
          <w:bCs/>
          <w:sz w:val="24"/>
          <w:szCs w:val="24"/>
        </w:rPr>
        <w:t xml:space="preserve">若为联合体投标，各成员方均需提供1.1-1.5项材料。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644"/>
      </w:tblGrid>
      <w:tr>
        <w:trPr>
          <w:trHeight w:val="90"/>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rPr>
            </w:pPr>
            <w:r>
              <w:rPr>
                <w:rFonts w:hint="eastAsia" w:ascii="宋体" w:hAnsi="宋体" w:cs="宋体"/>
                <w:lang w:bidi="ar"/>
              </w:rPr>
              <w:t xml:space="preserve">是否接受联合体投标（是/否）</w:t>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rPr>
            </w:pPr>
            <w:r>
              <w:rPr>
                <w:rFonts w:hint="eastAsia" w:ascii="宋体" w:hAnsi="宋体" w:cs="宋体"/>
                <w:lang w:bidi="ar"/>
              </w:rPr>
              <w:t xml:space="preserve">该采购包中联合体成员数量上限（含牵头单位）</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rPr>
            </w:pPr>
            <w:r>
              <w:rPr>
                <w:rFonts w:hint="eastAsia" w:ascii="宋体" w:hAnsi="宋体" w:cs="宋体"/>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rPr>
            </w:pPr>
            <w:r>
              <w:rPr>
                <w:rFonts w:hint="eastAsia" w:ascii="宋体" w:hAnsi="宋体" w:cs="宋体"/>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rPr>
            </w:pPr>
            <w:r>
              <w:rPr>
                <w:rFonts w:hint="eastAsia" w:ascii="宋体" w:hAnsi="宋体" w:cs="宋体"/>
                <w:lang w:bidi="ar"/>
              </w:rPr>
              <w:t xml:space="preserve">2</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rPr>
                <w:rFonts w:hint="eastAsia" w:ascii="宋体" w:hAnsi="宋体" w:cs="宋体"/>
              </w:rPr>
            </w:pPr>
            <w:r>
              <w:rPr>
                <w:rFonts w:hint="eastAsia" w:ascii="宋体" w:hAnsi="宋体" w:cs="宋体"/>
                <w:lang w:bidi="ar"/>
              </w:rPr>
              <w:t xml:space="preserve">是</w:t>
            </w:r>
            <w:r/>
          </w:p>
        </w:tc>
        <w:tc>
          <w:tcPr>
            <w:tcBorders>
              <w:top w:val="single" w:color="000000" w:sz="4" w:space="0"/>
              <w:left w:val="single" w:color="000000" w:sz="4" w:space="0"/>
              <w:bottom w:val="single" w:color="000000" w:sz="4" w:space="0"/>
              <w:right w:val="single" w:color="000000" w:sz="4" w:space="0"/>
            </w:tcBorders>
            <w:tcW w:w="3644" w:type="dxa"/>
            <w:textDirection w:val="lrTb"/>
            <w:noWrap w:val="false"/>
          </w:tcPr>
          <w:p>
            <w:pPr>
              <w:jc w:val="center"/>
              <w:rPr>
                <w:rFonts w:hint="eastAsia" w:ascii="宋体" w:hAnsi="宋体" w:cs="宋体"/>
              </w:rPr>
            </w:pPr>
            <w:r>
              <w:rPr>
                <w:rFonts w:hint="eastAsia" w:ascii="宋体" w:hAnsi="宋体" w:cs="宋体"/>
                <w:lang w:bidi="ar"/>
              </w:rPr>
              <w:t xml:space="preserve">2</w:t>
            </w:r>
            <w:r/>
          </w:p>
        </w:tc>
      </w:tr>
    </w:tbl>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p>
    <w:p>
      <w:pPr>
        <w:spacing w:line="400" w:lineRule="exact"/>
        <w:rPr>
          <w:rFonts w:hint="eastAsia" w:ascii="宋体" w:hAnsi="宋体" w:cs="宋体"/>
          <w:sz w:val="24"/>
          <w:szCs w:val="24"/>
        </w:rPr>
      </w:pPr>
      <w:r>
        <w:rPr>
          <w:rFonts w:hint="eastAsia" w:ascii="宋体" w:hAnsi="宋体" w:cs="宋体"/>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jc w:val="cente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rPr>
            </w:pPr>
            <w:r>
              <w:rPr>
                <w:rFonts w:hint="eastAsia" w:ascii="宋体" w:hAnsi="宋体" w:cs="宋体"/>
                <w:lang w:bidi="ar"/>
              </w:rPr>
              <w:t xml:space="preserve">采购包号</w:t>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center"/>
              <w:rPr>
                <w:rFonts w:hint="eastAsia" w:ascii="宋体" w:hAnsi="宋体" w:cs="宋体"/>
              </w:rPr>
            </w:pPr>
            <w:r>
              <w:rPr>
                <w:rFonts w:hint="eastAsia" w:ascii="宋体" w:hAnsi="宋体" w:cs="宋体"/>
                <w:lang w:bidi="ar"/>
              </w:rPr>
              <w:t xml:space="preserve">特定资格要求</w:t>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rPr>
            </w:pPr>
            <w:r>
              <w:rPr>
                <w:rFonts w:hint="eastAsia" w:ascii="宋体" w:hAnsi="宋体" w:cs="宋体"/>
                <w:lang w:bidi="ar"/>
              </w:rPr>
              <w:t xml:space="preserve">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p>
        </w:tc>
      </w:tr>
      <w:tr>
        <w:trPr>
          <w:jc w:val="center"/>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rPr>
            </w:pPr>
            <w:r>
              <w:rPr>
                <w:rFonts w:hint="eastAsia" w:ascii="宋体" w:hAnsi="宋体" w:cs="宋体"/>
                <w:lang w:bidi="ar"/>
              </w:rPr>
              <w:t xml:space="preserve">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p>
        </w:tc>
      </w:tr>
      <w:tr>
        <w:trPr>
          <w:jc w:val="center"/>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rPr>
            </w:pPr>
            <w:r>
              <w:rPr>
                <w:rFonts w:hint="eastAsia" w:ascii="宋体" w:hAnsi="宋体" w:cs="宋体"/>
                <w:lang w:bidi="ar"/>
              </w:rPr>
              <w:t xml:space="preserve">1.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p>
        </w:tc>
      </w:tr>
      <w:tr>
        <w:trPr>
          <w:jc w:val="center"/>
        </w:trPr>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left"/>
              <w:rPr>
                <w:rFonts w:hint="eastAsia" w:ascii="宋体" w:hAnsi="宋体" w:cs="宋体"/>
              </w:rPr>
            </w:pPr>
            <w:r>
              <w:rPr>
                <w:rFonts w:hint="eastAsia" w:ascii="宋体" w:hAnsi="宋体" w:cs="宋体"/>
                <w:lang w:bidi="ar"/>
              </w:rPr>
              <w:t xml:space="preserve">1.投标人具有行政主管部门颁发的甲级测绘资质，且其中专业类别包含海洋测绘甲级测绘资质。如是联合体投标的，则联合体成员均应具备海洋测绘甲级测绘资质且必须上传明确联合体成员工作内容分工的《联合体协议》（牵头单位承担工作量占比不得少于60%）。</w:t>
            </w:r>
            <w:r/>
          </w:p>
        </w:tc>
      </w:tr>
    </w:tbl>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13"/>
        <w:ind w:firstLine="498"/>
        <w:spacing w:before="145" w:after="145" w:line="400" w:lineRule="exact"/>
      </w:pPr>
      <w:r/>
      <w:bookmarkStart w:id="24" w:name="_Toc28359005"/>
      <w:r/>
      <w:bookmarkStart w:id="25" w:name="_Toc28359082"/>
      <w:r/>
      <w:bookmarkStart w:id="26" w:name="_Toc38985266"/>
      <w:r/>
      <w:bookmarkStart w:id="27" w:name="_Toc35393624"/>
      <w:r/>
      <w:bookmarkStart w:id="28" w:name="_Toc35393793"/>
      <w:r/>
      <w:bookmarkEnd w:id="19"/>
      <w:r/>
      <w:bookmarkEnd w:id="20"/>
      <w:r/>
      <w:bookmarkEnd w:id="21"/>
      <w:r/>
      <w:bookmarkEnd w:id="22"/>
      <w:r/>
      <w:bookmarkEnd w:id="2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2026年9月18日09点30分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9" w:name="_Toc28359007"/>
      <w:r/>
      <w:bookmarkStart w:id="30" w:name="_Toc28359084"/>
      <w:r/>
      <w:bookmarkStart w:id="31" w:name="_Toc35393625"/>
      <w:r/>
      <w:bookmarkStart w:id="32" w:name="_Toc38985267"/>
      <w:r/>
      <w:bookmarkStart w:id="33" w:name="_Toc35393794"/>
      <w:r>
        <w:rPr>
          <w:rFonts w:hint="eastAsia"/>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13"/>
        <w:ind w:firstLine="498"/>
        <w:spacing w:before="145" w:after="145" w:line="400" w:lineRule="exact"/>
      </w:pPr>
      <w:r/>
      <w:bookmarkStart w:id="34" w:name="_Toc35393626"/>
      <w:r/>
      <w:bookmarkStart w:id="35" w:name="_Toc35393795"/>
      <w:r/>
      <w:bookmarkStart w:id="36" w:name="_Toc38985268"/>
      <w:r>
        <w:rPr>
          <w:rFonts w:hint="eastAsia"/>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13"/>
        <w:ind w:firstLine="498"/>
        <w:spacing w:before="145" w:after="145" w:line="400" w:lineRule="exact"/>
      </w:pPr>
      <w:r/>
      <w:bookmarkStart w:id="37" w:name="_Toc28359008"/>
      <w:r/>
      <w:bookmarkStart w:id="38" w:name="_Toc35393627"/>
      <w:r/>
      <w:bookmarkStart w:id="39" w:name="_Toc35393796"/>
      <w:r/>
      <w:bookmarkStart w:id="40" w:name="_Toc38985269"/>
      <w:r/>
      <w:bookmarkStart w:id="41" w:name="_Toc28359085"/>
      <w:r>
        <w:rPr>
          <w:rFonts w:hint="eastAsia"/>
        </w:rPr>
        <w:t xml:space="preserve">七、本次招标联系方式</w:t>
      </w:r>
      <w:bookmarkEnd w:id="37"/>
      <w:r/>
      <w:bookmarkEnd w:id="38"/>
      <w:r/>
      <w:bookmarkEnd w:id="39"/>
      <w:r/>
      <w:bookmarkEnd w:id="40"/>
      <w:r/>
      <w:bookmarkEnd w:id="41"/>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left="210" w:firstLine="480"/>
        <w:spacing w:line="400" w:lineRule="exact"/>
        <w:rPr>
          <w:rFonts w:hint="eastAsia" w:ascii="宋体" w:hAnsi="宋体" w:cs="宋体"/>
          <w:bCs/>
          <w:sz w:val="24"/>
          <w:szCs w:val="24"/>
          <w:u w:val="single"/>
        </w:rPr>
      </w:pPr>
      <w:r/>
      <w:bookmarkStart w:id="42" w:name="_Toc28359009"/>
      <w:r/>
      <w:bookmarkStart w:id="43" w:name="_Toc28359086"/>
      <w:r>
        <w:rPr>
          <w:rFonts w:hint="eastAsia" w:ascii="宋体" w:hAnsi="宋体" w:cs="宋体"/>
          <w:bCs/>
          <w:sz w:val="24"/>
          <w:szCs w:val="24"/>
          <w:u w:val="single"/>
          <w:lang w:bidi="ar"/>
        </w:rPr>
        <w:t xml:space="preserve">名 称：江苏省自然资源厅</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地址：南京市水西门大街58号</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联系人：李文娟</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联系方式：025-86590345</w:t>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Start w:id="44" w:name="_Toc28359087"/>
      <w:r/>
      <w:bookmarkStart w:id="45" w:name="_Toc28359010"/>
      <w:r/>
      <w:bookmarkEnd w:id="42"/>
      <w:r/>
      <w:bookmarkEnd w:id="43"/>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4"/>
      <w:r/>
      <w:bookmarkEnd w:id="45"/>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713"/>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ind w:right="840"/>
        <w:rPr>
          <w:rFonts w:hint="eastAsia" w:ascii="宋体" w:hAnsi="宋体"/>
          <w:sz w:val="24"/>
          <w:szCs w:val="24"/>
        </w:rPr>
      </w:pPr>
      <w:r>
        <w:rPr>
          <w:rFonts w:ascii="宋体" w:hAnsi="宋体"/>
          <w:sz w:val="24"/>
          <w:szCs w:val="24"/>
        </w:rPr>
        <w:br w:type="page" w:clear="all"/>
      </w:r>
      <w:r/>
    </w:p>
    <w:p>
      <w:pPr>
        <w:pStyle w:val="711"/>
        <w:rPr>
          <w:rFonts w:ascii="黑体" w:eastAsia="黑体"/>
          <w:sz w:val="44"/>
          <w:szCs w:val="44"/>
        </w:rPr>
      </w:pPr>
      <w:r/>
      <w:bookmarkStart w:id="46" w:name="_Toc120614211"/>
      <w:r/>
      <w:bookmarkStart w:id="47" w:name="_Toc235460865"/>
      <w:r>
        <w:rPr>
          <w:rFonts w:hint="eastAsia" w:ascii="黑体" w:eastAsia="黑体"/>
          <w:sz w:val="44"/>
          <w:szCs w:val="44"/>
        </w:rPr>
        <w:t xml:space="preserve">第二章  </w:t>
      </w:r>
      <w:bookmarkStart w:id="48" w:name="_Toc513029202"/>
      <w:r/>
      <w:bookmarkStart w:id="49" w:name="_Toc120614213"/>
      <w:r/>
      <w:bookmarkStart w:id="50" w:name="_Toc20823274"/>
      <w:r/>
      <w:bookmarkStart w:id="51" w:name="_Toc16938518"/>
      <w:r/>
      <w:bookmarkEnd w:id="1"/>
      <w:r/>
      <w:bookmarkEnd w:id="2"/>
      <w:r/>
      <w:bookmarkEnd w:id="3"/>
      <w:r/>
      <w:bookmarkEnd w:id="4"/>
      <w:r/>
      <w:bookmarkEnd w:id="5"/>
      <w:r/>
      <w:bookmarkEnd w:id="46"/>
      <w:r>
        <w:rPr>
          <w:rFonts w:hint="eastAsia" w:ascii="黑体" w:eastAsia="黑体"/>
          <w:sz w:val="44"/>
          <w:szCs w:val="44"/>
        </w:rPr>
        <w:t xml:space="preserve">投标人须知</w:t>
      </w:r>
      <w:bookmarkEnd w:id="47"/>
      <w:r/>
      <w:bookmarkEnd w:id="48"/>
      <w:r/>
      <w:bookmarkEnd w:id="49"/>
      <w:r/>
      <w:bookmarkEnd w:id="50"/>
      <w:r/>
      <w:bookmarkEnd w:id="51"/>
      <w:r/>
      <w:r/>
    </w:p>
    <w:p>
      <w:pPr>
        <w:pStyle w:val="713"/>
        <w:ind w:firstLine="498"/>
        <w:spacing w:before="145" w:after="145" w:line="400" w:lineRule="exact"/>
      </w:pPr>
      <w:r/>
      <w:bookmarkStart w:id="52" w:name="_Toc120614214"/>
      <w:r/>
      <w:bookmarkStart w:id="53" w:name="_Toc16938519"/>
      <w:r/>
      <w:bookmarkStart w:id="54" w:name="_Toc513029203"/>
      <w:r/>
      <w:bookmarkStart w:id="55" w:name="_Toc20823275"/>
      <w:r/>
      <w:bookmarkStart w:id="56" w:name="OLE_LINK4"/>
      <w:r/>
      <w:bookmarkStart w:id="57" w:name="OLE_LINK6"/>
      <w:r/>
      <w:bookmarkStart w:id="58" w:name="OLE_LINK5"/>
      <w:r>
        <w:rPr>
          <w:rFonts w:hint="eastAsia"/>
        </w:rPr>
        <w:t xml:space="preserve">一、总则</w:t>
      </w:r>
      <w:bookmarkEnd w:id="52"/>
      <w:r/>
      <w:bookmarkEnd w:id="53"/>
      <w:r/>
      <w:bookmarkEnd w:id="54"/>
      <w:r/>
      <w:bookmarkEnd w:id="55"/>
      <w:r/>
      <w:r/>
    </w:p>
    <w:p>
      <w:pPr>
        <w:pStyle w:val="714"/>
        <w:ind w:firstLine="420"/>
        <w:spacing w:before="0" w:after="0" w:line="400" w:lineRule="exact"/>
        <w:rPr>
          <w:b w:val="0"/>
          <w:bCs w:val="0"/>
        </w:rPr>
      </w:pPr>
      <w:r/>
      <w:bookmarkStart w:id="59" w:name="_Hlt16619475"/>
      <w:r/>
      <w:bookmarkStart w:id="60" w:name="_Toc458694821"/>
      <w:r/>
      <w:bookmarkStart w:id="61" w:name="_Toc513029204"/>
      <w:r/>
      <w:bookmarkStart w:id="62" w:name="_Toc20823276"/>
      <w:r/>
      <w:bookmarkStart w:id="63" w:name="_Toc16938520"/>
      <w:r/>
      <w:bookmarkEnd w:id="59"/>
      <w:r>
        <w:rPr>
          <w:rFonts w:hint="eastAsia"/>
          <w:b w:val="0"/>
          <w:bCs w:val="0"/>
        </w:rPr>
        <w:t xml:space="preserve">1</w:t>
      </w:r>
      <w:bookmarkEnd w:id="60"/>
      <w:r>
        <w:rPr>
          <w:rFonts w:hint="eastAsia"/>
          <w:b w:val="0"/>
          <w:bCs w:val="0"/>
        </w:rPr>
        <w:t xml:space="preserve">、招标方式</w:t>
      </w:r>
      <w:bookmarkEnd w:id="61"/>
      <w:r/>
      <w:bookmarkEnd w:id="62"/>
      <w:r/>
      <w:bookmarkEnd w:id="6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14"/>
        <w:ind w:firstLine="420"/>
        <w:spacing w:before="0" w:after="0" w:line="400" w:lineRule="exact"/>
        <w:rPr>
          <w:b w:val="0"/>
          <w:bCs w:val="0"/>
        </w:rPr>
      </w:pPr>
      <w:r/>
      <w:bookmarkStart w:id="64" w:name="_Toc513029205"/>
      <w:r/>
      <w:bookmarkStart w:id="65" w:name="_Toc20823277"/>
      <w:r/>
      <w:bookmarkStart w:id="66" w:name="_Toc16938521"/>
      <w:r>
        <w:rPr>
          <w:rFonts w:hint="eastAsia"/>
          <w:b w:val="0"/>
          <w:bCs w:val="0"/>
        </w:rPr>
        <w:t xml:space="preserve">2</w:t>
      </w:r>
      <w:r>
        <w:rPr>
          <w:rFonts w:hint="eastAsia"/>
          <w:b w:val="0"/>
          <w:bCs w:val="0"/>
        </w:rPr>
        <w:t xml:space="preserve">、合格的投标人</w:t>
      </w:r>
      <w:bookmarkEnd w:id="64"/>
      <w:r/>
      <w:bookmarkEnd w:id="65"/>
      <w:r/>
      <w:bookmarkEnd w:id="6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14"/>
        <w:ind w:firstLine="422"/>
        <w:spacing w:before="0" w:after="0" w:line="400" w:lineRule="exact"/>
      </w:pPr>
      <w:r/>
      <w:bookmarkStart w:id="67" w:name="_Toc20823278"/>
      <w:r/>
      <w:bookmarkStart w:id="68" w:name="_Toc16938522"/>
      <w:r/>
      <w:bookmarkStart w:id="69" w:name="_Toc513029206"/>
      <w:r>
        <w:rPr>
          <w:rFonts w:hint="eastAsia"/>
        </w:rPr>
        <w:t xml:space="preserve">3</w:t>
      </w:r>
      <w:r>
        <w:rPr>
          <w:rFonts w:hint="eastAsia"/>
        </w:rPr>
        <w:t xml:space="preserve">、适用法律</w:t>
      </w:r>
      <w:bookmarkEnd w:id="67"/>
      <w:r/>
      <w:bookmarkEnd w:id="68"/>
      <w:r/>
      <w:bookmarkEnd w:id="69"/>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0" w:name="_Toc20823279"/>
      <w:r/>
      <w:bookmarkStart w:id="71" w:name="_Toc462564067"/>
      <w:r/>
      <w:bookmarkStart w:id="72" w:name="_Toc16938523"/>
      <w:r/>
      <w:bookmarkStart w:id="73" w:name="_Toc513029207"/>
      <w:r>
        <w:rPr>
          <w:rFonts w:hint="eastAsia" w:ascii="宋体" w:hAnsi="宋体"/>
          <w:sz w:val="24"/>
        </w:rPr>
        <w:t xml:space="preserve">3.2 在本项目政府采购活动过程中，如果所执行的标准有更新的，按照最新标准执行。</w:t>
      </w:r>
      <w:r/>
    </w:p>
    <w:p>
      <w:pPr>
        <w:pStyle w:val="714"/>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70"/>
      <w:r/>
      <w:bookmarkEnd w:id="71"/>
      <w:r/>
      <w:bookmarkEnd w:id="72"/>
      <w:r/>
      <w:bookmarkEnd w:id="7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14"/>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13"/>
        <w:ind w:firstLine="321"/>
        <w:spacing w:before="145" w:after="145" w:line="400" w:lineRule="exact"/>
      </w:pPr>
      <w:r/>
      <w:bookmarkStart w:id="74" w:name="_Toc120614215"/>
      <w:r/>
      <w:bookmarkStart w:id="75" w:name="_Toc513029209"/>
      <w:r/>
      <w:bookmarkStart w:id="76" w:name="_Toc20823281"/>
      <w:r/>
      <w:bookmarkStart w:id="77" w:name="_Toc16938525"/>
      <w:r>
        <w:rPr>
          <w:rFonts w:hint="eastAsia"/>
        </w:rPr>
        <w:t xml:space="preserve">二、招标文件</w:t>
      </w:r>
      <w:bookmarkEnd w:id="74"/>
      <w:r/>
      <w:bookmarkEnd w:id="75"/>
      <w:r/>
      <w:bookmarkEnd w:id="76"/>
      <w:r/>
      <w:bookmarkEnd w:id="77"/>
      <w:r/>
      <w:r/>
    </w:p>
    <w:p>
      <w:pPr>
        <w:pStyle w:val="714"/>
        <w:ind w:firstLine="420"/>
        <w:spacing w:before="0" w:after="0" w:line="400" w:lineRule="exact"/>
        <w:rPr>
          <w:b w:val="0"/>
          <w:bCs w:val="0"/>
        </w:rPr>
      </w:pPr>
      <w:r/>
      <w:bookmarkStart w:id="78" w:name="_Toc16938526"/>
      <w:r/>
      <w:bookmarkStart w:id="79" w:name="_Toc513029210"/>
      <w:r/>
      <w:bookmarkStart w:id="80" w:name="_Toc20823282"/>
      <w:r>
        <w:rPr>
          <w:rFonts w:hint="eastAsia"/>
          <w:b w:val="0"/>
          <w:bCs w:val="0"/>
        </w:rPr>
        <w:t xml:space="preserve">6</w:t>
      </w:r>
      <w:r>
        <w:rPr>
          <w:rFonts w:hint="eastAsia"/>
          <w:b w:val="0"/>
          <w:bCs w:val="0"/>
        </w:rPr>
        <w:t xml:space="preserve">、招标文件构成</w:t>
      </w:r>
      <w:bookmarkEnd w:id="78"/>
      <w:r/>
      <w:bookmarkEnd w:id="79"/>
      <w:r/>
      <w:bookmarkEnd w:id="8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560"/>
        <w:spacing w:before="0" w:after="0" w:line="400" w:lineRule="exact"/>
        <w:rPr>
          <w:b w:val="0"/>
          <w:bCs w:val="0"/>
        </w:rPr>
      </w:pPr>
      <w:r/>
      <w:bookmarkStart w:id="81" w:name="_Toc16938528"/>
      <w:r/>
      <w:bookmarkStart w:id="82" w:name="_Toc462564071"/>
      <w:r/>
      <w:bookmarkStart w:id="83" w:name="_Toc20823284"/>
      <w:r/>
      <w:bookmarkStart w:id="84" w:name="_Toc513029212"/>
      <w:r>
        <w:rPr>
          <w:b w:val="0"/>
          <w:bCs w:val="0"/>
        </w:rPr>
        <w:t xml:space="preserve">7</w:t>
      </w:r>
      <w:r>
        <w:rPr>
          <w:rFonts w:hint="eastAsia"/>
          <w:b w:val="0"/>
          <w:bCs w:val="0"/>
        </w:rPr>
        <w:t xml:space="preserve">、招标文件的修改</w:t>
      </w:r>
      <w:bookmarkEnd w:id="81"/>
      <w:r/>
      <w:bookmarkEnd w:id="82"/>
      <w:r/>
      <w:bookmarkEnd w:id="83"/>
      <w:r/>
      <w:bookmarkEnd w:id="8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13"/>
        <w:ind w:firstLine="482"/>
        <w:spacing w:before="145" w:after="145" w:line="400" w:lineRule="exact"/>
      </w:pPr>
      <w:r/>
      <w:bookmarkStart w:id="85" w:name="_Toc120614216"/>
      <w:r/>
      <w:bookmarkStart w:id="86" w:name="_Toc20823285"/>
      <w:r/>
      <w:bookmarkStart w:id="87" w:name="_Toc16938529"/>
      <w:r/>
      <w:bookmarkStart w:id="88" w:name="_Toc462564072"/>
      <w:r/>
      <w:bookmarkStart w:id="89" w:name="_Toc513029213"/>
      <w:r>
        <w:rPr>
          <w:rFonts w:hint="eastAsia"/>
        </w:rPr>
        <w:t xml:space="preserve">三、投标文件的编制</w:t>
      </w:r>
      <w:bookmarkEnd w:id="85"/>
      <w:r/>
      <w:bookmarkEnd w:id="86"/>
      <w:r/>
      <w:bookmarkEnd w:id="87"/>
      <w:r/>
      <w:bookmarkEnd w:id="88"/>
      <w:r/>
      <w:bookmarkEnd w:id="89"/>
      <w:r/>
      <w:r/>
    </w:p>
    <w:p>
      <w:pPr>
        <w:pStyle w:val="714"/>
        <w:ind w:firstLine="560"/>
        <w:spacing w:before="0" w:after="0" w:line="400" w:lineRule="exact"/>
        <w:rPr>
          <w:bCs w:val="0"/>
        </w:rPr>
      </w:pPr>
      <w:r/>
      <w:bookmarkStart w:id="90" w:name="_Toc16938530"/>
      <w:r/>
      <w:bookmarkStart w:id="91" w:name="_Toc462564073"/>
      <w:r/>
      <w:bookmarkStart w:id="92" w:name="_Toc20823286"/>
      <w:r/>
      <w:bookmarkStart w:id="93" w:name="_Toc513029214"/>
      <w:r>
        <w:rPr>
          <w:b w:val="0"/>
          <w:bCs w:val="0"/>
        </w:rPr>
        <w:t xml:space="preserve">8</w:t>
      </w:r>
      <w:r>
        <w:rPr>
          <w:rFonts w:hint="eastAsia"/>
          <w:b w:val="0"/>
          <w:bCs w:val="0"/>
        </w:rPr>
        <w:t xml:space="preserve">、投标文件的语言及度量衡单位</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14"/>
        <w:ind w:firstLine="420"/>
        <w:spacing w:before="0" w:after="0" w:line="400" w:lineRule="exact"/>
        <w:rPr>
          <w:b w:val="0"/>
          <w:bCs w:val="0"/>
        </w:rPr>
      </w:pPr>
      <w:r/>
      <w:bookmarkStart w:id="94" w:name="_Toc462564074"/>
      <w:r/>
      <w:bookmarkStart w:id="95" w:name="_Toc16938531"/>
      <w:r/>
      <w:bookmarkStart w:id="96" w:name="_Toc513029215"/>
      <w:r/>
      <w:bookmarkStart w:id="97" w:name="_Toc20823287"/>
      <w:r>
        <w:rPr>
          <w:b w:val="0"/>
          <w:bCs w:val="0"/>
        </w:rPr>
        <w:t xml:space="preserve">9</w:t>
      </w:r>
      <w:r>
        <w:rPr>
          <w:rFonts w:hint="eastAsia"/>
          <w:b w:val="0"/>
          <w:bCs w:val="0"/>
        </w:rPr>
        <w:t xml:space="preserve">、投标文件构成</w:t>
      </w:r>
      <w:bookmarkEnd w:id="94"/>
      <w:r/>
      <w:bookmarkEnd w:id="95"/>
      <w:r/>
      <w:bookmarkEnd w:id="96"/>
      <w:r/>
      <w:bookmarkEnd w:id="9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14"/>
        <w:ind w:firstLine="420"/>
        <w:spacing w:before="0" w:after="0" w:line="400" w:lineRule="exact"/>
        <w:rPr>
          <w:b w:val="0"/>
          <w:bCs w:val="0"/>
        </w:rPr>
      </w:pPr>
      <w:r/>
      <w:bookmarkStart w:id="98" w:name="_Hlt26670360"/>
      <w:r/>
      <w:bookmarkStart w:id="99" w:name="_Hlt26668975"/>
      <w:r/>
      <w:bookmarkStart w:id="100" w:name="_Hlt26954838"/>
      <w:r/>
      <w:bookmarkStart w:id="101" w:name="_Toc49090509"/>
      <w:r/>
      <w:bookmarkStart w:id="102" w:name="_Toc14577357"/>
      <w:r/>
      <w:bookmarkStart w:id="103" w:name="_Toc513029219"/>
      <w:r/>
      <w:bookmarkStart w:id="104" w:name="_Toc513029216"/>
      <w:r/>
      <w:bookmarkStart w:id="105" w:name="_Toc14577354"/>
      <w:r/>
      <w:bookmarkStart w:id="106" w:name="_Toc49090507"/>
      <w:r/>
      <w:bookmarkEnd w:id="98"/>
      <w:r/>
      <w:bookmarkEnd w:id="99"/>
      <w:r/>
      <w:bookmarkEnd w:id="10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r/>
    </w:p>
    <w:p>
      <w:pPr>
        <w:spacing w:line="40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14"/>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14"/>
        <w:ind w:firstLine="420"/>
        <w:spacing w:before="0" w:after="0" w:line="400" w:lineRule="exact"/>
        <w:rPr>
          <w:b w:val="0"/>
          <w:bCs w:val="0"/>
        </w:rPr>
      </w:pPr>
      <w:r/>
      <w:bookmarkStart w:id="112" w:name="_Hlt26670486"/>
      <w:r/>
      <w:bookmarkStart w:id="113" w:name="_Hlt26954731"/>
      <w:r/>
      <w:bookmarkStart w:id="114" w:name="_Hlt26954842"/>
      <w:r/>
      <w:bookmarkStart w:id="115" w:name="_Hlt26954846"/>
      <w:r/>
      <w:bookmarkStart w:id="116" w:name="_Hlt26954844"/>
      <w:r/>
      <w:bookmarkStart w:id="117" w:name="_Hlt26954848"/>
      <w:r/>
      <w:bookmarkStart w:id="118" w:name="_Hlt26670425"/>
      <w:r/>
      <w:bookmarkStart w:id="119" w:name="_Hlt26670482"/>
      <w:r/>
      <w:bookmarkStart w:id="120" w:name="_Hlt26668983"/>
      <w:r/>
      <w:bookmarkStart w:id="121" w:name="_Hlt26670403"/>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rPr>
      </w:pPr>
      <w:r/>
      <w:bookmarkStart w:id="122" w:name="_Toc49090510"/>
      <w:r/>
      <w:bookmarkStart w:id="123"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14"/>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14"/>
        <w:ind w:firstLine="420"/>
        <w:spacing w:before="0" w:after="0" w:line="400" w:lineRule="exact"/>
        <w:rPr>
          <w:b w:val="0"/>
          <w:bCs w:val="0"/>
        </w:rPr>
      </w:pPr>
      <w:r/>
      <w:bookmarkStart w:id="124" w:name="_Hlt26954850"/>
      <w:r/>
      <w:bookmarkStart w:id="125" w:name="_Hlt26954734"/>
      <w:r/>
      <w:bookmarkStart w:id="126" w:name="_Hlt26670489"/>
      <w:r/>
      <w:bookmarkStart w:id="127" w:name="_Toc49090511"/>
      <w:r/>
      <w:bookmarkStart w:id="128" w:name="_Toc14577360"/>
      <w:r/>
      <w:bookmarkEnd w:id="122"/>
      <w:r/>
      <w:bookmarkEnd w:id="123"/>
      <w:r/>
      <w:bookmarkEnd w:id="124"/>
      <w:r/>
      <w:bookmarkEnd w:id="125"/>
      <w:r/>
      <w:bookmarkEnd w:id="126"/>
      <w:r>
        <w:rPr>
          <w:rFonts w:hint="eastAsia"/>
          <w:b w:val="0"/>
          <w:bCs w:val="0"/>
        </w:rPr>
        <w:t xml:space="preserve">1</w:t>
      </w:r>
      <w:r>
        <w:rPr>
          <w:b w:val="0"/>
          <w:bCs w:val="0"/>
        </w:rPr>
        <w:t xml:space="preserve">4</w:t>
      </w:r>
      <w:r>
        <w:rPr>
          <w:rFonts w:hint="eastAsia"/>
          <w:b w:val="0"/>
          <w:bCs w:val="0"/>
        </w:rPr>
        <w:t xml:space="preserve">、投标有效期</w:t>
      </w:r>
      <w:bookmarkEnd w:id="127"/>
      <w:r/>
      <w:bookmarkEnd w:id="12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4"/>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13"/>
        <w:ind w:firstLine="482"/>
        <w:spacing w:before="145" w:after="145" w:line="400" w:lineRule="exact"/>
      </w:pPr>
      <w:r/>
      <w:bookmarkStart w:id="129" w:name="_Hlt26954739"/>
      <w:r/>
      <w:bookmarkStart w:id="130" w:name="_Hlt26954852"/>
      <w:r/>
      <w:bookmarkStart w:id="131" w:name="_Toc20823296"/>
      <w:r/>
      <w:bookmarkStart w:id="132" w:name="_Toc16938540"/>
      <w:r/>
      <w:bookmarkStart w:id="133" w:name="_Toc513029224"/>
      <w:r/>
      <w:bookmarkStart w:id="134" w:name="_Toc120614217"/>
      <w:r/>
      <w:bookmarkEnd w:id="129"/>
      <w:r/>
      <w:bookmarkEnd w:id="130"/>
      <w:r>
        <w:rPr>
          <w:rFonts w:hint="eastAsia"/>
        </w:rPr>
        <w:t xml:space="preserve">四、投标文件的递交</w:t>
      </w:r>
      <w:bookmarkEnd w:id="131"/>
      <w:r/>
      <w:bookmarkEnd w:id="132"/>
      <w:r/>
      <w:bookmarkEnd w:id="133"/>
      <w:r/>
      <w:bookmarkEnd w:id="134"/>
      <w:r/>
      <w:r/>
    </w:p>
    <w:p>
      <w:pPr>
        <w:pStyle w:val="714"/>
        <w:ind w:firstLine="560"/>
        <w:spacing w:before="0" w:after="0" w:line="400" w:lineRule="exact"/>
        <w:rPr>
          <w:rFonts w:ascii="黑体"/>
          <w:b w:val="0"/>
          <w:bCs w:val="0"/>
        </w:rPr>
      </w:pPr>
      <w:r/>
      <w:bookmarkStart w:id="135" w:name="_Toc20823297"/>
      <w:r/>
      <w:bookmarkStart w:id="136" w:name="_Toc462564084"/>
      <w:r/>
      <w:bookmarkStart w:id="137" w:name="_Toc513029225"/>
      <w:r/>
      <w:bookmarkStart w:id="138"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89"/>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
    </w:p>
    <w:p>
      <w:pPr>
        <w:pStyle w:val="714"/>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14"/>
        <w:ind w:firstLine="420"/>
        <w:spacing w:before="0" w:after="0" w:line="400" w:lineRule="exact"/>
        <w:rPr>
          <w:b w:val="0"/>
          <w:bCs w:val="0"/>
        </w:rPr>
      </w:pPr>
      <w:r/>
      <w:bookmarkStart w:id="142" w:name="_Toc20823299"/>
      <w:r/>
      <w:bookmarkStart w:id="143" w:name="_Toc16938543"/>
      <w:r/>
      <w:bookmarkStart w:id="144" w:name="_Toc513029227"/>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14"/>
        <w:ind w:firstLine="420"/>
        <w:spacing w:before="0" w:after="0" w:line="400" w:lineRule="exact"/>
        <w:rPr>
          <w:b w:val="0"/>
          <w:bCs w:val="0"/>
        </w:rPr>
      </w:pPr>
      <w:r/>
      <w:bookmarkStart w:id="145" w:name="_Toc20823300"/>
      <w:r/>
      <w:bookmarkStart w:id="146" w:name="_Toc16938544"/>
      <w:r/>
      <w:bookmarkStart w:id="147" w:name="_Toc513029228"/>
      <w:r>
        <w:rPr>
          <w:b w:val="0"/>
          <w:bCs w:val="0"/>
        </w:rPr>
        <w:t xml:space="preserve">19</w:t>
      </w:r>
      <w:r>
        <w:rPr>
          <w:rFonts w:hint="eastAsia"/>
          <w:b w:val="0"/>
          <w:bCs w:val="0"/>
        </w:rPr>
        <w:t xml:space="preserve">、投标文件的撤回和修改</w:t>
      </w:r>
      <w:bookmarkEnd w:id="145"/>
      <w:r/>
      <w:bookmarkEnd w:id="146"/>
      <w:r/>
      <w:bookmarkEnd w:id="14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13"/>
        <w:ind w:firstLine="482"/>
        <w:spacing w:before="145" w:after="145" w:line="400" w:lineRule="exact"/>
      </w:pPr>
      <w:r/>
      <w:bookmarkStart w:id="148" w:name="_Toc16938545"/>
      <w:r/>
      <w:bookmarkStart w:id="149" w:name="_Toc513029229"/>
      <w:r/>
      <w:bookmarkStart w:id="150" w:name="_Toc120614218"/>
      <w:r/>
      <w:bookmarkStart w:id="151" w:name="_Toc20823301"/>
      <w:r>
        <w:rPr>
          <w:rFonts w:hint="eastAsia"/>
        </w:rPr>
        <w:t xml:space="preserve">五、开标与评标</w:t>
      </w:r>
      <w:bookmarkEnd w:id="148"/>
      <w:r/>
      <w:bookmarkEnd w:id="149"/>
      <w:r/>
      <w:bookmarkEnd w:id="150"/>
      <w:r/>
      <w:bookmarkEnd w:id="151"/>
      <w:r/>
      <w:r/>
    </w:p>
    <w:p>
      <w:pPr>
        <w:pStyle w:val="714"/>
        <w:ind w:firstLine="420"/>
        <w:spacing w:before="0" w:after="0" w:line="400" w:lineRule="exact"/>
        <w:rPr>
          <w:b w:val="0"/>
          <w:bCs w:val="0"/>
        </w:rPr>
      </w:pPr>
      <w:r/>
      <w:bookmarkStart w:id="152" w:name="_Toc16938546"/>
      <w:r/>
      <w:bookmarkStart w:id="153" w:name="_Toc20823302"/>
      <w:r/>
      <w:bookmarkStart w:id="154" w:name="_Toc513029230"/>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14"/>
        <w:ind w:firstLine="420"/>
        <w:spacing w:before="0" w:after="0" w:line="400" w:lineRule="exact"/>
        <w:rPr>
          <w:b w:val="0"/>
          <w:bCs w:val="0"/>
        </w:rPr>
      </w:pPr>
      <w:r/>
      <w:bookmarkStart w:id="155" w:name="_Toc20823303"/>
      <w:r/>
      <w:bookmarkStart w:id="156" w:name="_Toc513029231"/>
      <w:r/>
      <w:bookmarkStart w:id="157"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14"/>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14"/>
        <w:ind w:firstLine="420"/>
        <w:spacing w:before="0" w:after="0" w:line="400" w:lineRule="exact"/>
        <w:rPr>
          <w:b w:val="0"/>
          <w:bCs w:val="0"/>
        </w:rPr>
      </w:pPr>
      <w:r/>
      <w:bookmarkStart w:id="158" w:name="_Toc16938548"/>
      <w:r/>
      <w:bookmarkStart w:id="159" w:name="_Toc513029232"/>
      <w:r/>
      <w:bookmarkStart w:id="160" w:name="_Toc20823304"/>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14"/>
        <w:ind w:firstLine="420"/>
        <w:spacing w:before="0" w:after="0" w:line="400" w:lineRule="exact"/>
        <w:rPr>
          <w:b w:val="0"/>
          <w:bCs w:val="0"/>
        </w:rPr>
      </w:pPr>
      <w:r/>
      <w:bookmarkStart w:id="161" w:name="_Toc16938549"/>
      <w:r/>
      <w:bookmarkStart w:id="162" w:name="_Toc20823305"/>
      <w:r/>
      <w:bookmarkStart w:id="163"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4" w:name="_Toc16938550"/>
      <w:r/>
      <w:bookmarkStart w:id="165" w:name="_Toc513029234"/>
      <w:r/>
      <w:bookmarkStart w:id="166"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14"/>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00" w:lineRule="exact"/>
        <w:rPr>
          <w:rFonts w:hint="eastAsia" w:ascii="宋体" w:hAnsi="宋体"/>
          <w:bCs/>
          <w:sz w:val="24"/>
        </w:rPr>
      </w:pPr>
      <w:r/>
      <w:bookmarkStart w:id="167" w:name="_Toc513029235"/>
      <w:r/>
      <w:bookmarkStart w:id="168" w:name="_Toc16938551"/>
      <w:r/>
      <w:bookmarkStart w:id="169"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sz w:val="24"/>
          <w:szCs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color w:val="333333"/>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13"/>
        <w:ind w:firstLine="482"/>
        <w:spacing w:before="145" w:after="145" w:line="40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14"/>
        <w:ind w:firstLine="600"/>
        <w:spacing w:before="0" w:after="0" w:line="400" w:lineRule="exact"/>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w:t>
      </w:r>
      <w:r>
        <w:rPr>
          <w:rFonts w:hint="eastAsia" w:ascii="宋体" w:hAnsi="宋体"/>
          <w:sz w:val="24"/>
          <w:szCs w:val="24"/>
        </w:rPr>
        <w:t xml:space="preserve">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1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b/>
          <w:bCs/>
          <w:sz w:val="24"/>
          <w:szCs w:val="24"/>
        </w:rPr>
        <w:t xml:space="preserve">供应商（含</w:t>
      </w:r>
      <w:r>
        <w:rPr>
          <w:rFonts w:ascii="宋体" w:hAnsi="宋体"/>
          <w:b/>
          <w:bCs/>
          <w:sz w:val="24"/>
          <w:szCs w:val="24"/>
        </w:rPr>
        <w:t xml:space="preserve">潜在供应商）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3"/>
        <w:spacing w:before="145" w:after="145" w:line="400" w:lineRule="exact"/>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
    </w:p>
    <w:p>
      <w:pPr>
        <w:pStyle w:val="714"/>
        <w:ind w:firstLine="600"/>
        <w:spacing w:before="0" w:after="0" w:line="400" w:lineRule="exact"/>
        <w:rPr>
          <w:rFonts w:hint="eastAsia" w:ascii="黑体" w:hAnsi="宋体" w:cs="Times New Roman"/>
          <w:b w:val="0"/>
          <w:sz w:val="30"/>
          <w:szCs w:val="30"/>
        </w:rPr>
      </w:pPr>
      <w:r/>
      <w:bookmarkStart w:id="179" w:name="_Toc513029237"/>
      <w:r/>
      <w:bookmarkStart w:id="180" w:name="_Toc20823309"/>
      <w:r/>
      <w:bookmarkStart w:id="181" w:name="_Toc16938553"/>
      <w:r/>
      <w:bookmarkEnd w:id="176"/>
      <w:r/>
      <w:bookmarkEnd w:id="177"/>
      <w:r/>
      <w:bookmarkEnd w:id="178"/>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1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14"/>
        <w:ind w:firstLine="600"/>
        <w:spacing w:before="0" w:after="0" w:line="400" w:lineRule="exact"/>
        <w:rPr>
          <w:rFonts w:hint="eastAsia" w:ascii="黑体" w:hAnsi="宋体" w:cs="Times New Roman"/>
          <w:b w:val="0"/>
          <w:sz w:val="30"/>
          <w:szCs w:val="30"/>
        </w:rPr>
      </w:pPr>
      <w:r/>
      <w:bookmarkStart w:id="182" w:name="_Toc120614221"/>
      <w:r/>
      <w:bookmarkStart w:id="183" w:name="_Toc16938558"/>
      <w:r/>
      <w:bookmarkStart w:id="184" w:name="_Toc513029242"/>
      <w:r/>
      <w:bookmarkStart w:id="185" w:name="_Toc479757207"/>
      <w:r/>
      <w:bookmarkStart w:id="186" w:name="_Toc20823314"/>
      <w:r/>
      <w:bookmarkEnd w:id="179"/>
      <w:r/>
      <w:bookmarkEnd w:id="180"/>
      <w:r/>
      <w:bookmarkEnd w:id="18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23"/>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23"/>
        <w:ind w:firstLine="0"/>
        <w:spacing w:line="400" w:lineRule="exact"/>
        <w:rPr>
          <w:rFonts w:hint="eastAsia" w:ascii="宋体" w:hAnsi="宋体"/>
          <w:bCs/>
          <w:sz w:val="24"/>
        </w:rPr>
      </w:pPr>
      <w:r>
        <w:rPr>
          <w:rFonts w:hint="eastAsia" w:ascii="宋体" w:hAnsi="宋体"/>
          <w:bCs/>
          <w:sz w:val="24"/>
        </w:rPr>
        <w:br w:type="page" w:clear="all"/>
      </w:r>
      <w:r/>
    </w:p>
    <w:p>
      <w:pPr>
        <w:pStyle w:val="711"/>
        <w:rPr>
          <w:rFonts w:ascii="黑体" w:eastAsia="黑体"/>
          <w:bCs/>
          <w:sz w:val="44"/>
        </w:rPr>
      </w:pPr>
      <w:r/>
      <w:bookmarkStart w:id="187" w:name="_Toc235460866"/>
      <w:r/>
      <w:bookmarkEnd w:id="56"/>
      <w:r/>
      <w:bookmarkEnd w:id="57"/>
      <w:r/>
      <w:bookmarkEnd w:id="58"/>
      <w:r>
        <w:rPr>
          <w:rFonts w:hint="eastAsia" w:ascii="黑体" w:eastAsia="黑体"/>
          <w:sz w:val="44"/>
          <w:szCs w:val="44"/>
        </w:rPr>
        <w:t xml:space="preserve">第三章  合同</w:t>
      </w:r>
      <w:bookmarkEnd w:id="182"/>
      <w:r/>
      <w:bookmarkEnd w:id="183"/>
      <w:r/>
      <w:bookmarkEnd w:id="184"/>
      <w:r/>
      <w:bookmarkEnd w:id="185"/>
      <w:r/>
      <w:bookmarkEnd w:id="186"/>
      <w:r>
        <w:rPr>
          <w:rFonts w:hint="eastAsia" w:ascii="黑体" w:eastAsia="黑体"/>
          <w:sz w:val="44"/>
          <w:szCs w:val="44"/>
        </w:rPr>
        <w:t xml:space="preserve">文本</w:t>
      </w:r>
      <w:bookmarkEnd w:id="187"/>
      <w:r/>
      <w:r/>
    </w:p>
    <w:p>
      <w:pPr>
        <w:ind w:firstLine="723"/>
        <w:jc w:val="center"/>
        <w:rPr>
          <w:rFonts w:hint="eastAsia" w:ascii="宋体" w:hAnsi="宋体" w:cs="宋体"/>
          <w:b/>
          <w:sz w:val="36"/>
          <w:szCs w:val="36"/>
        </w:rPr>
      </w:pPr>
      <w:r/>
      <w:bookmarkStart w:id="188" w:name="_Hlt16619369"/>
      <w:r/>
      <w:bookmarkStart w:id="189" w:name="_Toc120614244"/>
      <w:r/>
      <w:bookmarkStart w:id="190" w:name="_Toc16938590"/>
      <w:r/>
      <w:bookmarkStart w:id="191" w:name="_Hlt16619350"/>
      <w:r/>
      <w:bookmarkStart w:id="192" w:name="_Toc20823346"/>
      <w:r/>
      <w:bookmarkStart w:id="193" w:name="_Toc462564139"/>
      <w:r/>
      <w:bookmarkStart w:id="194" w:name="_Toc479757211"/>
      <w:r/>
      <w:bookmarkEnd w:id="188"/>
      <w:r>
        <w:rPr>
          <w:rFonts w:hint="eastAsia" w:ascii="宋体" w:hAnsi="宋体" w:cs="宋体"/>
          <w:b/>
          <w:sz w:val="36"/>
          <w:szCs w:val="36"/>
        </w:rPr>
        <w:t xml:space="preserve">江苏省政府采购合同</w:t>
      </w:r>
      <w:r/>
    </w:p>
    <w:p>
      <w:pPr>
        <w:spacing w:before="72" w:after="72" w:line="400" w:lineRule="exact"/>
        <w:rPr>
          <w:rFonts w:hint="eastAsia" w:ascii="宋体" w:hAnsi="宋体" w:cs="宋体"/>
          <w:b/>
          <w:bCs/>
          <w:sz w:val="24"/>
          <w:szCs w:val="24"/>
          <w:u w:val="single"/>
        </w:rPr>
      </w:pPr>
      <w:r>
        <w:rPr>
          <w:rFonts w:hint="eastAsia" w:ascii="宋体" w:hAnsi="宋体" w:cs="宋体"/>
          <w:b/>
          <w:bCs/>
          <w:sz w:val="24"/>
          <w:szCs w:val="24"/>
        </w:rPr>
        <w:t xml:space="preserve">甲  方：</w:t>
      </w:r>
      <w:r>
        <w:rPr>
          <w:rFonts w:hint="eastAsia" w:ascii="宋体" w:hAnsi="宋体" w:cs="宋体"/>
          <w:b/>
          <w:bCs/>
          <w:sz w:val="24"/>
          <w:szCs w:val="24"/>
          <w:u w:val="single"/>
        </w:rPr>
        <w:t xml:space="preserve">江苏省自然资源厅 </w:t>
      </w:r>
      <w:r/>
    </w:p>
    <w:p>
      <w:pPr>
        <w:spacing w:before="72" w:after="72" w:line="400" w:lineRule="exact"/>
        <w:rPr>
          <w:rFonts w:hint="eastAsia" w:ascii="宋体" w:hAnsi="宋体" w:cs="宋体"/>
          <w:b/>
          <w:bCs/>
          <w:sz w:val="24"/>
          <w:szCs w:val="24"/>
          <w:u w:val="single"/>
        </w:rPr>
      </w:pPr>
      <w:r>
        <w:rPr>
          <w:rFonts w:hint="eastAsia" w:ascii="宋体" w:hAnsi="宋体" w:cs="宋体"/>
          <w:b/>
          <w:bCs/>
          <w:sz w:val="24"/>
          <w:szCs w:val="24"/>
        </w:rPr>
        <w:t xml:space="preserve">乙  方：</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p>
    <w:p>
      <w:pPr>
        <w:pStyle w:val="730"/>
        <w:spacing w:line="400" w:lineRule="exact"/>
        <w:rPr>
          <w:rFonts w:hint="eastAsia" w:ascii="宋体" w:hAnsi="宋体" w:cs="宋体"/>
          <w:szCs w:val="21"/>
        </w:rPr>
      </w:pPr>
      <w:r>
        <w:rPr>
          <w:rFonts w:hint="eastAsia" w:ascii="宋体" w:hAnsi="宋体" w:cs="宋体"/>
          <w:szCs w:val="21"/>
        </w:rPr>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根据《中华人民共和国民法典》和国家相关法律法规的规定，就乙方承揽完成甲方“</w:t>
      </w:r>
      <w:r>
        <w:rPr>
          <w:rFonts w:hint="eastAsia" w:ascii="宋体" w:hAnsi="宋体"/>
          <w:sz w:val="24"/>
          <w:szCs w:val="24"/>
          <w:u w:val="single"/>
        </w:rPr>
        <w:t xml:space="preserve">2026年江苏省部分省管海域水下地理信息数据获取</w:t>
      </w:r>
      <w:r>
        <w:rPr>
          <w:rFonts w:hint="eastAsia" w:ascii="宋体" w:hAnsi="宋体" w:cs="宋体"/>
          <w:sz w:val="24"/>
          <w:szCs w:val="24"/>
        </w:rPr>
        <w:t xml:space="preserve">”并向甲方交付相应工作成果等有关事宜，经双方协商，签订本合同，以共同遵守。</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第一条  项目概况</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甲方将 </w:t>
      </w:r>
      <w:r>
        <w:rPr>
          <w:rFonts w:hint="eastAsia" w:ascii="宋体" w:hAnsi="宋体"/>
          <w:sz w:val="24"/>
          <w:szCs w:val="24"/>
          <w:u w:val="single"/>
        </w:rPr>
        <w:t xml:space="preserve">2026年江苏省部分省管海域水下地理信息数据获取</w:t>
      </w:r>
      <w:r>
        <w:rPr>
          <w:rFonts w:hint="eastAsia" w:ascii="宋体" w:hAnsi="宋体" w:cs="宋体"/>
          <w:sz w:val="24"/>
          <w:szCs w:val="24"/>
        </w:rPr>
        <w:t xml:space="preserve"> 委托由乙方承担完成（相关技术指标及要求概况见第三条）。乙方以《招标文件》（招标编号：****）之 “采购项目需求”为依据具体履行完成本合同，并向甲方提交经甲方验收符合相关规范标准的成果资料。具体成果资料内容见第五条。</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第二条  服务内容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1.项目内容：以现行国家标准为依据，为进一步完善我省水下基础地理信息数据体系，对连云港近海部分海域10m等深线至省管海域外部界线约2270km</w:t>
      </w:r>
      <w:r>
        <w:rPr>
          <w:rFonts w:ascii="宋体" w:hAnsi="宋体" w:cs="宋体"/>
          <w:sz w:val="24"/>
          <w:szCs w:val="24"/>
          <w:vertAlign w:val="superscript"/>
        </w:rPr>
        <w:t xml:space="preserve">2</w:t>
      </w:r>
      <w:r>
        <w:rPr>
          <w:rFonts w:hint="eastAsia" w:ascii="宋体" w:hAnsi="宋体" w:cs="宋体"/>
          <w:sz w:val="24"/>
          <w:szCs w:val="24"/>
        </w:rPr>
        <w:t xml:space="preserve">海域开展水下地理信息数据获取和地形地貌调查工作，按要求提交相关成果，配合开展质量检验等工作。</w:t>
      </w:r>
      <w:r/>
    </w:p>
    <w:p>
      <w:pPr>
        <w:pStyle w:val="1045"/>
        <w:spacing w:line="400" w:lineRule="exact"/>
        <w:rPr>
          <w:rFonts w:hint="eastAsia" w:ascii="宋体" w:hAnsi="宋体" w:eastAsia="宋体" w:cs="宋体"/>
          <w:szCs w:val="24"/>
        </w:rPr>
      </w:pPr>
      <w:r>
        <w:rPr>
          <w:rFonts w:hint="eastAsia" w:ascii="宋体" w:hAnsi="宋体" w:eastAsia="宋体" w:cs="宋体"/>
          <w:szCs w:val="24"/>
          <w:lang w:val="en-US"/>
        </w:rPr>
        <w:t xml:space="preserve">2.项目范围：</w:t>
      </w:r>
      <w:r>
        <w:rPr>
          <w:rFonts w:ascii="宋体" w:hAnsi="宋体" w:eastAsia="宋体" w:cs="宋体"/>
          <w:szCs w:val="24"/>
          <w:lang w:val="en-US"/>
        </w:rPr>
        <w:t xml:space="preserve">连云港近海部分</w:t>
      </w:r>
      <w:r>
        <w:rPr>
          <w:rFonts w:hint="eastAsia" w:ascii="宋体" w:hAnsi="宋体" w:eastAsia="宋体" w:cs="宋体"/>
          <w:szCs w:val="24"/>
          <w:lang w:val="en-US"/>
        </w:rPr>
        <w:t xml:space="preserve">海域</w:t>
      </w:r>
      <w:r>
        <w:rPr>
          <w:rFonts w:hint="eastAsia" w:ascii="宋体" w:hAnsi="宋体" w:eastAsia="宋体" w:cs="宋体"/>
          <w:szCs w:val="24"/>
        </w:rPr>
        <w:t xml:space="preserve">10m等深线</w:t>
      </w:r>
      <w:r>
        <w:rPr>
          <w:rFonts w:hint="eastAsia" w:ascii="宋体" w:hAnsi="宋体" w:eastAsia="宋体" w:cs="宋体"/>
          <w:szCs w:val="24"/>
          <w:lang w:val="en-US"/>
        </w:rPr>
        <w:t xml:space="preserve">至省管海域外部界线范围内的海域</w:t>
      </w:r>
      <w:r>
        <w:rPr>
          <w:rFonts w:hint="eastAsia" w:ascii="宋体" w:hAnsi="宋体" w:eastAsia="宋体" w:cs="宋体"/>
          <w:szCs w:val="24"/>
        </w:rPr>
        <w:t xml:space="preserve">。</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第三条  技术指标及要求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根据项目要求，完成连云港近海部分海域省管海域水下地理信息获取工作，内容包括：技术设计书编写、验潮站布设、水位观测、水下地形外业测量、</w:t>
      </w:r>
      <w:r>
        <w:rPr>
          <w:rFonts w:hint="eastAsia" w:ascii="宋体" w:hAnsi="宋体"/>
          <w:sz w:val="24"/>
          <w:szCs w:val="24"/>
        </w:rPr>
        <w:t xml:space="preserve">反向散射强度数据获取、</w:t>
      </w:r>
      <w:r>
        <w:rPr>
          <w:rFonts w:hint="eastAsia" w:ascii="宋体" w:hAnsi="宋体" w:cs="宋体"/>
          <w:sz w:val="24"/>
          <w:szCs w:val="24"/>
        </w:rPr>
        <w:t xml:space="preserve">数据预处理等，需要提供各类原始观测资料、成果数据以及相应的技术总结、检查报告等文档。</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1.测绘基准要求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（1）大地基准：采用2000国家大地坐标系（CGCS2000）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（2）高程基准：采用1985国家高程基准。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（3）深度基准：理论深度基准面（理论最低潮面）</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（4）时间系统：采用公元纪年和北京时间。</w:t>
      </w:r>
      <w:r/>
    </w:p>
    <w:p>
      <w:pPr>
        <w:ind w:firstLine="482"/>
        <w:spacing w:line="400" w:lineRule="exact"/>
        <w:rPr>
          <w:rFonts w:hint="eastAsia" w:ascii="宋体" w:hAnsi="宋体" w:cs="宋体"/>
          <w:sz w:val="24"/>
          <w:szCs w:val="24"/>
        </w:rPr>
      </w:pPr>
      <w:r>
        <w:rPr>
          <w:rFonts w:hint="eastAsia" w:ascii="宋体" w:hAnsi="宋体" w:cs="宋体"/>
          <w:b/>
          <w:bCs/>
          <w:sz w:val="24"/>
          <w:szCs w:val="24"/>
        </w:rPr>
        <w:t xml:space="preserve">2.工作量要求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原则上船载测线总长度要求采购包一不少于</w:t>
      </w:r>
      <w:r>
        <w:rPr>
          <w:rFonts w:ascii="宋体" w:hAnsi="宋体" w:cs="宋体"/>
          <w:sz w:val="24"/>
          <w:szCs w:val="24"/>
        </w:rPr>
        <w:t xml:space="preserve">10628</w:t>
      </w:r>
      <w:r>
        <w:rPr>
          <w:rFonts w:hint="eastAsia" w:ascii="宋体" w:hAnsi="宋体" w:cs="宋体"/>
          <w:sz w:val="24"/>
          <w:szCs w:val="24"/>
        </w:rPr>
        <w:t xml:space="preserve">千米、采购包二不少于</w:t>
      </w:r>
      <w:r>
        <w:rPr>
          <w:rFonts w:ascii="宋体" w:hAnsi="宋体" w:cs="宋体"/>
          <w:sz w:val="24"/>
          <w:szCs w:val="24"/>
        </w:rPr>
        <w:t xml:space="preserve">10550</w:t>
      </w:r>
      <w:r>
        <w:rPr>
          <w:rFonts w:hint="eastAsia" w:ascii="宋体" w:hAnsi="宋体" w:cs="宋体"/>
          <w:sz w:val="24"/>
          <w:szCs w:val="24"/>
        </w:rPr>
        <w:t xml:space="preserve">千米、采购包三不少于</w:t>
      </w:r>
      <w:r>
        <w:rPr>
          <w:rFonts w:ascii="宋体" w:hAnsi="宋体" w:cs="宋体"/>
          <w:sz w:val="24"/>
          <w:szCs w:val="24"/>
        </w:rPr>
        <w:t xml:space="preserve">10473</w:t>
      </w:r>
      <w:r>
        <w:rPr>
          <w:rFonts w:hint="eastAsia" w:ascii="宋体" w:hAnsi="宋体" w:cs="宋体"/>
          <w:sz w:val="24"/>
          <w:szCs w:val="24"/>
        </w:rPr>
        <w:t xml:space="preserve">千米、采购包四不少于</w:t>
      </w:r>
      <w:r>
        <w:rPr>
          <w:rFonts w:ascii="宋体" w:hAnsi="宋体" w:cs="宋体"/>
          <w:sz w:val="24"/>
          <w:szCs w:val="24"/>
        </w:rPr>
        <w:t xml:space="preserve">10395</w:t>
      </w:r>
      <w:r>
        <w:rPr>
          <w:rFonts w:hint="eastAsia" w:ascii="宋体" w:hAnsi="宋体" w:cs="宋体"/>
          <w:sz w:val="24"/>
          <w:szCs w:val="24"/>
        </w:rPr>
        <w:t xml:space="preserve">千米。面积要求采购包一不少于</w:t>
      </w:r>
      <w:r>
        <w:rPr>
          <w:rFonts w:ascii="宋体" w:hAnsi="宋体" w:cs="宋体"/>
          <w:sz w:val="24"/>
          <w:szCs w:val="24"/>
        </w:rPr>
        <w:t xml:space="preserve">436.8</w:t>
      </w:r>
      <w:r>
        <w:rPr>
          <w:rFonts w:hint="eastAsia" w:ascii="宋体" w:hAnsi="宋体" w:cs="宋体"/>
          <w:sz w:val="24"/>
          <w:szCs w:val="24"/>
        </w:rPr>
        <w:t xml:space="preserve">平方千米、采购包二不少于</w:t>
      </w:r>
      <w:r>
        <w:rPr>
          <w:rFonts w:ascii="宋体" w:hAnsi="宋体" w:cs="宋体"/>
          <w:sz w:val="24"/>
          <w:szCs w:val="24"/>
        </w:rPr>
        <w:t xml:space="preserve">525.4</w:t>
      </w:r>
      <w:r>
        <w:rPr>
          <w:rFonts w:hint="eastAsia" w:ascii="宋体" w:hAnsi="宋体" w:cs="宋体"/>
          <w:sz w:val="24"/>
          <w:szCs w:val="24"/>
        </w:rPr>
        <w:t xml:space="preserve">平方千米、采购包三不少于</w:t>
      </w:r>
      <w:r>
        <w:rPr>
          <w:rFonts w:ascii="宋体" w:hAnsi="宋体" w:cs="宋体"/>
          <w:sz w:val="24"/>
          <w:szCs w:val="24"/>
        </w:rPr>
        <w:t xml:space="preserve">622.1</w:t>
      </w:r>
      <w:r>
        <w:rPr>
          <w:rFonts w:hint="eastAsia" w:ascii="宋体" w:hAnsi="宋体" w:cs="宋体"/>
          <w:sz w:val="24"/>
          <w:szCs w:val="24"/>
        </w:rPr>
        <w:t xml:space="preserve">平方千米、采购包四不少于</w:t>
      </w:r>
      <w:r>
        <w:rPr>
          <w:rFonts w:ascii="宋体" w:hAnsi="宋体" w:cs="宋体"/>
          <w:sz w:val="24"/>
          <w:szCs w:val="24"/>
        </w:rPr>
        <w:t xml:space="preserve">686.1</w:t>
      </w:r>
      <w:r>
        <w:rPr>
          <w:rFonts w:hint="eastAsia" w:ascii="宋体" w:hAnsi="宋体" w:cs="宋体"/>
          <w:sz w:val="24"/>
          <w:szCs w:val="24"/>
        </w:rPr>
        <w:t xml:space="preserve">平方千米。采购包二应获取测区内4个海岛LiDAR点云数据。</w:t>
      </w:r>
      <w:r/>
    </w:p>
    <w:p>
      <w:pPr>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3.技术要求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（1）组织实施</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测量任务承担单位应组建一支人员结构稳固、技术力量雄厚的专业团队。</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在项目开展之初，应针对项目要求编写项目技术设计书，报采购人审批后实施，明确技术路线、项目成果等，在此基础上应开展技术培训，让团队成员全面了解项目工作目标，工作流程及技术指标。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项目负责人应准确把握项目进度，做到进度计划有效掌控，必须在规定时间内完成项目内容。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质量负责人应全面把关过程质量，严格按照相关目标要求进行检查与控制，高质量地完成本项目。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技术负责人应正确指导项目生产，及时汇总技术问题、整理项目过程资料，不定期开展经验交流总结，严格按照相关技术规范和项目技术设计书要求完成本项目。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（2）验潮站布设和水位观测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按照采购单位要求在测区布设临时验潮站，验潮站分布应符合测区水位控制需求，布设位置应满足相关技术规范要求，相邻潮位站之间的距离应满足最大潮高差不大于1m，最大潮时差不大于2h，潮汐性质基本相同，可基于码头、海岛、风机或沉底方式布设验潮站，以获取测区潮位数据，沿岸验潮站水准点和验潮站水尺零点应采用水准联测的方法确定其高程，按照不低于四等水准测量要求施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水位观测时长应满足相关技术规范要求，沿岸临时验潮站需形成连续1个月以上的水位观测数据，其他临时验潮站需满足相关规范水位改正的同步观测时长要求，验潮站水准点高程精度指标不低于四等水准测量精度，</w:t>
      </w:r>
      <w:r>
        <w:rPr>
          <w:rFonts w:hint="eastAsia" w:ascii="宋体" w:hAnsi="宋体"/>
          <w:sz w:val="24"/>
          <w:szCs w:val="24"/>
        </w:rPr>
        <w:t xml:space="preserve">沿岸临时验潮站观测误差不大于2cm，海上临时验潮站观测误差不大于5 cm</w:t>
      </w:r>
      <w:r>
        <w:rPr>
          <w:rFonts w:hint="eastAsia" w:ascii="宋体" w:hAnsi="宋体" w:cs="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测区的潮位数据应能满足理论深度基准面确定的技术要求。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（3）水下地形外业测量和数据处理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结合相关技术规范，以船载多波束测深仪测量为主要技术手段，完成任务区海域水下地形测量，确保测量区域数据全覆盖，同步采集反向散射强度数据。</w:t>
      </w:r>
      <w:r/>
    </w:p>
    <w:p>
      <w:pPr>
        <w:ind w:firstLine="480"/>
        <w:spacing w:line="360" w:lineRule="exact"/>
        <w:widowControl/>
        <w:rPr>
          <w:rFonts w:hint="eastAsia" w:ascii="宋体" w:hAnsi="宋体"/>
          <w:sz w:val="24"/>
        </w:rPr>
      </w:pPr>
      <w:r>
        <w:rPr>
          <w:rFonts w:hint="eastAsia" w:ascii="宋体" w:hAnsi="宋体"/>
          <w:sz w:val="24"/>
        </w:rPr>
        <w:t xml:space="preserve">多波束测深系统主要技术指标应满足如下要求：</w:t>
      </w:r>
      <w:r/>
    </w:p>
    <w:p>
      <w:pPr>
        <w:pStyle w:val="1051"/>
        <w:ind w:left="860" w:hanging="440"/>
      </w:pPr>
      <w:r>
        <w:rPr>
          <w:rFonts w:hint="eastAsia"/>
        </w:rPr>
        <w:t xml:space="preserve">1)</w:t>
      </w:r>
      <w:r>
        <w:t xml:space="preserve">发射波束角不大于</w:t>
      </w:r>
      <w:r>
        <w:rPr>
          <w:rFonts w:hint="eastAsia"/>
        </w:rPr>
        <w:t xml:space="preserve">1.5</w:t>
      </w:r>
      <w:r>
        <w:rPr>
          <w:rFonts w:hint="eastAsia"/>
        </w:rPr>
        <w:t xml:space="preserve">°，接收波束角不大于</w:t>
      </w:r>
      <w:r>
        <w:rPr>
          <w:rFonts w:hint="eastAsia"/>
        </w:rPr>
        <w:t xml:space="preserve">1</w:t>
      </w:r>
      <w:r>
        <w:rPr>
          <w:rFonts w:hint="eastAsia"/>
        </w:rPr>
        <w:t xml:space="preserve">°；（在</w:t>
      </w:r>
      <w:r>
        <w:rPr>
          <w:rFonts w:hint="eastAsia"/>
        </w:rPr>
        <w:t xml:space="preserve">200m</w:t>
      </w:r>
      <w:r>
        <w:rPr>
          <w:rFonts w:hint="eastAsia"/>
        </w:rPr>
        <w:t xml:space="preserve">以深海域调查时，发射波束角和接收波束角可放宽至</w:t>
      </w:r>
      <w:r>
        <w:rPr>
          <w:rFonts w:hint="eastAsia"/>
        </w:rPr>
        <w:t xml:space="preserve">2</w:t>
      </w:r>
      <w:r>
        <w:rPr>
          <w:rFonts w:hint="eastAsia"/>
        </w:rPr>
        <w:t xml:space="preserve">°×</w:t>
      </w:r>
      <w:r>
        <w:rPr>
          <w:rFonts w:hint="eastAsia"/>
        </w:rPr>
        <w:t xml:space="preserve">1</w:t>
      </w:r>
      <w:r>
        <w:rPr>
          <w:rFonts w:hint="eastAsia"/>
        </w:rPr>
        <w:t xml:space="preserve">°）；</w:t>
      </w:r>
      <w:r/>
    </w:p>
    <w:p>
      <w:pPr>
        <w:pStyle w:val="1051"/>
        <w:ind w:left="860" w:hanging="440"/>
      </w:pPr>
      <w:r>
        <w:rPr>
          <w:rFonts w:hint="eastAsia"/>
        </w:rPr>
        <w:t xml:space="preserve">2)</w:t>
      </w:r>
      <w:r>
        <w:rPr>
          <w:rFonts w:hint="eastAsia"/>
        </w:rPr>
        <w:t xml:space="preserve">波束数：在扇区开角不大于</w:t>
      </w:r>
      <w:r>
        <w:rPr>
          <w:rFonts w:hint="eastAsia"/>
        </w:rPr>
        <w:t xml:space="preserve"> 140</w:t>
      </w:r>
      <w:r>
        <w:rPr>
          <w:rFonts w:hint="eastAsia"/>
        </w:rPr>
        <w:t xml:space="preserve">°时，波束数应不少于</w:t>
      </w:r>
      <w:r>
        <w:rPr>
          <w:rFonts w:hint="eastAsia"/>
        </w:rPr>
        <w:t xml:space="preserve">256 </w:t>
      </w:r>
      <w:r>
        <w:rPr>
          <w:rFonts w:hint="eastAsia"/>
        </w:rPr>
        <w:t xml:space="preserve">个；</w:t>
      </w:r>
      <w:r/>
    </w:p>
    <w:p>
      <w:pPr>
        <w:pStyle w:val="1051"/>
        <w:ind w:left="860" w:hanging="440"/>
      </w:pPr>
      <w:r>
        <w:rPr>
          <w:rFonts w:hint="eastAsia"/>
        </w:rPr>
        <w:t xml:space="preserve">3)</w:t>
      </w:r>
      <w:r>
        <w:t xml:space="preserve">姿态传感器横摇、纵摇精度优于</w:t>
      </w:r>
      <w:r>
        <w:t xml:space="preserve">0.05</w:t>
      </w:r>
      <w:r>
        <w:rPr>
          <w:rFonts w:hint="eastAsia"/>
        </w:rPr>
        <w:t xml:space="preserve">°，升沉精度优于</w:t>
      </w:r>
      <w:r>
        <w:t xml:space="preserve"> 0.05 m </w:t>
      </w:r>
      <w:r>
        <w:t xml:space="preserve">或实际升沉量的</w:t>
      </w:r>
      <w:r>
        <w:t xml:space="preserve"> 5</w:t>
      </w:r>
      <w:r>
        <w:t xml:space="preserve">％取大者，航向精度优于</w:t>
      </w:r>
      <w:r>
        <w:t xml:space="preserve">0.1</w:t>
      </w:r>
      <w:r>
        <w:rPr>
          <w:rFonts w:hint="eastAsia"/>
        </w:rPr>
        <w:t xml:space="preserve">°，姿态数据输出频率不低于</w:t>
      </w:r>
      <w:r>
        <w:t xml:space="preserve"> </w:t>
      </w:r>
      <w:r>
        <w:rPr>
          <w:rFonts w:hint="eastAsia"/>
        </w:rPr>
        <w:t xml:space="preserve">5</w:t>
      </w:r>
      <w:r>
        <w:t xml:space="preserve">0 Hz</w:t>
      </w:r>
      <w:r>
        <w:rPr>
          <w:rFonts w:hint="eastAsia"/>
        </w:rPr>
        <w:t xml:space="preserve">。</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水下地形测量技术精度、技术要求均需满足《海道测量规范》《我国管辖海域海洋综合调查技术规程 第2分册：海洋地形地貌调查》等相关规范。水下地形数据测量须确保使用的不同类型仪器、不同作业时期、不同作业区之间应进行测量成果检验，至少布设一条重复检查测线；同时，完成与江苏近海10米以浅成果数据的接边。</w:t>
      </w:r>
      <w:r/>
    </w:p>
    <w:p>
      <w:pPr>
        <w:ind w:firstLine="480"/>
        <w:spacing w:line="400" w:lineRule="exact"/>
        <w:rPr>
          <w:rFonts w:hint="eastAsia" w:ascii="宋体" w:hAnsi="宋体"/>
          <w:sz w:val="24"/>
          <w:szCs w:val="24"/>
        </w:rPr>
      </w:pPr>
      <w:r>
        <w:rPr>
          <w:rFonts w:hint="eastAsia" w:ascii="宋体" w:hAnsi="宋体"/>
          <w:sz w:val="24"/>
          <w:szCs w:val="24"/>
        </w:rPr>
        <w:t xml:space="preserve">对于测区内存在的海岛岛体应采用无人机LiDAR施测，航飞选择在每天的最低潮前后一小时进行，保证获取的地面点数据能够与水深测量数据无缝衔接，点云密度应优于8点/m</w:t>
      </w:r>
      <w:r>
        <w:rPr>
          <w:rFonts w:hint="eastAsia" w:ascii="宋体" w:hAnsi="宋体"/>
          <w:sz w:val="24"/>
          <w:szCs w:val="24"/>
          <w:vertAlign w:val="superscript"/>
        </w:rPr>
        <w:t xml:space="preserve">2</w:t>
      </w:r>
      <w:r>
        <w:rPr>
          <w:rFonts w:hint="eastAsia" w:ascii="宋体" w:hAnsi="宋体"/>
          <w:sz w:val="24"/>
          <w:szCs w:val="24"/>
        </w:rPr>
        <w:t xml:space="preserve">，LiDAR点云数据高程精度应采用野外RTK测量点数据进行检核，高程中误差应≤0.25m。</w:t>
      </w:r>
      <w:r/>
    </w:p>
    <w:p>
      <w:pPr>
        <w:ind w:firstLine="480"/>
        <w:spacing w:line="400" w:lineRule="exact"/>
        <w:rPr>
          <w:rFonts w:hint="eastAsia" w:ascii="宋体" w:hAnsi="宋体"/>
          <w:sz w:val="24"/>
          <w:szCs w:val="24"/>
        </w:rPr>
      </w:pPr>
      <w:r>
        <w:rPr>
          <w:rFonts w:hint="eastAsia" w:ascii="宋体" w:hAnsi="宋体"/>
          <w:sz w:val="24"/>
          <w:szCs w:val="24"/>
        </w:rPr>
        <w:t xml:space="preserve">在外业数据采集的基础上，按要求完成项目水下地形测量的数据预处理，形成测区水下地形点大地高、1985国家高程基准和理论深度基准面成果。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（4）质量控制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生产任务承担单位应按要求完成质量检查，并保留必要的检查标记信息、文本记录等。对于质量控制过程中发现的问题，尤其是普遍性、倾向性问题，提出切实可行的解决措施，并提交相关成果质量检查报告。</w:t>
      </w:r>
      <w:r/>
    </w:p>
    <w:p>
      <w:pPr>
        <w:pStyle w:val="1047"/>
        <w:ind w:firstLine="640"/>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第四条  技术依据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1.GB 12327-2022  海道测量规范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2.GB/T 12898-2009  国家三、四等水准测量规范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3.GB/T 13923-2022  基础地理信息要素分类与代码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4.GB/T 17501-2017  海洋工程地形测量规范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5.GB/T 18314-2024   全球导航卫星系统（GNSS）测量规范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6.GB/T 18316―2008  数字测绘成果质量检查与验收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7.GB/T 24356-2023  测绘成果质量检查与验收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8.GB/T 39616-2020  卫星导航定位基准站网络实时动态测量（RTK）规范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9.CH/T 1004-2005  测绘技术设计规定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CH/T 8024-2011</w:t>
      </w:r>
      <w:r>
        <w:rPr>
          <w:rFonts w:hint="eastAsia" w:ascii="宋体" w:hAnsi="宋体" w:cs="宋体"/>
          <w:sz w:val="24"/>
          <w:szCs w:val="24"/>
        </w:rPr>
        <w:t xml:space="preserve">  </w:t>
      </w:r>
      <w:r>
        <w:rPr>
          <w:rFonts w:ascii="宋体" w:hAnsi="宋体" w:cs="宋体"/>
          <w:sz w:val="24"/>
          <w:szCs w:val="24"/>
        </w:rPr>
        <w:t xml:space="preserve">机载激光雷达数据获取技术规范</w:t>
      </w:r>
      <w:r>
        <w:rPr>
          <w:rFonts w:hint="eastAsia" w:ascii="宋体" w:hAnsi="宋体" w:cs="宋体"/>
          <w:sz w:val="24"/>
          <w:szCs w:val="24"/>
        </w:rPr>
        <w:t xml:space="preserve">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CH/T 3023-2019</w:t>
      </w:r>
      <w:r>
        <w:rPr>
          <w:rFonts w:hint="eastAsia" w:ascii="宋体" w:hAnsi="宋体" w:cs="宋体"/>
          <w:sz w:val="24"/>
          <w:szCs w:val="24"/>
        </w:rPr>
        <w:t xml:space="preserve">  </w:t>
      </w:r>
      <w:r>
        <w:rPr>
          <w:rFonts w:ascii="宋体" w:hAnsi="宋体" w:cs="宋体"/>
          <w:sz w:val="24"/>
          <w:szCs w:val="24"/>
        </w:rPr>
        <w:t xml:space="preserve">机载激光雷达数据获取成果质量检验技术规程</w:t>
      </w:r>
      <w:r>
        <w:rPr>
          <w:rFonts w:hint="eastAsia" w:ascii="宋体" w:hAnsi="宋体" w:cs="宋体"/>
          <w:sz w:val="24"/>
          <w:szCs w:val="24"/>
        </w:rPr>
        <w:t xml:space="preserve">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12.CH/T 2009-2010  全球定位系统实时动态测量（RTK）技术规范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13.我国管辖海域海洋综合调查技术规程 第2分册：海洋地形地貌调查</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14.其他相关技术要求。</w:t>
      </w:r>
      <w:r/>
    </w:p>
    <w:p>
      <w:pPr>
        <w:ind w:firstLine="422"/>
        <w:spacing w:line="400" w:lineRule="exact"/>
        <w:rPr>
          <w:rFonts w:hint="eastAsia" w:ascii="宋体" w:hAnsi="宋体" w:cs="宋体"/>
          <w:sz w:val="24"/>
          <w:szCs w:val="24"/>
        </w:rPr>
      </w:pPr>
      <w:r>
        <w:rPr>
          <w:rFonts w:hint="eastAsia" w:ascii="宋体" w:hAnsi="宋体" w:cs="宋体"/>
          <w:b/>
          <w:bCs/>
        </w:rPr>
        <w:t xml:space="preserve">以上标准版本以国家的最新修订版本为准。</w:t>
      </w:r>
      <w:r>
        <w:rPr>
          <w:rFonts w:hint="eastAsia" w:ascii="宋体" w:hAnsi="宋体" w:cs="宋体"/>
        </w:rPr>
        <w:t xml:space="preserve"> </w:t>
      </w:r>
      <w:r>
        <w:rPr>
          <w:rFonts w:hint="eastAsia" w:ascii="宋体" w:hAnsi="宋体" w:cs="宋体"/>
          <w:sz w:val="24"/>
          <w:szCs w:val="24"/>
        </w:rPr>
        <w:t xml:space="preserve"> </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第五条  成果资料的内容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   提交资料包含但不限于以下内容：</w:t>
      </w:r>
      <w:r/>
    </w:p>
    <w:p>
      <w:pPr>
        <w:ind w:firstLine="480"/>
        <w:spacing w:line="400" w:lineRule="exact"/>
        <w:rPr>
          <w:rFonts w:hint="eastAsia" w:ascii="宋体" w:hAnsi="宋体" w:cs="宋体"/>
          <w:szCs w:val="24"/>
        </w:rPr>
      </w:pPr>
      <w:r>
        <w:rPr>
          <w:rFonts w:ascii="宋体" w:hAnsi="宋体" w:cs="宋体"/>
          <w:sz w:val="24"/>
          <w:szCs w:val="24"/>
        </w:rPr>
        <w:t xml:space="preserve">1</w:t>
      </w:r>
      <w:r>
        <w:rPr>
          <w:rFonts w:hint="eastAsia" w:ascii="宋体" w:hAnsi="宋体" w:cs="宋体"/>
          <w:sz w:val="24"/>
          <w:szCs w:val="24"/>
        </w:rPr>
        <w:t xml:space="preserve">.文档资料</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）航次报告</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）技术设计书</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）技术总结</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）检查报告</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）检验报告</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）仪器设备检定</w:t>
      </w:r>
      <w:r>
        <w:rPr>
          <w:rFonts w:ascii="宋体" w:hAnsi="宋体" w:cs="宋体"/>
          <w:sz w:val="24"/>
          <w:szCs w:val="24"/>
        </w:rPr>
        <w:t xml:space="preserve">/</w:t>
      </w:r>
      <w:r>
        <w:rPr>
          <w:rFonts w:hint="eastAsia" w:ascii="宋体" w:hAnsi="宋体" w:cs="宋体"/>
          <w:sz w:val="24"/>
          <w:szCs w:val="24"/>
        </w:rPr>
        <w:t xml:space="preserve">校准证书</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）各种现场记录表</w:t>
      </w:r>
      <w:r/>
    </w:p>
    <w:p>
      <w:pPr>
        <w:ind w:firstLine="480"/>
        <w:spacing w:line="400" w:lineRule="exact"/>
        <w:rPr>
          <w:rFonts w:hint="eastAsia" w:ascii="宋体" w:hAnsi="宋体" w:cs="宋体"/>
          <w:szCs w:val="24"/>
        </w:rPr>
      </w:pPr>
      <w:r>
        <w:rPr>
          <w:rFonts w:ascii="宋体" w:hAnsi="宋体" w:cs="宋体"/>
          <w:sz w:val="24"/>
          <w:szCs w:val="24"/>
        </w:rPr>
        <w:t xml:space="preserve">2</w:t>
      </w:r>
      <w:r>
        <w:rPr>
          <w:rFonts w:hint="eastAsia" w:ascii="宋体" w:hAnsi="宋体" w:cs="宋体"/>
          <w:sz w:val="24"/>
          <w:szCs w:val="24"/>
        </w:rPr>
        <w:t xml:space="preserve">.数据资料</w:t>
      </w:r>
      <w:r/>
    </w:p>
    <w:p>
      <w:pPr>
        <w:ind w:firstLine="480"/>
        <w:spacing w:line="400" w:lineRule="exact"/>
        <w:rPr>
          <w:rFonts w:hint="eastAsia" w:ascii="宋体" w:hAnsi="宋体" w:cs="宋体"/>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）多波束测深、声速文件、潮位数据、吃水数据、水准观测、反向散射数据等原始观测资料及处理后的数据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（2）无人机LiDAR原始点云数据以及分类后地面点点云数据</w:t>
      </w:r>
      <w:r/>
    </w:p>
    <w:p>
      <w:pPr>
        <w:ind w:firstLine="480"/>
        <w:spacing w:line="400" w:lineRule="exact"/>
        <w:rPr>
          <w:rFonts w:hint="eastAsia" w:ascii="宋体" w:hAnsi="宋体" w:cs="宋体"/>
          <w:szCs w:val="24"/>
        </w:rPr>
      </w:pPr>
      <w:r>
        <w:rPr>
          <w:rFonts w:hint="eastAsia" w:ascii="宋体" w:hAnsi="宋体" w:cs="宋体"/>
          <w:sz w:val="24"/>
          <w:szCs w:val="24"/>
        </w:rPr>
        <w:t xml:space="preserve">（3）航迹线文件</w:t>
      </w:r>
      <w:r/>
    </w:p>
    <w:p>
      <w:pPr>
        <w:ind w:firstLine="480"/>
        <w:spacing w:line="400" w:lineRule="exact"/>
        <w:rPr>
          <w:rFonts w:hint="eastAsia" w:ascii="宋体" w:hAnsi="宋体" w:cs="宋体"/>
          <w:szCs w:val="24"/>
        </w:rPr>
      </w:pPr>
      <w:r>
        <w:rPr>
          <w:rFonts w:hint="eastAsia" w:ascii="宋体" w:hAnsi="宋体" w:cs="宋体"/>
          <w:sz w:val="24"/>
          <w:szCs w:val="24"/>
        </w:rPr>
        <w:t xml:space="preserve">（4）地形成果数据</w:t>
      </w:r>
      <w:r/>
    </w:p>
    <w:p>
      <w:pPr>
        <w:ind w:firstLine="480"/>
        <w:spacing w:line="400" w:lineRule="exact"/>
        <w:rPr>
          <w:rFonts w:hint="eastAsia" w:ascii="宋体" w:hAnsi="宋体" w:cs="宋体"/>
          <w:szCs w:val="24"/>
        </w:rPr>
      </w:pPr>
      <w:r>
        <w:rPr>
          <w:rFonts w:ascii="宋体" w:hAnsi="宋体" w:cs="宋体"/>
          <w:sz w:val="24"/>
          <w:szCs w:val="24"/>
        </w:rPr>
        <w:t xml:space="preserve">3.</w:t>
      </w:r>
      <w:r>
        <w:rPr>
          <w:rFonts w:hint="eastAsia" w:ascii="宋体" w:hAnsi="宋体" w:cs="宋体"/>
          <w:sz w:val="24"/>
          <w:szCs w:val="24"/>
        </w:rPr>
        <w:t xml:space="preserve">其他按规定需要提交的资料。</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第六条  成果资料的验收与移交</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成果资料的验收采用成果质量检验和专家验收结合的方式进行，甲方委托江苏省测绘产品质量监督检验站（以下简称“质检站”）负责成果质量检验，专家验收由甲方负责组织。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乙方交付甲方“成果资料”进行验收的地点为：南京。</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乙方应在 2026年12月 30日前向甲方交测区范围内不少于*** 平方千米海域成果资料供甲方验收。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甲方验收“成果资料”的标准及依据见合同第四条。</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乙方应在项目结束后尽快完成资料的整理工作，并经乙方质量管理部门质量检查确认合格后向甲方提出验收申请，经甲方同意后，乙方将“成果资料”送质检站进行成果质量检验。质检站检验合格出具质量检验报告后，甲方即可组织专家验收。甲方验收过程中乙方应予以配合。若经甲方验收合格，则确定项目完成时间为乙方提出验收申请的时间。</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乙方对验收结论有异议时可与甲方协商处理。经协商仍有分歧时，可共同或单独申请有关测绘产品质量检验机构复检以提供检验证明，由此产生的费用由责任方承担。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成果资料经甲方验收合格后，乙方应在30天内，向甲方移交全部成果资料（甲方</w:t>
      </w:r>
      <w:r>
        <w:rPr>
          <w:rFonts w:hint="eastAsia" w:ascii="宋体" w:hAnsi="宋体" w:cs="宋体"/>
          <w:sz w:val="24"/>
          <w:szCs w:val="24"/>
        </w:rPr>
        <w:t xml:space="preserve">指定江苏省测绘资料档案馆为成果资料接收单位）。</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第七条  报酬价款与支付方式</w:t>
      </w:r>
      <w:r/>
    </w:p>
    <w:p>
      <w:pPr>
        <w:numPr>
          <w:ilvl w:val="1"/>
          <w:numId w:val="6"/>
        </w:numPr>
        <w:ind w:firstLine="480"/>
        <w:spacing w:line="400" w:lineRule="exact"/>
        <w:rPr>
          <w:rFonts w:hint="eastAsia" w:ascii="宋体" w:hAnsi="宋体" w:cs="宋体"/>
        </w:rPr>
      </w:pPr>
      <w:r>
        <w:rPr>
          <w:rFonts w:hint="eastAsia" w:ascii="宋体" w:hAnsi="宋体" w:cs="宋体"/>
          <w:sz w:val="24"/>
          <w:szCs w:val="24"/>
        </w:rPr>
        <w:t xml:space="preserve">本合同所有费用计算和支付均以人民币为准。</w:t>
      </w:r>
      <w:r/>
    </w:p>
    <w:p>
      <w:pPr>
        <w:numPr>
          <w:ilvl w:val="1"/>
          <w:numId w:val="6"/>
        </w:numPr>
        <w:ind w:firstLine="480"/>
        <w:spacing w:line="400" w:lineRule="exact"/>
        <w:rPr>
          <w:rFonts w:hint="eastAsia" w:ascii="宋体" w:hAnsi="宋体" w:cs="宋体"/>
        </w:rPr>
      </w:pPr>
      <w:r>
        <w:rPr>
          <w:rFonts w:hint="eastAsia" w:ascii="宋体" w:hAnsi="宋体" w:cs="宋体"/>
          <w:sz w:val="24"/>
          <w:szCs w:val="24"/>
        </w:rPr>
        <w:t xml:space="preserve">本合同报酬总价款为</w:t>
      </w:r>
      <w:r>
        <w:rPr>
          <w:rFonts w:hint="eastAsia" w:ascii="宋体" w:hAnsi="宋体" w:cs="宋体"/>
          <w:sz w:val="24"/>
          <w:szCs w:val="24"/>
          <w:u w:val="single"/>
        </w:rPr>
        <w:t xml:space="preserve">  ¥ ***元（大写：***）</w:t>
      </w:r>
      <w:r>
        <w:rPr>
          <w:rFonts w:hint="eastAsia" w:ascii="宋体" w:hAnsi="宋体" w:cs="宋体"/>
          <w:sz w:val="24"/>
          <w:szCs w:val="24"/>
        </w:rPr>
        <w:t xml:space="preserve">。</w:t>
      </w:r>
      <w:r/>
    </w:p>
    <w:p>
      <w:pPr>
        <w:numPr>
          <w:ilvl w:val="1"/>
          <w:numId w:val="6"/>
        </w:numPr>
        <w:ind w:firstLine="480"/>
        <w:spacing w:line="400" w:lineRule="exact"/>
        <w:rPr>
          <w:rFonts w:hint="eastAsia" w:ascii="宋体" w:hAnsi="宋体" w:cs="宋体"/>
        </w:rPr>
      </w:pPr>
      <w:r>
        <w:rPr>
          <w:rFonts w:hint="eastAsia" w:ascii="宋体" w:hAnsi="宋体" w:cs="宋体"/>
          <w:sz w:val="24"/>
          <w:szCs w:val="24"/>
        </w:rPr>
        <w:t xml:space="preserve">本合同支付报酬：</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第一次：合同签订后30个工作日内，甲方支付给乙方预付款为项目总额的</w:t>
      </w:r>
      <w:r>
        <w:rPr>
          <w:rFonts w:ascii="宋体" w:hAnsi="宋体" w:cs="宋体"/>
          <w:sz w:val="24"/>
          <w:szCs w:val="24"/>
        </w:rPr>
        <w:t xml:space="preserve">35</w:t>
      </w:r>
      <w:r>
        <w:rPr>
          <w:rFonts w:hint="eastAsia" w:ascii="宋体" w:hAnsi="宋体" w:cs="宋体"/>
          <w:sz w:val="24"/>
          <w:szCs w:val="24"/>
        </w:rPr>
        <w:t xml:space="preserve">％，即</w:t>
      </w:r>
      <w:r>
        <w:rPr>
          <w:rFonts w:hint="eastAsia" w:ascii="宋体" w:hAnsi="宋体"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元（大写：</w:t>
      </w:r>
      <w:r>
        <w:rPr>
          <w:rFonts w:ascii="宋体" w:hAnsi="宋体" w:cs="宋体"/>
          <w:sz w:val="24"/>
          <w:szCs w:val="24"/>
          <w:u w:val="single"/>
        </w:rPr>
        <w:t xml:space="preserve">   </w:t>
      </w:r>
      <w:r>
        <w:rPr>
          <w:rFonts w:hint="eastAsia" w:ascii="宋体" w:hAnsi="宋体" w:cs="宋体"/>
          <w:sz w:val="24"/>
          <w:szCs w:val="24"/>
          <w:u w:val="single"/>
        </w:rPr>
        <w:t xml:space="preserve">元整</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第二次：项目完成且乙方向甲方提交成果验收，</w:t>
      </w:r>
      <w:r>
        <w:rPr>
          <w:rFonts w:hint="eastAsia" w:ascii="宋体" w:hAnsi="宋体" w:cs="微软雅黑"/>
          <w:sz w:val="24"/>
          <w:szCs w:val="24"/>
        </w:rPr>
        <w:t xml:space="preserve">经质检合格后2</w:t>
      </w:r>
      <w:r>
        <w:rPr>
          <w:rFonts w:ascii="宋体" w:hAnsi="宋体" w:cs="微软雅黑"/>
          <w:sz w:val="24"/>
          <w:szCs w:val="24"/>
        </w:rPr>
        <w:t xml:space="preserve">0</w:t>
      </w:r>
      <w:r>
        <w:rPr>
          <w:rFonts w:hint="eastAsia" w:ascii="宋体" w:hAnsi="宋体" w:cs="微软雅黑"/>
          <w:sz w:val="24"/>
          <w:szCs w:val="24"/>
        </w:rPr>
        <w:t xml:space="preserve">个工作日内</w:t>
      </w:r>
      <w:r>
        <w:rPr>
          <w:rFonts w:hint="eastAsia" w:ascii="宋体" w:hAnsi="宋体" w:cs="宋体"/>
          <w:sz w:val="24"/>
          <w:szCs w:val="24"/>
        </w:rPr>
        <w:t xml:space="preserve">，甲方向乙方支付合同总额的35%，</w:t>
      </w:r>
      <w:r>
        <w:rPr>
          <w:rFonts w:hint="eastAsia" w:ascii="宋体" w:hAnsi="宋体" w:cs="宋体"/>
          <w:sz w:val="24"/>
          <w:szCs w:val="24"/>
          <w:u w:val="single"/>
        </w:rPr>
        <w:t xml:space="preserve">即¥       元（大写：    元整）</w:t>
      </w:r>
      <w:r>
        <w:rPr>
          <w:rFonts w:hint="eastAsia" w:ascii="宋体" w:hAnsi="宋体" w:cs="宋体"/>
          <w:sz w:val="24"/>
          <w:szCs w:val="24"/>
        </w:rPr>
        <w:t xml:space="preserve">。</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第三次：</w:t>
      </w:r>
      <w:r>
        <w:rPr>
          <w:rFonts w:hint="eastAsia" w:ascii="宋体" w:hAnsi="宋体" w:cs="微软雅黑"/>
          <w:sz w:val="24"/>
          <w:szCs w:val="24"/>
        </w:rPr>
        <w:t xml:space="preserve">项目全部完成并通过验收，成果汇交后取得成果汇交清单一个月内，</w:t>
      </w:r>
      <w:r>
        <w:rPr>
          <w:rFonts w:hint="eastAsia" w:ascii="宋体" w:hAnsi="宋体" w:cs="宋体"/>
          <w:sz w:val="24"/>
          <w:szCs w:val="24"/>
        </w:rPr>
        <w:t xml:space="preserve">甲方向乙方支付合同总额的30%，</w:t>
      </w:r>
      <w:r>
        <w:rPr>
          <w:rFonts w:hint="eastAsia" w:ascii="宋体" w:hAnsi="宋体" w:cs="宋体"/>
          <w:sz w:val="24"/>
          <w:szCs w:val="24"/>
          <w:u w:val="single"/>
        </w:rPr>
        <w:t xml:space="preserve">即¥         元（大写：       元整）</w:t>
      </w:r>
      <w:r>
        <w:rPr>
          <w:rFonts w:hint="eastAsia" w:ascii="宋体" w:hAnsi="宋体" w:cs="宋体"/>
          <w:sz w:val="24"/>
          <w:szCs w:val="24"/>
        </w:rPr>
        <w:t xml:space="preserve">。</w:t>
      </w:r>
      <w:r/>
    </w:p>
    <w:p>
      <w:pPr>
        <w:ind w:firstLine="480"/>
        <w:spacing w:line="400" w:lineRule="exact"/>
        <w:tabs>
          <w:tab w:val="left" w:pos="780" w:leader="none"/>
        </w:tabs>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乙方应严格按照合同约定范围进行水下地理信息数据获取。乙方不能完成合同约定内容的将承担违约责任。</w:t>
      </w:r>
      <w:r/>
    </w:p>
    <w:p>
      <w:pPr>
        <w:ind w:firstLine="480"/>
        <w:spacing w:line="400" w:lineRule="exact"/>
        <w:tabs>
          <w:tab w:val="left" w:pos="780" w:leader="none"/>
        </w:tabs>
        <w:rPr>
          <w:rFonts w:hint="eastAsia" w:ascii="宋体" w:hAnsi="宋体" w:cs="宋体"/>
          <w:sz w:val="24"/>
          <w:szCs w:val="24"/>
        </w:rPr>
      </w:pPr>
      <w:r>
        <w:rPr>
          <w:rFonts w:hint="eastAsia" w:ascii="宋体" w:hAnsi="宋体" w:cs="宋体"/>
          <w:sz w:val="24"/>
          <w:szCs w:val="24"/>
        </w:rPr>
        <w:t xml:space="preserve">5.乙方应在取得相应报酬价款的同时向甲方提供工商税务部门认可的正式发票。</w:t>
      </w:r>
      <w:r/>
    </w:p>
    <w:p>
      <w:pPr>
        <w:ind w:firstLine="480"/>
        <w:tabs>
          <w:tab w:val="left" w:pos="780" w:leader="none"/>
        </w:tabs>
        <w:rPr>
          <w:rFonts w:hint="eastAsia" w:ascii="黑体" w:hAnsi="黑体" w:eastAsia="黑体" w:cs="黑体"/>
          <w:sz w:val="32"/>
          <w:szCs w:val="32"/>
        </w:rPr>
      </w:pPr>
      <w:r>
        <w:rPr>
          <w:rFonts w:hint="eastAsia" w:ascii="黑体" w:hAnsi="黑体" w:eastAsia="黑体" w:cs="黑体"/>
          <w:sz w:val="32"/>
          <w:szCs w:val="32"/>
        </w:rPr>
        <w:t xml:space="preserve">第八条  甲方义务及责任</w:t>
      </w:r>
      <w:r/>
    </w:p>
    <w:p>
      <w:pPr>
        <w:numPr>
          <w:ilvl w:val="1"/>
          <w:numId w:val="7"/>
        </w:numPr>
        <w:ind w:firstLine="480"/>
        <w:spacing w:line="400" w:lineRule="exact"/>
        <w:tabs>
          <w:tab w:val="left" w:pos="900" w:leader="none"/>
        </w:tabs>
        <w:rPr>
          <w:rFonts w:hint="eastAsia" w:ascii="宋体" w:hAnsi="宋体" w:cs="宋体"/>
          <w:sz w:val="24"/>
          <w:szCs w:val="24"/>
        </w:rPr>
      </w:pPr>
      <w:r>
        <w:rPr>
          <w:rFonts w:hint="eastAsia" w:ascii="宋体" w:hAnsi="宋体" w:cs="宋体"/>
          <w:sz w:val="24"/>
          <w:szCs w:val="24"/>
        </w:rPr>
        <w:t xml:space="preserve">按本合同的约定及时为乙方办理支付报酬价款的手续。</w:t>
      </w:r>
      <w:r/>
    </w:p>
    <w:p>
      <w:pPr>
        <w:numPr>
          <w:ilvl w:val="1"/>
          <w:numId w:val="7"/>
        </w:numPr>
        <w:ind w:firstLine="480"/>
        <w:spacing w:line="400" w:lineRule="exact"/>
        <w:tabs>
          <w:tab w:val="left" w:pos="900" w:leader="none"/>
        </w:tabs>
        <w:rPr>
          <w:rFonts w:hint="eastAsia" w:ascii="宋体" w:hAnsi="宋体" w:cs="宋体"/>
          <w:sz w:val="24"/>
          <w:szCs w:val="24"/>
        </w:rPr>
      </w:pPr>
      <w:r>
        <w:rPr>
          <w:rFonts w:hint="eastAsia" w:ascii="宋体" w:hAnsi="宋体" w:cs="宋体"/>
          <w:sz w:val="24"/>
          <w:szCs w:val="24"/>
        </w:rPr>
        <w:t xml:space="preserve">为乙方提供必要的技术咨询服务。</w:t>
      </w:r>
      <w:r/>
    </w:p>
    <w:p>
      <w:pPr>
        <w:numPr>
          <w:ilvl w:val="1"/>
          <w:numId w:val="7"/>
        </w:numPr>
        <w:ind w:firstLine="480"/>
        <w:spacing w:line="400" w:lineRule="exact"/>
        <w:tabs>
          <w:tab w:val="left" w:pos="900" w:leader="none"/>
        </w:tabs>
        <w:rPr>
          <w:rFonts w:hint="eastAsia" w:ascii="宋体" w:hAnsi="宋体" w:cs="宋体"/>
          <w:sz w:val="24"/>
          <w:szCs w:val="24"/>
        </w:rPr>
      </w:pPr>
      <w:r>
        <w:rPr>
          <w:rFonts w:hint="eastAsia" w:ascii="宋体" w:hAnsi="宋体" w:cs="宋体"/>
          <w:sz w:val="24"/>
          <w:szCs w:val="24"/>
        </w:rPr>
        <w:t xml:space="preserve">为乙方出具开展测量工作所需的函件。</w:t>
      </w:r>
      <w:r/>
    </w:p>
    <w:p>
      <w:pPr>
        <w:numPr>
          <w:ilvl w:val="1"/>
          <w:numId w:val="7"/>
        </w:numPr>
        <w:ind w:firstLine="480"/>
        <w:spacing w:line="400" w:lineRule="exact"/>
        <w:tabs>
          <w:tab w:val="left" w:pos="900" w:leader="none"/>
        </w:tabs>
        <w:rPr>
          <w:rFonts w:hint="eastAsia" w:ascii="宋体" w:hAnsi="宋体" w:cs="宋体"/>
          <w:sz w:val="24"/>
          <w:szCs w:val="24"/>
        </w:rPr>
      </w:pPr>
      <w:r>
        <w:rPr>
          <w:rFonts w:hint="eastAsia" w:ascii="宋体" w:hAnsi="宋体" w:cs="宋体"/>
          <w:sz w:val="24"/>
          <w:szCs w:val="24"/>
        </w:rPr>
        <w:t xml:space="preserve">对乙方的合同履行情况进行监督检查。</w:t>
      </w:r>
      <w:r/>
    </w:p>
    <w:p>
      <w:pPr>
        <w:numPr>
          <w:ilvl w:val="1"/>
          <w:numId w:val="7"/>
        </w:numPr>
        <w:ind w:firstLine="480"/>
        <w:spacing w:line="400" w:lineRule="exact"/>
        <w:tabs>
          <w:tab w:val="left" w:pos="900" w:leader="none"/>
        </w:tabs>
        <w:rPr>
          <w:rFonts w:hint="eastAsia" w:ascii="宋体" w:hAnsi="宋体" w:cs="宋体"/>
          <w:sz w:val="24"/>
          <w:szCs w:val="24"/>
        </w:rPr>
      </w:pPr>
      <w:r>
        <w:rPr>
          <w:rFonts w:hint="eastAsia" w:ascii="宋体" w:hAnsi="宋体" w:cs="宋体"/>
          <w:sz w:val="24"/>
          <w:szCs w:val="24"/>
        </w:rPr>
        <w:t xml:space="preserve">组织成果资料的验收。安排质检站进行成果质量检验并出具最终的成果质量检验报告。</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第九条  乙方义务及责任</w:t>
      </w:r>
      <w:r/>
    </w:p>
    <w:p>
      <w:pPr>
        <w:numPr>
          <w:ilvl w:val="1"/>
          <w:numId w:val="8"/>
        </w:numPr>
        <w:ind w:firstLine="480"/>
        <w:spacing w:line="400" w:lineRule="exact"/>
        <w:rPr>
          <w:rFonts w:hint="eastAsia" w:ascii="宋体" w:hAnsi="宋体" w:cs="宋体"/>
          <w:sz w:val="24"/>
          <w:szCs w:val="24"/>
        </w:rPr>
      </w:pPr>
      <w:r>
        <w:rPr>
          <w:rFonts w:hint="eastAsia" w:ascii="宋体" w:hAnsi="宋体" w:cs="宋体"/>
          <w:sz w:val="24"/>
          <w:szCs w:val="24"/>
        </w:rPr>
        <w:t xml:space="preserve">乙方负责到当地海事局等行政部门办理所使用船只和作业海域的水上水下测量活动的备案、行政许可等事宜。乙方在未取得许可违规开展水上水下测量活动的，造成的一切后果均由乙方自行承担。</w:t>
      </w:r>
      <w:r/>
    </w:p>
    <w:p>
      <w:pPr>
        <w:numPr>
          <w:ilvl w:val="1"/>
          <w:numId w:val="8"/>
        </w:numPr>
        <w:ind w:firstLine="480"/>
        <w:spacing w:line="400" w:lineRule="exact"/>
        <w:rPr>
          <w:rFonts w:hint="eastAsia" w:ascii="宋体" w:hAnsi="宋体" w:cs="宋体"/>
          <w:sz w:val="24"/>
          <w:szCs w:val="24"/>
        </w:rPr>
      </w:pPr>
      <w:r>
        <w:rPr>
          <w:rFonts w:hint="eastAsia" w:ascii="宋体" w:hAnsi="宋体" w:cs="宋体"/>
          <w:sz w:val="24"/>
          <w:szCs w:val="24"/>
        </w:rPr>
        <w:t xml:space="preserve">合同签订后，乙方应按本合同第三条约定的相关要求进行详细技术设计，编制技术设计书。技术设计书一般应在乙方进场前20天报甲方进行评审，评审后1</w:t>
      </w:r>
      <w:r>
        <w:rPr>
          <w:rFonts w:ascii="宋体" w:hAnsi="宋体" w:cs="宋体"/>
          <w:sz w:val="24"/>
          <w:szCs w:val="24"/>
        </w:rPr>
        <w:t xml:space="preserve">0</w:t>
      </w:r>
      <w:r>
        <w:rPr>
          <w:rFonts w:hint="eastAsia" w:ascii="宋体" w:hAnsi="宋体" w:cs="宋体"/>
          <w:sz w:val="24"/>
          <w:szCs w:val="24"/>
        </w:rPr>
        <w:t xml:space="preserve">日内完成修改完善，并报甲方审批。</w:t>
      </w:r>
      <w:r/>
    </w:p>
    <w:p>
      <w:pPr>
        <w:numPr>
          <w:ilvl w:val="1"/>
          <w:numId w:val="8"/>
        </w:numPr>
        <w:ind w:firstLine="480"/>
        <w:spacing w:line="400" w:lineRule="exact"/>
        <w:rPr>
          <w:rFonts w:hint="eastAsia" w:ascii="宋体" w:hAnsi="宋体" w:cs="宋体"/>
          <w:sz w:val="24"/>
          <w:szCs w:val="24"/>
        </w:rPr>
      </w:pPr>
      <w:r>
        <w:rPr>
          <w:rFonts w:hint="eastAsia" w:ascii="宋体" w:hAnsi="宋体" w:cs="宋体"/>
          <w:sz w:val="24"/>
          <w:szCs w:val="24"/>
        </w:rPr>
        <w:t xml:space="preserve">严格按本合同约定的及相关文件所确定的技术要求进行项目实施并向甲方交付其完成的成果资料，根据作业进度分批次及时提交成果，不得将项目转包或未经甲方同意违规分包。</w:t>
      </w:r>
      <w:r/>
    </w:p>
    <w:p>
      <w:pPr>
        <w:numPr>
          <w:ilvl w:val="1"/>
          <w:numId w:val="8"/>
        </w:numPr>
        <w:ind w:firstLine="480"/>
        <w:spacing w:line="400" w:lineRule="exact"/>
        <w:rPr>
          <w:rFonts w:hint="eastAsia" w:ascii="宋体" w:hAnsi="宋体" w:cs="宋体"/>
          <w:sz w:val="24"/>
          <w:szCs w:val="24"/>
        </w:rPr>
      </w:pPr>
      <w:r>
        <w:rPr>
          <w:rFonts w:hint="eastAsia" w:ascii="宋体" w:hAnsi="宋体" w:cs="宋体"/>
          <w:sz w:val="24"/>
          <w:szCs w:val="24"/>
        </w:rPr>
        <w:t xml:space="preserve">合同履行过程中，乙方应加强安全生产管理，严格执行《中华人民共和国安全生产法》《江苏省安全生产条例》及属地相关地方法规，制定安全保障措施和应急预</w:t>
      </w:r>
      <w:r>
        <w:rPr>
          <w:rFonts w:hint="eastAsia" w:ascii="宋体" w:hAnsi="宋体" w:cs="宋体"/>
          <w:sz w:val="24"/>
          <w:szCs w:val="24"/>
        </w:rPr>
        <w:t xml:space="preserve">案，须对所有进场作业人员进行安全教育和技能培训，配齐安全防护用品用具，确保安全生产无事故，自行承担包括作业人员、测船、车辆、设备等的各项安全生产责任，甲方对此不承担任何责任和义务。乙方在服务过程中发生的任何交通、生产事故造成财产损失或人员伤亡，以及与其他第三方发生的任何纠纷或事故，甲方一律不承担任何责任和费用。</w:t>
      </w:r>
      <w:r/>
    </w:p>
    <w:p>
      <w:pPr>
        <w:numPr>
          <w:ilvl w:val="1"/>
          <w:numId w:val="8"/>
        </w:numPr>
        <w:ind w:firstLine="480"/>
        <w:spacing w:line="400" w:lineRule="exact"/>
        <w:rPr>
          <w:rFonts w:hint="eastAsia" w:ascii="宋体" w:hAnsi="宋体" w:cs="宋体"/>
          <w:sz w:val="24"/>
          <w:szCs w:val="24"/>
        </w:rPr>
      </w:pPr>
      <w:r>
        <w:rPr>
          <w:rFonts w:hint="eastAsia" w:ascii="宋体" w:hAnsi="宋体" w:cs="宋体"/>
          <w:sz w:val="24"/>
          <w:szCs w:val="24"/>
        </w:rPr>
        <w:t xml:space="preserve">受甲方委托负责成果资料的送审工作，并负责成果资料移交甲方前的妥善保管工作。因保管不善造成毁损、灭失的，应当承担损害赔偿责任。</w:t>
      </w:r>
      <w:r/>
    </w:p>
    <w:p>
      <w:pPr>
        <w:numPr>
          <w:ilvl w:val="1"/>
          <w:numId w:val="8"/>
        </w:numPr>
        <w:ind w:firstLine="480"/>
        <w:spacing w:line="400" w:lineRule="exact"/>
        <w:tabs>
          <w:tab w:val="left" w:pos="851" w:leader="none"/>
        </w:tabs>
        <w:rPr>
          <w:rFonts w:hint="eastAsia" w:ascii="宋体" w:hAnsi="宋体" w:cs="宋体"/>
          <w:sz w:val="24"/>
          <w:szCs w:val="24"/>
        </w:rPr>
      </w:pPr>
      <w:r>
        <w:rPr>
          <w:rFonts w:hint="eastAsia" w:ascii="宋体" w:hAnsi="宋体" w:cs="宋体"/>
          <w:sz w:val="24"/>
          <w:szCs w:val="24"/>
        </w:rPr>
        <w:t xml:space="preserve">按照国家保密规定使用、存储、生产、处理涉密数据，保守国家秘密，妥善保管成果资料。</w:t>
      </w:r>
      <w:r/>
    </w:p>
    <w:p>
      <w:pPr>
        <w:numPr>
          <w:ilvl w:val="1"/>
          <w:numId w:val="8"/>
        </w:numPr>
        <w:ind w:firstLine="480"/>
        <w:spacing w:line="400" w:lineRule="exact"/>
        <w:tabs>
          <w:tab w:val="left" w:pos="851" w:leader="none"/>
        </w:tabs>
        <w:rPr>
          <w:rFonts w:hint="eastAsia" w:ascii="宋体" w:hAnsi="宋体" w:cs="宋体"/>
          <w:sz w:val="24"/>
          <w:szCs w:val="24"/>
        </w:rPr>
      </w:pPr>
      <w:r>
        <w:rPr>
          <w:rFonts w:hint="eastAsia" w:ascii="宋体" w:hAnsi="宋体" w:cs="宋体"/>
          <w:sz w:val="24"/>
          <w:szCs w:val="24"/>
        </w:rPr>
        <w:t xml:space="preserve">未经甲方许可，乙方不得留存成果资料</w:t>
      </w:r>
      <w:r>
        <w:rPr>
          <w:rFonts w:hint="eastAsia" w:ascii="宋体" w:hAnsi="宋体" w:cs="微软雅黑"/>
          <w:sz w:val="24"/>
          <w:szCs w:val="24"/>
        </w:rPr>
        <w:t xml:space="preserve">复制品及技术资料、在成果向档案馆归档后6个月内应进行销毁，并提供相关销毁凭证。</w:t>
      </w:r>
      <w:r>
        <w:rPr>
          <w:rFonts w:hint="eastAsia" w:ascii="宋体" w:hAnsi="宋体" w:cs="宋体"/>
          <w:sz w:val="24"/>
          <w:szCs w:val="24"/>
        </w:rPr>
        <w:t xml:space="preserve">不得以任何形式向任何第三方提供或复制成果资料。对认定为不合格且不能提供甲方使用的成果资料，应按国家有关规定予以销毁。在任何情况下，乙方对所完成的成果资料均不享有留置权。</w:t>
      </w:r>
      <w:r/>
    </w:p>
    <w:p>
      <w:pPr>
        <w:numPr>
          <w:ilvl w:val="1"/>
          <w:numId w:val="8"/>
        </w:numPr>
        <w:ind w:firstLine="480"/>
        <w:spacing w:line="400" w:lineRule="exact"/>
        <w:tabs>
          <w:tab w:val="left" w:pos="851" w:leader="none"/>
        </w:tabs>
        <w:rPr>
          <w:rFonts w:hint="eastAsia" w:ascii="宋体" w:hAnsi="宋体" w:cs="宋体"/>
          <w:sz w:val="24"/>
          <w:szCs w:val="24"/>
        </w:rPr>
      </w:pPr>
      <w:r>
        <w:rPr>
          <w:rFonts w:hint="eastAsia" w:ascii="宋体" w:hAnsi="宋体" w:cs="宋体"/>
          <w:sz w:val="24"/>
          <w:szCs w:val="24"/>
        </w:rPr>
        <w:t xml:space="preserve">乙方联合体牵头单位负责项目的管理，确保实际参与项目的项目负责人、技术负责人、质量负责人、现场负责人、联合体成员单位代表以及参与作业的技术人员等均与投标文件中承诺投入的人员信息相一致。乙方实际投入人员如遇客观原因确需调整的，须向甲方提出书面申请，并征得甲方同意才可调整投入人员。</w:t>
      </w:r>
      <w:r/>
    </w:p>
    <w:p>
      <w:pPr>
        <w:numPr>
          <w:ilvl w:val="1"/>
          <w:numId w:val="8"/>
        </w:numPr>
        <w:ind w:firstLine="480"/>
        <w:spacing w:line="400" w:lineRule="exact"/>
        <w:tabs>
          <w:tab w:val="left" w:pos="851" w:leader="none"/>
        </w:tabs>
        <w:rPr>
          <w:rFonts w:hint="eastAsia" w:ascii="宋体" w:hAnsi="宋体" w:cs="宋体"/>
          <w:sz w:val="24"/>
          <w:szCs w:val="24"/>
        </w:rPr>
      </w:pPr>
      <w:r>
        <w:rPr>
          <w:rFonts w:hint="eastAsia" w:ascii="宋体" w:hAnsi="宋体" w:cs="宋体"/>
          <w:sz w:val="24"/>
          <w:szCs w:val="24"/>
        </w:rPr>
        <w:t xml:space="preserve">配合甲方对本合同履行情况的监督检查。</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第十条  违约责任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乙方在投标文件及其询标回函中的各项承诺应在本合同中完全响应。乙方无正当理由改变承诺、变更合同要求，甲方将追究乙方相应违约责任。</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1.甲方无正当理由拒收成果文件的，由甲方向乙方偿付合同总价的5%违约金。</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2.如乙方不能在规定时间内完成相关工作，乙方应向甲方支付合同总价5%的违约金。</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3.乙方逾期交付的，每逾期1天，乙方向甲方偿付合同总额的5‰的滞纳金。如乙方逾期交付达10天，甲方有权解除合同，解除合同的通知自到达乙方时生效。</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4.乙方未按本合同的规定和“服务承诺”提供伴随服务/售后服务的，应按合同总价款的5%向甲方承担违约责任。</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5.如果乙方将任务转包或者未经甲方同意违规分包，甲方可责成乙方立即纠正，并赔付甲方合同总额的10%的违约金；甲方发现此类行为两次以上的，可以终止合同，由乙方承担由此引起的损失。</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6.乙方提交的成果质量不合格的，乙方应负责无偿予以重测或者采取补救措施，以达到质量要求，甲方根据乙方整改情况可扣除乙方合同总额的5‰-10‰的违约金。乙方拒不整改的，甲方可终止合同，并追究乙方相应法律责任。</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7.由于乙方管理不当造成重大安全生产事故或泄密事件的，甲方可终止合同，并追究乙方相应法律责任。</w:t>
      </w:r>
      <w:r/>
    </w:p>
    <w:p>
      <w:pPr>
        <w:ind w:firstLine="480"/>
        <w:spacing w:line="400" w:lineRule="exact"/>
        <w:tabs>
          <w:tab w:val="left" w:pos="780" w:leader="none"/>
          <w:tab w:val="left" w:pos="870" w:leader="none"/>
        </w:tabs>
        <w:rPr>
          <w:rFonts w:hint="eastAsia" w:ascii="宋体" w:hAnsi="宋体" w:cs="宋体"/>
          <w:sz w:val="24"/>
          <w:szCs w:val="24"/>
        </w:rPr>
      </w:pPr>
      <w:r>
        <w:rPr>
          <w:rFonts w:hint="eastAsia" w:ascii="宋体" w:hAnsi="宋体" w:cs="宋体"/>
          <w:sz w:val="24"/>
          <w:szCs w:val="24"/>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第十一条  税费</w:t>
      </w:r>
      <w:r/>
    </w:p>
    <w:p>
      <w:pPr>
        <w:ind w:firstLine="480"/>
        <w:spacing w:before="156" w:after="156" w:line="400" w:lineRule="exact"/>
        <w:rPr>
          <w:rFonts w:hint="eastAsia" w:ascii="宋体" w:hAnsi="宋体" w:cs="宋体"/>
          <w:sz w:val="24"/>
          <w:szCs w:val="24"/>
        </w:rPr>
      </w:pPr>
      <w:r>
        <w:rPr>
          <w:rFonts w:hint="eastAsia" w:ascii="宋体" w:hAnsi="宋体" w:cs="宋体"/>
          <w:sz w:val="24"/>
          <w:szCs w:val="24"/>
        </w:rPr>
        <w:t xml:space="preserve">本合同执行中相关的一切税费均由乙方负担。</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第十二条  质量保证</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乙方对交付甲方的成果资料承诺其质量保证期限为2年。质量保证期从成果交付之日起算。</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若在保证期限内出现质量问题致使成果资料无法正常使用的，乙方除能证明是因甲方使用、保管不当的原因造成外，视质量问题的影响程度，乙方要向甲方支付该成果资料报酬价款10%～30%的赔偿金。双方对质量检定不能认同时，由省级及省级以上质量监督检验机构提供检验证明。</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在使用乙方提供的成果资料过程中，若经查证乙方交付的水下地理信息数据与实际不符或交付的成果数据不能满足合同约定的成图精度要求，致使该成果资料无法使用，则乙方应返工或向甲方返还该成果资料的报酬价款，同时向甲方支付该成果资料报酬价款10%～30%的赔偿金。</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第十三条  不可抗力</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自然灾害、政府行为、社会异常事件等不能预见、不能避免、不能克服的客观事件为不可抗力事件。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2.不可抗力事件发生后，应立即通知对方，并寄送有关权威机构出具的证明。</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3.不可抗力事件延续120天以上，双方应通过友好协商，确定是否继续履行合同。</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第十四条  合同的变更、解除</w:t>
      </w:r>
      <w:r/>
    </w:p>
    <w:p>
      <w:pPr>
        <w:numPr>
          <w:ilvl w:val="1"/>
          <w:numId w:val="9"/>
        </w:numPr>
        <w:ind w:firstLine="480"/>
        <w:spacing w:line="400" w:lineRule="exact"/>
        <w:tabs>
          <w:tab w:val="left" w:pos="851" w:leader="none"/>
        </w:tabs>
        <w:rPr>
          <w:rFonts w:hint="eastAsia" w:ascii="宋体" w:hAnsi="宋体" w:cs="宋体"/>
          <w:sz w:val="24"/>
          <w:szCs w:val="24"/>
        </w:rPr>
      </w:pPr>
      <w:r>
        <w:rPr>
          <w:rFonts w:hint="eastAsia" w:ascii="宋体" w:hAnsi="宋体" w:cs="宋体"/>
          <w:sz w:val="24"/>
          <w:szCs w:val="24"/>
        </w:rPr>
        <w:t xml:space="preserve">除本合同约定外，甲、乙双方均不得随意变更、解除本合同，甲、乙双方任何一方要求变更或解除本合同时，应向对方提出书面请求，协商确定。</w:t>
      </w:r>
      <w:r/>
    </w:p>
    <w:p>
      <w:pPr>
        <w:numPr>
          <w:ilvl w:val="1"/>
          <w:numId w:val="9"/>
        </w:numPr>
        <w:ind w:firstLine="480"/>
        <w:spacing w:line="400" w:lineRule="exact"/>
        <w:tabs>
          <w:tab w:val="left" w:pos="851" w:leader="none"/>
        </w:tabs>
        <w:rPr>
          <w:rFonts w:hint="eastAsia" w:ascii="宋体" w:hAnsi="宋体" w:cs="微软雅黑"/>
          <w:sz w:val="24"/>
          <w:szCs w:val="24"/>
        </w:rPr>
      </w:pPr>
      <w:r>
        <w:rPr>
          <w:rFonts w:hint="eastAsia" w:ascii="宋体" w:hAnsi="宋体" w:cs="微软雅黑"/>
          <w:sz w:val="24"/>
          <w:szCs w:val="24"/>
        </w:rPr>
        <w:t xml:space="preserve">乙方因自身原因无法履行合同，可以提出终止合同，若甲方同意，则在乙方向甲方支付赔偿金后合同终止，违约金数额如下：</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a.在合同期限的第一个四分之一时间段提出终止合同，乙方须向甲方支付未完成</w:t>
      </w:r>
      <w:r>
        <w:rPr>
          <w:rFonts w:hint="eastAsia" w:ascii="宋体" w:hAnsi="宋体" w:cs="微软雅黑"/>
          <w:sz w:val="24"/>
          <w:szCs w:val="24"/>
        </w:rPr>
        <w:t xml:space="preserve">部分报酬价款10%的赔偿金；</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b.在合同期限的第二个四分之一时间段提出终止合同，乙方须向甲方支付未完成部分报酬总价款20%的赔偿金；</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c.在合同期限的第三个四分之一时间段提出终止合同，乙方须向甲方支付未完成部分报酬总价款30%的赔偿金；</w:t>
      </w:r>
      <w:r/>
    </w:p>
    <w:p>
      <w:pPr>
        <w:ind w:firstLine="480"/>
        <w:spacing w:line="400" w:lineRule="exact"/>
        <w:rPr>
          <w:rFonts w:hint="eastAsia" w:ascii="宋体" w:hAnsi="宋体" w:cs="微软雅黑"/>
          <w:sz w:val="24"/>
          <w:szCs w:val="24"/>
        </w:rPr>
      </w:pPr>
      <w:r>
        <w:rPr>
          <w:rFonts w:hint="eastAsia" w:ascii="宋体" w:hAnsi="宋体" w:cs="微软雅黑"/>
          <w:sz w:val="24"/>
          <w:szCs w:val="24"/>
        </w:rPr>
        <w:t xml:space="preserve">d.在合同期限的最后一个四分之一时间段提出终止合同，乙方须向甲方支付未完成部分报酬总价款40%的赔偿金。</w:t>
      </w:r>
      <w:r/>
    </w:p>
    <w:p>
      <w:pPr>
        <w:numPr>
          <w:ilvl w:val="1"/>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若乙方未能在合同期限内向甲方提交约定数量的成果资料，原则上完成的项目进度不足合同总面积20%的，甲方不予接收资料及结算经费。</w:t>
      </w:r>
      <w:r/>
    </w:p>
    <w:p>
      <w:pPr>
        <w:numPr>
          <w:ilvl w:val="1"/>
          <w:numId w:val="9"/>
        </w:numPr>
        <w:ind w:firstLine="480"/>
        <w:spacing w:line="400" w:lineRule="exact"/>
        <w:rPr>
          <w:rFonts w:hint="eastAsia" w:ascii="宋体" w:hAnsi="宋体" w:cs="宋体"/>
          <w:sz w:val="24"/>
          <w:szCs w:val="24"/>
        </w:rPr>
      </w:pPr>
      <w:r>
        <w:rPr>
          <w:rFonts w:hint="eastAsia" w:ascii="宋体" w:hAnsi="宋体" w:cs="宋体"/>
          <w:sz w:val="24"/>
          <w:szCs w:val="24"/>
        </w:rPr>
        <w:t xml:space="preserve">若乙方未能在合同期限内向甲方提交约定数量的成果资料，乙方须向甲方提供项目实施情况及下一步合同意向书面材料，甲方根据项目执行情况及生产需求向乙方提供是否同意的书面材料，甲、乙双方经协商可延续或终止合同。</w:t>
      </w:r>
      <w:r/>
    </w:p>
    <w:p>
      <w:pPr>
        <w:numPr>
          <w:ilvl w:val="1"/>
          <w:numId w:val="9"/>
        </w:numPr>
        <w:ind w:firstLine="480"/>
        <w:spacing w:line="400" w:lineRule="exact"/>
        <w:rPr>
          <w:rFonts w:hint="eastAsia" w:ascii="宋体" w:hAnsi="宋体" w:cs="宋体"/>
          <w:bCs/>
          <w:sz w:val="24"/>
          <w:szCs w:val="24"/>
        </w:rPr>
      </w:pPr>
      <w:r>
        <w:rPr>
          <w:rFonts w:hint="eastAsia" w:ascii="宋体" w:hAnsi="宋体" w:cs="宋体"/>
          <w:bCs/>
          <w:sz w:val="24"/>
          <w:szCs w:val="24"/>
        </w:rPr>
        <w:t xml:space="preserve">解决合同纠纷的方式</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本合同在履行过程中若发生纠纷，双方应友好协商解决。经双方协商不能达成一致时，任何一方均有权向甲方住所地的人民法院提出诉讼。</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第十五条  附则</w:t>
      </w:r>
      <w:r/>
    </w:p>
    <w:p>
      <w:pPr>
        <w:numPr>
          <w:ilvl w:val="1"/>
          <w:numId w:val="10"/>
        </w:numPr>
        <w:ind w:firstLine="480"/>
        <w:spacing w:line="400" w:lineRule="exact"/>
      </w:pPr>
      <w:r>
        <w:rPr>
          <w:rFonts w:hint="eastAsia" w:ascii="宋体" w:hAnsi="宋体" w:cs="宋体"/>
          <w:sz w:val="24"/>
          <w:szCs w:val="24"/>
        </w:rPr>
        <w:t xml:space="preserve">本合同自双方签章之日起生效。</w:t>
      </w:r>
      <w:r/>
    </w:p>
    <w:p>
      <w:pPr>
        <w:numPr>
          <w:ilvl w:val="1"/>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本合同未尽事宜，双方协商解决。经双方协商一致后可签订本合同的《补充协议》，与本合同具有同等效力。《补充协议》与本合同相抵触部分，以《补充协议》为准。</w:t>
      </w:r>
      <w:r/>
    </w:p>
    <w:p>
      <w:pPr>
        <w:numPr>
          <w:ilvl w:val="1"/>
          <w:numId w:val="10"/>
        </w:numPr>
        <w:ind w:firstLine="480"/>
        <w:spacing w:line="400" w:lineRule="exact"/>
        <w:rPr>
          <w:rFonts w:hint="eastAsia" w:ascii="宋体" w:hAnsi="宋体" w:cs="宋体"/>
          <w:sz w:val="24"/>
          <w:szCs w:val="24"/>
        </w:rPr>
      </w:pPr>
      <w:r>
        <w:rPr>
          <w:rFonts w:hint="eastAsia" w:ascii="宋体" w:hAnsi="宋体" w:cs="宋体"/>
          <w:sz w:val="24"/>
          <w:szCs w:val="24"/>
        </w:rPr>
        <w:t xml:space="preserve">本合同附件为本合同不可分割部分，本合同附件包括：《项目作业范围示意图》《招标文件》（招标编号：**）、乙方提交的《投标文件》等。</w:t>
      </w:r>
      <w:r/>
    </w:p>
    <w:p>
      <w:pPr>
        <w:numPr>
          <w:ilvl w:val="1"/>
          <w:numId w:val="10"/>
        </w:numPr>
        <w:ind w:firstLine="480"/>
        <w:spacing w:line="400" w:lineRule="exact"/>
        <w:rPr>
          <w:rFonts w:hint="eastAsia" w:ascii="宋体" w:hAnsi="宋体" w:cs="宋体"/>
          <w:sz w:val="24"/>
          <w:szCs w:val="24"/>
        </w:rPr>
      </w:pPr>
      <w:r>
        <w:rPr>
          <w:rFonts w:hint="eastAsia" w:hAnsi="宋体" w:cs="宋体"/>
          <w:sz w:val="24"/>
          <w:szCs w:val="24"/>
        </w:rPr>
        <w:t xml:space="preserve">本合同一式陆份，甲方执贰份，乙方执肆份，具有同等法律效力。</w:t>
      </w:r>
      <w:r/>
    </w:p>
    <w:p>
      <w:pPr>
        <w:ind w:left="60"/>
        <w:spacing w:line="400" w:lineRule="exact"/>
        <w:rPr>
          <w:rFonts w:hint="eastAsia" w:ascii="宋体" w:hAnsi="宋体" w:cs="宋体"/>
          <w:sz w:val="24"/>
          <w:szCs w:val="24"/>
        </w:rPr>
      </w:pPr>
      <w:r>
        <w:rPr>
          <w:rFonts w:hint="eastAsia" w:ascii="宋体" w:hAnsi="宋体" w:cs="宋体"/>
          <w:sz w:val="24"/>
          <w:szCs w:val="24"/>
        </w:rPr>
      </w:r>
      <w:r/>
    </w:p>
    <w:tbl>
      <w:tblPr>
        <w:tblW w:w="9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33"/>
        <w:gridCol w:w="953"/>
        <w:gridCol w:w="1480"/>
        <w:gridCol w:w="1421"/>
        <w:gridCol w:w="3228"/>
      </w:tblGrid>
      <w:tr>
        <w:trPr>
          <w:jc w:val="center"/>
          <w:trHeight w:val="834" w:hRule="exact"/>
        </w:trPr>
        <w:tc>
          <w:tcPr>
            <w:gridSpan w:val="2"/>
            <w:tcBorders>
              <w:top w:val="single" w:color="000000" w:sz="4" w:space="0"/>
              <w:left w:val="single" w:color="000000" w:sz="4" w:space="0"/>
              <w:bottom w:val="single" w:color="000000" w:sz="4" w:space="0"/>
              <w:right w:val="single" w:color="000000" w:sz="4" w:space="0"/>
            </w:tcBorders>
            <w:tcW w:w="2886" w:type="dxa"/>
            <w:vAlign w:val="center"/>
            <w:textDirection w:val="lrTb"/>
            <w:noWrap w:val="false"/>
          </w:tcPr>
          <w:p>
            <w:pPr>
              <w:jc w:val="center"/>
              <w:spacing w:after="120"/>
              <w:rPr>
                <w:rFonts w:hint="eastAsia" w:ascii="宋体" w:hAnsi="宋体" w:cs="宋体"/>
                <w:bCs/>
                <w:sz w:val="22"/>
              </w:rPr>
            </w:pPr>
            <w:r>
              <w:rPr>
                <w:rFonts w:hint="eastAsia" w:ascii="宋体" w:hAnsi="宋体" w:cs="宋体"/>
                <w:b/>
                <w:sz w:val="24"/>
                <w:szCs w:val="24"/>
              </w:rPr>
              <w:t xml:space="preserve">甲 方 （章）</w:t>
            </w:r>
            <w:r/>
          </w:p>
        </w:tc>
        <w:tc>
          <w:tcPr>
            <w:gridSpan w:val="3"/>
            <w:tcBorders>
              <w:top w:val="single" w:color="000000" w:sz="4" w:space="0"/>
              <w:left w:val="single" w:color="000000" w:sz="4" w:space="0"/>
              <w:bottom w:val="single" w:color="000000" w:sz="4" w:space="0"/>
              <w:right w:val="single" w:color="000000" w:sz="4" w:space="0"/>
            </w:tcBorders>
            <w:tcW w:w="6129" w:type="dxa"/>
            <w:vAlign w:val="center"/>
            <w:textDirection w:val="lrTb"/>
            <w:noWrap w:val="false"/>
          </w:tcPr>
          <w:p>
            <w:pPr>
              <w:jc w:val="center"/>
              <w:spacing w:after="120"/>
              <w:rPr>
                <w:rFonts w:hint="eastAsia" w:ascii="宋体" w:hAnsi="宋体" w:cs="宋体"/>
                <w:bCs/>
                <w:sz w:val="22"/>
              </w:rPr>
            </w:pPr>
            <w:r>
              <w:rPr>
                <w:rFonts w:hint="eastAsia" w:ascii="宋体" w:hAnsi="宋体" w:cs="宋体"/>
                <w:bCs/>
                <w:sz w:val="24"/>
                <w:szCs w:val="24"/>
              </w:rPr>
              <w:t xml:space="preserve">江苏省自然资源厅</w:t>
            </w:r>
            <w:r/>
          </w:p>
        </w:tc>
      </w:tr>
      <w:tr>
        <w:trPr>
          <w:cantSplit/>
          <w:jc w:val="center"/>
          <w:trHeight w:val="397" w:hRule="exact"/>
        </w:trPr>
        <w:tc>
          <w:tcPr>
            <w:tcBorders>
              <w:top w:val="single" w:color="000000" w:sz="4" w:space="0"/>
              <w:left w:val="single" w:color="000000" w:sz="4" w:space="0"/>
              <w:bottom w:val="single" w:color="000000" w:sz="4" w:space="0"/>
              <w:right w:val="single" w:color="000000" w:sz="4" w:space="0"/>
            </w:tcBorders>
            <w:tcW w:w="1933" w:type="dxa"/>
            <w:vAlign w:val="center"/>
            <w:vMerge w:val="restart"/>
            <w:textDirection w:val="lrTb"/>
            <w:noWrap w:val="false"/>
          </w:tcPr>
          <w:p>
            <w:pPr>
              <w:jc w:val="center"/>
              <w:spacing w:after="120"/>
              <w:rPr>
                <w:rFonts w:hint="eastAsia" w:ascii="宋体" w:hAnsi="宋体" w:cs="宋体"/>
                <w:b/>
                <w:sz w:val="22"/>
              </w:rPr>
            </w:pPr>
            <w:r>
              <w:rPr>
                <w:rFonts w:hint="eastAsia" w:ascii="宋体" w:hAnsi="宋体" w:cs="宋体"/>
                <w:b/>
                <w:sz w:val="24"/>
                <w:szCs w:val="24"/>
              </w:rPr>
              <w:t xml:space="preserve">代表人：</w:t>
            </w:r>
            <w:r/>
          </w:p>
        </w:tc>
        <w:tc>
          <w:tcPr>
            <w:gridSpan w:val="2"/>
            <w:tcBorders>
              <w:top w:val="single" w:color="000000" w:sz="4" w:space="0"/>
              <w:left w:val="single" w:color="000000" w:sz="4" w:space="0"/>
              <w:bottom w:val="single" w:color="000000" w:sz="4" w:space="0"/>
              <w:right w:val="single" w:color="000000" w:sz="4" w:space="0"/>
            </w:tcBorders>
            <w:tcW w:w="2433" w:type="dxa"/>
            <w:vAlign w:val="center"/>
            <w:vMerge w:val="restart"/>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right"/>
              <w:spacing w:after="120"/>
              <w:rPr>
                <w:rFonts w:hint="eastAsia" w:ascii="宋体" w:hAnsi="宋体" w:cs="宋体"/>
                <w:b/>
                <w:sz w:val="22"/>
              </w:rPr>
            </w:pPr>
            <w:r>
              <w:rPr>
                <w:rFonts w:hint="eastAsia" w:ascii="宋体" w:hAnsi="宋体" w:cs="宋体"/>
                <w:b/>
                <w:sz w:val="24"/>
                <w:szCs w:val="24"/>
              </w:rPr>
              <w:t xml:space="preserve">年   月    日</w:t>
            </w:r>
            <w:r/>
          </w:p>
        </w:tc>
      </w:tr>
      <w:tr>
        <w:trPr>
          <w:cantSplit/>
          <w:jc w:val="center"/>
          <w:trHeight w:val="527" w:hRule="exact"/>
        </w:trPr>
        <w:tc>
          <w:tcPr>
            <w:tcBorders>
              <w:top w:val="single" w:color="000000" w:sz="4" w:space="0"/>
              <w:left w:val="single" w:color="000000" w:sz="4" w:space="0"/>
              <w:bottom w:val="single" w:color="000000" w:sz="4" w:space="0"/>
              <w:right w:val="single" w:color="000000" w:sz="4" w:space="0"/>
            </w:tcBorders>
            <w:tcW w:w="1933" w:type="dxa"/>
            <w:vAlign w:val="center"/>
            <w:vMerge w:val="continue"/>
            <w:textDirection w:val="lrTb"/>
            <w:noWrap w:val="false"/>
          </w:tcPr>
          <w:p>
            <w:pPr>
              <w:jc w:val="left"/>
              <w:widowControl/>
              <w:rPr>
                <w:rFonts w:hint="eastAsia" w:ascii="宋体" w:hAnsi="宋体" w:cs="宋体"/>
                <w:b/>
                <w:sz w:val="22"/>
              </w:rPr>
            </w:pPr>
            <w:r>
              <w:rPr>
                <w:rFonts w:hint="eastAsia" w:ascii="宋体" w:hAnsi="宋体" w:cs="宋体"/>
                <w:b/>
                <w:sz w:val="22"/>
              </w:rPr>
            </w:r>
            <w:r/>
          </w:p>
        </w:tc>
        <w:tc>
          <w:tcPr>
            <w:gridSpan w:val="2"/>
            <w:tcBorders>
              <w:top w:val="single" w:color="000000" w:sz="4" w:space="0"/>
              <w:left w:val="single" w:color="000000" w:sz="4" w:space="0"/>
              <w:bottom w:val="single" w:color="000000" w:sz="4" w:space="0"/>
              <w:right w:val="single" w:color="000000" w:sz="4" w:space="0"/>
            </w:tcBorders>
            <w:tcW w:w="2433" w:type="dxa"/>
            <w:vAlign w:val="center"/>
            <w:vMerge w:val="continue"/>
            <w:textDirection w:val="lrTb"/>
            <w:noWrap w:val="false"/>
          </w:tcPr>
          <w:p>
            <w:pPr>
              <w:jc w:val="left"/>
              <w:widowControl/>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4"/>
                <w:szCs w:val="24"/>
              </w:rPr>
              <w:t xml:space="preserve">联系人：</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r>
      <w:tr>
        <w:trPr>
          <w:jc w:val="center"/>
          <w:trHeight w:val="82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Cs/>
                <w:sz w:val="22"/>
              </w:rPr>
            </w:pPr>
            <w:r>
              <w:rPr>
                <w:rFonts w:hint="eastAsia" w:ascii="宋体" w:hAnsi="宋体" w:cs="宋体"/>
                <w:b/>
                <w:sz w:val="24"/>
                <w:szCs w:val="24"/>
              </w:rPr>
              <w:t xml:space="preserve">户  名：</w:t>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4"/>
                <w:szCs w:val="24"/>
              </w:rPr>
              <w:t xml:space="preserve">开户行：</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r>
      <w:tr>
        <w:trPr>
          <w:jc w:val="center"/>
          <w:trHeight w:val="46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4"/>
                <w:szCs w:val="24"/>
              </w:rPr>
              <w:t xml:space="preserve">账  号：</w:t>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r>
      <w:tr>
        <w:trPr>
          <w:jc w:val="center"/>
          <w:trHeight w:val="760"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4"/>
                <w:szCs w:val="24"/>
              </w:rPr>
              <w:t xml:space="preserve">邮政编码：</w:t>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4"/>
                <w:szCs w:val="24"/>
              </w:rPr>
              <w:t xml:space="preserve">地  址：</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line="300" w:lineRule="exact"/>
              <w:rPr>
                <w:rFonts w:hint="eastAsia" w:ascii="宋体" w:hAnsi="宋体" w:cs="宋体"/>
                <w:b/>
                <w:sz w:val="22"/>
              </w:rPr>
            </w:pPr>
            <w:r>
              <w:rPr>
                <w:rFonts w:hint="eastAsia" w:ascii="宋体" w:hAnsi="宋体" w:cs="宋体"/>
                <w:sz w:val="24"/>
                <w:szCs w:val="24"/>
              </w:rPr>
              <w:t xml:space="preserve">南京市水西门大街58号</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Cs/>
                <w:sz w:val="22"/>
              </w:rPr>
            </w:pPr>
            <w:r>
              <w:rPr>
                <w:rFonts w:hint="eastAsia" w:ascii="宋体" w:hAnsi="宋体" w:cs="宋体"/>
                <w:b/>
                <w:sz w:val="24"/>
                <w:szCs w:val="24"/>
              </w:rPr>
              <w:t xml:space="preserve">电  话：</w:t>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4"/>
                <w:szCs w:val="24"/>
              </w:rPr>
              <w:t xml:space="preserve">传  真：</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spacing w:after="120"/>
              <w:rPr>
                <w:rFonts w:hint="eastAsia" w:ascii="宋体" w:hAnsi="宋体" w:cs="宋体"/>
                <w:bCs/>
                <w:sz w:val="22"/>
              </w:rPr>
            </w:pPr>
            <w:r>
              <w:rPr>
                <w:rFonts w:hint="eastAsia" w:ascii="宋体" w:hAnsi="宋体" w:cs="宋体"/>
                <w:b/>
                <w:bCs/>
                <w:sz w:val="24"/>
                <w:szCs w:val="24"/>
              </w:rPr>
              <w:t xml:space="preserve">Email:</w:t>
            </w:r>
            <w:r/>
          </w:p>
        </w:tc>
        <w:tc>
          <w:tcPr>
            <w:gridSpan w:val="2"/>
            <w:tcBorders>
              <w:top w:val="single" w:color="000000" w:sz="4" w:space="0"/>
              <w:left w:val="single" w:color="000000" w:sz="4" w:space="0"/>
              <w:bottom w:val="single" w:color="000000" w:sz="4" w:space="0"/>
              <w:right w:val="single" w:color="000000" w:sz="4" w:space="0"/>
            </w:tcBorders>
            <w:tcW w:w="2433"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jc w:val="center"/>
              <w:spacing w:after="120"/>
              <w:rPr>
                <w:rFonts w:hint="eastAsia" w:ascii="宋体" w:hAnsi="宋体" w:cs="宋体"/>
                <w:b/>
                <w:sz w:val="22"/>
              </w:rPr>
            </w:pPr>
            <w:r>
              <w:rPr>
                <w:rFonts w:hint="eastAsia" w:ascii="宋体" w:hAnsi="宋体" w:cs="宋体"/>
                <w:b/>
                <w:sz w:val="22"/>
              </w:rPr>
            </w:r>
            <w:r/>
          </w:p>
        </w:tc>
      </w:tr>
    </w:tbl>
    <w:p>
      <w:pPr>
        <w:jc w:val="center"/>
        <w:rPr>
          <w:rFonts w:hint="eastAsia" w:ascii="宋体" w:hAnsi="宋体" w:cs="宋体"/>
          <w:bCs/>
          <w:szCs w:val="24"/>
        </w:rPr>
      </w:pPr>
      <w:r>
        <w:rPr>
          <w:rFonts w:hint="eastAsia" w:ascii="宋体" w:hAnsi="宋体" w:cs="宋体"/>
          <w:bCs/>
          <w:szCs w:val="24"/>
        </w:rPr>
      </w:r>
      <w:r/>
    </w:p>
    <w:p>
      <w:pPr>
        <w:jc w:val="center"/>
        <w:rPr>
          <w:rFonts w:hint="eastAsia" w:ascii="宋体" w:hAnsi="宋体" w:cs="宋体"/>
          <w:bCs/>
          <w:szCs w:val="24"/>
        </w:rPr>
      </w:pPr>
      <w:r>
        <w:rPr>
          <w:rFonts w:hint="eastAsia" w:ascii="宋体" w:hAnsi="宋体" w:cs="宋体"/>
          <w:bCs/>
          <w:szCs w:val="24"/>
        </w:rPr>
      </w:r>
      <w:r/>
    </w:p>
    <w:tbl>
      <w:tblPr>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5"/>
        <w:gridCol w:w="1984"/>
        <w:gridCol w:w="1134"/>
        <w:gridCol w:w="1335"/>
        <w:gridCol w:w="3113"/>
      </w:tblGrid>
      <w:tr>
        <w:trPr>
          <w:jc w:val="center"/>
          <w:trHeight w:val="644" w:hRule="exact"/>
        </w:trPr>
        <w:tc>
          <w:tcPr>
            <w:gridSpan w:val="2"/>
            <w:tcBorders>
              <w:top w:val="single" w:color="000000" w:sz="4" w:space="0"/>
              <w:left w:val="single" w:color="000000" w:sz="4" w:space="0"/>
              <w:bottom w:val="single" w:color="000000" w:sz="4" w:space="0"/>
              <w:right w:val="single" w:color="000000" w:sz="4" w:space="0"/>
            </w:tcBorders>
            <w:tcW w:w="3539" w:type="dxa"/>
            <w:vAlign w:val="center"/>
            <w:textDirection w:val="lrTb"/>
            <w:noWrap w:val="false"/>
          </w:tcPr>
          <w:p>
            <w:pPr>
              <w:jc w:val="center"/>
              <w:rPr>
                <w:rFonts w:hint="eastAsia" w:ascii="宋体" w:hAnsi="宋体" w:cs="宋体"/>
                <w:bCs/>
                <w:sz w:val="24"/>
                <w:szCs w:val="24"/>
              </w:rPr>
            </w:pPr>
            <w:r>
              <w:rPr>
                <w:rFonts w:hint="eastAsia" w:ascii="宋体" w:hAnsi="宋体" w:cs="宋体"/>
                <w:b/>
                <w:sz w:val="24"/>
                <w:szCs w:val="24"/>
              </w:rPr>
              <w:t xml:space="preserve">乙 方（章）</w:t>
            </w:r>
            <w:r/>
          </w:p>
        </w:tc>
        <w:tc>
          <w:tcPr>
            <w:gridSpan w:val="3"/>
            <w:tcBorders>
              <w:top w:val="single" w:color="000000" w:sz="4" w:space="0"/>
              <w:left w:val="single" w:color="000000" w:sz="4" w:space="0"/>
              <w:bottom w:val="single" w:color="000000" w:sz="4" w:space="0"/>
              <w:right w:val="single" w:color="000000" w:sz="4" w:space="0"/>
            </w:tcBorders>
            <w:tcW w:w="5582" w:type="dxa"/>
            <w:vAlign w:val="center"/>
            <w:textDirection w:val="lrTb"/>
            <w:noWrap w:val="false"/>
          </w:tcPr>
          <w:p>
            <w:pPr>
              <w:jc w:val="center"/>
              <w:rPr>
                <w:rFonts w:hint="eastAsia" w:ascii="宋体" w:hAnsi="宋体" w:cs="宋体"/>
                <w:bCs/>
                <w:spacing w:val="-10"/>
                <w:sz w:val="24"/>
                <w:szCs w:val="24"/>
              </w:rPr>
            </w:pPr>
            <w:r>
              <w:rPr>
                <w:rFonts w:hint="eastAsia" w:ascii="宋体" w:hAnsi="宋体" w:cs="宋体"/>
                <w:bCs/>
                <w:spacing w:val="-10"/>
                <w:sz w:val="24"/>
                <w:szCs w:val="24"/>
              </w:rPr>
            </w:r>
            <w:r/>
          </w:p>
        </w:tc>
      </w:tr>
      <w:tr>
        <w:trPr>
          <w:cantSplit/>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代表人：</w:t>
            </w:r>
            <w:r/>
          </w:p>
        </w:tc>
        <w:tc>
          <w:tcPr>
            <w:gridSpan w:val="2"/>
            <w:tcBorders>
              <w:top w:val="single" w:color="000000" w:sz="4" w:space="0"/>
              <w:left w:val="single" w:color="000000" w:sz="4" w:space="0"/>
              <w:bottom w:val="single" w:color="000000" w:sz="4" w:space="0"/>
              <w:right w:val="single" w:color="000000" w:sz="4" w:space="0"/>
            </w:tcBorders>
            <w:tcW w:w="3118" w:type="dxa"/>
            <w:vAlign w:val="center"/>
            <w:vMerge w:val="restart"/>
            <w:textDirection w:val="lrTb"/>
            <w:noWrap w:val="false"/>
          </w:tcPr>
          <w:p>
            <w:pPr>
              <w:jc w:val="center"/>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right"/>
              <w:rPr>
                <w:rFonts w:hint="eastAsia" w:ascii="宋体" w:hAnsi="宋体" w:cs="宋体"/>
                <w:b/>
                <w:sz w:val="24"/>
                <w:szCs w:val="24"/>
              </w:rPr>
            </w:pPr>
            <w:r>
              <w:rPr>
                <w:rFonts w:hint="eastAsia" w:ascii="宋体" w:hAnsi="宋体" w:cs="宋体"/>
                <w:b/>
                <w:sz w:val="24"/>
                <w:szCs w:val="24"/>
              </w:rPr>
              <w:t xml:space="preserve">年   月   日</w:t>
            </w:r>
            <w:r/>
          </w:p>
        </w:tc>
      </w:tr>
      <w:tr>
        <w:trPr>
          <w:cantSplit/>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W w:w="3118" w:type="dxa"/>
            <w:vAlign w:val="center"/>
            <w:vMerge w:val="continue"/>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联系人：</w:t>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spacing w:after="120"/>
              <w:rPr>
                <w:rFonts w:hint="eastAsia" w:ascii="宋体" w:hAnsi="宋体" w:cs="宋体"/>
                <w:sz w:val="24"/>
                <w:szCs w:val="24"/>
              </w:rPr>
            </w:pPr>
            <w:r>
              <w:rPr>
                <w:rFonts w:hint="eastAsia" w:ascii="宋体" w:hAnsi="宋体" w:cs="宋体"/>
                <w:sz w:val="24"/>
                <w:szCs w:val="24"/>
              </w:rPr>
            </w:r>
            <w:r/>
          </w:p>
        </w:tc>
      </w:tr>
      <w:tr>
        <w:trPr>
          <w:jc w:val="center"/>
          <w:trHeight w:val="748"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户  名：</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开户行：</w:t>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账  号：</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jc w:val="center"/>
          <w:trHeight w:val="580"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邮政编码：</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地  址：</w:t>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电  话：</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传  真：</w:t>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Email:</w:t>
            </w:r>
            <w:r/>
          </w:p>
        </w:tc>
        <w:tc>
          <w:tcPr>
            <w:gridSpan w:val="2"/>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3113"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r>
            <w:r/>
          </w:p>
        </w:tc>
      </w:tr>
    </w:tbl>
    <w:p>
      <w:pPr>
        <w:pStyle w:val="730"/>
        <w:spacing w:line="360" w:lineRule="auto"/>
        <w:rPr>
          <w:rFonts w:hint="eastAsia" w:ascii="宋体" w:hAnsi="宋体" w:cs="宋体"/>
          <w:szCs w:val="21"/>
        </w:rPr>
      </w:pPr>
      <w:r>
        <w:rPr>
          <w:rFonts w:hint="eastAsia" w:ascii="宋体" w:hAnsi="宋体" w:cs="宋体"/>
          <w:szCs w:val="21"/>
        </w:rPr>
      </w:r>
      <w:r/>
    </w:p>
    <w:p>
      <w:pPr>
        <w:pStyle w:val="735"/>
        <w:jc w:val="center"/>
        <w:spacing w:before="120" w:after="120" w:line="0" w:lineRule="atLeast"/>
        <w:rPr>
          <w:rFonts w:ascii="黑体" w:eastAsia="黑体"/>
          <w:bCs/>
          <w:sz w:val="44"/>
        </w:rPr>
      </w:pPr>
      <w:r>
        <w:rPr>
          <w:rFonts w:ascii="黑体" w:eastAsia="黑体"/>
          <w:bCs/>
          <w:sz w:val="44"/>
        </w:rPr>
        <w:br w:type="page" w:clear="all"/>
      </w:r>
      <w:r/>
    </w:p>
    <w:p>
      <w:pPr>
        <w:pStyle w:val="711"/>
        <w:rPr>
          <w:rFonts w:ascii="黑体" w:eastAsia="黑体"/>
          <w:bCs/>
          <w:sz w:val="44"/>
        </w:rPr>
      </w:pPr>
      <w:r/>
      <w:bookmarkStart w:id="195" w:name="_Toc235460867"/>
      <w:r>
        <w:rPr>
          <w:rFonts w:ascii="黑体" w:eastAsia="黑体"/>
          <w:bCs/>
          <w:sz w:val="44"/>
        </w:rPr>
        <w:t xml:space="preserve">第四章 采购需求</w:t>
      </w:r>
      <w:bookmarkEnd w:id="195"/>
      <w:r/>
      <w:r/>
    </w:p>
    <w:p>
      <w:pPr>
        <w:jc w:val="center"/>
        <w:spacing w:before="60" w:after="60" w:line="590" w:lineRule="exact"/>
        <w:rPr>
          <w:rFonts w:hint="eastAsia" w:ascii="宋体" w:hAnsi="宋体" w:cs="方正小标宋_GBK"/>
          <w:sz w:val="24"/>
          <w:szCs w:val="24"/>
        </w:rPr>
      </w:pPr>
      <w:r/>
      <w:bookmarkStart w:id="196" w:name="OLE_LINK25"/>
      <w:r/>
      <w:bookmarkStart w:id="197" w:name="OLE_LINK24"/>
      <w:r/>
      <w:bookmarkStart w:id="198" w:name="_Toc26554093"/>
      <w:r/>
      <w:bookmarkStart w:id="199" w:name="_Toc120614281"/>
      <w:r/>
      <w:bookmarkStart w:id="200" w:name="_Toc49090575"/>
      <w:r/>
      <w:bookmarkEnd w:id="189"/>
      <w:r/>
      <w:bookmarkEnd w:id="190"/>
      <w:r/>
      <w:bookmarkEnd w:id="191"/>
      <w:r/>
      <w:bookmarkEnd w:id="192"/>
      <w:r/>
      <w:r/>
    </w:p>
    <w:p>
      <w:pPr>
        <w:ind w:firstLine="482"/>
        <w:rPr>
          <w:rFonts w:hint="eastAsia" w:ascii="宋体" w:hAnsi="宋体" w:cs="宋体"/>
          <w:b/>
          <w:sz w:val="24"/>
          <w:szCs w:val="24"/>
        </w:rPr>
      </w:pPr>
      <w:r>
        <w:rPr>
          <w:rFonts w:hint="eastAsia" w:ascii="宋体" w:hAnsi="宋体" w:cs="宋体"/>
          <w:b/>
          <w:sz w:val="24"/>
          <w:szCs w:val="24"/>
        </w:rPr>
        <w:t xml:space="preserve">项目属性：服务类。</w:t>
      </w:r>
      <w:r/>
    </w:p>
    <w:p>
      <w:pPr>
        <w:ind w:firstLine="482"/>
        <w:rPr>
          <w:rFonts w:hint="eastAsia" w:ascii="宋体" w:hAnsi="宋体" w:cs="宋体"/>
          <w:b/>
          <w:sz w:val="24"/>
          <w:szCs w:val="24"/>
        </w:rPr>
      </w:pPr>
      <w:r>
        <w:rPr>
          <w:rFonts w:hint="eastAsia" w:ascii="宋体" w:hAnsi="宋体" w:cs="宋体"/>
          <w:b/>
          <w:sz w:val="24"/>
          <w:szCs w:val="24"/>
        </w:rPr>
      </w:r>
      <w:r/>
    </w:p>
    <w:p>
      <w:pPr>
        <w:pStyle w:val="1047"/>
        <w:ind w:firstLine="640"/>
        <w:jc w:val="left"/>
        <w:spacing w:before="181" w:after="181" w:line="400" w:lineRule="exact"/>
        <w:rPr>
          <w:rFonts w:hint="eastAsia" w:ascii="黑体" w:hAnsi="黑体" w:eastAsia="黑体" w:cs="黑体"/>
          <w:b w:val="0"/>
          <w:bCs w:val="0"/>
        </w:rPr>
      </w:pPr>
      <w:r/>
      <w:bookmarkStart w:id="201" w:name="_Toc220489000"/>
      <w:r/>
      <w:bookmarkStart w:id="202" w:name="_Toc227167503"/>
      <w:r>
        <w:rPr>
          <w:rFonts w:hint="eastAsia" w:ascii="黑体" w:hAnsi="黑体" w:eastAsia="黑体" w:cs="黑体"/>
          <w:b w:val="0"/>
          <w:bCs w:val="0"/>
        </w:rPr>
        <w:t xml:space="preserve">一、采购标的清单</w:t>
      </w:r>
      <w:bookmarkEnd w:id="201"/>
      <w:r/>
      <w:bookmarkEnd w:id="202"/>
      <w:r/>
      <w:r/>
    </w:p>
    <w:p>
      <w:pPr>
        <w:spacing w:line="0" w:lineRule="atLeast"/>
        <w:rPr>
          <w:rFonts w:hint="eastAsia" w:ascii="宋体" w:hAnsi="宋体"/>
          <w:b/>
          <w:sz w:val="24"/>
          <w:szCs w:val="24"/>
        </w:rPr>
      </w:pPr>
      <w:r>
        <w:rPr>
          <w:rFonts w:hint="eastAsia" w:ascii="宋体" w:hAnsi="宋体"/>
          <w:b/>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1"/>
        <w:gridCol w:w="3443"/>
        <w:gridCol w:w="2852"/>
      </w:tblGrid>
      <w:tr>
        <w:trPr>
          <w:cantSplit/>
          <w:jc w:val="center"/>
        </w:trPr>
        <w:tc>
          <w:tcPr>
            <w:tcW w:w="10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344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0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443" w:type="dxa"/>
            <w:vAlign w:val="center"/>
            <w:textDirection w:val="lrTb"/>
            <w:noWrap w:val="false"/>
          </w:tcPr>
          <w:p>
            <w:pPr>
              <w:jc w:val="center"/>
              <w:spacing w:line="0" w:lineRule="atLeast"/>
              <w:tabs>
                <w:tab w:val="left" w:pos="1545" w:leader="none"/>
              </w:tabs>
              <w:rPr>
                <w:rFonts w:hint="eastAsia" w:ascii="宋体" w:hAnsi="宋体"/>
                <w:sz w:val="24"/>
                <w:szCs w:val="24"/>
              </w:rPr>
            </w:pPr>
            <w:r>
              <w:rPr>
                <w:rFonts w:hint="eastAsia" w:ascii="宋体" w:hAnsi="宋体" w:cs="宋体"/>
                <w:sz w:val="24"/>
                <w:szCs w:val="24"/>
              </w:rPr>
              <w:t xml:space="preserve">2026年</w:t>
            </w:r>
            <w:r>
              <w:rPr>
                <w:rFonts w:hint="eastAsia" w:ascii="宋体" w:hAnsi="宋体"/>
                <w:sz w:val="24"/>
                <w:szCs w:val="24"/>
              </w:rPr>
              <w:t xml:space="preserve">江苏省部分省管海域水下地理信息数据获取</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其他未列明行业</w:t>
            </w:r>
            <w:r/>
          </w:p>
        </w:tc>
      </w:tr>
      <w:tr>
        <w:trPr>
          <w:cantSplit/>
          <w:jc w:val="center"/>
          <w:trHeight w:val="235"/>
        </w:trPr>
        <w:tc>
          <w:tcPr>
            <w:tcW w:w="10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3443" w:type="dxa"/>
            <w:vAlign w:val="center"/>
            <w:textDirection w:val="lrTb"/>
            <w:noWrap w:val="false"/>
          </w:tcPr>
          <w:p>
            <w:pPr>
              <w:jc w:val="center"/>
              <w:spacing w:line="0" w:lineRule="atLeast"/>
              <w:tabs>
                <w:tab w:val="left" w:pos="1545" w:leader="none"/>
              </w:tabs>
              <w:rPr>
                <w:rFonts w:hint="eastAsia" w:ascii="宋体" w:hAnsi="宋体"/>
                <w:sz w:val="24"/>
                <w:szCs w:val="24"/>
              </w:rPr>
            </w:pPr>
            <w:r>
              <w:rPr>
                <w:rFonts w:hint="eastAsia" w:ascii="宋体" w:hAnsi="宋体" w:cs="宋体"/>
                <w:sz w:val="24"/>
                <w:szCs w:val="24"/>
              </w:rPr>
              <w:t xml:space="preserve">2026年</w:t>
            </w:r>
            <w:r>
              <w:rPr>
                <w:rFonts w:hint="eastAsia" w:ascii="宋体" w:hAnsi="宋体"/>
                <w:sz w:val="24"/>
                <w:szCs w:val="24"/>
              </w:rPr>
              <w:t xml:space="preserve">江苏省部分省管海域水下地理信息数据获取</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其他未列明行业</w:t>
            </w:r>
            <w:r/>
          </w:p>
        </w:tc>
      </w:tr>
      <w:tr>
        <w:trPr>
          <w:cantSplit/>
          <w:jc w:val="center"/>
          <w:trHeight w:val="235"/>
        </w:trPr>
        <w:tc>
          <w:tcPr>
            <w:tcW w:w="10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3443" w:type="dxa"/>
            <w:vAlign w:val="center"/>
            <w:textDirection w:val="lrTb"/>
            <w:noWrap w:val="false"/>
          </w:tcPr>
          <w:p>
            <w:pPr>
              <w:jc w:val="center"/>
              <w:spacing w:line="0" w:lineRule="atLeast"/>
              <w:tabs>
                <w:tab w:val="left" w:pos="1545" w:leader="none"/>
              </w:tabs>
              <w:rPr>
                <w:rFonts w:hint="eastAsia" w:ascii="宋体" w:hAnsi="宋体" w:cs="宋体"/>
                <w:sz w:val="24"/>
                <w:szCs w:val="24"/>
              </w:rPr>
            </w:pPr>
            <w:r>
              <w:rPr>
                <w:rFonts w:hint="eastAsia" w:ascii="宋体" w:hAnsi="宋体" w:cs="宋体"/>
                <w:sz w:val="24"/>
                <w:szCs w:val="24"/>
              </w:rPr>
              <w:t xml:space="preserve">2026年</w:t>
            </w:r>
            <w:r>
              <w:rPr>
                <w:rFonts w:hint="eastAsia" w:ascii="宋体" w:hAnsi="宋体"/>
                <w:sz w:val="24"/>
                <w:szCs w:val="24"/>
              </w:rPr>
              <w:t xml:space="preserve">江苏省部分省管海域水下地理信息数据获取</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其他未列明行业</w:t>
            </w:r>
            <w:r/>
          </w:p>
        </w:tc>
      </w:tr>
      <w:tr>
        <w:trPr>
          <w:cantSplit/>
          <w:jc w:val="center"/>
          <w:trHeight w:val="235"/>
        </w:trPr>
        <w:tc>
          <w:tcPr>
            <w:tcW w:w="10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3443" w:type="dxa"/>
            <w:vAlign w:val="center"/>
            <w:textDirection w:val="lrTb"/>
            <w:noWrap w:val="false"/>
          </w:tcPr>
          <w:p>
            <w:pPr>
              <w:jc w:val="center"/>
              <w:spacing w:line="0" w:lineRule="atLeast"/>
              <w:tabs>
                <w:tab w:val="left" w:pos="1545" w:leader="none"/>
              </w:tabs>
              <w:rPr>
                <w:rFonts w:hint="eastAsia" w:ascii="宋体" w:hAnsi="宋体" w:cs="宋体"/>
                <w:sz w:val="24"/>
                <w:szCs w:val="24"/>
              </w:rPr>
            </w:pPr>
            <w:r>
              <w:rPr>
                <w:rFonts w:hint="eastAsia" w:ascii="宋体" w:hAnsi="宋体" w:cs="宋体"/>
                <w:sz w:val="24"/>
                <w:szCs w:val="24"/>
              </w:rPr>
              <w:t xml:space="preserve">2026年</w:t>
            </w:r>
            <w:r>
              <w:rPr>
                <w:rFonts w:hint="eastAsia" w:ascii="宋体" w:hAnsi="宋体"/>
                <w:sz w:val="24"/>
                <w:szCs w:val="24"/>
              </w:rPr>
              <w:t xml:space="preserve">江苏省部分省管海域水下地理信息数据获取</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其他未列明行业</w:t>
            </w:r>
            <w:r/>
          </w:p>
        </w:tc>
      </w:tr>
    </w:tbl>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二、项目概述</w:t>
      </w:r>
      <w:r/>
    </w:p>
    <w:p>
      <w:pPr>
        <w:ind w:firstLine="480"/>
        <w:spacing w:line="400" w:lineRule="exact"/>
        <w:rPr>
          <w:rFonts w:hint="eastAsia" w:ascii="宋体" w:hAnsi="宋体" w:cs="宋体"/>
          <w:sz w:val="24"/>
          <w:szCs w:val="24"/>
        </w:rPr>
      </w:pPr>
      <w:r>
        <w:rPr>
          <w:rFonts w:hint="eastAsia" w:ascii="宋体" w:hAnsi="宋体"/>
          <w:sz w:val="24"/>
          <w:szCs w:val="24"/>
        </w:rPr>
        <w:t xml:space="preserve">为加快推进陆海一体的实景三维江苏建设，支撑我省打造全国海洋经济高质量发展示范地，2026年计划安排获取江苏省部分省管海域水下地理信息数据，开展地形地貌调查。</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三、项目范围</w:t>
      </w:r>
      <w:r/>
    </w:p>
    <w:p>
      <w:pPr>
        <w:ind w:firstLine="480"/>
        <w:spacing w:line="400" w:lineRule="exact"/>
        <w:rPr>
          <w:rFonts w:hint="eastAsia" w:ascii="宋体" w:hAnsi="宋体"/>
          <w:sz w:val="24"/>
          <w:szCs w:val="24"/>
        </w:rPr>
      </w:pPr>
      <w:r>
        <w:rPr>
          <w:rFonts w:hint="eastAsia" w:ascii="宋体" w:hAnsi="宋体"/>
          <w:sz w:val="24"/>
          <w:szCs w:val="24"/>
        </w:rPr>
        <w:t xml:space="preserve">本次招标范围主要在江苏省连云港市海域，本项目分为四个采购包，具体范围以甲方提供的矢量数据为准。</w:t>
      </w:r>
      <w:r/>
    </w:p>
    <w:p>
      <w:pPr>
        <w:ind w:firstLine="480"/>
        <w:spacing w:line="400" w:lineRule="exact"/>
        <w:rPr>
          <w:rFonts w:hint="eastAsia" w:ascii="宋体" w:hAnsi="宋体"/>
          <w:sz w:val="24"/>
          <w:szCs w:val="24"/>
        </w:rPr>
      </w:pPr>
      <w:r>
        <w:rPr>
          <w:rFonts w:hint="eastAsia" w:ascii="宋体" w:hAnsi="宋体"/>
          <w:sz w:val="24"/>
          <w:szCs w:val="24"/>
        </w:rPr>
        <w:t xml:space="preserve">采购包一：连云港市赣榆港航道外侧海域，测量面积约436.8平方千米，测线长度约10628千米。</w:t>
      </w:r>
      <w:r/>
    </w:p>
    <w:p>
      <w:pPr>
        <w:ind w:firstLine="480"/>
        <w:spacing w:line="400" w:lineRule="exact"/>
        <w:rPr>
          <w:rFonts w:hint="eastAsia" w:ascii="宋体" w:hAnsi="宋体"/>
          <w:sz w:val="24"/>
          <w:szCs w:val="24"/>
        </w:rPr>
      </w:pPr>
      <w:r>
        <w:rPr>
          <w:rFonts w:hint="eastAsia" w:ascii="宋体" w:hAnsi="宋体"/>
          <w:sz w:val="24"/>
          <w:szCs w:val="24"/>
        </w:rPr>
        <w:t xml:space="preserve"> 采购包二：连云港市车牛山岛西侧海域，测量面积约525.4平方千米，测线长度约10550千米，含区域内4个海岛无人机LiDAR测量。</w:t>
      </w:r>
      <w:r/>
    </w:p>
    <w:p>
      <w:pPr>
        <w:ind w:firstLine="480"/>
        <w:spacing w:line="400" w:lineRule="exact"/>
        <w:rPr>
          <w:rFonts w:hint="eastAsia" w:ascii="宋体" w:hAnsi="宋体"/>
          <w:sz w:val="24"/>
          <w:szCs w:val="24"/>
        </w:rPr>
      </w:pPr>
      <w:r>
        <w:rPr>
          <w:rFonts w:hint="eastAsia" w:ascii="宋体" w:hAnsi="宋体"/>
          <w:sz w:val="24"/>
          <w:szCs w:val="24"/>
        </w:rPr>
        <w:t xml:space="preserve">采购包三：连云港市达山岛周边海域，测量面积约622.1平方千米，测线长度约10473千米。</w:t>
      </w:r>
      <w:r/>
    </w:p>
    <w:p>
      <w:pPr>
        <w:ind w:firstLine="480"/>
        <w:spacing w:line="400" w:lineRule="exact"/>
        <w:rPr>
          <w:rFonts w:hint="eastAsia" w:ascii="宋体" w:hAnsi="宋体"/>
          <w:sz w:val="24"/>
          <w:szCs w:val="24"/>
        </w:rPr>
      </w:pPr>
      <w:r>
        <w:rPr>
          <w:rFonts w:hint="eastAsia" w:ascii="宋体" w:hAnsi="宋体"/>
          <w:sz w:val="24"/>
          <w:szCs w:val="24"/>
        </w:rPr>
        <w:t xml:space="preserve">采购包四：连云港市达山岛东侧至领海外部界限海域，测量面积约686.1平方千米，测线长度约10395千米。</w:t>
      </w:r>
      <w:r/>
    </w:p>
    <w:p>
      <w:pPr>
        <w:pStyle w:val="1048"/>
        <w:numPr>
          <w:ilvl w:val="0"/>
          <w:numId w:val="0"/>
        </w:numPr>
        <w:ind w:firstLine="480"/>
        <w:rPr>
          <w:rFonts w:hint="eastAsia" w:ascii="宋体" w:hAnsi="宋体" w:eastAsia="宋体"/>
          <w:b w:val="0"/>
          <w:szCs w:val="24"/>
        </w:rPr>
      </w:pPr>
      <w:r>
        <w:rPr>
          <w:rFonts w:hint="eastAsia" w:ascii="宋体" w:hAnsi="宋体" w:eastAsia="宋体"/>
          <w:b w:val="0"/>
          <w:szCs w:val="24"/>
        </w:rPr>
        <w:t xml:space="preserve">项目范围示意图见附图。</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四、项目内容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完成连云港部分省管海域近海水下地理信息获取工作，内容包括：技术设计书编写、验潮站布设、水位观测、水下地形外业测量、</w:t>
      </w:r>
      <w:r>
        <w:rPr>
          <w:rFonts w:hint="eastAsia" w:ascii="宋体" w:hAnsi="宋体"/>
          <w:sz w:val="24"/>
          <w:szCs w:val="24"/>
        </w:rPr>
        <w:t xml:space="preserve">反向散射强度数据获取、</w:t>
      </w:r>
      <w:r>
        <w:rPr>
          <w:rFonts w:hint="eastAsia" w:ascii="宋体" w:hAnsi="宋体" w:cs="宋体"/>
          <w:sz w:val="24"/>
          <w:szCs w:val="24"/>
        </w:rPr>
        <w:t xml:space="preserve">数据预处理等，需要提供各类原始观测资料、成果数据以及相应的技术总结、检查报告等文档。</w:t>
      </w:r>
      <w:r/>
    </w:p>
    <w:p>
      <w:pPr>
        <w:pStyle w:val="1047"/>
        <w:numPr>
          <w:ilvl w:val="0"/>
          <w:numId w:val="11"/>
        </w:numPr>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项目采购包划分以及限价</w:t>
      </w:r>
      <w:r/>
    </w:p>
    <w:p>
      <w:pPr>
        <w:pStyle w:val="1049"/>
        <w:ind w:firstLine="0"/>
        <w:rPr>
          <w:rFonts w:hint="eastAsia" w:ascii="黑体" w:hAnsi="黑体" w:eastAsia="黑体" w:cs="黑体"/>
        </w:rPr>
      </w:pPr>
      <w:r>
        <w:rPr>
          <w:rFonts w:hint="eastAsia" w:ascii="黑体" w:hAnsi="黑体" w:eastAsia="黑体" w:cs="黑体"/>
        </w:rPr>
      </w:r>
      <w:r/>
    </w:p>
    <w:p>
      <w:pPr>
        <w:pStyle w:val="1049"/>
        <w:ind w:firstLine="0"/>
        <w:rPr>
          <w:rFonts w:hint="eastAsia" w:ascii="黑体" w:hAnsi="黑体" w:eastAsia="黑体" w:cs="黑体"/>
        </w:rPr>
      </w:pPr>
      <w:r>
        <w:rPr>
          <w:rFonts w:hint="eastAsia" w:ascii="黑体" w:hAnsi="黑体" w:eastAsia="黑体" w:cs="黑体"/>
        </w:rPr>
      </w:r>
      <w:r/>
    </w:p>
    <w:tbl>
      <w:tblPr>
        <w:tblW w:w="90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27"/>
        <w:gridCol w:w="4483"/>
        <w:gridCol w:w="1418"/>
        <w:gridCol w:w="1418"/>
      </w:tblGrid>
      <w:tr>
        <w:trPr>
          <w:jc w:val="center"/>
        </w:trPr>
        <w:tc>
          <w:tcPr>
            <w:tcW w:w="172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采购包序号</w:t>
            </w:r>
            <w:r/>
          </w:p>
        </w:tc>
        <w:tc>
          <w:tcPr>
            <w:tcW w:w="44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区域</w:t>
            </w:r>
            <w:r/>
          </w:p>
        </w:tc>
        <w:tc>
          <w:tcPr>
            <w:tcW w:w="14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面积（平方千米）</w:t>
            </w:r>
            <w:r/>
          </w:p>
        </w:tc>
        <w:tc>
          <w:tcPr>
            <w:tcW w:w="14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限价（万元）</w:t>
            </w:r>
            <w:r/>
          </w:p>
        </w:tc>
      </w:tr>
      <w:tr>
        <w:trPr>
          <w:jc w:val="center"/>
          <w:trHeight w:val="680"/>
        </w:trPr>
        <w:tc>
          <w:tcPr>
            <w:tcW w:w="172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采购包一</w:t>
            </w:r>
            <w:r/>
          </w:p>
        </w:tc>
        <w:tc>
          <w:tcPr>
            <w:tcW w:w="44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连云港市赣榆港航道外侧海域</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436.8</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457.0</w:t>
            </w:r>
            <w:r/>
          </w:p>
        </w:tc>
      </w:tr>
      <w:tr>
        <w:trPr>
          <w:jc w:val="center"/>
          <w:trHeight w:val="680"/>
        </w:trPr>
        <w:tc>
          <w:tcPr>
            <w:tcW w:w="172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采购包二</w:t>
            </w:r>
            <w:r/>
          </w:p>
        </w:tc>
        <w:tc>
          <w:tcPr>
            <w:tcW w:w="44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连云港市车牛山岛南侧海域</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525.4</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453.7</w:t>
            </w:r>
            <w:r/>
          </w:p>
        </w:tc>
      </w:tr>
      <w:tr>
        <w:trPr>
          <w:jc w:val="center"/>
          <w:trHeight w:val="680"/>
        </w:trPr>
        <w:tc>
          <w:tcPr>
            <w:tcW w:w="172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采购包三</w:t>
            </w:r>
            <w:r/>
          </w:p>
        </w:tc>
        <w:tc>
          <w:tcPr>
            <w:tcW w:w="44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连云港市达山岛南侧海域</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622.1</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450.3</w:t>
            </w:r>
            <w:r/>
          </w:p>
        </w:tc>
      </w:tr>
      <w:tr>
        <w:trPr>
          <w:jc w:val="center"/>
          <w:trHeight w:val="680"/>
        </w:trPr>
        <w:tc>
          <w:tcPr>
            <w:tcW w:w="172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采购包四</w:t>
            </w:r>
            <w:r/>
          </w:p>
        </w:tc>
        <w:tc>
          <w:tcPr>
            <w:tcW w:w="44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连云港市达山岛东侧至领海外部界限海域</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686.1</w:t>
            </w:r>
            <w:r/>
          </w:p>
        </w:tc>
        <w:tc>
          <w:tcPr>
            <w:tcW w:w="1418" w:type="dxa"/>
            <w:vAlign w:val="center"/>
            <w:textDirection w:val="lrTb"/>
            <w:noWrap w:val="false"/>
          </w:tcPr>
          <w:p>
            <w:pPr>
              <w:jc w:val="center"/>
              <w:rPr>
                <w:rFonts w:hint="eastAsia" w:ascii="宋体" w:hAnsi="宋体"/>
                <w:sz w:val="24"/>
                <w:szCs w:val="24"/>
              </w:rPr>
            </w:pPr>
            <w:r>
              <w:rPr>
                <w:rFonts w:ascii="宋体" w:hAnsi="宋体"/>
                <w:sz w:val="24"/>
                <w:szCs w:val="24"/>
              </w:rPr>
              <w:t xml:space="preserve">447.0</w:t>
            </w:r>
            <w:r/>
          </w:p>
        </w:tc>
      </w:tr>
    </w:tbl>
    <w:p>
      <w:pPr>
        <w:pStyle w:val="1050"/>
        <w:ind w:firstLine="422"/>
        <w:spacing w:line="400" w:lineRule="exact"/>
        <w:rPr>
          <w:rFonts w:hint="eastAsia" w:ascii="宋体" w:hAnsi="宋体" w:eastAsia="宋体"/>
          <w:b/>
          <w:bCs/>
          <w:sz w:val="21"/>
          <w:szCs w:val="21"/>
        </w:rPr>
      </w:pPr>
      <w:r>
        <w:rPr>
          <w:rFonts w:hint="eastAsia" w:ascii="宋体" w:hAnsi="宋体" w:eastAsia="宋体"/>
          <w:b/>
          <w:bCs/>
          <w:sz w:val="21"/>
          <w:szCs w:val="21"/>
        </w:rPr>
        <w:t xml:space="preserve">说明：四个采购包除了测量区域不相同，其余要求均一致。</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六、执行标准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1.GB 12327-2022  海道测量规范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2.GB/T 12898-2009  国家三、四等水准测量规范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3.GB/T 13923-2022  基础地理信息要素分类与代码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4.GB/T 17501-2017  海洋工程地形测量规范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5.GB/T 18314-2024   全球导航卫星系统（GNSS）测量规范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6.GB/T 18316―2008  数字测绘成果质量检查与验收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7.GB/T 24356-2023  测绘成果质量检查与验收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8.GB/T 39616-2020  卫星导航定位基准站网络实时动态测量（RTK）规范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9.CH/T 1004-2005  测绘技术设计规定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CH/T 8024-2011</w:t>
      </w:r>
      <w:r>
        <w:rPr>
          <w:rFonts w:hint="eastAsia" w:ascii="宋体" w:hAnsi="宋体" w:cs="宋体"/>
          <w:sz w:val="24"/>
          <w:szCs w:val="24"/>
        </w:rPr>
        <w:t xml:space="preserve">  </w:t>
      </w:r>
      <w:r>
        <w:rPr>
          <w:rFonts w:ascii="宋体" w:hAnsi="宋体" w:cs="宋体"/>
          <w:sz w:val="24"/>
          <w:szCs w:val="24"/>
        </w:rPr>
        <w:t xml:space="preserve">机载激光雷达数据获取技术规范</w:t>
      </w:r>
      <w:r>
        <w:rPr>
          <w:rFonts w:hint="eastAsia" w:ascii="宋体" w:hAnsi="宋体" w:cs="宋体"/>
          <w:sz w:val="24"/>
          <w:szCs w:val="24"/>
        </w:rPr>
        <w:t xml:space="preserve">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CH/T 3023-2019</w:t>
      </w:r>
      <w:r>
        <w:rPr>
          <w:rFonts w:hint="eastAsia" w:ascii="宋体" w:hAnsi="宋体" w:cs="宋体"/>
          <w:sz w:val="24"/>
          <w:szCs w:val="24"/>
        </w:rPr>
        <w:t xml:space="preserve">  </w:t>
      </w:r>
      <w:r>
        <w:rPr>
          <w:rFonts w:ascii="宋体" w:hAnsi="宋体" w:cs="宋体"/>
          <w:sz w:val="24"/>
          <w:szCs w:val="24"/>
        </w:rPr>
        <w:t xml:space="preserve">机载激光雷达数据获取成果质量检验技术规程</w:t>
      </w:r>
      <w:r>
        <w:rPr>
          <w:rFonts w:hint="eastAsia" w:ascii="宋体" w:hAnsi="宋体" w:cs="宋体"/>
          <w:sz w:val="24"/>
          <w:szCs w:val="24"/>
        </w:rPr>
        <w:t xml:space="preserve">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12.CH/T 2009-2010  全球定位系统实时动态测量（RTK）技术规范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13.我国管辖海域海洋综合调查技术规程 第2分册：海洋地形地貌调查</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14.其他相关技术要求。</w:t>
      </w:r>
      <w:r/>
    </w:p>
    <w:p>
      <w:pPr>
        <w:ind w:firstLine="422"/>
        <w:spacing w:line="400" w:lineRule="exact"/>
        <w:rPr>
          <w:rFonts w:hint="eastAsia" w:ascii="宋体" w:hAnsi="宋体"/>
          <w:b/>
        </w:rPr>
      </w:pPr>
      <w:r>
        <w:rPr>
          <w:rFonts w:hint="eastAsia" w:ascii="宋体" w:hAnsi="宋体"/>
          <w:b/>
        </w:rPr>
        <w:t xml:space="preserve">以上标准版本以国家的最新修订版本为准。</w:t>
      </w:r>
      <w:r/>
    </w:p>
    <w:p>
      <w:pPr>
        <w:pStyle w:val="1047"/>
        <w:ind w:firstLine="640"/>
        <w:spacing w:before="120" w:after="120" w:line="400" w:lineRule="exact"/>
        <w:rPr>
          <w:rFonts w:hint="eastAsia" w:ascii="黑体" w:hAnsi="黑体" w:eastAsia="黑体" w:cs="黑体"/>
          <w:b w:val="0"/>
          <w:bCs w:val="0"/>
        </w:rPr>
      </w:pPr>
      <w:r>
        <w:rPr>
          <w:rFonts w:hint="eastAsia" w:ascii="黑体" w:hAnsi="黑体" w:eastAsia="黑体" w:cs="黑体"/>
          <w:b w:val="0"/>
          <w:bCs w:val="0"/>
        </w:rPr>
        <w:t xml:space="preserve">七、技术要求 </w:t>
      </w:r>
      <w:r/>
    </w:p>
    <w:p>
      <w:pPr>
        <w:ind w:firstLine="480"/>
        <w:spacing w:line="400" w:lineRule="exact"/>
        <w:rPr>
          <w:rFonts w:hint="eastAsia" w:ascii="宋体" w:hAnsi="宋体" w:cs="宋体"/>
          <w:b/>
          <w:bCs/>
          <w:sz w:val="24"/>
          <w:szCs w:val="24"/>
        </w:rPr>
      </w:pPr>
      <w:r>
        <w:rPr>
          <w:rFonts w:hint="eastAsia" w:ascii="宋体" w:hAnsi="宋体" w:cs="宋体"/>
          <w:b/>
          <w:bCs/>
          <w:sz w:val="24"/>
          <w:szCs w:val="24"/>
        </w:rPr>
        <w:t xml:space="preserve">1.测绘基准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大地坐标系：采用2000国家大地坐标系（CGCS2000）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高程基准：采用1985国家高程基准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深度基准：理论深度基准面（理论最低潮面）</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时间系统：采用公元纪年和北京时间</w:t>
      </w:r>
      <w:r/>
    </w:p>
    <w:p>
      <w:pPr>
        <w:ind w:firstLine="482"/>
        <w:spacing w:line="400" w:lineRule="exact"/>
        <w:rPr>
          <w:rFonts w:hint="eastAsia" w:ascii="宋体" w:hAnsi="宋体"/>
          <w:b/>
          <w:bCs/>
          <w:sz w:val="24"/>
          <w:szCs w:val="24"/>
        </w:rPr>
      </w:pPr>
      <w:r>
        <w:rPr>
          <w:rFonts w:hint="eastAsia" w:ascii="宋体" w:hAnsi="宋体"/>
          <w:b/>
          <w:bCs/>
          <w:sz w:val="24"/>
          <w:szCs w:val="24"/>
        </w:rPr>
        <w:t xml:space="preserve">2.组织实施</w:t>
      </w:r>
      <w:r/>
    </w:p>
    <w:p>
      <w:pPr>
        <w:ind w:firstLine="480"/>
        <w:spacing w:line="400" w:lineRule="exact"/>
        <w:rPr>
          <w:rFonts w:hint="eastAsia" w:ascii="宋体" w:hAnsi="宋体"/>
          <w:sz w:val="24"/>
          <w:szCs w:val="24"/>
        </w:rPr>
      </w:pPr>
      <w:r>
        <w:rPr>
          <w:rFonts w:hint="eastAsia" w:ascii="宋体" w:hAnsi="宋体"/>
          <w:sz w:val="24"/>
          <w:szCs w:val="24"/>
        </w:rPr>
        <w:t xml:space="preserve">测量任务承担单位应组建一支人员结构稳固、技术力量雄厚的专业团队。</w:t>
      </w:r>
      <w:r/>
    </w:p>
    <w:p>
      <w:pPr>
        <w:ind w:firstLine="480"/>
        <w:spacing w:line="400" w:lineRule="exact"/>
        <w:rPr>
          <w:rFonts w:hint="eastAsia" w:ascii="宋体" w:hAnsi="宋体"/>
          <w:sz w:val="24"/>
          <w:szCs w:val="24"/>
        </w:rPr>
      </w:pPr>
      <w:r>
        <w:rPr>
          <w:rFonts w:hint="eastAsia" w:ascii="宋体" w:hAnsi="宋体"/>
          <w:sz w:val="24"/>
          <w:szCs w:val="24"/>
        </w:rPr>
        <w:t xml:space="preserve">在项目开展之初，应针对项目要求编写项目技术设计书，报采购人审批后实施，明确技术路线、项目成果等，在此基础上应开展技术培训，让团队成员全面了解项目工作目标，工作流程及技术指标。</w:t>
      </w:r>
      <w:r/>
    </w:p>
    <w:p>
      <w:pPr>
        <w:ind w:firstLine="480"/>
        <w:spacing w:line="400" w:lineRule="exact"/>
        <w:rPr>
          <w:rFonts w:hint="eastAsia" w:ascii="宋体" w:hAnsi="宋体"/>
          <w:sz w:val="24"/>
          <w:szCs w:val="24"/>
        </w:rPr>
      </w:pPr>
      <w:r>
        <w:rPr>
          <w:rFonts w:hint="eastAsia" w:ascii="宋体" w:hAnsi="宋体"/>
          <w:sz w:val="24"/>
          <w:szCs w:val="24"/>
        </w:rPr>
        <w:t xml:space="preserve">项目负责人应准确把握项目进度，做到进度计划有效掌控，必须在规定时间内完成项目内容。</w:t>
      </w:r>
      <w:r/>
    </w:p>
    <w:p>
      <w:pPr>
        <w:ind w:firstLine="480"/>
        <w:spacing w:line="400" w:lineRule="exact"/>
        <w:rPr>
          <w:rFonts w:hint="eastAsia" w:ascii="宋体" w:hAnsi="宋体"/>
          <w:sz w:val="24"/>
          <w:szCs w:val="24"/>
        </w:rPr>
      </w:pPr>
      <w:r>
        <w:rPr>
          <w:rFonts w:hint="eastAsia" w:ascii="宋体" w:hAnsi="宋体"/>
          <w:sz w:val="24"/>
          <w:szCs w:val="24"/>
        </w:rPr>
        <w:t xml:space="preserve">质量负责人应全面把关过程质量，严格按照相关目标要求进行检查与控制，高质量地完成本项目。</w:t>
      </w:r>
      <w:r/>
    </w:p>
    <w:p>
      <w:pPr>
        <w:ind w:firstLine="480"/>
        <w:spacing w:line="400" w:lineRule="exact"/>
        <w:rPr>
          <w:rFonts w:hint="eastAsia" w:ascii="宋体" w:hAnsi="宋体"/>
          <w:sz w:val="24"/>
          <w:szCs w:val="24"/>
        </w:rPr>
      </w:pPr>
      <w:r>
        <w:rPr>
          <w:rFonts w:hint="eastAsia" w:ascii="宋体" w:hAnsi="宋体"/>
          <w:sz w:val="24"/>
          <w:szCs w:val="24"/>
        </w:rPr>
        <w:t xml:space="preserve">技术负责人应正确指导项目生产，及时汇总技术问题、整理项目过程资料，不定期开展经验交流总结，严格按照相关技术规范和项目技术设计书要求完成本项目。</w:t>
      </w:r>
      <w:r/>
    </w:p>
    <w:p>
      <w:pPr>
        <w:ind w:firstLine="482"/>
        <w:spacing w:line="400" w:lineRule="exact"/>
        <w:rPr>
          <w:rFonts w:hint="eastAsia" w:ascii="宋体" w:hAnsi="宋体"/>
          <w:b/>
          <w:bCs/>
          <w:sz w:val="24"/>
          <w:szCs w:val="24"/>
        </w:rPr>
      </w:pPr>
      <w:r>
        <w:rPr>
          <w:rFonts w:hint="eastAsia" w:ascii="宋体" w:hAnsi="宋体"/>
          <w:b/>
          <w:bCs/>
          <w:sz w:val="24"/>
          <w:szCs w:val="24"/>
        </w:rPr>
        <w:t xml:space="preserve">3.验潮站布设和水位观测</w:t>
      </w:r>
      <w:r/>
    </w:p>
    <w:p>
      <w:pPr>
        <w:ind w:firstLine="480"/>
        <w:spacing w:line="400" w:lineRule="exact"/>
        <w:rPr>
          <w:rFonts w:hint="eastAsia" w:ascii="宋体" w:hAnsi="宋体"/>
          <w:sz w:val="24"/>
          <w:szCs w:val="24"/>
        </w:rPr>
      </w:pPr>
      <w:r>
        <w:rPr>
          <w:rFonts w:hint="eastAsia" w:ascii="宋体" w:hAnsi="宋体"/>
          <w:sz w:val="24"/>
          <w:szCs w:val="24"/>
        </w:rPr>
        <w:t xml:space="preserve">按照采购单位要求在测区布设临时验潮站，验潮站分布应符合测区水位控制需求，布设位置应满足相关技术规范要求，相邻潮位站之间的距离应满足最大潮高差不大于1m，最大潮时差不大于2h，潮汐性质基本相同，可基于码头、海岛、风机或沉底方式布设验潮站，以获取测区潮位数据，沿岸验潮站水准点和验潮站水尺零点应采用水准联测的方法确定其高程，按照不低于四等水准测量要求施测。</w:t>
      </w:r>
      <w:r/>
    </w:p>
    <w:p>
      <w:pPr>
        <w:ind w:firstLine="480"/>
        <w:spacing w:line="400" w:lineRule="exact"/>
        <w:rPr>
          <w:rFonts w:hint="eastAsia" w:ascii="宋体" w:hAnsi="宋体"/>
          <w:sz w:val="24"/>
          <w:szCs w:val="24"/>
        </w:rPr>
      </w:pPr>
      <w:r>
        <w:rPr>
          <w:rFonts w:hint="eastAsia" w:ascii="宋体" w:hAnsi="宋体"/>
          <w:sz w:val="24"/>
          <w:szCs w:val="24"/>
        </w:rPr>
        <w:t xml:space="preserve">水位观测时长应满足相关技术规范要求，沿岸临时验潮站需形成连续1个月以上的水位观测数据，其他临时验潮站需满足相关规范水位改正的同步观测时长要求，验潮站水准点高程精度指标不低于四等水准测量精度，沿岸临时验潮站观测误差不大于2 cm，海上临时验潮站观测误差不大于5 cm。</w:t>
      </w:r>
      <w:r/>
    </w:p>
    <w:p>
      <w:pPr>
        <w:ind w:firstLine="480"/>
        <w:spacing w:line="400" w:lineRule="exact"/>
        <w:rPr>
          <w:rFonts w:hint="eastAsia" w:ascii="宋体" w:hAnsi="宋体"/>
          <w:sz w:val="24"/>
          <w:szCs w:val="24"/>
        </w:rPr>
      </w:pPr>
      <w:r>
        <w:rPr>
          <w:rFonts w:hint="eastAsia" w:ascii="宋体" w:hAnsi="宋体"/>
          <w:sz w:val="24"/>
          <w:szCs w:val="24"/>
        </w:rPr>
        <w:t xml:space="preserve">测区的潮位数据应能满足理论深度基准面确定的技术要求。</w:t>
      </w:r>
      <w:r/>
    </w:p>
    <w:p>
      <w:pPr>
        <w:ind w:firstLine="482"/>
        <w:spacing w:line="400" w:lineRule="exact"/>
        <w:rPr>
          <w:rFonts w:hint="eastAsia" w:ascii="宋体" w:hAnsi="宋体"/>
          <w:b/>
          <w:bCs/>
          <w:sz w:val="24"/>
          <w:szCs w:val="24"/>
        </w:rPr>
      </w:pPr>
      <w:r>
        <w:rPr>
          <w:rFonts w:hint="eastAsia" w:ascii="宋体" w:hAnsi="宋体"/>
          <w:b/>
          <w:bCs/>
          <w:sz w:val="24"/>
          <w:szCs w:val="24"/>
        </w:rPr>
        <w:t xml:space="preserve">4.水下地形外业测量和数据处理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结合相关技术规范，以船载多波束测深仪测量为主要技术手段，完成任务区海域水下地形测量，确保测量区域数据全覆盖，同步采集反向散射强度数据。</w:t>
      </w:r>
      <w:r/>
    </w:p>
    <w:p>
      <w:pPr>
        <w:ind w:firstLine="480"/>
        <w:spacing w:line="360" w:lineRule="exact"/>
        <w:widowControl/>
        <w:rPr>
          <w:rFonts w:hint="eastAsia" w:ascii="宋体" w:hAnsi="宋体"/>
          <w:sz w:val="24"/>
        </w:rPr>
      </w:pPr>
      <w:r/>
      <w:bookmarkStart w:id="203" w:name="OLE_LINK35"/>
      <w:r>
        <w:rPr>
          <w:rFonts w:hint="eastAsia" w:ascii="宋体" w:hAnsi="宋体"/>
          <w:sz w:val="24"/>
        </w:rPr>
        <w:t xml:space="preserve">多波束测深系统主要技术指标应满足如下要求：</w:t>
      </w:r>
      <w:r/>
    </w:p>
    <w:p>
      <w:pPr>
        <w:pStyle w:val="1051"/>
        <w:ind w:left="860" w:hanging="440"/>
      </w:pPr>
      <w:r>
        <w:rPr>
          <w:rFonts w:hint="eastAsia"/>
        </w:rPr>
        <w:t xml:space="preserve">1)</w:t>
      </w:r>
      <w:r>
        <w:t xml:space="preserve">发射波束角不大于</w:t>
      </w:r>
      <w:r>
        <w:rPr>
          <w:rFonts w:hint="eastAsia"/>
        </w:rPr>
        <w:t xml:space="preserve">1.5</w:t>
      </w:r>
      <w:r>
        <w:rPr>
          <w:rFonts w:hint="eastAsia"/>
        </w:rPr>
        <w:t xml:space="preserve">°，接收波束角不大于</w:t>
      </w:r>
      <w:r>
        <w:rPr>
          <w:rFonts w:hint="eastAsia"/>
        </w:rPr>
        <w:t xml:space="preserve">1</w:t>
      </w:r>
      <w:r>
        <w:rPr>
          <w:rFonts w:hint="eastAsia"/>
        </w:rPr>
        <w:t xml:space="preserve">°；（在</w:t>
      </w:r>
      <w:r>
        <w:rPr>
          <w:rFonts w:hint="eastAsia"/>
        </w:rPr>
        <w:t xml:space="preserve">200m</w:t>
      </w:r>
      <w:r>
        <w:rPr>
          <w:rFonts w:hint="eastAsia"/>
        </w:rPr>
        <w:t xml:space="preserve">以深海域调查时，发射波束角和接收波束角可放宽至</w:t>
      </w:r>
      <w:r>
        <w:rPr>
          <w:rFonts w:hint="eastAsia"/>
        </w:rPr>
        <w:t xml:space="preserve">2</w:t>
      </w:r>
      <w:r>
        <w:rPr>
          <w:rFonts w:hint="eastAsia"/>
        </w:rPr>
        <w:t xml:space="preserve">°×</w:t>
      </w:r>
      <w:r>
        <w:rPr>
          <w:rFonts w:hint="eastAsia"/>
        </w:rPr>
        <w:t xml:space="preserve">1</w:t>
      </w:r>
      <w:r>
        <w:rPr>
          <w:rFonts w:hint="eastAsia"/>
        </w:rPr>
        <w:t xml:space="preserve">°）；</w:t>
      </w:r>
      <w:r/>
    </w:p>
    <w:p>
      <w:pPr>
        <w:pStyle w:val="1051"/>
        <w:ind w:left="860" w:hanging="440"/>
      </w:pPr>
      <w:r>
        <w:rPr>
          <w:rFonts w:hint="eastAsia"/>
        </w:rPr>
        <w:t xml:space="preserve">2)</w:t>
      </w:r>
      <w:r>
        <w:rPr>
          <w:rFonts w:hint="eastAsia"/>
        </w:rPr>
        <w:t xml:space="preserve">波束数：在扇区开角不大于</w:t>
      </w:r>
      <w:r>
        <w:rPr>
          <w:rFonts w:hint="eastAsia"/>
        </w:rPr>
        <w:t xml:space="preserve"> 140</w:t>
      </w:r>
      <w:r>
        <w:rPr>
          <w:rFonts w:hint="eastAsia"/>
        </w:rPr>
        <w:t xml:space="preserve">°时，波束数应不少于</w:t>
      </w:r>
      <w:r>
        <w:rPr>
          <w:rFonts w:hint="eastAsia"/>
        </w:rPr>
        <w:t xml:space="preserve">256 </w:t>
      </w:r>
      <w:r>
        <w:rPr>
          <w:rFonts w:hint="eastAsia"/>
        </w:rPr>
        <w:t xml:space="preserve">个；</w:t>
      </w:r>
      <w:r/>
    </w:p>
    <w:p>
      <w:pPr>
        <w:pStyle w:val="1051"/>
        <w:ind w:left="860" w:hanging="440"/>
      </w:pPr>
      <w:r>
        <w:rPr>
          <w:rFonts w:hint="eastAsia"/>
        </w:rPr>
        <w:t xml:space="preserve">3)</w:t>
      </w:r>
      <w:r>
        <w:t xml:space="preserve">姿态传感器横摇、纵摇精度优于</w:t>
      </w:r>
      <w:r>
        <w:t xml:space="preserve">0.05</w:t>
      </w:r>
      <w:r>
        <w:rPr>
          <w:rFonts w:hint="eastAsia"/>
        </w:rPr>
        <w:t xml:space="preserve">°，升沉精度优于</w:t>
      </w:r>
      <w:r>
        <w:t xml:space="preserve"> 0.05 m </w:t>
      </w:r>
      <w:r>
        <w:t xml:space="preserve">或实际升沉量的</w:t>
      </w:r>
      <w:r>
        <w:t xml:space="preserve"> 5</w:t>
      </w:r>
      <w:r>
        <w:t xml:space="preserve">％取大者，航向精度优于</w:t>
      </w:r>
      <w:r>
        <w:t xml:space="preserve">0.1</w:t>
      </w:r>
      <w:r>
        <w:rPr>
          <w:rFonts w:hint="eastAsia"/>
        </w:rPr>
        <w:t xml:space="preserve">°，姿态数据输出频率不低于</w:t>
      </w:r>
      <w:r>
        <w:t xml:space="preserve"> </w:t>
      </w:r>
      <w:r>
        <w:rPr>
          <w:rFonts w:hint="eastAsia"/>
        </w:rPr>
        <w:t xml:space="preserve">5</w:t>
      </w:r>
      <w:r>
        <w:t xml:space="preserve">0 Hz</w:t>
      </w:r>
      <w:r>
        <w:rPr>
          <w:rFonts w:hint="eastAsia"/>
        </w:rPr>
        <w:t xml:space="preserve">。</w:t>
      </w:r>
      <w:bookmarkEnd w:id="203"/>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水下地形测量技术精度、技术要求均需满足《海道测量规范》《我国管辖海域海洋综合调查技术规程 第2分册：海洋地形地貌调查》等相关规范。水下地形数据测量须确保使用的不同类型仪器、不同作业时期、不同作业区之间应进行测量成果检验，至少布设一条重复检查测线；同时，完成与江苏近海10米以浅成果数据的接边。</w:t>
      </w:r>
      <w:r/>
    </w:p>
    <w:p>
      <w:pPr>
        <w:ind w:firstLine="480"/>
        <w:spacing w:line="400" w:lineRule="exact"/>
        <w:rPr>
          <w:rFonts w:hint="eastAsia" w:ascii="宋体" w:hAnsi="宋体"/>
          <w:sz w:val="24"/>
          <w:szCs w:val="24"/>
        </w:rPr>
      </w:pPr>
      <w:r>
        <w:rPr>
          <w:rFonts w:hint="eastAsia" w:ascii="宋体" w:hAnsi="宋体"/>
          <w:sz w:val="24"/>
          <w:szCs w:val="24"/>
        </w:rPr>
        <w:t xml:space="preserve">海岛岛体区域应采用无人机LiDAR施测，航飞选择在每天的最低潮前后一小时进行，保证获取的地面点数据能够与水深测量数据无缝衔接，点云密度应优于8点/m</w:t>
      </w:r>
      <w:r>
        <w:rPr>
          <w:rFonts w:hint="eastAsia" w:ascii="宋体" w:hAnsi="宋体"/>
          <w:sz w:val="24"/>
          <w:szCs w:val="24"/>
          <w:vertAlign w:val="superscript"/>
        </w:rPr>
        <w:t xml:space="preserve">2</w:t>
      </w:r>
      <w:r>
        <w:rPr>
          <w:rFonts w:hint="eastAsia" w:ascii="宋体" w:hAnsi="宋体"/>
          <w:sz w:val="24"/>
          <w:szCs w:val="24"/>
        </w:rPr>
        <w:t xml:space="preserve">，LiDAR点云数据高程精度应采用野外RTK测量点数据进行检核，高程中误差应≤0.25m。</w:t>
      </w:r>
      <w:r/>
    </w:p>
    <w:p>
      <w:pPr>
        <w:ind w:firstLine="480"/>
        <w:spacing w:line="400" w:lineRule="exact"/>
        <w:rPr>
          <w:rFonts w:hint="eastAsia" w:ascii="宋体" w:hAnsi="宋体"/>
          <w:sz w:val="24"/>
          <w:szCs w:val="24"/>
        </w:rPr>
      </w:pPr>
      <w:r>
        <w:rPr>
          <w:rFonts w:hint="eastAsia" w:ascii="宋体" w:hAnsi="宋体"/>
          <w:sz w:val="24"/>
          <w:szCs w:val="24"/>
        </w:rPr>
        <w:t xml:space="preserve">在外业数据采集的基础上，按要求完成项目水下地形测量的数据预处理，形成测区水下地形点大地高、1985国家高程基准和理论深度基准面成果。</w:t>
      </w:r>
      <w:r/>
    </w:p>
    <w:p>
      <w:pPr>
        <w:ind w:firstLine="482"/>
        <w:spacing w:line="400" w:lineRule="exact"/>
        <w:rPr>
          <w:rFonts w:hint="eastAsia" w:ascii="宋体" w:hAnsi="宋体"/>
          <w:b/>
          <w:bCs/>
          <w:sz w:val="24"/>
          <w:szCs w:val="24"/>
        </w:rPr>
      </w:pPr>
      <w:r>
        <w:rPr>
          <w:rFonts w:hint="eastAsia" w:ascii="宋体" w:hAnsi="宋体"/>
          <w:b/>
          <w:bCs/>
          <w:sz w:val="24"/>
          <w:szCs w:val="24"/>
        </w:rPr>
        <w:t xml:space="preserve">5.质量控制</w:t>
      </w:r>
      <w:r/>
    </w:p>
    <w:p>
      <w:pPr>
        <w:ind w:firstLine="480"/>
        <w:spacing w:line="400" w:lineRule="exact"/>
        <w:rPr>
          <w:rFonts w:hint="eastAsia" w:ascii="宋体" w:hAnsi="宋体"/>
          <w:sz w:val="24"/>
          <w:szCs w:val="24"/>
        </w:rPr>
      </w:pPr>
      <w:r>
        <w:rPr>
          <w:rFonts w:hint="eastAsia" w:ascii="宋体" w:hAnsi="宋体"/>
          <w:sz w:val="24"/>
          <w:szCs w:val="24"/>
        </w:rPr>
        <w:t xml:space="preserve">生产任务承担单位应按要求完成质量检查，并保留必要的检查标记信息、文本记录等。对于质量控制过程中发现的问题，尤其是普遍性、倾向性问题，提出切实可行的解决措施，并提交相关成果质量检查报告。</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八、实施要求</w:t>
      </w:r>
      <w:r/>
    </w:p>
    <w:p>
      <w:pPr>
        <w:ind w:firstLine="480"/>
        <w:spacing w:line="400" w:lineRule="exact"/>
        <w:rPr>
          <w:rFonts w:hint="eastAsia" w:ascii="宋体" w:hAnsi="宋体"/>
          <w:sz w:val="24"/>
          <w:szCs w:val="24"/>
        </w:rPr>
      </w:pPr>
      <w:r>
        <w:rPr>
          <w:rFonts w:hint="eastAsia" w:ascii="宋体" w:hAnsi="宋体"/>
          <w:sz w:val="24"/>
          <w:szCs w:val="24"/>
        </w:rPr>
        <w:t xml:space="preserve">1.技术路线设计要求：供应商应根据测区的具体情况进行技术设计，技术设计应全面、科学先进，技术路线/作业流程清晰详细、描述正确，可操作性强。需求分析准确、仪器设备先进。</w:t>
      </w:r>
      <w:r/>
    </w:p>
    <w:p>
      <w:pPr>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.质量控制要求：供应商应按照通过最终成果检验的要求进行质量控制，质量保证措施应全面、具体、安全、合理、切实可行、责任明确。</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项目风险控制要求：供应商对可能存在的问题进行针对性重点难点分析，提出解决方案或合理化建议，整体分析和措施理解深入、逻辑清晰、重点难点定位准确，具有较强的可执行性和可操作性。</w:t>
      </w:r>
      <w:r/>
    </w:p>
    <w:p>
      <w:pPr>
        <w:ind w:firstLine="480"/>
        <w:spacing w:line="400" w:lineRule="exact"/>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数据保密要求：供应商提供完善、合理的数据保密制度和措施，制定明确的成果资料保密措施和安全保障手段。</w:t>
      </w:r>
      <w:r/>
    </w:p>
    <w:p>
      <w:pPr>
        <w:ind w:firstLine="480"/>
        <w:spacing w:line="40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组织管理要求：供应商针对测区特点，按照保质保量按时完成项目的要求进行组织设置和人员配置，项目组织管理体系的架构及项目的运作规划应全面、科学、合理，同时岗位设置及岗位职责完整、得当。</w:t>
      </w:r>
      <w:r/>
    </w:p>
    <w:p>
      <w:pPr>
        <w:ind w:firstLine="480"/>
        <w:spacing w:line="40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.进度安排要求：供应商应严格按照</w:t>
      </w:r>
      <w:r>
        <w:rPr>
          <w:rFonts w:ascii="宋体" w:hAnsi="宋体"/>
          <w:sz w:val="24"/>
          <w:szCs w:val="24"/>
        </w:rPr>
        <w:t xml:space="preserve">202</w:t>
      </w:r>
      <w:r>
        <w:rPr>
          <w:rFonts w:hint="eastAsia" w:ascii="宋体" w:hAnsi="宋体"/>
          <w:sz w:val="24"/>
          <w:szCs w:val="24"/>
        </w:rPr>
        <w:t xml:space="preserve">6年12月30</w:t>
      </w:r>
      <w:r>
        <w:rPr>
          <w:rFonts w:ascii="宋体" w:hAnsi="宋体"/>
          <w:sz w:val="24"/>
          <w:szCs w:val="24"/>
        </w:rPr>
        <w:t xml:space="preserve">日之前完成全部</w:t>
      </w:r>
      <w:r>
        <w:rPr>
          <w:rFonts w:hint="eastAsia" w:ascii="宋体" w:hAnsi="宋体"/>
          <w:sz w:val="24"/>
          <w:szCs w:val="24"/>
        </w:rPr>
        <w:t xml:space="preserve">测量任务的时间节点安排进度，进度安排应合理、进度控制科学、工期保障措施健全且切实可行。</w:t>
      </w:r>
      <w:r/>
    </w:p>
    <w:p>
      <w:pPr>
        <w:ind w:firstLine="480"/>
        <w:spacing w:line="400" w:lineRule="exact"/>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.售后服务要求：供应商应按照8小时有效响应的要求设置售后服务方案，售后承诺细致，售后服务体系完备，售后服务便捷，响应时间迅速，技术支持保障措施完善。</w:t>
      </w:r>
      <w:r/>
    </w:p>
    <w:p>
      <w:pPr>
        <w:ind w:firstLine="480"/>
        <w:spacing w:line="400" w:lineRule="exact"/>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项目团队要求：供应商为本项目配备的技术人员应不少于</w:t>
      </w:r>
      <w:r>
        <w:rPr>
          <w:rFonts w:ascii="宋体" w:hAnsi="宋体"/>
          <w:sz w:val="24"/>
          <w:szCs w:val="24"/>
        </w:rPr>
        <w:t xml:space="preserve">22人，并应符合相关要求。</w:t>
      </w:r>
      <w:r/>
    </w:p>
    <w:p>
      <w:pPr>
        <w:ind w:firstLine="480"/>
        <w:spacing w:line="400" w:lineRule="exact"/>
        <w:rPr>
          <w:rFonts w:hint="eastAsia" w:ascii="宋体" w:hAnsi="宋体"/>
          <w:sz w:val="24"/>
          <w:szCs w:val="24"/>
        </w:rPr>
      </w:pPr>
      <w:r>
        <w:rPr>
          <w:rFonts w:hint="eastAsia" w:ascii="宋体" w:hAnsi="宋体"/>
          <w:sz w:val="24"/>
          <w:szCs w:val="24"/>
        </w:rPr>
        <w:t xml:space="preserve">项目负责人（1人）要求：应为供应商自有员工，具有注册测绘师且具有测绘相关正高级工程师（教授级高级工程师）职称。</w:t>
      </w:r>
      <w:r/>
    </w:p>
    <w:p>
      <w:pPr>
        <w:ind w:firstLine="480"/>
        <w:spacing w:line="400" w:lineRule="exact"/>
        <w:rPr>
          <w:rFonts w:hint="eastAsia" w:ascii="宋体" w:hAnsi="宋体"/>
          <w:sz w:val="24"/>
          <w:szCs w:val="24"/>
        </w:rPr>
      </w:pPr>
      <w:r>
        <w:rPr>
          <w:rFonts w:hint="eastAsia" w:ascii="宋体" w:hAnsi="宋体"/>
          <w:sz w:val="24"/>
          <w:szCs w:val="24"/>
        </w:rPr>
        <w:t xml:space="preserve">项目技术人员（1人）要求：技术负责人具有注册测绘师资格且具有测绘相关正高级工程师（教授级高级工程师）职称；</w:t>
      </w:r>
      <w:r/>
    </w:p>
    <w:p>
      <w:pPr>
        <w:ind w:firstLine="480"/>
        <w:spacing w:line="400" w:lineRule="exact"/>
        <w:rPr>
          <w:rFonts w:hint="eastAsia" w:ascii="宋体" w:hAnsi="宋体"/>
          <w:sz w:val="24"/>
          <w:szCs w:val="24"/>
        </w:rPr>
      </w:pPr>
      <w:r>
        <w:rPr>
          <w:rFonts w:hint="eastAsia" w:ascii="宋体" w:hAnsi="宋体"/>
          <w:sz w:val="24"/>
          <w:szCs w:val="24"/>
        </w:rPr>
        <w:t xml:space="preserve">项目质量负责人员（1人）要求：质量负责人具有注册测绘师资格且具有测绘相关高级工程师职称；</w:t>
      </w:r>
      <w:r/>
    </w:p>
    <w:p>
      <w:pPr>
        <w:ind w:firstLine="480"/>
        <w:spacing w:line="400" w:lineRule="exact"/>
        <w:rPr>
          <w:rFonts w:hint="eastAsia" w:ascii="宋体" w:hAnsi="宋体"/>
          <w:sz w:val="24"/>
          <w:szCs w:val="24"/>
        </w:rPr>
      </w:pPr>
      <w:r>
        <w:rPr>
          <w:rFonts w:hint="eastAsia" w:ascii="宋体" w:hAnsi="宋体"/>
          <w:sz w:val="24"/>
          <w:szCs w:val="24"/>
        </w:rPr>
        <w:t xml:space="preserve">为高质量完成本项目，技术人员（除项目负责人、技术负责人和质量负责人）应具有测绘相关工程师及以上职称。</w:t>
      </w:r>
      <w:r/>
    </w:p>
    <w:p>
      <w:pPr>
        <w:ind w:firstLine="480"/>
        <w:spacing w:line="400" w:lineRule="exact"/>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w:t>
      </w:r>
      <w:r>
        <w:rPr>
          <w:rFonts w:hint="eastAsia" w:ascii="宋体" w:hAnsi="宋体"/>
          <w:sz w:val="24"/>
          <w:szCs w:val="24"/>
        </w:rPr>
        <w:t xml:space="preserve">业绩要求：</w:t>
      </w:r>
      <w:r/>
    </w:p>
    <w:p>
      <w:pPr>
        <w:ind w:firstLine="480"/>
        <w:spacing w:line="400" w:lineRule="exact"/>
        <w:rPr>
          <w:rFonts w:hint="eastAsia" w:ascii="宋体" w:hAnsi="宋体"/>
          <w:sz w:val="24"/>
          <w:szCs w:val="24"/>
        </w:rPr>
      </w:pPr>
      <w:r>
        <w:rPr>
          <w:rFonts w:hint="eastAsia" w:ascii="宋体" w:hAnsi="宋体"/>
          <w:sz w:val="24"/>
          <w:szCs w:val="24"/>
        </w:rPr>
        <w:t xml:space="preserve">供应商提供自2023年1月1日以来（以合同签订时间为准）承担过海洋测绘项目的或者承担过水下地形测量项目的业绩优先。</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设备保障：供应商应具有满足本项目需求的GNSS接收机、多波束测深系统（具备反向散射强度数据获取功能）、无人机LiDAR、声速剖面仪、验潮仪、测量船。</w:t>
      </w:r>
      <w:r/>
    </w:p>
    <w:p>
      <w:pPr>
        <w:ind w:firstLine="480"/>
        <w:spacing w:line="400" w:lineRule="exact"/>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履约能力要求： 为确保项目质量及项目成果安全， 供应商具有国家认监委认可的认证机构出具的与海洋测绘相关的质量管理体系认证、环境管理体系认证、</w:t>
      </w:r>
      <w:r>
        <w:rPr>
          <w:rFonts w:ascii="宋体" w:hAnsi="宋体"/>
          <w:sz w:val="24"/>
          <w:szCs w:val="24"/>
        </w:rPr>
        <w:t xml:space="preserve">职业健康安全管理体系</w:t>
      </w:r>
      <w:r>
        <w:rPr>
          <w:rFonts w:hint="eastAsia" w:ascii="宋体" w:hAnsi="宋体"/>
          <w:sz w:val="24"/>
          <w:szCs w:val="24"/>
        </w:rPr>
        <w:t xml:space="preserve">认证证书的优先。</w:t>
      </w:r>
      <w:r/>
    </w:p>
    <w:p>
      <w:pPr>
        <w:ind w:firstLine="480"/>
        <w:spacing w:before="145" w:after="145" w:line="400" w:lineRule="exact"/>
        <w:rPr>
          <w:rFonts w:hint="eastAsia" w:ascii="宋体" w:hAnsi="宋体"/>
          <w:sz w:val="24"/>
          <w:szCs w:val="24"/>
        </w:rPr>
      </w:pPr>
      <w:r>
        <w:rPr>
          <w:rFonts w:hint="eastAsia" w:ascii="宋体" w:hAnsi="宋体"/>
          <w:sz w:val="24"/>
          <w:szCs w:val="24"/>
        </w:rPr>
        <w:t xml:space="preserve">供应商如曾获得省部级（含）以上党政机关颁发的科学技术奖、科技进步奖等同类奖项，可作为其技术实力和项目执行能力的重要证明，在评审中予以优先考虑。</w:t>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九、项目时间要求</w:t>
      </w:r>
      <w:r/>
    </w:p>
    <w:p>
      <w:pPr>
        <w:ind w:firstLine="480"/>
        <w:spacing w:line="400" w:lineRule="exact"/>
        <w:rPr>
          <w:rFonts w:hint="eastAsia" w:ascii="宋体" w:hAnsi="宋体"/>
          <w:sz w:val="24"/>
          <w:szCs w:val="24"/>
        </w:rPr>
      </w:pPr>
      <w:r>
        <w:rPr>
          <w:rFonts w:hint="eastAsia" w:ascii="宋体" w:hAnsi="宋体"/>
          <w:sz w:val="24"/>
          <w:szCs w:val="24"/>
        </w:rPr>
        <w:t xml:space="preserve">2026年12月30日</w:t>
      </w:r>
      <w:r>
        <w:rPr>
          <w:rFonts w:ascii="宋体" w:hAnsi="宋体"/>
          <w:sz w:val="24"/>
          <w:szCs w:val="24"/>
        </w:rPr>
        <w:t xml:space="preserve">前</w:t>
      </w:r>
      <w:r>
        <w:rPr>
          <w:rFonts w:hint="eastAsia" w:ascii="宋体" w:hAnsi="宋体"/>
          <w:sz w:val="24"/>
          <w:szCs w:val="24"/>
        </w:rPr>
        <w:t xml:space="preserve">完成</w:t>
      </w:r>
      <w:r>
        <w:rPr>
          <w:rFonts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pStyle w:val="1047"/>
        <w:ind w:firstLine="640"/>
        <w:jc w:val="left"/>
        <w:spacing w:before="181" w:after="181" w:line="400" w:lineRule="exact"/>
        <w:rPr>
          <w:rFonts w:hint="eastAsia" w:ascii="黑体" w:hAnsi="黑体" w:eastAsia="黑体" w:cs="黑体"/>
          <w:b w:val="0"/>
          <w:bCs w:val="0"/>
        </w:rPr>
      </w:pPr>
      <w:r/>
      <w:bookmarkStart w:id="204" w:name="_Toc227167504"/>
      <w:r/>
      <w:bookmarkStart w:id="205" w:name="_Toc220489001"/>
      <w:r>
        <w:rPr>
          <w:rFonts w:hint="eastAsia" w:ascii="黑体" w:hAnsi="黑体" w:eastAsia="黑体" w:cs="黑体"/>
          <w:b w:val="0"/>
          <w:bCs w:val="0"/>
        </w:rPr>
        <w:t xml:space="preserve">十、政府采购中实施本国产品标准及相关政策</w:t>
      </w:r>
      <w:bookmarkEnd w:id="204"/>
      <w:r/>
      <w:bookmarkEnd w:id="205"/>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w:t>
      </w:r>
      <w:r>
        <w:rPr>
          <w:rFonts w:hint="eastAsia" w:ascii="宋体" w:hAnsi="宋体" w:cs="方正魏碑_GBK"/>
          <w:bCs/>
          <w:sz w:val="24"/>
          <w:szCs w:val="24"/>
        </w:rPr>
        <w:t xml:space="preserve">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hint="eastAsia" w:ascii="宋体" w:hAnsi="宋体"/>
          <w:sz w:val="24"/>
          <w:szCs w:val="24"/>
        </w:rPr>
      </w:pPr>
      <w:r>
        <w:rPr>
          <w:rFonts w:hint="eastAsia" w:ascii="宋体" w:hAnsi="宋体"/>
          <w:sz w:val="24"/>
          <w:szCs w:val="24"/>
        </w:rPr>
      </w:r>
      <w:r/>
    </w:p>
    <w:p>
      <w:pPr>
        <w:pStyle w:val="1047"/>
        <w:ind w:firstLine="640"/>
        <w:jc w:val="left"/>
        <w:spacing w:before="181" w:after="181" w:line="400" w:lineRule="exact"/>
        <w:rPr>
          <w:rFonts w:hint="eastAsia" w:ascii="黑体" w:hAnsi="黑体" w:eastAsia="黑体" w:cs="黑体"/>
          <w:b w:val="0"/>
          <w:bCs w:val="0"/>
        </w:rPr>
      </w:pPr>
      <w:r>
        <w:rPr>
          <w:rFonts w:hint="eastAsia" w:ascii="黑体" w:hAnsi="黑体" w:eastAsia="黑体" w:cs="黑体"/>
          <w:b w:val="0"/>
          <w:bCs w:val="0"/>
        </w:rPr>
        <w:t xml:space="preserve">十一、其他要求</w:t>
      </w:r>
      <w:r/>
    </w:p>
    <w:p>
      <w:pPr>
        <w:ind w:firstLine="480"/>
        <w:spacing w:line="400" w:lineRule="exact"/>
        <w:rPr>
          <w:rFonts w:hint="eastAsia" w:ascii="宋体" w:hAnsi="宋体"/>
          <w:sz w:val="24"/>
          <w:szCs w:val="24"/>
        </w:rPr>
      </w:pPr>
      <w:r>
        <w:rPr>
          <w:rFonts w:hint="eastAsia" w:ascii="宋体" w:hAnsi="宋体"/>
          <w:sz w:val="24"/>
          <w:szCs w:val="24"/>
        </w:rPr>
        <w:t xml:space="preserve">1.项目属性：服务类项目。</w:t>
      </w:r>
      <w:r/>
    </w:p>
    <w:p>
      <w:pPr>
        <w:ind w:firstLine="48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094"/>
      </w:tblGrid>
      <w:tr>
        <w:trPr/>
        <w:tc>
          <w:tcPr>
            <w:tcW w:w="1148" w:type="dxa"/>
            <w:textDirection w:val="lrTb"/>
            <w:noWrap w:val="false"/>
          </w:tcPr>
          <w:p>
            <w:pPr>
              <w:jc w:val="center"/>
              <w:rPr>
                <w:rFonts w:hint="eastAsia" w:ascii="宋体" w:hAnsi="宋体"/>
              </w:rPr>
            </w:pPr>
            <w:r>
              <w:rPr>
                <w:rFonts w:hint="eastAsia" w:ascii="宋体" w:hAnsi="宋体"/>
              </w:rPr>
              <w:t xml:space="preserve">采购包号</w:t>
            </w:r>
            <w:r/>
          </w:p>
        </w:tc>
        <w:tc>
          <w:tcPr>
            <w:tcW w:w="3094" w:type="dxa"/>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hint="eastAsia" w:ascii="宋体" w:hAnsi="宋体"/>
              </w:rPr>
            </w:pPr>
            <w:r>
              <w:rPr>
                <w:rFonts w:hint="eastAsia" w:ascii="宋体" w:hAnsi="宋体"/>
              </w:rPr>
              <w:t xml:space="preserve">1</w:t>
            </w:r>
            <w:r/>
          </w:p>
        </w:tc>
        <w:tc>
          <w:tcPr>
            <w:tcW w:w="3094" w:type="dxa"/>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textDirection w:val="lrTb"/>
            <w:noWrap w:val="false"/>
          </w:tcPr>
          <w:p>
            <w:pPr>
              <w:jc w:val="center"/>
              <w:rPr>
                <w:rFonts w:hint="eastAsia" w:ascii="宋体" w:hAnsi="宋体"/>
              </w:rPr>
            </w:pPr>
            <w:r>
              <w:rPr>
                <w:rFonts w:hint="eastAsia" w:ascii="宋体" w:hAnsi="宋体"/>
              </w:rPr>
              <w:t xml:space="preserve">2</w:t>
            </w:r>
            <w:r/>
          </w:p>
        </w:tc>
        <w:tc>
          <w:tcPr>
            <w:tcW w:w="3094" w:type="dxa"/>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textDirection w:val="lrTb"/>
            <w:noWrap w:val="false"/>
          </w:tcPr>
          <w:p>
            <w:pPr>
              <w:jc w:val="center"/>
              <w:rPr>
                <w:rFonts w:hint="eastAsia" w:ascii="宋体" w:hAnsi="宋体"/>
              </w:rPr>
            </w:pPr>
            <w:r>
              <w:rPr>
                <w:rFonts w:hint="eastAsia" w:ascii="宋体" w:hAnsi="宋体"/>
              </w:rPr>
              <w:t xml:space="preserve">3</w:t>
            </w:r>
            <w:r/>
          </w:p>
        </w:tc>
        <w:tc>
          <w:tcPr>
            <w:tcW w:w="3094" w:type="dxa"/>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textDirection w:val="lrTb"/>
            <w:noWrap w:val="false"/>
          </w:tcPr>
          <w:p>
            <w:pPr>
              <w:jc w:val="center"/>
              <w:rPr>
                <w:rFonts w:hint="eastAsia" w:ascii="宋体" w:hAnsi="宋体"/>
              </w:rPr>
            </w:pPr>
            <w:r>
              <w:rPr>
                <w:rFonts w:hint="eastAsia" w:ascii="宋体" w:hAnsi="宋体"/>
              </w:rPr>
              <w:t xml:space="preserve">4</w:t>
            </w:r>
            <w:r/>
          </w:p>
        </w:tc>
        <w:tc>
          <w:tcPr>
            <w:tcW w:w="3094" w:type="dxa"/>
            <w:textDirection w:val="lrTb"/>
            <w:noWrap w:val="false"/>
          </w:tcPr>
          <w:p>
            <w:pPr>
              <w:jc w:val="center"/>
              <w:rPr>
                <w:rFonts w:hint="eastAsia" w:ascii="宋体" w:hAnsi="宋体"/>
              </w:rPr>
            </w:pPr>
            <w:r>
              <w:rPr>
                <w:rFonts w:hint="eastAsia" w:ascii="宋体" w:hAnsi="宋体"/>
              </w:rPr>
              <w:t xml:space="preserve">否</w:t>
            </w:r>
            <w:r/>
          </w:p>
        </w:tc>
      </w:tr>
    </w:tbl>
    <w:p>
      <w:pPr>
        <w:rPr>
          <w:rFonts w:hint="eastAsia" w:ascii="宋体" w:hAnsi="宋体"/>
          <w:sz w:val="24"/>
          <w:szCs w:val="24"/>
        </w:rPr>
      </w:pPr>
      <w:r>
        <w:rPr>
          <w:rFonts w:hint="eastAsia" w:ascii="宋体" w:hAnsi="宋体"/>
          <w:sz w:val="24"/>
          <w:szCs w:val="24"/>
        </w:rPr>
      </w:r>
      <w:r/>
    </w:p>
    <w:p>
      <w:r>
        <w:br w:type="page" w:clear="all"/>
      </w:r>
      <w:r/>
    </w:p>
    <w:p>
      <w:pPr>
        <w:rPr>
          <w:rFonts w:hint="eastAsia" w:ascii="宋体" w:hAnsi="宋体"/>
          <w:sz w:val="24"/>
          <w:szCs w:val="24"/>
        </w:rPr>
      </w:pPr>
      <w:r>
        <w:rPr>
          <w:rFonts w:hint="eastAsia" w:ascii="宋体" w:hAnsi="宋体"/>
          <w:sz w:val="24"/>
          <w:szCs w:val="24"/>
        </w:rPr>
      </w:r>
      <w:r/>
    </w:p>
    <w:p>
      <w:pPr>
        <w:pStyle w:val="1043"/>
        <w:jc w:val="left"/>
        <w:rPr>
          <w:rFonts w:hint="eastAsia" w:ascii="宋体" w:hAnsi="宋体" w:eastAsia="宋体"/>
          <w:color w:val="000000"/>
          <w:sz w:val="24"/>
          <w:szCs w:val="24"/>
        </w:rPr>
        <w:outlineLvl w:val="9"/>
      </w:pPr>
      <w:r>
        <w:rPr>
          <w:rFonts w:hint="eastAsia" w:ascii="宋体" w:hAnsi="宋体" w:eastAsia="宋体"/>
          <w:color w:val="000000"/>
          <w:sz w:val="24"/>
          <w:szCs w:val="24"/>
        </w:rPr>
        <w:t xml:space="preserve">附件：</w:t>
      </w:r>
      <w:r/>
    </w:p>
    <w:p>
      <w:r/>
      <w:r/>
    </w:p>
    <w:p>
      <w:pPr>
        <w:jc w:val="center"/>
      </w:pPr>
      <w:r>
        <mc:AlternateContent>
          <mc:Choice Requires="wpg">
            <w:drawing>
              <wp:inline xmlns:wp="http://schemas.openxmlformats.org/drawingml/2006/wordprocessingDrawing" distT="0" distB="0" distL="0" distR="0">
                <wp:extent cx="5091430" cy="35998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9pt;height:283.4pt;mso-wrap-distance-left:0.0pt;mso-wrap-distance-top:0.0pt;mso-wrap-distance-right:0.0pt;mso-wrap-distance-bottom:0.0pt;" stroked="f">
                <v:path textboxrect="0,0,0,0"/>
                <v:imagedata r:id="rId12" o:title=""/>
              </v:shape>
            </w:pict>
          </mc:Fallback>
        </mc:AlternateContent>
      </w:r>
      <w:r/>
    </w:p>
    <w:p>
      <w:pPr>
        <w:jc w:val="center"/>
      </w:pPr>
      <w:r/>
      <w:r/>
    </w:p>
    <w:p>
      <w:pPr>
        <w:jc w:val="center"/>
        <w:rPr>
          <w:rFonts w:hint="eastAsia" w:ascii="宋体" w:hAnsi="宋体"/>
          <w:sz w:val="24"/>
          <w:szCs w:val="24"/>
        </w:rPr>
      </w:pPr>
      <w:r>
        <w:rPr>
          <w:rFonts w:hint="eastAsia"/>
        </w:rPr>
        <w:t xml:space="preserve">图</w:t>
      </w:r>
      <w:r>
        <w:rPr>
          <w:rFonts w:hint="eastAsia"/>
        </w:rPr>
        <w:t xml:space="preserve">1</w:t>
      </w:r>
      <w:r>
        <w:rPr>
          <w:rFonts w:hint="eastAsia"/>
        </w:rPr>
        <w:t xml:space="preserve">：</w:t>
      </w:r>
      <w:r>
        <w:rPr>
          <w:rFonts w:hint="eastAsia" w:ascii="宋体" w:hAnsi="宋体"/>
          <w:sz w:val="24"/>
          <w:szCs w:val="24"/>
        </w:rPr>
        <w:t xml:space="preserve">项目作业范围示意图</w:t>
      </w:r>
      <w:r/>
    </w:p>
    <w:p>
      <w:pPr>
        <w:jc w:val="center"/>
        <w:rPr>
          <w:rFonts w:hint="eastAsia" w:ascii="宋体" w:hAnsi="宋体"/>
          <w:sz w:val="24"/>
          <w:szCs w:val="24"/>
        </w:rPr>
      </w:pPr>
      <w:r>
        <mc:AlternateContent>
          <mc:Choice Requires="wpg">
            <w:drawing>
              <wp:inline xmlns:wp="http://schemas.openxmlformats.org/drawingml/2006/wordprocessingDrawing" distT="0" distB="0" distL="0" distR="0">
                <wp:extent cx="5091430" cy="359981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9pt;height:283.4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rPr>
        <w:t xml:space="preserve">图</w:t>
      </w:r>
      <w:r>
        <w:rPr>
          <w:rFonts w:hint="eastAsia"/>
        </w:rPr>
        <w:t xml:space="preserve">2</w:t>
      </w:r>
      <w:r>
        <w:rPr>
          <w:rFonts w:hint="eastAsia"/>
        </w:rPr>
        <w:t xml:space="preserve">：采购包</w:t>
      </w:r>
      <w:r>
        <w:rPr>
          <w:rFonts w:hint="eastAsia"/>
        </w:rPr>
        <w:t xml:space="preserve">1</w:t>
      </w:r>
      <w:r>
        <w:rPr>
          <w:rFonts w:hint="eastAsia" w:ascii="宋体" w:hAnsi="宋体"/>
          <w:sz w:val="24"/>
          <w:szCs w:val="24"/>
        </w:rPr>
        <w:t xml:space="preserve">作业范围示意图</w:t>
      </w:r>
      <w:r/>
    </w:p>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w:rPr>
          <w:rFonts w:hint="eastAsia" w:ascii="宋体" w:hAnsi="宋体"/>
          <w:sz w:val="24"/>
          <w:szCs w:val="24"/>
        </w:rPr>
      </w:r>
      <w:r/>
    </w:p>
    <w:p>
      <w:pPr>
        <w:jc w:val="center"/>
        <w:rPr>
          <w:rFonts w:hint="eastAsia" w:ascii="宋体" w:hAnsi="宋体"/>
          <w:sz w:val="24"/>
          <w:szCs w:val="24"/>
        </w:rPr>
      </w:pPr>
      <w:r>
        <mc:AlternateContent>
          <mc:Choice Requires="wpg">
            <w:drawing>
              <wp:inline xmlns:wp="http://schemas.openxmlformats.org/drawingml/2006/wordprocessingDrawing" distT="0" distB="0" distL="0" distR="0">
                <wp:extent cx="5091430" cy="359981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0.9pt;height:283.4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sz w:val="24"/>
          <w:szCs w:val="24"/>
        </w:rPr>
      </w:pPr>
      <w:r>
        <w:rPr>
          <w:rFonts w:hint="eastAsia"/>
        </w:rPr>
        <w:t xml:space="preserve">图</w:t>
      </w:r>
      <w:r>
        <w:rPr>
          <w:rFonts w:hint="eastAsia"/>
        </w:rPr>
        <w:t xml:space="preserve">3</w:t>
      </w:r>
      <w:r>
        <w:rPr>
          <w:rFonts w:hint="eastAsia"/>
        </w:rPr>
        <w:t xml:space="preserve">：采购包</w:t>
      </w:r>
      <w:r>
        <w:rPr>
          <w:rFonts w:hint="eastAsia"/>
        </w:rPr>
        <w:t xml:space="preserve">2</w:t>
      </w:r>
      <w:r>
        <w:rPr>
          <w:rFonts w:hint="eastAsia" w:ascii="宋体" w:hAnsi="宋体"/>
          <w:sz w:val="24"/>
          <w:szCs w:val="24"/>
        </w:rPr>
        <w:t xml:space="preserve">作业范围示意图</w:t>
      </w:r>
      <w:r/>
    </w:p>
    <w:p>
      <w:pPr>
        <w:jc w:val="center"/>
      </w:pPr>
      <w:r>
        <mc:AlternateContent>
          <mc:Choice Requires="wpg">
            <w:drawing>
              <wp:inline xmlns:wp="http://schemas.openxmlformats.org/drawingml/2006/wordprocessingDrawing" distT="0" distB="0" distL="0" distR="0">
                <wp:extent cx="5091430" cy="35998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0.9pt;height:283.4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sz w:val="24"/>
          <w:szCs w:val="24"/>
        </w:rPr>
      </w:pPr>
      <w:r>
        <w:rPr>
          <w:rFonts w:hint="eastAsia"/>
        </w:rPr>
        <w:t xml:space="preserve">图</w:t>
      </w:r>
      <w:r>
        <w:rPr>
          <w:rFonts w:hint="eastAsia"/>
        </w:rPr>
        <w:t xml:space="preserve">4</w:t>
      </w:r>
      <w:r>
        <w:rPr>
          <w:rFonts w:hint="eastAsia"/>
        </w:rPr>
        <w:t xml:space="preserve">：采购包</w:t>
      </w:r>
      <w:r>
        <w:rPr>
          <w:rFonts w:hint="eastAsia"/>
        </w:rPr>
        <w:t xml:space="preserve">3</w:t>
      </w:r>
      <w:r>
        <w:rPr>
          <w:rFonts w:hint="eastAsia" w:ascii="宋体" w:hAnsi="宋体"/>
          <w:sz w:val="24"/>
          <w:szCs w:val="24"/>
        </w:rPr>
        <w:t xml:space="preserve">作业范围示意图</w:t>
      </w:r>
      <w:r/>
    </w:p>
    <w:p>
      <w:pPr>
        <w:jc w:val="center"/>
      </w:pPr>
      <w:r/>
      <w:r/>
    </w:p>
    <w:p>
      <w:pPr>
        <w:pStyle w:val="1048"/>
        <w:numPr>
          <w:ilvl w:val="0"/>
          <w:numId w:val="0"/>
        </w:numPr>
        <w:jc w:val="both"/>
      </w:pPr>
      <w:r>
        <mc:AlternateContent>
          <mc:Choice Requires="wpg">
            <w:drawing>
              <wp:inline xmlns:wp="http://schemas.openxmlformats.org/drawingml/2006/wordprocessingDrawing" distT="0" distB="0" distL="0" distR="0">
                <wp:extent cx="5091430" cy="359981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tretch/>
                      </pic:blipFill>
                      <pic:spPr bwMode="auto">
                        <a:xfrm>
                          <a:off x="0" y="0"/>
                          <a:ext cx="5091570" cy="359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0.9pt;height:283.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sz w:val="24"/>
          <w:szCs w:val="24"/>
        </w:rPr>
      </w:pPr>
      <w:r>
        <w:rPr>
          <w:rFonts w:hint="eastAsia"/>
        </w:rPr>
        <w:t xml:space="preserve">图</w:t>
      </w:r>
      <w:r>
        <w:rPr>
          <w:rFonts w:hint="eastAsia"/>
        </w:rPr>
        <w:t xml:space="preserve">5</w:t>
      </w:r>
      <w:r>
        <w:rPr>
          <w:rFonts w:hint="eastAsia"/>
        </w:rPr>
        <w:t xml:space="preserve">：采购包</w:t>
      </w:r>
      <w:r>
        <w:rPr>
          <w:rFonts w:hint="eastAsia"/>
        </w:rPr>
        <w:t xml:space="preserve">4</w:t>
      </w:r>
      <w:r>
        <w:rPr>
          <w:rFonts w:hint="eastAsia" w:ascii="宋体" w:hAnsi="宋体"/>
          <w:sz w:val="24"/>
          <w:szCs w:val="24"/>
        </w:rPr>
        <w:t xml:space="preserve">作业范围示意图</w:t>
      </w:r>
      <w:bookmarkEnd w:id="196"/>
      <w:r/>
      <w:bookmarkEnd w:id="197"/>
      <w:r/>
      <w:r/>
    </w:p>
    <w:p>
      <w:pPr>
        <w:jc w:val="center"/>
      </w:pPr>
      <w:r>
        <w:rPr>
          <w:rFonts w:hint="eastAsia" w:ascii="宋体" w:hAnsi="宋体"/>
          <w:sz w:val="24"/>
          <w:szCs w:val="24"/>
        </w:rPr>
        <w:br w:type="page" w:clear="all"/>
      </w:r>
      <w:r/>
    </w:p>
    <w:p>
      <w:pPr>
        <w:pStyle w:val="711"/>
        <w:rPr>
          <w:rFonts w:ascii="黑体" w:eastAsia="黑体"/>
          <w:bCs/>
          <w:sz w:val="44"/>
        </w:rPr>
      </w:pPr>
      <w:r/>
      <w:bookmarkStart w:id="206" w:name="_Toc235460868"/>
      <w:r>
        <w:rPr>
          <w:rFonts w:hint="eastAsia" w:ascii="黑体" w:eastAsia="黑体"/>
          <w:bCs/>
          <w:sz w:val="44"/>
        </w:rPr>
        <w:t xml:space="preserve">第五章  评标方法与评标标准</w:t>
      </w:r>
      <w:bookmarkEnd w:id="206"/>
      <w:r/>
      <w:r/>
    </w:p>
    <w:p>
      <w:r/>
      <w:r/>
    </w:p>
    <w:p>
      <w:pPr>
        <w:pStyle w:val="894"/>
        <w:spacing w:line="400" w:lineRule="exact"/>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ascii="宋体" w:hAnsi="宋体" w:cs="宋体"/>
        </w:rPr>
        <w:t xml:space="preserve">本项目每个采购包选取一名中标候选人，投标人可参与多个采购包投标，但同一投标人最多只能作一个采购包的中标候选人，不能兼中。评标委员会按采购包一、采购包二、采购包三、采购包四的顺序评审并确定中标候选人，采购包一的中标候选人不再参与采购包二、采购包三、采购包四的评审，采购包二的中标候选人不再参与采购包三、采购包四的评审，以此类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jc w:val="center"/>
        </w:trPr>
        <w:tc>
          <w:tcPr>
            <w:tcW w:w="1148" w:type="dxa"/>
            <w:vAlign w:val="center"/>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center"/>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center"/>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jc w:val="center"/>
        </w:trPr>
        <w:tc>
          <w:tcPr>
            <w:tcW w:w="1148" w:type="dxa"/>
            <w:vAlign w:val="center"/>
            <w:textDirection w:val="lrTb"/>
            <w:noWrap w:val="false"/>
          </w:tcPr>
          <w:p>
            <w:pPr>
              <w:jc w:val="center"/>
              <w:rPr>
                <w:rFonts w:hint="eastAsia" w:ascii="宋体" w:hAnsi="宋体"/>
              </w:rPr>
            </w:pPr>
            <w:r>
              <w:rPr>
                <w:rFonts w:hint="eastAsia" w:ascii="宋体" w:hAnsi="宋体"/>
              </w:rPr>
              <w:t xml:space="preserve">1</w:t>
            </w:r>
            <w:r/>
          </w:p>
        </w:tc>
        <w:tc>
          <w:tcPr>
            <w:tcW w:w="1610" w:type="dxa"/>
            <w:vAlign w:val="center"/>
            <w:textDirection w:val="lrTb"/>
            <w:noWrap w:val="false"/>
          </w:tcPr>
          <w:p>
            <w:pPr>
              <w:jc w:val="center"/>
              <w:rPr>
                <w:rFonts w:hint="eastAsia" w:ascii="宋体" w:hAnsi="宋体"/>
              </w:rPr>
            </w:pPr>
            <w:r>
              <w:rPr>
                <w:rFonts w:hint="eastAsia" w:ascii="宋体" w:hAnsi="宋体"/>
              </w:rPr>
              <w:t xml:space="preserve">1</w:t>
            </w:r>
            <w:r/>
          </w:p>
        </w:tc>
        <w:tc>
          <w:tcPr>
            <w:tcW w:w="4325" w:type="dxa"/>
            <w:vAlign w:val="center"/>
            <w:textDirection w:val="lrTb"/>
            <w:noWrap w:val="false"/>
          </w:tcPr>
          <w:p>
            <w:pPr>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jc w:val="center"/>
        </w:trPr>
        <w:tc>
          <w:tcPr>
            <w:tcW w:w="1148" w:type="dxa"/>
            <w:vAlign w:val="center"/>
            <w:textDirection w:val="lrTb"/>
            <w:noWrap w:val="false"/>
          </w:tcPr>
          <w:p>
            <w:pPr>
              <w:jc w:val="center"/>
              <w:rPr>
                <w:rFonts w:hint="eastAsia" w:ascii="宋体" w:hAnsi="宋体"/>
              </w:rPr>
            </w:pPr>
            <w:r>
              <w:rPr>
                <w:rFonts w:hint="eastAsia" w:ascii="宋体" w:hAnsi="宋体"/>
              </w:rPr>
              <w:t xml:space="preserve">2</w:t>
            </w:r>
            <w:r/>
          </w:p>
        </w:tc>
        <w:tc>
          <w:tcPr>
            <w:tcW w:w="1610" w:type="dxa"/>
            <w:vAlign w:val="center"/>
            <w:textDirection w:val="lrTb"/>
            <w:noWrap w:val="false"/>
          </w:tcPr>
          <w:p>
            <w:pPr>
              <w:jc w:val="center"/>
              <w:rPr>
                <w:rFonts w:hint="eastAsia" w:ascii="宋体" w:hAnsi="宋体"/>
              </w:rPr>
            </w:pPr>
            <w:r>
              <w:rPr>
                <w:rFonts w:hint="eastAsia" w:ascii="宋体" w:hAnsi="宋体"/>
              </w:rPr>
              <w:t xml:space="preserve">1</w:t>
            </w:r>
            <w:r/>
          </w:p>
        </w:tc>
        <w:tc>
          <w:tcPr>
            <w:tcW w:w="4325" w:type="dxa"/>
            <w:vAlign w:val="center"/>
            <w:textDirection w:val="lrTb"/>
            <w:noWrap w:val="false"/>
          </w:tcPr>
          <w:p>
            <w:pPr>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jc w:val="center"/>
        </w:trPr>
        <w:tc>
          <w:tcPr>
            <w:tcW w:w="1148" w:type="dxa"/>
            <w:vAlign w:val="center"/>
            <w:textDirection w:val="lrTb"/>
            <w:noWrap w:val="false"/>
          </w:tcPr>
          <w:p>
            <w:pPr>
              <w:jc w:val="center"/>
              <w:rPr>
                <w:rFonts w:hint="eastAsia" w:ascii="宋体" w:hAnsi="宋体"/>
              </w:rPr>
            </w:pPr>
            <w:r>
              <w:rPr>
                <w:rFonts w:hint="eastAsia" w:ascii="宋体" w:hAnsi="宋体"/>
              </w:rPr>
              <w:t xml:space="preserve">3</w:t>
            </w:r>
            <w:r/>
          </w:p>
        </w:tc>
        <w:tc>
          <w:tcPr>
            <w:tcW w:w="1610" w:type="dxa"/>
            <w:vAlign w:val="center"/>
            <w:textDirection w:val="lrTb"/>
            <w:noWrap w:val="false"/>
          </w:tcPr>
          <w:p>
            <w:pPr>
              <w:jc w:val="center"/>
              <w:rPr>
                <w:rFonts w:hint="eastAsia" w:ascii="宋体" w:hAnsi="宋体"/>
              </w:rPr>
            </w:pPr>
            <w:r>
              <w:rPr>
                <w:rFonts w:hint="eastAsia" w:ascii="宋体" w:hAnsi="宋体"/>
              </w:rPr>
              <w:t xml:space="preserve">1</w:t>
            </w:r>
            <w:r/>
          </w:p>
        </w:tc>
        <w:tc>
          <w:tcPr>
            <w:tcW w:w="4325" w:type="dxa"/>
            <w:vAlign w:val="center"/>
            <w:textDirection w:val="lrTb"/>
            <w:noWrap w:val="false"/>
          </w:tcPr>
          <w:p>
            <w:pPr>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jc w:val="center"/>
        </w:trPr>
        <w:tc>
          <w:tcPr>
            <w:tcW w:w="1148" w:type="dxa"/>
            <w:vAlign w:val="center"/>
            <w:textDirection w:val="lrTb"/>
            <w:noWrap w:val="false"/>
          </w:tcPr>
          <w:p>
            <w:pPr>
              <w:jc w:val="center"/>
              <w:rPr>
                <w:rFonts w:hint="eastAsia" w:ascii="宋体" w:hAnsi="宋体"/>
              </w:rPr>
            </w:pPr>
            <w:r>
              <w:rPr>
                <w:rFonts w:hint="eastAsia" w:ascii="宋体" w:hAnsi="宋体"/>
              </w:rPr>
              <w:t xml:space="preserve">4</w:t>
            </w:r>
            <w:r/>
          </w:p>
        </w:tc>
        <w:tc>
          <w:tcPr>
            <w:tcW w:w="1610" w:type="dxa"/>
            <w:vAlign w:val="center"/>
            <w:textDirection w:val="lrTb"/>
            <w:noWrap w:val="false"/>
          </w:tcPr>
          <w:p>
            <w:pPr>
              <w:jc w:val="center"/>
              <w:rPr>
                <w:rFonts w:hint="eastAsia" w:ascii="宋体" w:hAnsi="宋体"/>
              </w:rPr>
            </w:pPr>
            <w:r>
              <w:rPr>
                <w:rFonts w:hint="eastAsia" w:ascii="宋体" w:hAnsi="宋体"/>
              </w:rPr>
              <w:t xml:space="preserve">1</w:t>
            </w:r>
            <w:r/>
          </w:p>
        </w:tc>
        <w:tc>
          <w:tcPr>
            <w:tcW w:w="4325" w:type="dxa"/>
            <w:vAlign w:val="center"/>
            <w:textDirection w:val="lrTb"/>
            <w:noWrap w:val="false"/>
          </w:tcPr>
          <w:p>
            <w:pPr>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894"/>
        <w:ind w:firstLine="0"/>
        <w:spacing w:line="0" w:lineRule="atLeast"/>
        <w:rPr>
          <w:rFonts w:hint="eastAsia" w:ascii="宋体" w:hAnsi="宋体"/>
          <w:b/>
        </w:rPr>
      </w:pPr>
      <w:r>
        <w:rPr>
          <w:rFonts w:hint="eastAsia" w:ascii="宋体" w:hAnsi="宋体"/>
          <w:b/>
        </w:rPr>
      </w:r>
      <w:r/>
    </w:p>
    <w:p>
      <w:pPr>
        <w:pStyle w:val="894"/>
        <w:ind w:firstLine="441"/>
        <w:spacing w:line="0" w:lineRule="atLeast"/>
        <w:rPr>
          <w:rFonts w:hint="eastAsia" w:ascii="宋体" w:hAnsi="宋体"/>
          <w:b/>
        </w:rPr>
      </w:pPr>
      <w:r>
        <w:rPr>
          <w:rFonts w:hint="eastAsia" w:ascii="宋体" w:hAnsi="宋体"/>
          <w:b/>
        </w:rPr>
        <w:t xml:space="preserve">政府采购政策功能落实</w:t>
      </w:r>
      <w:r/>
    </w:p>
    <w:p>
      <w:pPr>
        <w:pStyle w:val="894"/>
        <w:spacing w:line="0" w:lineRule="atLeast"/>
        <w:rPr>
          <w:rFonts w:hint="eastAsia" w:ascii="宋体" w:hAnsi="宋体"/>
        </w:rPr>
      </w:pPr>
      <w:r>
        <w:rPr>
          <w:rFonts w:hint="eastAsia" w:ascii="宋体" w:hAnsi="宋体"/>
        </w:rPr>
        <w:t xml:space="preserve">1、小微型企业价格扣除</w:t>
      </w:r>
      <w:r/>
    </w:p>
    <w:p>
      <w:pPr>
        <w:pStyle w:val="89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894"/>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894"/>
        <w:ind w:firstLine="360"/>
        <w:spacing w:line="0" w:lineRule="atLeast"/>
        <w:rPr>
          <w:rFonts w:hint="eastAsia" w:ascii="宋体" w:hAnsi="宋体"/>
        </w:rPr>
      </w:pPr>
      <w:r>
        <w:rPr>
          <w:rFonts w:ascii="仿宋" w:hAnsi="仿宋" w:eastAsia="仿宋" w:cs="仿宋"/>
          <w:color w:val="333333"/>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rPr>
        <w:t xml:space="preserve">）</w:t>
      </w:r>
      <w:r>
        <w:rPr>
          <w:rFonts w:ascii="仿宋" w:hAnsi="仿宋" w:eastAsia="仿宋" w:cs="仿宋"/>
          <w:color w:val="333333"/>
        </w:rPr>
        <w:t xml:space="preserve">供应商将不享受《政府采购促进中小企业发展管理办法》规定的价格扣除优惠政策。</w:t>
      </w:r>
      <w:r/>
    </w:p>
    <w:p>
      <w:pPr>
        <w:pStyle w:val="894"/>
        <w:spacing w:line="0" w:lineRule="atLeast"/>
        <w:rPr>
          <w:rFonts w:hint="eastAsia" w:ascii="宋体" w:hAnsi="宋体"/>
        </w:rPr>
      </w:pPr>
      <w:r>
        <w:rPr>
          <w:rFonts w:hint="eastAsia" w:ascii="宋体" w:hAnsi="宋体"/>
        </w:rPr>
        <w:t xml:space="preserve">2、残疾人福利单位价格扣除</w:t>
      </w:r>
      <w:r/>
    </w:p>
    <w:p>
      <w:pPr>
        <w:pStyle w:val="89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9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9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w:t>
      </w:r>
      <w:r>
        <w:rPr>
          <w:rFonts w:hint="eastAsia" w:ascii="宋体" w:hAnsi="宋体"/>
        </w:rPr>
        <w:t xml:space="preserve">（财库〔2017〕141号）。</w:t>
      </w:r>
      <w:r/>
    </w:p>
    <w:p>
      <w:pPr>
        <w:pStyle w:val="894"/>
        <w:spacing w:line="0" w:lineRule="atLeast"/>
        <w:rPr>
          <w:rFonts w:hint="eastAsia" w:ascii="宋体" w:hAnsi="宋体"/>
        </w:rPr>
      </w:pPr>
      <w:r>
        <w:rPr>
          <w:rFonts w:hint="eastAsia" w:ascii="宋体" w:hAnsi="宋体"/>
        </w:rPr>
        <w:t xml:space="preserve">3、监狱和戒毒企业价格扣除</w:t>
      </w:r>
      <w:r/>
    </w:p>
    <w:p>
      <w:pPr>
        <w:pStyle w:val="89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89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9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9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89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4"/>
        <w:spacing w:line="400" w:lineRule="exact"/>
        <w:rPr>
          <w:rFonts w:hint="eastAsia" w:ascii="宋体" w:hAnsi="宋体"/>
        </w:rPr>
      </w:pPr>
      <w:r>
        <w:rPr>
          <w:rFonts w:hint="eastAsia" w:ascii="宋体" w:hAnsi="宋体"/>
        </w:rPr>
      </w:r>
      <w:r/>
    </w:p>
    <w:p>
      <w:pPr>
        <w:pStyle w:val="894"/>
        <w:ind w:firstLine="482"/>
        <w:spacing w:line="0" w:lineRule="atLeast"/>
        <w:rPr>
          <w:rFonts w:hint="eastAsia" w:ascii="宋体" w:hAnsi="宋体"/>
          <w:b/>
        </w:rPr>
      </w:pPr>
      <w:r>
        <w:rPr>
          <w:rFonts w:hint="eastAsia" w:ascii="宋体" w:hAnsi="宋体"/>
          <w:b/>
        </w:rPr>
        <w:t xml:space="preserve">评标方法与评标标准</w:t>
      </w:r>
      <w:r/>
    </w:p>
    <w:tbl>
      <w:tblPr>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5"/>
        <w:gridCol w:w="1232"/>
        <w:gridCol w:w="7890"/>
        <w:gridCol w:w="590"/>
      </w:tblGrid>
      <w:tr>
        <w:trPr>
          <w:jc w:val="center"/>
        </w:trPr>
        <w:tc>
          <w:tcPr>
            <w:tcW w:w="605" w:type="dxa"/>
            <w:vAlign w:val="center"/>
            <w:textDirection w:val="lrTb"/>
            <w:noWrap w:val="false"/>
          </w:tcPr>
          <w:p>
            <w:pPr>
              <w:jc w:val="center"/>
              <w:rPr>
                <w:rFonts w:hint="eastAsia" w:ascii="宋体" w:hAnsi="宋体" w:cs="宋体"/>
                <w:b/>
                <w:bCs/>
                <w:sz w:val="22"/>
                <w:szCs w:val="28"/>
              </w:rPr>
            </w:pPr>
            <w:r>
              <w:rPr>
                <w:rFonts w:hint="eastAsia" w:ascii="宋体" w:hAnsi="宋体" w:cs="宋体"/>
                <w:b/>
                <w:bCs/>
                <w:sz w:val="22"/>
                <w:szCs w:val="28"/>
              </w:rPr>
              <w:t xml:space="preserve">序号</w:t>
            </w:r>
            <w:r/>
          </w:p>
        </w:tc>
        <w:tc>
          <w:tcPr>
            <w:tcW w:w="1232" w:type="dxa"/>
            <w:vAlign w:val="center"/>
            <w:textDirection w:val="lrTb"/>
            <w:noWrap w:val="false"/>
          </w:tcPr>
          <w:p>
            <w:pPr>
              <w:jc w:val="center"/>
              <w:rPr>
                <w:rFonts w:hint="eastAsia" w:ascii="宋体" w:hAnsi="宋体" w:cs="宋体"/>
                <w:b/>
                <w:bCs/>
                <w:sz w:val="22"/>
                <w:szCs w:val="28"/>
              </w:rPr>
            </w:pPr>
            <w:r>
              <w:rPr>
                <w:rFonts w:hint="eastAsia" w:ascii="宋体" w:hAnsi="宋体" w:cs="宋体"/>
                <w:b/>
                <w:bCs/>
                <w:sz w:val="22"/>
                <w:szCs w:val="28"/>
              </w:rPr>
              <w:t xml:space="preserve">评分因素</w:t>
            </w:r>
            <w:r/>
          </w:p>
        </w:tc>
        <w:tc>
          <w:tcPr>
            <w:tcW w:w="7890" w:type="dxa"/>
            <w:vAlign w:val="center"/>
            <w:textDirection w:val="lrTb"/>
            <w:noWrap w:val="false"/>
          </w:tcPr>
          <w:p>
            <w:pPr>
              <w:ind w:firstLine="3083"/>
              <w:rPr>
                <w:rFonts w:hint="eastAsia" w:ascii="宋体" w:hAnsi="宋体" w:cs="宋体"/>
                <w:b/>
                <w:bCs/>
                <w:sz w:val="22"/>
                <w:szCs w:val="28"/>
              </w:rPr>
            </w:pPr>
            <w:r>
              <w:rPr>
                <w:rFonts w:hint="eastAsia" w:ascii="宋体" w:hAnsi="宋体" w:cs="宋体"/>
                <w:b/>
                <w:bCs/>
                <w:sz w:val="22"/>
                <w:szCs w:val="28"/>
              </w:rPr>
              <w:t xml:space="preserve">评审标准</w:t>
            </w:r>
            <w:r/>
          </w:p>
        </w:tc>
        <w:tc>
          <w:tcPr>
            <w:tcW w:w="590" w:type="dxa"/>
            <w:vAlign w:val="center"/>
            <w:textDirection w:val="lrTb"/>
            <w:noWrap w:val="false"/>
          </w:tcPr>
          <w:p>
            <w:pPr>
              <w:jc w:val="center"/>
              <w:rPr>
                <w:rFonts w:hint="eastAsia" w:ascii="宋体" w:hAnsi="宋体" w:cs="宋体"/>
                <w:b/>
                <w:bCs/>
                <w:sz w:val="22"/>
                <w:szCs w:val="28"/>
              </w:rPr>
            </w:pPr>
            <w:r>
              <w:rPr>
                <w:rFonts w:hint="eastAsia" w:ascii="宋体" w:hAnsi="宋体" w:cs="宋体"/>
                <w:b/>
                <w:bCs/>
                <w:sz w:val="22"/>
                <w:szCs w:val="28"/>
              </w:rPr>
              <w:t xml:space="preserve">分值</w:t>
            </w:r>
            <w:r/>
          </w:p>
        </w:tc>
      </w:tr>
      <w:tr>
        <w:trPr>
          <w:jc w:val="center"/>
          <w:trHeight w:val="90"/>
        </w:trPr>
        <w:tc>
          <w:tcPr>
            <w:tcW w:w="605" w:type="dxa"/>
            <w:vAlign w:val="center"/>
            <w:textDirection w:val="lrTb"/>
            <w:noWrap w:val="false"/>
          </w:tcPr>
          <w:p>
            <w:pPr>
              <w:jc w:val="center"/>
              <w:rPr>
                <w:rFonts w:hint="eastAsia" w:ascii="宋体" w:hAnsi="宋体" w:cs="宋体"/>
                <w:szCs w:val="20"/>
              </w:rPr>
            </w:pPr>
            <w:r>
              <w:rPr>
                <w:rFonts w:hint="eastAsia" w:ascii="宋体" w:hAnsi="宋体" w:cs="宋体"/>
              </w:rPr>
              <w:t xml:space="preserve">1</w:t>
            </w:r>
            <w:r/>
          </w:p>
        </w:tc>
        <w:tc>
          <w:tcPr>
            <w:tcW w:w="1232" w:type="dxa"/>
            <w:vAlign w:val="center"/>
            <w:textDirection w:val="lrTb"/>
            <w:noWrap w:val="false"/>
          </w:tcPr>
          <w:p>
            <w:pPr>
              <w:jc w:val="center"/>
              <w:rPr>
                <w:rFonts w:hint="eastAsia" w:ascii="宋体" w:hAnsi="宋体" w:cs="宋体"/>
              </w:rPr>
            </w:pPr>
            <w:r>
              <w:rPr>
                <w:rFonts w:hint="eastAsia" w:ascii="宋体" w:hAnsi="宋体" w:cs="宋体"/>
              </w:rPr>
              <w:t xml:space="preserve">价格部分</w:t>
            </w:r>
            <w:r/>
          </w:p>
          <w:p>
            <w:pPr>
              <w:jc w:val="center"/>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采用低价优先法计算，即满足招标文件要求且投标价格最低的投标报价为评标基准价，其价格分为满分。</w:t>
            </w:r>
            <w:r/>
          </w:p>
          <w:p>
            <w:pPr>
              <w:ind w:firstLine="420"/>
              <w:spacing w:line="288" w:lineRule="auto"/>
              <w:rPr>
                <w:rFonts w:ascii="Arial" w:hAnsi="Arial" w:cs="Arial"/>
                <w:szCs w:val="20"/>
              </w:rPr>
            </w:pPr>
            <w:r>
              <w:rPr>
                <w:rFonts w:hint="eastAsia" w:ascii="宋体" w:hAnsi="宋体" w:cs="宋体"/>
                <w:szCs w:val="22"/>
              </w:rPr>
              <w:t xml:space="preserve">其他投标人的价格分统一按照下列公式计算:投标报价得分=(评标基准价/投标报价)×10（小数点保留两位）</w:t>
            </w:r>
            <w:r/>
          </w:p>
        </w:tc>
        <w:tc>
          <w:tcPr>
            <w:tcW w:w="590" w:type="dxa"/>
            <w:vAlign w:val="center"/>
            <w:textDirection w:val="lrTb"/>
            <w:noWrap w:val="false"/>
          </w:tcPr>
          <w:p>
            <w:pPr>
              <w:jc w:val="center"/>
              <w:spacing w:line="320" w:lineRule="exact"/>
              <w:rPr>
                <w:rFonts w:hint="eastAsia" w:ascii="宋体" w:hAnsi="宋体" w:cs="宋体"/>
              </w:rPr>
            </w:pPr>
            <w:r>
              <w:rPr>
                <w:rFonts w:hint="eastAsia" w:ascii="宋体" w:hAnsi="宋体" w:cs="宋体"/>
              </w:rPr>
              <w:t xml:space="preserve">10</w:t>
            </w:r>
            <w:r/>
          </w:p>
        </w:tc>
      </w:tr>
      <w:tr>
        <w:trPr>
          <w:cantSplit/>
          <w:jc w:val="center"/>
          <w:trHeight w:val="1292"/>
        </w:trPr>
        <w:tc>
          <w:tcPr>
            <w:tcW w:w="60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2</w:t>
            </w:r>
            <w:r/>
          </w:p>
        </w:tc>
        <w:tc>
          <w:tcPr>
            <w:tcW w:w="123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技术方案</w:t>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2.1根据供应商提供的技术路线/作业流程</w:t>
            </w:r>
            <w:r>
              <w:rPr>
                <w:rFonts w:ascii="宋体" w:hAnsi="宋体" w:cs="宋体"/>
                <w:szCs w:val="22"/>
              </w:rPr>
              <w:t xml:space="preserve">方案</w:t>
            </w:r>
            <w:r>
              <w:rPr>
                <w:rFonts w:hint="eastAsia" w:ascii="宋体" w:hAnsi="宋体" w:cs="宋体"/>
                <w:szCs w:val="22"/>
              </w:rPr>
              <w:t xml:space="preserve">进行评分，技术路线/作业流程应逻辑清晰，科学合理，具有可行性。对各项工作的逻辑关系、技术路线/作业流程进行详细、正确描述，作业流程清晰，可操作性强。</w:t>
            </w:r>
            <w:r/>
          </w:p>
          <w:p>
            <w:pPr>
              <w:ind w:firstLine="420"/>
              <w:spacing w:line="288" w:lineRule="auto"/>
              <w:rPr>
                <w:rFonts w:hint="eastAsia" w:ascii="宋体" w:hAnsi="宋体" w:cs="宋体"/>
                <w:szCs w:val="22"/>
              </w:rPr>
            </w:pPr>
            <w:r>
              <w:rPr>
                <w:rFonts w:hint="eastAsia" w:ascii="宋体" w:hAnsi="宋体" w:cs="宋体"/>
                <w:szCs w:val="22"/>
              </w:rPr>
              <w:t xml:space="preserve">（1）投标文件未符合“方案”中全部条款要求的，视为不符合招标文件，本项得0分。</w:t>
            </w:r>
            <w:r/>
          </w:p>
          <w:p>
            <w:pPr>
              <w:ind w:firstLine="420"/>
              <w:spacing w:line="288" w:lineRule="auto"/>
              <w:rPr>
                <w:rFonts w:hint="eastAsia" w:ascii="宋体" w:hAnsi="宋体" w:cs="宋体"/>
                <w:szCs w:val="22"/>
              </w:rPr>
            </w:pPr>
            <w:r>
              <w:rPr>
                <w:rFonts w:hint="eastAsia" w:ascii="宋体" w:hAnsi="宋体" w:cs="宋体"/>
                <w:szCs w:val="22"/>
              </w:rPr>
              <w:t xml:space="preserve">（2）投标文件符合“方案”中全部条款要求的，视为符合招标文件，本项得3分。</w:t>
            </w:r>
            <w:r/>
          </w:p>
          <w:p>
            <w:pPr>
              <w:ind w:firstLine="420"/>
              <w:spacing w:line="288" w:lineRule="auto"/>
              <w:rPr>
                <w:rFonts w:hint="eastAsia" w:ascii="宋体" w:hAnsi="宋体" w:cs="宋体"/>
                <w:szCs w:val="22"/>
              </w:rPr>
            </w:pPr>
            <w:r>
              <w:rPr>
                <w:rFonts w:hint="eastAsia" w:ascii="宋体" w:hAnsi="宋体" w:cs="宋体"/>
                <w:szCs w:val="22"/>
              </w:rPr>
              <w:t xml:space="preserve">（3）投标文件对“方案”中全部条款全部优于招标文件要求的，本项得5分。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5</w:t>
            </w:r>
            <w:r/>
          </w:p>
        </w:tc>
      </w:tr>
      <w:tr>
        <w:trPr>
          <w:cantSplit/>
          <w:jc w:val="center"/>
          <w:trHeight w:val="1020"/>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2.2根据供应商提供的质量控制措施进行评分，质量保障措施完善具有可行性，对各阶段的质量进行了准确的目标分解，对质量控制各分解目标有明确的控制点且合理：</w:t>
            </w:r>
            <w:r/>
          </w:p>
          <w:p>
            <w:pPr>
              <w:ind w:firstLine="420"/>
              <w:spacing w:line="288" w:lineRule="auto"/>
              <w:rPr>
                <w:rFonts w:hint="eastAsia" w:ascii="宋体" w:hAnsi="宋体" w:cs="宋体"/>
                <w:szCs w:val="22"/>
              </w:rPr>
            </w:pPr>
            <w:r>
              <w:rPr>
                <w:rFonts w:hint="eastAsia" w:ascii="宋体" w:hAnsi="宋体" w:cs="宋体"/>
                <w:szCs w:val="22"/>
              </w:rPr>
              <w:t xml:space="preserve">（1）投标文件未符合“方案”中全部条款要求的，视为不符合招标文件，本项得0分。</w:t>
            </w:r>
            <w:r/>
          </w:p>
          <w:p>
            <w:pPr>
              <w:ind w:firstLine="420"/>
              <w:spacing w:line="288" w:lineRule="auto"/>
              <w:rPr>
                <w:rFonts w:hint="eastAsia" w:ascii="宋体" w:hAnsi="宋体" w:cs="宋体"/>
                <w:szCs w:val="22"/>
              </w:rPr>
            </w:pPr>
            <w:r>
              <w:rPr>
                <w:rFonts w:hint="eastAsia" w:ascii="宋体" w:hAnsi="宋体" w:cs="宋体"/>
                <w:szCs w:val="22"/>
              </w:rPr>
              <w:t xml:space="preserve">（2）投标文件符合“方案”中全部条款要求的，视为符合招标文件，本项得3分。</w:t>
            </w:r>
            <w:r/>
          </w:p>
          <w:p>
            <w:pPr>
              <w:ind w:firstLine="420"/>
              <w:spacing w:line="288" w:lineRule="auto"/>
              <w:rPr>
                <w:rFonts w:hint="eastAsia" w:ascii="宋体" w:hAnsi="宋体" w:cs="宋体"/>
                <w:szCs w:val="22"/>
              </w:rPr>
            </w:pPr>
            <w:r>
              <w:rPr>
                <w:rFonts w:hint="eastAsia" w:ascii="宋体" w:hAnsi="宋体" w:cs="宋体"/>
                <w:szCs w:val="22"/>
              </w:rPr>
              <w:t xml:space="preserve">（3）投标文件对“方案”中全部条款全部优于招标文件要求的，本项得5分。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5</w:t>
            </w:r>
            <w:r/>
          </w:p>
        </w:tc>
      </w:tr>
      <w:tr>
        <w:trPr>
          <w:cantSplit/>
          <w:jc w:val="center"/>
          <w:trHeight w:val="1277"/>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2.3根据供应商提供的风险控制措施进行评分，对可能存在的问题进行重点难点分析，提出解决方案或合理化建议，整体分析和措施理解深入、逻辑清晰、重点难点定位准确，具有可执行性和可操作性：</w:t>
            </w:r>
            <w:r/>
          </w:p>
          <w:p>
            <w:pPr>
              <w:ind w:firstLine="420"/>
              <w:spacing w:line="288" w:lineRule="auto"/>
              <w:rPr>
                <w:rFonts w:hint="eastAsia" w:ascii="宋体" w:hAnsi="宋体" w:cs="宋体"/>
                <w:szCs w:val="22"/>
              </w:rPr>
            </w:pPr>
            <w:r>
              <w:rPr>
                <w:rFonts w:hint="eastAsia" w:ascii="宋体" w:hAnsi="宋体" w:cs="宋体"/>
                <w:szCs w:val="22"/>
              </w:rPr>
              <w:t xml:space="preserve">（1）投标文件未符合“方案”中全部条款要求的，视为不符合招标文件，本项得0分。</w:t>
            </w:r>
            <w:r/>
          </w:p>
          <w:p>
            <w:pPr>
              <w:ind w:firstLine="420"/>
              <w:spacing w:line="288" w:lineRule="auto"/>
              <w:rPr>
                <w:rFonts w:hint="eastAsia" w:ascii="宋体" w:hAnsi="宋体" w:cs="宋体"/>
                <w:szCs w:val="22"/>
              </w:rPr>
            </w:pPr>
            <w:r>
              <w:rPr>
                <w:rFonts w:hint="eastAsia" w:ascii="宋体" w:hAnsi="宋体" w:cs="宋体"/>
                <w:szCs w:val="22"/>
              </w:rPr>
              <w:t xml:space="preserve">（2）投标文件符合“方案”中全部条款要求的，视为符合招标文件，本项得3分。</w:t>
            </w:r>
            <w:r/>
          </w:p>
          <w:p>
            <w:pPr>
              <w:ind w:firstLine="420"/>
              <w:spacing w:line="288" w:lineRule="auto"/>
              <w:rPr>
                <w:rFonts w:hint="eastAsia" w:ascii="宋体" w:hAnsi="宋体" w:cs="宋体"/>
                <w:szCs w:val="22"/>
              </w:rPr>
            </w:pPr>
            <w:r>
              <w:rPr>
                <w:rFonts w:hint="eastAsia" w:ascii="宋体" w:hAnsi="宋体" w:cs="宋体"/>
                <w:szCs w:val="22"/>
              </w:rPr>
              <w:t xml:space="preserve">（3）投标文件对“方案”中全部条款全部优于招标文件要求的，本项得5分。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5</w:t>
            </w:r>
            <w:r/>
          </w:p>
        </w:tc>
      </w:tr>
      <w:tr>
        <w:trPr>
          <w:cantSplit/>
          <w:jc w:val="center"/>
          <w:trHeight w:val="940"/>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2.4根据供应商提供的数据保密方案，对数据保密制度、措施是否完善，安全、保密等保障措施的完整性、合理性，制定明确的成果资料保密措施和安全保障手段情况进行评分：</w:t>
            </w:r>
            <w:r/>
          </w:p>
          <w:p>
            <w:pPr>
              <w:ind w:firstLine="420"/>
              <w:spacing w:line="288" w:lineRule="auto"/>
              <w:rPr>
                <w:rFonts w:hint="eastAsia" w:ascii="宋体" w:hAnsi="宋体" w:cs="宋体"/>
                <w:szCs w:val="22"/>
              </w:rPr>
            </w:pPr>
            <w:r>
              <w:rPr>
                <w:rFonts w:hint="eastAsia" w:ascii="宋体" w:hAnsi="宋体" w:cs="宋体"/>
                <w:szCs w:val="22"/>
              </w:rPr>
              <w:t xml:space="preserve">（1）投标文件未符合“方案”中全部条款要求的，视为不符合招标文件，本项得0分。</w:t>
            </w:r>
            <w:r/>
          </w:p>
          <w:p>
            <w:pPr>
              <w:ind w:firstLine="420"/>
              <w:spacing w:line="288" w:lineRule="auto"/>
              <w:rPr>
                <w:rFonts w:hint="eastAsia" w:ascii="宋体" w:hAnsi="宋体" w:cs="宋体"/>
                <w:szCs w:val="22"/>
              </w:rPr>
            </w:pPr>
            <w:r>
              <w:rPr>
                <w:rFonts w:hint="eastAsia" w:ascii="宋体" w:hAnsi="宋体" w:cs="宋体"/>
                <w:szCs w:val="22"/>
              </w:rPr>
              <w:t xml:space="preserve">（2）投标文件符合“方案”中全部条款要求的，视为符合招标文件，本项得3分。</w:t>
            </w:r>
            <w:r/>
          </w:p>
          <w:p>
            <w:pPr>
              <w:ind w:firstLine="420"/>
              <w:spacing w:line="288" w:lineRule="auto"/>
              <w:rPr>
                <w:rFonts w:hint="eastAsia" w:ascii="宋体" w:hAnsi="宋体" w:cs="宋体"/>
                <w:szCs w:val="22"/>
              </w:rPr>
            </w:pPr>
            <w:r>
              <w:rPr>
                <w:rFonts w:hint="eastAsia" w:ascii="宋体" w:hAnsi="宋体" w:cs="宋体"/>
                <w:szCs w:val="22"/>
              </w:rPr>
              <w:t xml:space="preserve">（3）投标文件对“方案”中全部条款全部优于招标文件要求的，本项得5分。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5</w:t>
            </w:r>
            <w:r/>
          </w:p>
        </w:tc>
      </w:tr>
      <w:tr>
        <w:trPr>
          <w:cantSplit/>
          <w:jc w:val="center"/>
          <w:trHeight w:val="1065"/>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2.5根据供应商提供的组织管理制度进行评分，对项目的作业环境和作业区域特点制定详细完善的管理制度，制度内容中人员配备齐全合理，分工明确，完全满足本项目实施的需求：</w:t>
            </w:r>
            <w:r/>
          </w:p>
          <w:p>
            <w:pPr>
              <w:ind w:firstLine="420"/>
              <w:spacing w:line="288" w:lineRule="auto"/>
              <w:rPr>
                <w:rFonts w:hint="eastAsia" w:ascii="宋体" w:hAnsi="宋体" w:cs="宋体"/>
                <w:szCs w:val="22"/>
              </w:rPr>
            </w:pPr>
            <w:r>
              <w:rPr>
                <w:rFonts w:hint="eastAsia" w:ascii="宋体" w:hAnsi="宋体" w:cs="宋体"/>
                <w:szCs w:val="22"/>
              </w:rPr>
              <w:t xml:space="preserve">（1）投标文件未符合“方案”中全部条款要求的，视为不符合招标文件，本项得0分。</w:t>
            </w:r>
            <w:r/>
          </w:p>
          <w:p>
            <w:pPr>
              <w:ind w:firstLine="420"/>
              <w:spacing w:line="288" w:lineRule="auto"/>
              <w:rPr>
                <w:rFonts w:hint="eastAsia" w:ascii="宋体" w:hAnsi="宋体" w:cs="宋体"/>
                <w:szCs w:val="22"/>
              </w:rPr>
            </w:pPr>
            <w:r>
              <w:rPr>
                <w:rFonts w:hint="eastAsia" w:ascii="宋体" w:hAnsi="宋体" w:cs="宋体"/>
                <w:szCs w:val="22"/>
              </w:rPr>
              <w:t xml:space="preserve">（2）投标文件符合“方案”中全部条款要求的，视为符合招标文件，本项得3分。</w:t>
            </w:r>
            <w:r/>
          </w:p>
          <w:p>
            <w:pPr>
              <w:ind w:firstLine="420"/>
              <w:spacing w:line="288" w:lineRule="auto"/>
              <w:rPr>
                <w:rFonts w:hint="eastAsia" w:ascii="宋体" w:hAnsi="宋体" w:cs="宋体"/>
                <w:szCs w:val="22"/>
              </w:rPr>
            </w:pPr>
            <w:r>
              <w:rPr>
                <w:rFonts w:hint="eastAsia" w:ascii="宋体" w:hAnsi="宋体" w:cs="宋体"/>
                <w:szCs w:val="22"/>
              </w:rPr>
              <w:t xml:space="preserve">（3）投标文件对“方案”中全部条款全部优于招标文件要求的，本项得5分。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5</w:t>
            </w:r>
            <w:r/>
          </w:p>
        </w:tc>
      </w:tr>
      <w:tr>
        <w:trPr>
          <w:cantSplit/>
          <w:jc w:val="center"/>
          <w:trHeight w:val="1347"/>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2.6根据供应商提供的进度安排进行评分，提供详细可行、科学合理的项目实施计划和方案，实施计划和方案中对项目工作进度进行了工作分解并对分解的工作明确了时间控制点，整个项目进度时间点满足招标文件要求：</w:t>
            </w:r>
            <w:r/>
          </w:p>
          <w:p>
            <w:pPr>
              <w:ind w:firstLine="420"/>
              <w:spacing w:line="288" w:lineRule="auto"/>
              <w:rPr>
                <w:rFonts w:hint="eastAsia" w:ascii="宋体" w:hAnsi="宋体" w:cs="宋体"/>
                <w:szCs w:val="22"/>
              </w:rPr>
            </w:pPr>
            <w:r>
              <w:rPr>
                <w:rFonts w:hint="eastAsia" w:ascii="宋体" w:hAnsi="宋体" w:cs="宋体"/>
                <w:szCs w:val="22"/>
              </w:rPr>
              <w:t xml:space="preserve">（1）投标文件未符合“方案”中全部条款要求的，视为不符合招标文件，本项得0分。</w:t>
            </w:r>
            <w:r/>
          </w:p>
          <w:p>
            <w:pPr>
              <w:ind w:firstLine="420"/>
              <w:spacing w:line="288" w:lineRule="auto"/>
              <w:rPr>
                <w:rFonts w:hint="eastAsia" w:ascii="宋体" w:hAnsi="宋体" w:cs="宋体"/>
                <w:szCs w:val="22"/>
              </w:rPr>
            </w:pPr>
            <w:r>
              <w:rPr>
                <w:rFonts w:hint="eastAsia" w:ascii="宋体" w:hAnsi="宋体" w:cs="宋体"/>
                <w:szCs w:val="22"/>
              </w:rPr>
              <w:t xml:space="preserve">（2）投标文件符合“方案”中全部条款要求的，视为符合招标文件，本项得3分。</w:t>
            </w:r>
            <w:r/>
          </w:p>
          <w:p>
            <w:pPr>
              <w:ind w:firstLine="420"/>
              <w:spacing w:line="288" w:lineRule="auto"/>
              <w:rPr>
                <w:rFonts w:hint="eastAsia" w:ascii="宋体" w:hAnsi="宋体" w:cs="宋体"/>
                <w:szCs w:val="22"/>
              </w:rPr>
            </w:pPr>
            <w:r>
              <w:rPr>
                <w:rFonts w:hint="eastAsia" w:ascii="宋体" w:hAnsi="宋体" w:cs="宋体"/>
                <w:szCs w:val="22"/>
              </w:rPr>
              <w:t xml:space="preserve">（3）投标文件对“方案”中全部条款全部优于招标文件要求的，本项得5分。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5</w:t>
            </w:r>
            <w:r/>
          </w:p>
        </w:tc>
      </w:tr>
      <w:tr>
        <w:trPr>
          <w:cantSplit/>
          <w:jc w:val="center"/>
          <w:trHeight w:val="1058"/>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2.7根据供应商提供的售后服务方案，对本地化服务及快速响应情况，服务人员情况，本地化服务实质性内容，响应时间等方面进行评分：</w:t>
            </w:r>
            <w:r/>
          </w:p>
          <w:p>
            <w:pPr>
              <w:ind w:firstLine="420"/>
              <w:spacing w:line="288" w:lineRule="auto"/>
              <w:rPr>
                <w:rFonts w:hint="eastAsia" w:ascii="宋体" w:hAnsi="宋体" w:cs="宋体"/>
                <w:szCs w:val="22"/>
              </w:rPr>
            </w:pPr>
            <w:r>
              <w:rPr>
                <w:rFonts w:hint="eastAsia" w:ascii="宋体" w:hAnsi="宋体" w:cs="宋体"/>
                <w:szCs w:val="22"/>
              </w:rPr>
              <w:t xml:space="preserve">（1）投标文件未符合“方案”中全部条款要求的，视为不符合招标文件，本项得0分。</w:t>
            </w:r>
            <w:r/>
          </w:p>
          <w:p>
            <w:pPr>
              <w:ind w:firstLine="420"/>
              <w:spacing w:line="288" w:lineRule="auto"/>
              <w:rPr>
                <w:rFonts w:hint="eastAsia" w:ascii="宋体" w:hAnsi="宋体" w:cs="宋体"/>
                <w:szCs w:val="22"/>
              </w:rPr>
            </w:pPr>
            <w:r>
              <w:rPr>
                <w:rFonts w:hint="eastAsia" w:ascii="宋体" w:hAnsi="宋体" w:cs="宋体"/>
                <w:szCs w:val="22"/>
              </w:rPr>
              <w:t xml:space="preserve">（2）投标文件符合“方案”中全部条款要求的，视为符合招标文件，本项得2分。</w:t>
            </w:r>
            <w:r/>
          </w:p>
          <w:p>
            <w:pPr>
              <w:ind w:firstLine="420"/>
              <w:spacing w:line="288" w:lineRule="auto"/>
              <w:rPr>
                <w:rFonts w:hint="eastAsia" w:ascii="宋体" w:hAnsi="宋体" w:cs="宋体"/>
                <w:szCs w:val="22"/>
              </w:rPr>
            </w:pPr>
            <w:r>
              <w:rPr>
                <w:rFonts w:hint="eastAsia" w:ascii="宋体" w:hAnsi="宋体" w:cs="宋体"/>
                <w:szCs w:val="22"/>
              </w:rPr>
              <w:t xml:space="preserve">（3）投标文件对“方案”中全部条款全部优于招标文件要求的，本项得3分。</w:t>
            </w:r>
            <w:r/>
          </w:p>
        </w:tc>
        <w:tc>
          <w:tcPr>
            <w:tcW w:w="590" w:type="dxa"/>
            <w:vAlign w:val="center"/>
            <w:textDirection w:val="lrTb"/>
            <w:noWrap w:val="false"/>
          </w:tcPr>
          <w:p>
            <w:pPr>
              <w:jc w:val="center"/>
              <w:rPr>
                <w:rFonts w:hint="eastAsia" w:ascii="宋体" w:hAnsi="宋体" w:cs="宋体"/>
                <w:szCs w:val="20"/>
              </w:rPr>
            </w:pPr>
            <w:r>
              <w:rPr>
                <w:rFonts w:ascii="宋体" w:hAnsi="宋体" w:cs="宋体"/>
              </w:rPr>
              <w:t xml:space="preserve">3</w:t>
            </w:r>
            <w:r/>
          </w:p>
        </w:tc>
      </w:tr>
      <w:tr>
        <w:trPr>
          <w:cantSplit/>
          <w:jc w:val="center"/>
          <w:trHeight w:val="868"/>
        </w:trPr>
        <w:tc>
          <w:tcPr>
            <w:tcW w:w="60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3</w:t>
            </w:r>
            <w:r/>
          </w:p>
        </w:tc>
        <w:tc>
          <w:tcPr>
            <w:tcW w:w="1232" w:type="dxa"/>
            <w:vAlign w:val="center"/>
            <w:vMerge w:val="restart"/>
            <w:textDirection w:val="lrTb"/>
            <w:noWrap w:val="false"/>
          </w:tcPr>
          <w:p>
            <w:pPr>
              <w:jc w:val="center"/>
              <w:tabs>
                <w:tab w:val="left" w:pos="488" w:leader="none"/>
              </w:tabs>
              <w:rPr>
                <w:rFonts w:hint="eastAsia" w:ascii="宋体" w:hAnsi="宋体" w:cs="宋体"/>
              </w:rPr>
            </w:pPr>
            <w:r>
              <w:rPr>
                <w:rFonts w:hint="eastAsia" w:ascii="宋体" w:hAnsi="宋体" w:cs="宋体"/>
              </w:rPr>
              <w:t xml:space="preserve">项目组人员</w:t>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3.1项目负责人（1人）：具有注册测绘师资格且具有测绘相关正高级工程师（教授级高级工程师）职称证书的得5分，具有注册测绘师资格且具有测绘相关高级工程师职称证书的得2分；其余情况不得分。本项最高5分。</w:t>
            </w:r>
            <w:r/>
          </w:p>
          <w:p>
            <w:pPr>
              <w:ind w:firstLine="420"/>
              <w:spacing w:line="288" w:lineRule="auto"/>
              <w:rPr>
                <w:rFonts w:hint="eastAsia" w:ascii="宋体" w:hAnsi="宋体" w:cs="宋体"/>
                <w:szCs w:val="22"/>
              </w:rPr>
            </w:pPr>
            <w:r>
              <w:rPr>
                <w:rFonts w:hint="eastAsia" w:ascii="宋体" w:hAnsi="宋体"/>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rPr>
              <w:t xml:space="preserve">签章</w:t>
            </w:r>
            <w:r>
              <w:rPr>
                <w:rFonts w:hint="eastAsia" w:ascii="宋体" w:hAnsi="宋体"/>
              </w:rPr>
              <w:t xml:space="preserve">。若为联合体投标，以联合体中任一成员方为准。</w:t>
            </w:r>
            <w:r/>
          </w:p>
        </w:tc>
        <w:tc>
          <w:tcPr>
            <w:tcW w:w="590" w:type="dxa"/>
            <w:vAlign w:val="center"/>
            <w:textDirection w:val="lrTb"/>
            <w:noWrap w:val="false"/>
          </w:tcPr>
          <w:p>
            <w:pPr>
              <w:jc w:val="center"/>
              <w:rPr>
                <w:rFonts w:hint="eastAsia" w:ascii="宋体" w:hAnsi="宋体" w:cs="宋体"/>
                <w:szCs w:val="20"/>
              </w:rPr>
            </w:pPr>
            <w:r>
              <w:rPr>
                <w:rFonts w:ascii="宋体" w:hAnsi="宋体" w:cs="宋体"/>
              </w:rPr>
              <w:t xml:space="preserve">5</w:t>
            </w:r>
            <w:r/>
          </w:p>
        </w:tc>
      </w:tr>
      <w:tr>
        <w:trPr>
          <w:cantSplit/>
          <w:jc w:val="center"/>
          <w:trHeight w:val="483"/>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3.2技术负责人（1人，不得与项目负责人为同一人）：具有</w:t>
            </w:r>
            <w:r>
              <w:rPr>
                <w:rFonts w:hint="eastAsia" w:ascii="宋体" w:hAnsi="宋体"/>
              </w:rPr>
              <w:t xml:space="preserve">注册测绘师且具有测绘相关正高级工程师</w:t>
            </w:r>
            <w:r>
              <w:rPr>
                <w:rFonts w:hint="eastAsia" w:ascii="宋体" w:hAnsi="宋体" w:cs="宋体"/>
                <w:szCs w:val="22"/>
              </w:rPr>
              <w:t xml:space="preserve">（教授级高级工程师）职称证书</w:t>
            </w:r>
            <w:r>
              <w:rPr>
                <w:rFonts w:hint="eastAsia" w:ascii="宋体" w:hAnsi="宋体"/>
              </w:rPr>
              <w:t xml:space="preserve">的得4分</w:t>
            </w:r>
            <w:r>
              <w:rPr>
                <w:rFonts w:hint="eastAsia" w:ascii="宋体" w:hAnsi="宋体" w:cs="宋体"/>
                <w:szCs w:val="22"/>
              </w:rPr>
              <w:t xml:space="preserve">，具有注册测绘师资格且具有测绘相关高级工程师职称证书的得2分；其余情况不得分。本项最高4分。否则不得分。</w:t>
            </w:r>
            <w:r/>
          </w:p>
          <w:p>
            <w:pPr>
              <w:ind w:firstLine="420"/>
              <w:spacing w:line="288" w:lineRule="auto"/>
              <w:rPr>
                <w:rFonts w:ascii="Arial" w:hAnsi="Arial" w:cs="Arial"/>
                <w:szCs w:val="20"/>
              </w:rPr>
            </w:pPr>
            <w:r>
              <w:rPr>
                <w:rFonts w:hint="eastAsia" w:ascii="宋体" w:hAnsi="宋体"/>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rPr>
              <w:t xml:space="preserve">签章</w:t>
            </w:r>
            <w:r>
              <w:rPr>
                <w:rFonts w:hint="eastAsia" w:ascii="宋体" w:hAnsi="宋体"/>
              </w:rPr>
              <w:t xml:space="preserve">。若为联合体投标，以联合体中任一成员方为准。</w:t>
            </w:r>
            <w:r/>
          </w:p>
        </w:tc>
        <w:tc>
          <w:tcPr>
            <w:tcW w:w="590" w:type="dxa"/>
            <w:vAlign w:val="center"/>
            <w:textDirection w:val="lrTb"/>
            <w:noWrap w:val="false"/>
          </w:tcPr>
          <w:p>
            <w:pPr>
              <w:jc w:val="center"/>
              <w:spacing w:line="288" w:lineRule="auto"/>
              <w:rPr>
                <w:rFonts w:hint="eastAsia" w:ascii="宋体" w:hAnsi="宋体" w:cs="宋体"/>
                <w:b/>
                <w:bCs/>
                <w:szCs w:val="22"/>
              </w:rPr>
            </w:pPr>
            <w:r>
              <w:rPr>
                <w:rFonts w:hint="eastAsia" w:ascii="宋体" w:hAnsi="宋体" w:cs="宋体"/>
                <w:szCs w:val="22"/>
              </w:rPr>
              <w:t xml:space="preserve">4</w:t>
            </w:r>
            <w:r/>
          </w:p>
        </w:tc>
      </w:tr>
      <w:tr>
        <w:trPr>
          <w:cantSplit/>
          <w:jc w:val="center"/>
          <w:trHeight w:val="723"/>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3.3质量负责人（1人，不得与项目负责人或者技术负责人为同一人）：具有</w:t>
            </w:r>
            <w:r>
              <w:rPr>
                <w:rFonts w:hint="eastAsia" w:ascii="宋体" w:hAnsi="宋体"/>
              </w:rPr>
              <w:t xml:space="preserve">注册测绘师且具有测绘相关高级工程师</w:t>
            </w:r>
            <w:r>
              <w:rPr>
                <w:rFonts w:hint="eastAsia" w:ascii="宋体" w:hAnsi="宋体" w:cs="宋体"/>
                <w:szCs w:val="22"/>
              </w:rPr>
              <w:t xml:space="preserve">职称证书</w:t>
            </w:r>
            <w:r>
              <w:rPr>
                <w:rFonts w:hint="eastAsia" w:ascii="宋体" w:hAnsi="宋体"/>
              </w:rPr>
              <w:t xml:space="preserve">的得3分</w:t>
            </w:r>
            <w:r>
              <w:rPr>
                <w:rFonts w:hint="eastAsia" w:ascii="宋体" w:hAnsi="宋体" w:cs="宋体"/>
                <w:szCs w:val="22"/>
              </w:rPr>
              <w:t xml:space="preserve">，否则不得分。</w:t>
            </w:r>
            <w:r/>
          </w:p>
          <w:p>
            <w:pPr>
              <w:ind w:firstLine="420"/>
              <w:spacing w:line="288" w:lineRule="auto"/>
              <w:rPr>
                <w:rFonts w:hint="eastAsia" w:ascii="宋体" w:hAnsi="宋体"/>
              </w:rPr>
            </w:pPr>
            <w:r>
              <w:rPr>
                <w:rFonts w:hint="eastAsia" w:ascii="宋体" w:hAnsi="宋体"/>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rPr>
              <w:t xml:space="preserve">签章</w:t>
            </w:r>
            <w:r>
              <w:rPr>
                <w:rFonts w:hint="eastAsia" w:ascii="宋体" w:hAnsi="宋体"/>
              </w:rPr>
              <w:t xml:space="preserve">。若为联合体投标，以联合体中任一成员方为准。</w:t>
            </w:r>
            <w:r/>
          </w:p>
        </w:tc>
        <w:tc>
          <w:tcPr>
            <w:tcW w:w="590" w:type="dxa"/>
            <w:vAlign w:val="center"/>
            <w:textDirection w:val="lrTb"/>
            <w:noWrap w:val="false"/>
          </w:tcPr>
          <w:p>
            <w:pPr>
              <w:jc w:val="center"/>
              <w:spacing w:line="288" w:lineRule="auto"/>
              <w:rPr>
                <w:rFonts w:hint="eastAsia" w:ascii="宋体" w:hAnsi="宋体" w:cs="宋体"/>
                <w:szCs w:val="22"/>
              </w:rPr>
            </w:pPr>
            <w:r>
              <w:rPr>
                <w:rFonts w:hint="eastAsia" w:ascii="宋体" w:hAnsi="宋体" w:cs="宋体"/>
                <w:szCs w:val="22"/>
              </w:rPr>
              <w:t xml:space="preserve">3</w:t>
            </w:r>
            <w:r/>
          </w:p>
        </w:tc>
      </w:tr>
      <w:tr>
        <w:trPr>
          <w:cantSplit/>
          <w:jc w:val="center"/>
          <w:trHeight w:val="723"/>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3.4其他项目组成员（除项目负责人、技术负责人、质量负责人之外）具有测绘相关高级工程师及以上职称证书的，每有1人得1分；具有测绘相关中级职称证书的，每有1人得0.5分；本项最高得分8分。</w:t>
            </w:r>
            <w:r/>
          </w:p>
          <w:p>
            <w:pPr>
              <w:ind w:firstLine="420"/>
              <w:spacing w:line="288" w:lineRule="auto"/>
              <w:rPr>
                <w:rFonts w:hint="eastAsia" w:ascii="宋体" w:hAnsi="宋体" w:cs="宋体"/>
                <w:b/>
                <w:bCs/>
                <w:szCs w:val="22"/>
              </w:rPr>
            </w:pPr>
            <w:r>
              <w:rPr>
                <w:rFonts w:hint="eastAsia" w:ascii="宋体" w:hAnsi="宋体"/>
              </w:rPr>
              <w:t xml:space="preserve">备注：投标人应提供上述人员相应的证明材料复印件及投标人近3个月以来为其缴纳的任意一个月的社保证明复印件，并加盖CA电子</w:t>
            </w:r>
            <w:r>
              <w:rPr>
                <w:rFonts w:hint="eastAsia" w:ascii="宋体" w:hAnsi="宋体" w:cs="宋体"/>
                <w:bCs/>
                <w:szCs w:val="22"/>
              </w:rPr>
              <w:t xml:space="preserve">签章</w:t>
            </w:r>
            <w:r>
              <w:rPr>
                <w:rFonts w:hint="eastAsia" w:ascii="宋体" w:hAnsi="宋体"/>
              </w:rPr>
              <w:t xml:space="preserve">。同一人员不重复计分。若为联合体投标，以联合体中任一成员方为准。</w:t>
            </w:r>
            <w:r/>
          </w:p>
        </w:tc>
        <w:tc>
          <w:tcPr>
            <w:tcW w:w="590" w:type="dxa"/>
            <w:vAlign w:val="center"/>
            <w:textDirection w:val="lrTb"/>
            <w:noWrap w:val="false"/>
          </w:tcPr>
          <w:p>
            <w:pPr>
              <w:jc w:val="center"/>
              <w:spacing w:line="288" w:lineRule="auto"/>
              <w:rPr>
                <w:rFonts w:hint="eastAsia" w:ascii="宋体" w:hAnsi="宋体" w:cs="宋体"/>
                <w:szCs w:val="22"/>
              </w:rPr>
            </w:pPr>
            <w:r>
              <w:rPr>
                <w:rFonts w:hint="eastAsia" w:ascii="宋体" w:hAnsi="宋体" w:cs="宋体"/>
                <w:szCs w:val="22"/>
              </w:rPr>
              <w:t xml:space="preserve">8</w:t>
            </w:r>
            <w:r/>
          </w:p>
        </w:tc>
      </w:tr>
      <w:tr>
        <w:trPr>
          <w:jc w:val="center"/>
        </w:trPr>
        <w:tc>
          <w:tcPr>
            <w:tcW w:w="605" w:type="dxa"/>
            <w:vAlign w:val="center"/>
            <w:textDirection w:val="lrTb"/>
            <w:noWrap w:val="false"/>
          </w:tcPr>
          <w:p>
            <w:pPr>
              <w:jc w:val="center"/>
              <w:rPr>
                <w:rFonts w:hint="eastAsia" w:ascii="宋体" w:hAnsi="宋体" w:cs="宋体"/>
                <w:szCs w:val="20"/>
              </w:rPr>
            </w:pPr>
            <w:r>
              <w:rPr>
                <w:rFonts w:hint="eastAsia" w:ascii="宋体" w:hAnsi="宋体" w:cs="宋体"/>
              </w:rPr>
              <w:t xml:space="preserve">4</w:t>
            </w:r>
            <w:r/>
          </w:p>
        </w:tc>
        <w:tc>
          <w:tcPr>
            <w:tcW w:w="1232" w:type="dxa"/>
            <w:vAlign w:val="center"/>
            <w:textDirection w:val="lrTb"/>
            <w:noWrap w:val="false"/>
          </w:tcPr>
          <w:p>
            <w:pPr>
              <w:jc w:val="center"/>
              <w:rPr>
                <w:rFonts w:hint="eastAsia" w:ascii="宋体" w:hAnsi="宋体" w:cs="宋体"/>
              </w:rPr>
            </w:pPr>
            <w:r>
              <w:rPr>
                <w:rFonts w:hint="eastAsia" w:ascii="宋体" w:hAnsi="宋体"/>
              </w:rPr>
              <w:t xml:space="preserve">案例情况</w:t>
            </w:r>
            <w:r/>
          </w:p>
        </w:tc>
        <w:tc>
          <w:tcPr>
            <w:tcW w:w="7890" w:type="dxa"/>
            <w:vAlign w:val="center"/>
            <w:textDirection w:val="lrTb"/>
            <w:noWrap w:val="false"/>
          </w:tcPr>
          <w:p>
            <w:pPr>
              <w:ind w:firstLine="420"/>
              <w:spacing w:line="288" w:lineRule="auto"/>
              <w:rPr>
                <w:rFonts w:hint="eastAsia" w:ascii="宋体" w:hAnsi="宋体" w:cs="宋体"/>
              </w:rPr>
            </w:pPr>
            <w:r>
              <w:rPr>
                <w:rFonts w:hint="eastAsia" w:ascii="宋体" w:hAnsi="宋体" w:cs="宋体"/>
                <w:szCs w:val="22"/>
              </w:rPr>
              <w:t xml:space="preserve">供应商提供自2023年1月1日以来（以合同签订日期为准）承担过与本项目类似的</w:t>
            </w:r>
            <w:r>
              <w:rPr>
                <w:rFonts w:hint="eastAsia"/>
              </w:rPr>
              <w:t xml:space="preserve">海洋测绘项目的，每个业绩得</w:t>
            </w:r>
            <w:r>
              <w:rPr>
                <w:rFonts w:hint="eastAsia" w:ascii="宋体" w:hAnsi="宋体" w:cs="宋体"/>
              </w:rPr>
              <w:t xml:space="preserve">2分，最高得10分；若为联合体投标，以联合体中承担海洋测绘一方业绩为准，同一合同业绩不重复计分。</w:t>
            </w:r>
            <w:r>
              <w:rPr>
                <w:rFonts w:hint="eastAsia" w:ascii="宋体" w:hAnsi="宋体" w:cs="宋体"/>
                <w:highlight w:val="yellow"/>
              </w:rPr>
              <w:t xml:space="preserve">如双方均承担海洋测绘工作，业绩累加得分。</w:t>
            </w:r>
            <w:r/>
          </w:p>
          <w:p>
            <w:pPr>
              <w:ind w:firstLine="420"/>
              <w:spacing w:line="288" w:lineRule="auto"/>
              <w:rPr>
                <w:rFonts w:hint="eastAsia" w:ascii="宋体" w:hAnsi="宋体" w:cs="宋体"/>
              </w:rPr>
            </w:pPr>
            <w:r>
              <w:rPr>
                <w:rFonts w:hint="eastAsia" w:ascii="宋体" w:hAnsi="宋体" w:cs="宋体"/>
                <w:szCs w:val="22"/>
              </w:rPr>
              <w:t xml:space="preserve">供应商提供自2023年1月1日以来（以合同签订日期为准）承担过与本项目类似的水下地形测量</w:t>
            </w:r>
            <w:r>
              <w:rPr>
                <w:rFonts w:hint="eastAsia"/>
              </w:rPr>
              <w:t xml:space="preserve">项目的</w:t>
            </w:r>
            <w:r>
              <w:rPr>
                <w:rFonts w:hint="eastAsia" w:ascii="宋体" w:hAnsi="宋体" w:cs="宋体"/>
              </w:rPr>
              <w:t xml:space="preserve">，每个业绩得</w:t>
            </w:r>
            <w:r>
              <w:rPr>
                <w:rFonts w:ascii="宋体" w:hAnsi="宋体" w:cs="宋体"/>
              </w:rPr>
              <w:t xml:space="preserve">1</w:t>
            </w:r>
            <w:r>
              <w:rPr>
                <w:rFonts w:hint="eastAsia" w:ascii="宋体" w:hAnsi="宋体" w:cs="宋体"/>
              </w:rPr>
              <w:t xml:space="preserve">分，最高得3分；若为联合体投标，以联合体中承担水下地形测量一方业绩为准，同一合同业绩不重复计分。</w:t>
            </w:r>
            <w:r>
              <w:rPr>
                <w:rFonts w:hint="eastAsia" w:ascii="宋体" w:hAnsi="宋体" w:cs="宋体"/>
                <w:highlight w:val="yellow"/>
              </w:rPr>
              <w:t xml:space="preserve">如双方均承担</w:t>
            </w:r>
            <w:r>
              <w:rPr>
                <w:rFonts w:hint="eastAsia" w:ascii="宋体" w:hAnsi="宋体" w:cs="宋体"/>
                <w:highlight w:val="yellow"/>
              </w:rPr>
              <w:t xml:space="preserve">水下地形测量</w:t>
            </w:r>
            <w:r>
              <w:rPr>
                <w:rFonts w:hint="eastAsia" w:ascii="宋体" w:hAnsi="宋体" w:cs="宋体"/>
                <w:highlight w:val="yellow"/>
              </w:rPr>
              <w:t xml:space="preserve">工作，业绩累加得分。</w:t>
            </w:r>
            <w:r/>
          </w:p>
          <w:p>
            <w:pPr>
              <w:ind w:firstLine="420"/>
              <w:spacing w:line="288" w:lineRule="auto"/>
              <w:rPr>
                <w:rFonts w:ascii="Arial" w:hAnsi="Arial" w:cs="Arial"/>
              </w:rPr>
            </w:pPr>
            <w:r>
              <w:rPr>
                <w:rFonts w:hint="eastAsia" w:ascii="宋体" w:hAnsi="宋体" w:cs="宋体"/>
              </w:rPr>
              <w:t xml:space="preserve">本项最高得10分。</w:t>
            </w:r>
            <w:r/>
          </w:p>
          <w:p>
            <w:pPr>
              <w:ind w:firstLine="420"/>
              <w:spacing w:line="288" w:lineRule="auto"/>
              <w:rPr>
                <w:rFonts w:hint="eastAsia" w:ascii="宋体" w:hAnsi="宋体"/>
              </w:rPr>
            </w:pPr>
            <w:r>
              <w:rPr>
                <w:rFonts w:hint="eastAsia" w:ascii="宋体" w:hAnsi="宋体" w:cs="宋体"/>
                <w:b/>
                <w:bCs/>
                <w:szCs w:val="22"/>
              </w:rPr>
              <w:t xml:space="preserve">注：</w:t>
            </w:r>
            <w:r>
              <w:rPr>
                <w:rFonts w:hint="eastAsia" w:ascii="宋体" w:hAnsi="宋体"/>
              </w:rPr>
              <w:t xml:space="preserve">需提供合同和测绘产品质量检验部门出具的检验报告复印件并加盖CA电子</w:t>
            </w:r>
            <w:r>
              <w:rPr>
                <w:rFonts w:hint="eastAsia" w:ascii="宋体" w:hAnsi="宋体" w:cs="宋体"/>
                <w:bCs/>
                <w:szCs w:val="22"/>
              </w:rPr>
              <w:t xml:space="preserve">签章</w:t>
            </w:r>
            <w:r>
              <w:rPr>
                <w:rFonts w:hint="eastAsia" w:ascii="宋体" w:hAnsi="宋体"/>
              </w:rPr>
              <w:t xml:space="preserve">，如合同中未能体现“</w:t>
            </w:r>
            <w:r>
              <w:rPr>
                <w:rFonts w:hint="eastAsia"/>
              </w:rPr>
              <w:t xml:space="preserve">海洋测绘</w:t>
            </w:r>
            <w:r>
              <w:rPr>
                <w:rFonts w:hint="eastAsia" w:ascii="宋体" w:hAnsi="宋体"/>
              </w:rPr>
              <w:t xml:space="preserve">”“</w:t>
            </w:r>
            <w:r>
              <w:rPr>
                <w:rFonts w:hint="eastAsia" w:ascii="宋体" w:hAnsi="宋体" w:cs="宋体"/>
                <w:szCs w:val="22"/>
              </w:rPr>
              <w:t xml:space="preserve">水下地形测量</w:t>
            </w:r>
            <w:r>
              <w:rPr>
                <w:rFonts w:hint="eastAsia" w:ascii="宋体" w:hAnsi="宋体"/>
              </w:rPr>
              <w:t xml:space="preserve">”内容的还需提供由用户出具的相关证明材料。同一合同不重复得分。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10</w:t>
            </w:r>
            <w:r/>
          </w:p>
        </w:tc>
      </w:tr>
      <w:tr>
        <w:trPr>
          <w:cantSplit/>
          <w:jc w:val="center"/>
        </w:trPr>
        <w:tc>
          <w:tcPr>
            <w:tcW w:w="60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5</w:t>
            </w:r>
            <w:r/>
          </w:p>
        </w:tc>
        <w:tc>
          <w:tcPr>
            <w:tcW w:w="1232" w:type="dxa"/>
            <w:vAlign w:val="center"/>
            <w:vMerge w:val="restart"/>
            <w:textDirection w:val="lrTb"/>
            <w:noWrap w:val="false"/>
          </w:tcPr>
          <w:p>
            <w:pPr>
              <w:jc w:val="center"/>
              <w:rPr>
                <w:rFonts w:hint="eastAsia" w:ascii="宋体" w:hAnsi="宋体" w:cs="Arial"/>
              </w:rPr>
            </w:pPr>
            <w:r>
              <w:rPr>
                <w:rFonts w:hint="eastAsia" w:ascii="宋体" w:hAnsi="宋体"/>
              </w:rPr>
              <w:t xml:space="preserve">设备情况</w:t>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5.1根据供应商提供的满足数据采集要求的自有专业仪器设备，包括GNSS接收机、无人机LiDAR、</w:t>
            </w:r>
            <w:r>
              <w:rPr>
                <w:rFonts w:hint="eastAsia" w:ascii="宋体" w:hAnsi="宋体" w:cs="宋体"/>
                <w:bCs/>
                <w:szCs w:val="22"/>
              </w:rPr>
              <w:t xml:space="preserve">多波束测深系统(具备反向散射强度数据获取功能)、声速剖面仪、验潮</w:t>
            </w:r>
            <w:r>
              <w:rPr>
                <w:rFonts w:hint="eastAsia" w:ascii="宋体" w:hAnsi="宋体" w:cs="宋体"/>
                <w:szCs w:val="22"/>
              </w:rPr>
              <w:t xml:space="preserve">仪进行评分，每一种设备2套</w:t>
            </w:r>
            <w:r>
              <w:rPr>
                <w:rFonts w:hint="eastAsia" w:ascii="宋体" w:hAnsi="宋体" w:cs="宋体"/>
                <w:szCs w:val="22"/>
                <w:highlight w:val="yellow"/>
              </w:rPr>
              <w:t xml:space="preserve">及</w:t>
            </w:r>
            <w:r>
              <w:rPr>
                <w:rFonts w:hint="eastAsia" w:ascii="宋体" w:hAnsi="宋体" w:cs="宋体"/>
                <w:szCs w:val="22"/>
              </w:rPr>
              <w:t xml:space="preserve">以上得2分；如租用设备，每一种设备2套</w:t>
            </w:r>
            <w:r>
              <w:rPr>
                <w:rFonts w:hint="eastAsia" w:ascii="宋体" w:hAnsi="宋体" w:cs="宋体"/>
                <w:szCs w:val="22"/>
                <w:highlight w:val="yellow"/>
              </w:rPr>
              <w:t xml:space="preserve">及</w:t>
            </w:r>
            <w:r>
              <w:rPr>
                <w:rFonts w:hint="eastAsia" w:ascii="宋体" w:hAnsi="宋体" w:cs="宋体"/>
                <w:szCs w:val="22"/>
              </w:rPr>
              <w:t xml:space="preserve">以上得1分；最高得10分。</w:t>
            </w:r>
            <w:r/>
          </w:p>
          <w:p>
            <w:pPr>
              <w:ind w:firstLine="420"/>
              <w:spacing w:line="288" w:lineRule="auto"/>
              <w:rPr>
                <w:rFonts w:hint="eastAsia" w:ascii="宋体" w:hAnsi="宋体" w:cs="宋体"/>
                <w:bCs/>
                <w:szCs w:val="22"/>
              </w:rPr>
            </w:pPr>
            <w:r>
              <w:rPr>
                <w:rFonts w:hint="eastAsia" w:ascii="宋体" w:hAnsi="宋体" w:cs="宋体"/>
                <w:bCs/>
                <w:szCs w:val="22"/>
              </w:rPr>
              <w:t xml:space="preserve">注：供应商需提供自有设备的购买发票以及仪器检定证书复印件并加盖CA电子签章，租用设备需提供租用设备的租用合同，其他情况不得分。</w:t>
            </w:r>
            <w:r>
              <w:rPr>
                <w:rFonts w:hint="eastAsia" w:ascii="宋体" w:hAnsi="宋体"/>
              </w:rPr>
              <w:t xml:space="preserve">若为联合体投标，以联合体中任一成员方为准。</w:t>
            </w:r>
            <w:r/>
          </w:p>
        </w:tc>
        <w:tc>
          <w:tcPr>
            <w:tcW w:w="590" w:type="dxa"/>
            <w:vAlign w:val="center"/>
            <w:textDirection w:val="lrTb"/>
            <w:noWrap w:val="false"/>
          </w:tcPr>
          <w:p>
            <w:pPr>
              <w:jc w:val="center"/>
              <w:rPr>
                <w:rFonts w:hint="eastAsia" w:ascii="宋体" w:hAnsi="宋体" w:cs="宋体"/>
                <w:szCs w:val="20"/>
              </w:rPr>
            </w:pPr>
            <w:r>
              <w:rPr>
                <w:rFonts w:hint="eastAsia" w:ascii="宋体" w:hAnsi="宋体" w:cs="宋体"/>
              </w:rPr>
              <w:t xml:space="preserve">10</w:t>
            </w:r>
            <w:r/>
          </w:p>
        </w:tc>
      </w:tr>
      <w:tr>
        <w:trPr>
          <w:cantSplit/>
          <w:jc w:val="center"/>
        </w:trPr>
        <w:tc>
          <w:tcPr>
            <w:tcW w:w="60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center"/>
              <w:rPr>
                <w:rFonts w:hint="eastAsia" w:ascii="宋体" w:hAnsi="宋体"/>
              </w:rPr>
            </w:pPr>
            <w:r>
              <w:rPr>
                <w:rFonts w:hint="eastAsia" w:ascii="宋体" w:hAnsi="宋体"/>
              </w:rPr>
            </w:r>
            <w:r/>
          </w:p>
        </w:tc>
        <w:tc>
          <w:tcPr>
            <w:tcW w:w="7890" w:type="dxa"/>
            <w:vAlign w:val="center"/>
            <w:textDirection w:val="lrTb"/>
            <w:noWrap w:val="false"/>
          </w:tcPr>
          <w:p>
            <w:pPr>
              <w:ind w:firstLine="420"/>
              <w:jc w:val="left"/>
              <w:rPr>
                <w:rFonts w:hint="eastAsia" w:ascii="宋体" w:hAnsi="宋体"/>
              </w:rPr>
            </w:pPr>
            <w:r>
              <w:rPr>
                <w:rFonts w:hint="eastAsia" w:ascii="宋体" w:hAnsi="宋体"/>
              </w:rPr>
              <w:t xml:space="preserve">5.2根据供应商提供的测量船评分，自有测量船（不包括无人测量船），每艘船得3分，最高得</w:t>
            </w:r>
            <w:r>
              <w:rPr>
                <w:rFonts w:ascii="宋体" w:hAnsi="宋体"/>
              </w:rPr>
              <w:t xml:space="preserve">9</w:t>
            </w:r>
            <w:r>
              <w:rPr>
                <w:rFonts w:hint="eastAsia" w:ascii="宋体" w:hAnsi="宋体"/>
              </w:rPr>
              <w:t xml:space="preserve">分（完全独资购买，产权为投标人独有）；共有或租用测量船，每艘船得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分（合资采购，产权共有；产权为投标人的母公司或子公司；租用），如同时提供自有和共有或租用测量船的，该项最高得6分。</w:t>
            </w:r>
            <w:r/>
          </w:p>
          <w:p>
            <w:pPr>
              <w:ind w:firstLine="420"/>
              <w:spacing w:line="288" w:lineRule="auto"/>
              <w:rPr>
                <w:rFonts w:hint="eastAsia" w:ascii="宋体" w:hAnsi="宋体" w:cs="宋体"/>
                <w:szCs w:val="22"/>
              </w:rPr>
            </w:pPr>
            <w:r>
              <w:rPr>
                <w:rFonts w:hint="eastAsia" w:ascii="宋体" w:hAnsi="宋体"/>
              </w:rPr>
              <w:t xml:space="preserve">备注：投标时必须标明测量船类型及船舶识别号，自有的，需提供发票证明材料（或者提供能证明自有的相关材料）；共有或租用的，需提供与船舶企业的租用意向书等相关证明材料。以上材料需加盖CA电子</w:t>
            </w:r>
            <w:r>
              <w:rPr>
                <w:rFonts w:hint="eastAsia" w:ascii="宋体" w:hAnsi="宋体" w:cs="宋体"/>
                <w:bCs/>
                <w:szCs w:val="22"/>
              </w:rPr>
              <w:t xml:space="preserve">签章</w:t>
            </w:r>
            <w:r>
              <w:rPr>
                <w:rFonts w:hint="eastAsia" w:ascii="宋体" w:hAnsi="宋体"/>
              </w:rPr>
              <w:t xml:space="preserve">。若为联合体投标，以联合体中任一成员方为准。</w:t>
            </w:r>
            <w:r/>
          </w:p>
        </w:tc>
        <w:tc>
          <w:tcPr>
            <w:tcW w:w="590" w:type="dxa"/>
            <w:vAlign w:val="center"/>
            <w:textDirection w:val="lrTb"/>
            <w:noWrap w:val="false"/>
          </w:tcPr>
          <w:p>
            <w:pPr>
              <w:jc w:val="center"/>
              <w:rPr>
                <w:rFonts w:hint="eastAsia" w:ascii="宋体" w:hAnsi="宋体" w:cs="宋体"/>
              </w:rPr>
            </w:pPr>
            <w:r>
              <w:rPr>
                <w:rFonts w:ascii="宋体" w:hAnsi="宋体" w:cs="宋体"/>
              </w:rPr>
              <w:t xml:space="preserve">9</w:t>
            </w:r>
            <w:r/>
          </w:p>
        </w:tc>
      </w:tr>
      <w:tr>
        <w:trPr>
          <w:cantSplit/>
          <w:jc w:val="center"/>
          <w:trHeight w:val="1500"/>
        </w:trPr>
        <w:tc>
          <w:tcPr>
            <w:tcW w:w="60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6</w:t>
            </w:r>
            <w:r/>
          </w:p>
        </w:tc>
        <w:tc>
          <w:tcPr>
            <w:tcW w:w="123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履约能力</w:t>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6.1根据供应商提供的测绘类项目获得省政府及以上党政机关颁发的科学技术奖进行评分，其中获得过国家级（国务院颁发）奖项，有一个得</w:t>
            </w:r>
            <w:r>
              <w:rPr>
                <w:rFonts w:ascii="宋体" w:hAnsi="宋体" w:cs="宋体"/>
                <w:szCs w:val="22"/>
              </w:rPr>
              <w:t xml:space="preserve">3</w:t>
            </w:r>
            <w:r>
              <w:rPr>
                <w:rFonts w:hint="eastAsia" w:ascii="宋体" w:hAnsi="宋体" w:cs="宋体"/>
                <w:szCs w:val="22"/>
              </w:rPr>
              <w:t xml:space="preserve">分；其中获得过省级（省政府颁发）奖项，有一个得</w:t>
            </w:r>
            <w:r>
              <w:rPr>
                <w:rFonts w:ascii="宋体" w:hAnsi="宋体" w:cs="宋体"/>
                <w:szCs w:val="22"/>
              </w:rPr>
              <w:t xml:space="preserve">2</w:t>
            </w:r>
            <w:r>
              <w:rPr>
                <w:rFonts w:hint="eastAsia" w:ascii="宋体" w:hAnsi="宋体" w:cs="宋体"/>
                <w:szCs w:val="22"/>
              </w:rPr>
              <w:t xml:space="preserve">分；其他奖项不得分，</w:t>
            </w:r>
            <w:r>
              <w:rPr>
                <w:rFonts w:hint="eastAsia" w:ascii="宋体" w:hAnsi="宋体" w:cs="宋体"/>
                <w:szCs w:val="22"/>
                <w:highlight w:val="yellow"/>
              </w:rPr>
              <w:t xml:space="preserve">多个奖项得分可以累加，</w:t>
            </w:r>
            <w:r>
              <w:rPr>
                <w:rFonts w:hint="eastAsia" w:ascii="宋体" w:hAnsi="宋体" w:cs="宋体"/>
                <w:szCs w:val="22"/>
              </w:rPr>
              <w:t xml:space="preserve">本项最高得</w:t>
            </w:r>
            <w:r>
              <w:rPr>
                <w:rFonts w:ascii="宋体" w:hAnsi="宋体" w:cs="宋体"/>
                <w:szCs w:val="22"/>
              </w:rPr>
              <w:t xml:space="preserve">5</w:t>
            </w:r>
            <w:r>
              <w:rPr>
                <w:rFonts w:hint="eastAsia" w:ascii="宋体" w:hAnsi="宋体" w:cs="宋体"/>
                <w:szCs w:val="22"/>
              </w:rPr>
              <w:t xml:space="preserve">分。</w:t>
            </w:r>
            <w:r/>
          </w:p>
          <w:p>
            <w:pPr>
              <w:ind w:firstLine="420"/>
              <w:spacing w:line="288" w:lineRule="auto"/>
              <w:rPr>
                <w:rFonts w:hint="eastAsia" w:ascii="宋体" w:hAnsi="宋体" w:cs="宋体"/>
                <w:szCs w:val="22"/>
              </w:rPr>
            </w:pPr>
            <w:r>
              <w:rPr>
                <w:rFonts w:hint="eastAsia" w:ascii="宋体" w:hAnsi="宋体" w:cs="宋体"/>
                <w:bCs/>
                <w:szCs w:val="22"/>
              </w:rPr>
              <w:t xml:space="preserve">注：需提供相关证书或证明材料复印件并加盖CA电子签章，未提供不得分。</w:t>
            </w:r>
            <w:r>
              <w:rPr>
                <w:rFonts w:hint="eastAsia" w:ascii="宋体" w:hAnsi="宋体"/>
              </w:rPr>
              <w:t xml:space="preserve">若为联合体投标，以联合体中任一成员方为准。</w:t>
            </w:r>
            <w:r/>
          </w:p>
        </w:tc>
        <w:tc>
          <w:tcPr>
            <w:tcW w:w="590" w:type="dxa"/>
            <w:vAlign w:val="center"/>
            <w:textDirection w:val="lrTb"/>
            <w:noWrap w:val="false"/>
          </w:tcPr>
          <w:p>
            <w:pPr>
              <w:jc w:val="center"/>
              <w:rPr>
                <w:rFonts w:hint="eastAsia" w:ascii="宋体" w:hAnsi="宋体" w:cs="宋体"/>
                <w:szCs w:val="20"/>
              </w:rPr>
            </w:pPr>
            <w:r>
              <w:rPr>
                <w:rFonts w:ascii="宋体" w:hAnsi="宋体" w:cs="宋体"/>
              </w:rPr>
              <w:t xml:space="preserve">5</w:t>
            </w:r>
            <w:r/>
          </w:p>
        </w:tc>
      </w:tr>
      <w:tr>
        <w:trPr>
          <w:cantSplit/>
          <w:jc w:val="center"/>
          <w:trHeight w:val="648"/>
        </w:trPr>
        <w:tc>
          <w:tcPr>
            <w:tcW w:w="605"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1232" w:type="dxa"/>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7890" w:type="dxa"/>
            <w:vAlign w:val="center"/>
            <w:textDirection w:val="lrTb"/>
            <w:noWrap w:val="false"/>
          </w:tcPr>
          <w:p>
            <w:pPr>
              <w:ind w:firstLine="420"/>
              <w:spacing w:line="288" w:lineRule="auto"/>
              <w:rPr>
                <w:rFonts w:hint="eastAsia" w:ascii="宋体" w:hAnsi="宋体" w:cs="宋体"/>
                <w:szCs w:val="22"/>
              </w:rPr>
            </w:pPr>
            <w:r>
              <w:rPr>
                <w:rFonts w:hint="eastAsia" w:ascii="宋体" w:hAnsi="宋体" w:cs="宋体"/>
                <w:szCs w:val="22"/>
              </w:rPr>
              <w:t xml:space="preserve">6.2供应商具有有效的质量管理体系、环境管理体系、</w:t>
            </w:r>
            <w:r>
              <w:rPr>
                <w:rFonts w:ascii="宋体" w:hAnsi="宋体" w:cs="宋体"/>
                <w:szCs w:val="22"/>
              </w:rPr>
              <w:t xml:space="preserve">职业健康安全管理</w:t>
            </w:r>
            <w:r>
              <w:rPr>
                <w:rFonts w:hint="eastAsia" w:ascii="宋体" w:hAnsi="宋体" w:cs="宋体"/>
                <w:szCs w:val="22"/>
              </w:rPr>
              <w:t xml:space="preserve">体系认证</w:t>
            </w:r>
            <w:r>
              <w:rPr>
                <w:rFonts w:hint="eastAsia"/>
              </w:rPr>
              <w:t xml:space="preserve">证书</w:t>
            </w:r>
            <w:r>
              <w:rPr>
                <w:rFonts w:hint="eastAsia" w:ascii="宋体" w:hAnsi="宋体" w:cs="宋体"/>
                <w:szCs w:val="22"/>
              </w:rPr>
              <w:t xml:space="preserve">的</w:t>
            </w:r>
            <w:r>
              <w:rPr>
                <w:rFonts w:hint="eastAsia" w:ascii="宋体" w:hAnsi="宋体" w:cs="微软雅黑"/>
              </w:rPr>
              <w:t xml:space="preserve">（以上三个体系认证</w:t>
            </w:r>
            <w:r>
              <w:rPr>
                <w:rFonts w:hint="eastAsia" w:ascii="宋体" w:hAnsi="宋体" w:cs="宋体"/>
                <w:bCs/>
                <w:szCs w:val="22"/>
              </w:rPr>
              <w:t xml:space="preserve">范围</w:t>
            </w:r>
            <w:r>
              <w:rPr>
                <w:rFonts w:hint="eastAsia" w:ascii="宋体" w:hAnsi="宋体" w:cs="微软雅黑"/>
              </w:rPr>
              <w:t xml:space="preserve">均至少包含：海洋测绘）</w:t>
            </w:r>
            <w:r>
              <w:rPr>
                <w:rFonts w:hint="eastAsia" w:ascii="宋体" w:hAnsi="宋体" w:cs="宋体"/>
                <w:szCs w:val="22"/>
              </w:rPr>
              <w:t xml:space="preserve">，每个得1分，最高得</w:t>
            </w:r>
            <w:r>
              <w:rPr>
                <w:rFonts w:ascii="宋体" w:hAnsi="宋体" w:cs="宋体"/>
                <w:szCs w:val="22"/>
              </w:rPr>
              <w:t xml:space="preserve">3</w:t>
            </w:r>
            <w:r>
              <w:rPr>
                <w:rFonts w:hint="eastAsia" w:ascii="宋体" w:hAnsi="宋体" w:cs="宋体"/>
                <w:szCs w:val="22"/>
              </w:rPr>
              <w:t xml:space="preserve">分。</w:t>
            </w:r>
            <w:r/>
          </w:p>
          <w:p>
            <w:pPr>
              <w:ind w:firstLine="420"/>
              <w:spacing w:line="288" w:lineRule="auto"/>
              <w:rPr>
                <w:rFonts w:hint="eastAsia" w:ascii="宋体" w:hAnsi="宋体" w:cs="宋体"/>
                <w:szCs w:val="22"/>
              </w:rPr>
            </w:pPr>
            <w:r>
              <w:rPr>
                <w:rFonts w:hint="eastAsia" w:ascii="宋体" w:hAnsi="宋体" w:cs="宋体"/>
                <w:bCs/>
                <w:szCs w:val="22"/>
              </w:rPr>
              <w:t xml:space="preserve">注：需提供有效期内相关证书复印件并加盖CA电子签章，每个体系认证证书上所注明的认证范围均包含“海洋测绘”专业，不包含或未提供不得分。</w:t>
            </w:r>
            <w:r>
              <w:rPr>
                <w:rFonts w:hint="eastAsia" w:ascii="宋体" w:hAnsi="宋体"/>
              </w:rPr>
              <w:t xml:space="preserve">若为联合体投标，以牵头方提供为准。</w:t>
            </w:r>
            <w:r/>
          </w:p>
        </w:tc>
        <w:tc>
          <w:tcPr>
            <w:tcW w:w="590" w:type="dxa"/>
            <w:vAlign w:val="center"/>
            <w:textDirection w:val="lrTb"/>
            <w:noWrap w:val="false"/>
          </w:tcPr>
          <w:p>
            <w:pPr>
              <w:jc w:val="center"/>
              <w:rPr>
                <w:rFonts w:hint="eastAsia" w:ascii="宋体" w:hAnsi="宋体" w:cs="宋体"/>
                <w:szCs w:val="20"/>
              </w:rPr>
            </w:pPr>
            <w:r>
              <w:rPr>
                <w:rFonts w:ascii="宋体" w:hAnsi="宋体" w:cs="宋体"/>
              </w:rPr>
              <w:t xml:space="preserve">3</w:t>
            </w:r>
            <w:r/>
          </w:p>
        </w:tc>
      </w:tr>
      <w:tr>
        <w:trPr>
          <w:jc w:val="center"/>
          <w:trHeight w:val="492"/>
        </w:trPr>
        <w:tc>
          <w:tcPr>
            <w:gridSpan w:val="3"/>
            <w:tcW w:w="9727" w:type="dxa"/>
            <w:vAlign w:val="center"/>
            <w:textDirection w:val="lrTb"/>
            <w:noWrap w:val="false"/>
          </w:tcPr>
          <w:p>
            <w:pPr>
              <w:jc w:val="center"/>
              <w:widowControl/>
              <w:rPr>
                <w:rFonts w:hint="eastAsia" w:ascii="宋体" w:hAnsi="宋体" w:cs="宋体"/>
              </w:rPr>
            </w:pPr>
            <w:r>
              <w:rPr>
                <w:rFonts w:hint="eastAsia" w:ascii="宋体" w:hAnsi="宋体" w:cs="宋体"/>
              </w:rPr>
              <w:t xml:space="preserve">合计</w:t>
            </w:r>
            <w:r/>
          </w:p>
        </w:tc>
        <w:tc>
          <w:tcPr>
            <w:tcW w:w="590" w:type="dxa"/>
            <w:vAlign w:val="center"/>
            <w:textDirection w:val="lrTb"/>
            <w:noWrap w:val="false"/>
          </w:tcPr>
          <w:p>
            <w:pPr>
              <w:jc w:val="center"/>
              <w:rPr>
                <w:rFonts w:hint="eastAsia" w:ascii="宋体" w:hAnsi="宋体" w:cs="宋体"/>
              </w:rPr>
            </w:pPr>
            <w:r>
              <w:rPr>
                <w:rFonts w:hint="eastAsia" w:ascii="宋体" w:hAnsi="宋体" w:cs="宋体"/>
              </w:rPr>
              <w:t xml:space="preserve">100</w:t>
            </w:r>
            <w:r/>
          </w:p>
        </w:tc>
      </w:tr>
    </w:tbl>
    <w:p>
      <w:r/>
      <w:r/>
    </w:p>
    <w:p>
      <w:pPr>
        <w:spacing w:line="400" w:lineRule="exact"/>
        <w:rPr>
          <w:rFonts w:hint="eastAsia" w:ascii="宋体" w:hAnsi="宋体"/>
          <w:b/>
        </w:rPr>
      </w:pPr>
      <w:r>
        <w:rPr>
          <w:rFonts w:hint="eastAsia" w:ascii="宋体" w:hAnsi="宋体"/>
          <w:b/>
        </w:rPr>
        <w:t xml:space="preserve">说明：</w:t>
      </w:r>
      <w:r/>
    </w:p>
    <w:p>
      <w:pPr>
        <w:ind w:firstLine="422"/>
        <w:spacing w:line="400" w:lineRule="exact"/>
        <w:rPr>
          <w:rFonts w:hint="eastAsia" w:ascii="宋体" w:hAnsi="宋体"/>
          <w:b/>
        </w:rPr>
      </w:pPr>
      <w:r>
        <w:rPr>
          <w:rFonts w:hint="eastAsia" w:ascii="宋体" w:hAnsi="宋体"/>
          <w:b/>
        </w:rPr>
        <w:t xml:space="preserve">1、以上所有认证、证明、截图等证明性材料均需提供有效的复印件（扫描件），并加盖CA电子签章。中标后，以上评分项目中证明材料原件需在合同签订前核查。</w:t>
      </w:r>
      <w:r/>
    </w:p>
    <w:p>
      <w:pPr>
        <w:ind w:firstLine="422"/>
        <w:spacing w:line="400" w:lineRule="exact"/>
        <w:rPr>
          <w:rFonts w:hint="eastAsia" w:ascii="宋体" w:hAnsi="宋体"/>
          <w:b/>
        </w:rPr>
      </w:pPr>
      <w:r>
        <w:rPr>
          <w:rFonts w:hint="eastAsia" w:ascii="宋体" w:hAnsi="宋体"/>
          <w:b/>
        </w:rPr>
        <w:t xml:space="preserve">2、若为联合体投标，本招标文件中要求加盖CA电子签章的地方，仅需加盖牵头单位的CA电子签章。</w:t>
      </w:r>
      <w:r/>
    </w:p>
    <w:p>
      <w:r/>
      <w:r/>
    </w:p>
    <w:p>
      <w:r/>
      <w:r/>
    </w:p>
    <w:p>
      <w:r>
        <w:br w:type="page" w:clear="all"/>
      </w:r>
      <w:r/>
    </w:p>
    <w:p>
      <w:pPr>
        <w:pStyle w:val="711"/>
        <w:rPr>
          <w:rFonts w:ascii="黑体" w:eastAsia="黑体"/>
          <w:bCs/>
          <w:sz w:val="44"/>
        </w:rPr>
      </w:pPr>
      <w:r/>
      <w:bookmarkStart w:id="207" w:name="_Toc235460869"/>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w:t>
      </w:r>
      <w:bookmarkEnd w:id="207"/>
      <w:r>
        <w:rPr>
          <w:rFonts w:hint="eastAsia" w:ascii="黑体" w:eastAsia="黑体"/>
          <w:bCs/>
          <w:sz w:val="44"/>
        </w:rPr>
        <w:t xml:space="preserve"> </w:t>
      </w:r>
      <w:r/>
    </w:p>
    <w:p>
      <w:pPr>
        <w:jc w:val="center"/>
        <w:rPr>
          <w:rFonts w:hint="eastAsia" w:ascii="宋体" w:hAnsi="宋体"/>
          <w:b/>
          <w:sz w:val="72"/>
        </w:rPr>
      </w:pPr>
      <w:r/>
      <w:bookmarkStart w:id="208" w:name="_Hlt26671244"/>
      <w:r/>
      <w:bookmarkStart w:id="209" w:name="_Hlt26955039"/>
      <w:r/>
      <w:bookmarkStart w:id="210" w:name="_Toc120614282"/>
      <w:r/>
      <w:bookmarkStart w:id="211" w:name="_Toc49090576"/>
      <w:r/>
      <w:bookmarkStart w:id="212" w:name="_Toc26554094"/>
      <w:r/>
      <w:bookmarkEnd w:id="208"/>
      <w:r/>
      <w:bookmarkEnd w:id="209"/>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894"/>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规格</w:t>
            </w:r>
            <w:r/>
          </w:p>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交付期</w:t>
            </w:r>
            <w:r>
              <w:rPr>
                <w:rFonts w:hint="eastAsia" w:ascii="宋体" w:hAnsi="宋体" w:cs="方正魏碑_GBK"/>
                <w:sz w:val="24"/>
                <w:szCs w:val="24"/>
                <w:lang w:eastAsia="en-US"/>
              </w:rPr>
              <w:t xml:space="preserve">/</w:t>
            </w:r>
            <w:r>
              <w:rPr>
                <w:rFonts w:hint="eastAsia" w:ascii="宋体" w:hAnsi="宋体" w:cs="方正魏碑_GBK"/>
                <w:sz w:val="24"/>
                <w:szCs w:val="24"/>
                <w:lang w:eastAsia="en-US"/>
              </w:rPr>
              <w:t xml:space="preserve">服务期</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lang w:eastAsia="en-US"/>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54"/>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商务要求</w:t>
            </w:r>
            <w:r>
              <w:rPr>
                <w:rFonts w:hint="eastAsia" w:ascii="宋体" w:hAnsi="宋体"/>
                <w:sz w:val="24"/>
                <w:szCs w:val="24"/>
                <w:lang w:eastAsia="en-US"/>
              </w:rPr>
              <w:t xml:space="preserve">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（被授权人的姓名）为我方就采购编号为</w:t>
      </w:r>
      <w:r>
        <w:rPr>
          <w:rFonts w:hint="eastAsia"/>
          <w:sz w:val="24"/>
          <w:szCs w:val="24"/>
        </w:rPr>
        <w:t xml:space="preserve">JSZC-320000-SCZX-G20**-****</w:t>
      </w:r>
      <w:r>
        <w:rPr>
          <w:rFonts w:hint="eastAsia"/>
          <w:sz w:val="24"/>
          <w:szCs w:val="24"/>
        </w:rPr>
        <w:t xml:space="preserve">，</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894"/>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89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89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9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9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89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9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9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9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94"/>
        <w:ind w:left="420"/>
        <w:spacing w:before="0" w:after="0" w:line="420" w:lineRule="exact"/>
        <w:rPr>
          <w:rFonts w:hint="eastAsia" w:ascii="宋体" w:hAnsi="宋体"/>
          <w:szCs w:val="21"/>
        </w:rPr>
      </w:pPr>
      <w:r>
        <w:rPr>
          <w:rFonts w:hint="eastAsia" w:ascii="宋体" w:hAnsi="宋体"/>
          <w:szCs w:val="21"/>
        </w:rPr>
        <w:t xml:space="preserve">地          址：</w:t>
      </w:r>
      <w:r/>
    </w:p>
    <w:p>
      <w:pPr>
        <w:pStyle w:val="894"/>
        <w:ind w:left="420"/>
        <w:spacing w:before="0" w:after="0" w:line="420" w:lineRule="exact"/>
        <w:rPr>
          <w:rFonts w:hint="eastAsia" w:ascii="宋体" w:hAnsi="宋体"/>
          <w:szCs w:val="21"/>
        </w:rPr>
      </w:pPr>
      <w:r>
        <w:rPr>
          <w:rFonts w:hint="eastAsia" w:ascii="宋体" w:hAnsi="宋体"/>
          <w:szCs w:val="21"/>
        </w:rPr>
        <w:t xml:space="preserve">邮          编：</w:t>
      </w:r>
      <w:r/>
    </w:p>
    <w:p>
      <w:pPr>
        <w:pStyle w:val="894"/>
        <w:ind w:left="420"/>
        <w:spacing w:before="0" w:after="0" w:line="420" w:lineRule="exact"/>
        <w:rPr>
          <w:rFonts w:hint="eastAsia" w:ascii="宋体" w:hAnsi="宋体"/>
          <w:szCs w:val="21"/>
        </w:rPr>
      </w:pPr>
      <w:r>
        <w:rPr>
          <w:rFonts w:hint="eastAsia" w:ascii="宋体" w:hAnsi="宋体"/>
          <w:szCs w:val="21"/>
        </w:rPr>
        <w:t xml:space="preserve">电          话：</w:t>
      </w:r>
      <w:r/>
    </w:p>
    <w:p>
      <w:pPr>
        <w:pStyle w:val="894"/>
        <w:ind w:left="420"/>
        <w:spacing w:before="0" w:after="0" w:line="420" w:lineRule="exact"/>
        <w:rPr>
          <w:rFonts w:hint="eastAsia" w:ascii="宋体" w:hAnsi="宋体"/>
          <w:szCs w:val="21"/>
        </w:rPr>
      </w:pPr>
      <w:r>
        <w:rPr>
          <w:rFonts w:hint="eastAsia" w:ascii="宋体" w:hAnsi="宋体"/>
          <w:szCs w:val="21"/>
        </w:rPr>
        <w:t xml:space="preserve">传          真：</w:t>
      </w:r>
      <w:r/>
    </w:p>
    <w:p>
      <w:pPr>
        <w:pStyle w:val="89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94"/>
        <w:ind w:left="420"/>
        <w:spacing w:before="0" w:after="0" w:line="420" w:lineRule="exact"/>
        <w:rPr>
          <w:rFonts w:hint="eastAsia" w:ascii="宋体" w:hAnsi="宋体"/>
          <w:szCs w:val="21"/>
        </w:rPr>
      </w:pPr>
      <w:r>
        <w:rPr>
          <w:rFonts w:hint="eastAsia" w:ascii="宋体" w:hAnsi="宋体"/>
          <w:szCs w:val="21"/>
        </w:rPr>
        <w:t xml:space="preserve">账          号： </w:t>
      </w:r>
      <w:r/>
    </w:p>
    <w:p>
      <w:pPr>
        <w:pStyle w:val="894"/>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894"/>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bookmarkStart w:id="213" w:name="_Toc120614284"/>
      <w:r/>
      <w:bookmarkEnd w:id="210"/>
      <w:r/>
      <w:bookmarkEnd w:id="211"/>
      <w:r/>
      <w:bookmarkEnd w:id="212"/>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9-1</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333333"/>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color w:val="000000"/>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提供服务的人员均为</w:t>
      </w:r>
      <w:r>
        <w:rPr>
          <w:rFonts w:ascii="仿宋" w:hAnsi="仿宋" w:eastAsia="仿宋" w:cs="仿宋"/>
          <w:color w:val="333333"/>
          <w:sz w:val="32"/>
        </w:rPr>
        <w:t xml:space="preserve">订立劳动合同的从业人员的</w:t>
      </w:r>
      <w:r>
        <w:rPr>
          <w:rFonts w:ascii="仿宋" w:hAnsi="仿宋" w:eastAsia="仿宋" w:cs="仿宋"/>
          <w:color w:val="000000"/>
          <w:sz w:val="32"/>
        </w:rPr>
        <w:t xml:space="preserve">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本企业（本联合体，如项目采购包接受联合体参加的）参加江苏省政府采购中心组织的项目编号为</w:t>
      </w:r>
      <w:r>
        <w:rPr>
          <w:rFonts w:eastAsia="Times New Roman" w:cs="Times New Roman"/>
          <w:color w:val="000000"/>
          <w:sz w:val="32"/>
        </w:rPr>
        <w:t xml:space="preserve">JSZC-320000-SCZX-G</w:t>
      </w:r>
      <w:r>
        <w:rPr>
          <w:rFonts w:ascii="仿宋" w:hAnsi="仿宋" w:eastAsia="仿宋" w:cs="仿宋"/>
          <w:color w:val="000000"/>
          <w:sz w:val="32"/>
        </w:rPr>
        <w:t xml:space="preserve">（</w:t>
      </w:r>
      <w:r>
        <w:rPr>
          <w:rFonts w:eastAsia="Times New Roman" w:cs="Times New Roman"/>
          <w:color w:val="000000"/>
          <w:sz w:val="32"/>
        </w:rPr>
        <w:t xml:space="preserve">C</w:t>
      </w:r>
      <w:r>
        <w:rPr>
          <w:rFonts w:ascii="仿宋" w:hAnsi="仿宋" w:eastAsia="仿宋" w:cs="仿宋"/>
          <w:color w:val="000000"/>
          <w:sz w:val="32"/>
        </w:rPr>
        <w:t xml:space="preserve">、</w:t>
      </w:r>
      <w:r>
        <w:rPr>
          <w:rFonts w:eastAsia="Times New Roman" w:cs="Times New Roman"/>
          <w:color w:val="000000"/>
          <w:sz w:val="32"/>
        </w:rPr>
        <w:t xml:space="preserve">T</w:t>
      </w:r>
      <w:r>
        <w:rPr>
          <w:rFonts w:ascii="仿宋" w:hAnsi="仿宋" w:eastAsia="仿宋" w:cs="仿宋"/>
          <w:color w:val="000000"/>
          <w:sz w:val="32"/>
        </w:rPr>
        <w:t xml:space="preserve">、</w:t>
      </w:r>
      <w:r>
        <w:rPr>
          <w:rFonts w:eastAsia="Times New Roman" w:cs="Times New Roman"/>
          <w:color w:val="000000"/>
          <w:sz w:val="32"/>
        </w:rPr>
        <w:t xml:space="preserve">K</w:t>
      </w:r>
      <w:r>
        <w:rPr>
          <w:rFonts w:ascii="仿宋" w:hAnsi="仿宋" w:eastAsia="仿宋" w:cs="仿宋"/>
          <w:color w:val="000000"/>
          <w:sz w:val="32"/>
        </w:rPr>
        <w:t xml:space="preserve">）</w:t>
      </w:r>
      <w:r>
        <w:rPr>
          <w:rFonts w:eastAsia="Times New Roman" w:cs="Times New Roman"/>
          <w:color w:val="000000"/>
          <w:sz w:val="32"/>
        </w:rPr>
        <w:t xml:space="preserve">20XX-XXXX</w:t>
      </w:r>
      <w:r>
        <w:rPr>
          <w:rFonts w:ascii="仿宋" w:hAnsi="仿宋" w:eastAsia="仿宋" w:cs="仿宋"/>
          <w:color w:val="000000"/>
          <w:sz w:val="32"/>
        </w:rPr>
        <w:t xml:space="preserve">，</w:t>
      </w:r>
      <w:r>
        <w:rPr>
          <w:rFonts w:eastAsia="Times New Roman" w:cs="Times New Roman"/>
          <w:color w:val="000000"/>
          <w:sz w:val="32"/>
        </w:rPr>
        <w:t xml:space="preserve">XXXX</w:t>
      </w:r>
      <w:r>
        <w:rPr>
          <w:rFonts w:ascii="仿宋" w:hAnsi="仿宋" w:eastAsia="仿宋" w:cs="仿宋"/>
          <w:color w:val="000000"/>
          <w:sz w:val="32"/>
        </w:rPr>
        <w:t xml:space="preserve">（项目名称）（采购包号：</w:t>
      </w:r>
      <w:r>
        <w:rPr>
          <w:rFonts w:eastAsia="Times New Roman" w:cs="Times New Roman"/>
          <w:color w:val="000000"/>
          <w:sz w:val="32"/>
        </w:rPr>
        <w:t xml:space="preserve">XX</w:t>
      </w:r>
      <w:r>
        <w:rPr>
          <w:rFonts w:ascii="仿宋" w:hAnsi="仿宋" w:eastAsia="仿宋" w:cs="仿宋"/>
          <w:color w:val="000000"/>
          <w:sz w:val="32"/>
        </w:rPr>
        <w:t xml:space="preserve">）项目采购活动，根据</w:t>
      </w:r>
      <w:r>
        <w:rPr>
          <w:rFonts w:ascii="仿宋" w:hAnsi="仿宋" w:eastAsia="仿宋" w:cs="仿宋"/>
          <w:color w:val="333333"/>
          <w:sz w:val="32"/>
        </w:rPr>
        <w:t xml:space="preserve">《政府采购促进中小企业发展管理办法》第四条规定</w:t>
      </w:r>
      <w:r>
        <w:rPr>
          <w:rFonts w:ascii="仿宋" w:hAnsi="仿宋" w:eastAsia="仿宋" w:cs="仿宋"/>
          <w:color w:val="000000"/>
          <w:sz w:val="32"/>
        </w:rPr>
        <w:t xml:space="preserve">，本企业（本联合体，如项目采购包接受联合体参加的）郑重声明：如服务由本企业（本联合体，如项目采购包接受联合体参加的）承接，为本项目采购包提供服务的人员均为</w:t>
      </w:r>
      <w:r>
        <w:rPr>
          <w:rFonts w:ascii="仿宋" w:hAnsi="仿宋" w:eastAsia="仿宋" w:cs="仿宋"/>
          <w:color w:val="333333"/>
          <w:sz w:val="32"/>
        </w:rPr>
        <w:t xml:space="preserve">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color w:val="000000"/>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333333"/>
          <w:sz w:val="32"/>
        </w:rPr>
        <w:t xml:space="preserve">注：专门面向中小微型企业采购的采购项目采购包，投标人（供应商）未提供该书面声明的，投标（响应）无效。</w:t>
      </w:r>
      <w:r/>
    </w:p>
    <w:p>
      <w:pPr>
        <w:spacing w:line="400" w:lineRule="exact"/>
        <w:rPr>
          <w:rFonts w:hint="eastAsia" w:ascii="宋体" w:hAnsi="宋体"/>
          <w:b/>
          <w:bCs/>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highlight w:val="yellow"/>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w:t>
      </w:r>
      <w:r>
        <w:rPr>
          <w:rFonts w:hint="eastAsia" w:ascii="宋体" w:hAnsi="宋体" w:cs="方正魏碑_GBK"/>
          <w:sz w:val="24"/>
          <w:szCs w:val="24"/>
        </w:rPr>
        <w:t xml:space="preserve">12  关于符合本国产品标准的声明函</w:t>
      </w:r>
      <w:r>
        <w:rPr>
          <w:rFonts w:hint="eastAsia" w:ascii="宋体" w:hAnsi="宋体" w:cs="方正魏碑_GBK"/>
          <w:sz w:val="24"/>
          <w:szCs w:val="24"/>
        </w:rPr>
        <w:t xml:space="preserve">（采购包号：XX）</w:t>
      </w:r>
      <w:r/>
    </w:p>
    <w:p>
      <w:pPr>
        <w:pStyle w:val="754"/>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63"/>
          <w:rFonts w:hint="eastAsia" w:cs="方正魏碑_GBK"/>
          <w:i w:val="0"/>
          <w:u w:val="single"/>
          <w:shd w:val="clear" w:color="auto" w:fill="ffffff"/>
        </w:rPr>
        <w:t xml:space="preserve">（产品名称1）</w:t>
      </w:r>
      <w:r>
        <w:rPr>
          <w:rStyle w:val="763"/>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63"/>
          <w:rFonts w:hint="eastAsia" w:cs="方正魏碑_GBK"/>
          <w:i w:val="0"/>
          <w:u w:val="single"/>
          <w:shd w:val="clear" w:color="auto" w:fill="ffffff"/>
        </w:rPr>
        <w:t xml:space="preserve">（厂名）</w:t>
      </w:r>
      <w:r>
        <w:rPr>
          <w:rStyle w:val="763"/>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63"/>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shd w:val="clear" w:color="auto" w:fill="ffffff"/>
        </w:rPr>
        <w:t xml:space="preserve">≥</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w:t>
      </w:r>
      <w:r>
        <w:rPr>
          <w:rStyle w:val="763"/>
          <w:rFonts w:hint="eastAsia" w:cs="方正魏碑_GBK"/>
          <w:i w:val="0"/>
          <w:u w:val="single"/>
          <w:shd w:val="clear" w:color="auto" w:fill="ffffff"/>
        </w:rPr>
        <w:t xml:space="preserve">  </w:t>
      </w:r>
      <w:r>
        <w:rPr>
          <w:rStyle w:val="763"/>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Style w:val="763"/>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Style w:val="763"/>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63"/>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63"/>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63"/>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w:t>
      </w:r>
      <w:r>
        <w:rPr>
          <w:rStyle w:val="763"/>
          <w:rFonts w:hint="eastAsia" w:cs="方正魏碑_GBK"/>
          <w:i w:val="0"/>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shd w:val="clear" w:color="auto" w:fill="ffffff"/>
        </w:rPr>
        <w:t xml:space="preserve">。</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shd w:val="clear" w:color="auto" w:fill="ffffff"/>
        </w:rPr>
        <w:t xml:space="preserve">。</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54"/>
        <w:ind w:firstLine="480"/>
        <w:spacing w:before="30" w:beforeAutospacing="0" w:after="30" w:afterAutospacing="0" w:line="460" w:lineRule="exact"/>
        <w:rPr>
          <w:rFonts w:hint="eastAsia" w:cs="方正魏碑_GBK"/>
        </w:rPr>
      </w:pPr>
      <w:r>
        <w:rPr>
          <w:rFonts w:hint="eastAsia" w:cs="方正魏碑_GBK"/>
        </w:rPr>
      </w:r>
      <w:r/>
    </w:p>
    <w:p>
      <w:pPr>
        <w:pStyle w:val="754"/>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754"/>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5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75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5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shd w:val="clear" w:color="auto" w:fill="ffffff"/>
        </w:rPr>
        <w:t xml:space="preserve">“</w:t>
      </w:r>
      <w:r>
        <w:rPr>
          <w:rFonts w:hint="eastAsia" w:cs="方正魏碑_GBK"/>
          <w:u w:val="single"/>
          <w:shd w:val="clear" w:color="auto" w:fill="ffffff"/>
        </w:rPr>
        <w:t xml:space="preserve"> </w:t>
      </w:r>
      <w:r>
        <w:rPr>
          <w:rFonts w:hint="eastAsia" w:cs="方正魏碑_GBK"/>
          <w:u w:val="single"/>
          <w:shd w:val="clear" w:color="auto" w:fill="ffffff"/>
        </w:rPr>
        <w:t xml:space="preserve"> </w:t>
      </w:r>
      <w:r>
        <w:rPr>
          <w:rStyle w:val="763"/>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shd w:val="clear" w:color="auto" w:fill="ffffff"/>
        </w:rPr>
        <w:t xml:space="preserve">的地方无需填写。</w:t>
      </w:r>
      <w:r/>
    </w:p>
    <w:p>
      <w:pPr>
        <w:jc w:val="left"/>
        <w:widowControl/>
        <w:rPr>
          <w:rFonts w:hint="eastAsia" w:ascii="宋体" w:hAnsi="宋体"/>
          <w:bCs/>
          <w:sz w:val="24"/>
          <w:szCs w:val="24"/>
        </w:rPr>
      </w:pPr>
      <w:r>
        <w:rPr>
          <w:rFonts w:hint="eastAsia" w:ascii="宋体" w:hAnsi="宋体"/>
          <w:bCs/>
          <w:sz w:val="24"/>
          <w:szCs w:val="24"/>
        </w:rPr>
        <w:br w:type="page" w:clear="all"/>
      </w:r>
      <w:r/>
    </w:p>
    <w:p>
      <w:pPr>
        <w:ind w:firstLine="56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highlight w:val="yellow"/>
        </w:rPr>
        <w:t xml:space="preserve">附件13 联合体协议（参考格式）（采购包号：XX）</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s="Times New Roman"/>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s="Times New Roman"/>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cs="Times New Roman"/>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cs="Times New Roman"/>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cs="Times New Roman"/>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cs="Times New Roman"/>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cs="Times New Roman"/>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cs="Times New Roman"/>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spacing w:line="460" w:lineRule="exact"/>
        <w:rPr>
          <w:rFonts w:hint="eastAsia" w:ascii="宋体" w:hAnsi="宋体"/>
          <w:bCs/>
          <w:sz w:val="24"/>
          <w:szCs w:val="24"/>
        </w:rPr>
      </w:pPr>
      <w:r>
        <w:rPr>
          <w:rFonts w:hint="eastAsia" w:ascii="宋体" w:hAnsi="宋体"/>
          <w:bCs/>
          <w:sz w:val="24"/>
          <w:szCs w:val="24"/>
        </w:rPr>
      </w:r>
      <w:r/>
    </w:p>
    <w:p>
      <w:pPr>
        <w:jc w:val="left"/>
        <w:widowControl/>
        <w:rPr>
          <w:rFonts w:hint="eastAsia" w:ascii="宋体" w:hAnsi="宋体"/>
          <w:bCs/>
          <w:sz w:val="24"/>
        </w:rPr>
      </w:pPr>
      <w:r>
        <w:rPr>
          <w:rFonts w:hint="eastAsia" w:ascii="宋体" w:hAnsi="宋体"/>
          <w:bCs/>
          <w:sz w:val="24"/>
        </w:rPr>
        <w:br w:type="page" w:clear="all"/>
      </w:r>
      <w:bookmarkEnd w:id="193"/>
      <w:r/>
      <w:bookmarkEnd w:id="194"/>
      <w:r/>
      <w:bookmarkEnd w:id="213"/>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23"/>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Wingdings 2">
    <w:panose1 w:val="05020102010507070707"/>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761"/>
        <w:rFonts w:hint="eastAsia"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25</w:t>
    </w:r>
    <w:r>
      <w:rPr>
        <w:rFonts w:ascii="宋体" w:hAnsi="宋体"/>
      </w:rPr>
      <w:fldChar w:fldCharType="end"/>
    </w:r>
    <w:r/>
  </w:p>
  <w:p>
    <w:pPr>
      <w:pStyle w:val="85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8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fldChar w:fldCharType="begin"/>
    </w:r>
    <w:r>
      <w:instrText xml:space="preserve">PAGE   \* MERGEFORMAT</w:instrText>
    </w:r>
    <w:r>
      <w:fldChar w:fldCharType="separate"/>
    </w:r>
    <w:r>
      <w:rPr>
        <w:lang w:val="zh-CN"/>
      </w:rPr>
      <w:t xml:space="preserve">1</w:t>
    </w:r>
    <w:r>
      <w:fldChar w:fldCharType="end"/>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8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sz w:val="24"/>
        <w:szCs w:val="24"/>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48"/>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7">
    <w:multiLevelType w:val="hybridMultilevel"/>
    <w:lvl w:ilvl="0">
      <w:start w:val="1"/>
      <w:numFmt w:val="japaneseCounting"/>
      <w:isLgl w:val="false"/>
      <w:suff w:val="tab"/>
      <w:lvlText w:val="第%1条"/>
      <w:lvlJc w:val="left"/>
      <w:pPr>
        <w:ind w:left="870" w:hanging="870"/>
        <w:tabs>
          <w:tab w:val="left" w:pos="870" w:leader="none"/>
        </w:tabs>
      </w:pPr>
    </w:lvl>
    <w:lvl w:ilvl="1">
      <w:start w:val="1"/>
      <w:numFmt w:val="decimal"/>
      <w:isLgl w:val="false"/>
      <w:suff w:val="tab"/>
      <w:lvlText w:val="%2."/>
      <w:lvlJc w:val="left"/>
      <w:pPr>
        <w:ind w:left="0" w:firstLine="0"/>
        <w:tabs>
          <w:tab w:val="left" w:pos="780" w:leader="none"/>
        </w:tabs>
      </w:pPr>
      <w:rPr>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decimal"/>
      <w:isLgl w:val="false"/>
      <w:suff w:val="tab"/>
      <w:lvlText w:val="%6．"/>
      <w:lvlJc w:val="left"/>
      <w:pPr>
        <w:ind w:left="2835" w:hanging="735"/>
        <w:tabs>
          <w:tab w:val="left" w:pos="2835"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abstractNum w:abstractNumId="9">
    <w:multiLevelType w:val="hybridMultilevel"/>
    <w:lvl w:ilvl="0">
      <w:start w:val="1"/>
      <w:numFmt w:val="japaneseCounting"/>
      <w:isLgl w:val="false"/>
      <w:suff w:val="tab"/>
      <w:lvlText w:val="第%1条"/>
      <w:lvlJc w:val="left"/>
      <w:pPr>
        <w:ind w:left="870" w:hanging="870"/>
        <w:tabs>
          <w:tab w:val="left" w:pos="870" w:leader="none"/>
        </w:tabs>
      </w:pPr>
      <w:rPr>
        <w:rFonts w:hint="eastAsia"/>
      </w:rPr>
    </w:lvl>
    <w:lvl w:ilvl="1">
      <w:start w:val="1"/>
      <w:numFmt w:val="decimal"/>
      <w:isLgl w:val="false"/>
      <w:suff w:val="tab"/>
      <w:lvlText w:val="%2."/>
      <w:lvlJc w:val="left"/>
      <w:pPr>
        <w:ind w:left="0" w:firstLine="0"/>
        <w:tabs>
          <w:tab w:val="left" w:pos="780" w:leader="none"/>
        </w:tabs>
      </w:pPr>
      <w:rPr>
        <w:rFonts w:hint="eastAsia"/>
        <w:color w:val="000000"/>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decimal"/>
      <w:isLgl w:val="false"/>
      <w:suff w:val="tab"/>
      <w:lvlText w:val="%6．"/>
      <w:lvlJc w:val="left"/>
      <w:pPr>
        <w:ind w:left="2835" w:hanging="735"/>
        <w:tabs>
          <w:tab w:val="left" w:pos="2835"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0">
    <w:multiLevelType w:val="hybridMultilevel"/>
    <w:lvl w:ilvl="0">
      <w:start w:val="1"/>
      <w:numFmt w:val="decimal"/>
      <w:pStyle w:val="9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8"/>
  </w:num>
  <w:num w:numId="2">
    <w:abstractNumId w:val="3"/>
  </w:num>
  <w:num w:numId="3">
    <w:abstractNumId w:val="10"/>
  </w:num>
  <w:num w:numId="4">
    <w:abstractNumId w:val="6"/>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0" w:default="1">
    <w:name w:val="Normal"/>
    <w:qFormat/>
    <w:pPr>
      <w:jc w:val="both"/>
      <w:widowControl w:val="off"/>
    </w:pPr>
    <w:rPr>
      <w:rFonts w:ascii="Times New Roman" w:hAnsi="Times New Roman"/>
      <w:sz w:val="21"/>
      <w:szCs w:val="21"/>
    </w:rPr>
  </w:style>
  <w:style w:type="paragraph" w:styleId="711">
    <w:name w:val="Heading 1"/>
    <w:basedOn w:val="710"/>
    <w:next w:val="710"/>
    <w:link w:val="830"/>
    <w:uiPriority w:val="9"/>
    <w:qFormat/>
    <w:pPr>
      <w:jc w:val="center"/>
      <w:keepNext/>
      <w:outlineLvl w:val="0"/>
    </w:pPr>
    <w:rPr>
      <w:rFonts w:ascii="楷体_GB2312" w:eastAsia="楷体_GB2312"/>
      <w:sz w:val="28"/>
      <w:szCs w:val="28"/>
    </w:rPr>
  </w:style>
  <w:style w:type="paragraph" w:styleId="712">
    <w:name w:val="Heading 2"/>
    <w:basedOn w:val="710"/>
    <w:next w:val="723"/>
    <w:link w:val="831"/>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23"/>
    <w:link w:val="832"/>
    <w:uiPriority w:val="9"/>
    <w:qFormat/>
    <w:pPr>
      <w:keepLines/>
      <w:keepNext/>
      <w:spacing w:before="260" w:after="260" w:line="416" w:lineRule="auto"/>
      <w:outlineLvl w:val="2"/>
    </w:pPr>
    <w:rPr>
      <w:b/>
      <w:bCs/>
      <w:sz w:val="32"/>
      <w:szCs w:val="32"/>
    </w:rPr>
  </w:style>
  <w:style w:type="paragraph" w:styleId="714">
    <w:name w:val="Heading 4"/>
    <w:basedOn w:val="710"/>
    <w:next w:val="723"/>
    <w:link w:val="833"/>
    <w:uiPriority w:val="9"/>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23"/>
    <w:link w:val="834"/>
    <w:uiPriority w:val="9"/>
    <w:qFormat/>
    <w:pPr>
      <w:keepNext/>
      <w:outlineLvl w:val="4"/>
    </w:pPr>
    <w:rPr>
      <w:rFonts w:ascii="宋体"/>
      <w:color w:val="000000"/>
      <w:sz w:val="28"/>
      <w:szCs w:val="28"/>
    </w:rPr>
  </w:style>
  <w:style w:type="paragraph" w:styleId="716">
    <w:name w:val="Heading 6"/>
    <w:basedOn w:val="710"/>
    <w:next w:val="710"/>
    <w:link w:val="835"/>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link w:val="836"/>
    <w:uiPriority w:val="9"/>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link w:val="837"/>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19">
    <w:name w:val="Heading 9"/>
    <w:basedOn w:val="710"/>
    <w:next w:val="710"/>
    <w:link w:val="838"/>
    <w:uiPriority w:val="9"/>
    <w:qFormat/>
    <w:pPr>
      <w:numPr>
        <w:ilvl w:val="8"/>
        <w:numId w:val="1"/>
      </w:numPr>
      <w:keepLines/>
      <w:keepNext/>
      <w:spacing w:before="240" w:after="64" w:line="320" w:lineRule="auto"/>
      <w:outlineLvl w:val="8"/>
    </w:pPr>
    <w:rPr>
      <w:rFonts w:ascii="Arial" w:hAnsi="Arial" w:eastAsia="黑体"/>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name w:val="Normal Indent"/>
    <w:basedOn w:val="710"/>
    <w:link w:val="812"/>
    <w:qFormat/>
    <w:pPr>
      <w:ind w:firstLine="420"/>
    </w:pPr>
  </w:style>
  <w:style w:type="paragraph" w:styleId="724">
    <w:name w:val="List 3"/>
    <w:basedOn w:val="710"/>
    <w:qFormat/>
    <w:pPr>
      <w:ind w:left="100" w:hanging="200"/>
    </w:pPr>
  </w:style>
  <w:style w:type="paragraph" w:styleId="725">
    <w:name w:val="toc 7"/>
    <w:basedOn w:val="710"/>
    <w:next w:val="710"/>
    <w:uiPriority w:val="39"/>
    <w:unhideWhenUsed/>
    <w:qFormat/>
    <w:pPr>
      <w:ind w:left="1701"/>
      <w:spacing w:after="57"/>
    </w:pPr>
  </w:style>
  <w:style w:type="paragraph" w:styleId="726">
    <w:name w:val="Caption"/>
    <w:basedOn w:val="710"/>
    <w:next w:val="710"/>
    <w:uiPriority w:val="35"/>
    <w:semiHidden/>
    <w:unhideWhenUsed/>
    <w:qFormat/>
    <w:pPr>
      <w:spacing w:line="276" w:lineRule="auto"/>
    </w:pPr>
    <w:rPr>
      <w:b/>
      <w:bCs/>
      <w:color w:val="4f81bd" w:themeColor="accent1"/>
      <w:sz w:val="18"/>
      <w:szCs w:val="18"/>
    </w:rPr>
  </w:style>
  <w:style w:type="paragraph" w:styleId="727">
    <w:name w:val="Document Map"/>
    <w:basedOn w:val="710"/>
    <w:link w:val="813"/>
    <w:semiHidden/>
    <w:qFormat/>
    <w:pPr>
      <w:shd w:val="clear" w:color="auto" w:fill="000080"/>
    </w:pPr>
  </w:style>
  <w:style w:type="paragraph" w:styleId="728">
    <w:name w:val="annotation text"/>
    <w:basedOn w:val="710"/>
    <w:link w:val="814"/>
    <w:uiPriority w:val="99"/>
    <w:semiHidden/>
    <w:qFormat/>
    <w:pPr>
      <w:jc w:val="left"/>
    </w:pPr>
  </w:style>
  <w:style w:type="paragraph" w:styleId="729">
    <w:name w:val="Body Text 3"/>
    <w:basedOn w:val="710"/>
    <w:link w:val="815"/>
    <w:qFormat/>
    <w:rPr>
      <w:rFonts w:ascii="仿宋_GB2312" w:hAnsi="Arial" w:eastAsia="仿宋_GB2312"/>
      <w:sz w:val="32"/>
      <w:szCs w:val="32"/>
    </w:rPr>
  </w:style>
  <w:style w:type="paragraph" w:styleId="730">
    <w:name w:val="Body Text"/>
    <w:basedOn w:val="710"/>
    <w:link w:val="816"/>
    <w:qFormat/>
    <w:rPr>
      <w:rFonts w:ascii="楷体_GB2312" w:hAnsi="Arial" w:eastAsia="楷体_GB2312"/>
      <w:sz w:val="28"/>
      <w:szCs w:val="28"/>
    </w:rPr>
  </w:style>
  <w:style w:type="paragraph" w:styleId="731">
    <w:name w:val="Body Text Indent"/>
    <w:basedOn w:val="710"/>
    <w:link w:val="817"/>
    <w:qFormat/>
    <w:pPr>
      <w:ind w:firstLine="645"/>
    </w:pPr>
    <w:rPr>
      <w:rFonts w:ascii="楷体_GB2312" w:eastAsia="楷体_GB2312"/>
      <w:sz w:val="32"/>
      <w:szCs w:val="32"/>
    </w:rPr>
  </w:style>
  <w:style w:type="paragraph" w:styleId="732">
    <w:name w:val="List 2"/>
    <w:basedOn w:val="710"/>
    <w:qFormat/>
    <w:pPr>
      <w:ind w:left="100" w:hanging="200"/>
    </w:pPr>
  </w:style>
  <w:style w:type="paragraph" w:styleId="733">
    <w:name w:val="toc 5"/>
    <w:basedOn w:val="710"/>
    <w:next w:val="710"/>
    <w:uiPriority w:val="39"/>
    <w:unhideWhenUsed/>
    <w:qFormat/>
    <w:pPr>
      <w:ind w:left="1134"/>
      <w:spacing w:after="57"/>
    </w:pPr>
  </w:style>
  <w:style w:type="paragraph" w:styleId="734">
    <w:name w:val="toc 3"/>
    <w:basedOn w:val="710"/>
    <w:next w:val="710"/>
    <w:uiPriority w:val="39"/>
    <w:unhideWhenUsed/>
    <w:qFormat/>
    <w:pPr>
      <w:ind w:left="567"/>
      <w:spacing w:after="57"/>
    </w:pPr>
  </w:style>
  <w:style w:type="paragraph" w:styleId="735">
    <w:name w:val="Plain Text"/>
    <w:basedOn w:val="710"/>
    <w:link w:val="818"/>
    <w:qFormat/>
    <w:rPr>
      <w:rFonts w:ascii="宋体" w:hAnsi="Courier New" w:cs="Courier New"/>
    </w:rPr>
  </w:style>
  <w:style w:type="paragraph" w:styleId="736">
    <w:name w:val="toc 8"/>
    <w:basedOn w:val="710"/>
    <w:next w:val="710"/>
    <w:uiPriority w:val="39"/>
    <w:unhideWhenUsed/>
    <w:qFormat/>
    <w:pPr>
      <w:ind w:left="1984"/>
      <w:spacing w:after="57"/>
    </w:pPr>
  </w:style>
  <w:style w:type="paragraph" w:styleId="737">
    <w:name w:val="Date"/>
    <w:basedOn w:val="710"/>
    <w:next w:val="710"/>
    <w:link w:val="819"/>
    <w:qFormat/>
    <w:rPr>
      <w:sz w:val="24"/>
      <w:szCs w:val="24"/>
    </w:rPr>
  </w:style>
  <w:style w:type="paragraph" w:styleId="738">
    <w:name w:val="Body Text Indent 2"/>
    <w:basedOn w:val="710"/>
    <w:link w:val="820"/>
    <w:qFormat/>
    <w:pPr>
      <w:ind w:left="630" w:firstLine="645"/>
    </w:pPr>
    <w:rPr>
      <w:rFonts w:ascii="Arial" w:hAnsi="Arial" w:eastAsia="仿宋_GB2312" w:cs="Arial"/>
      <w:sz w:val="32"/>
      <w:szCs w:val="32"/>
    </w:rPr>
  </w:style>
  <w:style w:type="paragraph" w:styleId="739">
    <w:name w:val="endnote text"/>
    <w:basedOn w:val="710"/>
    <w:link w:val="821"/>
    <w:uiPriority w:val="99"/>
    <w:unhideWhenUsed/>
    <w:qFormat/>
    <w:rPr>
      <w:rFonts w:ascii="等线" w:hAnsi="等线"/>
      <w:sz w:val="20"/>
      <w:szCs w:val="22"/>
    </w:rPr>
  </w:style>
  <w:style w:type="paragraph" w:styleId="740">
    <w:name w:val="Balloon Text"/>
    <w:basedOn w:val="710"/>
    <w:link w:val="822"/>
    <w:uiPriority w:val="99"/>
    <w:semiHidden/>
    <w:qFormat/>
    <w:rPr>
      <w:sz w:val="18"/>
      <w:szCs w:val="18"/>
    </w:rPr>
  </w:style>
  <w:style w:type="paragraph" w:styleId="741">
    <w:name w:val="Footer"/>
    <w:basedOn w:val="710"/>
    <w:link w:val="858"/>
    <w:uiPriority w:val="99"/>
    <w:unhideWhenUsed/>
    <w:qFormat/>
    <w:pPr>
      <w:tabs>
        <w:tab w:val="center" w:pos="7143" w:leader="none"/>
        <w:tab w:val="right" w:pos="14287" w:leader="none"/>
      </w:tabs>
    </w:pPr>
  </w:style>
  <w:style w:type="paragraph" w:styleId="742">
    <w:name w:val="Header"/>
    <w:basedOn w:val="710"/>
    <w:link w:val="82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43">
    <w:name w:val="toc 1"/>
    <w:basedOn w:val="710"/>
    <w:next w:val="710"/>
    <w:uiPriority w:val="39"/>
    <w:unhideWhenUsed/>
    <w:qFormat/>
    <w:pPr>
      <w:spacing w:after="57"/>
    </w:pPr>
  </w:style>
  <w:style w:type="paragraph" w:styleId="744">
    <w:name w:val="toc 4"/>
    <w:basedOn w:val="710"/>
    <w:next w:val="710"/>
    <w:uiPriority w:val="39"/>
    <w:unhideWhenUsed/>
    <w:qFormat/>
    <w:pPr>
      <w:ind w:left="850"/>
      <w:spacing w:after="57"/>
    </w:pPr>
  </w:style>
  <w:style w:type="paragraph" w:styleId="745">
    <w:name w:val="Subtitle"/>
    <w:basedOn w:val="710"/>
    <w:next w:val="710"/>
    <w:link w:val="824"/>
    <w:uiPriority w:val="11"/>
    <w:qFormat/>
    <w:pPr>
      <w:spacing w:before="200" w:after="200"/>
    </w:pPr>
    <w:rPr>
      <w:rFonts w:ascii="等线" w:hAnsi="等线"/>
      <w:sz w:val="24"/>
      <w:szCs w:val="24"/>
    </w:rPr>
  </w:style>
  <w:style w:type="paragraph" w:styleId="746">
    <w:name w:val="List"/>
    <w:basedOn w:val="710"/>
    <w:qFormat/>
    <w:pPr>
      <w:ind w:left="200" w:hanging="200"/>
    </w:pPr>
  </w:style>
  <w:style w:type="paragraph" w:styleId="747">
    <w:name w:val="footnote text"/>
    <w:basedOn w:val="710"/>
    <w:link w:val="825"/>
    <w:uiPriority w:val="99"/>
    <w:unhideWhenUsed/>
    <w:qFormat/>
    <w:pPr>
      <w:spacing w:after="40"/>
    </w:pPr>
    <w:rPr>
      <w:rFonts w:ascii="等线" w:hAnsi="等线"/>
      <w:sz w:val="18"/>
      <w:szCs w:val="22"/>
    </w:rPr>
  </w:style>
  <w:style w:type="paragraph" w:styleId="748">
    <w:name w:val="toc 6"/>
    <w:basedOn w:val="710"/>
    <w:next w:val="710"/>
    <w:uiPriority w:val="39"/>
    <w:unhideWhenUsed/>
    <w:qFormat/>
    <w:pPr>
      <w:ind w:left="1417"/>
      <w:spacing w:after="57"/>
    </w:pPr>
  </w:style>
  <w:style w:type="paragraph" w:styleId="749">
    <w:name w:val="Body Text Indent 3"/>
    <w:basedOn w:val="710"/>
    <w:link w:val="826"/>
    <w:qFormat/>
    <w:pPr>
      <w:ind w:left="645" w:firstLine="645"/>
    </w:pPr>
    <w:rPr>
      <w:rFonts w:ascii="Arial" w:hAnsi="Arial" w:eastAsia="仿宋_GB2312" w:cs="Arial"/>
      <w:color w:val="ffff00"/>
      <w:sz w:val="32"/>
      <w:szCs w:val="32"/>
    </w:rPr>
  </w:style>
  <w:style w:type="paragraph" w:styleId="750">
    <w:name w:val="table of figures"/>
    <w:basedOn w:val="710"/>
    <w:next w:val="710"/>
    <w:uiPriority w:val="99"/>
    <w:semiHidden/>
    <w:qFormat/>
    <w:pPr>
      <w:ind w:left="840" w:hanging="420"/>
    </w:pPr>
  </w:style>
  <w:style w:type="paragraph" w:styleId="751">
    <w:name w:val="toc 2"/>
    <w:basedOn w:val="710"/>
    <w:next w:val="710"/>
    <w:uiPriority w:val="39"/>
    <w:unhideWhenUsed/>
    <w:qFormat/>
    <w:pPr>
      <w:ind w:left="283"/>
      <w:spacing w:after="57"/>
    </w:pPr>
  </w:style>
  <w:style w:type="paragraph" w:styleId="752">
    <w:name w:val="toc 9"/>
    <w:basedOn w:val="710"/>
    <w:next w:val="710"/>
    <w:uiPriority w:val="39"/>
    <w:unhideWhenUsed/>
    <w:qFormat/>
    <w:pPr>
      <w:ind w:left="2268"/>
      <w:spacing w:after="57"/>
    </w:pPr>
  </w:style>
  <w:style w:type="paragraph" w:styleId="753">
    <w:name w:val="Body Text 2"/>
    <w:basedOn w:val="710"/>
    <w:link w:val="827"/>
    <w:qFormat/>
    <w:pPr>
      <w:jc w:val="center"/>
      <w:widowControl/>
    </w:pPr>
    <w:rPr>
      <w:rFonts w:ascii="楷体_GB2312" w:eastAsia="楷体_GB2312"/>
      <w:sz w:val="28"/>
      <w:szCs w:val="28"/>
    </w:rPr>
  </w:style>
  <w:style w:type="paragraph" w:styleId="754">
    <w:name w:val="Normal (Web)"/>
    <w:basedOn w:val="710"/>
    <w:qFormat/>
    <w:pPr>
      <w:jc w:val="left"/>
      <w:spacing w:before="100" w:beforeAutospacing="1" w:after="100" w:afterAutospacing="1"/>
      <w:widowControl/>
    </w:pPr>
    <w:rPr>
      <w:rFonts w:ascii="宋体" w:hAnsi="宋体" w:cs="宋体"/>
      <w:sz w:val="24"/>
      <w:szCs w:val="24"/>
    </w:rPr>
  </w:style>
  <w:style w:type="paragraph" w:styleId="755">
    <w:name w:val="index 1"/>
    <w:basedOn w:val="710"/>
    <w:next w:val="710"/>
    <w:semiHidden/>
    <w:qFormat/>
    <w:pPr>
      <w:spacing w:line="240" w:lineRule="atLeast"/>
    </w:pPr>
    <w:rPr>
      <w:b/>
      <w:bCs/>
    </w:rPr>
  </w:style>
  <w:style w:type="paragraph" w:styleId="756">
    <w:name w:val="Title"/>
    <w:basedOn w:val="710"/>
    <w:next w:val="710"/>
    <w:link w:val="828"/>
    <w:uiPriority w:val="10"/>
    <w:qFormat/>
    <w:pPr>
      <w:contextualSpacing/>
      <w:spacing w:before="300" w:after="200"/>
    </w:pPr>
    <w:rPr>
      <w:rFonts w:ascii="等线" w:hAnsi="等线"/>
      <w:sz w:val="48"/>
      <w:szCs w:val="48"/>
    </w:rPr>
  </w:style>
  <w:style w:type="paragraph" w:styleId="757">
    <w:name w:val="annotation subject"/>
    <w:basedOn w:val="728"/>
    <w:next w:val="728"/>
    <w:link w:val="829"/>
    <w:uiPriority w:val="99"/>
    <w:semiHidden/>
    <w:qFormat/>
    <w:rPr>
      <w:b/>
      <w:bCs/>
    </w:rPr>
  </w:style>
  <w:style w:type="table" w:styleId="758">
    <w:name w:val="Table Grid"/>
    <w:basedOn w:val="721"/>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qFormat/>
    <w:rPr>
      <w:b/>
      <w:bCs/>
    </w:rPr>
  </w:style>
  <w:style w:type="character" w:styleId="760">
    <w:name w:val="endnote reference"/>
    <w:uiPriority w:val="99"/>
    <w:unhideWhenUsed/>
    <w:qFormat/>
    <w:rPr>
      <w:vertAlign w:val="superscript"/>
    </w:rPr>
  </w:style>
  <w:style w:type="character" w:styleId="761">
    <w:name w:val="page number"/>
    <w:qFormat/>
  </w:style>
  <w:style w:type="character" w:styleId="762">
    <w:name w:val="FollowedHyperlink"/>
    <w:uiPriority w:val="99"/>
    <w:qFormat/>
    <w:rPr>
      <w:color w:val="800080"/>
      <w:u w:val="single"/>
    </w:rPr>
  </w:style>
  <w:style w:type="character" w:styleId="763">
    <w:name w:val="Emphasis"/>
    <w:qFormat/>
    <w:rPr>
      <w:i/>
    </w:rPr>
  </w:style>
  <w:style w:type="character" w:styleId="764">
    <w:name w:val="Hyperlink"/>
    <w:uiPriority w:val="99"/>
    <w:qFormat/>
    <w:rPr>
      <w:color w:val="0000ff"/>
      <w:u w:val="single"/>
    </w:rPr>
  </w:style>
  <w:style w:type="character" w:styleId="765">
    <w:name w:val="annotation reference"/>
    <w:uiPriority w:val="99"/>
    <w:semiHidden/>
    <w:qFormat/>
    <w:rPr>
      <w:sz w:val="21"/>
      <w:szCs w:val="21"/>
    </w:rPr>
  </w:style>
  <w:style w:type="character" w:styleId="766">
    <w:name w:val="footnote reference"/>
    <w:uiPriority w:val="99"/>
    <w:unhideWhenUsed/>
    <w:qFormat/>
    <w:rPr>
      <w:vertAlign w:val="superscript"/>
    </w:rPr>
  </w:style>
  <w:style w:type="character" w:styleId="767" w:customStyle="1">
    <w:name w:val="Caption Char"/>
    <w:uiPriority w:val="99"/>
    <w:qFormat/>
  </w:style>
  <w:style w:type="table" w:styleId="768" w:customStyle="1">
    <w:name w:val="无格式表格 11"/>
    <w:basedOn w:val="72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2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2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2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2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9" w:customStyle="1">
    <w:name w:val="网格表 7 彩色1"/>
    <w:basedOn w:val="72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2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2"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2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5" w:customStyle="1">
    <w:name w:val="清单表 6 彩色1"/>
    <w:basedOn w:val="72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6" w:customStyle="1">
    <w:name w:val="清单表 7 彩色1"/>
    <w:basedOn w:val="72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style>
  <w:style w:type="paragraph" w:styleId="788">
    <w:name w:val="List Paragraph"/>
    <w:basedOn w:val="710"/>
    <w:uiPriority w:val="34"/>
    <w:qFormat/>
    <w:pPr>
      <w:contextualSpacing/>
      <w:ind w:left="720"/>
    </w:pPr>
  </w:style>
  <w:style w:type="paragraph" w:styleId="789">
    <w:name w:val="No Spacing"/>
    <w:uiPriority w:val="1"/>
    <w:qFormat/>
    <w:pPr>
      <w:jc w:val="both"/>
      <w:widowControl w:val="off"/>
    </w:pPr>
    <w:rPr>
      <w:rFonts w:ascii="Times New Roman" w:hAnsi="Times New Roman"/>
      <w:sz w:val="21"/>
      <w:szCs w:val="21"/>
    </w:rPr>
  </w:style>
  <w:style w:type="paragraph" w:styleId="790">
    <w:name w:val="Quote"/>
    <w:basedOn w:val="710"/>
    <w:next w:val="710"/>
    <w:link w:val="848"/>
    <w:uiPriority w:val="29"/>
    <w:qFormat/>
    <w:pPr>
      <w:ind w:left="720" w:right="720"/>
    </w:pPr>
    <w:rPr>
      <w:rFonts w:ascii="等线" w:hAnsi="等线"/>
      <w:i/>
      <w:szCs w:val="22"/>
    </w:rPr>
  </w:style>
  <w:style w:type="paragraph" w:styleId="791">
    <w:name w:val="Intense Quote"/>
    <w:basedOn w:val="710"/>
    <w:next w:val="710"/>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table" w:styleId="792" w:customStyle="1">
    <w:name w:val="无格式表格 11"/>
    <w:basedOn w:val="721"/>
    <w:uiPriority w:val="59"/>
    <w:qFormat/>
    <w:tblPr>
      <w:tblCellMar>
        <w:left w:w="0" w:type="dxa"/>
        <w:right w:w="0" w:type="dxa"/>
      </w:tblCellMar>
    </w:tblPr>
  </w:style>
  <w:style w:type="table" w:styleId="793" w:customStyle="1">
    <w:name w:val="无格式表格 21"/>
    <w:basedOn w:val="721"/>
    <w:uiPriority w:val="59"/>
    <w:qFormat/>
    <w:tblPr>
      <w:tblCellMar>
        <w:left w:w="0" w:type="dxa"/>
        <w:right w:w="0" w:type="dxa"/>
      </w:tblCellMar>
    </w:tblPr>
  </w:style>
  <w:style w:type="table" w:styleId="794" w:customStyle="1">
    <w:name w:val="无格式表格 31"/>
    <w:basedOn w:val="721"/>
    <w:uiPriority w:val="99"/>
    <w:qFormat/>
    <w:tblPr>
      <w:tblCellMar>
        <w:left w:w="0" w:type="dxa"/>
        <w:right w:w="0" w:type="dxa"/>
      </w:tblCellMar>
    </w:tblPr>
  </w:style>
  <w:style w:type="table" w:styleId="795" w:customStyle="1">
    <w:name w:val="无格式表格 41"/>
    <w:basedOn w:val="721"/>
    <w:uiPriority w:val="99"/>
    <w:qFormat/>
    <w:tblPr>
      <w:tblCellMar>
        <w:left w:w="0" w:type="dxa"/>
        <w:right w:w="0" w:type="dxa"/>
      </w:tblCellMar>
    </w:tblPr>
  </w:style>
  <w:style w:type="table" w:styleId="796" w:customStyle="1">
    <w:name w:val="无格式表格 51"/>
    <w:basedOn w:val="721"/>
    <w:uiPriority w:val="99"/>
    <w:qFormat/>
    <w:tblPr>
      <w:tblCellMar>
        <w:left w:w="0" w:type="dxa"/>
        <w:right w:w="0" w:type="dxa"/>
      </w:tblCellMar>
    </w:tblPr>
  </w:style>
  <w:style w:type="table" w:styleId="797" w:customStyle="1">
    <w:name w:val="网格表 1 浅色1"/>
    <w:basedOn w:val="721"/>
    <w:uiPriority w:val="99"/>
    <w:qFormat/>
    <w:tblPr>
      <w:tblCellMar>
        <w:left w:w="0" w:type="dxa"/>
        <w:right w:w="0" w:type="dxa"/>
      </w:tblCellMar>
    </w:tblPr>
  </w:style>
  <w:style w:type="table" w:styleId="798" w:customStyle="1">
    <w:name w:val="网格表 21"/>
    <w:basedOn w:val="721"/>
    <w:uiPriority w:val="99"/>
    <w:qFormat/>
    <w:tblPr>
      <w:tblCellMar>
        <w:left w:w="0" w:type="dxa"/>
        <w:right w:w="0" w:type="dxa"/>
      </w:tblCellMar>
    </w:tblPr>
  </w:style>
  <w:style w:type="table" w:styleId="799" w:customStyle="1">
    <w:name w:val="网格表 31"/>
    <w:basedOn w:val="721"/>
    <w:uiPriority w:val="99"/>
    <w:qFormat/>
    <w:tblPr>
      <w:tblCellMar>
        <w:left w:w="0" w:type="dxa"/>
        <w:right w:w="0" w:type="dxa"/>
      </w:tblCellMar>
    </w:tblPr>
  </w:style>
  <w:style w:type="table" w:styleId="800" w:customStyle="1">
    <w:name w:val="网格表 41"/>
    <w:basedOn w:val="721"/>
    <w:uiPriority w:val="59"/>
    <w:qFormat/>
    <w:tblPr>
      <w:tblCellMar>
        <w:left w:w="0" w:type="dxa"/>
        <w:right w:w="0" w:type="dxa"/>
      </w:tblCellMar>
    </w:tblPr>
  </w:style>
  <w:style w:type="table" w:styleId="801" w:customStyle="1">
    <w:name w:val="网格表 5 深色1"/>
    <w:basedOn w:val="721"/>
    <w:uiPriority w:val="99"/>
    <w:qFormat/>
    <w:tblPr>
      <w:tblCellMar>
        <w:left w:w="0" w:type="dxa"/>
        <w:right w:w="0" w:type="dxa"/>
      </w:tblCellMar>
    </w:tblPr>
  </w:style>
  <w:style w:type="table" w:styleId="802" w:customStyle="1">
    <w:name w:val="网格表 6 彩色1"/>
    <w:basedOn w:val="721"/>
    <w:uiPriority w:val="99"/>
    <w:qFormat/>
    <w:tblPr>
      <w:tblCellMar>
        <w:left w:w="0" w:type="dxa"/>
        <w:right w:w="0" w:type="dxa"/>
      </w:tblCellMar>
    </w:tblPr>
  </w:style>
  <w:style w:type="table" w:styleId="803" w:customStyle="1">
    <w:name w:val="网格表 7 彩色1"/>
    <w:basedOn w:val="721"/>
    <w:uiPriority w:val="99"/>
    <w:qFormat/>
    <w:tblPr>
      <w:tblCellMar>
        <w:left w:w="0" w:type="dxa"/>
        <w:right w:w="0" w:type="dxa"/>
      </w:tblCellMar>
    </w:tblPr>
  </w:style>
  <w:style w:type="table" w:styleId="804" w:customStyle="1">
    <w:name w:val="清单表 1 浅色1"/>
    <w:basedOn w:val="721"/>
    <w:uiPriority w:val="99"/>
    <w:qFormat/>
    <w:tblPr>
      <w:tblCellMar>
        <w:left w:w="0" w:type="dxa"/>
        <w:right w:w="0" w:type="dxa"/>
      </w:tblCellMar>
    </w:tblPr>
  </w:style>
  <w:style w:type="table" w:styleId="805" w:customStyle="1">
    <w:name w:val="清单表 21"/>
    <w:basedOn w:val="721"/>
    <w:uiPriority w:val="99"/>
    <w:tblPr>
      <w:tblCellMar>
        <w:left w:w="0" w:type="dxa"/>
        <w:right w:w="0" w:type="dxa"/>
      </w:tblCellMar>
    </w:tblPr>
  </w:style>
  <w:style w:type="table" w:styleId="806" w:customStyle="1">
    <w:name w:val="清单表 31"/>
    <w:basedOn w:val="721"/>
    <w:uiPriority w:val="99"/>
    <w:qFormat/>
    <w:tblPr>
      <w:tblCellMar>
        <w:left w:w="0" w:type="dxa"/>
        <w:right w:w="0" w:type="dxa"/>
      </w:tblCellMar>
    </w:tblPr>
  </w:style>
  <w:style w:type="table" w:styleId="807" w:customStyle="1">
    <w:name w:val="清单表 41"/>
    <w:basedOn w:val="721"/>
    <w:uiPriority w:val="99"/>
    <w:qFormat/>
    <w:tblPr>
      <w:tblCellMar>
        <w:left w:w="0" w:type="dxa"/>
        <w:right w:w="0" w:type="dxa"/>
      </w:tblCellMar>
    </w:tblPr>
  </w:style>
  <w:style w:type="table" w:styleId="808" w:customStyle="1">
    <w:name w:val="清单表 5 深色1"/>
    <w:basedOn w:val="721"/>
    <w:uiPriority w:val="99"/>
    <w:qFormat/>
    <w:tblPr>
      <w:tblCellMar>
        <w:left w:w="0" w:type="dxa"/>
        <w:right w:w="0" w:type="dxa"/>
      </w:tblCellMar>
    </w:tblPr>
  </w:style>
  <w:style w:type="table" w:styleId="809" w:customStyle="1">
    <w:name w:val="清单表 6 彩色1"/>
    <w:basedOn w:val="721"/>
    <w:uiPriority w:val="99"/>
    <w:qFormat/>
    <w:tblPr>
      <w:tblCellMar>
        <w:left w:w="0" w:type="dxa"/>
        <w:right w:w="0" w:type="dxa"/>
      </w:tblCellMar>
    </w:tblPr>
  </w:style>
  <w:style w:type="table" w:styleId="810" w:customStyle="1">
    <w:name w:val="清单表 7 彩色1"/>
    <w:basedOn w:val="721"/>
    <w:uiPriority w:val="99"/>
    <w:tblPr>
      <w:tblCellMar>
        <w:left w:w="0" w:type="dxa"/>
        <w:right w:w="0" w:type="dxa"/>
      </w:tblCellMar>
    </w:tblPr>
  </w:style>
  <w:style w:type="paragraph" w:styleId="811" w:customStyle="1">
    <w:name w:val="TOC 标题1"/>
    <w:uiPriority w:val="39"/>
    <w:qFormat/>
    <w:rPr>
      <w:rFonts w:ascii="Times New Roman" w:hAnsi="Times New Roman"/>
    </w:rPr>
  </w:style>
  <w:style w:type="character" w:styleId="812" w:customStyle="1">
    <w:name w:val="正文缩进 字符"/>
    <w:link w:val="723"/>
    <w:qFormat/>
    <w:rPr>
      <w:rFonts w:ascii="Times New Roman" w:hAnsi="Times New Roman" w:eastAsia="宋体" w:cs="Times New Roman"/>
      <w:szCs w:val="21"/>
    </w:rPr>
  </w:style>
  <w:style w:type="character" w:styleId="813" w:customStyle="1">
    <w:name w:val="文档结构图 字符"/>
    <w:link w:val="727"/>
    <w:semiHidden/>
    <w:qFormat/>
    <w:rPr>
      <w:rFonts w:ascii="Times New Roman" w:hAnsi="Times New Roman" w:eastAsia="宋体" w:cs="Times New Roman"/>
      <w:szCs w:val="21"/>
      <w:shd w:val="clear" w:color="auto" w:fill="000080"/>
    </w:rPr>
  </w:style>
  <w:style w:type="character" w:styleId="814" w:customStyle="1">
    <w:name w:val="批注文字 字符"/>
    <w:link w:val="728"/>
    <w:uiPriority w:val="99"/>
    <w:semiHidden/>
    <w:qFormat/>
    <w:rPr>
      <w:rFonts w:ascii="Times New Roman" w:hAnsi="Times New Roman" w:eastAsia="宋体" w:cs="Times New Roman"/>
      <w:szCs w:val="21"/>
    </w:rPr>
  </w:style>
  <w:style w:type="character" w:styleId="815" w:customStyle="1">
    <w:name w:val="正文文本 3 字符"/>
    <w:link w:val="729"/>
    <w:qFormat/>
    <w:rPr>
      <w:rFonts w:ascii="仿宋_GB2312" w:hAnsi="Arial" w:eastAsia="仿宋_GB2312" w:cs="Times New Roman"/>
      <w:sz w:val="32"/>
      <w:szCs w:val="32"/>
    </w:rPr>
  </w:style>
  <w:style w:type="character" w:styleId="816" w:customStyle="1">
    <w:name w:val="正文文本 字符"/>
    <w:link w:val="730"/>
    <w:qFormat/>
    <w:rPr>
      <w:rFonts w:ascii="楷体_GB2312" w:hAnsi="Arial" w:eastAsia="楷体_GB2312" w:cs="Times New Roman"/>
      <w:sz w:val="28"/>
      <w:szCs w:val="28"/>
    </w:rPr>
  </w:style>
  <w:style w:type="character" w:styleId="817" w:customStyle="1">
    <w:name w:val="正文文本缩进 字符"/>
    <w:link w:val="731"/>
    <w:qFormat/>
    <w:rPr>
      <w:rFonts w:ascii="楷体_GB2312" w:hAnsi="Times New Roman" w:eastAsia="楷体_GB2312" w:cs="Times New Roman"/>
      <w:sz w:val="32"/>
      <w:szCs w:val="32"/>
    </w:rPr>
  </w:style>
  <w:style w:type="character" w:styleId="818" w:customStyle="1">
    <w:name w:val="纯文本 字符1"/>
    <w:link w:val="735"/>
    <w:qFormat/>
    <w:rPr>
      <w:rFonts w:ascii="宋体" w:hAnsi="Courier New" w:eastAsia="宋体" w:cs="Courier New"/>
      <w:szCs w:val="21"/>
    </w:rPr>
  </w:style>
  <w:style w:type="character" w:styleId="819" w:customStyle="1">
    <w:name w:val="日期 字符"/>
    <w:link w:val="737"/>
    <w:qFormat/>
    <w:rPr>
      <w:rFonts w:ascii="Times New Roman" w:hAnsi="Times New Roman" w:eastAsia="宋体" w:cs="Times New Roman"/>
      <w:sz w:val="24"/>
      <w:szCs w:val="24"/>
    </w:rPr>
  </w:style>
  <w:style w:type="character" w:styleId="820" w:customStyle="1">
    <w:name w:val="正文文本缩进 2 字符"/>
    <w:link w:val="738"/>
    <w:qFormat/>
    <w:rPr>
      <w:rFonts w:ascii="Arial" w:hAnsi="Arial" w:eastAsia="仿宋_GB2312" w:cs="Arial"/>
      <w:sz w:val="32"/>
      <w:szCs w:val="32"/>
    </w:rPr>
  </w:style>
  <w:style w:type="character" w:styleId="821" w:customStyle="1">
    <w:name w:val="尾注文本 字符"/>
    <w:link w:val="739"/>
    <w:uiPriority w:val="99"/>
    <w:semiHidden/>
    <w:qFormat/>
    <w:rPr>
      <w:rFonts w:ascii="等线" w:hAnsi="等线"/>
      <w:szCs w:val="22"/>
    </w:rPr>
  </w:style>
  <w:style w:type="character" w:styleId="822" w:customStyle="1">
    <w:name w:val="批注框文本 字符"/>
    <w:link w:val="740"/>
    <w:uiPriority w:val="99"/>
    <w:semiHidden/>
    <w:qFormat/>
    <w:rPr>
      <w:rFonts w:ascii="Times New Roman" w:hAnsi="Times New Roman" w:eastAsia="宋体" w:cs="Times New Roman"/>
      <w:sz w:val="18"/>
      <w:szCs w:val="18"/>
    </w:rPr>
  </w:style>
  <w:style w:type="character" w:styleId="823" w:customStyle="1">
    <w:name w:val="页眉 字符1"/>
    <w:link w:val="742"/>
    <w:uiPriority w:val="99"/>
    <w:qFormat/>
    <w:rPr>
      <w:rFonts w:ascii="Times New Roman" w:hAnsi="Times New Roman"/>
      <w:sz w:val="18"/>
      <w:szCs w:val="18"/>
    </w:rPr>
  </w:style>
  <w:style w:type="character" w:styleId="824" w:customStyle="1">
    <w:name w:val="副标题 字符"/>
    <w:link w:val="745"/>
    <w:uiPriority w:val="11"/>
    <w:qFormat/>
    <w:rPr>
      <w:rFonts w:ascii="等线" w:hAnsi="等线"/>
      <w:sz w:val="24"/>
      <w:szCs w:val="24"/>
    </w:rPr>
  </w:style>
  <w:style w:type="character" w:styleId="825" w:customStyle="1">
    <w:name w:val="脚注文本 字符"/>
    <w:link w:val="747"/>
    <w:uiPriority w:val="99"/>
    <w:semiHidden/>
    <w:qFormat/>
    <w:rPr>
      <w:rFonts w:ascii="等线" w:hAnsi="等线"/>
      <w:sz w:val="18"/>
      <w:szCs w:val="22"/>
    </w:rPr>
  </w:style>
  <w:style w:type="character" w:styleId="826" w:customStyle="1">
    <w:name w:val="正文文本缩进 3 字符"/>
    <w:link w:val="749"/>
    <w:qFormat/>
    <w:rPr>
      <w:rFonts w:ascii="Arial" w:hAnsi="Arial" w:eastAsia="仿宋_GB2312" w:cs="Arial"/>
      <w:color w:val="ffff00"/>
      <w:sz w:val="32"/>
      <w:szCs w:val="32"/>
    </w:rPr>
  </w:style>
  <w:style w:type="character" w:styleId="827" w:customStyle="1">
    <w:name w:val="正文文本 2 字符"/>
    <w:link w:val="753"/>
    <w:qFormat/>
    <w:rPr>
      <w:rFonts w:ascii="楷体_GB2312" w:hAnsi="Times New Roman" w:eastAsia="楷体_GB2312" w:cs="Times New Roman"/>
      <w:sz w:val="28"/>
      <w:szCs w:val="28"/>
    </w:rPr>
  </w:style>
  <w:style w:type="character" w:styleId="828" w:customStyle="1">
    <w:name w:val="标题 字符"/>
    <w:link w:val="756"/>
    <w:uiPriority w:val="10"/>
    <w:qFormat/>
    <w:rPr>
      <w:rFonts w:ascii="等线" w:hAnsi="等线"/>
      <w:sz w:val="48"/>
      <w:szCs w:val="48"/>
    </w:rPr>
  </w:style>
  <w:style w:type="character" w:styleId="829" w:customStyle="1">
    <w:name w:val="批注主题 字符"/>
    <w:link w:val="757"/>
    <w:uiPriority w:val="99"/>
    <w:semiHidden/>
    <w:qFormat/>
    <w:rPr>
      <w:rFonts w:ascii="Times New Roman" w:hAnsi="Times New Roman" w:eastAsia="宋体" w:cs="Times New Roman"/>
      <w:b/>
      <w:bCs/>
      <w:szCs w:val="21"/>
    </w:rPr>
  </w:style>
  <w:style w:type="character" w:styleId="830" w:customStyle="1">
    <w:name w:val="标题 1 字符"/>
    <w:link w:val="711"/>
    <w:uiPriority w:val="9"/>
    <w:qFormat/>
    <w:rPr>
      <w:rFonts w:ascii="楷体_GB2312" w:hAnsi="Times New Roman" w:eastAsia="楷体_GB2312" w:cs="Times New Roman"/>
      <w:sz w:val="28"/>
      <w:szCs w:val="28"/>
    </w:rPr>
  </w:style>
  <w:style w:type="character" w:styleId="831" w:customStyle="1">
    <w:name w:val="标题 2 字符"/>
    <w:link w:val="712"/>
    <w:qFormat/>
    <w:rPr>
      <w:rFonts w:ascii="Arial" w:hAnsi="Arial" w:eastAsia="幼圆" w:cs="Arial"/>
      <w:b/>
      <w:bCs/>
      <w:sz w:val="44"/>
      <w:szCs w:val="44"/>
    </w:rPr>
  </w:style>
  <w:style w:type="character" w:styleId="832" w:customStyle="1">
    <w:name w:val="标题 3 字符"/>
    <w:link w:val="713"/>
    <w:uiPriority w:val="9"/>
    <w:qFormat/>
    <w:rPr>
      <w:rFonts w:ascii="Times New Roman" w:hAnsi="Times New Roman" w:eastAsia="宋体" w:cs="Times New Roman"/>
      <w:b/>
      <w:bCs/>
      <w:sz w:val="32"/>
      <w:szCs w:val="32"/>
    </w:rPr>
  </w:style>
  <w:style w:type="character" w:styleId="833" w:customStyle="1">
    <w:name w:val="标题 4 字符"/>
    <w:link w:val="714"/>
    <w:uiPriority w:val="9"/>
    <w:qFormat/>
    <w:rPr>
      <w:rFonts w:ascii="Arial" w:hAnsi="Arial" w:eastAsia="黑体" w:cs="Arial"/>
      <w:b/>
      <w:bCs/>
      <w:sz w:val="28"/>
      <w:szCs w:val="28"/>
    </w:rPr>
  </w:style>
  <w:style w:type="character" w:styleId="834" w:customStyle="1">
    <w:name w:val="标题 5 字符"/>
    <w:link w:val="715"/>
    <w:uiPriority w:val="9"/>
    <w:qFormat/>
    <w:rPr>
      <w:rFonts w:ascii="宋体" w:hAnsi="Times New Roman" w:eastAsia="宋体" w:cs="Times New Roman"/>
      <w:color w:val="000000"/>
      <w:sz w:val="28"/>
      <w:szCs w:val="28"/>
    </w:rPr>
  </w:style>
  <w:style w:type="character" w:styleId="835" w:customStyle="1">
    <w:name w:val="标题 6 字符"/>
    <w:link w:val="716"/>
    <w:uiPriority w:val="9"/>
    <w:qFormat/>
    <w:rPr>
      <w:rFonts w:ascii="Arial" w:hAnsi="Arial" w:eastAsia="黑体"/>
      <w:b/>
      <w:bCs/>
      <w:sz w:val="24"/>
      <w:szCs w:val="24"/>
    </w:rPr>
  </w:style>
  <w:style w:type="character" w:styleId="836" w:customStyle="1">
    <w:name w:val="标题 7 字符"/>
    <w:link w:val="717"/>
    <w:uiPriority w:val="9"/>
    <w:qFormat/>
    <w:rPr>
      <w:rFonts w:ascii="Times New Roman" w:hAnsi="Times New Roman"/>
      <w:b/>
      <w:bCs/>
      <w:sz w:val="24"/>
      <w:szCs w:val="24"/>
    </w:rPr>
  </w:style>
  <w:style w:type="character" w:styleId="837" w:customStyle="1">
    <w:name w:val="标题 8 字符"/>
    <w:link w:val="718"/>
    <w:uiPriority w:val="9"/>
    <w:qFormat/>
    <w:rPr>
      <w:rFonts w:ascii="Arial" w:hAnsi="Arial" w:eastAsia="黑体"/>
      <w:sz w:val="24"/>
      <w:szCs w:val="24"/>
    </w:rPr>
  </w:style>
  <w:style w:type="character" w:styleId="838" w:customStyle="1">
    <w:name w:val="标题 9 字符"/>
    <w:link w:val="719"/>
    <w:uiPriority w:val="9"/>
    <w:qFormat/>
    <w:rPr>
      <w:rFonts w:ascii="Arial" w:hAnsi="Arial" w:eastAsia="黑体"/>
      <w:sz w:val="21"/>
      <w:szCs w:val="21"/>
    </w:rPr>
  </w:style>
  <w:style w:type="character" w:styleId="839" w:customStyle="1">
    <w:name w:val="Heading 1 Char"/>
    <w:uiPriority w:val="9"/>
    <w:qFormat/>
    <w:rPr>
      <w:rFonts w:ascii="Arial" w:hAnsi="Arial" w:eastAsia="Arial" w:cs="Arial"/>
      <w:sz w:val="40"/>
      <w:szCs w:val="40"/>
    </w:rPr>
  </w:style>
  <w:style w:type="character" w:styleId="840" w:customStyle="1">
    <w:name w:val="Heading 4 Char"/>
    <w:uiPriority w:val="9"/>
    <w:qFormat/>
    <w:rPr>
      <w:rFonts w:ascii="Arial" w:hAnsi="Arial" w:eastAsia="Arial" w:cs="Arial"/>
      <w:b/>
      <w:bCs/>
      <w:sz w:val="26"/>
      <w:szCs w:val="26"/>
    </w:rPr>
  </w:style>
  <w:style w:type="character" w:styleId="841" w:customStyle="1">
    <w:name w:val="Heading 5 Char"/>
    <w:uiPriority w:val="9"/>
    <w:qFormat/>
    <w:rPr>
      <w:rFonts w:ascii="Arial" w:hAnsi="Arial" w:eastAsia="Arial" w:cs="Arial"/>
      <w:b/>
      <w:bCs/>
      <w:sz w:val="24"/>
      <w:szCs w:val="24"/>
    </w:rPr>
  </w:style>
  <w:style w:type="character" w:styleId="842" w:customStyle="1">
    <w:name w:val="Heading 6 Char"/>
    <w:uiPriority w:val="9"/>
    <w:qFormat/>
    <w:rPr>
      <w:rFonts w:ascii="Arial" w:hAnsi="Arial" w:eastAsia="Arial" w:cs="Arial"/>
      <w:b/>
      <w:bCs/>
      <w:sz w:val="22"/>
      <w:szCs w:val="22"/>
    </w:rPr>
  </w:style>
  <w:style w:type="character" w:styleId="843" w:customStyle="1">
    <w:name w:val="Heading 7 Char"/>
    <w:uiPriority w:val="9"/>
    <w:qFormat/>
    <w:rPr>
      <w:rFonts w:ascii="Arial" w:hAnsi="Arial" w:eastAsia="Arial" w:cs="Arial"/>
      <w:b/>
      <w:bCs/>
      <w:i/>
      <w:iCs/>
      <w:sz w:val="22"/>
      <w:szCs w:val="22"/>
    </w:rPr>
  </w:style>
  <w:style w:type="character" w:styleId="844" w:customStyle="1">
    <w:name w:val="Heading 8 Char"/>
    <w:uiPriority w:val="9"/>
    <w:qFormat/>
    <w:rPr>
      <w:rFonts w:ascii="Arial" w:hAnsi="Arial" w:eastAsia="Arial" w:cs="Arial"/>
      <w:i/>
      <w:iCs/>
      <w:sz w:val="22"/>
      <w:szCs w:val="22"/>
    </w:rPr>
  </w:style>
  <w:style w:type="character" w:styleId="845" w:customStyle="1">
    <w:name w:val="Heading 9 Char"/>
    <w:uiPriority w:val="9"/>
    <w:qFormat/>
    <w:rPr>
      <w:rFonts w:ascii="Arial" w:hAnsi="Arial" w:eastAsia="Arial" w:cs="Arial"/>
      <w:i/>
      <w:iCs/>
      <w:sz w:val="21"/>
      <w:szCs w:val="21"/>
    </w:rPr>
  </w:style>
  <w:style w:type="character" w:styleId="846" w:customStyle="1">
    <w:name w:val="Title Char"/>
    <w:uiPriority w:val="10"/>
    <w:qFormat/>
    <w:rPr>
      <w:sz w:val="48"/>
      <w:szCs w:val="48"/>
    </w:rPr>
  </w:style>
  <w:style w:type="character" w:styleId="847" w:customStyle="1">
    <w:name w:val="Subtitle Char"/>
    <w:uiPriority w:val="11"/>
    <w:qFormat/>
    <w:rPr>
      <w:sz w:val="24"/>
      <w:szCs w:val="24"/>
    </w:rPr>
  </w:style>
  <w:style w:type="character" w:styleId="848" w:customStyle="1">
    <w:name w:val="引用 字符"/>
    <w:link w:val="790"/>
    <w:uiPriority w:val="29"/>
    <w:qFormat/>
    <w:rPr>
      <w:rFonts w:ascii="等线" w:hAnsi="等线"/>
      <w:i/>
      <w:sz w:val="21"/>
      <w:szCs w:val="22"/>
    </w:rPr>
  </w:style>
  <w:style w:type="character" w:styleId="849" w:customStyle="1">
    <w:name w:val="Quote Char"/>
    <w:uiPriority w:val="29"/>
    <w:qFormat/>
    <w:rPr>
      <w:i/>
    </w:rPr>
  </w:style>
  <w:style w:type="character" w:styleId="850" w:customStyle="1">
    <w:name w:val="明显引用 字符"/>
    <w:link w:val="791"/>
    <w:uiPriority w:val="30"/>
    <w:qFormat/>
    <w:rPr>
      <w:rFonts w:ascii="等线" w:hAnsi="等线"/>
      <w:i/>
      <w:sz w:val="21"/>
      <w:szCs w:val="22"/>
      <w:shd w:val="clear" w:color="auto" w:fill="f2f2f2"/>
    </w:rPr>
  </w:style>
  <w:style w:type="character" w:styleId="851" w:customStyle="1">
    <w:name w:val="Intense Quote Char"/>
    <w:uiPriority w:val="30"/>
    <w:qFormat/>
    <w:rPr>
      <w:i/>
    </w:rPr>
  </w:style>
  <w:style w:type="paragraph" w:styleId="852" w:customStyle="1">
    <w:name w:val="Header1"/>
    <w:basedOn w:val="710"/>
    <w:link w:val="853"/>
    <w:uiPriority w:val="99"/>
    <w:qFormat/>
    <w:pPr>
      <w:jc w:val="center"/>
      <w:tabs>
        <w:tab w:val="center" w:pos="4153" w:leader="none"/>
        <w:tab w:val="right" w:pos="8306" w:leader="none"/>
      </w:tabs>
      <w:pBdr>
        <w:bottom w:val="single" w:color="000000" w:sz="6" w:space="1"/>
      </w:pBdr>
    </w:pPr>
    <w:rPr>
      <w:sz w:val="18"/>
      <w:szCs w:val="18"/>
    </w:rPr>
  </w:style>
  <w:style w:type="character" w:styleId="853" w:customStyle="1">
    <w:name w:val="页眉 字符"/>
    <w:link w:val="852"/>
    <w:uiPriority w:val="99"/>
    <w:qFormat/>
    <w:rPr>
      <w:rFonts w:ascii="Times New Roman" w:hAnsi="Times New Roman" w:eastAsia="宋体" w:cs="Times New Roman"/>
      <w:sz w:val="18"/>
      <w:szCs w:val="18"/>
    </w:rPr>
  </w:style>
  <w:style w:type="character" w:styleId="854" w:customStyle="1">
    <w:name w:val="Header Char"/>
    <w:uiPriority w:val="99"/>
    <w:qFormat/>
  </w:style>
  <w:style w:type="paragraph" w:styleId="855" w:customStyle="1">
    <w:name w:val="Footer1"/>
    <w:basedOn w:val="710"/>
    <w:link w:val="856"/>
    <w:uiPriority w:val="99"/>
    <w:qFormat/>
    <w:pPr>
      <w:jc w:val="left"/>
      <w:tabs>
        <w:tab w:val="center" w:pos="4153" w:leader="none"/>
        <w:tab w:val="right" w:pos="8306" w:leader="none"/>
      </w:tabs>
    </w:pPr>
    <w:rPr>
      <w:sz w:val="18"/>
      <w:szCs w:val="18"/>
    </w:rPr>
  </w:style>
  <w:style w:type="character" w:styleId="856" w:customStyle="1">
    <w:name w:val="页脚 字符"/>
    <w:link w:val="855"/>
    <w:uiPriority w:val="99"/>
    <w:qFormat/>
    <w:rPr>
      <w:rFonts w:ascii="Times New Roman" w:hAnsi="Times New Roman" w:eastAsia="宋体" w:cs="Times New Roman"/>
      <w:sz w:val="18"/>
      <w:szCs w:val="18"/>
    </w:rPr>
  </w:style>
  <w:style w:type="paragraph" w:styleId="857" w:customStyle="1">
    <w:name w:val="Caption1"/>
    <w:basedOn w:val="710"/>
    <w:next w:val="710"/>
    <w:uiPriority w:val="35"/>
    <w:unhideWhenUsed/>
    <w:qFormat/>
    <w:pPr>
      <w:spacing w:line="276" w:lineRule="auto"/>
    </w:pPr>
    <w:rPr>
      <w:b/>
      <w:bCs/>
      <w:color w:val="4f81bd"/>
      <w:sz w:val="18"/>
      <w:szCs w:val="18"/>
    </w:rPr>
  </w:style>
  <w:style w:type="character" w:styleId="858" w:customStyle="1">
    <w:name w:val="页脚 字符1"/>
    <w:link w:val="741"/>
    <w:uiPriority w:val="99"/>
    <w:qFormat/>
  </w:style>
  <w:style w:type="character" w:styleId="859" w:customStyle="1">
    <w:name w:val="Footnote Text Char"/>
    <w:uiPriority w:val="99"/>
    <w:qFormat/>
    <w:rPr>
      <w:sz w:val="18"/>
    </w:rPr>
  </w:style>
  <w:style w:type="character" w:styleId="860" w:customStyle="1">
    <w:name w:val="Endnote Text Char"/>
    <w:uiPriority w:val="99"/>
    <w:qFormat/>
    <w:rPr>
      <w:sz w:val="20"/>
    </w:rPr>
  </w:style>
  <w:style w:type="character" w:styleId="861" w:customStyle="1">
    <w:name w:val="Footer Char"/>
    <w:uiPriority w:val="99"/>
    <w:qFormat/>
  </w:style>
  <w:style w:type="character" w:styleId="862" w:customStyle="1">
    <w:name w:val="Heading 2 Char"/>
    <w:uiPriority w:val="9"/>
    <w:qFormat/>
    <w:rPr>
      <w:rFonts w:ascii="Arial" w:hAnsi="Arial" w:eastAsia="Arial" w:cs="Arial"/>
      <w:sz w:val="34"/>
    </w:rPr>
  </w:style>
  <w:style w:type="character" w:styleId="863" w:customStyle="1">
    <w:name w:val="正文首行缩进 Char"/>
    <w:link w:val="864"/>
    <w:qFormat/>
    <w:rPr>
      <w:rFonts w:ascii="仿宋_GB2312" w:hAnsi="Times New Roman" w:eastAsia="仿宋_GB2312" w:cs="Times New Roman"/>
      <w:sz w:val="30"/>
      <w:szCs w:val="30"/>
    </w:rPr>
  </w:style>
  <w:style w:type="paragraph" w:styleId="864" w:customStyle="1">
    <w:name w:val="正文首行缩进1"/>
    <w:basedOn w:val="710"/>
    <w:link w:val="863"/>
    <w:qFormat/>
    <w:pPr>
      <w:ind w:firstLine="200"/>
      <w:spacing w:line="360" w:lineRule="auto"/>
    </w:pPr>
    <w:rPr>
      <w:rFonts w:ascii="仿宋_GB2312" w:eastAsia="仿宋_GB2312"/>
      <w:sz w:val="30"/>
      <w:szCs w:val="30"/>
    </w:rPr>
  </w:style>
  <w:style w:type="character" w:styleId="865" w:customStyle="1">
    <w:name w:val="二级目录 Char"/>
    <w:link w:val="866"/>
    <w:qFormat/>
    <w:rPr>
      <w:b/>
      <w:sz w:val="30"/>
      <w:szCs w:val="28"/>
    </w:rPr>
  </w:style>
  <w:style w:type="paragraph" w:styleId="866" w:customStyle="1">
    <w:name w:val="二级目录"/>
    <w:next w:val="710"/>
    <w:link w:val="865"/>
    <w:qFormat/>
    <w:pPr>
      <w:numPr>
        <w:numId w:val="2"/>
      </w:numPr>
      <w:tabs>
        <w:tab w:val="left" w:pos="1145" w:leader="none"/>
      </w:tabs>
      <w:outlineLvl w:val="1"/>
    </w:pPr>
    <w:rPr>
      <w:b/>
      <w:sz w:val="30"/>
      <w:szCs w:val="28"/>
    </w:rPr>
  </w:style>
  <w:style w:type="character" w:styleId="867" w:customStyle="1">
    <w:name w:val="Heading 3 Char"/>
    <w:uiPriority w:val="9"/>
    <w:rPr>
      <w:rFonts w:ascii="Arial" w:hAnsi="Arial" w:eastAsia="Arial" w:cs="Arial"/>
      <w:sz w:val="30"/>
      <w:szCs w:val="30"/>
    </w:rPr>
  </w:style>
  <w:style w:type="character" w:styleId="868" w:customStyle="1">
    <w:name w:val="正文首行缩进 2 Char"/>
    <w:link w:val="869"/>
    <w:rPr>
      <w:rFonts w:ascii="宋体" w:hAnsi="宋体" w:eastAsia="宋体" w:cs="Times New Roman"/>
      <w:sz w:val="32"/>
      <w:szCs w:val="20"/>
    </w:rPr>
  </w:style>
  <w:style w:type="paragraph" w:styleId="869" w:customStyle="1">
    <w:name w:val="正文首行缩进 21"/>
    <w:basedOn w:val="731"/>
    <w:link w:val="868"/>
    <w:pPr>
      <w:ind w:firstLine="420"/>
      <w:spacing w:line="360" w:lineRule="auto"/>
    </w:pPr>
    <w:rPr>
      <w:rFonts w:ascii="宋体" w:hAnsi="宋体" w:eastAsia="宋体"/>
      <w:sz w:val="21"/>
      <w:szCs w:val="20"/>
    </w:rPr>
  </w:style>
  <w:style w:type="character" w:styleId="870" w:customStyle="1">
    <w:name w:val="font5 Char"/>
    <w:qFormat/>
    <w:rPr>
      <w:rFonts w:ascii="宋体" w:hAnsi="宋体" w:eastAsia="宋体"/>
      <w:sz w:val="28"/>
      <w:szCs w:val="28"/>
      <w:lang w:val="en-US" w:eastAsia="zh-CN" w:bidi="ar-SA"/>
    </w:rPr>
  </w:style>
  <w:style w:type="character" w:styleId="871" w:customStyle="1">
    <w:name w:val="列出段落 Char"/>
    <w:link w:val="872"/>
    <w:rPr>
      <w:rFonts w:ascii="Calibri" w:hAnsi="Calibri"/>
      <w:sz w:val="24"/>
      <w:szCs w:val="24"/>
      <w:lang w:eastAsia="en-US" w:bidi="en-US"/>
    </w:rPr>
  </w:style>
  <w:style w:type="paragraph" w:styleId="872" w:customStyle="1">
    <w:name w:val="列出段落1"/>
    <w:basedOn w:val="710"/>
    <w:link w:val="871"/>
    <w:qFormat/>
    <w:pPr>
      <w:contextualSpacing/>
      <w:ind w:left="720"/>
      <w:jc w:val="left"/>
      <w:widowControl/>
    </w:pPr>
    <w:rPr>
      <w:rFonts w:ascii="Calibri" w:hAnsi="Calibri"/>
      <w:sz w:val="24"/>
      <w:szCs w:val="24"/>
      <w:lang w:eastAsia="en-US" w:bidi="en-US"/>
    </w:rPr>
  </w:style>
  <w:style w:type="character" w:styleId="873" w:customStyle="1">
    <w:name w:val="标题5 Char"/>
    <w:link w:val="874"/>
    <w:qFormat/>
    <w:rPr>
      <w:szCs w:val="24"/>
    </w:rPr>
  </w:style>
  <w:style w:type="paragraph" w:styleId="874" w:customStyle="1">
    <w:name w:val="标题5"/>
    <w:basedOn w:val="710"/>
    <w:link w:val="873"/>
    <w:qFormat/>
    <w:pPr>
      <w:ind w:left="990" w:hanging="990"/>
      <w:spacing w:before="100" w:beforeAutospacing="1" w:after="100" w:afterAutospacing="1"/>
      <w:outlineLvl w:val="4"/>
    </w:pPr>
    <w:rPr>
      <w:rFonts w:ascii="Calibri" w:hAnsi="Calibri"/>
      <w:sz w:val="20"/>
      <w:szCs w:val="24"/>
    </w:rPr>
  </w:style>
  <w:style w:type="character" w:styleId="875" w:customStyle="1">
    <w:name w:val="纯文本 字符"/>
    <w:rPr>
      <w:rFonts w:ascii="宋体" w:hAnsi="Courier New" w:eastAsia="宋体" w:cs="Courier New"/>
      <w:szCs w:val="21"/>
    </w:rPr>
  </w:style>
  <w:style w:type="paragraph" w:styleId="876" w:customStyle="1">
    <w:name w:val="目录 31"/>
    <w:basedOn w:val="710"/>
    <w:next w:val="710"/>
    <w:uiPriority w:val="39"/>
    <w:semiHidden/>
    <w:pPr>
      <w:ind w:left="420"/>
      <w:jc w:val="left"/>
    </w:pPr>
    <w:rPr>
      <w:i/>
      <w:iCs/>
      <w:szCs w:val="24"/>
    </w:rPr>
  </w:style>
  <w:style w:type="paragraph" w:styleId="877" w:customStyle="1">
    <w:name w:val="目录 21"/>
    <w:basedOn w:val="710"/>
    <w:next w:val="710"/>
    <w:uiPriority w:val="39"/>
    <w:semiHidden/>
    <w:pPr>
      <w:ind w:left="210"/>
      <w:jc w:val="left"/>
    </w:pPr>
    <w:rPr>
      <w:smallCaps/>
      <w:szCs w:val="24"/>
    </w:rPr>
  </w:style>
  <w:style w:type="paragraph" w:styleId="878" w:customStyle="1">
    <w:name w:val="目录 81"/>
    <w:basedOn w:val="710"/>
    <w:next w:val="710"/>
    <w:uiPriority w:val="39"/>
    <w:semiHidden/>
    <w:qFormat/>
    <w:pPr>
      <w:ind w:left="1470"/>
      <w:jc w:val="left"/>
    </w:pPr>
  </w:style>
  <w:style w:type="paragraph" w:styleId="879" w:customStyle="1">
    <w:name w:val="目录 91"/>
    <w:basedOn w:val="710"/>
    <w:next w:val="710"/>
    <w:uiPriority w:val="39"/>
    <w:semiHidden/>
    <w:qFormat/>
    <w:pPr>
      <w:ind w:left="1680"/>
      <w:jc w:val="left"/>
    </w:pPr>
  </w:style>
  <w:style w:type="paragraph" w:styleId="880" w:customStyle="1">
    <w:name w:val="目录 71"/>
    <w:basedOn w:val="710"/>
    <w:next w:val="710"/>
    <w:uiPriority w:val="39"/>
    <w:semiHidden/>
    <w:qFormat/>
    <w:pPr>
      <w:ind w:left="1260"/>
      <w:jc w:val="left"/>
    </w:pPr>
  </w:style>
  <w:style w:type="paragraph" w:styleId="881" w:customStyle="1">
    <w:name w:val="标题3"/>
    <w:basedOn w:val="710"/>
    <w:next w:val="710"/>
    <w:qFormat/>
    <w:pPr>
      <w:ind w:firstLine="624"/>
      <w:spacing w:line="590" w:lineRule="atLeast"/>
    </w:pPr>
    <w:rPr>
      <w:rFonts w:ascii="方正黑体_GBK" w:eastAsia="方正黑体_GBK"/>
      <w:sz w:val="32"/>
      <w:szCs w:val="32"/>
    </w:rPr>
  </w:style>
  <w:style w:type="paragraph" w:styleId="882" w:customStyle="1">
    <w:name w:val="标题1"/>
    <w:basedOn w:val="710"/>
    <w:next w:val="7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3" w:customStyle="1">
    <w:name w:val="目录 11"/>
    <w:basedOn w:val="710"/>
    <w:next w:val="710"/>
    <w:uiPriority w:val="39"/>
    <w:semiHidden/>
    <w:qFormat/>
    <w:pPr>
      <w:jc w:val="left"/>
      <w:spacing w:before="120" w:after="120" w:line="400" w:lineRule="exact"/>
      <w:tabs>
        <w:tab w:val="right" w:pos="8720" w:leader="dot"/>
      </w:tabs>
    </w:pPr>
    <w:rPr>
      <w:rFonts w:ascii="宋体" w:hAnsi="宋体"/>
      <w:caps/>
      <w:sz w:val="24"/>
      <w:szCs w:val="24"/>
    </w:rPr>
  </w:style>
  <w:style w:type="paragraph" w:styleId="884" w:customStyle="1">
    <w:name w:val="目录 41"/>
    <w:basedOn w:val="710"/>
    <w:next w:val="710"/>
    <w:uiPriority w:val="39"/>
    <w:semiHidden/>
    <w:qFormat/>
    <w:pPr>
      <w:ind w:left="630"/>
      <w:jc w:val="left"/>
    </w:pPr>
  </w:style>
  <w:style w:type="paragraph" w:styleId="885" w:customStyle="1">
    <w:name w:val="目录 61"/>
    <w:basedOn w:val="710"/>
    <w:next w:val="710"/>
    <w:uiPriority w:val="39"/>
    <w:semiHidden/>
    <w:qFormat/>
    <w:pPr>
      <w:ind w:left="1050"/>
      <w:jc w:val="left"/>
    </w:pPr>
  </w:style>
  <w:style w:type="paragraph" w:styleId="886" w:customStyle="1">
    <w:name w:val="目录 51"/>
    <w:basedOn w:val="710"/>
    <w:next w:val="710"/>
    <w:uiPriority w:val="39"/>
    <w:semiHidden/>
    <w:qFormat/>
    <w:pPr>
      <w:ind w:left="840"/>
      <w:jc w:val="left"/>
    </w:pPr>
  </w:style>
  <w:style w:type="paragraph" w:styleId="887" w:customStyle="1">
    <w:name w:val="Char"/>
    <w:basedOn w:val="710"/>
    <w:qFormat/>
    <w:pPr>
      <w:ind w:firstLine="200"/>
      <w:tabs>
        <w:tab w:val="left" w:pos="360" w:leader="none"/>
      </w:tabs>
    </w:pPr>
    <w:rPr>
      <w:sz w:val="28"/>
      <w:szCs w:val="30"/>
    </w:rPr>
  </w:style>
  <w:style w:type="paragraph" w:styleId="888" w:customStyle="1">
    <w:name w:val="xl30"/>
    <w:basedOn w:val="710"/>
    <w:qFormat/>
    <w:pPr>
      <w:jc w:val="center"/>
      <w:spacing w:before="100" w:beforeAutospacing="1" w:after="100" w:afterAutospacing="1"/>
      <w:widowControl/>
    </w:pPr>
    <w:rPr>
      <w:rFonts w:ascii="宋体" w:hAnsi="宋体"/>
      <w:b/>
      <w:bCs/>
      <w:sz w:val="36"/>
      <w:szCs w:val="36"/>
    </w:rPr>
  </w:style>
  <w:style w:type="paragraph" w:styleId="889" w:customStyle="1">
    <w:name w:val="Body Text(ch)"/>
    <w:basedOn w:val="710"/>
    <w:next w:val="730"/>
    <w:qFormat/>
    <w:pPr>
      <w:spacing w:after="120"/>
    </w:pPr>
    <w:rPr>
      <w:rFonts w:ascii="宋体" w:hAnsi="Arial"/>
      <w:bCs/>
      <w:iCs/>
      <w:szCs w:val="24"/>
    </w:rPr>
  </w:style>
  <w:style w:type="paragraph" w:styleId="890" w:customStyle="1">
    <w:name w:val="xl28"/>
    <w:basedOn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91" w:customStyle="1">
    <w:name w:val="xl27"/>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2" w:customStyle="1">
    <w:name w:val="xl26"/>
    <w:basedOn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3" w:customStyle="1">
    <w:name w:val="Char_0"/>
    <w:basedOn w:val="727"/>
    <w:qFormat/>
    <w:rPr>
      <w:rFonts w:ascii="Tahoma" w:hAnsi="Tahoma"/>
      <w:sz w:val="24"/>
      <w:szCs w:val="24"/>
    </w:rPr>
  </w:style>
  <w:style w:type="paragraph" w:styleId="894" w:customStyle="1">
    <w:name w:val="普通正文"/>
    <w:basedOn w:val="710"/>
    <w:qFormat/>
    <w:pPr>
      <w:ind w:firstLine="480"/>
      <w:jc w:val="left"/>
      <w:spacing w:before="120" w:after="120" w:line="360" w:lineRule="auto"/>
    </w:pPr>
    <w:rPr>
      <w:rFonts w:ascii="Arial" w:hAnsi="Arial"/>
      <w:sz w:val="24"/>
      <w:szCs w:val="24"/>
    </w:rPr>
  </w:style>
  <w:style w:type="paragraph" w:styleId="895" w:customStyle="1">
    <w:name w:val="table_lines"/>
    <w:basedOn w:val="710"/>
    <w:qFormat/>
    <w:pPr>
      <w:jc w:val="left"/>
      <w:widowControl/>
    </w:pPr>
    <w:rPr>
      <w:sz w:val="20"/>
      <w:szCs w:val="20"/>
      <w:lang w:val="de-DE" w:eastAsia="de-DE"/>
    </w:rPr>
  </w:style>
  <w:style w:type="paragraph" w:styleId="896"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897" w:customStyle="1">
    <w:name w:val="font7"/>
    <w:basedOn w:val="710"/>
    <w:qFormat/>
    <w:pPr>
      <w:jc w:val="left"/>
      <w:spacing w:before="100" w:beforeAutospacing="1" w:after="100" w:afterAutospacing="1"/>
      <w:widowControl/>
    </w:pPr>
    <w:rPr>
      <w:rFonts w:hint="eastAsia" w:ascii="宋体" w:hAnsi="宋体"/>
      <w:sz w:val="18"/>
      <w:szCs w:val="18"/>
    </w:rPr>
  </w:style>
  <w:style w:type="paragraph" w:styleId="898" w:customStyle="1">
    <w:name w:val="Char Char Char Char"/>
    <w:basedOn w:val="727"/>
    <w:qFormat/>
    <w:pPr>
      <w:spacing w:line="360" w:lineRule="auto"/>
    </w:pPr>
    <w:rPr>
      <w:rFonts w:ascii="Tahoma" w:hAnsi="Tahoma"/>
      <w:sz w:val="24"/>
      <w:szCs w:val="24"/>
    </w:rPr>
  </w:style>
  <w:style w:type="paragraph" w:styleId="899" w:customStyle="1">
    <w:name w:val="列出段落2"/>
    <w:basedOn w:val="710"/>
    <w:uiPriority w:val="34"/>
    <w:qFormat/>
    <w:pPr>
      <w:contextualSpacing/>
      <w:ind w:left="720"/>
      <w:jc w:val="left"/>
      <w:widowControl/>
    </w:pPr>
    <w:rPr>
      <w:rFonts w:ascii="Calibri" w:hAnsi="Calibri"/>
      <w:sz w:val="24"/>
      <w:szCs w:val="24"/>
      <w:lang w:eastAsia="en-US" w:bidi="en-US"/>
    </w:rPr>
  </w:style>
  <w:style w:type="paragraph" w:styleId="900" w:customStyle="1">
    <w:name w:val="4"/>
    <w:basedOn w:val="710"/>
    <w:next w:val="749"/>
    <w:qFormat/>
    <w:pPr>
      <w:ind w:firstLine="420"/>
      <w:spacing w:line="360" w:lineRule="auto"/>
    </w:pPr>
    <w:rPr>
      <w:color w:val="ff0000"/>
      <w:sz w:val="24"/>
      <w:szCs w:val="24"/>
    </w:rPr>
  </w:style>
  <w:style w:type="paragraph" w:styleId="901" w:customStyle="1">
    <w:name w:val="普通 (Web)"/>
    <w:basedOn w:val="710"/>
    <w:qFormat/>
    <w:pPr>
      <w:jc w:val="left"/>
      <w:spacing w:before="100" w:beforeAutospacing="1" w:after="100" w:afterAutospacing="1"/>
      <w:widowControl/>
    </w:pPr>
    <w:rPr>
      <w:rFonts w:ascii="宋体" w:hAnsi="宋体"/>
      <w:sz w:val="24"/>
      <w:szCs w:val="24"/>
    </w:rPr>
  </w:style>
  <w:style w:type="paragraph" w:styleId="902" w:customStyle="1">
    <w:name w:val="Char Char Char Char Char Char Char Char Char Char"/>
    <w:basedOn w:val="710"/>
    <w:qFormat/>
    <w:pPr>
      <w:spacing w:line="360" w:lineRule="auto"/>
    </w:pPr>
    <w:rPr>
      <w:sz w:val="24"/>
      <w:szCs w:val="20"/>
    </w:rPr>
  </w:style>
  <w:style w:type="paragraph" w:styleId="903" w:customStyle="1">
    <w:name w:val="样式1"/>
    <w:basedOn w:val="710"/>
    <w:qFormat/>
    <w:pPr>
      <w:numPr>
        <w:numId w:val="3"/>
      </w:numPr>
    </w:pPr>
    <w:rPr>
      <w:rFonts w:ascii="宋体" w:hAnsi="宋体"/>
    </w:rPr>
  </w:style>
  <w:style w:type="paragraph" w:styleId="904" w:customStyle="1">
    <w:name w:val="font6"/>
    <w:basedOn w:val="710"/>
    <w:qFormat/>
    <w:pPr>
      <w:jc w:val="left"/>
      <w:spacing w:before="100" w:beforeAutospacing="1" w:after="100" w:afterAutospacing="1"/>
      <w:widowControl/>
    </w:pPr>
    <w:rPr>
      <w:rFonts w:hint="eastAsia" w:ascii="宋体" w:hAnsi="宋体"/>
      <w:sz w:val="28"/>
      <w:szCs w:val="28"/>
      <w:u w:val="single"/>
    </w:rPr>
  </w:style>
  <w:style w:type="paragraph" w:styleId="905" w:customStyle="1">
    <w:name w:val="xl25"/>
    <w:basedOn w:val="71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6" w:customStyle="1">
    <w:name w:val="图标"/>
    <w:basedOn w:val="710"/>
    <w:next w:val="71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07" w:customStyle="1">
    <w:name w:val="xl24"/>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8" w:customStyle="1">
    <w:name w:val="xl29"/>
    <w:basedOn w:val="71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9" w:customStyle="1">
    <w:name w:val="Char Char Char Char Char Char Char Char"/>
    <w:basedOn w:val="710"/>
    <w:qFormat/>
    <w:pPr>
      <w:jc w:val="left"/>
      <w:spacing w:after="160" w:line="240" w:lineRule="exact"/>
      <w:widowControl/>
    </w:pPr>
    <w:rPr>
      <w:rFonts w:ascii="Verdana" w:hAnsi="Verdana"/>
      <w:sz w:val="20"/>
      <w:szCs w:val="20"/>
      <w:lang w:eastAsia="en-US"/>
    </w:rPr>
  </w:style>
  <w:style w:type="paragraph" w:styleId="910" w:customStyle="1">
    <w:name w:val="Char Char Char Char Char Char Char Char_0"/>
    <w:basedOn w:val="710"/>
    <w:qFormat/>
    <w:pPr>
      <w:jc w:val="left"/>
      <w:spacing w:after="160" w:line="240" w:lineRule="exact"/>
      <w:widowControl/>
    </w:pPr>
    <w:rPr>
      <w:rFonts w:ascii="Verdana" w:hAnsi="Verdana"/>
      <w:sz w:val="20"/>
      <w:szCs w:val="20"/>
      <w:lang w:eastAsia="en-US"/>
    </w:rPr>
  </w:style>
  <w:style w:type="paragraph" w:styleId="911" w:customStyle="1">
    <w:name w:val="Char Char Char Char_0"/>
    <w:basedOn w:val="727"/>
    <w:qFormat/>
    <w:pPr>
      <w:spacing w:line="360" w:lineRule="auto"/>
    </w:pPr>
    <w:rPr>
      <w:rFonts w:ascii="Tahoma" w:hAnsi="Tahoma"/>
      <w:sz w:val="24"/>
      <w:szCs w:val="24"/>
    </w:rPr>
  </w:style>
  <w:style w:type="paragraph" w:styleId="912" w:customStyle="1">
    <w:name w:val="table_1stline"/>
    <w:basedOn w:val="710"/>
    <w:qFormat/>
    <w:pPr>
      <w:jc w:val="left"/>
      <w:spacing w:before="120"/>
      <w:widowControl/>
    </w:pPr>
    <w:rPr>
      <w:bCs/>
      <w:sz w:val="20"/>
      <w:szCs w:val="20"/>
      <w:lang w:val="de-DE" w:eastAsia="de-DE"/>
    </w:rPr>
  </w:style>
  <w:style w:type="paragraph" w:styleId="913" w:customStyle="1">
    <w:name w:val="font5"/>
    <w:basedOn w:val="710"/>
    <w:qFormat/>
    <w:pPr>
      <w:jc w:val="left"/>
      <w:spacing w:before="100" w:beforeAutospacing="1" w:after="100" w:afterAutospacing="1"/>
      <w:widowControl/>
    </w:pPr>
    <w:rPr>
      <w:rFonts w:hint="eastAsia" w:ascii="宋体" w:hAnsi="宋体"/>
      <w:sz w:val="28"/>
      <w:szCs w:val="28"/>
    </w:rPr>
  </w:style>
  <w:style w:type="paragraph" w:styleId="914" w:customStyle="1">
    <w:name w:val="修订1"/>
    <w:uiPriority w:val="99"/>
    <w:semiHidden/>
    <w:qFormat/>
    <w:rPr>
      <w:rFonts w:ascii="Times New Roman" w:hAnsi="Times New Roman"/>
      <w:sz w:val="21"/>
      <w:szCs w:val="21"/>
    </w:rPr>
  </w:style>
  <w:style w:type="paragraph" w:styleId="915" w:customStyle="1">
    <w:name w:val="题注1"/>
    <w:basedOn w:val="710"/>
    <w:next w:val="710"/>
    <w:uiPriority w:val="35"/>
    <w:unhideWhenUsed/>
    <w:qFormat/>
    <w:pPr>
      <w:spacing w:line="276" w:lineRule="auto"/>
    </w:pPr>
    <w:rPr>
      <w:rFonts w:ascii="等线" w:hAnsi="等线"/>
      <w:b/>
      <w:bCs/>
      <w:color w:val="4472c4"/>
      <w:sz w:val="18"/>
      <w:szCs w:val="18"/>
    </w:rPr>
  </w:style>
  <w:style w:type="paragraph" w:styleId="916" w:customStyle="1">
    <w:name w:val="列表段落1"/>
    <w:basedOn w:val="710"/>
    <w:uiPriority w:val="34"/>
    <w:qFormat/>
    <w:pPr>
      <w:ind w:firstLine="420"/>
    </w:pPr>
    <w:rPr>
      <w:rFonts w:ascii="等线" w:hAnsi="等线"/>
      <w:szCs w:val="22"/>
    </w:rPr>
  </w:style>
  <w:style w:type="table" w:styleId="917" w:customStyle="1">
    <w:name w:val="Bordered - Accent 3"/>
    <w:basedOn w:val="721"/>
    <w:uiPriority w:val="99"/>
    <w:qFormat/>
    <w:rPr>
      <w:rFonts w:ascii="Times New Roman" w:hAnsi="Times New Roman"/>
    </w:rPr>
    <w:tblPr/>
  </w:style>
  <w:style w:type="table" w:styleId="918" w:customStyle="1">
    <w:name w:val="清单表 5 深色1_0"/>
    <w:basedOn w:val="721"/>
    <w:uiPriority w:val="99"/>
    <w:qFormat/>
    <w:rPr>
      <w:rFonts w:ascii="Times New Roman" w:hAnsi="Times New Roman"/>
    </w:rPr>
    <w:tblPr/>
  </w:style>
  <w:style w:type="table" w:styleId="919" w:customStyle="1">
    <w:name w:val="清单表 1 浅色1_0"/>
    <w:basedOn w:val="721"/>
    <w:uiPriority w:val="99"/>
    <w:qFormat/>
    <w:rPr>
      <w:rFonts w:ascii="Times New Roman" w:hAnsi="Times New Roman"/>
    </w:rPr>
    <w:tblPr/>
  </w:style>
  <w:style w:type="table" w:styleId="920" w:customStyle="1">
    <w:name w:val="Grid Table 2 - Accent 6"/>
    <w:basedOn w:val="721"/>
    <w:uiPriority w:val="99"/>
    <w:qFormat/>
    <w:rPr>
      <w:rFonts w:ascii="Times New Roman" w:hAnsi="Times New Roman"/>
    </w:rPr>
    <w:tblPr/>
  </w:style>
  <w:style w:type="table" w:styleId="921" w:customStyle="1">
    <w:name w:val="网格型1"/>
    <w:basedOn w:val="721"/>
    <w:uiPriority w:val="59"/>
    <w:qFormat/>
    <w:rPr>
      <w:rFonts w:ascii="Times New Roman" w:hAnsi="Times New Roman"/>
    </w:rPr>
    <w:tblPr/>
  </w:style>
  <w:style w:type="table" w:styleId="922" w:customStyle="1">
    <w:name w:val="Bordered &amp; Lined - Accent 1"/>
    <w:basedOn w:val="721"/>
    <w:uiPriority w:val="99"/>
    <w:qFormat/>
    <w:rPr>
      <w:rFonts w:ascii="Times New Roman" w:hAnsi="Times New Roman"/>
      <w:color w:val="404040"/>
    </w:rPr>
    <w:tblPr/>
  </w:style>
  <w:style w:type="table" w:styleId="923" w:customStyle="1">
    <w:name w:val="List Table 4 - Accent 2"/>
    <w:basedOn w:val="721"/>
    <w:uiPriority w:val="99"/>
    <w:qFormat/>
    <w:rPr>
      <w:rFonts w:ascii="Times New Roman" w:hAnsi="Times New Roman"/>
    </w:rPr>
    <w:tblPr/>
  </w:style>
  <w:style w:type="table" w:styleId="924" w:customStyle="1">
    <w:name w:val="网格表 7 彩色1_0"/>
    <w:basedOn w:val="721"/>
    <w:uiPriority w:val="99"/>
    <w:qFormat/>
    <w:rPr>
      <w:rFonts w:ascii="Times New Roman" w:hAnsi="Times New Roman"/>
    </w:rPr>
    <w:tblPr/>
  </w:style>
  <w:style w:type="table" w:styleId="925" w:customStyle="1">
    <w:name w:val="Grid Table 4 - Accent 3"/>
    <w:basedOn w:val="721"/>
    <w:uiPriority w:val="59"/>
    <w:qFormat/>
    <w:rPr>
      <w:rFonts w:ascii="Times New Roman" w:hAnsi="Times New Roman"/>
    </w:rPr>
    <w:tblPr/>
  </w:style>
  <w:style w:type="table" w:styleId="926" w:customStyle="1">
    <w:name w:val="Table Grid Light"/>
    <w:basedOn w:val="721"/>
    <w:uiPriority w:val="59"/>
    <w:qFormat/>
    <w:rPr>
      <w:rFonts w:ascii="Times New Roman" w:hAnsi="Times New Roman"/>
    </w:rPr>
    <w:tblPr/>
  </w:style>
  <w:style w:type="table" w:styleId="927" w:customStyle="1">
    <w:name w:val="Lined - Accent"/>
    <w:basedOn w:val="721"/>
    <w:uiPriority w:val="99"/>
    <w:qFormat/>
    <w:rPr>
      <w:rFonts w:ascii="Times New Roman" w:hAnsi="Times New Roman"/>
      <w:color w:val="404040"/>
    </w:rPr>
    <w:tblPr/>
  </w:style>
  <w:style w:type="table" w:styleId="928" w:customStyle="1">
    <w:name w:val="Grid Table 7 Colorful - Accent 5"/>
    <w:basedOn w:val="721"/>
    <w:uiPriority w:val="99"/>
    <w:qFormat/>
    <w:rPr>
      <w:rFonts w:ascii="Times New Roman" w:hAnsi="Times New Roman"/>
    </w:rPr>
    <w:tblPr/>
  </w:style>
  <w:style w:type="table" w:styleId="929" w:customStyle="1">
    <w:name w:val="Grid Table 5 Dark - Accent 3"/>
    <w:basedOn w:val="721"/>
    <w:uiPriority w:val="99"/>
    <w:qFormat/>
    <w:rPr>
      <w:rFonts w:ascii="Times New Roman" w:hAnsi="Times New Roman"/>
    </w:rPr>
    <w:tblPr/>
  </w:style>
  <w:style w:type="table" w:styleId="930" w:customStyle="1">
    <w:name w:val="无格式表格 11_0"/>
    <w:basedOn w:val="721"/>
    <w:uiPriority w:val="59"/>
    <w:qFormat/>
    <w:rPr>
      <w:rFonts w:ascii="Times New Roman" w:hAnsi="Times New Roman"/>
    </w:rPr>
    <w:tblPr/>
  </w:style>
  <w:style w:type="table" w:styleId="931" w:customStyle="1">
    <w:name w:val="Bordered - Accent 4"/>
    <w:basedOn w:val="721"/>
    <w:uiPriority w:val="99"/>
    <w:qFormat/>
    <w:rPr>
      <w:rFonts w:ascii="Times New Roman" w:hAnsi="Times New Roman"/>
    </w:rPr>
    <w:tblPr/>
  </w:style>
  <w:style w:type="table" w:styleId="932" w:customStyle="1">
    <w:name w:val="List Table 5 Dark - Accent 2"/>
    <w:basedOn w:val="721"/>
    <w:uiPriority w:val="99"/>
    <w:qFormat/>
    <w:rPr>
      <w:rFonts w:ascii="Times New Roman" w:hAnsi="Times New Roman"/>
    </w:rPr>
    <w:tblPr/>
  </w:style>
  <w:style w:type="table" w:styleId="933" w:customStyle="1">
    <w:name w:val="Grid Table 7 Colorful - Accent 1"/>
    <w:basedOn w:val="721"/>
    <w:uiPriority w:val="99"/>
    <w:qFormat/>
    <w:rPr>
      <w:rFonts w:ascii="Times New Roman" w:hAnsi="Times New Roman"/>
    </w:rPr>
    <w:tblPr/>
  </w:style>
  <w:style w:type="table" w:styleId="934" w:customStyle="1">
    <w:name w:val="Grid Table 2 - Accent 3"/>
    <w:basedOn w:val="721"/>
    <w:uiPriority w:val="99"/>
    <w:qFormat/>
    <w:rPr>
      <w:rFonts w:ascii="Times New Roman" w:hAnsi="Times New Roman"/>
    </w:rPr>
    <w:tblPr/>
  </w:style>
  <w:style w:type="table" w:styleId="935" w:customStyle="1">
    <w:name w:val="无格式表格 21_0"/>
    <w:basedOn w:val="721"/>
    <w:uiPriority w:val="59"/>
    <w:qFormat/>
    <w:rPr>
      <w:rFonts w:ascii="Times New Roman" w:hAnsi="Times New Roman"/>
    </w:rPr>
    <w:tblPr/>
  </w:style>
  <w:style w:type="table" w:styleId="936" w:customStyle="1">
    <w:name w:val="List Table 5 Dark - Accent 5"/>
    <w:basedOn w:val="721"/>
    <w:uiPriority w:val="99"/>
    <w:qFormat/>
    <w:rPr>
      <w:rFonts w:ascii="Times New Roman" w:hAnsi="Times New Roman"/>
    </w:rPr>
    <w:tblPr/>
  </w:style>
  <w:style w:type="table" w:styleId="937" w:customStyle="1">
    <w:name w:val="List Table 1 Light - Accent 1"/>
    <w:basedOn w:val="721"/>
    <w:uiPriority w:val="99"/>
    <w:qFormat/>
    <w:rPr>
      <w:rFonts w:ascii="Times New Roman" w:hAnsi="Times New Roman"/>
    </w:rPr>
    <w:tblPr/>
  </w:style>
  <w:style w:type="table" w:styleId="938" w:customStyle="1">
    <w:name w:val="Grid Table 5 Dark - Accent 2"/>
    <w:basedOn w:val="721"/>
    <w:uiPriority w:val="99"/>
    <w:qFormat/>
    <w:rPr>
      <w:rFonts w:ascii="Times New Roman" w:hAnsi="Times New Roman"/>
    </w:rPr>
    <w:tblPr/>
  </w:style>
  <w:style w:type="table" w:styleId="939" w:customStyle="1">
    <w:name w:val="无格式表格 31_0"/>
    <w:basedOn w:val="721"/>
    <w:uiPriority w:val="99"/>
    <w:qFormat/>
    <w:rPr>
      <w:rFonts w:ascii="Times New Roman" w:hAnsi="Times New Roman"/>
    </w:rPr>
    <w:tblPr/>
  </w:style>
  <w:style w:type="table" w:styleId="940" w:customStyle="1">
    <w:name w:val="清单表 41_0"/>
    <w:basedOn w:val="721"/>
    <w:uiPriority w:val="99"/>
    <w:qFormat/>
    <w:rPr>
      <w:rFonts w:ascii="Times New Roman" w:hAnsi="Times New Roman"/>
    </w:rPr>
    <w:tblPr/>
  </w:style>
  <w:style w:type="table" w:styleId="941" w:customStyle="1">
    <w:name w:val="List Table 2 - Accent 2"/>
    <w:basedOn w:val="721"/>
    <w:uiPriority w:val="99"/>
    <w:qFormat/>
    <w:rPr>
      <w:rFonts w:ascii="Times New Roman" w:hAnsi="Times New Roman"/>
    </w:rPr>
    <w:tblPr/>
  </w:style>
  <w:style w:type="table" w:styleId="942" w:customStyle="1">
    <w:name w:val="网格表 5 深色1_0"/>
    <w:basedOn w:val="721"/>
    <w:uiPriority w:val="99"/>
    <w:qFormat/>
    <w:rPr>
      <w:rFonts w:ascii="Times New Roman" w:hAnsi="Times New Roman"/>
    </w:rPr>
    <w:tblPr/>
  </w:style>
  <w:style w:type="table" w:styleId="943" w:customStyle="1">
    <w:name w:val="无格式表格 41_0"/>
    <w:basedOn w:val="721"/>
    <w:uiPriority w:val="99"/>
    <w:qFormat/>
    <w:rPr>
      <w:rFonts w:ascii="Times New Roman" w:hAnsi="Times New Roman"/>
    </w:rPr>
    <w:tblPr/>
  </w:style>
  <w:style w:type="table" w:styleId="944" w:customStyle="1">
    <w:name w:val="Bordered - Accent 6"/>
    <w:basedOn w:val="721"/>
    <w:uiPriority w:val="99"/>
    <w:qFormat/>
    <w:rPr>
      <w:rFonts w:ascii="Times New Roman" w:hAnsi="Times New Roman"/>
    </w:rPr>
    <w:tblPr/>
  </w:style>
  <w:style w:type="table" w:styleId="945" w:customStyle="1">
    <w:name w:val="List Table 7 Colorful - Accent 3"/>
    <w:basedOn w:val="721"/>
    <w:uiPriority w:val="99"/>
    <w:qFormat/>
    <w:rPr>
      <w:rFonts w:ascii="Times New Roman" w:hAnsi="Times New Roman"/>
    </w:rPr>
    <w:tblPr/>
  </w:style>
  <w:style w:type="table" w:styleId="946" w:customStyle="1">
    <w:name w:val="List Table 1 Light - Accent 2"/>
    <w:basedOn w:val="721"/>
    <w:uiPriority w:val="99"/>
    <w:qFormat/>
    <w:rPr>
      <w:rFonts w:ascii="Times New Roman" w:hAnsi="Times New Roman"/>
    </w:rPr>
    <w:tblPr/>
  </w:style>
  <w:style w:type="table" w:styleId="947" w:customStyle="1">
    <w:name w:val="Grid Table 5 Dark - Accent 5"/>
    <w:basedOn w:val="721"/>
    <w:uiPriority w:val="99"/>
    <w:qFormat/>
    <w:rPr>
      <w:rFonts w:ascii="Times New Roman" w:hAnsi="Times New Roman"/>
    </w:rPr>
    <w:tblPr/>
  </w:style>
  <w:style w:type="table" w:styleId="948" w:customStyle="1">
    <w:name w:val="无格式表格 51_0"/>
    <w:basedOn w:val="721"/>
    <w:uiPriority w:val="99"/>
    <w:qFormat/>
    <w:rPr>
      <w:rFonts w:ascii="Times New Roman" w:hAnsi="Times New Roman"/>
    </w:rPr>
    <w:tblPr/>
  </w:style>
  <w:style w:type="table" w:styleId="949" w:customStyle="1">
    <w:name w:val="List Table 7 Colorful - Accent 4"/>
    <w:basedOn w:val="721"/>
    <w:uiPriority w:val="99"/>
    <w:qFormat/>
    <w:rPr>
      <w:rFonts w:ascii="Times New Roman" w:hAnsi="Times New Roman"/>
    </w:rPr>
    <w:tblPr/>
  </w:style>
  <w:style w:type="table" w:styleId="950" w:customStyle="1">
    <w:name w:val="List Table 2 - Accent 1"/>
    <w:basedOn w:val="721"/>
    <w:uiPriority w:val="99"/>
    <w:qFormat/>
    <w:rPr>
      <w:rFonts w:ascii="Times New Roman" w:hAnsi="Times New Roman"/>
    </w:rPr>
    <w:tblPr/>
  </w:style>
  <w:style w:type="table" w:styleId="951" w:customStyle="1">
    <w:name w:val="Grid Table 5 Dark- Accent 1"/>
    <w:basedOn w:val="721"/>
    <w:uiPriority w:val="99"/>
    <w:qFormat/>
    <w:rPr>
      <w:rFonts w:ascii="Times New Roman" w:hAnsi="Times New Roman"/>
    </w:rPr>
    <w:tblPr/>
  </w:style>
  <w:style w:type="table" w:styleId="952" w:customStyle="1">
    <w:name w:val="网格表 1 浅色1_0"/>
    <w:basedOn w:val="721"/>
    <w:uiPriority w:val="99"/>
    <w:qFormat/>
    <w:rPr>
      <w:rFonts w:ascii="Times New Roman" w:hAnsi="Times New Roman"/>
    </w:rPr>
    <w:tblPr/>
  </w:style>
  <w:style w:type="table" w:styleId="953" w:customStyle="1">
    <w:name w:val="Bordered - Accent 1"/>
    <w:basedOn w:val="721"/>
    <w:uiPriority w:val="99"/>
    <w:qFormat/>
    <w:rPr>
      <w:rFonts w:ascii="Times New Roman" w:hAnsi="Times New Roman"/>
    </w:rPr>
    <w:tblPr/>
  </w:style>
  <w:style w:type="table" w:styleId="954" w:customStyle="1">
    <w:name w:val="List Table 6 Colorful - Accent 1"/>
    <w:basedOn w:val="721"/>
    <w:uiPriority w:val="99"/>
    <w:qFormat/>
    <w:rPr>
      <w:rFonts w:ascii="Times New Roman" w:hAnsi="Times New Roman"/>
    </w:rPr>
    <w:tblPr/>
  </w:style>
  <w:style w:type="table" w:styleId="955" w:customStyle="1">
    <w:name w:val="List Table 1 Light - Accent 6"/>
    <w:basedOn w:val="721"/>
    <w:uiPriority w:val="99"/>
    <w:qFormat/>
    <w:rPr>
      <w:rFonts w:ascii="Times New Roman" w:hAnsi="Times New Roman"/>
    </w:rPr>
    <w:tblPr/>
  </w:style>
  <w:style w:type="table" w:styleId="956" w:customStyle="1">
    <w:name w:val="Grid Table 2 - Accent 1"/>
    <w:basedOn w:val="721"/>
    <w:uiPriority w:val="99"/>
    <w:qFormat/>
    <w:rPr>
      <w:rFonts w:ascii="Times New Roman" w:hAnsi="Times New Roman"/>
    </w:rPr>
    <w:tblPr/>
  </w:style>
  <w:style w:type="table" w:styleId="957" w:customStyle="1">
    <w:name w:val="Grid Table 1 Light - Accent 1"/>
    <w:basedOn w:val="721"/>
    <w:uiPriority w:val="99"/>
    <w:qFormat/>
    <w:rPr>
      <w:rFonts w:ascii="Times New Roman" w:hAnsi="Times New Roman"/>
    </w:rPr>
    <w:tblPr/>
  </w:style>
  <w:style w:type="table" w:styleId="958" w:customStyle="1">
    <w:name w:val="List Table 7 Colorful - Accent 1"/>
    <w:basedOn w:val="721"/>
    <w:uiPriority w:val="99"/>
    <w:qFormat/>
    <w:rPr>
      <w:rFonts w:ascii="Times New Roman" w:hAnsi="Times New Roman"/>
    </w:rPr>
    <w:tblPr/>
  </w:style>
  <w:style w:type="table" w:styleId="959" w:customStyle="1">
    <w:name w:val="List Table 2 - Accent 5"/>
    <w:basedOn w:val="721"/>
    <w:uiPriority w:val="99"/>
    <w:qFormat/>
    <w:rPr>
      <w:rFonts w:ascii="Times New Roman" w:hAnsi="Times New Roman"/>
    </w:rPr>
    <w:tblPr/>
  </w:style>
  <w:style w:type="table" w:styleId="960" w:customStyle="1">
    <w:name w:val="Grid Table 5 Dark- Accent 4"/>
    <w:basedOn w:val="721"/>
    <w:uiPriority w:val="99"/>
    <w:qFormat/>
    <w:rPr>
      <w:rFonts w:ascii="Times New Roman" w:hAnsi="Times New Roman"/>
    </w:rPr>
    <w:tblPr/>
  </w:style>
  <w:style w:type="table" w:styleId="961" w:customStyle="1">
    <w:name w:val="Grid Table 1 Light - Accent 2"/>
    <w:basedOn w:val="721"/>
    <w:uiPriority w:val="99"/>
    <w:qFormat/>
    <w:rPr>
      <w:rFonts w:ascii="Times New Roman" w:hAnsi="Times New Roman"/>
    </w:rPr>
    <w:tblPr/>
  </w:style>
  <w:style w:type="table" w:styleId="962" w:customStyle="1">
    <w:name w:val="Bordered - Accent 5"/>
    <w:basedOn w:val="721"/>
    <w:uiPriority w:val="99"/>
    <w:qFormat/>
    <w:rPr>
      <w:rFonts w:ascii="Times New Roman" w:hAnsi="Times New Roman"/>
    </w:rPr>
    <w:tblPr/>
  </w:style>
  <w:style w:type="table" w:styleId="963" w:customStyle="1">
    <w:name w:val="List Table 7 Colorful - Accent 2"/>
    <w:basedOn w:val="721"/>
    <w:uiPriority w:val="99"/>
    <w:qFormat/>
    <w:rPr>
      <w:rFonts w:ascii="Times New Roman" w:hAnsi="Times New Roman"/>
    </w:rPr>
    <w:tblPr/>
  </w:style>
  <w:style w:type="table" w:styleId="964" w:customStyle="1">
    <w:name w:val="List Table 3 - Accent 1"/>
    <w:basedOn w:val="721"/>
    <w:uiPriority w:val="99"/>
    <w:qFormat/>
    <w:rPr>
      <w:rFonts w:ascii="Times New Roman" w:hAnsi="Times New Roman"/>
    </w:rPr>
    <w:tblPr/>
  </w:style>
  <w:style w:type="table" w:styleId="965" w:customStyle="1">
    <w:name w:val="Grid Table 1 Light - Accent 6"/>
    <w:basedOn w:val="721"/>
    <w:uiPriority w:val="99"/>
    <w:qFormat/>
    <w:rPr>
      <w:rFonts w:ascii="Times New Roman" w:hAnsi="Times New Roman"/>
    </w:rPr>
    <w:tblPr/>
  </w:style>
  <w:style w:type="table" w:styleId="966" w:customStyle="1">
    <w:name w:val="Grid Table 1 Light - Accent 3"/>
    <w:basedOn w:val="721"/>
    <w:uiPriority w:val="99"/>
    <w:qFormat/>
    <w:rPr>
      <w:rFonts w:ascii="Times New Roman" w:hAnsi="Times New Roman"/>
    </w:rPr>
    <w:tblPr/>
  </w:style>
  <w:style w:type="table" w:styleId="967" w:customStyle="1">
    <w:name w:val="Bordered &amp; Lined - Accent 2"/>
    <w:basedOn w:val="721"/>
    <w:uiPriority w:val="99"/>
    <w:qFormat/>
    <w:rPr>
      <w:rFonts w:ascii="Times New Roman" w:hAnsi="Times New Roman"/>
      <w:color w:val="404040"/>
    </w:rPr>
    <w:tblPr/>
  </w:style>
  <w:style w:type="table" w:styleId="968" w:customStyle="1">
    <w:name w:val="List Table 6 Colorful - Accent 6"/>
    <w:basedOn w:val="721"/>
    <w:uiPriority w:val="99"/>
    <w:qFormat/>
    <w:rPr>
      <w:rFonts w:ascii="Times New Roman" w:hAnsi="Times New Roman"/>
    </w:rPr>
    <w:tblPr/>
  </w:style>
  <w:style w:type="table" w:styleId="969" w:customStyle="1">
    <w:name w:val="List Table 3 - Accent 4"/>
    <w:basedOn w:val="721"/>
    <w:uiPriority w:val="99"/>
    <w:qFormat/>
    <w:rPr>
      <w:rFonts w:ascii="Times New Roman" w:hAnsi="Times New Roman"/>
    </w:rPr>
    <w:tblPr/>
  </w:style>
  <w:style w:type="table" w:styleId="970" w:customStyle="1">
    <w:name w:val="Grid Table 1 Light - Accent 4"/>
    <w:basedOn w:val="721"/>
    <w:uiPriority w:val="99"/>
    <w:qFormat/>
    <w:rPr>
      <w:rFonts w:ascii="Times New Roman" w:hAnsi="Times New Roman"/>
    </w:rPr>
    <w:tblPr/>
  </w:style>
  <w:style w:type="table" w:styleId="971" w:customStyle="1">
    <w:name w:val="Lined - Accent 2"/>
    <w:basedOn w:val="721"/>
    <w:uiPriority w:val="99"/>
    <w:qFormat/>
    <w:rPr>
      <w:rFonts w:ascii="Times New Roman" w:hAnsi="Times New Roman"/>
      <w:color w:val="404040"/>
    </w:rPr>
    <w:tblPr/>
  </w:style>
  <w:style w:type="table" w:styleId="972" w:customStyle="1">
    <w:name w:val="List Table 5 Dark - Accent 1"/>
    <w:basedOn w:val="721"/>
    <w:uiPriority w:val="99"/>
    <w:qFormat/>
    <w:rPr>
      <w:rFonts w:ascii="Times New Roman" w:hAnsi="Times New Roman"/>
    </w:rPr>
    <w:tblPr/>
  </w:style>
  <w:style w:type="table" w:styleId="973" w:customStyle="1">
    <w:name w:val="Grid Table 7 Colorful - Accent 3"/>
    <w:basedOn w:val="721"/>
    <w:uiPriority w:val="99"/>
    <w:qFormat/>
    <w:rPr>
      <w:rFonts w:ascii="Times New Roman" w:hAnsi="Times New Roman"/>
    </w:rPr>
    <w:tblPr/>
  </w:style>
  <w:style w:type="table" w:styleId="974" w:customStyle="1">
    <w:name w:val="Grid Table 1 Light - Accent 5"/>
    <w:basedOn w:val="721"/>
    <w:uiPriority w:val="99"/>
    <w:qFormat/>
    <w:rPr>
      <w:rFonts w:ascii="Times New Roman" w:hAnsi="Times New Roman"/>
    </w:rPr>
    <w:tblPr/>
  </w:style>
  <w:style w:type="table" w:styleId="975" w:customStyle="1">
    <w:name w:val="Lined - Accent 5"/>
    <w:basedOn w:val="721"/>
    <w:uiPriority w:val="99"/>
    <w:qFormat/>
    <w:rPr>
      <w:rFonts w:ascii="Times New Roman" w:hAnsi="Times New Roman"/>
      <w:color w:val="404040"/>
    </w:rPr>
    <w:tblPr/>
  </w:style>
  <w:style w:type="table" w:styleId="976" w:customStyle="1">
    <w:name w:val="List Table 4 - Accent 3"/>
    <w:basedOn w:val="721"/>
    <w:uiPriority w:val="99"/>
    <w:qFormat/>
    <w:rPr>
      <w:rFonts w:ascii="Times New Roman" w:hAnsi="Times New Roman"/>
    </w:rPr>
    <w:tblPr/>
  </w:style>
  <w:style w:type="table" w:styleId="977" w:customStyle="1">
    <w:name w:val="Grid Table 7 Colorful - Accent 4"/>
    <w:basedOn w:val="721"/>
    <w:uiPriority w:val="99"/>
    <w:qFormat/>
    <w:rPr>
      <w:rFonts w:ascii="Times New Roman" w:hAnsi="Times New Roman"/>
    </w:rPr>
    <w:tblPr/>
  </w:style>
  <w:style w:type="table" w:styleId="978" w:customStyle="1">
    <w:name w:val="网格表 21_0"/>
    <w:basedOn w:val="721"/>
    <w:uiPriority w:val="99"/>
    <w:qFormat/>
    <w:rPr>
      <w:rFonts w:ascii="Times New Roman" w:hAnsi="Times New Roman"/>
    </w:rPr>
    <w:tblPr/>
  </w:style>
  <w:style w:type="table" w:styleId="979" w:customStyle="1">
    <w:name w:val="清单表 7 彩色1_0"/>
    <w:basedOn w:val="721"/>
    <w:uiPriority w:val="99"/>
    <w:qFormat/>
    <w:rPr>
      <w:rFonts w:ascii="Times New Roman" w:hAnsi="Times New Roman"/>
    </w:rPr>
    <w:tblPr/>
  </w:style>
  <w:style w:type="table" w:styleId="980" w:customStyle="1">
    <w:name w:val="Grid Table 6 Colorful - Accent 3"/>
    <w:basedOn w:val="721"/>
    <w:uiPriority w:val="99"/>
    <w:qFormat/>
    <w:rPr>
      <w:rFonts w:ascii="Times New Roman" w:hAnsi="Times New Roman"/>
    </w:rPr>
    <w:tblPr/>
  </w:style>
  <w:style w:type="table" w:styleId="981" w:customStyle="1">
    <w:name w:val="Grid Table 2 - Accent 2"/>
    <w:basedOn w:val="721"/>
    <w:uiPriority w:val="99"/>
    <w:qFormat/>
    <w:rPr>
      <w:rFonts w:ascii="Times New Roman" w:hAnsi="Times New Roman"/>
    </w:rPr>
    <w:tblPr/>
  </w:style>
  <w:style w:type="table" w:styleId="982" w:customStyle="1">
    <w:name w:val="List Table 4 - Accent 1"/>
    <w:basedOn w:val="721"/>
    <w:uiPriority w:val="99"/>
    <w:qFormat/>
    <w:rPr>
      <w:rFonts w:ascii="Times New Roman" w:hAnsi="Times New Roman"/>
    </w:rPr>
    <w:tblPr/>
  </w:style>
  <w:style w:type="table" w:styleId="983" w:customStyle="1">
    <w:name w:val="Grid Table 6 Colorful - Accent 6"/>
    <w:basedOn w:val="721"/>
    <w:uiPriority w:val="99"/>
    <w:qFormat/>
    <w:rPr>
      <w:rFonts w:ascii="Times New Roman" w:hAnsi="Times New Roman"/>
    </w:rPr>
    <w:tblPr/>
  </w:style>
  <w:style w:type="table" w:styleId="984" w:customStyle="1">
    <w:name w:val="Grid Table 2 - Accent 4"/>
    <w:basedOn w:val="721"/>
    <w:uiPriority w:val="99"/>
    <w:qFormat/>
    <w:rPr>
      <w:rFonts w:ascii="Times New Roman" w:hAnsi="Times New Roman"/>
    </w:rPr>
    <w:tblPr/>
  </w:style>
  <w:style w:type="table" w:styleId="985" w:customStyle="1">
    <w:name w:val="Bordered &amp; Lined - Accent 5"/>
    <w:basedOn w:val="721"/>
    <w:uiPriority w:val="99"/>
    <w:qFormat/>
    <w:rPr>
      <w:rFonts w:ascii="Times New Roman" w:hAnsi="Times New Roman"/>
      <w:color w:val="404040"/>
    </w:rPr>
    <w:tblPr/>
  </w:style>
  <w:style w:type="table" w:styleId="986" w:customStyle="1">
    <w:name w:val="List Table 7 Colorful - Accent 6"/>
    <w:basedOn w:val="721"/>
    <w:uiPriority w:val="99"/>
    <w:qFormat/>
    <w:rPr>
      <w:rFonts w:ascii="Times New Roman" w:hAnsi="Times New Roman"/>
    </w:rPr>
    <w:tblPr/>
  </w:style>
  <w:style w:type="table" w:styleId="987" w:customStyle="1">
    <w:name w:val="Grid Table 6 Colorful - Accent 5"/>
    <w:basedOn w:val="721"/>
    <w:uiPriority w:val="99"/>
    <w:qFormat/>
    <w:rPr>
      <w:rFonts w:ascii="Times New Roman" w:hAnsi="Times New Roman"/>
    </w:rPr>
    <w:tblPr/>
  </w:style>
  <w:style w:type="table" w:styleId="988" w:customStyle="1">
    <w:name w:val="Grid Table 2 - Accent 5"/>
    <w:basedOn w:val="721"/>
    <w:uiPriority w:val="99"/>
    <w:qFormat/>
    <w:rPr>
      <w:rFonts w:ascii="Times New Roman" w:hAnsi="Times New Roman"/>
    </w:rPr>
    <w:tblPr/>
  </w:style>
  <w:style w:type="table" w:styleId="989" w:customStyle="1">
    <w:name w:val="Lined - Accent 4"/>
    <w:basedOn w:val="721"/>
    <w:uiPriority w:val="99"/>
    <w:qFormat/>
    <w:rPr>
      <w:rFonts w:ascii="Times New Roman" w:hAnsi="Times New Roman"/>
      <w:color w:val="404040"/>
    </w:rPr>
    <w:tblPr/>
  </w:style>
  <w:style w:type="table" w:styleId="990" w:customStyle="1">
    <w:name w:val="List Table 4 - Accent 5"/>
    <w:basedOn w:val="721"/>
    <w:uiPriority w:val="99"/>
    <w:qFormat/>
    <w:rPr>
      <w:rFonts w:ascii="Times New Roman" w:hAnsi="Times New Roman"/>
    </w:rPr>
    <w:tblPr/>
  </w:style>
  <w:style w:type="table" w:styleId="991" w:customStyle="1">
    <w:name w:val="Grid Table 6 Colorful - Accent 1"/>
    <w:basedOn w:val="721"/>
    <w:uiPriority w:val="99"/>
    <w:qFormat/>
    <w:rPr>
      <w:rFonts w:ascii="Times New Roman" w:hAnsi="Times New Roman"/>
    </w:rPr>
    <w:tblPr/>
  </w:style>
  <w:style w:type="table" w:styleId="992" w:customStyle="1">
    <w:name w:val="网格表 31_0"/>
    <w:basedOn w:val="721"/>
    <w:uiPriority w:val="99"/>
    <w:qFormat/>
    <w:rPr>
      <w:rFonts w:ascii="Times New Roman" w:hAnsi="Times New Roman"/>
    </w:rPr>
    <w:tblPr/>
  </w:style>
  <w:style w:type="table" w:styleId="993" w:customStyle="1">
    <w:name w:val="List Table 5 Dark - Accent 6"/>
    <w:basedOn w:val="721"/>
    <w:uiPriority w:val="99"/>
    <w:qFormat/>
    <w:rPr>
      <w:rFonts w:ascii="Times New Roman" w:hAnsi="Times New Roman"/>
    </w:rPr>
    <w:tblPr/>
  </w:style>
  <w:style w:type="table" w:styleId="994" w:customStyle="1">
    <w:name w:val="List Table 2 - Accent 6"/>
    <w:basedOn w:val="721"/>
    <w:uiPriority w:val="99"/>
    <w:qFormat/>
    <w:rPr>
      <w:rFonts w:ascii="Times New Roman" w:hAnsi="Times New Roman"/>
    </w:rPr>
    <w:tblPr/>
  </w:style>
  <w:style w:type="table" w:styleId="995" w:customStyle="1">
    <w:name w:val="Grid Table 3 - Accent 1"/>
    <w:basedOn w:val="721"/>
    <w:uiPriority w:val="99"/>
    <w:qFormat/>
    <w:rPr>
      <w:rFonts w:ascii="Times New Roman" w:hAnsi="Times New Roman"/>
    </w:rPr>
    <w:tblPr/>
  </w:style>
  <w:style w:type="table" w:styleId="996" w:customStyle="1">
    <w:name w:val="List Table 3 - Accent 6"/>
    <w:basedOn w:val="721"/>
    <w:uiPriority w:val="99"/>
    <w:qFormat/>
    <w:rPr>
      <w:rFonts w:ascii="Times New Roman" w:hAnsi="Times New Roman"/>
    </w:rPr>
    <w:tblPr/>
  </w:style>
  <w:style w:type="table" w:styleId="997" w:customStyle="1">
    <w:name w:val="清单表 21_0"/>
    <w:basedOn w:val="721"/>
    <w:uiPriority w:val="99"/>
    <w:qFormat/>
    <w:rPr>
      <w:rFonts w:ascii="Times New Roman" w:hAnsi="Times New Roman"/>
    </w:rPr>
    <w:tblPr/>
  </w:style>
  <w:style w:type="table" w:styleId="998" w:customStyle="1">
    <w:name w:val="Grid Table 3 - Accent 2"/>
    <w:basedOn w:val="721"/>
    <w:uiPriority w:val="99"/>
    <w:qFormat/>
    <w:rPr>
      <w:rFonts w:ascii="Times New Roman" w:hAnsi="Times New Roman"/>
    </w:rPr>
    <w:tblPr/>
  </w:style>
  <w:style w:type="table" w:styleId="999" w:customStyle="1">
    <w:name w:val="Bordered &amp; Lined - Accent 6"/>
    <w:basedOn w:val="721"/>
    <w:uiPriority w:val="99"/>
    <w:qFormat/>
    <w:rPr>
      <w:rFonts w:ascii="Times New Roman" w:hAnsi="Times New Roman"/>
      <w:color w:val="404040"/>
    </w:rPr>
    <w:tblPr/>
  </w:style>
  <w:style w:type="table" w:styleId="1000" w:customStyle="1">
    <w:name w:val="List Table 5 Dark - Accent 3"/>
    <w:basedOn w:val="721"/>
    <w:uiPriority w:val="99"/>
    <w:qFormat/>
    <w:rPr>
      <w:rFonts w:ascii="Times New Roman" w:hAnsi="Times New Roman"/>
    </w:rPr>
    <w:tblPr/>
  </w:style>
  <w:style w:type="table" w:styleId="1001" w:customStyle="1">
    <w:name w:val="List Table 1 Light - Accent 5"/>
    <w:basedOn w:val="721"/>
    <w:uiPriority w:val="99"/>
    <w:qFormat/>
    <w:rPr>
      <w:rFonts w:ascii="Times New Roman" w:hAnsi="Times New Roman"/>
    </w:rPr>
    <w:tblPr/>
  </w:style>
  <w:style w:type="table" w:styleId="1002" w:customStyle="1">
    <w:name w:val="Grid Table 3 - Accent 3"/>
    <w:basedOn w:val="721"/>
    <w:uiPriority w:val="99"/>
    <w:qFormat/>
    <w:rPr>
      <w:rFonts w:ascii="Times New Roman" w:hAnsi="Times New Roman"/>
    </w:rPr>
    <w:tblPr/>
  </w:style>
  <w:style w:type="table" w:styleId="1003" w:customStyle="1">
    <w:name w:val="Bordered &amp; Lined - Accent"/>
    <w:basedOn w:val="721"/>
    <w:uiPriority w:val="99"/>
    <w:qFormat/>
    <w:rPr>
      <w:rFonts w:ascii="Times New Roman" w:hAnsi="Times New Roman"/>
      <w:color w:val="404040"/>
    </w:rPr>
    <w:tblPr/>
  </w:style>
  <w:style w:type="table" w:styleId="1004" w:customStyle="1">
    <w:name w:val="List Table 4 - Accent 6"/>
    <w:basedOn w:val="721"/>
    <w:uiPriority w:val="99"/>
    <w:qFormat/>
    <w:rPr>
      <w:rFonts w:ascii="Times New Roman" w:hAnsi="Times New Roman"/>
    </w:rPr>
    <w:tblPr/>
  </w:style>
  <w:style w:type="table" w:styleId="1005" w:customStyle="1">
    <w:name w:val="List Table 3 - Accent 2"/>
    <w:basedOn w:val="721"/>
    <w:uiPriority w:val="99"/>
    <w:qFormat/>
    <w:rPr>
      <w:rFonts w:ascii="Times New Roman" w:hAnsi="Times New Roman"/>
    </w:rPr>
    <w:tblPr/>
  </w:style>
  <w:style w:type="table" w:styleId="1006" w:customStyle="1">
    <w:name w:val="Grid Table 3 - Accent 4"/>
    <w:basedOn w:val="721"/>
    <w:uiPriority w:val="99"/>
    <w:qFormat/>
    <w:rPr>
      <w:rFonts w:ascii="Times New Roman" w:hAnsi="Times New Roman"/>
    </w:rPr>
    <w:tblPr/>
  </w:style>
  <w:style w:type="table" w:styleId="1007" w:customStyle="1">
    <w:name w:val="Bordered - Accent 2"/>
    <w:basedOn w:val="721"/>
    <w:uiPriority w:val="99"/>
    <w:qFormat/>
    <w:rPr>
      <w:rFonts w:ascii="Times New Roman" w:hAnsi="Times New Roman"/>
    </w:rPr>
    <w:tblPr/>
  </w:style>
  <w:style w:type="table" w:styleId="1008" w:customStyle="1">
    <w:name w:val="Lined - Accent 1"/>
    <w:basedOn w:val="721"/>
    <w:uiPriority w:val="99"/>
    <w:qFormat/>
    <w:rPr>
      <w:rFonts w:ascii="Times New Roman" w:hAnsi="Times New Roman"/>
      <w:color w:val="404040"/>
    </w:rPr>
    <w:tblPr/>
  </w:style>
  <w:style w:type="table" w:styleId="1009" w:customStyle="1">
    <w:name w:val="List Table 2 - Accent 4"/>
    <w:basedOn w:val="721"/>
    <w:uiPriority w:val="99"/>
    <w:qFormat/>
    <w:rPr>
      <w:rFonts w:ascii="Times New Roman" w:hAnsi="Times New Roman"/>
    </w:rPr>
    <w:tblPr/>
  </w:style>
  <w:style w:type="table" w:styleId="1010" w:customStyle="1">
    <w:name w:val="Grid Table 3 - Accent 5"/>
    <w:basedOn w:val="721"/>
    <w:uiPriority w:val="99"/>
    <w:qFormat/>
    <w:rPr>
      <w:rFonts w:ascii="Times New Roman" w:hAnsi="Times New Roman"/>
    </w:rPr>
    <w:tblPr/>
  </w:style>
  <w:style w:type="table" w:styleId="1011" w:customStyle="1">
    <w:name w:val="List Table 6 Colorful - Accent 3"/>
    <w:basedOn w:val="721"/>
    <w:uiPriority w:val="99"/>
    <w:qFormat/>
    <w:rPr>
      <w:rFonts w:ascii="Times New Roman" w:hAnsi="Times New Roman"/>
    </w:rPr>
    <w:tblPr/>
  </w:style>
  <w:style w:type="table" w:styleId="1012" w:customStyle="1">
    <w:name w:val="Grid Table 6 Colorful - Accent 4"/>
    <w:basedOn w:val="721"/>
    <w:uiPriority w:val="99"/>
    <w:qFormat/>
    <w:rPr>
      <w:rFonts w:ascii="Times New Roman" w:hAnsi="Times New Roman"/>
    </w:rPr>
    <w:tblPr/>
  </w:style>
  <w:style w:type="table" w:styleId="1013" w:customStyle="1">
    <w:name w:val="Grid Table 3 - Accent 6"/>
    <w:basedOn w:val="721"/>
    <w:uiPriority w:val="99"/>
    <w:qFormat/>
    <w:rPr>
      <w:rFonts w:ascii="Times New Roman" w:hAnsi="Times New Roman"/>
    </w:rPr>
    <w:tblPr/>
  </w:style>
  <w:style w:type="table" w:styleId="1014" w:customStyle="1">
    <w:name w:val="Bordered &amp; Lined - Accent 4"/>
    <w:basedOn w:val="721"/>
    <w:uiPriority w:val="99"/>
    <w:qFormat/>
    <w:rPr>
      <w:rFonts w:ascii="Times New Roman" w:hAnsi="Times New Roman"/>
      <w:color w:val="404040"/>
    </w:rPr>
    <w:tblPr/>
  </w:style>
  <w:style w:type="table" w:styleId="1015" w:customStyle="1">
    <w:name w:val="List Table 3 - Accent 5"/>
    <w:basedOn w:val="721"/>
    <w:uiPriority w:val="99"/>
    <w:qFormat/>
    <w:rPr>
      <w:rFonts w:ascii="Times New Roman" w:hAnsi="Times New Roman"/>
    </w:rPr>
    <w:tblPr/>
  </w:style>
  <w:style w:type="table" w:styleId="1016" w:customStyle="1">
    <w:name w:val="List Table 1 Light - Accent 4"/>
    <w:basedOn w:val="721"/>
    <w:uiPriority w:val="99"/>
    <w:qFormat/>
    <w:rPr>
      <w:rFonts w:ascii="Times New Roman" w:hAnsi="Times New Roman"/>
    </w:rPr>
    <w:tblPr/>
  </w:style>
  <w:style w:type="table" w:styleId="1017" w:customStyle="1">
    <w:name w:val="网格表 41_0"/>
    <w:basedOn w:val="721"/>
    <w:uiPriority w:val="59"/>
    <w:qFormat/>
    <w:rPr>
      <w:rFonts w:ascii="Times New Roman" w:hAnsi="Times New Roman"/>
    </w:rPr>
    <w:tblPr/>
  </w:style>
  <w:style w:type="table" w:styleId="1018" w:customStyle="1">
    <w:name w:val="Lined - Accent 6"/>
    <w:basedOn w:val="721"/>
    <w:uiPriority w:val="99"/>
    <w:qFormat/>
    <w:rPr>
      <w:rFonts w:ascii="Times New Roman" w:hAnsi="Times New Roman"/>
      <w:color w:val="404040"/>
    </w:rPr>
    <w:tblPr/>
  </w:style>
  <w:style w:type="table" w:styleId="1019" w:customStyle="1">
    <w:name w:val="List Table 6 Colorful - Accent 2"/>
    <w:basedOn w:val="721"/>
    <w:uiPriority w:val="99"/>
    <w:qFormat/>
    <w:rPr>
      <w:rFonts w:ascii="Times New Roman" w:hAnsi="Times New Roman"/>
    </w:rPr>
    <w:tblPr/>
  </w:style>
  <w:style w:type="table" w:styleId="1020" w:customStyle="1">
    <w:name w:val="Grid Table 7 Colorful - Accent 6"/>
    <w:basedOn w:val="721"/>
    <w:uiPriority w:val="99"/>
    <w:qFormat/>
    <w:rPr>
      <w:rFonts w:ascii="Times New Roman" w:hAnsi="Times New Roman"/>
    </w:rPr>
    <w:tblPr/>
  </w:style>
  <w:style w:type="table" w:styleId="1021" w:customStyle="1">
    <w:name w:val="Grid Table 4 - Accent 1"/>
    <w:basedOn w:val="721"/>
    <w:uiPriority w:val="59"/>
    <w:qFormat/>
    <w:rPr>
      <w:rFonts w:ascii="Times New Roman" w:hAnsi="Times New Roman"/>
    </w:rPr>
    <w:tblPr/>
  </w:style>
  <w:style w:type="table" w:styleId="1022" w:customStyle="1">
    <w:name w:val="Lined - Accent 3"/>
    <w:basedOn w:val="721"/>
    <w:uiPriority w:val="99"/>
    <w:qFormat/>
    <w:rPr>
      <w:rFonts w:ascii="Times New Roman" w:hAnsi="Times New Roman"/>
      <w:color w:val="404040"/>
    </w:rPr>
    <w:tblPr/>
  </w:style>
  <w:style w:type="table" w:styleId="1023" w:customStyle="1">
    <w:name w:val="List Table 4 - Accent 4"/>
    <w:basedOn w:val="721"/>
    <w:uiPriority w:val="99"/>
    <w:qFormat/>
    <w:rPr>
      <w:rFonts w:ascii="Times New Roman" w:hAnsi="Times New Roman"/>
    </w:rPr>
    <w:tblPr/>
  </w:style>
  <w:style w:type="table" w:styleId="1024" w:customStyle="1">
    <w:name w:val="清单表 31_0"/>
    <w:basedOn w:val="721"/>
    <w:uiPriority w:val="99"/>
    <w:qFormat/>
    <w:rPr>
      <w:rFonts w:ascii="Times New Roman" w:hAnsi="Times New Roman"/>
    </w:rPr>
    <w:tblPr/>
  </w:style>
  <w:style w:type="table" w:styleId="1025" w:customStyle="1">
    <w:name w:val="Grid Table 4 - Accent 2"/>
    <w:basedOn w:val="721"/>
    <w:uiPriority w:val="59"/>
    <w:qFormat/>
    <w:rPr>
      <w:rFonts w:ascii="Times New Roman" w:hAnsi="Times New Roman"/>
    </w:rPr>
    <w:tblPr/>
  </w:style>
  <w:style w:type="table" w:styleId="1026" w:customStyle="1">
    <w:name w:val="Bordered"/>
    <w:basedOn w:val="721"/>
    <w:uiPriority w:val="99"/>
    <w:qFormat/>
    <w:rPr>
      <w:rFonts w:ascii="Times New Roman" w:hAnsi="Times New Roman"/>
    </w:rPr>
    <w:tblPr/>
  </w:style>
  <w:style w:type="table" w:styleId="1027" w:customStyle="1">
    <w:name w:val="List Table 5 Dark - Accent 4"/>
    <w:basedOn w:val="721"/>
    <w:uiPriority w:val="99"/>
    <w:qFormat/>
    <w:rPr>
      <w:rFonts w:ascii="Times New Roman" w:hAnsi="Times New Roman"/>
    </w:rPr>
    <w:tblPr/>
  </w:style>
  <w:style w:type="table" w:styleId="1028" w:customStyle="1">
    <w:name w:val="List Table 3 - Accent 3"/>
    <w:basedOn w:val="721"/>
    <w:uiPriority w:val="99"/>
    <w:qFormat/>
    <w:rPr>
      <w:rFonts w:ascii="Times New Roman" w:hAnsi="Times New Roman"/>
    </w:rPr>
    <w:tblPr/>
  </w:style>
  <w:style w:type="table" w:styleId="1029" w:customStyle="1">
    <w:name w:val="Grid Table 4 - Accent 4"/>
    <w:basedOn w:val="721"/>
    <w:uiPriority w:val="59"/>
    <w:qFormat/>
    <w:rPr>
      <w:rFonts w:ascii="Times New Roman" w:hAnsi="Times New Roman"/>
    </w:rPr>
    <w:tblPr/>
  </w:style>
  <w:style w:type="table" w:styleId="1030" w:customStyle="1">
    <w:name w:val="List Table 6 Colorful - Accent 4"/>
    <w:basedOn w:val="721"/>
    <w:uiPriority w:val="99"/>
    <w:qFormat/>
    <w:rPr>
      <w:rFonts w:ascii="Times New Roman" w:hAnsi="Times New Roman"/>
    </w:rPr>
    <w:tblPr/>
  </w:style>
  <w:style w:type="table" w:styleId="1031" w:customStyle="1">
    <w:name w:val="Grid Table 7 Colorful - Accent 2"/>
    <w:basedOn w:val="721"/>
    <w:uiPriority w:val="99"/>
    <w:qFormat/>
    <w:rPr>
      <w:rFonts w:ascii="Times New Roman" w:hAnsi="Times New Roman"/>
    </w:rPr>
    <w:tblPr/>
  </w:style>
  <w:style w:type="table" w:styleId="1032" w:customStyle="1">
    <w:name w:val="Grid Table 4 - Accent 5"/>
    <w:basedOn w:val="721"/>
    <w:uiPriority w:val="59"/>
    <w:qFormat/>
    <w:rPr>
      <w:rFonts w:ascii="Times New Roman" w:hAnsi="Times New Roman"/>
    </w:rPr>
    <w:tblPr/>
  </w:style>
  <w:style w:type="table" w:styleId="1033" w:customStyle="1">
    <w:name w:val="List Table 6 Colorful - Accent 5"/>
    <w:basedOn w:val="721"/>
    <w:uiPriority w:val="99"/>
    <w:qFormat/>
    <w:rPr>
      <w:rFonts w:ascii="Times New Roman" w:hAnsi="Times New Roman"/>
    </w:rPr>
    <w:tblPr/>
  </w:style>
  <w:style w:type="table" w:styleId="1034" w:customStyle="1">
    <w:name w:val="List Table 1 Light - Accent 3"/>
    <w:basedOn w:val="721"/>
    <w:uiPriority w:val="99"/>
    <w:qFormat/>
    <w:rPr>
      <w:rFonts w:ascii="Times New Roman" w:hAnsi="Times New Roman"/>
    </w:rPr>
    <w:tblPr/>
  </w:style>
  <w:style w:type="table" w:styleId="1035" w:customStyle="1">
    <w:name w:val="Grid Table 4 - Accent 6"/>
    <w:basedOn w:val="721"/>
    <w:uiPriority w:val="59"/>
    <w:qFormat/>
    <w:rPr>
      <w:rFonts w:ascii="Times New Roman" w:hAnsi="Times New Roman"/>
    </w:rPr>
    <w:tblPr/>
  </w:style>
  <w:style w:type="table" w:styleId="1036" w:customStyle="1">
    <w:name w:val="List Table 7 Colorful - Accent 5"/>
    <w:basedOn w:val="721"/>
    <w:uiPriority w:val="99"/>
    <w:qFormat/>
    <w:rPr>
      <w:rFonts w:ascii="Times New Roman" w:hAnsi="Times New Roman"/>
    </w:rPr>
    <w:tblPr/>
  </w:style>
  <w:style w:type="table" w:styleId="1037" w:customStyle="1">
    <w:name w:val="List Table 2 - Accent 3"/>
    <w:basedOn w:val="721"/>
    <w:uiPriority w:val="99"/>
    <w:qFormat/>
    <w:rPr>
      <w:rFonts w:ascii="Times New Roman" w:hAnsi="Times New Roman"/>
    </w:rPr>
    <w:tblPr/>
  </w:style>
  <w:style w:type="table" w:styleId="1038" w:customStyle="1">
    <w:name w:val="Grid Table 5 Dark - Accent 6"/>
    <w:basedOn w:val="721"/>
    <w:uiPriority w:val="99"/>
    <w:qFormat/>
    <w:rPr>
      <w:rFonts w:ascii="Times New Roman" w:hAnsi="Times New Roman"/>
    </w:rPr>
    <w:tblPr/>
  </w:style>
  <w:style w:type="table" w:styleId="1039" w:customStyle="1">
    <w:name w:val="Bordered &amp; Lined - Accent 3"/>
    <w:basedOn w:val="721"/>
    <w:uiPriority w:val="99"/>
    <w:qFormat/>
    <w:rPr>
      <w:rFonts w:ascii="Times New Roman" w:hAnsi="Times New Roman"/>
      <w:color w:val="404040"/>
    </w:rPr>
    <w:tblPr/>
  </w:style>
  <w:style w:type="table" w:styleId="1040" w:customStyle="1">
    <w:name w:val="清单表 6 彩色1_0"/>
    <w:basedOn w:val="721"/>
    <w:uiPriority w:val="99"/>
    <w:qFormat/>
    <w:rPr>
      <w:rFonts w:ascii="Times New Roman" w:hAnsi="Times New Roman"/>
    </w:rPr>
    <w:tblPr/>
  </w:style>
  <w:style w:type="table" w:styleId="1041" w:customStyle="1">
    <w:name w:val="Grid Table 6 Colorful - Accent 2"/>
    <w:basedOn w:val="721"/>
    <w:uiPriority w:val="99"/>
    <w:qFormat/>
    <w:rPr>
      <w:rFonts w:ascii="Times New Roman" w:hAnsi="Times New Roman"/>
    </w:rPr>
    <w:tblPr/>
  </w:style>
  <w:style w:type="table" w:styleId="1042" w:customStyle="1">
    <w:name w:val="网格表 6 彩色1_0"/>
    <w:basedOn w:val="721"/>
    <w:uiPriority w:val="99"/>
    <w:qFormat/>
    <w:rPr>
      <w:rFonts w:ascii="Times New Roman" w:hAnsi="Times New Roman"/>
    </w:rPr>
    <w:tblPr/>
  </w:style>
  <w:style w:type="paragraph" w:styleId="1043" w:customStyle="1">
    <w:name w:val="标题 11"/>
    <w:basedOn w:val="710"/>
    <w:link w:val="1044"/>
    <w:qFormat/>
    <w:pPr>
      <w:ind w:firstLine="640"/>
      <w:jc w:val="center"/>
      <w:keepNext/>
      <w:spacing w:before="60" w:after="60" w:line="360" w:lineRule="auto"/>
      <w:outlineLvl w:val="0"/>
    </w:pPr>
    <w:rPr>
      <w:rFonts w:ascii="楷体_GB2312" w:eastAsia="楷体_GB2312"/>
      <w:color w:val="333333"/>
      <w:sz w:val="28"/>
      <w:szCs w:val="28"/>
    </w:rPr>
  </w:style>
  <w:style w:type="character" w:styleId="1044" w:customStyle="1">
    <w:name w:val="标题 1 Char"/>
    <w:link w:val="1043"/>
    <w:qFormat/>
    <w:rPr>
      <w:rFonts w:ascii="楷体_GB2312" w:hAnsi="Times New Roman" w:eastAsia="楷体_GB2312"/>
      <w:color w:val="333333"/>
      <w:sz w:val="28"/>
      <w:szCs w:val="28"/>
    </w:rPr>
  </w:style>
  <w:style w:type="paragraph" w:styleId="1045" w:customStyle="1">
    <w:name w:val="首行缩进"/>
    <w:basedOn w:val="710"/>
    <w:uiPriority w:val="99"/>
    <w:qFormat/>
    <w:pPr>
      <w:ind w:firstLine="480"/>
      <w:spacing w:line="360" w:lineRule="auto"/>
    </w:pPr>
    <w:rPr>
      <w:rFonts w:ascii="Calibri" w:hAnsi="Calibri" w:eastAsia="微软雅黑"/>
      <w:sz w:val="24"/>
      <w:szCs w:val="22"/>
      <w:lang w:val="zh-CN"/>
    </w:rPr>
  </w:style>
  <w:style w:type="paragraph" w:styleId="1046" w:customStyle="1">
    <w:name w:val="索引 411"/>
    <w:basedOn w:val="710"/>
    <w:next w:val="710"/>
    <w:uiPriority w:val="99"/>
    <w:semiHidden/>
    <w:qFormat/>
    <w:pPr>
      <w:ind w:left="1260"/>
    </w:pPr>
    <w:rPr>
      <w:szCs w:val="22"/>
    </w:rPr>
  </w:style>
  <w:style w:type="paragraph" w:styleId="1047" w:customStyle="1">
    <w:name w:val="标题 31"/>
    <w:basedOn w:val="710"/>
    <w:next w:val="710"/>
    <w:qFormat/>
    <w:pPr>
      <w:keepLines/>
      <w:keepNext/>
      <w:spacing w:before="260" w:after="260" w:line="416" w:lineRule="auto"/>
      <w:outlineLvl w:val="2"/>
    </w:pPr>
    <w:rPr>
      <w:b/>
      <w:bCs/>
      <w:sz w:val="32"/>
      <w:szCs w:val="32"/>
    </w:rPr>
  </w:style>
  <w:style w:type="paragraph" w:styleId="1048" w:customStyle="1">
    <w:name w:val="标题 5（有编号）（绿盟科技）"/>
    <w:basedOn w:val="710"/>
    <w:next w:val="710"/>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49" w:customStyle="1">
    <w:name w:val="正文缩进1"/>
    <w:basedOn w:val="710"/>
    <w:qFormat/>
    <w:pPr>
      <w:ind w:firstLine="420"/>
    </w:pPr>
  </w:style>
  <w:style w:type="paragraph" w:styleId="1050" w:customStyle="1">
    <w:name w:val="正文文本1"/>
    <w:basedOn w:val="710"/>
    <w:qFormat/>
    <w:rPr>
      <w:rFonts w:ascii="楷体_GB2312" w:hAnsi="Arial" w:eastAsia="楷体_GB2312"/>
      <w:sz w:val="28"/>
      <w:szCs w:val="28"/>
    </w:rPr>
  </w:style>
  <w:style w:type="paragraph" w:styleId="1051" w:customStyle="1">
    <w:name w:val="4.1标准文件_字母编号列项（一级）"/>
    <w:next w:val="710"/>
    <w:qFormat/>
    <w:pPr>
      <w:jc w:val="both"/>
      <w:spacing w:line="360" w:lineRule="exact"/>
      <w:tabs>
        <w:tab w:val="left" w:pos="568" w:leader="none"/>
      </w:tabs>
    </w:pPr>
    <w:rPr>
      <w:rFonts w:ascii="Times New Roman" w:hAnsi="Times New Roman" w:cs="Times New Roman"/>
      <w:sz w:val="24"/>
      <w:szCs w:val="21"/>
    </w:rPr>
  </w:style>
  <w:style w:type="paragraph" w:styleId="1052" w:customStyle="1">
    <w:name w:val="修订2"/>
    <w:hidden/>
    <w:uiPriority w:val="99"/>
    <w:unhideWhenUsed/>
    <w:rPr>
      <w:rFonts w:ascii="Times New Roman" w:hAnsi="Times New Roman"/>
      <w:sz w:val="21"/>
      <w:szCs w:val="21"/>
    </w:rPr>
  </w:style>
  <w:style w:type="paragraph" w:styleId="1053">
    <w:name w:val="Revision"/>
    <w:hidden/>
    <w:uiPriority w:val="99"/>
    <w:unhideWhenUsed/>
    <w:rPr>
      <w:rFonts w:ascii="Times New Roman" w:hAnsi="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18</cp:revision>
  <dcterms:created xsi:type="dcterms:W3CDTF">2026-06-08T01:12:00Z</dcterms:created>
  <dcterms:modified xsi:type="dcterms:W3CDTF">2026-09-02T01:55:40Z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eyJoZGlkIjoiZDNhNWEzZWRjMjZkYzI0OGEwZTY2NjFhNjE3ZDlmMzciLCJ1c2VySWQiOiI2NjE4ODg2ODAifQ==</vt:lpwstr>
  </property>
  <property fmtid="{D5CDD505-2E9C-101B-9397-08002B2CF9AE}" pid="3" name="KSOProductBuildVer">
    <vt:lpwstr>2052-12.1.0.28043</vt:lpwstr>
  </property>
  <property fmtid="{D5CDD505-2E9C-101B-9397-08002B2CF9AE}" pid="4" name="ICV">
    <vt:lpwstr>AFAC7B41625F4F44AE3669E507249C37_13</vt:lpwstr>
  </property>
</Properties>
</file>