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522"/>
        <w:jc w:val="center"/>
        <w:spacing w:line="360" w:lineRule="auto"/>
        <w:rPr>
          <w:rFonts w:hint="eastAsia" w:ascii="宋体" w:hAnsi="宋体"/>
          <w:b/>
          <w:bCs/>
          <w:color w:val="000000"/>
          <w:sz w:val="52"/>
          <w:szCs w:val="52"/>
          <w:highlight w:val="none"/>
          <w:shd w:val="clear" w:color="auto" w:fill="ffffff"/>
        </w:rPr>
      </w:pPr>
      <w:r>
        <w:rPr>
          <w:rFonts w:hint="eastAsia" w:ascii="宋体" w:hAnsi="宋体"/>
          <w:b/>
          <w:bCs/>
          <w:color w:val="000000"/>
          <w:sz w:val="52"/>
          <w:szCs w:val="52"/>
          <w:highlight w:val="none"/>
          <w:shd w:val="clear" w:color="auto" w:fill="ffffff"/>
        </w:rPr>
      </w:r>
      <w:r/>
    </w:p>
    <w:p>
      <w:pPr>
        <w:pStyle w:val="947"/>
        <w:jc w:val="center"/>
        <w:spacing w:line="360" w:lineRule="auto"/>
        <w:rPr>
          <w:rFonts w:hint="eastAsia" w:ascii="宋体" w:hAnsi="宋体"/>
          <w:b/>
          <w:bCs/>
          <w:color w:val="000000"/>
          <w:sz w:val="52"/>
          <w:szCs w:val="52"/>
          <w:highlight w:val="none"/>
          <w:shd w:val="clear" w:color="auto" w:fill="ffffff"/>
        </w:rPr>
      </w:pPr>
      <w:r>
        <w:rPr>
          <w:rFonts w:hint="eastAsia" w:ascii="宋体" w:hAnsi="宋体"/>
          <w:b/>
          <w:bCs/>
          <w:color w:val="000000"/>
          <w:sz w:val="52"/>
          <w:szCs w:val="52"/>
          <w:highlight w:val="none"/>
          <w:shd w:val="clear" w:color="auto" w:fill="ffffff"/>
        </w:rPr>
        <w:t xml:space="preserve">昆山市政府采购</w:t>
      </w:r>
      <w:r>
        <w:rPr>
          <w:rFonts w:hint="eastAsia" w:ascii="宋体" w:hAnsi="宋体"/>
          <w:b/>
          <w:bCs/>
          <w:color w:val="000000"/>
          <w:sz w:val="52"/>
          <w:szCs w:val="52"/>
          <w:highlight w:val="none"/>
          <w:shd w:val="clear" w:color="auto" w:fill="ffffff"/>
        </w:rPr>
      </w:r>
      <w:r/>
    </w:p>
    <w:p>
      <w:pPr>
        <w:pStyle w:val="947"/>
        <w:ind w:firstLine="522"/>
        <w:jc w:val="center"/>
        <w:spacing w:line="360" w:lineRule="auto"/>
        <w:rPr>
          <w:rFonts w:hint="eastAsia" w:ascii="宋体" w:hAnsi="宋体"/>
          <w:b/>
          <w:bCs/>
          <w:color w:val="000000"/>
          <w:sz w:val="52"/>
          <w:szCs w:val="52"/>
          <w:highlight w:val="none"/>
          <w:shd w:val="clear" w:color="auto" w:fill="ffffff"/>
        </w:rPr>
      </w:pPr>
      <w:r>
        <w:rPr>
          <w:rFonts w:hint="eastAsia" w:ascii="宋体" w:hAnsi="宋体"/>
          <w:b/>
          <w:bCs/>
          <w:color w:val="000000"/>
          <w:sz w:val="52"/>
          <w:szCs w:val="52"/>
          <w:highlight w:val="none"/>
          <w:shd w:val="clear" w:color="auto" w:fill="ffffff"/>
        </w:rPr>
      </w:r>
      <w:r/>
    </w:p>
    <w:p>
      <w:pPr>
        <w:pStyle w:val="947"/>
        <w:jc w:val="center"/>
        <w:spacing w:line="360" w:lineRule="auto"/>
        <w:rPr>
          <w:rFonts w:hint="eastAsia" w:ascii="宋体" w:hAnsi="宋体"/>
          <w:b/>
          <w:bCs/>
          <w:color w:val="000000"/>
          <w:sz w:val="52"/>
          <w:szCs w:val="52"/>
          <w:highlight w:val="none"/>
          <w:shd w:val="clear" w:color="auto" w:fill="ffffff"/>
        </w:rPr>
      </w:pPr>
      <w:r>
        <w:rPr>
          <w:rFonts w:hint="eastAsia" w:ascii="宋体" w:hAnsi="宋体"/>
          <w:b/>
          <w:bCs/>
          <w:color w:val="000000"/>
          <w:sz w:val="52"/>
          <w:szCs w:val="52"/>
          <w:highlight w:val="none"/>
          <w:shd w:val="clear" w:color="auto" w:fill="ffffff"/>
        </w:rPr>
        <w:t xml:space="preserve">公开招标文件</w:t>
      </w:r>
      <w:r>
        <w:rPr>
          <w:rFonts w:hint="eastAsia" w:ascii="宋体" w:hAnsi="宋体"/>
          <w:b/>
          <w:bCs/>
          <w:color w:val="000000"/>
          <w:sz w:val="52"/>
          <w:szCs w:val="52"/>
          <w:highlight w:val="none"/>
          <w:shd w:val="clear" w:color="auto" w:fill="ffffff"/>
        </w:rPr>
      </w:r>
      <w:r/>
    </w:p>
    <w:p>
      <w:pPr>
        <w:pStyle w:val="947"/>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r>
      <w:r/>
    </w:p>
    <w:p>
      <w:pPr>
        <w:pStyle w:val="947"/>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r>
      <w:r/>
    </w:p>
    <w:p>
      <w:pPr>
        <w:pStyle w:val="947"/>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r>
      <w:r/>
    </w:p>
    <w:p>
      <w:pPr>
        <w:pStyle w:val="947"/>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r>
      <w:r/>
    </w:p>
    <w:p>
      <w:pPr>
        <w:pStyle w:val="947"/>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r>
      <w:r/>
    </w:p>
    <w:p>
      <w:pPr>
        <w:pStyle w:val="947"/>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shd w:val="clear" w:color="auto" w:fill="ffffff"/>
        </w:rPr>
      </w:r>
      <w:r/>
    </w:p>
    <w:p>
      <w:pPr>
        <w:pStyle w:val="947"/>
        <w:ind w:firstLine="2178"/>
        <w:spacing w:line="360" w:lineRule="auto"/>
        <w:rPr>
          <w:rFonts w:hint="eastAsia" w:ascii="宋体" w:hAnsi="宋体" w:eastAsia="宋体"/>
          <w:color w:val="000000"/>
          <w:sz w:val="28"/>
          <w:szCs w:val="28"/>
          <w:highlight w:val="none"/>
          <w:shd w:val="clear" w:color="auto" w:fill="ffffff"/>
          <w:lang w:eastAsia="zh-CN"/>
        </w:rPr>
      </w:pPr>
      <w:r>
        <w:rPr>
          <w:rFonts w:hint="eastAsia" w:ascii="宋体" w:hAnsi="宋体"/>
          <w:color w:val="000000"/>
          <w:sz w:val="28"/>
          <w:szCs w:val="28"/>
          <w:highlight w:val="none"/>
          <w:shd w:val="clear" w:color="auto" w:fill="ffffff"/>
        </w:rPr>
        <w:t xml:space="preserve">项目编号：</w:t>
      </w:r>
      <w:r>
        <w:rPr>
          <w:rFonts w:hint="eastAsia" w:ascii="宋体" w:hAnsi="宋体"/>
          <w:color w:val="000000"/>
          <w:sz w:val="28"/>
          <w:szCs w:val="28"/>
          <w:highlight w:val="none"/>
          <w:shd w:val="clear" w:color="auto" w:fill="ffffff"/>
          <w:lang w:eastAsia="zh-CN"/>
        </w:rPr>
        <w:t xml:space="preserve">JSZC-320583-ZXCG-G2026-0008</w:t>
      </w:r>
      <w:r>
        <w:rPr>
          <w:rFonts w:hint="eastAsia" w:ascii="宋体" w:hAnsi="宋体" w:eastAsia="宋体"/>
          <w:color w:val="000000"/>
          <w:sz w:val="28"/>
          <w:szCs w:val="28"/>
          <w:highlight w:val="none"/>
          <w:shd w:val="clear" w:color="auto" w:fill="ffffff"/>
          <w:lang w:eastAsia="zh-CN"/>
        </w:rPr>
      </w:r>
      <w:r/>
    </w:p>
    <w:p>
      <w:pPr>
        <w:pStyle w:val="947"/>
        <w:ind w:firstLine="2178"/>
        <w:spacing w:line="360" w:lineRule="auto"/>
        <w:rPr>
          <w:rFonts w:hint="eastAsia" w:ascii="宋体" w:hAnsi="宋体"/>
          <w:color w:val="000000"/>
          <w:sz w:val="28"/>
          <w:szCs w:val="28"/>
          <w:highlight w:val="none"/>
          <w:shd w:val="clear" w:color="auto" w:fill="ffffff"/>
        </w:rPr>
      </w:pPr>
      <w:r>
        <w:rPr>
          <w:rFonts w:hint="eastAsia" w:ascii="宋体" w:hAnsi="宋体"/>
          <w:color w:val="000000"/>
          <w:sz w:val="28"/>
          <w:szCs w:val="28"/>
          <w:highlight w:val="none"/>
          <w:shd w:val="clear" w:color="auto" w:fill="ffffff"/>
        </w:rPr>
        <w:t xml:space="preserve">采购项目：小区生活垃圾分类收运</w:t>
      </w:r>
      <w:r>
        <w:rPr>
          <w:rFonts w:hint="eastAsia" w:ascii="宋体" w:hAnsi="宋体"/>
          <w:color w:val="000000"/>
          <w:sz w:val="28"/>
          <w:szCs w:val="28"/>
          <w:highlight w:val="none"/>
          <w:shd w:val="clear" w:color="auto" w:fill="ffffff"/>
        </w:rPr>
      </w:r>
      <w:r/>
    </w:p>
    <w:p>
      <w:pPr>
        <w:pStyle w:val="947"/>
        <w:ind w:firstLine="2178"/>
        <w:spacing w:line="360" w:lineRule="auto"/>
        <w:rPr>
          <w:rFonts w:hint="eastAsia" w:ascii="宋体" w:hAnsi="宋体"/>
          <w:color w:val="000000"/>
          <w:sz w:val="28"/>
          <w:szCs w:val="28"/>
          <w:highlight w:val="none"/>
          <w:shd w:val="clear" w:color="auto" w:fill="ffffff"/>
        </w:rPr>
      </w:pPr>
      <w:r>
        <w:rPr>
          <w:rFonts w:hint="eastAsia" w:ascii="宋体" w:hAnsi="宋体"/>
          <w:color w:val="000000"/>
          <w:sz w:val="28"/>
          <w:szCs w:val="28"/>
          <w:highlight w:val="none"/>
          <w:shd w:val="clear" w:color="auto" w:fill="ffffff"/>
        </w:rPr>
        <w:t xml:space="preserve">采购单位：昆山市花桥镇人民政府</w:t>
      </w:r>
      <w:r>
        <w:rPr>
          <w:rFonts w:hint="eastAsia" w:ascii="宋体" w:hAnsi="宋体"/>
          <w:color w:val="000000"/>
          <w:sz w:val="28"/>
          <w:szCs w:val="28"/>
          <w:highlight w:val="none"/>
          <w:shd w:val="clear" w:color="auto" w:fill="ffffff"/>
        </w:rPr>
      </w:r>
      <w:r/>
    </w:p>
    <w:p>
      <w:pPr>
        <w:pStyle w:val="947"/>
        <w:ind w:firstLine="1764"/>
        <w:spacing w:line="360" w:lineRule="auto"/>
        <w:rPr>
          <w:rFonts w:hint="eastAsia" w:ascii="宋体" w:hAnsi="宋体"/>
          <w:color w:val="000000"/>
          <w:spacing w:val="-14"/>
          <w:sz w:val="28"/>
          <w:highlight w:val="none"/>
          <w:shd w:val="clear" w:color="auto" w:fill="ffffff"/>
        </w:rPr>
      </w:pPr>
      <w:r>
        <w:rPr>
          <w:rFonts w:hint="eastAsia" w:ascii="宋体" w:hAnsi="宋体"/>
          <w:color w:val="000000"/>
          <w:spacing w:val="-14"/>
          <w:sz w:val="28"/>
          <w:highlight w:val="none"/>
          <w:shd w:val="clear" w:color="auto" w:fill="ffffff"/>
        </w:rPr>
      </w:r>
      <w:r/>
    </w:p>
    <w:p>
      <w:pPr>
        <w:pStyle w:val="947"/>
        <w:ind w:firstLine="2448"/>
        <w:spacing w:line="360" w:lineRule="auto"/>
        <w:rPr>
          <w:rFonts w:hint="eastAsia" w:ascii="宋体" w:hAnsi="宋体"/>
          <w:color w:val="000000"/>
          <w:spacing w:val="-14"/>
          <w:sz w:val="30"/>
          <w:highlight w:val="none"/>
          <w:shd w:val="clear" w:color="auto" w:fill="ffffff"/>
        </w:rPr>
      </w:pPr>
      <w:r>
        <w:rPr>
          <w:rFonts w:hint="eastAsia" w:ascii="宋体" w:hAnsi="宋体"/>
          <w:color w:val="000000"/>
          <w:spacing w:val="-14"/>
          <w:sz w:val="30"/>
          <w:highlight w:val="none"/>
          <w:shd w:val="clear" w:color="auto" w:fill="ffffff"/>
        </w:rPr>
      </w:r>
      <w:r/>
    </w:p>
    <w:p>
      <w:pPr>
        <w:pStyle w:val="947"/>
        <w:ind w:firstLine="2448"/>
        <w:spacing w:line="360" w:lineRule="auto"/>
        <w:rPr>
          <w:rFonts w:hint="eastAsia" w:ascii="宋体" w:hAnsi="宋体"/>
          <w:color w:val="000000"/>
          <w:spacing w:val="-14"/>
          <w:sz w:val="30"/>
          <w:highlight w:val="none"/>
          <w:shd w:val="clear" w:color="auto" w:fill="ffffff"/>
        </w:rPr>
      </w:pPr>
      <w:r>
        <w:rPr>
          <w:rFonts w:hint="eastAsia" w:ascii="宋体" w:hAnsi="宋体"/>
          <w:color w:val="000000"/>
          <w:spacing w:val="-14"/>
          <w:sz w:val="30"/>
          <w:highlight w:val="none"/>
          <w:shd w:val="clear" w:color="auto" w:fill="ffffff"/>
        </w:rPr>
      </w:r>
      <w:r/>
    </w:p>
    <w:p>
      <w:pPr>
        <w:pStyle w:val="947"/>
        <w:ind w:firstLine="2448"/>
        <w:spacing w:line="360" w:lineRule="auto"/>
        <w:rPr>
          <w:rFonts w:hint="eastAsia" w:ascii="宋体" w:hAnsi="宋体"/>
          <w:color w:val="000000"/>
          <w:spacing w:val="-14"/>
          <w:sz w:val="30"/>
          <w:highlight w:val="none"/>
          <w:shd w:val="clear" w:color="auto" w:fill="ffffff"/>
        </w:rPr>
      </w:pPr>
      <w:r>
        <w:rPr>
          <w:rFonts w:hint="eastAsia" w:ascii="宋体" w:hAnsi="宋体"/>
          <w:color w:val="000000"/>
          <w:spacing w:val="-14"/>
          <w:sz w:val="30"/>
          <w:highlight w:val="none"/>
          <w:shd w:val="clear" w:color="auto" w:fill="ffffff"/>
        </w:rPr>
      </w:r>
      <w:r/>
    </w:p>
    <w:p>
      <w:pPr>
        <w:pStyle w:val="947"/>
        <w:ind w:firstLine="2448"/>
        <w:spacing w:line="360" w:lineRule="auto"/>
        <w:rPr>
          <w:rFonts w:hint="eastAsia" w:ascii="宋体" w:hAnsi="宋体"/>
          <w:color w:val="000000"/>
          <w:spacing w:val="-14"/>
          <w:sz w:val="30"/>
          <w:highlight w:val="none"/>
          <w:shd w:val="clear" w:color="auto" w:fill="ffffff"/>
        </w:rPr>
      </w:pPr>
      <w:r>
        <w:rPr>
          <w:rFonts w:hint="eastAsia" w:ascii="宋体" w:hAnsi="宋体"/>
          <w:color w:val="000000"/>
          <w:spacing w:val="-14"/>
          <w:sz w:val="30"/>
          <w:highlight w:val="none"/>
          <w:shd w:val="clear" w:color="auto" w:fill="ffffff"/>
        </w:rPr>
      </w:r>
      <w:r/>
    </w:p>
    <w:p>
      <w:pPr>
        <w:pStyle w:val="947"/>
        <w:ind w:firstLine="2448"/>
        <w:spacing w:line="360" w:lineRule="auto"/>
        <w:rPr>
          <w:rFonts w:hint="eastAsia" w:ascii="宋体" w:hAnsi="宋体"/>
          <w:color w:val="000000"/>
          <w:spacing w:val="-14"/>
          <w:sz w:val="30"/>
          <w:highlight w:val="none"/>
          <w:shd w:val="clear" w:color="auto" w:fill="ffffff"/>
        </w:rPr>
      </w:pPr>
      <w:r>
        <w:rPr>
          <w:rFonts w:hint="eastAsia" w:ascii="宋体" w:hAnsi="宋体"/>
          <w:color w:val="000000"/>
          <w:spacing w:val="-14"/>
          <w:sz w:val="30"/>
          <w:highlight w:val="none"/>
          <w:shd w:val="clear" w:color="auto" w:fill="ffffff"/>
        </w:rPr>
      </w:r>
      <w:r/>
    </w:p>
    <w:p>
      <w:pPr>
        <w:pStyle w:val="1046"/>
        <w:rPr>
          <w:rFonts w:hint="eastAsia" w:ascii="Tahoma" w:hAnsi="Tahoma"/>
          <w:color w:val="000000"/>
          <w:sz w:val="24"/>
          <w:szCs w:val="24"/>
          <w:highlight w:val="none"/>
          <w:shd w:val="clear" w:color="auto" w:fill="ffffff"/>
        </w:rPr>
      </w:pPr>
      <w:r>
        <w:rPr>
          <w:rFonts w:hint="eastAsia" w:ascii="Tahoma" w:hAnsi="Tahoma"/>
          <w:color w:val="000000"/>
          <w:sz w:val="24"/>
          <w:szCs w:val="24"/>
          <w:highlight w:val="none"/>
          <w:shd w:val="clear" w:color="auto" w:fill="ffffff"/>
        </w:rPr>
      </w:r>
      <w:r/>
    </w:p>
    <w:p>
      <w:pPr>
        <w:pStyle w:val="947"/>
        <w:spacing w:line="360" w:lineRule="auto"/>
        <w:rPr>
          <w:rFonts w:hint="eastAsia" w:ascii="宋体" w:hAnsi="宋体"/>
          <w:color w:val="000000"/>
          <w:spacing w:val="-14"/>
          <w:sz w:val="30"/>
          <w:highlight w:val="none"/>
          <w:shd w:val="clear" w:color="auto" w:fill="ffffff"/>
        </w:rPr>
      </w:pPr>
      <w:r>
        <w:rPr>
          <w:rFonts w:hint="eastAsia" w:ascii="宋体" w:hAnsi="宋体"/>
          <w:color w:val="000000"/>
          <w:spacing w:val="-14"/>
          <w:sz w:val="30"/>
          <w:highlight w:val="none"/>
          <w:shd w:val="clear" w:color="auto" w:fill="ffffff"/>
        </w:rPr>
      </w:r>
      <w:r/>
    </w:p>
    <w:p>
      <w:pPr>
        <w:pStyle w:val="947"/>
        <w:jc w:val="center"/>
        <w:spacing w:line="360" w:lineRule="auto"/>
        <w:rPr>
          <w:rFonts w:hint="eastAsia" w:ascii="宋体" w:hAnsi="宋体"/>
          <w:color w:val="000000"/>
          <w:sz w:val="30"/>
          <w:szCs w:val="30"/>
          <w:highlight w:val="none"/>
          <w:shd w:val="clear" w:color="auto" w:fill="ffffff"/>
        </w:rPr>
      </w:pPr>
      <w:r>
        <w:rPr>
          <w:rFonts w:hint="eastAsia" w:ascii="宋体" w:hAnsi="宋体"/>
          <w:color w:val="000000"/>
          <w:spacing w:val="-14"/>
          <w:sz w:val="30"/>
          <w:szCs w:val="30"/>
          <w:highlight w:val="none"/>
          <w:shd w:val="clear" w:color="auto" w:fill="ffffff"/>
        </w:rPr>
        <w:t xml:space="preserve">苏州正信工程造价咨询事务所有限责任公司</w:t>
      </w:r>
      <w:r>
        <w:rPr>
          <w:rFonts w:hint="eastAsia" w:ascii="宋体" w:hAnsi="宋体"/>
          <w:color w:val="000000"/>
          <w:sz w:val="30"/>
          <w:szCs w:val="30"/>
          <w:highlight w:val="none"/>
          <w:shd w:val="clear" w:color="auto" w:fill="ffffff"/>
        </w:rPr>
      </w:r>
      <w:r/>
    </w:p>
    <w:p>
      <w:pPr>
        <w:pStyle w:val="947"/>
        <w:jc w:val="center"/>
        <w:spacing w:line="360" w:lineRule="auto"/>
        <w:rPr>
          <w:rFonts w:hint="eastAsia" w:ascii="宋体" w:hAnsi="宋体"/>
          <w:color w:val="000000"/>
          <w:sz w:val="30"/>
          <w:szCs w:val="30"/>
          <w:highlight w:val="none"/>
          <w:shd w:val="clear" w:color="auto" w:fill="ffffff"/>
        </w:rPr>
      </w:pPr>
      <w:r>
        <w:rPr>
          <w:rFonts w:hint="eastAsia" w:ascii="宋体" w:hAnsi="宋体"/>
          <w:color w:val="000000"/>
          <w:sz w:val="30"/>
          <w:szCs w:val="30"/>
          <w:highlight w:val="none"/>
          <w:shd w:val="clear" w:color="auto" w:fill="ffffff"/>
        </w:rPr>
        <w:t xml:space="preserve">二〇二六年八月</w:t>
      </w:r>
      <w:r>
        <w:rPr>
          <w:rFonts w:hint="eastAsia" w:ascii="宋体" w:hAnsi="宋体"/>
          <w:color w:val="000000"/>
          <w:sz w:val="30"/>
          <w:szCs w:val="30"/>
          <w:highlight w:val="none"/>
          <w:shd w:val="clear" w:color="auto" w:fill="ffffff"/>
        </w:rPr>
      </w:r>
      <w:r/>
    </w:p>
    <w:p>
      <w:pPr>
        <w:pStyle w:val="947"/>
        <w:jc w:val="center"/>
        <w:spacing w:line="360" w:lineRule="auto"/>
        <w:rPr>
          <w:rFonts w:hint="eastAsia" w:ascii="黑体" w:eastAsia="黑体"/>
          <w:b/>
          <w:color w:val="000000"/>
          <w:sz w:val="72"/>
          <w:highlight w:val="none"/>
          <w:shd w:val="clear" w:color="auto" w:fill="ffffff"/>
        </w:rPr>
      </w:pPr>
      <w:r>
        <w:rPr>
          <w:rFonts w:hint="eastAsia" w:ascii="黑体" w:eastAsia="黑体"/>
          <w:b/>
          <w:color w:val="000000"/>
          <w:sz w:val="72"/>
          <w:highlight w:val="none"/>
          <w:shd w:val="clear" w:color="auto" w:fill="ffffff"/>
        </w:rPr>
      </w:r>
      <w:r/>
    </w:p>
    <w:p>
      <w:pPr>
        <w:pStyle w:val="960"/>
        <w:ind w:firstLine="0"/>
        <w:jc w:val="center"/>
        <w:spacing w:line="360" w:lineRule="auto"/>
        <w:rPr>
          <w:rFonts w:hint="eastAsia" w:eastAsia="宋体"/>
          <w:b/>
          <w:color w:val="000000"/>
          <w:sz w:val="44"/>
          <w:highlight w:val="none"/>
          <w:shd w:val="clear" w:color="auto" w:fill="ffffff"/>
        </w:rPr>
      </w:pPr>
      <w:r>
        <w:rPr>
          <w:rFonts w:hint="eastAsia" w:eastAsia="宋体"/>
          <w:b/>
          <w:color w:val="000000"/>
          <w:sz w:val="44"/>
          <w:highlight w:val="none"/>
          <w:shd w:val="clear" w:color="auto" w:fill="ffffff"/>
        </w:rPr>
        <w:t xml:space="preserve">总  目  录</w:t>
      </w:r>
      <w:r>
        <w:rPr>
          <w:rFonts w:hint="eastAsia" w:eastAsia="宋体"/>
          <w:b/>
          <w:color w:val="000000"/>
          <w:sz w:val="44"/>
          <w:highlight w:val="none"/>
          <w:shd w:val="clear" w:color="auto" w:fill="ffffff"/>
        </w:rPr>
      </w:r>
      <w:r/>
    </w:p>
    <w:p>
      <w:pPr>
        <w:pStyle w:val="960"/>
        <w:ind w:firstLine="0"/>
        <w:jc w:val="center"/>
        <w:spacing w:line="360" w:lineRule="auto"/>
        <w:tabs>
          <w:tab w:val="left" w:pos="6946" w:leader="none"/>
        </w:tabs>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960"/>
        <w:ind w:firstLine="0"/>
        <w:jc w:val="center"/>
        <w:spacing w:line="360" w:lineRule="auto"/>
        <w:tabs>
          <w:tab w:val="left" w:pos="6946" w:leader="none"/>
        </w:tabs>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1004"/>
        <w:spacing w:line="480" w:lineRule="auto"/>
        <w:tabs>
          <w:tab w:val="right" w:pos="9638" w:leader="dot"/>
        </w:tabs>
        <w:rPr>
          <w:color w:val="000000"/>
          <w:sz w:val="28"/>
          <w:szCs w:val="21"/>
          <w:highlight w:val="none"/>
        </w:rPr>
      </w:pPr>
      <w:r>
        <w:rPr>
          <w:rFonts w:ascii="宋体" w:hAnsi="宋体" w:eastAsia="宋体"/>
          <w:color w:val="000000"/>
          <w:sz w:val="28"/>
          <w:szCs w:val="28"/>
          <w:highlight w:val="none"/>
          <w:shd w:val="clear" w:color="auto" w:fill="ffffff"/>
        </w:rPr>
        <w:fldChar w:fldCharType="begin"/>
      </w:r>
      <w:r>
        <w:rPr>
          <w:rFonts w:ascii="宋体" w:hAnsi="宋体" w:eastAsia="宋体"/>
          <w:color w:val="000000"/>
          <w:sz w:val="28"/>
          <w:szCs w:val="28"/>
          <w:highlight w:val="none"/>
          <w:shd w:val="clear" w:color="auto" w:fill="ffffff"/>
        </w:rPr>
        <w:instrText xml:space="preserve"> TOC \o "1-1" </w:instrText>
      </w:r>
      <w:r>
        <w:rPr>
          <w:rFonts w:ascii="宋体" w:hAnsi="宋体" w:eastAsia="宋体"/>
          <w:color w:val="000000"/>
          <w:sz w:val="28"/>
          <w:szCs w:val="28"/>
          <w:highlight w:val="none"/>
          <w:shd w:val="clear" w:color="auto" w:fill="ffffff"/>
        </w:rPr>
        <w:fldChar w:fldCharType="separate"/>
      </w:r>
      <w:r>
        <w:rPr>
          <w:color w:val="000000"/>
          <w:sz w:val="28"/>
          <w:szCs w:val="21"/>
          <w:highlight w:val="none"/>
          <w:shd w:val="clear" w:color="auto" w:fill="ffffff"/>
        </w:rPr>
        <w:t xml:space="preserve">第一章 </w:t>
      </w:r>
      <w:r>
        <w:rPr>
          <w:rFonts w:hint="eastAsia"/>
          <w:color w:val="000000"/>
          <w:sz w:val="28"/>
          <w:szCs w:val="21"/>
          <w:highlight w:val="none"/>
          <w:shd w:val="clear" w:color="auto" w:fill="ffffff"/>
        </w:rPr>
        <w:t xml:space="preserve">投标邀请函</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_Toc3096 \h </w:instrText>
      </w:r>
      <w:r>
        <w:rPr>
          <w:color w:val="000000"/>
          <w:sz w:val="28"/>
          <w:szCs w:val="21"/>
          <w:highlight w:val="none"/>
        </w:rPr>
        <w:fldChar w:fldCharType="separate"/>
      </w:r>
      <w:r>
        <w:rPr>
          <w:color w:val="000000"/>
          <w:sz w:val="28"/>
          <w:szCs w:val="21"/>
          <w:highlight w:val="none"/>
        </w:rPr>
        <w:t xml:space="preserve">3</w:t>
      </w:r>
      <w:r>
        <w:rPr>
          <w:color w:val="000000"/>
          <w:sz w:val="28"/>
          <w:szCs w:val="21"/>
          <w:highlight w:val="none"/>
        </w:rPr>
        <w:fldChar w:fldCharType="end"/>
      </w:r>
      <w:r>
        <w:rPr>
          <w:color w:val="000000"/>
          <w:sz w:val="28"/>
          <w:szCs w:val="21"/>
          <w:highlight w:val="none"/>
        </w:rPr>
      </w:r>
      <w:r/>
    </w:p>
    <w:p>
      <w:pPr>
        <w:pStyle w:val="1004"/>
        <w:spacing w:line="480" w:lineRule="auto"/>
        <w:tabs>
          <w:tab w:val="right" w:pos="9638" w:leader="dot"/>
        </w:tabs>
        <w:rPr>
          <w:color w:val="000000"/>
          <w:sz w:val="28"/>
          <w:szCs w:val="21"/>
          <w:highlight w:val="none"/>
        </w:rPr>
      </w:pPr>
      <w:r>
        <w:rPr>
          <w:rFonts w:hint="eastAsia"/>
          <w:color w:val="000000"/>
          <w:sz w:val="28"/>
          <w:szCs w:val="21"/>
          <w:highlight w:val="none"/>
          <w:shd w:val="clear" w:color="auto" w:fill="ffffff"/>
        </w:rPr>
        <w:t xml:space="preserve">第二章 投标人须知</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_Toc9825 \h </w:instrText>
      </w:r>
      <w:r>
        <w:rPr>
          <w:color w:val="000000"/>
          <w:sz w:val="28"/>
          <w:szCs w:val="21"/>
          <w:highlight w:val="none"/>
        </w:rPr>
        <w:fldChar w:fldCharType="separate"/>
      </w:r>
      <w:r>
        <w:rPr>
          <w:color w:val="000000"/>
          <w:sz w:val="28"/>
          <w:szCs w:val="21"/>
          <w:highlight w:val="none"/>
        </w:rPr>
        <w:t xml:space="preserve">6</w:t>
      </w:r>
      <w:r>
        <w:rPr>
          <w:color w:val="000000"/>
          <w:sz w:val="28"/>
          <w:szCs w:val="21"/>
          <w:highlight w:val="none"/>
        </w:rPr>
        <w:fldChar w:fldCharType="end"/>
      </w:r>
      <w:r>
        <w:rPr>
          <w:color w:val="000000"/>
          <w:sz w:val="28"/>
          <w:szCs w:val="21"/>
          <w:highlight w:val="none"/>
        </w:rPr>
      </w:r>
      <w:r/>
    </w:p>
    <w:p>
      <w:pPr>
        <w:pStyle w:val="1004"/>
        <w:spacing w:line="480" w:lineRule="auto"/>
        <w:tabs>
          <w:tab w:val="right" w:pos="9638" w:leader="dot"/>
        </w:tabs>
        <w:rPr>
          <w:color w:val="000000"/>
          <w:sz w:val="28"/>
          <w:szCs w:val="21"/>
          <w:highlight w:val="none"/>
        </w:rPr>
      </w:pPr>
      <w:r>
        <w:rPr>
          <w:rFonts w:hint="eastAsia"/>
          <w:color w:val="000000"/>
          <w:sz w:val="28"/>
          <w:szCs w:val="21"/>
          <w:highlight w:val="none"/>
          <w:shd w:val="clear" w:color="auto" w:fill="ffffff"/>
        </w:rPr>
        <w:t xml:space="preserve">第三章</w:t>
      </w:r>
      <w:r>
        <w:rPr>
          <w:color w:val="000000"/>
          <w:sz w:val="28"/>
          <w:szCs w:val="21"/>
          <w:highlight w:val="none"/>
          <w:shd w:val="clear" w:color="auto" w:fill="ffffff"/>
        </w:rPr>
        <w:t xml:space="preserve"> </w:t>
      </w:r>
      <w:r>
        <w:rPr>
          <w:rFonts w:hint="eastAsia"/>
          <w:color w:val="000000"/>
          <w:sz w:val="28"/>
          <w:szCs w:val="21"/>
          <w:highlight w:val="none"/>
          <w:shd w:val="clear" w:color="auto" w:fill="ffffff"/>
        </w:rPr>
        <w:t xml:space="preserve">投标文件格式</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_Toc24886 \h </w:instrText>
      </w:r>
      <w:r>
        <w:rPr>
          <w:color w:val="000000"/>
          <w:sz w:val="28"/>
          <w:szCs w:val="21"/>
          <w:highlight w:val="none"/>
        </w:rPr>
        <w:fldChar w:fldCharType="separate"/>
      </w:r>
      <w:r>
        <w:rPr>
          <w:color w:val="000000"/>
          <w:sz w:val="28"/>
          <w:szCs w:val="21"/>
          <w:highlight w:val="none"/>
        </w:rPr>
        <w:t xml:space="preserve">15</w:t>
      </w:r>
      <w:r>
        <w:rPr>
          <w:color w:val="000000"/>
          <w:sz w:val="28"/>
          <w:szCs w:val="21"/>
          <w:highlight w:val="none"/>
        </w:rPr>
        <w:fldChar w:fldCharType="end"/>
      </w:r>
      <w:r>
        <w:rPr>
          <w:color w:val="000000"/>
          <w:sz w:val="28"/>
          <w:szCs w:val="21"/>
          <w:highlight w:val="none"/>
        </w:rPr>
      </w:r>
      <w:r/>
    </w:p>
    <w:p>
      <w:pPr>
        <w:pStyle w:val="1004"/>
        <w:spacing w:line="480" w:lineRule="auto"/>
        <w:tabs>
          <w:tab w:val="right" w:pos="9638" w:leader="dot"/>
        </w:tabs>
        <w:rPr>
          <w:color w:val="000000"/>
          <w:sz w:val="28"/>
          <w:szCs w:val="21"/>
          <w:highlight w:val="none"/>
        </w:rPr>
      </w:pPr>
      <w:r>
        <w:rPr>
          <w:rFonts w:hint="eastAsia"/>
          <w:color w:val="000000"/>
          <w:sz w:val="28"/>
          <w:szCs w:val="21"/>
          <w:highlight w:val="none"/>
          <w:shd w:val="clear" w:color="auto" w:fill="ffffff"/>
        </w:rPr>
        <w:t xml:space="preserve">第四章 招标书</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_Toc26775 \h </w:instrText>
      </w:r>
      <w:r>
        <w:rPr>
          <w:color w:val="000000"/>
          <w:sz w:val="28"/>
          <w:szCs w:val="21"/>
          <w:highlight w:val="none"/>
        </w:rPr>
        <w:fldChar w:fldCharType="separate"/>
      </w:r>
      <w:r>
        <w:rPr>
          <w:color w:val="000000"/>
          <w:sz w:val="28"/>
          <w:szCs w:val="21"/>
          <w:highlight w:val="none"/>
        </w:rPr>
        <w:t xml:space="preserve">35</w:t>
      </w:r>
      <w:r>
        <w:rPr>
          <w:color w:val="000000"/>
          <w:sz w:val="28"/>
          <w:szCs w:val="21"/>
          <w:highlight w:val="none"/>
        </w:rPr>
        <w:fldChar w:fldCharType="end"/>
      </w:r>
      <w:r>
        <w:rPr>
          <w:color w:val="000000"/>
          <w:sz w:val="28"/>
          <w:szCs w:val="21"/>
          <w:highlight w:val="none"/>
        </w:rPr>
      </w:r>
      <w:r/>
    </w:p>
    <w:p>
      <w:pPr>
        <w:pStyle w:val="1004"/>
        <w:spacing w:line="480" w:lineRule="auto"/>
        <w:tabs>
          <w:tab w:val="right" w:pos="9638" w:leader="dot"/>
        </w:tabs>
        <w:rPr>
          <w:color w:val="000000"/>
          <w:sz w:val="28"/>
          <w:szCs w:val="21"/>
          <w:highlight w:val="none"/>
        </w:rPr>
      </w:pPr>
      <w:r>
        <w:rPr>
          <w:rFonts w:hint="eastAsia"/>
          <w:color w:val="000000"/>
          <w:sz w:val="28"/>
          <w:szCs w:val="21"/>
          <w:highlight w:val="none"/>
          <w:shd w:val="clear" w:color="auto" w:fill="ffffff"/>
        </w:rPr>
        <w:t xml:space="preserve">第五章 </w:t>
      </w:r>
      <w:r>
        <w:rPr>
          <w:rFonts w:hint="eastAsia"/>
          <w:color w:val="000000"/>
          <w:sz w:val="28"/>
          <w:szCs w:val="21"/>
          <w:highlight w:val="none"/>
        </w:rPr>
        <w:t xml:space="preserve">合同主要内容</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_Toc27656 \h </w:instrText>
      </w:r>
      <w:r>
        <w:rPr>
          <w:color w:val="000000"/>
          <w:sz w:val="28"/>
          <w:szCs w:val="21"/>
          <w:highlight w:val="none"/>
        </w:rPr>
        <w:fldChar w:fldCharType="separate"/>
      </w:r>
      <w:r>
        <w:rPr>
          <w:color w:val="000000"/>
          <w:sz w:val="28"/>
          <w:szCs w:val="21"/>
          <w:highlight w:val="none"/>
        </w:rPr>
        <w:t xml:space="preserve">40</w:t>
      </w:r>
      <w:r>
        <w:rPr>
          <w:color w:val="000000"/>
          <w:sz w:val="28"/>
          <w:szCs w:val="21"/>
          <w:highlight w:val="none"/>
        </w:rPr>
        <w:fldChar w:fldCharType="end"/>
      </w:r>
      <w:r>
        <w:rPr>
          <w:color w:val="000000"/>
          <w:sz w:val="28"/>
          <w:szCs w:val="21"/>
          <w:highlight w:val="none"/>
        </w:rPr>
      </w:r>
      <w:r/>
    </w:p>
    <w:p>
      <w:pPr>
        <w:pStyle w:val="1004"/>
        <w:spacing w:line="480" w:lineRule="auto"/>
        <w:tabs>
          <w:tab w:val="right" w:pos="9638" w:leader="dot"/>
        </w:tabs>
        <w:rPr>
          <w:color w:val="000000"/>
          <w:sz w:val="28"/>
          <w:szCs w:val="21"/>
          <w:highlight w:val="none"/>
        </w:rPr>
      </w:pPr>
      <w:r>
        <w:rPr>
          <w:rFonts w:hint="eastAsia"/>
          <w:color w:val="000000"/>
          <w:sz w:val="28"/>
          <w:szCs w:val="21"/>
          <w:highlight w:val="none"/>
          <w:shd w:val="clear" w:color="auto" w:fill="ffffff"/>
        </w:rPr>
        <w:t xml:space="preserve">第六章</w:t>
      </w:r>
      <w:r>
        <w:rPr>
          <w:color w:val="000000"/>
          <w:sz w:val="28"/>
          <w:szCs w:val="21"/>
          <w:highlight w:val="none"/>
          <w:shd w:val="clear" w:color="auto" w:fill="ffffff"/>
        </w:rPr>
        <w:t xml:space="preserve"> </w:t>
      </w:r>
      <w:r>
        <w:rPr>
          <w:rFonts w:hint="eastAsia"/>
          <w:color w:val="000000"/>
          <w:sz w:val="28"/>
          <w:szCs w:val="21"/>
          <w:highlight w:val="none"/>
          <w:shd w:val="clear" w:color="auto" w:fill="ffffff"/>
        </w:rPr>
        <w:t xml:space="preserve">评标方法、评分标准</w:t>
      </w:r>
      <w:r>
        <w:rPr>
          <w:color w:val="000000"/>
          <w:sz w:val="28"/>
          <w:szCs w:val="21"/>
          <w:highlight w:val="none"/>
        </w:rPr>
        <w:tab/>
      </w:r>
      <w:r>
        <w:rPr>
          <w:color w:val="000000"/>
          <w:sz w:val="28"/>
          <w:szCs w:val="21"/>
          <w:highlight w:val="none"/>
        </w:rPr>
        <w:fldChar w:fldCharType="begin"/>
      </w:r>
      <w:r>
        <w:rPr>
          <w:color w:val="000000"/>
          <w:sz w:val="28"/>
          <w:szCs w:val="21"/>
          <w:highlight w:val="none"/>
        </w:rPr>
        <w:instrText xml:space="preserve"> PAGEREF _Toc4457 \h </w:instrText>
      </w:r>
      <w:r>
        <w:rPr>
          <w:color w:val="000000"/>
          <w:sz w:val="28"/>
          <w:szCs w:val="21"/>
          <w:highlight w:val="none"/>
        </w:rPr>
        <w:fldChar w:fldCharType="separate"/>
      </w:r>
      <w:r>
        <w:rPr>
          <w:color w:val="000000"/>
          <w:sz w:val="28"/>
          <w:szCs w:val="21"/>
          <w:highlight w:val="none"/>
        </w:rPr>
        <w:t xml:space="preserve">52</w:t>
      </w:r>
      <w:r>
        <w:rPr>
          <w:color w:val="000000"/>
          <w:sz w:val="28"/>
          <w:szCs w:val="21"/>
          <w:highlight w:val="none"/>
        </w:rPr>
        <w:fldChar w:fldCharType="end"/>
      </w:r>
      <w:r>
        <w:rPr>
          <w:color w:val="000000"/>
          <w:sz w:val="28"/>
          <w:szCs w:val="21"/>
          <w:highlight w:val="none"/>
        </w:rPr>
      </w:r>
      <w:r/>
    </w:p>
    <w:p>
      <w:pPr>
        <w:pStyle w:val="960"/>
        <w:ind w:firstLine="786"/>
        <w:jc w:val="both"/>
        <w:spacing w:line="480" w:lineRule="auto"/>
        <w:tabs>
          <w:tab w:val="right" w:pos="7740" w:leader="dot"/>
        </w:tabs>
        <w:rPr>
          <w:rFonts w:hint="eastAsia" w:ascii="宋体" w:hAnsi="宋体" w:eastAsia="黑体"/>
          <w:color w:val="000000"/>
          <w:sz w:val="30"/>
          <w:highlight w:val="none"/>
          <w:shd w:val="clear" w:color="auto" w:fill="ffffff"/>
        </w:rPr>
      </w:pPr>
      <w:r>
        <w:rPr>
          <w:rFonts w:ascii="宋体" w:hAnsi="宋体" w:eastAsia="宋体"/>
          <w:color w:val="000000"/>
          <w:sz w:val="28"/>
          <w:szCs w:val="28"/>
          <w:highlight w:val="none"/>
          <w:shd w:val="clear" w:color="auto" w:fill="ffffff"/>
        </w:rPr>
        <w:fldChar w:fldCharType="end"/>
      </w:r>
      <w:r>
        <w:rPr>
          <w:rFonts w:hint="eastAsia" w:ascii="宋体" w:hAnsi="宋体" w:eastAsia="黑体"/>
          <w:color w:val="000000"/>
          <w:sz w:val="30"/>
          <w:highlight w:val="none"/>
          <w:shd w:val="clear" w:color="auto" w:fill="ffffff"/>
        </w:rPr>
      </w:r>
      <w:r/>
    </w:p>
    <w:p>
      <w:pPr>
        <w:pStyle w:val="960"/>
        <w:ind w:firstLine="0"/>
        <w:spacing w:line="360" w:lineRule="auto"/>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960"/>
        <w:ind w:firstLine="0"/>
        <w:spacing w:line="360" w:lineRule="auto"/>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960"/>
        <w:ind w:firstLine="0"/>
        <w:spacing w:line="360" w:lineRule="auto"/>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960"/>
        <w:ind w:firstLine="0"/>
        <w:spacing w:line="360" w:lineRule="auto"/>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960"/>
        <w:ind w:firstLine="0"/>
        <w:spacing w:line="360" w:lineRule="auto"/>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960"/>
        <w:ind w:firstLine="0"/>
        <w:spacing w:line="360" w:lineRule="auto"/>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960"/>
        <w:ind w:firstLine="0"/>
        <w:spacing w:line="360" w:lineRule="auto"/>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960"/>
        <w:ind w:firstLine="0"/>
        <w:spacing w:line="360" w:lineRule="auto"/>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960"/>
        <w:ind w:firstLine="0"/>
        <w:spacing w:line="360" w:lineRule="auto"/>
        <w:rPr>
          <w:rFonts w:hint="eastAsia" w:ascii="宋体" w:hAnsi="宋体" w:eastAsia="黑体"/>
          <w:color w:val="000000"/>
          <w:sz w:val="30"/>
          <w:highlight w:val="none"/>
          <w:shd w:val="clear" w:color="auto" w:fill="ffffff"/>
        </w:rPr>
      </w:pPr>
      <w:r>
        <w:rPr>
          <w:rFonts w:hint="eastAsia" w:ascii="宋体" w:hAnsi="宋体" w:eastAsia="黑体"/>
          <w:color w:val="000000"/>
          <w:sz w:val="30"/>
          <w:highlight w:val="none"/>
          <w:shd w:val="clear" w:color="auto" w:fill="ffffff"/>
        </w:rPr>
      </w:r>
      <w:r/>
    </w:p>
    <w:p>
      <w:pPr>
        <w:pStyle w:val="948"/>
        <w:numPr>
          <w:ilvl w:val="0"/>
          <w:numId w:val="14"/>
        </w:numPr>
        <w:jc w:val="center"/>
        <w:spacing w:line="360" w:lineRule="auto"/>
        <w:rPr>
          <w:rFonts w:hint="eastAsia"/>
          <w:color w:val="000000"/>
          <w:highlight w:val="none"/>
          <w:shd w:val="clear" w:color="auto" w:fill="ffffff"/>
        </w:rPr>
      </w:pPr>
      <w:r/>
      <w:bookmarkStart w:id="0" w:name="_Toc276023188"/>
      <w:r/>
      <w:bookmarkStart w:id="1" w:name="_Toc233272226"/>
      <w:r/>
      <w:bookmarkStart w:id="2" w:name="_Toc3096"/>
      <w:r>
        <w:rPr>
          <w:rFonts w:hint="eastAsia"/>
          <w:color w:val="000000"/>
          <w:highlight w:val="none"/>
          <w:shd w:val="clear" w:color="auto" w:fill="ffffff"/>
        </w:rPr>
        <w:t xml:space="preserve">投标邀请函</w:t>
      </w:r>
      <w:bookmarkEnd w:id="0"/>
      <w:r/>
      <w:bookmarkEnd w:id="1"/>
      <w:r/>
      <w:bookmarkEnd w:id="2"/>
      <w:r>
        <w:rPr>
          <w:rFonts w:hint="eastAsia"/>
          <w:color w:val="000000"/>
          <w:highlight w:val="none"/>
          <w:shd w:val="clear" w:color="auto" w:fill="ffffff"/>
        </w:rPr>
      </w:r>
      <w:r/>
    </w:p>
    <w:p>
      <w:pPr>
        <w:pStyle w:val="960"/>
        <w:ind w:firstLine="0"/>
        <w:spacing w:line="360" w:lineRule="auto"/>
        <w:rPr>
          <w:rFonts w:hint="eastAsia" w:ascii="宋体" w:hAnsi="宋体" w:eastAsia="宋体"/>
          <w:color w:val="000000"/>
          <w:sz w:val="21"/>
          <w:szCs w:val="21"/>
          <w:highlight w:val="none"/>
          <w:shd w:val="clear" w:color="auto" w:fill="ffffff"/>
        </w:rPr>
      </w:pPr>
      <w:r>
        <w:rPr>
          <w:rFonts w:hint="eastAsia" w:ascii="宋体" w:hAnsi="宋体" w:eastAsia="宋体"/>
          <w:color w:val="000000"/>
          <w:sz w:val="21"/>
          <w:szCs w:val="21"/>
          <w:highlight w:val="none"/>
          <w:shd w:val="clear" w:color="auto" w:fill="ffffff"/>
        </w:rPr>
        <w:t xml:space="preserve">________________________：</w:t>
      </w:r>
      <w:r>
        <w:rPr>
          <w:rFonts w:hint="eastAsia" w:ascii="宋体" w:hAnsi="宋体" w:eastAsia="宋体"/>
          <w:color w:val="000000"/>
          <w:sz w:val="21"/>
          <w:szCs w:val="21"/>
          <w:highlight w:val="none"/>
          <w:shd w:val="clear" w:color="auto" w:fill="ffffff"/>
        </w:rPr>
      </w:r>
      <w:r/>
    </w:p>
    <w:p>
      <w:pPr>
        <w:pStyle w:val="960"/>
        <w:ind w:firstLine="359"/>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受昆山市花桥镇人民政府委托，苏州正信工程造价咨询事务所有限责任公司对其所需采购的小区生活垃圾分类收运进行国内公开招标。欢迎有资格的供应商前来参加投标。</w:t>
      </w:r>
      <w:r>
        <w:rPr>
          <w:rFonts w:hint="eastAsia" w:ascii="宋体" w:hAnsi="宋体" w:eastAsia="宋体" w:cs="宋体"/>
          <w:color w:val="000000"/>
          <w:sz w:val="21"/>
          <w:szCs w:val="21"/>
          <w:highlight w:val="none"/>
          <w:shd w:val="clear" w:color="auto" w:fill="ffffff"/>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hint="eastAsia" w:ascii="宋体" w:hAnsi="宋体" w:cs="宋体"/>
          <w:b/>
          <w:bCs/>
          <w:color w:val="000000"/>
          <w:szCs w:val="21"/>
          <w:highlight w:val="none"/>
        </w:rPr>
      </w:r>
      <w:r/>
    </w:p>
    <w:p>
      <w:pPr>
        <w:pStyle w:val="947"/>
        <w:ind w:firstLine="359"/>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项目编号：</w:t>
      </w:r>
      <w:r>
        <w:rPr>
          <w:rFonts w:hint="eastAsia" w:ascii="宋体" w:hAnsi="宋体" w:cs="宋体"/>
          <w:color w:val="000000"/>
          <w:szCs w:val="21"/>
          <w:highlight w:val="none"/>
          <w:lang w:eastAsia="zh-CN"/>
        </w:rPr>
        <w:t xml:space="preserve">JSZC-320583-ZXCG-G2026-0008</w:t>
      </w:r>
      <w:r>
        <w:rPr>
          <w:rFonts w:hint="eastAsia" w:ascii="宋体" w:hAnsi="宋体" w:eastAsia="宋体" w:cs="宋体"/>
          <w:color w:val="000000"/>
          <w:szCs w:val="21"/>
          <w:highlight w:val="none"/>
          <w:lang w:eastAsia="zh-CN"/>
        </w:rPr>
      </w:r>
      <w:r/>
    </w:p>
    <w:p>
      <w:pPr>
        <w:pStyle w:val="947"/>
        <w:ind w:firstLine="359"/>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CN"/>
        </w:rPr>
        <w:t xml:space="preserve">项目名称</w:t>
      </w:r>
      <w:r>
        <w:rPr>
          <w:rFonts w:hint="eastAsia" w:ascii="宋体" w:hAnsi="宋体" w:cs="宋体"/>
          <w:bCs/>
          <w:color w:val="000000"/>
          <w:szCs w:val="21"/>
          <w:highlight w:val="none"/>
        </w:rPr>
        <w:t xml:space="preserve">：</w:t>
      </w:r>
      <w:r>
        <w:rPr>
          <w:rFonts w:hint="eastAsia" w:ascii="宋体" w:hAnsi="宋体" w:cs="宋体"/>
          <w:color w:val="000000"/>
          <w:szCs w:val="21"/>
          <w:highlight w:val="none"/>
          <w:shd w:val="clear" w:color="auto" w:fill="ffffff"/>
        </w:rPr>
        <w:t xml:space="preserve">小区生活垃圾分类收运</w:t>
      </w:r>
      <w:r>
        <w:rPr>
          <w:rFonts w:hint="eastAsia" w:ascii="宋体" w:hAnsi="宋体" w:cs="宋体"/>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3.项目类型：服务类</w:t>
      </w:r>
      <w:r>
        <w:rPr>
          <w:rFonts w:hint="eastAsia" w:ascii="宋体" w:hAnsi="宋体" w:cs="宋体"/>
          <w:color w:val="000000"/>
          <w:szCs w:val="21"/>
          <w:highlight w:val="none"/>
        </w:rPr>
      </w:r>
      <w:r/>
    </w:p>
    <w:p>
      <w:pPr>
        <w:pStyle w:val="947"/>
        <w:ind w:firstLine="359"/>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4.预算金额：</w:t>
      </w:r>
      <w:r>
        <w:rPr>
          <w:rFonts w:hint="eastAsia" w:ascii="宋体" w:hAnsi="宋体" w:cs="宋体"/>
          <w:color w:val="000000"/>
          <w:szCs w:val="21"/>
          <w:highlight w:val="none"/>
          <w:shd w:val="clear" w:color="auto" w:fill="ffffff"/>
        </w:rPr>
        <w:t xml:space="preserve">人民币叁仟叁佰万元整（¥33000000.00元）。</w:t>
      </w:r>
      <w:r>
        <w:rPr>
          <w:rFonts w:hint="eastAsia" w:ascii="宋体" w:hAnsi="宋体"/>
          <w:color w:val="000000"/>
          <w:szCs w:val="21"/>
          <w:highlight w:val="none"/>
        </w:rPr>
      </w:r>
      <w:r/>
    </w:p>
    <w:p>
      <w:pPr>
        <w:pStyle w:val="947"/>
        <w:ind w:firstLine="359"/>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5.最高限价：</w:t>
      </w:r>
      <w:r>
        <w:rPr>
          <w:rFonts w:ascii="SimSun" w:hAnsi="SimSun" w:eastAsia="SimSun" w:cs="SimSun"/>
          <w:color w:val="000000"/>
          <w:sz w:val="22"/>
          <w:highlight w:val="white"/>
        </w:rPr>
        <w:t xml:space="preserve">人民币叁仟贰佰捌拾叁万元整（¥32830000.00元）</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r>
      <w:r/>
    </w:p>
    <w:p>
      <w:pPr>
        <w:pStyle w:val="947"/>
        <w:ind w:firstLine="359"/>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6.采购需求：</w:t>
      </w:r>
      <w:r>
        <w:rPr>
          <w:rFonts w:hint="eastAsia" w:ascii="宋体" w:hAnsi="宋体" w:cs="宋体"/>
          <w:color w:val="000000"/>
          <w:szCs w:val="21"/>
          <w:highlight w:val="none"/>
          <w:shd w:val="clear" w:color="auto" w:fill="ffffff"/>
        </w:rPr>
        <w:t xml:space="preserve">详见第四章</w:t>
      </w:r>
      <w:r>
        <w:rPr>
          <w:rFonts w:hint="eastAsia" w:ascii="宋体" w:hAnsi="宋体" w:cs="宋体"/>
          <w:bCs/>
          <w:color w:val="000000"/>
          <w:szCs w:val="21"/>
          <w:highlight w:val="none"/>
        </w:rPr>
      </w:r>
      <w:r/>
    </w:p>
    <w:p>
      <w:pPr>
        <w:pStyle w:val="947"/>
        <w:ind w:firstLine="359"/>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7.合同履行期限：</w:t>
      </w:r>
      <w:r>
        <w:rPr>
          <w:rFonts w:hint="eastAsia" w:hAnsi="宋体" w:cs="宋体"/>
          <w:bCs/>
          <w:color w:val="000000"/>
          <w:szCs w:val="21"/>
          <w:highlight w:val="none"/>
        </w:rPr>
        <w:t xml:space="preserve">贰年</w:t>
      </w:r>
      <w:r>
        <w:rPr>
          <w:rFonts w:hint="eastAsia" w:ascii="宋体" w:hAnsi="宋体" w:cs="宋体"/>
          <w:bCs/>
          <w:color w:val="000000"/>
          <w:szCs w:val="21"/>
          <w:highlight w:val="none"/>
        </w:rPr>
      </w:r>
      <w:r/>
    </w:p>
    <w:p>
      <w:pPr>
        <w:pStyle w:val="947"/>
        <w:ind w:firstLine="359"/>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8.本项目（是/否）接受联合体投标：否</w:t>
      </w:r>
      <w:r>
        <w:rPr>
          <w:rFonts w:hint="eastAsia" w:ascii="宋体" w:hAnsi="宋体" w:cs="宋体"/>
          <w:bCs/>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r>
        <w:rPr>
          <w:rFonts w:hint="eastAsia" w:ascii="宋体" w:hAnsi="宋体" w:cs="宋体"/>
          <w:b/>
          <w:bCs/>
          <w:color w:val="000000"/>
          <w:szCs w:val="21"/>
          <w:highlight w:val="none"/>
        </w:rPr>
      </w:r>
      <w:r/>
    </w:p>
    <w:p>
      <w:pPr>
        <w:pStyle w:val="9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rPr>
      </w:r>
      <w:r/>
    </w:p>
    <w:p>
      <w:pPr>
        <w:pStyle w:val="947"/>
        <w:ind w:firstLine="359"/>
        <w:jc w:val="left"/>
        <w:spacing w:line="360" w:lineRule="auto"/>
        <w:rPr>
          <w:rFonts w:ascii="宋体" w:hAnsi="宋体" w:cs="宋体"/>
          <w:color w:val="000000"/>
          <w:szCs w:val="21"/>
          <w:highlight w:val="none"/>
        </w:rPr>
      </w:pPr>
      <w:r/>
      <w:bookmarkStart w:id="3" w:name="_Toc28359004"/>
      <w:r>
        <w:rPr>
          <w:rFonts w:hint="eastAsia" w:ascii="宋体" w:hAnsi="宋体" w:cs="宋体"/>
          <w:color w:val="000000"/>
          <w:szCs w:val="21"/>
          <w:highlight w:val="none"/>
        </w:rPr>
        <w:t xml:space="preserve">1.具有独立承担民事责任的能力；</w:t>
      </w:r>
      <w:r>
        <w:rPr>
          <w:rFonts w:ascii="宋体" w:hAnsi="宋体" w:cs="宋体"/>
          <w:color w:val="000000"/>
          <w:szCs w:val="21"/>
          <w:highlight w:val="none"/>
        </w:rPr>
      </w:r>
      <w:r/>
    </w:p>
    <w:p>
      <w:pPr>
        <w:pStyle w:val="947"/>
        <w:ind w:firstLine="35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rPr>
          <w:rFonts w:ascii="宋体" w:hAnsi="宋体" w:cs="宋体"/>
          <w:color w:val="000000"/>
          <w:szCs w:val="21"/>
          <w:highlight w:val="none"/>
        </w:rPr>
      </w:r>
      <w:r/>
    </w:p>
    <w:p>
      <w:pPr>
        <w:pStyle w:val="947"/>
        <w:ind w:firstLine="35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rPr>
          <w:rFonts w:ascii="宋体" w:hAnsi="宋体" w:cs="宋体"/>
          <w:color w:val="000000"/>
          <w:szCs w:val="21"/>
          <w:highlight w:val="none"/>
        </w:rPr>
      </w:r>
      <w:r/>
    </w:p>
    <w:p>
      <w:pPr>
        <w:pStyle w:val="947"/>
        <w:ind w:firstLine="35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4.具有依法缴纳税收和社会保障资金的良好记录；</w:t>
      </w:r>
      <w:r>
        <w:rPr>
          <w:rFonts w:ascii="宋体" w:hAnsi="宋体" w:cs="宋体"/>
          <w:color w:val="000000"/>
          <w:szCs w:val="21"/>
          <w:highlight w:val="none"/>
        </w:rPr>
      </w:r>
      <w:r/>
    </w:p>
    <w:p>
      <w:pPr>
        <w:pStyle w:val="947"/>
        <w:ind w:firstLine="35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rPr>
      </w:r>
      <w:r/>
    </w:p>
    <w:p>
      <w:pPr>
        <w:pStyle w:val="947"/>
        <w:ind w:firstLine="35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rPr>
          <w:rFonts w:ascii="宋体" w:hAnsi="宋体" w:cs="宋体"/>
          <w:color w:val="000000"/>
          <w:szCs w:val="21"/>
          <w:highlight w:val="none"/>
        </w:rPr>
      </w:r>
      <w:r/>
    </w:p>
    <w:p>
      <w:pPr>
        <w:pStyle w:val="947"/>
        <w:ind w:firstLine="35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（二）落实政府采购政策需满足的资格要求：</w:t>
      </w:r>
      <w:r>
        <w:rPr>
          <w:b/>
          <w:bCs/>
          <w:color w:val="000000"/>
          <w:szCs w:val="21"/>
          <w:highlight w:val="none"/>
        </w:rPr>
        <w:t xml:space="preserve">本项目专门面向中小企业采购（整体预留），残疾人福利性单位、监狱企业视同小型、微型企业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7"/>
        <w:ind w:firstLine="35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w:t>
      </w:r>
      <w:bookmarkEnd w:id="3"/>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未被“信用中国”网站（www.creditchina.gov.cn）列入失信被执行人、重大税收违法失信主体名单、采购严重违法失信行为记录名单。</w:t>
      </w:r>
      <w:r>
        <w:rPr>
          <w:rFonts w:hint="eastAsia" w:ascii="宋体" w:hAnsi="宋体" w:cs="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rPr>
          <w:rFonts w:hint="eastAsia" w:ascii="宋体" w:hAnsi="宋体" w:cs="宋体"/>
          <w:b/>
          <w:bCs/>
          <w:color w:val="000000"/>
          <w:szCs w:val="21"/>
          <w:highlight w:val="none"/>
        </w:rPr>
      </w:r>
      <w:r/>
    </w:p>
    <w:p>
      <w:pPr>
        <w:pStyle w:val="9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1.时间：</w:t>
      </w:r>
      <w:r>
        <w:rPr>
          <w:rFonts w:ascii="宋体" w:hAnsi="宋体"/>
          <w:color w:val="000000"/>
          <w:szCs w:val="21"/>
          <w:highlight w:val="none"/>
        </w:rPr>
        <w:t xml:space="preserve">上网之日起</w:t>
      </w:r>
      <w:r>
        <w:rPr>
          <w:rFonts w:hint="eastAsia" w:ascii="宋体" w:hAnsi="宋体"/>
          <w:color w:val="000000"/>
          <w:szCs w:val="21"/>
          <w:highlight w:val="none"/>
        </w:rPr>
        <w:t xml:space="preserve">5个工作日内</w:t>
      </w:r>
      <w:r>
        <w:rPr>
          <w:rFonts w:ascii="宋体" w:hAnsi="宋体"/>
          <w:color w:val="000000"/>
          <w:szCs w:val="21"/>
          <w:highlight w:val="none"/>
        </w:rPr>
        <w:t xml:space="preserve">；</w:t>
      </w:r>
      <w:r>
        <w:rPr>
          <w:rFonts w:ascii="宋体" w:hAnsi="宋体" w:cs="宋体"/>
          <w:color w:val="000000"/>
          <w:szCs w:val="21"/>
          <w:highlight w:val="none"/>
        </w:rPr>
      </w:r>
      <w:r/>
    </w:p>
    <w:p>
      <w:pPr>
        <w:pStyle w:val="9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rPr>
          <w:rFonts w:ascii="宋体" w:hAnsi="宋体" w:cs="宋体"/>
          <w:color w:val="000000"/>
          <w:szCs w:val="21"/>
          <w:highlight w:val="none"/>
        </w:rPr>
      </w:r>
      <w:r/>
    </w:p>
    <w:p>
      <w:pPr>
        <w:pStyle w:val="9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3.方式：“苏采云”系统下载</w:t>
      </w:r>
      <w:r>
        <w:rPr>
          <w:rFonts w:ascii="宋体" w:hAnsi="宋体" w:cs="宋体"/>
          <w:color w:val="000000"/>
          <w:szCs w:val="21"/>
          <w:highlight w:val="none"/>
        </w:rPr>
      </w:r>
      <w:r/>
    </w:p>
    <w:p>
      <w:pPr>
        <w:pStyle w:val="9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4.售价：0.00元</w:t>
      </w:r>
      <w:r>
        <w:rPr>
          <w:rFonts w:ascii="宋体" w:hAnsi="宋体" w:cs="宋体"/>
          <w:color w:val="000000"/>
          <w:szCs w:val="21"/>
          <w:highlight w:val="none"/>
        </w:rPr>
      </w:r>
      <w:r/>
    </w:p>
    <w:p>
      <w:pPr>
        <w:pStyle w:val="947"/>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rPr>
          <w:rFonts w:ascii="宋体" w:hAnsi="宋体" w:cs="宋体"/>
          <w:b/>
          <w:bCs/>
          <w:color w:val="000000"/>
          <w:szCs w:val="21"/>
          <w:highlight w:val="none"/>
        </w:rPr>
      </w:r>
      <w:r/>
    </w:p>
    <w:p>
      <w:pPr>
        <w:pStyle w:val="9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1.时间：2026年</w:t>
      </w:r>
      <w:r>
        <w:rPr>
          <w:rFonts w:hint="eastAsia" w:ascii="宋体" w:hAnsi="宋体" w:cs="宋体"/>
          <w:color w:val="000000"/>
          <w:szCs w:val="21"/>
          <w:highlight w:val="none"/>
          <w:lang w:val="en-US" w:eastAsia="zh-CN"/>
        </w:rPr>
        <w:t xml:space="preserve">09</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08</w:t>
      </w:r>
      <w:r>
        <w:rPr>
          <w:rFonts w:hint="eastAsia" w:ascii="宋体" w:hAnsi="宋体" w:cs="宋体"/>
          <w:color w:val="000000"/>
          <w:szCs w:val="21"/>
          <w:highlight w:val="none"/>
        </w:rPr>
        <w:t xml:space="preserve">日09:30（北京时间）</w:t>
      </w:r>
      <w:r>
        <w:rPr>
          <w:rFonts w:ascii="宋体" w:hAnsi="宋体" w:cs="宋体"/>
          <w:color w:val="000000"/>
          <w:szCs w:val="21"/>
          <w:highlight w:val="none"/>
        </w:rPr>
      </w:r>
      <w:r/>
    </w:p>
    <w:p>
      <w:pPr>
        <w:pStyle w:val="9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rPr>
          <w:rFonts w:ascii="宋体" w:hAnsi="宋体" w:cs="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五、公告信息</w:t>
      </w:r>
      <w:r>
        <w:rPr>
          <w:rFonts w:hint="eastAsia" w:ascii="宋体" w:hAnsi="宋体" w:cs="宋体"/>
          <w:b/>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1.公告期限：自本公告发布之日起5个工作日。</w:t>
      </w:r>
      <w:r>
        <w:rPr>
          <w:rFonts w:hint="eastAsia" w:ascii="宋体" w:hAnsi="宋体" w:cs="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六、其它补充事宜</w:t>
      </w:r>
      <w:r>
        <w:rPr>
          <w:rFonts w:hint="eastAsia" w:ascii="宋体" w:hAnsi="宋体" w:cs="宋体"/>
          <w:b/>
          <w:bCs/>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1.CA证书办理</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2.参与采购活动</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3.电子投标准备</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在系统操作过程中如有疑问，请按以下方式联系：</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注册咨询：18261002950；</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CA技术咨询电话：400-608-6099；</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签章使用问题：025-83633811、025-83633812、15380932027、15371015030；</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系统使用指导与咨询：联系电话：18261002950；QQ：3048755361、1315179389、895706745。</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4.远程开标支持计算机端，投标人可根据“《苏采云系统供应商操作手册》（网址链接https://czju.suzhou.gov.cn/zfcg/html/content/20231220161910031.shtml）进行操作。</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6.本项目以电子投标文件的内容为准，不再收取纸质投标文件及相关原件等纸质材料。</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7.昆山市财政局监督电话：0512-57310854。</w:t>
      </w:r>
      <w:r>
        <w:rPr>
          <w:rFonts w:hint="eastAsia" w:ascii="宋体" w:hAnsi="宋体" w:cs="宋体"/>
          <w:color w:val="000000"/>
          <w:szCs w:val="21"/>
          <w:highlight w:val="none"/>
        </w:rPr>
      </w:r>
      <w:r/>
    </w:p>
    <w:p>
      <w:pPr>
        <w:pStyle w:val="947"/>
        <w:ind w:firstLine="359"/>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8.投标人在参加政府采购活动时须遵守《昆山市政府采购供应商诚信管理办法》的相关规定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中标服务费：以差额累计法收费（按预算金额100万元以下，收取1.5%；100-500万元，收取1.1%；500-1000万元，收取0.8%；1000-5000万元，收取0.5%；5000-10000万元，收取0.25%），本项目预算已包含该费用，由中标人支付相关费用，请各投标人充分考虑这一因素。</w:t>
      </w:r>
      <w:r>
        <w:rPr>
          <w:rFonts w:hint="eastAsia" w:ascii="宋体" w:hAnsi="宋体" w:cs="宋体"/>
          <w:color w:val="000000"/>
          <w:szCs w:val="21"/>
          <w:highlight w:val="none"/>
        </w:rPr>
      </w:r>
      <w:r/>
    </w:p>
    <w:p>
      <w:pPr>
        <w:pStyle w:val="947"/>
        <w:ind w:right="-252"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七、联系事项</w:t>
      </w:r>
      <w:r>
        <w:rPr>
          <w:rFonts w:hint="eastAsia" w:ascii="宋体" w:hAnsi="宋体" w:cs="宋体"/>
          <w:b/>
          <w:bCs/>
          <w:color w:val="000000"/>
          <w:szCs w:val="21"/>
          <w:highlight w:val="none"/>
        </w:rPr>
      </w:r>
      <w:r/>
    </w:p>
    <w:p>
      <w:pPr>
        <w:pStyle w:val="947"/>
        <w:ind w:right="-359"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w:t>
      </w:r>
      <w:r>
        <w:rPr>
          <w:rFonts w:hint="eastAsia" w:ascii="宋体" w:hAnsi="宋体" w:cs="宋体"/>
          <w:color w:val="000000"/>
          <w:szCs w:val="21"/>
          <w:highlight w:val="none"/>
          <w:shd w:val="clear" w:color="auto" w:fill="ffffff"/>
        </w:rPr>
        <w:t xml:space="preserve">昆山市花桥镇人民政府</w:t>
      </w:r>
      <w:r>
        <w:rPr>
          <w:rFonts w:hint="eastAsia" w:ascii="宋体" w:hAnsi="宋体" w:cs="宋体"/>
          <w:color w:val="000000"/>
          <w:szCs w:val="21"/>
          <w:highlight w:val="none"/>
        </w:rPr>
      </w:r>
      <w:r/>
    </w:p>
    <w:p>
      <w:pPr>
        <w:pStyle w:val="947"/>
        <w:ind w:right="-359"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联系人：戴先生           联系电话：0512-57774007    </w:t>
      </w:r>
      <w:r>
        <w:rPr>
          <w:rFonts w:hint="eastAsia" w:ascii="宋体" w:hAnsi="宋体" w:cs="宋体"/>
          <w:color w:val="000000"/>
          <w:szCs w:val="21"/>
          <w:highlight w:val="none"/>
        </w:rPr>
      </w:r>
      <w:r/>
    </w:p>
    <w:p>
      <w:pPr>
        <w:pStyle w:val="947"/>
        <w:ind w:right="-359"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2.招标代理机构名称：苏州正信工程造价咨询事务所有限责任公司 </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bookmarkStart w:id="4" w:name="OLE_LINK5"/>
      <w:r>
        <w:rPr>
          <w:rFonts w:hint="eastAsia" w:ascii="宋体" w:hAnsi="宋体" w:cs="宋体"/>
          <w:color w:val="000000"/>
          <w:szCs w:val="21"/>
          <w:highlight w:val="none"/>
        </w:rPr>
        <w:t xml:space="preserve">昆山市周市镇康浦路8号4号房4-5楼</w:t>
      </w:r>
      <w:bookmarkEnd w:id="4"/>
      <w:r>
        <w:rPr>
          <w:rFonts w:hint="eastAsia" w:ascii="宋体" w:hAnsi="宋体" w:cs="宋体"/>
          <w:color w:val="000000"/>
          <w:szCs w:val="21"/>
          <w:highlight w:val="none"/>
        </w:rPr>
        <w:t xml:space="preserve">     邮政编码：215300 </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联系电话：0512-50369351          </w:t>
      </w:r>
      <w:r>
        <w:rPr>
          <w:rFonts w:hint="eastAsia" w:ascii="宋体" w:hAnsi="宋体" w:cs="宋体"/>
          <w:color w:val="000000"/>
          <w:szCs w:val="21"/>
          <w:highlight w:val="none"/>
        </w:rPr>
      </w:r>
      <w:r/>
    </w:p>
    <w:p>
      <w:pPr>
        <w:pStyle w:val="947"/>
        <w:ind w:firstLine="424"/>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联系人：王万玺</w:t>
      </w:r>
      <w:r>
        <w:rPr>
          <w:rFonts w:hint="eastAsia" w:ascii="宋体" w:hAnsi="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八、投标人中标后注意事项</w:t>
      </w:r>
      <w:r>
        <w:rPr>
          <w:rFonts w:hint="eastAsia" w:ascii="宋体" w:hAnsi="宋体" w:cs="宋体"/>
          <w:b/>
          <w:bCs/>
          <w:color w:val="000000"/>
          <w:szCs w:val="21"/>
          <w:highlight w:val="none"/>
        </w:rPr>
      </w:r>
      <w:r/>
    </w:p>
    <w:p>
      <w:pPr>
        <w:pStyle w:val="947"/>
        <w:ind w:firstLine="359"/>
        <w:spacing w:line="360" w:lineRule="auto"/>
        <w:rPr>
          <w:rFonts w:ascii="宋体" w:hAnsi="宋体"/>
          <w:bCs/>
          <w:color w:val="000000"/>
          <w:szCs w:val="21"/>
          <w:highlight w:val="none"/>
        </w:rPr>
      </w:pPr>
      <w:r>
        <w:rPr>
          <w:rFonts w:ascii="宋体" w:hAnsi="宋体"/>
          <w:bCs/>
          <w:color w:val="000000"/>
          <w:szCs w:val="21"/>
          <w:highlight w:val="none"/>
        </w:rPr>
        <w:t xml:space="preserve">1</w:t>
      </w:r>
      <w:r>
        <w:rPr>
          <w:rFonts w:hint="eastAsia" w:ascii="宋体" w:hAnsi="宋体"/>
          <w:bCs/>
          <w:color w:val="000000"/>
          <w:szCs w:val="21"/>
          <w:highlight w:val="none"/>
        </w:rPr>
        <w:t xml:space="preserve">、</w:t>
      </w:r>
      <w:r>
        <w:rPr>
          <w:rFonts w:ascii="宋体" w:hAnsi="宋体"/>
          <w:bCs/>
          <w:color w:val="000000"/>
          <w:szCs w:val="21"/>
          <w:highlight w:val="none"/>
        </w:rPr>
        <w:t xml:space="preserve">投标人在中标后须在一个工作日内将《中标信息》与《</w:t>
      </w:r>
      <w:r>
        <w:rPr>
          <w:rFonts w:hint="eastAsia" w:ascii="宋体" w:hAnsi="宋体"/>
          <w:bCs/>
          <w:color w:val="000000"/>
          <w:szCs w:val="21"/>
          <w:highlight w:val="none"/>
        </w:rPr>
        <w:t xml:space="preserve">公开分项报价</w:t>
      </w:r>
      <w:r>
        <w:rPr>
          <w:rFonts w:ascii="宋体" w:hAnsi="宋体"/>
          <w:bCs/>
          <w:color w:val="000000"/>
          <w:szCs w:val="21"/>
          <w:highlight w:val="none"/>
        </w:rPr>
        <w:t xml:space="preserve">》（word档）以及小微企业声明函发至</w:t>
      </w:r>
      <w:r>
        <w:rPr>
          <w:rFonts w:hint="eastAsia" w:ascii="宋体" w:hAnsi="宋体"/>
          <w:color w:val="000000"/>
          <w:szCs w:val="21"/>
          <w:highlight w:val="none"/>
        </w:rPr>
        <w:t xml:space="preserve">286268953</w:t>
      </w:r>
      <w:r>
        <w:rPr>
          <w:rFonts w:ascii="宋体" w:hAnsi="宋体"/>
          <w:color w:val="000000"/>
          <w:szCs w:val="21"/>
          <w:highlight w:val="none"/>
        </w:rPr>
        <w:t xml:space="preserve">@</w:t>
      </w:r>
      <w:r>
        <w:rPr>
          <w:rFonts w:hint="eastAsia" w:ascii="宋体" w:hAnsi="宋体"/>
          <w:color w:val="000000"/>
          <w:szCs w:val="21"/>
          <w:highlight w:val="none"/>
        </w:rPr>
        <w:t xml:space="preserve">qq</w:t>
      </w:r>
      <w:r>
        <w:rPr>
          <w:rFonts w:ascii="宋体" w:hAnsi="宋体"/>
          <w:color w:val="000000"/>
          <w:szCs w:val="21"/>
          <w:highlight w:val="none"/>
        </w:rPr>
        <w:t xml:space="preserve">.com邮箱，联系电话：0512-</w:t>
      </w:r>
      <w:r>
        <w:rPr>
          <w:rFonts w:hint="eastAsia" w:ascii="宋体" w:hAnsi="宋体"/>
          <w:color w:val="000000"/>
          <w:szCs w:val="21"/>
          <w:highlight w:val="none"/>
        </w:rPr>
        <w:t xml:space="preserve">50369352</w:t>
      </w:r>
      <w:r>
        <w:rPr>
          <w:rFonts w:ascii="宋体" w:hAnsi="宋体"/>
          <w:bCs/>
          <w:color w:val="000000"/>
          <w:szCs w:val="21"/>
          <w:highlight w:val="none"/>
        </w:rPr>
        <w:t xml:space="preserve">。</w:t>
      </w:r>
      <w:r>
        <w:rPr>
          <w:rFonts w:ascii="宋体" w:hAnsi="宋体"/>
          <w:bCs/>
          <w:color w:val="000000"/>
          <w:szCs w:val="21"/>
          <w:highlight w:val="none"/>
        </w:rPr>
      </w:r>
      <w:r/>
    </w:p>
    <w:p>
      <w:pPr>
        <w:pStyle w:val="947"/>
        <w:ind w:firstLine="35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2、中标公告公示期满后，中标人可在苏采云系统内完成合同下载和签订，具体操作详见《苏采云系统供应商操作手册》；</w:t>
      </w:r>
      <w:r>
        <w:rPr>
          <w:rFonts w:hint="eastAsia" w:ascii="宋体" w:hAnsi="宋体" w:cs="宋体"/>
          <w:bCs/>
          <w:color w:val="000000"/>
          <w:szCs w:val="21"/>
          <w:highlight w:val="none"/>
        </w:rPr>
      </w:r>
      <w:r/>
    </w:p>
    <w:p>
      <w:pPr>
        <w:pStyle w:val="947"/>
        <w:ind w:firstLine="359"/>
        <w:spacing w:line="360" w:lineRule="auto"/>
        <w:rPr>
          <w:rFonts w:hint="eastAsia" w:ascii="宋体" w:hAnsi="宋体" w:cs="宋体"/>
          <w:bCs/>
          <w:color w:val="000000"/>
          <w:szCs w:val="21"/>
          <w:highlight w:val="none"/>
          <w:shd w:val="clear" w:color="auto" w:fill="ffffff"/>
        </w:rPr>
      </w:pPr>
      <w:r>
        <w:rPr>
          <w:rFonts w:hint="eastAsia" w:ascii="宋体" w:hAnsi="宋体" w:cs="宋体"/>
          <w:bCs/>
          <w:color w:val="000000"/>
          <w:szCs w:val="21"/>
          <w:highlight w:val="none"/>
        </w:rPr>
        <w:t xml:space="preserve">3、采购人与中标人应当在中标通知书发出之日起三十日内，按照招标文件和投标文件的要求签订合同。</w:t>
      </w:r>
      <w:r>
        <w:rPr>
          <w:rFonts w:hint="eastAsia" w:ascii="宋体" w:hAnsi="宋体" w:cs="宋体"/>
          <w:bCs/>
          <w:color w:val="000000"/>
          <w:szCs w:val="21"/>
          <w:highlight w:val="none"/>
          <w:shd w:val="clear" w:color="auto" w:fill="ffffff"/>
        </w:rPr>
      </w:r>
      <w:r/>
    </w:p>
    <w:p>
      <w:pPr>
        <w:pStyle w:val="948"/>
        <w:jc w:val="center"/>
        <w:spacing w:line="360" w:lineRule="auto"/>
        <w:rPr>
          <w:rFonts w:hint="eastAsia"/>
          <w:color w:val="000000"/>
          <w:highlight w:val="none"/>
          <w:shd w:val="clear" w:color="auto" w:fill="ffffff"/>
        </w:rPr>
      </w:pPr>
      <w:r>
        <w:rPr>
          <w:color w:val="000000"/>
          <w:highlight w:val="none"/>
          <w:shd w:val="clear" w:color="auto" w:fill="ffffff"/>
        </w:rPr>
        <w:br w:type="page" w:clear="all"/>
      </w:r>
      <w:bookmarkStart w:id="5" w:name="_Toc9825"/>
      <w:r>
        <w:rPr>
          <w:rFonts w:hint="eastAsia"/>
          <w:color w:val="000000"/>
          <w:highlight w:val="none"/>
          <w:shd w:val="clear" w:color="auto" w:fill="ffffff"/>
        </w:rPr>
        <w:t xml:space="preserve">第二章 投标人须知</w:t>
      </w:r>
      <w:bookmarkEnd w:id="5"/>
      <w:r>
        <w:rPr>
          <w:rFonts w:hint="eastAsia"/>
          <w:color w:val="000000"/>
          <w:highlight w:val="none"/>
          <w:shd w:val="clear" w:color="auto" w:fill="ffffff"/>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一、招投标说明</w:t>
      </w:r>
      <w:r>
        <w:rPr>
          <w:rFonts w:hint="eastAsia" w:ascii="宋体" w:hAnsi="宋体" w:cs="宋体"/>
          <w:b/>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1、本招标文件仅适用于</w:t>
      </w:r>
      <w:r>
        <w:rPr>
          <w:rFonts w:hint="eastAsia" w:ascii="宋体" w:hAnsi="宋体" w:cs="宋体"/>
          <w:bCs/>
          <w:color w:val="000000"/>
          <w:szCs w:val="21"/>
          <w:highlight w:val="none"/>
        </w:rPr>
        <w:t xml:space="preserve">苏州正信工程造价咨询事务所有限责任公司</w:t>
      </w:r>
      <w:r>
        <w:rPr>
          <w:rFonts w:hint="eastAsia" w:ascii="宋体" w:hAnsi="宋体" w:cs="宋体"/>
          <w:color w:val="000000"/>
          <w:szCs w:val="21"/>
          <w:highlight w:val="none"/>
        </w:rPr>
        <w:t xml:space="preserve">组织的招标活动。</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2、本次招标活动及因本次招标产生的合同受中国法律制约和保护。</w:t>
      </w:r>
      <w:r>
        <w:rPr>
          <w:rFonts w:hint="eastAsia" w:ascii="宋体" w:hAnsi="宋体" w:cs="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二、投标文件说明</w:t>
      </w:r>
      <w:r>
        <w:rPr>
          <w:rFonts w:hint="eastAsia" w:ascii="宋体" w:hAnsi="宋体" w:cs="宋体"/>
          <w:b/>
          <w:bCs/>
          <w:color w:val="000000"/>
          <w:szCs w:val="21"/>
          <w:highlight w:val="none"/>
        </w:rPr>
      </w:r>
      <w:r/>
    </w:p>
    <w:p>
      <w:pPr>
        <w:pStyle w:val="960"/>
        <w:ind w:firstLine="422"/>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t xml:space="preserve">（一）投标文件计量单位和使用文字</w:t>
      </w:r>
      <w:r>
        <w:rPr>
          <w:rFonts w:ascii="宋体" w:hAnsi="宋体" w:eastAsia="宋体"/>
          <w:b/>
          <w:color w:val="000000"/>
          <w:sz w:val="21"/>
          <w:szCs w:val="21"/>
          <w:highlight w:val="none"/>
        </w:rPr>
      </w:r>
      <w:r/>
    </w:p>
    <w:p>
      <w:pPr>
        <w:pStyle w:val="96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投标文件中所使用的计量单位，除招标文件中有特殊要求外，应采用国家法定计量单位。</w:t>
      </w:r>
      <w:r>
        <w:rPr>
          <w:rFonts w:ascii="宋体" w:hAnsi="宋体" w:eastAsia="宋体"/>
          <w:color w:val="000000"/>
          <w:sz w:val="21"/>
          <w:szCs w:val="21"/>
          <w:highlight w:val="none"/>
        </w:rPr>
      </w:r>
      <w:r/>
    </w:p>
    <w:p>
      <w:pPr>
        <w:pStyle w:val="947"/>
        <w:ind w:firstLine="42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w:t>
      </w:r>
      <w:r>
        <w:rPr>
          <w:rFonts w:ascii="宋体" w:hAnsi="宋体"/>
          <w:color w:val="000000"/>
          <w:szCs w:val="21"/>
          <w:highlight w:val="none"/>
        </w:rPr>
        <w:t xml:space="preserve">投标文件应使用中文编制，投标文件中必须使用其他文字的，必须附有中文译本，</w:t>
      </w:r>
      <w:r>
        <w:rPr>
          <w:rFonts w:ascii="宋体" w:hAnsi="宋体"/>
          <w:color w:val="000000"/>
          <w:szCs w:val="21"/>
          <w:highlight w:val="none"/>
          <w:lang w:val="zh-CN"/>
        </w:rPr>
        <w:t xml:space="preserve">对不同文本投标文件的解释发生异议的，以中文文本为准。</w:t>
      </w:r>
      <w:r>
        <w:rPr>
          <w:rFonts w:ascii="宋体" w:hAnsi="宋体"/>
          <w:color w:val="000000"/>
          <w:szCs w:val="21"/>
          <w:highlight w:val="none"/>
        </w:rPr>
        <w:t xml:space="preserve">对于未附有中文译本和中文译本不准确的投标文件，由此引起的对投标人不利后果的，采购代理机构概不负责。</w:t>
      </w:r>
      <w:r>
        <w:rPr>
          <w:rFonts w:ascii="宋体" w:hAnsi="宋体"/>
          <w:color w:val="000000"/>
          <w:szCs w:val="21"/>
          <w:highlight w:val="none"/>
        </w:rPr>
      </w:r>
      <w:r/>
    </w:p>
    <w:p>
      <w:pPr>
        <w:pStyle w:val="960"/>
        <w:ind w:firstLine="422"/>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t xml:space="preserve">（二）投标文件编制说明</w:t>
      </w:r>
      <w:r>
        <w:rPr>
          <w:rFonts w:ascii="宋体" w:hAnsi="宋体" w:eastAsia="宋体"/>
          <w:b/>
          <w:color w:val="000000"/>
          <w:sz w:val="21"/>
          <w:szCs w:val="21"/>
          <w:highlight w:val="none"/>
        </w:rPr>
      </w:r>
      <w:r/>
    </w:p>
    <w:p>
      <w:pPr>
        <w:pStyle w:val="947"/>
        <w:ind w:firstLine="420"/>
        <w:spacing w:line="360" w:lineRule="auto"/>
        <w:rPr>
          <w:rFonts w:ascii="宋体" w:hAnsi="宋体"/>
          <w:color w:val="000000"/>
          <w:szCs w:val="21"/>
          <w:highlight w:val="none"/>
        </w:rPr>
      </w:pPr>
      <w:r>
        <w:rPr>
          <w:rFonts w:ascii="宋体" w:hAnsi="宋体"/>
          <w:color w:val="000000"/>
          <w:szCs w:val="21"/>
          <w:highlight w:val="none"/>
        </w:rPr>
        <w:t xml:space="preserve">投标文件按招标文件规定的格式制作，需盖章或签字之处，应使用加盖公章及签字的电子签章，如果未按要求制作上传，将被认定为未实质性响应招标文件要求。</w:t>
      </w:r>
      <w:r>
        <w:rPr>
          <w:rFonts w:ascii="宋体" w:hAnsi="宋体"/>
          <w:color w:val="000000"/>
          <w:szCs w:val="21"/>
          <w:highlight w:val="none"/>
        </w:rPr>
      </w:r>
      <w:r/>
    </w:p>
    <w:p>
      <w:pPr>
        <w:pStyle w:val="960"/>
        <w:ind w:firstLine="422"/>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t xml:space="preserve">（三）投标文件的有效期</w:t>
      </w:r>
      <w:r>
        <w:rPr>
          <w:rFonts w:ascii="宋体" w:hAnsi="宋体" w:eastAsia="宋体"/>
          <w:b/>
          <w:color w:val="000000"/>
          <w:sz w:val="21"/>
          <w:szCs w:val="21"/>
          <w:highlight w:val="none"/>
        </w:rPr>
      </w:r>
      <w:r/>
    </w:p>
    <w:p>
      <w:pPr>
        <w:pStyle w:val="947"/>
        <w:ind w:firstLine="359"/>
        <w:spacing w:line="360" w:lineRule="auto"/>
        <w:rPr>
          <w:rFonts w:hint="eastAsia" w:ascii="宋体" w:hAnsi="宋体" w:cs="宋体"/>
          <w:color w:val="000000"/>
          <w:szCs w:val="21"/>
          <w:highlight w:val="none"/>
        </w:rPr>
      </w:pPr>
      <w:r>
        <w:rPr>
          <w:rFonts w:ascii="宋体" w:hAnsi="宋体"/>
          <w:color w:val="000000"/>
          <w:szCs w:val="21"/>
          <w:highlight w:val="none"/>
        </w:rPr>
        <w:t xml:space="preserve">自开标日起三个月内，投标文件应保持有效。有效期短于这个规定期限的响应，将被认定为未实质性响应招标文件要求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（四）投标报价</w:t>
      </w:r>
      <w:r>
        <w:rPr>
          <w:rFonts w:hint="eastAsia" w:ascii="宋体" w:hAnsi="宋体" w:cs="宋体"/>
          <w:b/>
          <w:bCs/>
          <w:color w:val="000000"/>
          <w:szCs w:val="21"/>
          <w:highlight w:val="none"/>
        </w:rPr>
      </w:r>
      <w:r/>
    </w:p>
    <w:p>
      <w:pPr>
        <w:pStyle w:val="947"/>
        <w:ind w:firstLine="420"/>
        <w:jc w:val="left"/>
        <w:spacing w:line="360" w:lineRule="auto"/>
        <w:rPr>
          <w:rFonts w:hint="eastAsia" w:ascii="宋体" w:hAnsi="宋体" w:cs="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ascii="宋体" w:hAnsi="宋体"/>
          <w:color w:val="000000"/>
          <w:szCs w:val="21"/>
          <w:highlight w:val="none"/>
          <w:lang w:val="zh-CN"/>
        </w:rPr>
        <w:t xml:space="preserve">投标人的报价应包含完成本项工作</w:t>
      </w:r>
      <w:r>
        <w:rPr>
          <w:rFonts w:hint="eastAsia" w:ascii="宋体" w:hAnsi="宋体"/>
          <w:color w:val="000000"/>
          <w:szCs w:val="21"/>
          <w:highlight w:val="none"/>
          <w:lang w:val="zh-CN"/>
        </w:rPr>
        <w:t xml:space="preserve">所需全部人员的</w:t>
      </w:r>
      <w:r>
        <w:rPr>
          <w:rFonts w:hint="eastAsia" w:ascii="宋体" w:hAnsi="宋体" w:cs="宋体"/>
          <w:color w:val="000000"/>
          <w:szCs w:val="21"/>
          <w:highlight w:val="none"/>
        </w:rPr>
        <w:t xml:space="preserve">人工费（含工资、加班工资、绩效奖金、社保、公积金、意外伤害保险费、高温津贴、体检费及食宿交通补贴等）、劳保防护用品及统一服装费、工具及信息化设备（含GPS/ 监控平台）购置与使用费、通讯及数据流量费；机械化作业车辆折旧费、燃油费(电费)、车辆保险费</w:t>
      </w:r>
      <w:r>
        <w:rPr>
          <w:rFonts w:hint="eastAsia" w:ascii="宋体" w:hAnsi="宋体" w:cs="宋体"/>
          <w:color w:val="000000"/>
          <w:szCs w:val="21"/>
          <w:highlight w:val="none"/>
        </w:rPr>
        <w:t xml:space="preserve">（含交强险、商业险及第三者责任险）、车船税、年检季审及二级维护检测费、日常保养维修费、易耗件更换费、过路过桥及洗车清洁费；停车场站租赁管理费、管理费、利润、各种税费；报价已包含政策性文件规定及合同包含的所有风险、责任及不可预见费用，包括但不限于路面污染清理恢复文件规定及合同包含的所有风险、责任及不可预见费用、扬尘噪声控制、第三者人身财产损害及环境污染责任赔偿、相关诉讼及律师费等，中标人须自行承担因作业不当产生的全部清理、赔偿及行政处罚费用，招标人不再另行支付任何费用；包括招标代理费及其他可能发生的一切费用。</w:t>
      </w:r>
      <w:r>
        <w:rPr>
          <w:rFonts w:hint="eastAsia" w:ascii="宋体" w:hAnsi="宋体" w:cs="宋体"/>
          <w:color w:val="000000"/>
          <w:szCs w:val="21"/>
          <w:highlight w:val="none"/>
        </w:rPr>
      </w:r>
      <w:r/>
    </w:p>
    <w:p>
      <w:pPr>
        <w:pStyle w:val="947"/>
        <w:ind w:firstLine="359"/>
        <w:spacing w:line="360" w:lineRule="auto"/>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w:t>
      </w:r>
      <w:r>
        <w:rPr>
          <w:rFonts w:ascii="宋体" w:hAnsi="宋体"/>
          <w:color w:val="000000"/>
          <w:szCs w:val="21"/>
          <w:highlight w:val="none"/>
        </w:rPr>
        <w:t xml:space="preserve">投标报价应当低于同类货物和服务的市场平均价格。除非招标文件另有规定或经采购人同意支付的，投标报价均不得高于招标文件（公告）列明的最高限价、项目预算。</w:t>
      </w:r>
      <w:r>
        <w:rPr>
          <w:rFonts w:hint="eastAsia" w:ascii="宋体" w:hAnsi="宋体"/>
          <w:color w:val="000000"/>
          <w:szCs w:val="21"/>
          <w:highlight w:val="none"/>
        </w:rPr>
      </w:r>
      <w:r/>
    </w:p>
    <w:p>
      <w:pPr>
        <w:pStyle w:val="960"/>
        <w:ind w:firstLine="359"/>
        <w:spacing w:line="360" w:lineRule="auto"/>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投标人应按招标文件要求在投标文件中列明所投货物的单价明细和总价，并由法定代表人或代理人签字或盖章。</w:t>
      </w:r>
      <w:r>
        <w:rPr>
          <w:rFonts w:hint="eastAsia" w:ascii="宋体" w:hAnsi="宋体" w:eastAsia="宋体"/>
          <w:color w:val="000000"/>
          <w:sz w:val="21"/>
          <w:szCs w:val="21"/>
          <w:highlight w:val="none"/>
        </w:rPr>
      </w:r>
      <w:r/>
    </w:p>
    <w:p>
      <w:pPr>
        <w:pStyle w:val="960"/>
        <w:ind w:firstLine="359"/>
        <w:spacing w:line="360" w:lineRule="auto"/>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rPr>
          <w:rFonts w:hint="eastAsia" w:ascii="宋体" w:hAnsi="宋体" w:eastAsia="宋体"/>
          <w:color w:val="000000"/>
          <w:sz w:val="21"/>
          <w:szCs w:val="21"/>
          <w:highlight w:val="none"/>
        </w:rPr>
      </w:r>
      <w:r/>
    </w:p>
    <w:p>
      <w:pPr>
        <w:pStyle w:val="960"/>
        <w:ind w:firstLine="359"/>
        <w:spacing w:line="360" w:lineRule="auto"/>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投标文件报价中的单价和总价全部采用人民币表示，除非另有规定。</w:t>
      </w:r>
      <w:r>
        <w:rPr>
          <w:rFonts w:hint="eastAsia" w:ascii="宋体" w:hAnsi="宋体" w:eastAsia="宋体"/>
          <w:color w:val="000000"/>
          <w:sz w:val="21"/>
          <w:szCs w:val="21"/>
          <w:highlight w:val="none"/>
        </w:rPr>
      </w:r>
      <w:r/>
    </w:p>
    <w:p>
      <w:pPr>
        <w:pStyle w:val="947"/>
        <w:ind w:firstLine="359"/>
        <w:spacing w:line="360" w:lineRule="auto"/>
        <w:rPr>
          <w:rFonts w:hint="eastAsia" w:ascii="宋体" w:hAnsi="宋体" w:cs="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w:t>
      </w:r>
      <w:r>
        <w:rPr>
          <w:rFonts w:ascii="宋体" w:hAnsi="宋体"/>
          <w:color w:val="000000"/>
          <w:szCs w:val="21"/>
          <w:highlight w:val="none"/>
        </w:rPr>
        <w:t xml:space="preserve">除国家政策性文件规定以外，投标人投标价格在合同履行期间不因市场变化因素而变动</w:t>
      </w:r>
      <w:r>
        <w:rPr>
          <w:rFonts w:hint="eastAsia" w:ascii="宋体" w:hAnsi="宋体" w:cs="宋体"/>
          <w:color w:val="000000"/>
          <w:szCs w:val="21"/>
          <w:highlight w:val="none"/>
        </w:rPr>
      </w:r>
      <w:r/>
    </w:p>
    <w:p>
      <w:pPr>
        <w:pStyle w:val="947"/>
        <w:ind w:firstLine="361"/>
        <w:spacing w:line="360" w:lineRule="auto"/>
        <w:rPr>
          <w:rFonts w:hint="eastAsia" w:ascii="宋体" w:hAnsi="宋体" w:cs="宋体"/>
          <w:b/>
          <w:color w:val="000000"/>
          <w:szCs w:val="21"/>
          <w:highlight w:val="none"/>
        </w:rPr>
      </w:pPr>
      <w:r>
        <w:rPr>
          <w:rFonts w:hint="eastAsia" w:ascii="宋体" w:hAnsi="宋体" w:cs="宋体"/>
          <w:b/>
          <w:bCs/>
          <w:color w:val="000000"/>
          <w:szCs w:val="21"/>
          <w:highlight w:val="none"/>
        </w:rPr>
        <w:t xml:space="preserve">（五）投标文件的组成</w:t>
      </w:r>
      <w:r>
        <w:rPr>
          <w:rFonts w:hint="eastAsia" w:ascii="宋体" w:hAnsi="宋体" w:cs="宋体"/>
          <w:b/>
          <w:color w:val="000000"/>
          <w:szCs w:val="21"/>
          <w:highlight w:val="none"/>
        </w:rPr>
      </w:r>
      <w:r/>
    </w:p>
    <w:p>
      <w:pPr>
        <w:pStyle w:val="1188"/>
        <w:ind w:left="359" w:firstLine="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1、封面</w:t>
      </w:r>
      <w:r>
        <w:rPr>
          <w:rFonts w:hint="eastAsia" w:ascii="宋体" w:hAnsi="宋体"/>
          <w:b/>
          <w:color w:val="000000"/>
          <w:szCs w:val="21"/>
          <w:highlight w:val="none"/>
        </w:rPr>
      </w:r>
      <w:r/>
    </w:p>
    <w:p>
      <w:pPr>
        <w:pStyle w:val="1188"/>
        <w:ind w:left="359" w:firstLine="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2、目录</w:t>
      </w:r>
      <w:r>
        <w:rPr>
          <w:rFonts w:hint="eastAsia" w:ascii="宋体" w:hAnsi="宋体"/>
          <w:b/>
          <w:color w:val="000000"/>
          <w:szCs w:val="21"/>
          <w:highlight w:val="none"/>
        </w:rPr>
      </w:r>
      <w:r/>
    </w:p>
    <w:p>
      <w:pPr>
        <w:pStyle w:val="1188"/>
        <w:ind w:left="359" w:firstLine="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3、开标一览表（格式见第三章，必须提供否则将被认定为未实质性响应招标文件要求）</w:t>
      </w:r>
      <w:r>
        <w:rPr>
          <w:rFonts w:hint="eastAsia" w:ascii="宋体" w:hAnsi="宋体"/>
          <w:b/>
          <w:color w:val="000000"/>
          <w:szCs w:val="21"/>
          <w:highlight w:val="none"/>
        </w:rPr>
      </w:r>
      <w:r/>
    </w:p>
    <w:p>
      <w:pPr>
        <w:pStyle w:val="1188"/>
        <w:ind w:left="359" w:firstLine="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4、资格审查文件</w:t>
      </w:r>
      <w:r>
        <w:rPr>
          <w:rFonts w:hint="eastAsia" w:ascii="宋体" w:hAnsi="宋体"/>
          <w:b/>
          <w:color w:val="000000"/>
          <w:szCs w:val="21"/>
          <w:highlight w:val="none"/>
        </w:rPr>
      </w:r>
      <w:r/>
    </w:p>
    <w:p>
      <w:pPr>
        <w:pStyle w:val="947"/>
        <w:ind w:firstLine="361"/>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投标人必须提交“4.1-4.3”款规定的资料，否则将被认定为未实质性响应招标文件要求或资格审查不合格。</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4.1投标人情况表（格式见第三章）；</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4.2投标承诺函（格式见第三章）；</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4.3投标人满足《中华人民共和国政府采购法》第二十二条规定：</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4.3.1具有独立承担民事责任的能力（提供法人或者其他组织的营业执照等证明文件、自然人的身份证明）；</w:t>
      </w:r>
      <w:r>
        <w:rPr>
          <w:rFonts w:hint="eastAsia" w:ascii="宋体" w:hAnsi="宋体"/>
          <w:color w:val="000000"/>
          <w:szCs w:val="21"/>
          <w:highlight w:val="none"/>
        </w:rPr>
      </w:r>
      <w:r/>
    </w:p>
    <w:p>
      <w:pPr>
        <w:pStyle w:val="947"/>
        <w:ind w:firstLine="359"/>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4.3.2具有良好的商业信誉和健全的财务会计制度（提供投标承诺函或提供相应证明材料）；</w:t>
      </w:r>
      <w:r>
        <w:rPr>
          <w:rFonts w:hint="eastAsia" w:ascii="宋体" w:hAnsi="宋体"/>
          <w:bCs/>
          <w:color w:val="000000"/>
          <w:szCs w:val="21"/>
          <w:highlight w:val="none"/>
        </w:rPr>
      </w:r>
      <w:r/>
    </w:p>
    <w:p>
      <w:pPr>
        <w:pStyle w:val="947"/>
        <w:ind w:firstLine="359"/>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4.3.3具有履行合同所必需的设备和专业技术能力（提供投标承诺函或提供相应证明材料）；</w:t>
      </w:r>
      <w:r>
        <w:rPr>
          <w:rFonts w:hint="eastAsia" w:ascii="宋体" w:hAnsi="宋体"/>
          <w:bCs/>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4.3.4具有依法缴纳税收和社会保障资金的良好记录（提供投标承诺函或提供相应证明材料）；</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4.3.5参加政府采购活动前三年内，在经营活动中没有重大违法记录（提供投标承诺函或提供相应证明材料）；</w:t>
      </w:r>
      <w:r>
        <w:rPr>
          <w:rFonts w:hint="eastAsia" w:ascii="宋体" w:hAnsi="宋体"/>
          <w:color w:val="000000"/>
          <w:szCs w:val="21"/>
          <w:highlight w:val="none"/>
        </w:rPr>
      </w:r>
      <w:r/>
    </w:p>
    <w:p>
      <w:pPr>
        <w:pStyle w:val="947"/>
        <w:ind w:firstLine="359"/>
        <w:jc w:val="left"/>
        <w:spacing w:line="360" w:lineRule="auto"/>
        <w:rPr>
          <w:rFonts w:ascii="宋体" w:hAnsi="宋体" w:cs="宋体"/>
          <w:color w:val="000000"/>
          <w:szCs w:val="21"/>
          <w:highlight w:val="none"/>
        </w:rPr>
      </w:pPr>
      <w:r>
        <w:rPr>
          <w:rFonts w:hint="eastAsia" w:ascii="宋体" w:hAnsi="宋体"/>
          <w:color w:val="000000"/>
          <w:szCs w:val="21"/>
          <w:highlight w:val="none"/>
        </w:rPr>
        <w:t xml:space="preserve">4.3.6</w:t>
      </w:r>
      <w:r>
        <w:rPr>
          <w:rFonts w:hint="eastAsia" w:ascii="宋体" w:hAnsi="宋体" w:cs="宋体"/>
          <w:color w:val="000000"/>
          <w:szCs w:val="21"/>
          <w:highlight w:val="none"/>
        </w:rPr>
        <w:t xml:space="preserve">法律、行政法规规定的其他条件</w:t>
      </w:r>
      <w:r>
        <w:rPr>
          <w:rFonts w:hint="eastAsia" w:ascii="宋体" w:hAnsi="宋体"/>
          <w:color w:val="000000"/>
          <w:szCs w:val="21"/>
          <w:highlight w:val="none"/>
        </w:rPr>
        <w:t xml:space="preserve">（提供投标承诺函或提供相应证明材料）</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4.4投标人符合相关扶持政策的证明材料：</w:t>
      </w:r>
      <w:r>
        <w:rPr>
          <w:rFonts w:hint="eastAsia" w:ascii="宋体" w:hAnsi="宋体"/>
          <w:color w:val="000000"/>
          <w:szCs w:val="21"/>
          <w:highlight w:val="none"/>
        </w:rPr>
      </w:r>
      <w:r/>
    </w:p>
    <w:p>
      <w:pPr>
        <w:pStyle w:val="947"/>
        <w:ind w:firstLine="361"/>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如有落实政府采购政策需满足的资格条件，则必须按要求提供以下材料中的至少一份，否则将被认定为资格审查不合格。</w:t>
      </w:r>
      <w:r>
        <w:rPr>
          <w:rFonts w:hint="eastAsia" w:ascii="宋体" w:hAnsi="宋体"/>
          <w:b/>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4.4.1中小企业声明函（格式见第三章）；</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4.4.2残疾人福利性单位声明函（格式见第三章）；</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4.4.3监狱企业证明文件；</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4.5特定资格条件的证明材料：无。</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4.6其它有关资格证明文件：无。</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4.7法定代表人授权委托书、双方身份证（如有授权，必须提供，格式见第三章）</w:t>
      </w:r>
      <w:r>
        <w:rPr>
          <w:rFonts w:hint="eastAsia" w:ascii="宋体" w:hAnsi="宋体"/>
          <w:color w:val="000000"/>
          <w:szCs w:val="21"/>
          <w:highlight w:val="none"/>
        </w:rPr>
      </w:r>
      <w:r/>
    </w:p>
    <w:p>
      <w:pPr>
        <w:pStyle w:val="1188"/>
        <w:ind w:left="359" w:firstLine="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5、符合性审查文件</w:t>
      </w:r>
      <w:r>
        <w:rPr>
          <w:rFonts w:hint="eastAsia" w:ascii="宋体" w:hAnsi="宋体"/>
          <w:b/>
          <w:color w:val="000000"/>
          <w:szCs w:val="21"/>
          <w:highlight w:val="none"/>
        </w:rPr>
      </w:r>
      <w:r/>
    </w:p>
    <w:p>
      <w:pPr>
        <w:pStyle w:val="947"/>
        <w:ind w:firstLine="359"/>
        <w:spacing w:line="360" w:lineRule="auto"/>
        <w:rPr>
          <w:rFonts w:hint="eastAsia" w:ascii="宋体" w:hAnsi="宋体"/>
          <w:color w:val="000000"/>
          <w:szCs w:val="21"/>
          <w:highlight w:val="none"/>
        </w:rPr>
      </w:pPr>
      <w:r/>
      <w:bookmarkStart w:id="6" w:name="_Hlk205559473"/>
      <w:r>
        <w:rPr>
          <w:rFonts w:hint="eastAsia" w:ascii="宋体" w:hAnsi="宋体"/>
          <w:color w:val="000000"/>
          <w:szCs w:val="21"/>
          <w:highlight w:val="none"/>
        </w:rPr>
        <w:t xml:space="preserve">5.1 公开分项报价；</w:t>
      </w:r>
      <w:r>
        <w:rPr>
          <w:rFonts w:hint="eastAsia" w:ascii="宋体" w:hAnsi="宋体"/>
          <w:b/>
          <w:color w:val="000000"/>
          <w:szCs w:val="21"/>
          <w:highlight w:val="none"/>
        </w:rPr>
        <w:t xml:space="preserve">（格式见第三章，必须提供否则将被认定为未实质性响应招标文件要求）</w:t>
      </w:r>
      <w:r>
        <w:rPr>
          <w:rFonts w:hint="eastAsia" w:ascii="宋体" w:hAnsi="宋体"/>
          <w:color w:val="000000"/>
          <w:szCs w:val="21"/>
          <w:highlight w:val="none"/>
        </w:rPr>
      </w:r>
      <w:r/>
    </w:p>
    <w:p>
      <w:pPr>
        <w:pStyle w:val="947"/>
        <w:ind w:firstLine="359"/>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5.2偏离表（技术要求）；</w:t>
      </w:r>
      <w:r>
        <w:rPr>
          <w:rFonts w:hint="eastAsia" w:ascii="宋体" w:hAnsi="宋体"/>
          <w:b/>
          <w:color w:val="000000"/>
          <w:szCs w:val="21"/>
          <w:highlight w:val="none"/>
        </w:rPr>
        <w:t xml:space="preserve">（格式见第三章，必须提供否则将被认定为未实质性响应招标文件要求）</w:t>
      </w:r>
      <w:r>
        <w:rPr>
          <w:rFonts w:hint="eastAsia" w:ascii="宋体" w:hAnsi="宋体"/>
          <w:b/>
          <w:color w:val="000000"/>
          <w:szCs w:val="21"/>
          <w:highlight w:val="none"/>
        </w:rPr>
      </w:r>
      <w:r/>
    </w:p>
    <w:p>
      <w:pPr>
        <w:pStyle w:val="947"/>
        <w:ind w:firstLine="359"/>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5.3偏离表（商务要求）；</w:t>
      </w:r>
      <w:r>
        <w:rPr>
          <w:rFonts w:hint="eastAsia" w:ascii="宋体" w:hAnsi="宋体"/>
          <w:b/>
          <w:color w:val="000000"/>
          <w:szCs w:val="21"/>
          <w:highlight w:val="none"/>
        </w:rPr>
        <w:t xml:space="preserve">（格式见第三章，必须提供否则将被认定为未实质性响应招标文件要求）</w:t>
      </w:r>
      <w:r>
        <w:rPr>
          <w:rFonts w:hint="eastAsia" w:ascii="宋体" w:hAnsi="宋体"/>
          <w:b/>
          <w:color w:val="000000"/>
          <w:szCs w:val="21"/>
          <w:highlight w:val="none"/>
        </w:rPr>
      </w:r>
      <w:r/>
    </w:p>
    <w:p>
      <w:pPr>
        <w:pStyle w:val="947"/>
        <w:ind w:firstLine="359"/>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5.4人员配置表；</w:t>
      </w:r>
      <w:r>
        <w:rPr>
          <w:rFonts w:hint="eastAsia" w:ascii="宋体" w:hAnsi="宋体"/>
          <w:b/>
          <w:color w:val="000000"/>
          <w:szCs w:val="21"/>
          <w:highlight w:val="none"/>
        </w:rPr>
        <w:t xml:space="preserve">（格式见第三章，必须提供</w:t>
      </w:r>
      <w:r>
        <w:rPr>
          <w:rFonts w:ascii="宋体" w:hAnsi="宋体"/>
          <w:b/>
          <w:color w:val="000000"/>
          <w:szCs w:val="21"/>
          <w:highlight w:val="none"/>
        </w:rPr>
        <w:t xml:space="preserve">否则将被认定为未实质性响应招标文件要求</w:t>
      </w:r>
      <w:r>
        <w:rPr>
          <w:rFonts w:hint="eastAsia" w:ascii="宋体" w:hAnsi="宋体"/>
          <w:b/>
          <w:color w:val="000000"/>
          <w:szCs w:val="21"/>
          <w:highlight w:val="none"/>
        </w:rPr>
        <w:t xml:space="preserve">）</w:t>
      </w:r>
      <w:r>
        <w:rPr>
          <w:rFonts w:hint="eastAsia" w:ascii="宋体" w:hAnsi="宋体"/>
          <w:b/>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5.5作业车辆配置表；（</w:t>
      </w:r>
      <w:r>
        <w:rPr>
          <w:rFonts w:hint="eastAsia" w:ascii="宋体" w:hAnsi="宋体"/>
          <w:b/>
          <w:color w:val="000000"/>
          <w:szCs w:val="21"/>
          <w:highlight w:val="none"/>
        </w:rPr>
        <w:t xml:space="preserve">格式见第三章，必须提供</w:t>
      </w:r>
      <w:r>
        <w:rPr>
          <w:rFonts w:ascii="宋体" w:hAnsi="宋体"/>
          <w:b/>
          <w:color w:val="000000"/>
          <w:szCs w:val="21"/>
          <w:highlight w:val="none"/>
        </w:rPr>
        <w:t xml:space="preserve">否则将被认定为未实质性响应招标文件要求</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5.6停车场地、办公场所证明或承诺函。</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5.7项目相关的符合性审查证明文件。</w:t>
      </w:r>
      <w:r>
        <w:rPr>
          <w:rFonts w:hint="eastAsia" w:ascii="宋体" w:hAnsi="宋体"/>
          <w:b/>
          <w:color w:val="000000"/>
          <w:szCs w:val="21"/>
          <w:highlight w:val="none"/>
        </w:rPr>
        <w:t xml:space="preserve">（如实质性响应项要求提供材料的则必须提供相应材料，附偏离表后，否则将被认定为未实质性响应招标文件要求）</w:t>
      </w:r>
      <w:bookmarkEnd w:id="6"/>
      <w:r>
        <w:rPr>
          <w:rFonts w:hint="eastAsia" w:ascii="宋体" w:hAnsi="宋体"/>
          <w:color w:val="000000"/>
          <w:szCs w:val="21"/>
          <w:highlight w:val="none"/>
        </w:rPr>
      </w:r>
      <w:r/>
    </w:p>
    <w:p>
      <w:pPr>
        <w:pStyle w:val="1188"/>
        <w:ind w:left="359" w:firstLine="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6、综合评审文件</w:t>
      </w:r>
      <w:r>
        <w:rPr>
          <w:rFonts w:hint="eastAsia" w:ascii="宋体" w:hAnsi="宋体"/>
          <w:b/>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6.1服务方案；</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6.2类似业绩证明材料（格式见第三章）；</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6.3与本次招标相关材料；</w:t>
      </w:r>
      <w:r>
        <w:rPr>
          <w:rFonts w:hint="eastAsia" w:ascii="宋体" w:hAnsi="宋体"/>
          <w:color w:val="000000"/>
          <w:szCs w:val="21"/>
          <w:highlight w:val="none"/>
        </w:rPr>
      </w:r>
      <w:r/>
    </w:p>
    <w:p>
      <w:pPr>
        <w:pStyle w:val="1188"/>
        <w:ind w:left="359" w:firstLine="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7、绿色采购</w:t>
      </w:r>
      <w:r>
        <w:rPr>
          <w:rFonts w:hint="eastAsia" w:ascii="宋体" w:hAnsi="宋体"/>
          <w:b/>
          <w:bCs/>
          <w:color w:val="000000"/>
          <w:szCs w:val="21"/>
          <w:highlight w:val="none"/>
        </w:rPr>
      </w:r>
      <w:r/>
    </w:p>
    <w:p>
      <w:pPr>
        <w:pStyle w:val="947"/>
        <w:ind w:firstLine="359"/>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highlight w:val="none"/>
        </w:rPr>
        <w:t xml:space="preserve">否则将被认定为未实质性响应招标文件要求。</w:t>
      </w:r>
      <w:r>
        <w:rPr>
          <w:rFonts w:hint="eastAsia" w:ascii="宋体" w:hAnsi="宋体"/>
          <w:b/>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olor w:val="000000"/>
          <w:szCs w:val="21"/>
          <w:highlight w:val="none"/>
        </w:rPr>
      </w:r>
      <w:r/>
    </w:p>
    <w:p>
      <w:pPr>
        <w:pStyle w:val="947"/>
        <w:ind w:firstLine="359"/>
        <w:spacing w:line="360" w:lineRule="auto"/>
        <w:rPr>
          <w:rFonts w:hint="eastAsia" w:ascii="宋体" w:hAnsi="宋体"/>
          <w:color w:val="000000"/>
          <w:szCs w:val="21"/>
          <w:highlight w:val="none"/>
        </w:rPr>
      </w:pPr>
      <w:r>
        <w:rPr>
          <w:rFonts w:hint="eastAsia" w:ascii="宋体" w:hAnsi="宋体"/>
          <w:color w:val="000000"/>
          <w:szCs w:val="21"/>
          <w:highlight w:val="none"/>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olor w:val="000000"/>
          <w:szCs w:val="21"/>
          <w:highlight w:val="none"/>
        </w:rPr>
      </w:r>
      <w:r/>
    </w:p>
    <w:p>
      <w:pPr>
        <w:pStyle w:val="1188"/>
        <w:ind w:left="359" w:firstLine="0"/>
        <w:spacing w:line="360" w:lineRule="auto"/>
        <w:rPr>
          <w:rFonts w:hint="eastAsia" w:ascii="宋体" w:hAnsi="宋体"/>
          <w:b/>
          <w:color w:val="000000"/>
          <w:szCs w:val="21"/>
          <w:highlight w:val="none"/>
        </w:rPr>
      </w:pPr>
      <w:r>
        <w:rPr>
          <w:rFonts w:hint="eastAsia" w:ascii="宋体" w:hAnsi="宋体"/>
          <w:b/>
          <w:bCs/>
          <w:color w:val="000000"/>
          <w:szCs w:val="21"/>
          <w:highlight w:val="none"/>
        </w:rPr>
        <w:t xml:space="preserve">8、注意</w:t>
      </w:r>
      <w:r>
        <w:rPr>
          <w:rFonts w:hint="eastAsia" w:ascii="宋体" w:hAnsi="宋体"/>
          <w:b/>
          <w:color w:val="000000"/>
          <w:szCs w:val="21"/>
          <w:highlight w:val="none"/>
        </w:rPr>
        <w:t xml:space="preserve">事项 </w:t>
      </w:r>
      <w:r>
        <w:rPr>
          <w:rFonts w:hint="eastAsia" w:ascii="宋体" w:hAnsi="宋体"/>
          <w:b/>
          <w:color w:val="000000"/>
          <w:szCs w:val="21"/>
          <w:highlight w:val="none"/>
        </w:rPr>
      </w:r>
      <w:r/>
    </w:p>
    <w:p>
      <w:pPr>
        <w:pStyle w:val="947"/>
        <w:ind w:firstLine="361"/>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8.1资格审查文件中要求必须提供的材料，投标人必须提供并加盖电子公章，否则将被认定为不符合资格审查要求。</w:t>
      </w:r>
      <w:r>
        <w:rPr>
          <w:rFonts w:hint="eastAsia" w:ascii="宋体" w:hAnsi="宋体"/>
          <w:b/>
          <w:color w:val="000000"/>
          <w:szCs w:val="21"/>
          <w:highlight w:val="none"/>
        </w:rPr>
      </w:r>
      <w:r/>
    </w:p>
    <w:p>
      <w:pPr>
        <w:pStyle w:val="947"/>
        <w:ind w:firstLine="361"/>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8.2符合性审查文件要求必须提供的材料，投标人必须提供并加盖电子公章，否则将被认定为未实质性响应招标文件要求。</w:t>
      </w:r>
      <w:r>
        <w:rPr>
          <w:rFonts w:hint="eastAsia" w:ascii="宋体" w:hAnsi="宋体"/>
          <w:b/>
          <w:color w:val="000000"/>
          <w:szCs w:val="21"/>
          <w:highlight w:val="none"/>
        </w:rPr>
      </w:r>
      <w:r/>
    </w:p>
    <w:p>
      <w:pPr>
        <w:pStyle w:val="947"/>
        <w:ind w:firstLine="361"/>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8.3制作电子投标文件时必须与投标文件制作软件目录一一对应，将相关资料上传至相应模块，否则将认定相关材料无效。</w:t>
      </w:r>
      <w:r>
        <w:rPr>
          <w:rFonts w:hint="eastAsia" w:ascii="宋体" w:hAnsi="宋体"/>
          <w:b/>
          <w:color w:val="000000"/>
          <w:szCs w:val="21"/>
          <w:highlight w:val="none"/>
        </w:rPr>
      </w:r>
      <w:r/>
    </w:p>
    <w:p>
      <w:pPr>
        <w:pStyle w:val="947"/>
        <w:ind w:firstLine="361"/>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8.4开评标过程中如有问题采购代理机构工作人员会及时通过《投标供应商确认函》留存的手机号与供应商联系。请供应商确保该手机号通信畅通，否则导致的不利后果由供应商自行承担。</w:t>
      </w:r>
      <w:r>
        <w:rPr>
          <w:rFonts w:hint="eastAsia" w:ascii="宋体" w:hAnsi="宋体"/>
          <w:b/>
          <w:color w:val="000000"/>
          <w:szCs w:val="21"/>
          <w:highlight w:val="none"/>
        </w:rPr>
      </w:r>
      <w:r/>
    </w:p>
    <w:p>
      <w:pPr>
        <w:pStyle w:val="947"/>
        <w:ind w:firstLine="36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三、招标文件的澄清和修改</w:t>
      </w:r>
      <w:r>
        <w:rPr>
          <w:rFonts w:hint="eastAsia" w:ascii="宋体" w:hAnsi="宋体" w:cs="宋体"/>
          <w:b/>
          <w:color w:val="000000"/>
          <w:szCs w:val="21"/>
          <w:highlight w:val="none"/>
        </w:rPr>
      </w:r>
      <w:r/>
    </w:p>
    <w:p>
      <w:pPr>
        <w:pStyle w:val="960"/>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1、投标人在获取招标文件后，若有疑问，应于提交投标文件截止时间前，向采购代理机构提出询问，采购代理机构将按规定予以答复。</w:t>
      </w:r>
      <w:r>
        <w:rPr>
          <w:rFonts w:hint="eastAsia" w:ascii="宋体" w:hAnsi="宋体" w:eastAsia="宋体" w:cs="宋体"/>
          <w:color w:val="000000"/>
          <w:sz w:val="21"/>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2、在提交投标文件截止时间前，采购人或者采购代理机构可以对已发出的招标文件进行必要的澄清或者修改，澄清或者修改的内容作为招标文件的组成部分。</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3、采购代理机构对招标文件的澄清或者修改，将按规定在提交投标文件截止时间前以更正公告形式在法定的政府采购信息发布媒体上发布。</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4、投标人应在提交投标文件截止时间前关注原采购信息发布媒体上有无本项目的更正公告。</w:t>
      </w:r>
      <w:r>
        <w:rPr>
          <w:rFonts w:hint="eastAsia" w:ascii="宋体" w:hAnsi="宋体" w:cs="宋体"/>
          <w:color w:val="000000"/>
          <w:szCs w:val="21"/>
          <w:highlight w:val="none"/>
        </w:rPr>
      </w:r>
      <w:r/>
    </w:p>
    <w:p>
      <w:pPr>
        <w:pStyle w:val="947"/>
        <w:ind w:firstLine="36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四、投标文件的提交、撤回和修改</w:t>
      </w:r>
      <w:r>
        <w:rPr>
          <w:rFonts w:hint="eastAsia" w:ascii="宋体" w:hAnsi="宋体" w:cs="宋体"/>
          <w:b/>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1、投标文件应当在提交投标文件的截止时间前制作并上传电子投标文件。</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2、在提交投标文件的截止时间前，投标人可以撤回或者修改投标文件，具体操作方法见《苏采云系统供应商操作手册》。</w:t>
      </w:r>
      <w:r>
        <w:rPr>
          <w:rFonts w:hint="eastAsia" w:ascii="宋体" w:hAnsi="宋体" w:cs="宋体"/>
          <w:color w:val="000000"/>
          <w:szCs w:val="21"/>
          <w:highlight w:val="none"/>
        </w:rPr>
      </w:r>
      <w:r/>
    </w:p>
    <w:p>
      <w:pPr>
        <w:pStyle w:val="947"/>
        <w:ind w:firstLine="36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五、质疑</w:t>
      </w:r>
      <w:r>
        <w:rPr>
          <w:rFonts w:hint="eastAsia" w:ascii="宋体" w:hAnsi="宋体" w:cs="宋体"/>
          <w:b/>
          <w:color w:val="000000"/>
          <w:szCs w:val="21"/>
          <w:highlight w:val="none"/>
        </w:rPr>
      </w:r>
      <w:r/>
    </w:p>
    <w:p>
      <w:pPr>
        <w:pStyle w:val="96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hint="eastAsia" w:ascii="宋体" w:hAnsi="宋体" w:eastAsia="宋体"/>
          <w:color w:val="000000"/>
          <w:sz w:val="21"/>
          <w:szCs w:val="21"/>
          <w:highlight w:val="none"/>
        </w:rPr>
      </w:r>
      <w:r/>
    </w:p>
    <w:p>
      <w:pPr>
        <w:pStyle w:val="960"/>
        <w:spacing w:line="360" w:lineRule="auto"/>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供应商应当在法定质疑期内一次性提出针对同一采购程序环节的质疑。</w:t>
      </w:r>
      <w:r>
        <w:rPr>
          <w:rFonts w:hint="eastAsia" w:ascii="宋体" w:hAnsi="宋体" w:eastAsia="宋体"/>
          <w:color w:val="000000"/>
          <w:sz w:val="21"/>
          <w:szCs w:val="21"/>
          <w:highlight w:val="none"/>
        </w:rPr>
      </w:r>
      <w:r/>
    </w:p>
    <w:p>
      <w:pPr>
        <w:pStyle w:val="960"/>
        <w:spacing w:line="360" w:lineRule="auto"/>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采购人、采购代理机构应当在收到供应商书面质疑后七个工作日内作出答复，并以书面形式通知质疑人和其他相关供应商。</w:t>
      </w:r>
      <w:r>
        <w:rPr>
          <w:rFonts w:hint="eastAsia" w:ascii="宋体" w:hAnsi="宋体" w:eastAsia="宋体"/>
          <w:color w:val="000000"/>
          <w:sz w:val="21"/>
          <w:szCs w:val="21"/>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w:t>
      </w:r>
      <w:r>
        <w:rPr>
          <w:rFonts w:ascii="宋体" w:hAnsi="宋体"/>
          <w:color w:val="000000"/>
          <w:highlight w:val="none"/>
        </w:rPr>
        <w:t xml:space="preserve">质疑函应包括以下主要内容，并按照“谁主张、谁举证”的原则，附上必要的证明材料。　　　　　　　</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2.1供应商的姓名或者名称、地址、邮编、联系人及联系电话；</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2.2质疑项目名称、编号；</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2.3具体、明确的质疑事项和与质疑事项相关的请求；</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2.4具体的事实依据及相关证据材料；</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2.5必要的法律依据；</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2.6提出质疑的日期；</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hint="eastAsia" w:ascii="宋体" w:hAnsi="宋体"/>
          <w:color w:val="000000"/>
          <w:highlight w:val="none"/>
        </w:rPr>
        <w:t xml:space="preserve">2.7依法获取采购文件的证明（</w:t>
      </w:r>
      <w:r>
        <w:rPr>
          <w:rFonts w:hint="eastAsia" w:ascii="宋体" w:hAnsi="宋体"/>
          <w:color w:val="000000"/>
          <w:szCs w:val="21"/>
          <w:highlight w:val="none"/>
        </w:rPr>
        <w:t xml:space="preserve">《投标供应商确认函》</w:t>
      </w:r>
      <w:r>
        <w:rPr>
          <w:rFonts w:hint="eastAsia" w:ascii="宋体" w:hAnsi="宋体"/>
          <w:color w:val="000000"/>
          <w:highlight w:val="none"/>
        </w:rPr>
        <w:t xml:space="preserve">）；</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代理人提出质疑，应当提交供应商签署的授权委托书。</w:t>
      </w:r>
      <w:r>
        <w:rPr>
          <w:rFonts w:hint="eastAsia" w:ascii="宋体" w:hAnsi="宋体"/>
          <w:color w:val="000000"/>
          <w:highlight w:val="none"/>
        </w:rPr>
      </w:r>
      <w:r/>
    </w:p>
    <w:p>
      <w:pPr>
        <w:pStyle w:val="947"/>
        <w:ind w:firstLine="359"/>
        <w:spacing w:line="360" w:lineRule="auto"/>
        <w:rPr>
          <w:rFonts w:hint="eastAsia" w:ascii="宋体" w:hAnsi="宋体" w:cs="宋体"/>
          <w:color w:val="000000"/>
          <w:szCs w:val="21"/>
          <w:highlight w:val="none"/>
        </w:rPr>
      </w:pPr>
      <w:r>
        <w:rPr>
          <w:rFonts w:ascii="宋体" w:hAnsi="宋体"/>
          <w:color w:val="000000"/>
          <w:highlight w:val="none"/>
        </w:rPr>
        <w:t xml:space="preserve">3</w:t>
      </w:r>
      <w:r>
        <w:rPr>
          <w:rFonts w:hint="eastAsia" w:ascii="宋体" w:hAnsi="宋体"/>
          <w:color w:val="000000"/>
          <w:highlight w:val="none"/>
        </w:rPr>
        <w:t xml:space="preserve">、</w:t>
      </w:r>
      <w:r>
        <w:rPr>
          <w:rFonts w:ascii="宋体" w:hAnsi="宋体"/>
          <w:color w:val="000000"/>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7"/>
        <w:ind w:firstLine="36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六、开标和评标</w:t>
      </w:r>
      <w:r>
        <w:rPr>
          <w:rFonts w:hint="eastAsia" w:ascii="宋体" w:hAnsi="宋体" w:cs="宋体"/>
          <w:b/>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（一）开标</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1、采购代理机构按规定的时间、地点、方式进行开标。开标由采购代理机构主持。</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2、投标人应当按照《操作手册》规定，参加开标活动和在苏采云系统规定的时间内对投标文件进行解密。</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3、开标仪式由采购代理机构组织。苏采云系统将自动对项目进行开标，并宣布各投标人名称和投标价格。</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4、投标人在开标过程中涉及到的投标文件解密、开标结果确认等工作，应按照《操作手册》规定执行。</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5、投标人如果对开标过程和开标记录有疑义，应当根据《操作手册》规定提出，如苏采云系统中《开标记录表》宣布后5分钟内未提出的，视同认可开标结果。</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6、投标人在开、评标全过程中应保持通信畅通，及时登录苏采云系统查阅、答复相关信息，并安排专人与采购代理机构及评标委员会联系。</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（二）评标委员会、评标内容的保密</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1、评标委员会的评标工作由采购代理机构组织，具体评标事务由评标委员会负责，并独立履行法律、法规规定的职责。</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2、开标后，直到宣布中标人中标为止，凡属于审查、澄清、评价和比较投标的所有资料，有关中标的信息都不应向投标人或与评标无关的其他人泄露。</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3、在投标文件的审查、澄清、评价和比较以及确定中标结果的过程中，投标人对采购代理机构和评标委员会成员施加影响的任何行为，都将依法处理。</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（三）对投标文件的初审</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1、公开招标采购项目开标结束后，采购人或采购代理机构应当依法对投标人进行资格审查，未通过资格审查的视为无效投标。</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2、评标委员会应当对符合资格的投标人的投标文件进行符合性审查，以确定其是否满足招标文件的实质性要求。</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4.1查询时间：进入评审环节前。</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4.2查询证据留存方式：打印查询的信用报告，由评标委员会进行认定。</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5、评标委员会将对确定为实质性响应的投标进行进一步审核，确定其是否有计算上或累加上的算术错误，投标文件报价出现前后不一致的，除招标文件另有规定外，按照下列规定修正：</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5.1投标文件中开标一览表内容与投标文件中相应内容不一致的，以开标一览表为准；</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5.2大写金额和小写金额不一致的，以大写金额为准；</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5.3单价金额小数点或者百分比有明显错位的，以开标一览表的总价为准，并修改单价；</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5.4总价金额与按单价汇总金额不一致的，以单价金额计算结果为准。</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5.5同时出现两种以上不一致的，按照前款规定的顺序修正。修正后的报价按照“（四）投标的澄清、说明或者补正”的规定经投标人确认后产生约束力，投标人不确认的，其投标无效。</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（四）投标的澄清、说明或者补正</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接到评委会澄清、说明和补正要求的投标人如未按规定做出澄清、说明和补正，其风险由投标人自行承担。投标人的澄清、说明或者补正不得超出投标文件的范围或者改变投标文件的实质性内容。</w:t>
      </w:r>
      <w:r>
        <w:rPr>
          <w:rFonts w:hint="eastAsia" w:ascii="宋体" w:hAnsi="宋体" w:cs="宋体"/>
          <w:color w:val="000000"/>
          <w:szCs w:val="21"/>
          <w:highlight w:val="none"/>
        </w:rPr>
      </w:r>
      <w:r/>
    </w:p>
    <w:p>
      <w:pPr>
        <w:pStyle w:val="947"/>
        <w:ind w:firstLine="420"/>
        <w:spacing w:line="360" w:lineRule="auto"/>
        <w:rPr>
          <w:rFonts w:hint="eastAsia" w:ascii="宋体" w:hAnsi="宋体"/>
          <w:color w:val="000000"/>
          <w:highlight w:val="none"/>
        </w:rPr>
      </w:pPr>
      <w:r>
        <w:rPr>
          <w:rFonts w:hint="eastAsia" w:ascii="宋体" w:hAnsi="宋体"/>
          <w:color w:val="000000"/>
          <w:highlight w:val="none"/>
        </w:rPr>
        <w:t xml:space="preserve">（五）异常低价投标审查</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hint="eastAsia" w:ascii="宋体" w:hAnsi="宋体"/>
          <w:color w:val="000000"/>
          <w:highlight w:val="none"/>
        </w:rPr>
        <w:t xml:space="preserve">1、评审过程中出现下列情形之一的，评审委员会应当启动异常低价投标审查程序：</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1.1</w:t>
      </w:r>
      <w:r>
        <w:rPr>
          <w:rFonts w:hint="eastAsia" w:ascii="宋体" w:hAnsi="宋体"/>
          <w:color w:val="000000"/>
          <w:highlight w:val="none"/>
        </w:rPr>
        <w:t xml:space="preserve">投标（响应）报价低于全部通过符合性审查供应商投标（响应）报价平均值</w:t>
      </w:r>
      <w:r>
        <w:rPr>
          <w:rFonts w:ascii="宋体" w:hAnsi="宋体"/>
          <w:color w:val="000000"/>
          <w:highlight w:val="none"/>
        </w:rPr>
        <w:t xml:space="preserve">50%</w:t>
      </w:r>
      <w:r>
        <w:rPr>
          <w:rFonts w:hint="eastAsia" w:ascii="宋体" w:hAnsi="宋体"/>
          <w:color w:val="000000"/>
          <w:highlight w:val="none"/>
        </w:rPr>
        <w:t xml:space="preserve">的，即投标（响应）报价</w:t>
      </w:r>
      <w:r>
        <w:rPr>
          <w:rFonts w:ascii="宋体" w:hAnsi="宋体"/>
          <w:color w:val="000000"/>
          <w:highlight w:val="none"/>
        </w:rPr>
        <w:t xml:space="preserve">&lt;</w:t>
      </w:r>
      <w:r>
        <w:rPr>
          <w:rFonts w:hint="eastAsia" w:ascii="宋体" w:hAnsi="宋体"/>
          <w:color w:val="000000"/>
          <w:highlight w:val="none"/>
        </w:rPr>
        <w:t xml:space="preserve">全部通过符合性审查供应商投标（响应）报价平均值</w:t>
      </w:r>
      <w:r>
        <w:rPr>
          <w:rFonts w:ascii="宋体" w:hAnsi="宋体"/>
          <w:color w:val="000000"/>
          <w:highlight w:val="none"/>
        </w:rPr>
        <w:t xml:space="preserve">×50%</w:t>
      </w:r>
      <w:r>
        <w:rPr>
          <w:rFonts w:hint="eastAsia" w:ascii="宋体" w:hAnsi="宋体"/>
          <w:color w:val="000000"/>
          <w:highlight w:val="none"/>
        </w:rPr>
        <w:t xml:space="preserve">；</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1.2</w:t>
      </w:r>
      <w:r>
        <w:rPr>
          <w:rFonts w:hint="eastAsia" w:ascii="宋体" w:hAnsi="宋体"/>
          <w:color w:val="000000"/>
          <w:highlight w:val="none"/>
        </w:rPr>
        <w:t xml:space="preserve">投标（响应）报价低于通过符合性审查的次低报价供应商投标（响应）报价</w:t>
      </w:r>
      <w:r>
        <w:rPr>
          <w:rFonts w:ascii="宋体" w:hAnsi="宋体"/>
          <w:color w:val="000000"/>
          <w:highlight w:val="none"/>
        </w:rPr>
        <w:t xml:space="preserve">50%</w:t>
      </w:r>
      <w:r>
        <w:rPr>
          <w:rFonts w:hint="eastAsia" w:ascii="宋体" w:hAnsi="宋体"/>
          <w:color w:val="000000"/>
          <w:highlight w:val="none"/>
        </w:rPr>
        <w:t xml:space="preserve">的，即投标（响应）报价</w:t>
      </w:r>
      <w:r>
        <w:rPr>
          <w:rFonts w:ascii="宋体" w:hAnsi="宋体"/>
          <w:color w:val="000000"/>
          <w:highlight w:val="none"/>
        </w:rPr>
        <w:t xml:space="preserve">&lt;</w:t>
      </w:r>
      <w:r>
        <w:rPr>
          <w:rFonts w:hint="eastAsia" w:ascii="宋体" w:hAnsi="宋体"/>
          <w:color w:val="000000"/>
          <w:highlight w:val="none"/>
        </w:rPr>
        <w:t xml:space="preserve">通过符合性审查的次低报价供应商投标（响应）报价</w:t>
      </w:r>
      <w:r>
        <w:rPr>
          <w:rFonts w:ascii="宋体" w:hAnsi="宋体"/>
          <w:color w:val="000000"/>
          <w:highlight w:val="none"/>
        </w:rPr>
        <w:t xml:space="preserve">×50%</w:t>
      </w:r>
      <w:r>
        <w:rPr>
          <w:rFonts w:hint="eastAsia" w:ascii="宋体" w:hAnsi="宋体"/>
          <w:color w:val="000000"/>
          <w:highlight w:val="none"/>
        </w:rPr>
        <w:t xml:space="preserve">；</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1.3</w:t>
      </w:r>
      <w:r>
        <w:rPr>
          <w:rFonts w:hint="eastAsia" w:ascii="宋体" w:hAnsi="宋体"/>
          <w:color w:val="000000"/>
          <w:highlight w:val="none"/>
        </w:rPr>
        <w:t xml:space="preserve">投标（响应）报价低于采购项目最高限价</w:t>
      </w:r>
      <w:r>
        <w:rPr>
          <w:rFonts w:ascii="宋体" w:hAnsi="宋体"/>
          <w:color w:val="000000"/>
          <w:highlight w:val="none"/>
        </w:rPr>
        <w:t xml:space="preserve">45%</w:t>
      </w:r>
      <w:r>
        <w:rPr>
          <w:rFonts w:hint="eastAsia" w:ascii="宋体" w:hAnsi="宋体"/>
          <w:color w:val="000000"/>
          <w:highlight w:val="none"/>
        </w:rPr>
        <w:t xml:space="preserve">的，即投标（响应）报价</w:t>
      </w:r>
      <w:r>
        <w:rPr>
          <w:rFonts w:ascii="宋体" w:hAnsi="宋体"/>
          <w:color w:val="000000"/>
          <w:highlight w:val="none"/>
        </w:rPr>
        <w:t xml:space="preserve">&lt;</w:t>
      </w:r>
      <w:r>
        <w:rPr>
          <w:rFonts w:hint="eastAsia" w:ascii="宋体" w:hAnsi="宋体"/>
          <w:color w:val="000000"/>
          <w:highlight w:val="none"/>
        </w:rPr>
        <w:t xml:space="preserve">采购项目最高限价</w:t>
      </w:r>
      <w:r>
        <w:rPr>
          <w:rFonts w:ascii="宋体" w:hAnsi="宋体"/>
          <w:color w:val="000000"/>
          <w:highlight w:val="none"/>
        </w:rPr>
        <w:t xml:space="preserve">×45%</w:t>
      </w:r>
      <w:r>
        <w:rPr>
          <w:rFonts w:hint="eastAsia" w:ascii="宋体" w:hAnsi="宋体"/>
          <w:color w:val="000000"/>
          <w:highlight w:val="none"/>
        </w:rPr>
        <w:t xml:space="preserve">；</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1.4</w:t>
      </w:r>
      <w:r>
        <w:rPr>
          <w:rFonts w:hint="eastAsia" w:ascii="宋体" w:hAnsi="宋体"/>
          <w:color w:val="000000"/>
          <w:highlight w:val="none"/>
        </w:rPr>
        <w:t xml:space="preserve">评审委员会基于专业判断，认为供应商报价过低，有可能影响产品质量或者不能诚信履约的其他情形。</w:t>
      </w:r>
      <w:r>
        <w:rPr>
          <w:rFonts w:hint="eastAsia" w:ascii="宋体" w:hAnsi="宋体"/>
          <w:color w:val="000000"/>
          <w:highlight w:val="none"/>
        </w:rPr>
      </w:r>
      <w:r/>
    </w:p>
    <w:p>
      <w:pPr>
        <w:pStyle w:val="947"/>
        <w:ind w:firstLine="420"/>
        <w:spacing w:line="360" w:lineRule="auto"/>
        <w:rPr>
          <w:rFonts w:hint="eastAsia"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、评审委员会启动异常低价投标（响应）审查后，属于前述第</w:t>
      </w:r>
      <w:r>
        <w:rPr>
          <w:rFonts w:ascii="宋体" w:hAnsi="宋体"/>
          <w:color w:val="000000"/>
          <w:highlight w:val="none"/>
        </w:rPr>
        <w:t xml:space="preserve">1</w:t>
      </w:r>
      <w:r>
        <w:rPr>
          <w:rFonts w:hint="eastAsia" w:ascii="宋体" w:hAnsi="宋体"/>
          <w:color w:val="000000"/>
          <w:highlight w:val="none"/>
        </w:rPr>
        <w:t xml:space="preserve">项至第</w:t>
      </w:r>
      <w:r>
        <w:rPr>
          <w:rFonts w:ascii="宋体" w:hAnsi="宋体"/>
          <w:color w:val="000000"/>
          <w:highlight w:val="none"/>
        </w:rPr>
        <w:t xml:space="preserve">4</w:t>
      </w:r>
      <w:r>
        <w:rPr>
          <w:rFonts w:hint="eastAsia" w:ascii="宋体" w:hAnsi="宋体"/>
          <w:color w:val="00000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olor w:val="000000"/>
          <w:highlight w:val="none"/>
        </w:rPr>
        <w:t xml:space="preserve">30</w:t>
      </w:r>
      <w:r>
        <w:rPr>
          <w:rFonts w:hint="eastAsia" w:ascii="宋体" w:hAnsi="宋体"/>
          <w:color w:val="000000"/>
          <w:highlight w:val="none"/>
        </w:rPr>
        <w:t xml:space="preserve">分钟。其中，属于第</w:t>
      </w:r>
      <w:r>
        <w:rPr>
          <w:rFonts w:ascii="宋体" w:hAnsi="宋体"/>
          <w:color w:val="000000"/>
          <w:highlight w:val="none"/>
        </w:rPr>
        <w:t xml:space="preserve">3</w:t>
      </w:r>
      <w:r>
        <w:rPr>
          <w:rFonts w:hint="eastAsia" w:ascii="宋体" w:hAnsi="宋体"/>
          <w:color w:val="000000"/>
          <w:highlight w:val="none"/>
        </w:rPr>
        <w:t xml:space="preserve">项情形，供应商已随投标（响应）文件一并提交相关书面说明及必要的证明材料的，在评审现场可不再重复提交。</w:t>
      </w:r>
      <w:r>
        <w:rPr>
          <w:rFonts w:hint="eastAsia" w:ascii="宋体" w:hAnsi="宋体"/>
          <w:color w:val="000000"/>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（六）无效投标条款</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2、投标人存在下列情况之一的，无效投标：</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2.1投标文件未按招标文件要求签署、盖章的；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2.2不具备招标文件中规定的资格要求的；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2.3报价超过招标文件中规定的预算金额或者最高限价的；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2.4投标文件中含有采购人不能接受的附加条件的；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2.5投标文件不能满足招标文件的实质性要求的；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olor w:val="000000"/>
          <w:szCs w:val="21"/>
          <w:highlight w:val="none"/>
        </w:rPr>
        <w:t xml:space="preserve">供应商查询中，不同供应商上传投标文件所使用的电脑的MAC地址和标书制作工具客户端标识码均一致的（如发现违法违规行为，将依法追究其法律责任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2.7法律、法规和招标文件规定的其他无效情形。</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（七）投标文件的比较和评价</w:t>
      </w:r>
      <w:r>
        <w:rPr>
          <w:rFonts w:hint="eastAsia" w:ascii="宋体" w:hAnsi="宋体" w:cs="宋体"/>
          <w:color w:val="000000"/>
          <w:szCs w:val="21"/>
          <w:highlight w:val="none"/>
        </w:rPr>
      </w:r>
      <w:r/>
    </w:p>
    <w:p>
      <w:pPr>
        <w:pStyle w:val="947"/>
        <w:ind w:right="-252" w:firstLine="359"/>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评标委员会应当按照招标文件中规定的评标方法和标准，对审查合格的投标文件进行商务和技术评估，综合比较与评价。</w:t>
      </w:r>
      <w:r>
        <w:rPr>
          <w:rFonts w:hint="eastAsia" w:ascii="宋体" w:hAnsi="宋体" w:cs="宋体"/>
          <w:color w:val="000000"/>
          <w:szCs w:val="21"/>
          <w:highlight w:val="none"/>
        </w:rPr>
      </w:r>
      <w:r/>
    </w:p>
    <w:p>
      <w:pPr>
        <w:pStyle w:val="947"/>
        <w:ind w:right="-252" w:firstLine="361"/>
        <w:spacing w:line="360" w:lineRule="auto"/>
        <w:tabs>
          <w:tab w:val="left" w:pos="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七、废标</w:t>
      </w:r>
      <w:r>
        <w:rPr>
          <w:rFonts w:hint="eastAsia" w:ascii="宋体" w:hAnsi="宋体" w:cs="宋体"/>
          <w:b/>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1、在招标过程中，出现下列情形之一的，应予废标：</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1.1符合专业条件的供应商或者对招标文件作实质性响应的供应商不足三家的；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1.2出现影响采购公正的违法、违规行为的；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1.3投标人的报价均超过了采购预算，采购人不能支付的；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1.4因重大变故，采购任务取消的。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1.5评标委员会发现招标文件存在歧义、重大缺陷导致评标工作无法进行，或者招标文件内容违反国家有关强制性规定的。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1.6因苏采云系统系统故障原因造成开标不成功的。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1.7投标截止时间结束后参加投标的供应商不足三家的处理：</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1.7.1如出现投标截止时间结束后参加投标的供应商或者在评标期间对招标文件做出实质响应的供应商不足三家情况，按政府采购相关规定执行。</w:t>
      </w:r>
      <w:r>
        <w:rPr>
          <w:rFonts w:hint="eastAsia" w:ascii="宋体" w:hAnsi="宋体" w:cs="宋体"/>
          <w:color w:val="000000"/>
          <w:szCs w:val="21"/>
          <w:highlight w:val="none"/>
        </w:rPr>
      </w:r>
      <w:r/>
    </w:p>
    <w:p>
      <w:pPr>
        <w:pStyle w:val="947"/>
        <w:numPr>
          <w:ilvl w:val="0"/>
          <w:numId w:val="15"/>
        </w:numPr>
        <w:ind w:right="-252" w:firstLine="359"/>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废标后，采购代理机构将把废标的理由通知所有投标人。</w:t>
      </w:r>
      <w:r>
        <w:rPr>
          <w:rFonts w:hint="eastAsia" w:ascii="宋体" w:hAnsi="宋体" w:cs="宋体"/>
          <w:color w:val="000000"/>
          <w:szCs w:val="21"/>
          <w:highlight w:val="none"/>
        </w:rPr>
      </w:r>
      <w:r/>
    </w:p>
    <w:p>
      <w:pPr>
        <w:pStyle w:val="947"/>
        <w:ind w:right="-252" w:firstLine="361"/>
        <w:spacing w:line="360" w:lineRule="auto"/>
        <w:tabs>
          <w:tab w:val="left" w:pos="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八、中标结果</w:t>
      </w:r>
      <w:r>
        <w:rPr>
          <w:rFonts w:hint="eastAsia" w:ascii="宋体" w:hAnsi="宋体" w:cs="宋体"/>
          <w:b/>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1、中标人的确认</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1.1评标委员会根据投标人资格审查情况，投标文件的评价和比较，按照招标文件的评分标准进行打分和汇总评分结果。</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1.2评标委员会根据评审后得分由高到低顺序排列，确定中标人。</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2、中标通知书</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2.1采购代理机构按照法定流程发布中标公告，及时向中标人发送中标通知书。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2.2采购人与中标人应当在中标通知书发出之日起三十日内，按照招标文件及投标文件确定的事项签订政府采购合同。</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中标通知书对采购人和中标人均具有法律效力，中标通知书发出后，采购人改变中标结果的，或者中标人放弃中标项目的，应当依法承担法律责任。</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3、中标信息</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投标人中标后，请将下表完善信息，word电子件于1个工作日内发至286268953@qq.com邮箱，联系电话：0512-50369351，以免影响中标公告发布。</w:t>
      </w:r>
      <w:r>
        <w:rPr>
          <w:rFonts w:hint="eastAsia" w:ascii="宋体" w:hAnsi="宋体" w:cs="宋体"/>
          <w:color w:val="000000"/>
          <w:szCs w:val="21"/>
          <w:highlight w:val="none"/>
        </w:rPr>
      </w:r>
      <w:r/>
    </w:p>
    <w:p>
      <w:pPr>
        <w:pStyle w:val="947"/>
        <w:ind w:firstLine="35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中标信息</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trHeight w:val="567"/>
        </w:trPr>
        <w:tc>
          <w:tcPr>
            <w:tcW w:w="817"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693"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信息</w:t>
            </w:r>
            <w:r>
              <w:rPr>
                <w:rFonts w:hint="eastAsia" w:ascii="宋体" w:hAnsi="宋体" w:cs="宋体"/>
                <w:color w:val="000000"/>
                <w:szCs w:val="21"/>
                <w:highlight w:val="none"/>
              </w:rPr>
            </w:r>
            <w:r/>
          </w:p>
        </w:tc>
        <w:tc>
          <w:tcPr>
            <w:tcW w:w="5018"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具体内容</w:t>
            </w:r>
            <w:r>
              <w:rPr>
                <w:rFonts w:hint="eastAsia" w:ascii="宋体" w:hAnsi="宋体" w:cs="宋体"/>
                <w:color w:val="000000"/>
                <w:szCs w:val="21"/>
                <w:highlight w:val="none"/>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693"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c>
        <w:tc>
          <w:tcPr>
            <w:tcW w:w="5018"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693"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中标人名称</w:t>
            </w:r>
            <w:r>
              <w:rPr>
                <w:rFonts w:hint="eastAsia" w:ascii="宋体" w:hAnsi="宋体" w:cs="宋体"/>
                <w:color w:val="000000"/>
                <w:szCs w:val="21"/>
                <w:highlight w:val="none"/>
              </w:rPr>
            </w:r>
            <w:r/>
          </w:p>
        </w:tc>
        <w:tc>
          <w:tcPr>
            <w:tcW w:w="5018"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693"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中标人地址</w:t>
            </w:r>
            <w:r>
              <w:rPr>
                <w:rFonts w:hint="eastAsia" w:ascii="宋体" w:hAnsi="宋体" w:cs="宋体"/>
                <w:color w:val="000000"/>
                <w:szCs w:val="21"/>
                <w:highlight w:val="none"/>
              </w:rPr>
            </w:r>
            <w:r/>
          </w:p>
        </w:tc>
        <w:tc>
          <w:tcPr>
            <w:tcW w:w="5018"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693"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中标金额</w:t>
            </w:r>
            <w:r>
              <w:rPr>
                <w:rFonts w:hint="eastAsia" w:ascii="宋体" w:hAnsi="宋体" w:cs="宋体"/>
                <w:color w:val="000000"/>
                <w:szCs w:val="21"/>
                <w:highlight w:val="none"/>
              </w:rPr>
            </w:r>
            <w:r/>
          </w:p>
        </w:tc>
        <w:tc>
          <w:tcPr>
            <w:tcW w:w="5018"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大写人民币：（小写¥）</w:t>
            </w:r>
            <w:r>
              <w:rPr>
                <w:rFonts w:hint="eastAsia" w:ascii="宋体" w:hAnsi="宋体" w:cs="宋体"/>
                <w:color w:val="000000"/>
                <w:szCs w:val="21"/>
                <w:highlight w:val="none"/>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693"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代理人姓名及联系方式</w:t>
            </w:r>
            <w:r>
              <w:rPr>
                <w:rFonts w:hint="eastAsia" w:ascii="宋体" w:hAnsi="宋体" w:cs="宋体"/>
                <w:color w:val="000000"/>
                <w:szCs w:val="21"/>
                <w:highlight w:val="none"/>
              </w:rPr>
            </w:r>
            <w:r/>
          </w:p>
        </w:tc>
        <w:tc>
          <w:tcPr>
            <w:tcW w:w="5018"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693"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rPr>
            </w:r>
            <w:r/>
          </w:p>
        </w:tc>
        <w:tc>
          <w:tcPr>
            <w:tcW w:w="5018"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693"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免费维保期限</w:t>
            </w:r>
            <w:r>
              <w:rPr>
                <w:rFonts w:hint="eastAsia" w:ascii="宋体" w:hAnsi="宋体" w:cs="宋体"/>
                <w:color w:val="000000"/>
                <w:szCs w:val="21"/>
                <w:highlight w:val="none"/>
              </w:rPr>
            </w:r>
            <w:r/>
          </w:p>
        </w:tc>
        <w:tc>
          <w:tcPr>
            <w:tcW w:w="5018"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2693"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履约保证金数额（若有）</w:t>
            </w:r>
            <w:r>
              <w:rPr>
                <w:rFonts w:hint="eastAsia" w:ascii="宋体" w:hAnsi="宋体" w:cs="宋体"/>
                <w:color w:val="000000"/>
                <w:szCs w:val="21"/>
                <w:highlight w:val="none"/>
              </w:rPr>
            </w:r>
            <w:r/>
          </w:p>
        </w:tc>
        <w:tc>
          <w:tcPr>
            <w:tcW w:w="5018"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（取整到百元，无需四舍五入）</w:t>
            </w:r>
            <w:r>
              <w:rPr>
                <w:rFonts w:hint="eastAsia" w:ascii="宋体" w:hAnsi="宋体" w:cs="宋体"/>
                <w:color w:val="000000"/>
                <w:szCs w:val="21"/>
                <w:highlight w:val="none"/>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2693"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企业规模</w:t>
            </w:r>
            <w:r>
              <w:rPr>
                <w:rFonts w:hint="eastAsia" w:ascii="宋体" w:hAnsi="宋体" w:cs="宋体"/>
                <w:color w:val="000000"/>
                <w:szCs w:val="21"/>
                <w:highlight w:val="none"/>
              </w:rPr>
            </w:r>
            <w:r/>
          </w:p>
        </w:tc>
        <w:tc>
          <w:tcPr>
            <w:tcW w:w="5018" w:type="dxa"/>
            <w:vAlign w:val="center"/>
            <w:textDirection w:val="lrTb"/>
            <w:noWrap w:val="false"/>
          </w:tcPr>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□大型□中型□小型□微型</w:t>
            </w:r>
            <w:r>
              <w:rPr>
                <w:rFonts w:hint="eastAsia" w:ascii="宋体" w:hAnsi="宋体" w:cs="宋体"/>
                <w:color w:val="000000"/>
                <w:szCs w:val="21"/>
                <w:highlight w:val="none"/>
              </w:rPr>
            </w:r>
            <w:r/>
          </w:p>
        </w:tc>
      </w:tr>
    </w:tbl>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4、合同的签订</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4.1中标人应按中标通知书中规定的期限，与采购人签订合同。</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4.2签订合同及合同条款应以招标文件和中标人的投标文件为依据，所签订的合同不得对招标文件和中标人的投标文件作实质性修改。</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4.3采购人不得向中标人提出任何不合理的要求作为签订合同的条件，不得与中标人私下订立背离合同实质性内容的协议。</w:t>
      </w:r>
      <w:r>
        <w:rPr>
          <w:rFonts w:hint="eastAsia" w:ascii="宋体" w:hAnsi="宋体" w:cs="宋体"/>
          <w:color w:val="000000"/>
          <w:szCs w:val="21"/>
          <w:highlight w:val="none"/>
        </w:rPr>
      </w:r>
      <w:r/>
    </w:p>
    <w:p>
      <w:pPr>
        <w:pStyle w:val="947"/>
        <w:ind w:right="-252" w:firstLine="359"/>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947"/>
        <w:ind w:right="-252" w:firstLine="361"/>
        <w:spacing w:line="360" w:lineRule="auto"/>
        <w:tabs>
          <w:tab w:val="left" w:pos="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九、其他事项</w:t>
      </w:r>
      <w:r>
        <w:rPr>
          <w:rFonts w:hint="eastAsia" w:ascii="宋体" w:hAnsi="宋体" w:cs="宋体"/>
          <w:b/>
          <w:color w:val="000000"/>
          <w:szCs w:val="21"/>
          <w:highlight w:val="none"/>
        </w:rPr>
      </w:r>
      <w:r/>
    </w:p>
    <w:p>
      <w:pPr>
        <w:pStyle w:val="947"/>
        <w:ind w:firstLine="36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1、中标服务费</w:t>
      </w:r>
      <w:r>
        <w:rPr>
          <w:rFonts w:hint="eastAsia" w:ascii="宋体" w:hAnsi="宋体" w:cs="宋体"/>
          <w:b/>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1.1、本项目预算已包含代理机构相关服务费，中标单位中标后按照取费标准向采购代理机构支付中标服务费，该费用应在领取中标通知书前付清。</w:t>
      </w:r>
      <w:r>
        <w:rPr>
          <w:rFonts w:hint="eastAsia" w:ascii="宋体" w:hAnsi="宋体" w:cs="宋体"/>
          <w:color w:val="000000"/>
          <w:szCs w:val="21"/>
          <w:highlight w:val="none"/>
        </w:rPr>
      </w:r>
      <w:r/>
    </w:p>
    <w:p>
      <w:pPr>
        <w:pStyle w:val="960"/>
        <w:ind w:firstLine="35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1.2、中标单位如果未按规定缴纳中标服务费，招标人将保留诉讼的权利。</w:t>
      </w:r>
      <w:r>
        <w:rPr>
          <w:rFonts w:hint="eastAsia" w:ascii="宋体" w:hAnsi="宋体" w:eastAsia="宋体" w:cs="宋体"/>
          <w:color w:val="000000"/>
          <w:sz w:val="21"/>
          <w:szCs w:val="21"/>
          <w:highlight w:val="none"/>
        </w:rPr>
      </w:r>
      <w:r/>
    </w:p>
    <w:p>
      <w:pPr>
        <w:pStyle w:val="947"/>
        <w:ind w:firstLine="36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2、监督</w:t>
      </w:r>
      <w:r>
        <w:rPr>
          <w:rFonts w:hint="eastAsia" w:ascii="宋体" w:hAnsi="宋体" w:cs="宋体"/>
          <w:b/>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2.1、政府有关监督部门将对招投标全过程进行监督。</w:t>
      </w:r>
      <w:r>
        <w:rPr>
          <w:rFonts w:hint="eastAsia" w:ascii="宋体" w:hAnsi="宋体" w:cs="宋体"/>
          <w:color w:val="000000"/>
          <w:szCs w:val="21"/>
          <w:highlight w:val="none"/>
        </w:rPr>
      </w:r>
      <w:r/>
    </w:p>
    <w:p>
      <w:pPr>
        <w:pStyle w:val="947"/>
        <w:ind w:firstLine="361"/>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3、未尽事宜</w:t>
      </w:r>
      <w:r>
        <w:rPr>
          <w:rFonts w:hint="eastAsia" w:ascii="宋体" w:hAnsi="宋体" w:cs="宋体"/>
          <w:b/>
          <w:color w:val="000000"/>
          <w:szCs w:val="21"/>
          <w:highlight w:val="none"/>
        </w:rPr>
      </w:r>
      <w:r/>
    </w:p>
    <w:p>
      <w:pPr>
        <w:pStyle w:val="947"/>
        <w:ind w:firstLine="359"/>
        <w:spacing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rPr>
        <w:t xml:space="preserve">按《中华人民共和国政府采购法》及其他有关政府采购的法律法规的规定执行</w:t>
      </w: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shd w:val="clear" w:color="auto" w:fill="ffffff"/>
        </w:rPr>
      </w:r>
      <w:r/>
    </w:p>
    <w:p>
      <w:pPr>
        <w:pStyle w:val="948"/>
        <w:jc w:val="center"/>
        <w:rPr>
          <w:color w:val="000000"/>
          <w:highlight w:val="none"/>
          <w:shd w:val="clear" w:color="auto" w:fill="ffffff"/>
        </w:rPr>
      </w:pPr>
      <w:r/>
      <w:bookmarkStart w:id="7" w:name="_Toc276023191"/>
      <w:r/>
      <w:bookmarkStart w:id="8" w:name="_Toc13543212"/>
      <w:r>
        <w:rPr>
          <w:color w:val="000000"/>
          <w:highlight w:val="none"/>
          <w:shd w:val="clear" w:color="auto" w:fill="ffffff"/>
        </w:rPr>
        <w:br w:type="page" w:clear="all"/>
      </w:r>
      <w:bookmarkStart w:id="9" w:name="_Toc24886"/>
      <w:r>
        <w:rPr>
          <w:rFonts w:hint="eastAsia"/>
          <w:color w:val="000000"/>
          <w:highlight w:val="none"/>
          <w:shd w:val="clear" w:color="auto" w:fill="ffffff"/>
        </w:rPr>
        <w:t xml:space="preserve">第三章</w:t>
      </w:r>
      <w:r>
        <w:rPr>
          <w:color w:val="000000"/>
          <w:highlight w:val="none"/>
          <w:shd w:val="clear" w:color="auto" w:fill="ffffff"/>
        </w:rPr>
        <w:t xml:space="preserve"> </w:t>
      </w:r>
      <w:r>
        <w:rPr>
          <w:rFonts w:hint="eastAsia"/>
          <w:color w:val="000000"/>
          <w:highlight w:val="none"/>
          <w:shd w:val="clear" w:color="auto" w:fill="ffffff"/>
        </w:rPr>
        <w:t xml:space="preserve">投标文件格式</w:t>
      </w:r>
      <w:bookmarkEnd w:id="9"/>
      <w:r/>
      <w:bookmarkStart w:id="10" w:name="gpcItem_SubmitDocStruct"/>
      <w:r>
        <w:rPr>
          <w:rFonts w:hint="eastAsia"/>
          <w:color w:val="000000"/>
          <w:highlight w:val="none"/>
          <w:shd w:val="clear" w:color="auto" w:fill="ffffff"/>
        </w:rPr>
        <w:t xml:space="preserve"> </w:t>
      </w:r>
      <w:r>
        <w:rPr>
          <w:color w:val="000000"/>
          <w:highlight w:val="none"/>
          <w:shd w:val="clear" w:color="auto" w:fill="ffffff"/>
        </w:rPr>
      </w:r>
      <w:r/>
    </w:p>
    <w:p>
      <w:pPr>
        <w:pStyle w:val="960"/>
        <w:ind w:firstLine="417"/>
        <w:spacing w:line="360" w:lineRule="auto"/>
        <w:rPr>
          <w:rFonts w:hint="eastAsia" w:ascii="宋体" w:hAnsi="宋体" w:eastAsia="宋体"/>
          <w:b/>
          <w:color w:val="000000"/>
          <w:sz w:val="21"/>
          <w:szCs w:val="21"/>
          <w:highlight w:val="none"/>
          <w:shd w:val="clear" w:color="auto" w:fill="ffffff"/>
        </w:rPr>
      </w:pPr>
      <w:r/>
      <w:bookmarkEnd w:id="10"/>
      <w:r>
        <w:rPr>
          <w:rFonts w:hint="eastAsia" w:ascii="黑体" w:hAnsi="宋体" w:eastAsia="宋体"/>
          <w:b/>
          <w:color w:val="000000"/>
          <w:sz w:val="21"/>
          <w:szCs w:val="21"/>
          <w:highlight w:val="none"/>
          <w:shd w:val="clear" w:color="auto" w:fill="ffffff"/>
        </w:rPr>
        <w:t xml:space="preserve">说明：</w:t>
      </w:r>
      <w:r>
        <w:rPr>
          <w:rFonts w:hint="eastAsia" w:ascii="宋体" w:hAnsi="宋体" w:eastAsia="宋体"/>
          <w:b/>
          <w:color w:val="000000"/>
          <w:sz w:val="21"/>
          <w:szCs w:val="21"/>
          <w:highlight w:val="none"/>
          <w:shd w:val="clear" w:color="auto" w:fill="ffffff"/>
        </w:rPr>
        <w:t xml:space="preserve">对本章所有的投标书格式 ，投标方可根据自身情况进行补充和修改，但补充和修改不得造成与本格式内容有实质性的违背。</w:t>
      </w:r>
      <w:r>
        <w:rPr>
          <w:rFonts w:hint="eastAsia" w:ascii="宋体" w:hAnsi="宋体" w:eastAsia="宋体"/>
          <w:b/>
          <w:color w:val="000000"/>
          <w:sz w:val="21"/>
          <w:szCs w:val="21"/>
          <w:highlight w:val="none"/>
          <w:shd w:val="clear" w:color="auto" w:fill="ffffff"/>
        </w:rPr>
      </w:r>
      <w:r/>
    </w:p>
    <w:p>
      <w:pPr>
        <w:pStyle w:val="949"/>
        <w:spacing w:before="480" w:after="240"/>
        <w:rPr>
          <w:rFonts w:ascii="黑体" w:hAnsi="黑体"/>
          <w:color w:val="000000"/>
          <w:sz w:val="32"/>
          <w:highlight w:val="none"/>
        </w:rPr>
      </w:pPr>
      <w:r>
        <w:rPr>
          <w:rFonts w:hint="eastAsia" w:ascii="黑体" w:hAnsi="黑体"/>
          <w:color w:val="000000"/>
          <w:sz w:val="32"/>
          <w:highlight w:val="none"/>
        </w:rPr>
        <w:t xml:space="preserve">1、</w:t>
      </w:r>
      <w:r>
        <w:rPr>
          <w:rFonts w:ascii="黑体" w:hAnsi="黑体"/>
          <w:color w:val="000000"/>
          <w:sz w:val="32"/>
          <w:highlight w:val="none"/>
        </w:rPr>
        <w:t xml:space="preserve">开标一览表</w:t>
      </w:r>
      <w:r>
        <w:rPr>
          <w:rFonts w:ascii="黑体" w:hAnsi="黑体"/>
          <w:color w:val="000000"/>
          <w:sz w:val="32"/>
          <w:highlight w:val="none"/>
        </w:rPr>
      </w:r>
      <w:r/>
    </w:p>
    <w:p>
      <w:pPr>
        <w:pStyle w:val="947"/>
        <w:jc w:val="cente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开标一览表（总报价）</w:t>
      </w:r>
      <w:r>
        <w:rPr>
          <w:rFonts w:ascii="宋体" w:hAnsi="宋体"/>
          <w:b/>
          <w:bCs/>
          <w:color w:val="000000"/>
          <w:sz w:val="28"/>
          <w:szCs w:val="28"/>
          <w:highlight w:val="none"/>
        </w:rPr>
      </w:r>
      <w:r/>
    </w:p>
    <w:p>
      <w:pPr>
        <w:pStyle w:val="947"/>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投标人全称（加盖公章）：</w:t>
      </w:r>
      <w:bookmarkStart w:id="11" w:name="TBR"/>
      <w:r/>
      <w:bookmarkEnd w:id="11"/>
      <w:r>
        <w:rPr>
          <w:rFonts w:ascii="宋体" w:hAnsi="宋体"/>
          <w:color w:val="000000"/>
          <w:szCs w:val="21"/>
          <w:highlight w:val="none"/>
          <w:lang w:val="zh-CN"/>
        </w:rPr>
      </w:r>
      <w:r/>
    </w:p>
    <w:p>
      <w:pPr>
        <w:pStyle w:val="947"/>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项目编号：</w:t>
      </w:r>
      <w:bookmarkStart w:id="12" w:name="XMBH"/>
      <w:r/>
      <w:bookmarkEnd w:id="12"/>
      <w:r>
        <w:rPr>
          <w:rFonts w:ascii="宋体" w:hAnsi="宋体"/>
          <w:color w:val="000000"/>
          <w:szCs w:val="21"/>
          <w:highlight w:val="none"/>
          <w:lang w:val="zh-CN"/>
        </w:rPr>
      </w:r>
      <w:r/>
    </w:p>
    <w:p>
      <w:pPr>
        <w:pStyle w:val="947"/>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分包号：</w:t>
      </w:r>
      <w:bookmarkStart w:id="13" w:name="FBH"/>
      <w:r/>
      <w:bookmarkEnd w:id="13"/>
      <w:r>
        <w:rPr>
          <w:rFonts w:hint="eastAsia" w:ascii="宋体" w:hAnsi="宋体"/>
          <w:color w:val="000000"/>
          <w:szCs w:val="21"/>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5"/>
        <w:gridCol w:w="6359"/>
      </w:tblGrid>
      <w:tr>
        <w:trPr>
          <w:cantSplit/>
          <w:trHeight w:val="1098"/>
        </w:trPr>
        <w:tc>
          <w:tcPr>
            <w:tcW w:w="1773" w:type="dxa"/>
            <w:vAlign w:val="center"/>
            <w:textDirection w:val="lrTb"/>
            <w:noWrap w:val="false"/>
          </w:tcPr>
          <w:p>
            <w:pPr>
              <w:pStyle w:val="947"/>
              <w:jc w:val="left"/>
              <w:spacing w:line="360" w:lineRule="auto"/>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tcW w:w="3226" w:type="dxa"/>
            <w:vAlign w:val="center"/>
            <w:textDirection w:val="lrTb"/>
            <w:noWrap w:val="false"/>
          </w:tcPr>
          <w:p>
            <w:pPr>
              <w:pStyle w:val="947"/>
              <w:jc w:val="left"/>
              <w:spacing w:line="360" w:lineRule="auto"/>
              <w:rPr>
                <w:rFonts w:ascii="宋体" w:hAnsi="宋体"/>
                <w:color w:val="000000"/>
                <w:szCs w:val="21"/>
                <w:highlight w:val="none"/>
              </w:rPr>
            </w:pPr>
            <w:r>
              <w:rPr>
                <w:rFonts w:hint="eastAsia" w:ascii="宋体" w:hAnsi="宋体"/>
                <w:color w:val="000000"/>
                <w:szCs w:val="21"/>
                <w:highlight w:val="none"/>
              </w:rPr>
              <w:t xml:space="preserve">投标总报价</w:t>
            </w:r>
            <w:r>
              <w:rPr>
                <w:rFonts w:ascii="宋体" w:hAnsi="宋体"/>
                <w:color w:val="000000"/>
                <w:szCs w:val="21"/>
                <w:highlight w:val="none"/>
              </w:rPr>
            </w:r>
            <w:r/>
          </w:p>
        </w:tc>
      </w:tr>
      <w:tr>
        <w:trPr>
          <w:cantSplit/>
          <w:trHeight w:val="1147"/>
        </w:trPr>
        <w:tc>
          <w:tcPr>
            <w:tcW w:w="1773" w:type="dxa"/>
            <w:vAlign w:val="center"/>
            <w:textDirection w:val="lrTb"/>
            <w:noWrap w:val="false"/>
          </w:tcPr>
          <w:p>
            <w:pPr>
              <w:pStyle w:val="947"/>
              <w:jc w:val="left"/>
              <w:spacing w:line="360" w:lineRule="auto"/>
              <w:rPr>
                <w:rFonts w:ascii="宋体" w:hAnsi="宋体"/>
                <w:color w:val="000000"/>
                <w:szCs w:val="21"/>
                <w:highlight w:val="none"/>
              </w:rPr>
            </w:pPr>
            <w:r/>
            <w:bookmarkStart w:id="14" w:name="XMMC"/>
            <w:r/>
            <w:bookmarkEnd w:id="14"/>
            <w:r>
              <w:rPr>
                <w:rFonts w:ascii="宋体" w:hAnsi="宋体"/>
                <w:color w:val="000000"/>
                <w:szCs w:val="21"/>
                <w:highlight w:val="none"/>
              </w:rPr>
            </w:r>
            <w:r/>
          </w:p>
        </w:tc>
        <w:tc>
          <w:tcPr>
            <w:tcW w:w="3226" w:type="dxa"/>
            <w:vAlign w:val="center"/>
            <w:textDirection w:val="lrTb"/>
            <w:noWrap w:val="false"/>
          </w:tcPr>
          <w:p>
            <w:pPr>
              <w:pStyle w:val="947"/>
              <w:jc w:val="left"/>
              <w:spacing w:line="360" w:lineRule="auto"/>
              <w:rPr>
                <w:rFonts w:ascii="宋体" w:hAnsi="宋体"/>
                <w:color w:val="000000"/>
                <w:szCs w:val="21"/>
                <w:highlight w:val="none"/>
              </w:rPr>
            </w:pPr>
            <w:r>
              <w:rPr>
                <w:rFonts w:hint="eastAsia" w:ascii="宋体" w:hAnsi="宋体"/>
                <w:color w:val="000000"/>
                <w:szCs w:val="21"/>
                <w:highlight w:val="none"/>
              </w:rPr>
              <w:t xml:space="preserve">小写：</w:t>
            </w:r>
            <w:bookmarkStart w:id="15" w:name="JEXX"/>
            <w:r/>
            <w:bookmarkEnd w:id="15"/>
            <w:r>
              <w:rPr>
                <w:rFonts w:hint="eastAsia" w:ascii="宋体" w:hAnsi="宋体"/>
                <w:color w:val="000000"/>
                <w:szCs w:val="21"/>
                <w:highlight w:val="none"/>
              </w:rPr>
              <w:t xml:space="preserve">（元人民币）</w:t>
            </w:r>
            <w:r>
              <w:rPr>
                <w:rFonts w:ascii="宋体" w:hAnsi="宋体"/>
                <w:color w:val="000000"/>
                <w:szCs w:val="21"/>
                <w:highlight w:val="none"/>
              </w:rPr>
            </w:r>
            <w:r/>
          </w:p>
        </w:tc>
      </w:tr>
      <w:tr>
        <w:trPr>
          <w:cantSplit/>
          <w:trHeight w:val="1241"/>
        </w:trPr>
        <w:tc>
          <w:tcPr>
            <w:tcW w:w="1773" w:type="dxa"/>
            <w:vAlign w:val="center"/>
            <w:textDirection w:val="lrTb"/>
            <w:noWrap w:val="false"/>
          </w:tcPr>
          <w:p>
            <w:pPr>
              <w:pStyle w:val="947"/>
              <w:jc w:val="left"/>
              <w:spacing w:line="360" w:lineRule="auto"/>
              <w:rPr>
                <w:rFonts w:ascii="宋体" w:hAnsi="宋体"/>
                <w:color w:val="000000"/>
                <w:szCs w:val="21"/>
                <w:highlight w:val="none"/>
              </w:rPr>
            </w:pPr>
            <w:r>
              <w:rPr>
                <w:rFonts w:hint="eastAsia" w:ascii="宋体" w:hAnsi="宋体"/>
                <w:color w:val="000000"/>
                <w:szCs w:val="21"/>
                <w:highlight w:val="none"/>
              </w:rPr>
              <w:t xml:space="preserve">投标报价大写金额</w:t>
            </w:r>
            <w:r>
              <w:rPr>
                <w:rFonts w:ascii="宋体" w:hAnsi="宋体"/>
                <w:color w:val="000000"/>
                <w:szCs w:val="21"/>
                <w:highlight w:val="none"/>
              </w:rPr>
            </w:r>
            <w:r/>
          </w:p>
        </w:tc>
        <w:tc>
          <w:tcPr>
            <w:tcW w:w="3226" w:type="dxa"/>
            <w:vAlign w:val="center"/>
            <w:textDirection w:val="lrTb"/>
            <w:noWrap w:val="false"/>
          </w:tcPr>
          <w:p>
            <w:pPr>
              <w:pStyle w:val="947"/>
              <w:jc w:val="left"/>
              <w:spacing w:line="360" w:lineRule="auto"/>
              <w:rPr>
                <w:rFonts w:hint="eastAsia" w:ascii="宋体" w:hAnsi="宋体"/>
                <w:color w:val="000000"/>
                <w:szCs w:val="21"/>
                <w:highlight w:val="none"/>
              </w:rPr>
            </w:pPr>
            <w:r/>
            <w:bookmarkStart w:id="16" w:name="JEDX"/>
            <w:r/>
            <w:bookmarkEnd w:id="16"/>
            <w:r>
              <w:rPr>
                <w:rFonts w:hint="eastAsia" w:ascii="宋体" w:hAnsi="宋体"/>
                <w:color w:val="000000"/>
                <w:szCs w:val="21"/>
                <w:highlight w:val="none"/>
              </w:rPr>
              <w:t xml:space="preserve">金额大写</w:t>
            </w:r>
            <w:r>
              <w:rPr>
                <w:rFonts w:hint="eastAsia" w:ascii="宋体" w:hAnsi="宋体"/>
                <w:color w:val="000000"/>
                <w:szCs w:val="21"/>
                <w:highlight w:val="none"/>
              </w:rPr>
            </w:r>
            <w:r/>
          </w:p>
        </w:tc>
      </w:tr>
    </w:tbl>
    <w:p>
      <w:pPr>
        <w:pStyle w:val="947"/>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填写说明：</w:t>
      </w:r>
      <w:r>
        <w:rPr>
          <w:rFonts w:ascii="宋体" w:hAnsi="宋体"/>
          <w:color w:val="000000"/>
          <w:szCs w:val="21"/>
          <w:highlight w:val="none"/>
          <w:lang w:val="zh-CN"/>
        </w:rPr>
      </w:r>
      <w:r/>
    </w:p>
    <w:p>
      <w:pPr>
        <w:pStyle w:val="947"/>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1.开标一览表必须加盖投标人公章（复印件无效）。</w:t>
      </w:r>
      <w:r>
        <w:rPr>
          <w:rFonts w:ascii="宋体" w:hAnsi="宋体"/>
          <w:color w:val="000000"/>
          <w:szCs w:val="21"/>
          <w:highlight w:val="none"/>
          <w:lang w:val="zh-CN"/>
        </w:rPr>
      </w:r>
      <w:r/>
    </w:p>
    <w:p>
      <w:pPr>
        <w:pStyle w:val="947"/>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2.如有分包，投标人投任何一个包的标的，都需单独填写开标一览表。</w:t>
      </w:r>
      <w:r>
        <w:rPr>
          <w:rFonts w:hint="eastAsia" w:ascii="宋体" w:hAnsi="宋体"/>
          <w:color w:val="000000"/>
          <w:szCs w:val="21"/>
          <w:highlight w:val="none"/>
          <w:lang w:val="zh-CN"/>
        </w:rPr>
      </w:r>
      <w:r/>
    </w:p>
    <w:p>
      <w:pPr>
        <w:pStyle w:val="947"/>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947"/>
        <w:jc w:val="right"/>
        <w:spacing w:line="360" w:lineRule="auto"/>
        <w:rPr>
          <w:rFonts w:ascii="宋体" w:hAnsi="宋体"/>
          <w:color w:val="000000"/>
          <w:szCs w:val="21"/>
          <w:highlight w:val="none"/>
        </w:rPr>
      </w:pPr>
      <w:r>
        <w:rPr>
          <w:rFonts w:hint="eastAsia" w:ascii="宋体" w:hAnsi="宋体"/>
          <w:color w:val="000000"/>
          <w:szCs w:val="21"/>
          <w:highlight w:val="none"/>
        </w:rPr>
        <w:t xml:space="preserve">日期：</w:t>
      </w:r>
      <w:bookmarkStart w:id="17" w:name="NF"/>
      <w:r/>
      <w:bookmarkEnd w:id="17"/>
      <w:r>
        <w:rPr>
          <w:rFonts w:hint="eastAsia" w:ascii="宋体" w:hAnsi="宋体"/>
          <w:color w:val="000000"/>
          <w:szCs w:val="21"/>
          <w:highlight w:val="none"/>
        </w:rPr>
        <w:t xml:space="preserve">年</w:t>
      </w:r>
      <w:bookmarkStart w:id="18" w:name="YF"/>
      <w:r/>
      <w:bookmarkEnd w:id="18"/>
      <w:r>
        <w:rPr>
          <w:rFonts w:hint="eastAsia" w:ascii="宋体" w:hAnsi="宋体"/>
          <w:color w:val="000000"/>
          <w:szCs w:val="21"/>
          <w:highlight w:val="none"/>
        </w:rPr>
        <w:t xml:space="preserve">月</w:t>
      </w:r>
      <w:bookmarkStart w:id="19" w:name="RI"/>
      <w:r/>
      <w:bookmarkEnd w:id="19"/>
      <w:r>
        <w:rPr>
          <w:rFonts w:hint="eastAsia" w:ascii="宋体" w:hAnsi="宋体"/>
          <w:color w:val="000000"/>
          <w:szCs w:val="21"/>
          <w:highlight w:val="none"/>
        </w:rPr>
        <w:t xml:space="preserve">日</w:t>
      </w:r>
      <w:r>
        <w:rPr>
          <w:rFonts w:ascii="宋体" w:hAnsi="宋体"/>
          <w:color w:val="000000"/>
          <w:szCs w:val="21"/>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9"/>
        <w:spacing w:before="480" w:after="240"/>
        <w:rPr>
          <w:rFonts w:hint="eastAsia"/>
          <w:color w:val="000000"/>
          <w:highlight w:val="none"/>
          <w:shd w:val="clear" w:color="auto" w:fill="ffffff"/>
        </w:rPr>
      </w:pPr>
      <w:r>
        <w:rPr>
          <w:rFonts w:hint="eastAsia"/>
          <w:color w:val="000000"/>
          <w:highlight w:val="none"/>
          <w:shd w:val="clear" w:color="auto" w:fill="ffffff"/>
        </w:rPr>
        <w:t xml:space="preserve">2、公开分项报价</w:t>
      </w:r>
      <w:r>
        <w:rPr>
          <w:rFonts w:hint="eastAsia"/>
          <w:color w:val="000000"/>
          <w:highlight w:val="none"/>
          <w:shd w:val="clear" w:color="auto" w:fill="ffffff"/>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u w:val="single"/>
        </w:rPr>
        <w:t xml:space="preserve">                    </w:t>
      </w:r>
      <w:r>
        <w:rPr>
          <w:rFonts w:hint="eastAsia" w:hAnsi="宋体"/>
          <w:b/>
          <w:color w:val="000000"/>
          <w:sz w:val="24"/>
          <w:highlight w:val="none"/>
        </w:rPr>
        <w:t xml:space="preserve">公开分项报价</w:t>
      </w:r>
      <w:r>
        <w:rPr>
          <w:rFonts w:hint="eastAsia" w:ascii="宋体" w:hAnsi="宋体"/>
          <w:b/>
          <w:bCs/>
          <w:color w:val="000000"/>
          <w:sz w:val="28"/>
          <w:szCs w:val="28"/>
          <w:highlight w:val="none"/>
        </w:rPr>
      </w:r>
      <w:r/>
    </w:p>
    <w:tbl>
      <w:tblPr>
        <w:tblW w:w="10348" w:type="dxa"/>
        <w:tblInd w:w="-142" w:type="dxa"/>
        <w:tblLayout w:type="fixed"/>
        <w:tblCellMar>
          <w:left w:w="108" w:type="dxa"/>
          <w:top w:w="0" w:type="dxa"/>
          <w:right w:w="108" w:type="dxa"/>
          <w:bottom w:w="0" w:type="dxa"/>
        </w:tblCellMar>
        <w:tblLook w:val="04A0" w:firstRow="1" w:lastRow="0" w:firstColumn="1" w:lastColumn="0" w:noHBand="0" w:noVBand="1"/>
      </w:tblPr>
      <w:tblGrid>
        <w:gridCol w:w="568"/>
        <w:gridCol w:w="992"/>
        <w:gridCol w:w="2126"/>
        <w:gridCol w:w="1276"/>
        <w:gridCol w:w="1134"/>
        <w:gridCol w:w="850"/>
        <w:gridCol w:w="993"/>
        <w:gridCol w:w="708"/>
        <w:gridCol w:w="1701"/>
      </w:tblGrid>
      <w:tr>
        <w:trPr>
          <w:trHeight w:val="60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序号</w:t>
            </w:r>
            <w:r>
              <w:rPr>
                <w:rFonts w:ascii="宋体" w:hAnsi="宋体" w:cs="宋体"/>
                <w:b/>
                <w:bCs/>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3118" w:type="dxa"/>
            <w:vAlign w:val="center"/>
            <w:textDirection w:val="lrTb"/>
            <w:noWrap/>
          </w:tcPr>
          <w:p>
            <w:pPr>
              <w:pStyle w:val="947"/>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车型</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单车年使用费</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单位</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b/>
                <w:bCs/>
                <w:color w:val="000000"/>
                <w:sz w:val="22"/>
                <w:highlight w:val="none"/>
              </w:rPr>
            </w:pPr>
            <w:r>
              <w:rPr>
                <w:rFonts w:hint="eastAsia" w:ascii="宋体" w:hAnsi="宋体" w:cs="宋体"/>
                <w:b/>
                <w:bCs/>
                <w:color w:val="000000"/>
                <w:sz w:val="22"/>
                <w:highlight w:val="none"/>
              </w:rPr>
              <w:t xml:space="preserve">所需数量</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服务期限（年）</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合价</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备注</w:t>
            </w:r>
            <w:r>
              <w:rPr>
                <w:rFonts w:ascii="宋体" w:hAnsi="宋体" w:cs="宋体"/>
                <w:b/>
                <w:bCs/>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收运车（后压式）：额定载质量7.5t</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Cs w:val="21"/>
                <w:highlight w:val="none"/>
              </w:rPr>
              <w:t xml:space="preserve">元/车.年</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勾臂车</w:t>
            </w:r>
            <w:r>
              <w:rPr>
                <w:rFonts w:hint="eastAsia" w:ascii="宋体" w:hAnsi="宋体" w:cs="宋体"/>
                <w:color w:val="000000"/>
                <w:szCs w:val="21"/>
                <w:highlight w:val="none"/>
              </w:rPr>
              <w:t xml:space="preserve">：额定载质量13.5t</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Cs w:val="21"/>
                <w:highlight w:val="none"/>
              </w:rPr>
              <w:t xml:space="preserve">元/车.年</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shd w:val="clear" w:color="000000" w:fill="ffffff"/>
            <w:tcBorders>
              <w:top w:val="none" w:color="000000" w:sz="4" w:space="0"/>
              <w:left w:val="none" w:color="000000" w:sz="4" w:space="0"/>
              <w:bottom w:val="none" w:color="000000" w:sz="0" w:space="0"/>
              <w:right w:val="single" w:color="000000" w:sz="4" w:space="0"/>
            </w:tcBorders>
            <w:tcW w:w="992" w:type="dxa"/>
            <w:vAlign w:val="center"/>
            <w:vMerge w:val="restart"/>
            <w:textDirection w:val="lrTb"/>
            <w:noWrap/>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整体站</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连体式料斗移动箱（≥16m³）</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Cs w:val="21"/>
                <w:highlight w:val="none"/>
              </w:rPr>
              <w:t xml:space="preserve">元/套.年</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r>
            <w:r/>
          </w:p>
        </w:tc>
        <w:tc>
          <w:tcPr>
            <w:shd w:val="clear" w:color="000000" w:fill="ffffff"/>
            <w:tcBorders>
              <w:top w:val="none" w:color="000000" w:sz="0" w:space="0"/>
              <w:left w:val="none" w:color="000000" w:sz="4" w:space="0"/>
              <w:bottom w:val="single" w:color="000000" w:sz="4" w:space="0"/>
              <w:right w:val="single" w:color="000000" w:sz="4" w:space="0"/>
            </w:tcBorders>
            <w:tcW w:w="992" w:type="dxa"/>
            <w:vAlign w:val="center"/>
            <w:vMerge w:val="continue"/>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分体式移动箱及料斗（≥16m³）</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Cs w:val="21"/>
                <w:highlight w:val="none"/>
              </w:rPr>
              <w:t xml:space="preserve">元/套.年</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1料斗2箱体</w:t>
            </w: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厨余垃圾车：额定载质量3t</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Cs w:val="21"/>
                <w:highlight w:val="none"/>
              </w:rPr>
              <w:t xml:space="preserve">元/车.年</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6</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pStyle w:val="947"/>
              <w:widowControl/>
              <w:rPr>
                <w:rFonts w:ascii="宋体" w:hAnsi="宋体" w:cs="宋体"/>
                <w:color w:val="000000"/>
                <w:sz w:val="22"/>
                <w:highlight w:val="none"/>
              </w:rPr>
            </w:pPr>
            <w:r>
              <w:rPr>
                <w:rFonts w:hint="eastAsia" w:ascii="宋体" w:hAnsi="宋体" w:cs="宋体"/>
                <w:color w:val="000000"/>
                <w:sz w:val="22"/>
                <w:highlight w:val="none"/>
              </w:rPr>
              <w:t xml:space="preserve">其他垃圾车：额定载质量2.5t</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Cs w:val="21"/>
                <w:highlight w:val="none"/>
              </w:rPr>
              <w:t xml:space="preserve">元/车.年</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12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7</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其他垃圾车：额定载质量5t</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Cs w:val="21"/>
                <w:highlight w:val="none"/>
              </w:rPr>
              <w:t xml:space="preserve">元/车.年</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8</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8</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四轮电瓶车</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Cs w:val="21"/>
                <w:highlight w:val="none"/>
              </w:rPr>
              <w:t xml:space="preserve">元/车.年</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花望站转运</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Cs w:val="21"/>
                <w:highlight w:val="none"/>
              </w:rPr>
              <w:t xml:space="preserve">元/吨</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不计入总价,</w:t>
            </w:r>
            <w:r>
              <w:rPr>
                <w:rFonts w:hint="eastAsia" w:ascii="宋体" w:hAnsi="宋体" w:cs="宋体"/>
                <w:color w:val="000000"/>
                <w:szCs w:val="21"/>
                <w:highlight w:val="none"/>
              </w:rPr>
              <w:t xml:space="preserve"> 含燃油及人工，不含车损、车辆保险，每天4趟。单价最高限价为：48.00元/吨</w:t>
            </w: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10</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中宇站转运</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Cs w:val="21"/>
                <w:highlight w:val="none"/>
              </w:rPr>
              <w:t xml:space="preserve">元/吨</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不计入总价,</w:t>
            </w:r>
            <w:r>
              <w:rPr>
                <w:rFonts w:hint="eastAsia" w:ascii="宋体" w:hAnsi="宋体" w:cs="宋体"/>
                <w:color w:val="000000"/>
                <w:szCs w:val="21"/>
                <w:highlight w:val="none"/>
              </w:rPr>
              <w:t xml:space="preserve">含燃油及人工，不含车损、车辆保险，每天3趟。单价最高限价为：60.00元/吨</w:t>
            </w: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3118" w:type="dxa"/>
            <w:vAlign w:val="center"/>
            <w:textDirection w:val="lrTb"/>
            <w:noWrap/>
          </w:tcPr>
          <w:p>
            <w:pPr>
              <w:pStyle w:val="947"/>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投标报价</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47"/>
              <w:jc w:val="center"/>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47"/>
              <w:jc w:val="center"/>
              <w:widowControl/>
              <w:rPr>
                <w:rFonts w:ascii="宋体" w:hAnsi="宋体" w:cs="宋体"/>
                <w:b/>
                <w:bCs/>
                <w:color w:val="000000"/>
                <w:sz w:val="22"/>
                <w:highlight w:val="none"/>
              </w:rPr>
            </w:pPr>
            <w:r>
              <w:rPr>
                <w:rFonts w:ascii="宋体" w:hAnsi="宋体" w:cs="宋体"/>
                <w:b/>
                <w:bCs/>
                <w:color w:val="000000"/>
                <w:sz w:val="22"/>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bl>
    <w:p>
      <w:pPr>
        <w:pStyle w:val="1081"/>
        <w:ind w:firstLine="361"/>
        <w:spacing w:line="360" w:lineRule="auto"/>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注：</w:t>
      </w:r>
      <w:r>
        <w:rPr>
          <w:rFonts w:hint="eastAsia" w:hAnsi="宋体" w:eastAsia="宋体" w:cs="宋体"/>
          <w:b/>
          <w:color w:val="000000"/>
          <w:sz w:val="21"/>
          <w:szCs w:val="21"/>
          <w:highlight w:val="none"/>
        </w:rPr>
      </w:r>
      <w:r/>
    </w:p>
    <w:p>
      <w:pPr>
        <w:pStyle w:val="947"/>
        <w:ind w:firstLine="420"/>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1、人工费（含工资、加班工资、绩效奖金、社保、公积金、意外伤害保险费、高温津贴、体检费及食宿交通补贴等）、劳保防护用品及统一服装费、工具及信息化设备（含GPS/ 监控平台）购置与使用费、通讯及数据流量费；机械化作业车辆折旧费、燃油费(电费)、车辆保险费</w:t>
      </w:r>
      <w:r>
        <w:rPr>
          <w:rFonts w:hint="eastAsia" w:ascii="宋体" w:hAnsi="宋体" w:cs="宋体"/>
          <w:b/>
          <w:color w:val="000000"/>
          <w:szCs w:val="21"/>
          <w:highlight w:val="none"/>
        </w:rPr>
        <w:t xml:space="preserve">（含交强险、商业险及第三者责任险）、车船税、年检季审及二级维护检测费、日常保养维修费、易耗件更换费、过路过桥及洗车清洁费；停车场站租赁管理费、管理费、利润、各种税费；报价已包含政策性文件规定及合同包含的所有风险、责任及不可预见费用，包括但不限于路面污染清理恢复文件规定及合同包含的所有风险、责任及不可预见费用、扬尘噪声控制、第三者人身财产损害及环境污染责任赔偿、相关诉讼及律师费等，中标人须自行承担因作业不当产生的全部清理、赔偿及行政处罚费用，招标人不再另行支付任何费用；包括招标代理费及其他可能发生的一切费用。</w:t>
      </w:r>
      <w:r>
        <w:rPr>
          <w:rFonts w:hint="eastAsia" w:ascii="宋体" w:hAnsi="宋体" w:cs="宋体"/>
          <w:b/>
          <w:color w:val="000000"/>
          <w:szCs w:val="21"/>
          <w:highlight w:val="none"/>
        </w:rPr>
      </w:r>
      <w:r/>
    </w:p>
    <w:p>
      <w:pPr>
        <w:pStyle w:val="947"/>
        <w:ind w:firstLine="420"/>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2、车辆配置数量可据实动态调整，最终按实际发生量结算；超出合同约定数量的部分，不纳入结算范围。</w:t>
      </w:r>
      <w:r>
        <w:rPr>
          <w:rFonts w:hint="eastAsia" w:ascii="宋体" w:hAnsi="宋体" w:cs="宋体"/>
          <w:b/>
          <w:color w:val="000000"/>
          <w:szCs w:val="21"/>
          <w:highlight w:val="none"/>
        </w:rPr>
      </w:r>
      <w:r/>
    </w:p>
    <w:p>
      <w:pPr>
        <w:pStyle w:val="947"/>
        <w:ind w:firstLine="420"/>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3、车辆额定载质量可以根据车辆规格型号上下浮动10%；</w:t>
      </w:r>
      <w:r>
        <w:rPr>
          <w:rFonts w:hint="eastAsia" w:ascii="宋体" w:hAnsi="宋体" w:cs="宋体"/>
          <w:b/>
          <w:color w:val="000000"/>
          <w:szCs w:val="21"/>
          <w:highlight w:val="none"/>
        </w:rPr>
      </w:r>
      <w:r/>
    </w:p>
    <w:p>
      <w:pPr>
        <w:pStyle w:val="947"/>
        <w:ind w:firstLine="420"/>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4、花望、中宇站转运，由招标人负责统筹车辆资源及配套保险费用，中标人全面负责人员派驻及项目运营管理，最终按实结算。</w:t>
      </w:r>
      <w:r>
        <w:rPr>
          <w:rFonts w:hint="eastAsia" w:ascii="宋体" w:hAnsi="宋体" w:cs="宋体"/>
          <w:b/>
          <w:color w:val="000000"/>
          <w:szCs w:val="21"/>
          <w:highlight w:val="none"/>
        </w:rPr>
      </w:r>
      <w:r/>
    </w:p>
    <w:p>
      <w:pPr>
        <w:pStyle w:val="947"/>
        <w:ind w:firstLine="420"/>
        <w:jc w:val="left"/>
        <w:spacing w:line="360" w:lineRule="auto"/>
        <w:rPr>
          <w:rFonts w:hint="eastAsia" w:hAnsi="宋体" w:cs="宋体"/>
          <w:b/>
          <w:color w:val="000000"/>
          <w:szCs w:val="21"/>
          <w:highlight w:val="none"/>
        </w:rPr>
      </w:pPr>
      <w:r>
        <w:rPr>
          <w:rFonts w:hint="eastAsia" w:hAnsi="宋体" w:cs="宋体"/>
          <w:b/>
          <w:color w:val="000000"/>
          <w:szCs w:val="21"/>
          <w:highlight w:val="none"/>
        </w:rPr>
        <w:t xml:space="preserve">5、投标人中标后，请将已中标的公开分项报价word电子件于1个工作日内发至286268953@qq.com邮箱，联系电话：0512-50369351，以免影响中标公告发布。</w:t>
      </w:r>
      <w:r>
        <w:rPr>
          <w:rFonts w:hint="eastAsia" w:hAnsi="宋体" w:cs="宋体"/>
          <w:b/>
          <w:color w:val="000000"/>
          <w:szCs w:val="21"/>
          <w:highlight w:val="none"/>
        </w:rPr>
      </w:r>
      <w:r/>
    </w:p>
    <w:p>
      <w:pPr>
        <w:pStyle w:val="1081"/>
        <w:ind w:firstLine="539"/>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int="eastAsia" w:hAnsi="宋体" w:eastAsia="宋体"/>
          <w:color w:val="000000"/>
          <w:sz w:val="21"/>
          <w:szCs w:val="21"/>
          <w:highlight w:val="none"/>
        </w:rPr>
        <w:t xml:space="preserve">公章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947"/>
        <w:jc w:val="right"/>
        <w:spacing w:line="360" w:lineRule="auto"/>
        <w:rPr>
          <w:rFonts w:hint="eastAsia"/>
          <w:color w:val="000000"/>
          <w:szCs w:val="21"/>
          <w:highlight w:val="none"/>
        </w:rPr>
      </w:pPr>
      <w:r>
        <w:rPr>
          <w:rFonts w:hAnsi="宋体"/>
          <w:color w:val="000000"/>
          <w:szCs w:val="21"/>
          <w:highlight w:val="none"/>
        </w:rPr>
        <w:t xml:space="preserve">日期：</w:t>
      </w:r>
      <w:r>
        <w:rPr>
          <w:rFonts w:hint="eastAsia" w:hAnsi="宋体"/>
          <w:color w:val="000000"/>
          <w:szCs w:val="21"/>
          <w:highlight w:val="none"/>
        </w:rPr>
        <w:t xml:space="preserve">      </w:t>
      </w:r>
      <w:r>
        <w:rPr>
          <w:rFonts w:hAnsi="宋体"/>
          <w:color w:val="000000"/>
          <w:szCs w:val="21"/>
          <w:highlight w:val="none"/>
        </w:rPr>
        <w:t xml:space="preserve">年</w:t>
      </w:r>
      <w:r>
        <w:rPr>
          <w:rFonts w:hint="eastAsia" w:hAnsi="宋体"/>
          <w:color w:val="000000"/>
          <w:szCs w:val="21"/>
          <w:highlight w:val="none"/>
        </w:rPr>
        <w:t xml:space="preserve">  </w:t>
      </w:r>
      <w:r>
        <w:rPr>
          <w:rFonts w:hAnsi="宋体"/>
          <w:color w:val="000000"/>
          <w:szCs w:val="21"/>
          <w:highlight w:val="none"/>
        </w:rPr>
        <w:t xml:space="preserve">月</w:t>
      </w:r>
      <w:r>
        <w:rPr>
          <w:rFonts w:hint="eastAsia" w:hAnsi="宋体"/>
          <w:color w:val="000000"/>
          <w:szCs w:val="21"/>
          <w:highlight w:val="none"/>
        </w:rPr>
        <w:t xml:space="preserve">  </w:t>
      </w:r>
      <w:r>
        <w:rPr>
          <w:rFonts w:hAnsi="宋体"/>
          <w:color w:val="000000"/>
          <w:szCs w:val="21"/>
          <w:highlight w:val="none"/>
        </w:rPr>
        <w:t xml:space="preserve">日</w:t>
      </w:r>
      <w:r>
        <w:rPr>
          <w:rFonts w:hint="eastAsia"/>
          <w:color w:val="000000"/>
          <w:szCs w:val="21"/>
          <w:highlight w:val="none"/>
        </w:rPr>
      </w:r>
      <w:r/>
    </w:p>
    <w:p>
      <w:pPr>
        <w:pStyle w:val="949"/>
        <w:spacing w:before="480" w:after="240"/>
        <w:rPr>
          <w:color w:val="000000"/>
          <w:highlight w:val="none"/>
          <w:shd w:val="clear" w:color="auto" w:fill="ffffff"/>
        </w:rPr>
      </w:pPr>
      <w:r>
        <w:rPr>
          <w:color w:val="000000"/>
          <w:highlight w:val="none"/>
          <w:shd w:val="clear" w:color="auto" w:fill="ffffff"/>
        </w:rPr>
        <w:br w:type="page" w:clear="all"/>
      </w:r>
      <w:r>
        <w:rPr>
          <w:rFonts w:hint="eastAsia"/>
          <w:color w:val="000000"/>
          <w:highlight w:val="none"/>
          <w:shd w:val="clear" w:color="auto" w:fill="ffffff"/>
        </w:rPr>
        <w:t xml:space="preserve">3</w:t>
      </w:r>
      <w:r>
        <w:rPr>
          <w:color w:val="000000"/>
          <w:highlight w:val="none"/>
          <w:shd w:val="clear" w:color="auto" w:fill="ffffff"/>
        </w:rPr>
        <w:t xml:space="preserve">、</w:t>
      </w:r>
      <w:r>
        <w:rPr>
          <w:rFonts w:hint="eastAsia"/>
          <w:color w:val="000000"/>
          <w:szCs w:val="28"/>
          <w:highlight w:val="none"/>
        </w:rPr>
        <w:t xml:space="preserve">投标人情况表</w:t>
      </w:r>
      <w:r>
        <w:rPr>
          <w:color w:val="000000"/>
          <w:highlight w:val="none"/>
          <w:shd w:val="clear" w:color="auto" w:fill="ffffff"/>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投标人情况表</w:t>
      </w:r>
      <w:r>
        <w:rPr>
          <w:rFonts w:hint="eastAsia" w:ascii="宋体" w:hAnsi="宋体"/>
          <w:b/>
          <w:bCs/>
          <w:color w:val="000000"/>
          <w:sz w:val="28"/>
          <w:szCs w:val="28"/>
          <w:highlight w:val="none"/>
        </w:rPr>
      </w:r>
      <w:r/>
    </w:p>
    <w:p>
      <w:pPr>
        <w:pStyle w:val="960"/>
        <w:ind w:firstLine="0"/>
        <w:spacing w:line="400" w:lineRule="exact"/>
        <w:rPr>
          <w:rFonts w:hint="eastAsia" w:eastAsia="宋体"/>
          <w:color w:val="000000"/>
          <w:sz w:val="21"/>
          <w:szCs w:val="21"/>
          <w:highlight w:val="none"/>
          <w:u w:val="single"/>
        </w:rPr>
      </w:pPr>
      <w:r>
        <w:rPr>
          <w:rFonts w:eastAsia="宋体"/>
          <w:color w:val="000000"/>
          <w:sz w:val="21"/>
          <w:szCs w:val="21"/>
          <w:highlight w:val="none"/>
        </w:rPr>
        <w:t xml:space="preserve">单位名称（盖章）：</w:t>
      </w:r>
      <w:r>
        <w:rPr>
          <w:rFonts w:eastAsia="宋体"/>
          <w:color w:val="000000"/>
          <w:sz w:val="21"/>
          <w:szCs w:val="21"/>
          <w:highlight w:val="none"/>
          <w:u w:val="single"/>
        </w:rPr>
        <w:t xml:space="preserve">                       </w:t>
      </w:r>
      <w:r>
        <w:rPr>
          <w:rFonts w:hint="eastAsia" w:eastAsia="宋体"/>
          <w:color w:val="000000"/>
          <w:sz w:val="21"/>
          <w:szCs w:val="21"/>
          <w:highlight w:val="none"/>
          <w:u w:val="single"/>
        </w:rPr>
      </w:r>
      <w:r/>
    </w:p>
    <w:tbl>
      <w:tblPr>
        <w:tblW w:w="9345"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trHeight w:val="645"/>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gridSpan w:val="2"/>
            <w:tcW w:w="1565"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r>
            <w:r/>
          </w:p>
        </w:tc>
        <w:tc>
          <w:tcPr>
            <w:gridSpan w:val="3"/>
            <w:tcW w:w="2784"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580"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765"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gridSpan w:val="2"/>
            <w:tcW w:w="1565"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7129"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gridSpan w:val="2"/>
            <w:tcW w:w="1565"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本地办事处地址</w:t>
            </w:r>
            <w:r>
              <w:rPr>
                <w:rFonts w:ascii="宋体" w:hAnsi="宋体" w:eastAsia="宋体"/>
                <w:color w:val="000000"/>
                <w:sz w:val="21"/>
                <w:szCs w:val="21"/>
                <w:highlight w:val="none"/>
              </w:rPr>
            </w:r>
            <w:r/>
          </w:p>
        </w:tc>
        <w:tc>
          <w:tcPr>
            <w:gridSpan w:val="7"/>
            <w:tcW w:w="7129"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089"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电话</w:t>
            </w:r>
            <w:r>
              <w:rPr>
                <w:rFonts w:ascii="宋体" w:hAnsi="宋体" w:eastAsia="宋体"/>
                <w:color w:val="000000"/>
                <w:sz w:val="21"/>
                <w:szCs w:val="21"/>
                <w:highlight w:val="none"/>
              </w:rPr>
            </w:r>
            <w:r/>
          </w:p>
        </w:tc>
        <w:tc>
          <w:tcPr>
            <w:gridSpan w:val="3"/>
            <w:tcW w:w="2773"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289"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3543"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089"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3"/>
            <w:tcW w:w="2773"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289"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3543" w:type="dxa"/>
            <w:vAlign w:val="center"/>
            <w:textDirection w:val="lrTb"/>
            <w:noWrap w:val="false"/>
          </w:tcPr>
          <w:p>
            <w:pPr>
              <w:pStyle w:val="960"/>
              <w:ind w:firstLine="0"/>
              <w:jc w:val="both"/>
              <w:spacing w:line="300" w:lineRule="auto"/>
              <w:rPr>
                <w:rFonts w:ascii="宋体" w:hAnsi="宋体" w:eastAsia="宋体"/>
                <w:b/>
                <w:color w:val="000000"/>
                <w:sz w:val="18"/>
                <w:szCs w:val="18"/>
                <w:highlight w:val="none"/>
              </w:rPr>
            </w:pPr>
            <w:r>
              <w:rPr>
                <w:rFonts w:ascii="宋体" w:hAnsi="宋体" w:eastAsia="宋体"/>
                <w:b/>
                <w:color w:val="000000"/>
                <w:sz w:val="18"/>
                <w:szCs w:val="18"/>
                <w:highlight w:val="none"/>
              </w:rPr>
            </w:r>
            <w:r/>
          </w:p>
        </w:tc>
      </w:tr>
      <w:tr>
        <w:trPr>
          <w:trHeight w:val="645"/>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089" w:type="dxa"/>
            <w:vAlign w:val="center"/>
            <w:textDirection w:val="lrTb"/>
            <w:noWrap w:val="false"/>
          </w:tcPr>
          <w:p>
            <w:pPr>
              <w:pStyle w:val="947"/>
              <w:rPr>
                <w:rFonts w:ascii="宋体" w:hAnsi="宋体"/>
                <w:color w:val="000000"/>
                <w:szCs w:val="20"/>
                <w:highlight w:val="none"/>
              </w:rPr>
            </w:pPr>
            <w:r>
              <w:rPr>
                <w:rFonts w:hint="eastAsia" w:ascii="宋体" w:hAnsi="宋体"/>
                <w:color w:val="000000"/>
                <w:highlight w:val="none"/>
              </w:rPr>
              <w:t xml:space="preserve">单位从业人员数量</w:t>
            </w:r>
            <w:r>
              <w:rPr>
                <w:rFonts w:ascii="宋体" w:hAnsi="宋体"/>
                <w:color w:val="000000"/>
                <w:szCs w:val="20"/>
                <w:highlight w:val="none"/>
              </w:rPr>
            </w:r>
            <w:r/>
          </w:p>
        </w:tc>
        <w:tc>
          <w:tcPr>
            <w:gridSpan w:val="3"/>
            <w:tcW w:w="2773" w:type="dxa"/>
            <w:vAlign w:val="center"/>
            <w:textDirection w:val="lrTb"/>
            <w:noWrap w:val="false"/>
          </w:tcPr>
          <w:p>
            <w:pPr>
              <w:pStyle w:val="960"/>
              <w:ind w:firstLine="216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701"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单位2025年总营业收入</w:t>
            </w:r>
            <w:r>
              <w:rPr>
                <w:rFonts w:ascii="宋体" w:hAnsi="宋体" w:eastAsia="宋体"/>
                <w:color w:val="000000"/>
                <w:sz w:val="21"/>
                <w:szCs w:val="21"/>
                <w:highlight w:val="none"/>
              </w:rPr>
            </w:r>
            <w:r/>
          </w:p>
        </w:tc>
        <w:tc>
          <w:tcPr>
            <w:tcW w:w="2131" w:type="dxa"/>
            <w:vAlign w:val="center"/>
            <w:textDirection w:val="lrTb"/>
            <w:noWrap w:val="false"/>
          </w:tcPr>
          <w:p>
            <w:pPr>
              <w:pStyle w:val="960"/>
              <w:ind w:firstLine="147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rHeight w:val="645"/>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tcW w:w="1089" w:type="dxa"/>
            <w:vAlign w:val="center"/>
            <w:textDirection w:val="lrTb"/>
            <w:noWrap w:val="false"/>
          </w:tcPr>
          <w:p>
            <w:pPr>
              <w:pStyle w:val="947"/>
              <w:rPr>
                <w:rFonts w:ascii="宋体" w:hAnsi="宋体"/>
                <w:color w:val="000000"/>
                <w:szCs w:val="20"/>
                <w:highlight w:val="none"/>
              </w:rPr>
            </w:pPr>
            <w:r>
              <w:rPr>
                <w:rFonts w:hint="eastAsia" w:ascii="宋体" w:hAnsi="宋体"/>
                <w:color w:val="000000"/>
                <w:highlight w:val="none"/>
              </w:rPr>
              <w:t xml:space="preserve">企业规模</w:t>
            </w:r>
            <w:r>
              <w:rPr>
                <w:rFonts w:ascii="宋体" w:hAnsi="宋体"/>
                <w:color w:val="000000"/>
                <w:szCs w:val="20"/>
                <w:highlight w:val="none"/>
              </w:rPr>
            </w:r>
            <w:r/>
          </w:p>
        </w:tc>
        <w:tc>
          <w:tcPr>
            <w:gridSpan w:val="8"/>
            <w:tcW w:w="7605"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□大型     □中型     □小型     □微型</w:t>
            </w:r>
            <w:r>
              <w:rPr>
                <w:rFonts w:ascii="宋体" w:hAnsi="宋体" w:eastAsia="宋体"/>
                <w:color w:val="000000"/>
                <w:sz w:val="21"/>
                <w:szCs w:val="21"/>
                <w:highlight w:val="none"/>
              </w:rPr>
            </w:r>
            <w:r/>
          </w:p>
        </w:tc>
      </w:tr>
      <w:tr>
        <w:trPr>
          <w:trHeight w:val="1767"/>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9"/>
            <w:tcW w:w="8694"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960"/>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1.____________________________________</w:t>
            </w:r>
            <w:r>
              <w:rPr>
                <w:rFonts w:ascii="宋体" w:hAnsi="宋体" w:eastAsia="宋体"/>
                <w:color w:val="000000"/>
                <w:sz w:val="21"/>
                <w:szCs w:val="21"/>
                <w:highlight w:val="none"/>
              </w:rPr>
            </w:r>
            <w:r/>
          </w:p>
          <w:p>
            <w:pPr>
              <w:pStyle w:val="960"/>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2.____________________________________</w:t>
            </w:r>
            <w:r>
              <w:rPr>
                <w:rFonts w:ascii="宋体" w:hAnsi="宋体" w:eastAsia="宋体"/>
                <w:color w:val="000000"/>
                <w:sz w:val="21"/>
                <w:szCs w:val="21"/>
                <w:highlight w:val="none"/>
              </w:rPr>
            </w:r>
            <w:r/>
          </w:p>
          <w:p>
            <w:pPr>
              <w:pStyle w:val="960"/>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3.____________________________________</w:t>
            </w:r>
            <w:r>
              <w:rPr>
                <w:rFonts w:ascii="宋体" w:hAnsi="宋体" w:eastAsia="宋体"/>
                <w:color w:val="000000"/>
                <w:sz w:val="21"/>
                <w:szCs w:val="21"/>
                <w:highlight w:val="none"/>
              </w:rPr>
            </w:r>
            <w:r/>
          </w:p>
        </w:tc>
      </w:tr>
      <w:tr>
        <w:trPr>
          <w:trHeight w:val="1548"/>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3"/>
            <w:tcW w:w="2446"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最近3年内在经营过程中受到何种奖励或处分</w:t>
            </w:r>
            <w:r>
              <w:rPr>
                <w:rFonts w:ascii="宋体" w:hAnsi="宋体" w:eastAsia="宋体"/>
                <w:color w:val="000000"/>
                <w:sz w:val="21"/>
                <w:szCs w:val="21"/>
                <w:highlight w:val="none"/>
              </w:rPr>
            </w:r>
            <w:r/>
          </w:p>
        </w:tc>
        <w:tc>
          <w:tcPr>
            <w:gridSpan w:val="6"/>
            <w:tcW w:w="6248" w:type="dxa"/>
            <w:vAlign w:val="top"/>
            <w:textDirection w:val="lrTb"/>
            <w:noWrap w:val="false"/>
          </w:tcPr>
          <w:p>
            <w:pPr>
              <w:pStyle w:val="960"/>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3"/>
            <w:tcW w:w="2446" w:type="dxa"/>
            <w:vAlign w:val="top"/>
            <w:textDirection w:val="lrTb"/>
            <w:noWrap w:val="false"/>
          </w:tcPr>
          <w:p>
            <w:pPr>
              <w:pStyle w:val="960"/>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最近3年内有无因售假、售劣或是其他原因被消费者投诉或起诉的情况及说明</w:t>
            </w:r>
            <w:r>
              <w:rPr>
                <w:rFonts w:ascii="宋体" w:hAnsi="宋体" w:eastAsia="宋体"/>
                <w:color w:val="000000"/>
                <w:sz w:val="21"/>
                <w:szCs w:val="21"/>
                <w:highlight w:val="none"/>
              </w:rPr>
            </w:r>
            <w:r/>
          </w:p>
        </w:tc>
        <w:tc>
          <w:tcPr>
            <w:gridSpan w:val="6"/>
            <w:tcW w:w="6248" w:type="dxa"/>
            <w:vAlign w:val="top"/>
            <w:textDirection w:val="lrTb"/>
            <w:noWrap w:val="false"/>
          </w:tcPr>
          <w:p>
            <w:pPr>
              <w:pStyle w:val="960"/>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392"/>
        </w:trPr>
        <w:tc>
          <w:tcPr>
            <w:tcW w:w="651" w:type="dxa"/>
            <w:vAlign w:val="center"/>
            <w:textDirection w:val="lrTb"/>
            <w:noWrap w:val="false"/>
          </w:tcPr>
          <w:p>
            <w:pPr>
              <w:pStyle w:val="960"/>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11</w:t>
            </w:r>
            <w:r>
              <w:rPr>
                <w:rFonts w:ascii="宋体" w:hAnsi="宋体" w:eastAsia="宋体"/>
                <w:color w:val="000000"/>
                <w:sz w:val="21"/>
                <w:szCs w:val="21"/>
                <w:highlight w:val="none"/>
              </w:rPr>
            </w:r>
            <w:r/>
          </w:p>
        </w:tc>
        <w:tc>
          <w:tcPr>
            <w:gridSpan w:val="9"/>
            <w:tcW w:w="8694" w:type="dxa"/>
            <w:vAlign w:val="center"/>
            <w:textDirection w:val="lrTb"/>
            <w:noWrap w:val="false"/>
          </w:tcPr>
          <w:p>
            <w:pPr>
              <w:pStyle w:val="960"/>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r>
    </w:tbl>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t xml:space="preserve">注：企业规模的企业划型标准请根据《中小企业划型标准规定》（工信部联企业〔2011〕300号）。</w:t>
      </w: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9"/>
        <w:spacing w:before="480" w:after="240"/>
        <w:rPr>
          <w:color w:val="000000"/>
          <w:highlight w:val="none"/>
          <w:shd w:val="clear" w:color="auto" w:fill="ffffff"/>
        </w:rPr>
      </w:pPr>
      <w:r>
        <w:rPr>
          <w:rFonts w:hint="eastAsia"/>
          <w:color w:val="000000"/>
          <w:highlight w:val="none"/>
          <w:shd w:val="clear" w:color="auto" w:fill="ffffff"/>
        </w:rPr>
        <w:t xml:space="preserve">4</w:t>
      </w:r>
      <w:r>
        <w:rPr>
          <w:color w:val="000000"/>
          <w:highlight w:val="none"/>
          <w:shd w:val="clear" w:color="auto" w:fill="ffffff"/>
        </w:rPr>
        <w:t xml:space="preserve">、</w:t>
      </w:r>
      <w:r>
        <w:rPr>
          <w:rFonts w:ascii="宋体" w:hAnsi="宋体"/>
          <w:color w:val="000000"/>
          <w:szCs w:val="28"/>
          <w:highlight w:val="none"/>
        </w:rPr>
        <w:t xml:space="preserve">投标</w:t>
      </w:r>
      <w:r>
        <w:rPr>
          <w:rFonts w:hint="eastAsia" w:ascii="宋体" w:hAnsi="宋体"/>
          <w:color w:val="000000"/>
          <w:szCs w:val="28"/>
          <w:highlight w:val="none"/>
        </w:rPr>
        <w:t xml:space="preserve">承诺</w:t>
      </w:r>
      <w:r>
        <w:rPr>
          <w:rFonts w:ascii="宋体" w:hAnsi="宋体"/>
          <w:color w:val="000000"/>
          <w:szCs w:val="28"/>
          <w:highlight w:val="none"/>
        </w:rPr>
        <w:t xml:space="preserve">函</w:t>
      </w:r>
      <w:r>
        <w:rPr>
          <w:color w:val="000000"/>
          <w:highlight w:val="none"/>
          <w:shd w:val="clear" w:color="auto" w:fill="ffffff"/>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投标承诺函</w:t>
      </w:r>
      <w:r>
        <w:rPr>
          <w:rFonts w:hint="eastAsia" w:ascii="宋体" w:hAnsi="宋体"/>
          <w:b/>
          <w:bCs/>
          <w:color w:val="000000"/>
          <w:sz w:val="28"/>
          <w:szCs w:val="28"/>
          <w:highlight w:val="none"/>
        </w:rPr>
      </w:r>
      <w:r/>
    </w:p>
    <w:p>
      <w:pPr>
        <w:pStyle w:val="947"/>
        <w:rPr>
          <w:color w:val="000000"/>
          <w:highlight w:val="none"/>
        </w:rPr>
      </w:pPr>
      <w:r>
        <w:rPr>
          <w:color w:val="000000"/>
          <w:highlight w:val="none"/>
        </w:rPr>
      </w:r>
      <w:r/>
    </w:p>
    <w:p>
      <w:pPr>
        <w:pStyle w:val="1081"/>
        <w:spacing w:line="360" w:lineRule="auto"/>
        <w:rPr>
          <w:rStyle w:val="1041"/>
          <w:rFonts w:hint="eastAsia" w:hAnsi="宋体"/>
          <w:color w:val="000000"/>
          <w:sz w:val="21"/>
          <w:szCs w:val="21"/>
          <w:highlight w:val="none"/>
        </w:rPr>
      </w:pPr>
      <w:r>
        <w:rPr>
          <w:rStyle w:val="1041"/>
          <w:rFonts w:hint="eastAsia" w:hAnsi="宋体"/>
          <w:b/>
          <w:color w:val="000000"/>
          <w:sz w:val="21"/>
          <w:szCs w:val="21"/>
          <w:highlight w:val="none"/>
          <w:u w:val="single"/>
        </w:rPr>
        <w:t xml:space="preserve">致：______________(采购人名称）、苏州正信工程造价咨询事务所有限责任公司</w:t>
      </w:r>
      <w:r>
        <w:rPr>
          <w:rStyle w:val="1041"/>
          <w:rFonts w:hint="eastAsia" w:hAnsi="宋体"/>
          <w:color w:val="000000"/>
          <w:sz w:val="21"/>
          <w:szCs w:val="21"/>
          <w:highlight w:val="none"/>
        </w:rPr>
        <w:t xml:space="preserve"> ：</w:t>
      </w:r>
      <w:r>
        <w:rPr>
          <w:rStyle w:val="1041"/>
          <w:rFonts w:hint="eastAsia" w:hAnsi="宋体"/>
          <w:color w:val="000000"/>
          <w:sz w:val="21"/>
          <w:szCs w:val="21"/>
          <w:highlight w:val="none"/>
        </w:rPr>
      </w:r>
      <w:r/>
    </w:p>
    <w:p>
      <w:pPr>
        <w:pStyle w:val="947"/>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经仔细阅读和研究，我方同意招标文件</w:t>
      </w:r>
      <w:r>
        <w:rPr>
          <w:rFonts w:hint="eastAsia"/>
          <w:color w:val="000000"/>
          <w:szCs w:val="21"/>
          <w:highlight w:val="none"/>
          <w:lang w:val="zh-CN"/>
        </w:rPr>
        <w:t xml:space="preserve">（包括补充文件）</w:t>
      </w:r>
      <w:r>
        <w:rPr>
          <w:rFonts w:hint="eastAsia" w:ascii="宋体" w:hAnsi="宋体"/>
          <w:color w:val="000000"/>
          <w:szCs w:val="21"/>
          <w:highlight w:val="none"/>
        </w:rPr>
        <w:t xml:space="preserve">的各条款要求，自愿参加_</w:t>
      </w:r>
      <w:r>
        <w:rPr>
          <w:rFonts w:hint="eastAsia"/>
          <w:i/>
          <w:iCs/>
          <w:color w:val="000000"/>
          <w:szCs w:val="21"/>
          <w:highlight w:val="none"/>
          <w:u w:val="single"/>
        </w:rPr>
        <w:t xml:space="preserve">（项目名称及项目编号）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的投标活动，并做出如下承诺：</w:t>
      </w:r>
      <w:r>
        <w:rPr>
          <w:rFonts w:ascii="宋体" w:hAnsi="宋体"/>
          <w:color w:val="000000"/>
          <w:szCs w:val="21"/>
          <w:highlight w:val="none"/>
        </w:rPr>
      </w:r>
      <w:r/>
    </w:p>
    <w:p>
      <w:pPr>
        <w:pStyle w:val="947"/>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hint="eastAsia"/>
          <w:color w:val="000000"/>
          <w:szCs w:val="21"/>
          <w:highlight w:val="none"/>
          <w:lang w:val="zh-CN"/>
        </w:rPr>
        <w:t xml:space="preserve">我方</w:t>
      </w:r>
      <w:r>
        <w:rPr>
          <w:color w:val="000000"/>
          <w:szCs w:val="21"/>
          <w:highlight w:val="none"/>
          <w:lang w:val="zh-CN"/>
        </w:rPr>
        <w:t xml:space="preserve">同意提供与投标有关的一切数据或资料，并保证所提供的投标文件及相关资料均真实有效</w:t>
      </w:r>
      <w:r>
        <w:rPr>
          <w:rFonts w:hint="eastAsia"/>
          <w:color w:val="000000"/>
          <w:szCs w:val="21"/>
          <w:highlight w:val="none"/>
          <w:lang w:val="zh-CN"/>
        </w:rPr>
        <w:t xml:space="preserve">，</w:t>
      </w:r>
      <w:r>
        <w:rPr>
          <w:color w:val="000000"/>
          <w:szCs w:val="21"/>
          <w:highlight w:val="none"/>
          <w:lang w:val="zh-CN"/>
        </w:rPr>
        <w:t xml:space="preserve">若有</w:t>
      </w:r>
      <w:r>
        <w:rPr>
          <w:rFonts w:hint="eastAsia"/>
          <w:color w:val="000000"/>
          <w:szCs w:val="21"/>
          <w:highlight w:val="none"/>
          <w:lang w:val="zh-CN"/>
        </w:rPr>
        <w:t xml:space="preserve">不实</w:t>
      </w:r>
      <w:r>
        <w:rPr>
          <w:color w:val="000000"/>
          <w:szCs w:val="21"/>
          <w:highlight w:val="none"/>
          <w:lang w:val="zh-CN"/>
        </w:rPr>
        <w:t xml:space="preserve">，</w:t>
      </w:r>
      <w:r>
        <w:rPr>
          <w:rFonts w:hint="eastAsia"/>
          <w:color w:val="000000"/>
          <w:szCs w:val="21"/>
          <w:highlight w:val="none"/>
          <w:lang w:val="zh-CN"/>
        </w:rPr>
        <w:t xml:space="preserve">由此产生的后果由我</w:t>
      </w:r>
      <w:r>
        <w:rPr>
          <w:color w:val="000000"/>
          <w:szCs w:val="21"/>
          <w:highlight w:val="none"/>
          <w:lang w:val="zh-CN"/>
        </w:rPr>
        <w:t xml:space="preserve">方承担</w:t>
      </w:r>
      <w:r>
        <w:rPr>
          <w:rFonts w:hint="eastAsia"/>
          <w:color w:val="000000"/>
          <w:szCs w:val="21"/>
          <w:highlight w:val="none"/>
          <w:lang w:val="zh-CN"/>
        </w:rPr>
        <w:t xml:space="preserve">；</w:t>
      </w:r>
      <w:r>
        <w:rPr>
          <w:rFonts w:ascii="宋体" w:hAnsi="宋体"/>
          <w:color w:val="000000"/>
          <w:szCs w:val="21"/>
          <w:highlight w:val="none"/>
        </w:rPr>
      </w:r>
      <w:r/>
    </w:p>
    <w:p>
      <w:pPr>
        <w:pStyle w:val="947"/>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我方具有良好的商业信誉和健全的财务会计制度；</w:t>
      </w:r>
      <w:r>
        <w:rPr>
          <w:rFonts w:ascii="宋体" w:hAnsi="宋体"/>
          <w:color w:val="000000"/>
          <w:szCs w:val="21"/>
          <w:highlight w:val="none"/>
        </w:rPr>
      </w:r>
      <w:r/>
    </w:p>
    <w:p>
      <w:pPr>
        <w:pStyle w:val="947"/>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我方具有依法缴纳税收和社会保障资金的良好记录；</w:t>
      </w:r>
      <w:r>
        <w:rPr>
          <w:rFonts w:ascii="宋体" w:hAnsi="宋体"/>
          <w:color w:val="000000"/>
          <w:szCs w:val="21"/>
          <w:highlight w:val="none"/>
        </w:rPr>
      </w:r>
      <w:r/>
    </w:p>
    <w:p>
      <w:pPr>
        <w:pStyle w:val="947"/>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我方具有履行合同所必需的设备和专业技术能力；</w:t>
      </w:r>
      <w:r>
        <w:rPr>
          <w:rFonts w:ascii="宋体" w:hAnsi="宋体"/>
          <w:color w:val="000000"/>
          <w:szCs w:val="21"/>
          <w:highlight w:val="none"/>
        </w:rPr>
      </w:r>
      <w:r/>
    </w:p>
    <w:p>
      <w:pPr>
        <w:pStyle w:val="947"/>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我方参加本次政府采购活动前3年内在经营活动中无重大违法记录；</w:t>
      </w:r>
      <w:r>
        <w:rPr>
          <w:rFonts w:ascii="宋体" w:hAnsi="宋体"/>
          <w:color w:val="000000"/>
          <w:szCs w:val="21"/>
          <w:highlight w:val="none"/>
        </w:rPr>
      </w:r>
      <w:r/>
    </w:p>
    <w:p>
      <w:pPr>
        <w:pStyle w:val="947"/>
        <w:ind w:firstLine="420"/>
        <w:spacing w:line="360" w:lineRule="auto"/>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w:t>
      </w:r>
      <w:r>
        <w:rPr>
          <w:rFonts w:ascii="宋体" w:hAnsi="宋体"/>
          <w:color w:val="000000"/>
          <w:szCs w:val="21"/>
          <w:highlight w:val="none"/>
        </w:rPr>
        <w:t xml:space="preserve">我方同意按</w:t>
      </w:r>
      <w:r>
        <w:rPr>
          <w:rFonts w:hint="eastAsia" w:ascii="宋体" w:hAnsi="宋体"/>
          <w:color w:val="000000"/>
          <w:szCs w:val="21"/>
          <w:highlight w:val="none"/>
        </w:rPr>
        <w:t xml:space="preserve">采购人</w:t>
      </w:r>
      <w:r>
        <w:rPr>
          <w:rFonts w:ascii="宋体" w:hAnsi="宋体"/>
          <w:color w:val="000000"/>
          <w:szCs w:val="21"/>
          <w:highlight w:val="none"/>
        </w:rPr>
        <w:t xml:space="preserve">确定的</w:t>
      </w:r>
      <w:r>
        <w:rPr>
          <w:rFonts w:hint="eastAsia" w:ascii="宋体" w:hAnsi="宋体"/>
          <w:color w:val="000000"/>
          <w:szCs w:val="21"/>
          <w:highlight w:val="none"/>
        </w:rPr>
        <w:t xml:space="preserve">评标办法及评标标准，由评标专家进行评审；</w:t>
      </w:r>
      <w:r>
        <w:rPr>
          <w:rFonts w:ascii="宋体" w:hAnsi="宋体"/>
          <w:color w:val="000000"/>
          <w:szCs w:val="21"/>
          <w:highlight w:val="none"/>
        </w:rPr>
      </w:r>
      <w:r/>
    </w:p>
    <w:p>
      <w:pPr>
        <w:pStyle w:val="947"/>
        <w:ind w:firstLine="420"/>
        <w:spacing w:line="360" w:lineRule="auto"/>
        <w:rPr>
          <w:rFonts w:ascii="宋体" w:hAnsi="宋体"/>
          <w:color w:val="000000"/>
          <w:szCs w:val="21"/>
          <w:highlight w:val="none"/>
        </w:rPr>
      </w:pPr>
      <w:r>
        <w:rPr>
          <w:rFonts w:ascii="宋体" w:hAnsi="宋体"/>
          <w:color w:val="000000"/>
          <w:szCs w:val="21"/>
          <w:highlight w:val="none"/>
        </w:rPr>
        <w:t xml:space="preserve">7.我方同意按</w:t>
      </w:r>
      <w:r>
        <w:rPr>
          <w:rFonts w:hint="eastAsia" w:ascii="宋体" w:hAnsi="宋体"/>
          <w:color w:val="000000"/>
          <w:szCs w:val="21"/>
          <w:highlight w:val="none"/>
        </w:rPr>
        <w:t xml:space="preserve">招标</w:t>
      </w:r>
      <w:r>
        <w:rPr>
          <w:rFonts w:ascii="宋体" w:hAnsi="宋体"/>
          <w:color w:val="000000"/>
          <w:szCs w:val="21"/>
          <w:highlight w:val="none"/>
        </w:rPr>
        <w:t xml:space="preserve">文件中的规定，</w:t>
      </w:r>
      <w:r>
        <w:rPr>
          <w:rFonts w:hint="eastAsia" w:ascii="宋体" w:hAnsi="宋体"/>
          <w:color w:val="000000"/>
          <w:szCs w:val="21"/>
          <w:highlight w:val="none"/>
        </w:rPr>
        <w:t xml:space="preserve">投标文件</w:t>
      </w:r>
      <w:r>
        <w:rPr>
          <w:rFonts w:ascii="宋体" w:hAnsi="宋体"/>
          <w:color w:val="000000"/>
          <w:szCs w:val="21"/>
          <w:highlight w:val="none"/>
        </w:rPr>
        <w:t xml:space="preserve">的有效期限为开标后三个月</w:t>
      </w:r>
      <w:r>
        <w:rPr>
          <w:rFonts w:hint="eastAsia" w:ascii="宋体" w:hAnsi="宋体"/>
          <w:color w:val="000000"/>
          <w:szCs w:val="21"/>
          <w:highlight w:val="none"/>
        </w:rPr>
        <w:t xml:space="preserve">；</w:t>
      </w:r>
      <w:r>
        <w:rPr>
          <w:rFonts w:ascii="宋体" w:hAnsi="宋体"/>
          <w:color w:val="000000"/>
          <w:szCs w:val="21"/>
          <w:highlight w:val="none"/>
        </w:rPr>
      </w:r>
      <w:r/>
    </w:p>
    <w:p>
      <w:pPr>
        <w:pStyle w:val="947"/>
        <w:ind w:firstLine="420"/>
        <w:spacing w:line="360" w:lineRule="auto"/>
        <w:rPr>
          <w:rFonts w:ascii="宋体" w:hAnsi="宋体"/>
          <w:color w:val="000000"/>
          <w:szCs w:val="21"/>
          <w:highlight w:val="none"/>
        </w:rPr>
      </w:pPr>
      <w:r>
        <w:rPr>
          <w:rFonts w:ascii="宋体" w:hAnsi="宋体"/>
          <w:color w:val="000000"/>
          <w:szCs w:val="21"/>
          <w:highlight w:val="none"/>
        </w:rPr>
        <w:t xml:space="preserve">8.我方同意</w:t>
      </w:r>
      <w:r>
        <w:rPr>
          <w:rFonts w:hint="eastAsia" w:ascii="宋体" w:hAnsi="宋体"/>
          <w:color w:val="000000"/>
          <w:szCs w:val="21"/>
          <w:highlight w:val="none"/>
        </w:rPr>
        <w:t xml:space="preserve">采购人</w:t>
      </w:r>
      <w:r>
        <w:rPr>
          <w:rFonts w:ascii="宋体" w:hAnsi="宋体"/>
          <w:color w:val="000000"/>
          <w:szCs w:val="21"/>
          <w:highlight w:val="none"/>
        </w:rPr>
        <w:t xml:space="preserve">关于违约责任的认定方式和对违约责任的处罚；在</w:t>
      </w:r>
      <w:r>
        <w:rPr>
          <w:rFonts w:hint="eastAsia" w:ascii="宋体" w:hAnsi="宋体"/>
          <w:color w:val="000000"/>
          <w:szCs w:val="21"/>
          <w:highlight w:val="none"/>
        </w:rPr>
        <w:t xml:space="preserve">履约</w:t>
      </w:r>
      <w:r>
        <w:rPr>
          <w:rFonts w:ascii="宋体" w:hAnsi="宋体"/>
          <w:color w:val="000000"/>
          <w:szCs w:val="21"/>
          <w:highlight w:val="none"/>
        </w:rPr>
        <w:t xml:space="preserve">过程中，如我方违约，我方愿意承担相应违约责任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947"/>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除不可抗力外，我方如果在招标文件规定的投标有效期内进行实质上修改或撤回投标，将在行为发生的10个工作日内，向采购人支付本招标文件公布的预算价的2%作为违约赔偿金。</w:t>
      </w:r>
      <w:r>
        <w:rPr>
          <w:rFonts w:ascii="宋体" w:hAnsi="宋体"/>
          <w:color w:val="000000"/>
          <w:szCs w:val="21"/>
          <w:highlight w:val="none"/>
        </w:rPr>
      </w:r>
      <w:r/>
    </w:p>
    <w:p>
      <w:pPr>
        <w:pStyle w:val="947"/>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10</w:t>
      </w:r>
      <w:r>
        <w:rPr>
          <w:rFonts w:hint="eastAsia" w:ascii="宋体" w:hAnsi="宋体"/>
          <w:color w:val="000000"/>
          <w:szCs w:val="21"/>
          <w:highlight w:val="none"/>
        </w:rPr>
        <w:t xml:space="preserve">.我方知晓上述行为的法律后果，并认可本承诺函作为采购人要求我方履行违约赔偿的依据。</w:t>
      </w:r>
      <w:r>
        <w:rPr>
          <w:rFonts w:hint="eastAsia" w:ascii="宋体" w:hAnsi="宋体"/>
          <w:color w:val="000000"/>
          <w:szCs w:val="21"/>
          <w:highlight w:val="none"/>
        </w:rPr>
      </w:r>
      <w:r/>
    </w:p>
    <w:p>
      <w:pPr>
        <w:pStyle w:val="947"/>
        <w:ind w:firstLine="5775"/>
        <w:jc w:val="right"/>
        <w:spacing w:line="360" w:lineRule="auto"/>
        <w:rPr>
          <w:rFonts w:ascii="宋体" w:hAnsi="宋体"/>
          <w:color w:val="000000"/>
          <w:szCs w:val="21"/>
          <w:highlight w:val="none"/>
        </w:rPr>
      </w:pPr>
      <w:r>
        <w:rPr>
          <w:rFonts w:ascii="宋体" w:hAnsi="宋体"/>
          <w:color w:val="000000"/>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int="eastAsia" w:hAnsi="宋体" w:eastAsia="宋体"/>
          <w:color w:val="000000"/>
          <w:sz w:val="21"/>
          <w:szCs w:val="21"/>
          <w:highlight w:val="none"/>
        </w:rPr>
        <w:t xml:space="preserve">公章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947"/>
        <w:jc w:val="right"/>
        <w:spacing w:line="360" w:lineRule="auto"/>
        <w:rPr>
          <w:rFonts w:hint="eastAsia"/>
          <w:color w:val="000000"/>
          <w:szCs w:val="21"/>
          <w:highlight w:val="none"/>
        </w:rPr>
      </w:pPr>
      <w:r>
        <w:rPr>
          <w:rFonts w:hAnsi="宋体"/>
          <w:color w:val="000000"/>
          <w:szCs w:val="21"/>
          <w:highlight w:val="none"/>
        </w:rPr>
        <w:t xml:space="preserve">日期：</w:t>
      </w:r>
      <w:r>
        <w:rPr>
          <w:rFonts w:hint="eastAsia" w:hAnsi="宋体"/>
          <w:color w:val="000000"/>
          <w:szCs w:val="21"/>
          <w:highlight w:val="none"/>
        </w:rPr>
        <w:t xml:space="preserve">      </w:t>
      </w:r>
      <w:r>
        <w:rPr>
          <w:rFonts w:hAnsi="宋体"/>
          <w:color w:val="000000"/>
          <w:szCs w:val="21"/>
          <w:highlight w:val="none"/>
        </w:rPr>
        <w:t xml:space="preserve">年</w:t>
      </w:r>
      <w:r>
        <w:rPr>
          <w:rFonts w:hint="eastAsia" w:hAnsi="宋体"/>
          <w:color w:val="000000"/>
          <w:szCs w:val="21"/>
          <w:highlight w:val="none"/>
        </w:rPr>
        <w:t xml:space="preserve">  </w:t>
      </w:r>
      <w:r>
        <w:rPr>
          <w:rFonts w:hAnsi="宋体"/>
          <w:color w:val="000000"/>
          <w:szCs w:val="21"/>
          <w:highlight w:val="none"/>
        </w:rPr>
        <w:t xml:space="preserve">月</w:t>
      </w:r>
      <w:r>
        <w:rPr>
          <w:rFonts w:hint="eastAsia" w:hAnsi="宋体"/>
          <w:color w:val="000000"/>
          <w:szCs w:val="21"/>
          <w:highlight w:val="none"/>
        </w:rPr>
        <w:t xml:space="preserve">  </w:t>
      </w:r>
      <w:r>
        <w:rPr>
          <w:rFonts w:hAnsi="宋体"/>
          <w:color w:val="000000"/>
          <w:szCs w:val="21"/>
          <w:highlight w:val="none"/>
        </w:rPr>
        <w:t xml:space="preserve">日</w:t>
      </w:r>
      <w:r>
        <w:rPr>
          <w:rFonts w:hint="eastAsia"/>
          <w:color w:val="000000"/>
          <w:szCs w:val="21"/>
          <w:highlight w:val="none"/>
        </w:rPr>
      </w:r>
      <w:r/>
    </w:p>
    <w:p>
      <w:pPr>
        <w:pStyle w:val="960"/>
        <w:ind w:firstLine="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60"/>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49"/>
        <w:spacing w:before="480" w:after="240"/>
        <w:rPr>
          <w:rFonts w:ascii="宋体" w:hAnsi="宋体"/>
          <w:color w:val="000000"/>
          <w:szCs w:val="21"/>
          <w:highlight w:val="none"/>
          <w:u w:val="single"/>
          <w:lang w:val="zh-CN"/>
        </w:rPr>
      </w:pPr>
      <w:r>
        <w:rPr>
          <w:rFonts w:hint="eastAsia"/>
          <w:color w:val="000000"/>
          <w:highlight w:val="none"/>
          <w:shd w:val="clear" w:color="auto" w:fill="ffffff"/>
        </w:rPr>
        <w:t xml:space="preserve">5、投标人满足《中华人民共和国政府采购法》第二十二条规定的证明材料</w:t>
      </w:r>
      <w:r>
        <w:rPr>
          <w:rFonts w:ascii="宋体" w:hAnsi="宋体"/>
          <w:color w:val="000000"/>
          <w:szCs w:val="21"/>
          <w:highlight w:val="none"/>
          <w:u w:val="single"/>
          <w:lang w:val="zh-CN"/>
        </w:rPr>
      </w:r>
      <w:r/>
    </w:p>
    <w:p>
      <w:pPr>
        <w:pStyle w:val="947"/>
        <w:ind w:firstLine="420"/>
        <w:spacing w:line="360" w:lineRule="auto"/>
        <w:rPr>
          <w:rFonts w:hint="eastAsia" w:ascii="宋体" w:hAnsi="宋体"/>
          <w:iCs/>
          <w:color w:val="000000"/>
          <w:szCs w:val="21"/>
          <w:highlight w:val="none"/>
          <w:lang w:val="zh-CN"/>
        </w:rPr>
      </w:pPr>
      <w:r>
        <w:rPr>
          <w:rFonts w:ascii="宋体" w:hAnsi="宋体"/>
          <w:iCs/>
          <w:color w:val="000000"/>
          <w:szCs w:val="21"/>
          <w:highlight w:val="none"/>
          <w:lang w:val="zh-CN"/>
        </w:rPr>
        <w:t xml:space="preserve">1.</w:t>
      </w:r>
      <w:r>
        <w:rPr>
          <w:rFonts w:hint="eastAsia" w:ascii="宋体" w:hAnsi="宋体"/>
          <w:iCs/>
          <w:color w:val="000000"/>
          <w:szCs w:val="21"/>
          <w:highlight w:val="none"/>
          <w:lang w:val="zh-CN"/>
        </w:rPr>
        <w:t xml:space="preserve">具有独立承担民事责任的能力（提供法人或者其他组织的营业执照等证明文件、自然人的身份证明）；</w:t>
      </w:r>
      <w:r>
        <w:rPr>
          <w:rFonts w:hint="eastAsia" w:ascii="宋体" w:hAnsi="宋体"/>
          <w:iCs/>
          <w:color w:val="000000"/>
          <w:szCs w:val="21"/>
          <w:highlight w:val="none"/>
          <w:lang w:val="zh-CN"/>
        </w:rPr>
      </w:r>
      <w:r/>
    </w:p>
    <w:p>
      <w:pPr>
        <w:pStyle w:val="947"/>
        <w:ind w:firstLine="420"/>
        <w:spacing w:line="360" w:lineRule="auto"/>
        <w:rPr>
          <w:rFonts w:ascii="宋体" w:hAnsi="宋体"/>
          <w:iCs/>
          <w:color w:val="000000"/>
          <w:szCs w:val="21"/>
          <w:highlight w:val="none"/>
          <w:lang w:val="zh-CN"/>
        </w:rPr>
      </w:pPr>
      <w:r>
        <w:rPr>
          <w:rFonts w:ascii="宋体" w:hAnsi="宋体"/>
          <w:iCs/>
          <w:color w:val="000000"/>
          <w:szCs w:val="21"/>
          <w:highlight w:val="none"/>
          <w:lang w:val="zh-CN"/>
        </w:rPr>
        <w:t xml:space="preserve">2.</w:t>
      </w:r>
      <w:r>
        <w:rPr>
          <w:rFonts w:hint="eastAsia" w:ascii="宋体" w:hAnsi="宋体"/>
          <w:iCs/>
          <w:color w:val="000000"/>
          <w:szCs w:val="21"/>
          <w:highlight w:val="none"/>
          <w:lang w:val="zh-CN"/>
        </w:rPr>
        <w:t xml:space="preserve">具有良好的商业信誉和健全的财务会计制度（提供投标承诺函或提供相应证明材料）；</w:t>
      </w:r>
      <w:r>
        <w:rPr>
          <w:rFonts w:ascii="宋体" w:hAnsi="宋体"/>
          <w:iCs/>
          <w:color w:val="000000"/>
          <w:szCs w:val="21"/>
          <w:highlight w:val="none"/>
          <w:lang w:val="zh-CN"/>
        </w:rPr>
      </w:r>
      <w:r/>
    </w:p>
    <w:p>
      <w:pPr>
        <w:pStyle w:val="947"/>
        <w:ind w:firstLine="420"/>
        <w:spacing w:line="360" w:lineRule="auto"/>
        <w:rPr>
          <w:rFonts w:ascii="宋体" w:hAnsi="宋体"/>
          <w:iCs/>
          <w:color w:val="000000"/>
          <w:szCs w:val="21"/>
          <w:highlight w:val="none"/>
          <w:lang w:val="zh-CN"/>
        </w:rPr>
      </w:pPr>
      <w:r>
        <w:rPr>
          <w:rFonts w:ascii="宋体" w:hAnsi="宋体"/>
          <w:iCs/>
          <w:color w:val="000000"/>
          <w:szCs w:val="21"/>
          <w:highlight w:val="none"/>
          <w:lang w:val="zh-CN"/>
        </w:rPr>
        <w:t xml:space="preserve">3.</w:t>
      </w:r>
      <w:r>
        <w:rPr>
          <w:rFonts w:hint="eastAsia" w:ascii="宋体" w:hAnsi="宋体"/>
          <w:iCs/>
          <w:color w:val="000000"/>
          <w:szCs w:val="21"/>
          <w:highlight w:val="none"/>
          <w:lang w:val="zh-CN"/>
        </w:rPr>
        <w:t xml:space="preserve">具有履行合同所必需的设备和专业技术能力（提供投标承诺函或提供相应证明材料）；</w:t>
      </w:r>
      <w:r>
        <w:rPr>
          <w:rFonts w:ascii="宋体" w:hAnsi="宋体"/>
          <w:iCs/>
          <w:color w:val="000000"/>
          <w:szCs w:val="21"/>
          <w:highlight w:val="none"/>
          <w:lang w:val="zh-CN"/>
        </w:rPr>
      </w:r>
      <w:r/>
    </w:p>
    <w:p>
      <w:pPr>
        <w:pStyle w:val="947"/>
        <w:ind w:firstLine="420"/>
        <w:spacing w:line="360" w:lineRule="auto"/>
        <w:rPr>
          <w:rFonts w:ascii="宋体" w:hAnsi="宋体"/>
          <w:iCs/>
          <w:color w:val="000000"/>
          <w:szCs w:val="21"/>
          <w:highlight w:val="none"/>
          <w:lang w:val="zh-CN"/>
        </w:rPr>
      </w:pPr>
      <w:r>
        <w:rPr>
          <w:rFonts w:ascii="宋体" w:hAnsi="宋体"/>
          <w:iCs/>
          <w:color w:val="000000"/>
          <w:szCs w:val="21"/>
          <w:highlight w:val="none"/>
          <w:lang w:val="zh-CN"/>
        </w:rPr>
        <w:t xml:space="preserve">4.</w:t>
      </w:r>
      <w:r>
        <w:rPr>
          <w:rFonts w:hint="eastAsia" w:ascii="宋体" w:hAnsi="宋体"/>
          <w:iCs/>
          <w:color w:val="000000"/>
          <w:szCs w:val="21"/>
          <w:highlight w:val="none"/>
          <w:lang w:val="zh-CN"/>
        </w:rPr>
        <w:t xml:space="preserve">具有依法缴纳税收和社会保障资金的良好记录（提供投标承诺函或提供相应证明材料）；</w:t>
      </w:r>
      <w:r>
        <w:rPr>
          <w:rFonts w:ascii="宋体" w:hAnsi="宋体"/>
          <w:iCs/>
          <w:color w:val="000000"/>
          <w:szCs w:val="21"/>
          <w:highlight w:val="none"/>
          <w:lang w:val="zh-CN"/>
        </w:rPr>
      </w:r>
      <w:r/>
    </w:p>
    <w:p>
      <w:pPr>
        <w:pStyle w:val="947"/>
        <w:ind w:firstLine="420"/>
        <w:spacing w:line="360" w:lineRule="auto"/>
        <w:rPr>
          <w:rFonts w:ascii="宋体" w:hAnsi="宋体"/>
          <w:iCs/>
          <w:color w:val="000000"/>
          <w:szCs w:val="21"/>
          <w:highlight w:val="none"/>
          <w:lang w:val="zh-CN"/>
        </w:rPr>
      </w:pPr>
      <w:r>
        <w:rPr>
          <w:rFonts w:ascii="宋体" w:hAnsi="宋体"/>
          <w:iCs/>
          <w:color w:val="000000"/>
          <w:szCs w:val="21"/>
          <w:highlight w:val="none"/>
          <w:lang w:val="zh-CN"/>
        </w:rPr>
        <w:t xml:space="preserve">5.</w:t>
      </w:r>
      <w:r>
        <w:rPr>
          <w:rFonts w:hint="eastAsia" w:ascii="宋体" w:hAnsi="宋体"/>
          <w:iCs/>
          <w:color w:val="000000"/>
          <w:szCs w:val="21"/>
          <w:highlight w:val="none"/>
          <w:lang w:val="zh-CN"/>
        </w:rPr>
        <w:t xml:space="preserve">参加政府采购活动前三年内，在经营活动中没有重大违法记录（提供投标承诺函或提供相应证明材料）；</w:t>
      </w:r>
      <w:r>
        <w:rPr>
          <w:rFonts w:ascii="宋体" w:hAnsi="宋体"/>
          <w:iCs/>
          <w:color w:val="000000"/>
          <w:szCs w:val="21"/>
          <w:highlight w:val="none"/>
          <w:lang w:val="zh-CN"/>
        </w:rPr>
      </w:r>
      <w:r/>
    </w:p>
    <w:p>
      <w:pPr>
        <w:pStyle w:val="947"/>
        <w:ind w:firstLine="359"/>
        <w:jc w:val="left"/>
        <w:spacing w:line="360" w:lineRule="auto"/>
        <w:rPr>
          <w:rFonts w:ascii="宋体" w:hAnsi="宋体" w:cs="宋体"/>
          <w:color w:val="000000"/>
          <w:szCs w:val="21"/>
          <w:highlight w:val="none"/>
        </w:rPr>
      </w:pPr>
      <w:r>
        <w:rPr>
          <w:rFonts w:hint="eastAsia" w:ascii="宋体" w:hAnsi="宋体"/>
          <w:color w:val="000000"/>
          <w:szCs w:val="21"/>
          <w:highlight w:val="none"/>
        </w:rPr>
        <w:t xml:space="preserve">6.</w:t>
      </w:r>
      <w:r>
        <w:rPr>
          <w:rFonts w:hint="eastAsia" w:ascii="宋体" w:hAnsi="宋体" w:cs="宋体"/>
          <w:color w:val="000000"/>
          <w:szCs w:val="21"/>
          <w:highlight w:val="none"/>
        </w:rPr>
        <w:t xml:space="preserve">法律、行政法规规定的其他条件</w:t>
      </w:r>
      <w:r>
        <w:rPr>
          <w:rFonts w:hint="eastAsia" w:ascii="宋体" w:hAnsi="宋体"/>
          <w:color w:val="000000"/>
          <w:szCs w:val="21"/>
          <w:highlight w:val="none"/>
        </w:rPr>
        <w:t xml:space="preserve">（提供投标承诺函或提供相应证明材料）</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403"/>
        <w:ind w:firstLine="361"/>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949"/>
        <w:spacing w:before="480" w:after="240"/>
        <w:rPr>
          <w:rFonts w:hAnsi="宋体" w:eastAsia="宋体"/>
          <w:b w:val="0"/>
          <w:bCs w:val="0"/>
          <w:color w:val="000000"/>
          <w:sz w:val="21"/>
          <w:szCs w:val="21"/>
          <w:highlight w:val="none"/>
        </w:rPr>
      </w:pPr>
      <w:r>
        <w:rPr>
          <w:rFonts w:hint="eastAsia"/>
          <w:color w:val="000000"/>
          <w:highlight w:val="none"/>
          <w:shd w:val="clear" w:color="auto" w:fill="ffffff"/>
        </w:rPr>
        <w:t xml:space="preserve">6、投标人满足《中华人民共和国政府采购法》第二十二条规定的证明材料</w:t>
      </w:r>
      <w:r>
        <w:rPr>
          <w:rFonts w:hAnsi="宋体" w:eastAsia="宋体"/>
          <w:b w:val="0"/>
          <w:bCs w:val="0"/>
          <w:color w:val="000000"/>
          <w:sz w:val="21"/>
          <w:szCs w:val="21"/>
          <w:highlight w:val="none"/>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6.1中小企业声明函</w:t>
      </w:r>
      <w:r>
        <w:rPr>
          <w:rFonts w:hint="eastAsia" w:ascii="宋体" w:hAnsi="宋体"/>
          <w:b/>
          <w:bCs/>
          <w:color w:val="000000"/>
          <w:sz w:val="28"/>
          <w:szCs w:val="28"/>
          <w:highlight w:val="none"/>
        </w:rPr>
      </w:r>
      <w:r/>
    </w:p>
    <w:p>
      <w:pPr>
        <w:pStyle w:val="1403"/>
        <w:ind w:firstLine="359"/>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403"/>
        <w:ind w:firstLine="359"/>
        <w:spacing w:line="360" w:lineRule="auto"/>
        <w:rPr>
          <w:rFonts w:hAnsi="宋体" w:eastAsia="宋体"/>
          <w:color w:val="000000"/>
          <w:sz w:val="21"/>
          <w:szCs w:val="21"/>
          <w:highlight w:val="none"/>
        </w:rPr>
      </w:pPr>
      <w:r>
        <w:rPr>
          <w:rFonts w:hAnsi="宋体" w:eastAsia="宋体"/>
          <w:color w:val="000000"/>
          <w:sz w:val="21"/>
          <w:szCs w:val="21"/>
          <w:highlight w:val="none"/>
        </w:rPr>
        <w:t xml:space="preserve">本公司（联合体）郑重声明，根据《政府采购促进中小企业发展管理办法》（财库[20</w:t>
      </w:r>
      <w:r>
        <w:rPr>
          <w:rFonts w:hAnsi="宋体" w:eastAsia="宋体"/>
          <w:color w:val="000000"/>
          <w:sz w:val="21"/>
          <w:szCs w:val="21"/>
          <w:highlight w:val="none"/>
        </w:rPr>
        <w:t xml:space="preserve">20</w:t>
      </w:r>
      <w:r>
        <w:rPr>
          <w:rFonts w:hAnsi="宋体" w:eastAsia="宋体"/>
          <w:color w:val="000000"/>
          <w:sz w:val="21"/>
          <w:szCs w:val="21"/>
          <w:highlight w:val="none"/>
        </w:rPr>
        <w:t xml:space="preserve">]</w:t>
      </w:r>
      <w:r>
        <w:rPr>
          <w:rFonts w:hAnsi="宋体" w:eastAsia="宋体"/>
          <w:color w:val="000000"/>
          <w:sz w:val="21"/>
          <w:szCs w:val="21"/>
          <w:highlight w:val="none"/>
        </w:rPr>
        <w:t xml:space="preserve">46</w:t>
      </w:r>
      <w:r>
        <w:rPr>
          <w:rFonts w:hAnsi="宋体" w:eastAsia="宋体"/>
          <w:color w:val="000000"/>
          <w:sz w:val="21"/>
          <w:szCs w:val="21"/>
          <w:highlight w:val="none"/>
        </w:rPr>
        <w:t xml:space="preserve">号）的规定，本公司参加</w:t>
      </w:r>
      <w:r>
        <w:rPr>
          <w:rFonts w:hAnsi="宋体" w:eastAsia="宋体"/>
          <w:i/>
          <w:iCs/>
          <w:color w:val="000000"/>
          <w:sz w:val="21"/>
          <w:szCs w:val="21"/>
          <w:highlight w:val="none"/>
          <w:u w:val="single"/>
        </w:rPr>
        <w:t xml:space="preserve">（单位名称）</w:t>
      </w:r>
      <w:r>
        <w:rPr>
          <w:rFonts w:hAnsi="宋体" w:eastAsia="宋体"/>
          <w:color w:val="000000"/>
          <w:sz w:val="21"/>
          <w:szCs w:val="21"/>
          <w:highlight w:val="none"/>
          <w:u w:val="single"/>
        </w:rPr>
        <w:t xml:space="preserve">的</w:t>
      </w:r>
      <w:r>
        <w:rPr>
          <w:rFonts w:hAnsi="宋体" w:eastAsia="宋体"/>
          <w:i/>
          <w:iCs/>
          <w:color w:val="000000"/>
          <w:sz w:val="21"/>
          <w:szCs w:val="21"/>
          <w:highlight w:val="none"/>
          <w:u w:val="single"/>
        </w:rPr>
        <w:t xml:space="preserve">（项目名称）</w:t>
      </w:r>
      <w:r>
        <w:rPr>
          <w:rFonts w:hAnsi="宋体" w:eastAsia="宋体"/>
          <w:color w:val="000000"/>
          <w:sz w:val="21"/>
          <w:szCs w:val="21"/>
          <w:highlight w:val="none"/>
        </w:rPr>
        <w:t xml:space="preserve">采购活动，服务全部由符合政策要求的中小企业承接。相关企业（含联合体中的中小企业、签订分包意向协议的中小企业）的具体情况如下：</w:t>
      </w:r>
      <w:r>
        <w:rPr>
          <w:rFonts w:hAnsi="宋体" w:eastAsia="宋体"/>
          <w:color w:val="000000"/>
          <w:sz w:val="21"/>
          <w:szCs w:val="21"/>
          <w:highlight w:val="none"/>
        </w:rPr>
        <w:t xml:space="preserve"> </w:t>
      </w:r>
      <w:r>
        <w:rPr>
          <w:rFonts w:hAnsi="宋体" w:eastAsia="宋体"/>
          <w:color w:val="000000"/>
          <w:sz w:val="21"/>
          <w:szCs w:val="21"/>
          <w:highlight w:val="none"/>
        </w:rPr>
      </w:r>
      <w:r/>
    </w:p>
    <w:p>
      <w:pPr>
        <w:pStyle w:val="947"/>
        <w:ind w:firstLine="359"/>
        <w:spacing w:line="360" w:lineRule="auto"/>
        <w:rPr>
          <w:color w:val="000000"/>
          <w:highlight w:val="none"/>
        </w:rPr>
      </w:pPr>
      <w:r>
        <w:rPr>
          <w:rFonts w:ascii="宋体" w:hAnsi="宋体"/>
          <w:color w:val="000000"/>
          <w:szCs w:val="21"/>
          <w:highlight w:val="none"/>
        </w:rPr>
        <w:t xml:space="preserve">1.</w:t>
      </w:r>
      <w:r>
        <w:rPr>
          <w:i/>
          <w:iCs/>
          <w:color w:val="000000"/>
          <w:highlight w:val="none"/>
          <w:u w:val="single"/>
        </w:rPr>
        <w:t xml:space="preserve">（标的名称）</w:t>
      </w:r>
      <w:r>
        <w:rPr>
          <w:color w:val="000000"/>
          <w:highlight w:val="none"/>
        </w:rPr>
        <w:t xml:space="preserve">，属于</w:t>
      </w:r>
      <w:r>
        <w:rPr>
          <w:i/>
          <w:iCs/>
          <w:color w:val="000000"/>
          <w:highlight w:val="none"/>
          <w:u w:val="single"/>
        </w:rPr>
        <w:t xml:space="preserve">（采购文件中明确的所属行业）</w:t>
      </w:r>
      <w:r>
        <w:rPr>
          <w:color w:val="000000"/>
          <w:highlight w:val="none"/>
        </w:rPr>
        <w:t xml:space="preserve">；</w:t>
      </w:r>
      <w:r>
        <w:rPr>
          <w:rFonts w:hint="eastAsia"/>
          <w:color w:val="000000"/>
          <w:highlight w:val="none"/>
        </w:rPr>
        <w:t xml:space="preserve">承接企业</w:t>
      </w:r>
      <w:r>
        <w:rPr>
          <w:color w:val="000000"/>
          <w:highlight w:val="none"/>
        </w:rPr>
        <w:t xml:space="preserve">为</w:t>
      </w:r>
      <w:r>
        <w:rPr>
          <w:i/>
          <w:iCs/>
          <w:color w:val="000000"/>
          <w:highlight w:val="none"/>
          <w:u w:val="single"/>
        </w:rPr>
        <w:t xml:space="preserve">（企业名称）</w:t>
      </w:r>
      <w:r>
        <w:rPr>
          <w:color w:val="000000"/>
          <w:highlight w:val="none"/>
        </w:rPr>
        <w:t xml:space="preserve">，从业人员</w:t>
      </w:r>
      <w:r>
        <w:rPr>
          <w:color w:val="000000"/>
          <w:highlight w:val="none"/>
          <w:u w:val="single"/>
        </w:rPr>
        <w:t xml:space="preserve">   </w:t>
      </w:r>
      <w:r>
        <w:rPr>
          <w:color w:val="000000"/>
          <w:highlight w:val="none"/>
        </w:rPr>
        <w:t xml:space="preserve">人，营业收入为</w:t>
      </w:r>
      <w:r>
        <w:rPr>
          <w:color w:val="000000"/>
          <w:highlight w:val="none"/>
          <w:u w:val="single"/>
        </w:rPr>
        <w:t xml:space="preserve">   </w:t>
      </w:r>
      <w:r>
        <w:rPr>
          <w:color w:val="000000"/>
          <w:highlight w:val="none"/>
        </w:rPr>
        <w:t xml:space="preserve">万元，资产总额为</w:t>
      </w:r>
      <w:r>
        <w:rPr>
          <w:color w:val="000000"/>
          <w:highlight w:val="none"/>
          <w:u w:val="single"/>
        </w:rPr>
        <w:t xml:space="preserve">   </w:t>
      </w:r>
      <w:r>
        <w:rPr>
          <w:color w:val="000000"/>
          <w:highlight w:val="none"/>
        </w:rPr>
        <w:t xml:space="preserve">万元</w:t>
      </w:r>
      <w:r>
        <w:rPr>
          <w:rFonts w:hint="eastAsia"/>
          <w:color w:val="000000"/>
          <w:highlight w:val="none"/>
        </w:rPr>
        <w:t xml:space="preserve">，</w:t>
      </w:r>
      <w:r>
        <w:rPr>
          <w:color w:val="000000"/>
          <w:highlight w:val="none"/>
        </w:rPr>
        <w:t xml:space="preserve">属于</w:t>
      </w:r>
      <w:r>
        <w:rPr>
          <w:i/>
          <w:iCs/>
          <w:color w:val="000000"/>
          <w:highlight w:val="none"/>
          <w:u w:val="single"/>
        </w:rPr>
        <w:t xml:space="preserve">（中型企业、小 型企业、微型企业）</w:t>
      </w:r>
      <w:r>
        <w:rPr>
          <w:color w:val="000000"/>
          <w:highlight w:val="none"/>
        </w:rPr>
        <w:t xml:space="preserve">；</w:t>
      </w:r>
      <w:r>
        <w:rPr>
          <w:color w:val="000000"/>
          <w:highlight w:val="none"/>
        </w:rPr>
      </w:r>
      <w:r/>
    </w:p>
    <w:p>
      <w:pPr>
        <w:pStyle w:val="947"/>
        <w:ind w:firstLine="359"/>
        <w:spacing w:line="360" w:lineRule="auto"/>
        <w:rPr>
          <w:color w:val="000000"/>
          <w:highlight w:val="none"/>
        </w:rPr>
      </w:pPr>
      <w:r>
        <w:rPr>
          <w:rFonts w:ascii="宋体" w:hAnsi="宋体"/>
          <w:color w:val="000000"/>
          <w:szCs w:val="21"/>
          <w:highlight w:val="none"/>
        </w:rPr>
        <w:t xml:space="preserve">2.</w:t>
      </w:r>
      <w:r>
        <w:rPr>
          <w:i/>
          <w:iCs/>
          <w:color w:val="000000"/>
          <w:highlight w:val="none"/>
          <w:u w:val="single"/>
        </w:rPr>
        <w:t xml:space="preserve">（标的名称）</w:t>
      </w:r>
      <w:r>
        <w:rPr>
          <w:color w:val="000000"/>
          <w:highlight w:val="none"/>
        </w:rPr>
        <w:t xml:space="preserve">，属于</w:t>
      </w:r>
      <w:r>
        <w:rPr>
          <w:i/>
          <w:iCs/>
          <w:color w:val="000000"/>
          <w:highlight w:val="none"/>
          <w:u w:val="single"/>
        </w:rPr>
        <w:t xml:space="preserve">（采购文件中明确的所属行业）</w:t>
      </w:r>
      <w:r>
        <w:rPr>
          <w:color w:val="000000"/>
          <w:highlight w:val="none"/>
        </w:rPr>
        <w:t xml:space="preserve">；</w:t>
      </w:r>
      <w:r>
        <w:rPr>
          <w:rFonts w:hint="eastAsia"/>
          <w:color w:val="000000"/>
          <w:highlight w:val="none"/>
        </w:rPr>
        <w:t xml:space="preserve">承接企业</w:t>
      </w:r>
      <w:r>
        <w:rPr>
          <w:color w:val="000000"/>
          <w:highlight w:val="none"/>
        </w:rPr>
        <w:t xml:space="preserve">为</w:t>
      </w:r>
      <w:r>
        <w:rPr>
          <w:i/>
          <w:iCs/>
          <w:color w:val="000000"/>
          <w:highlight w:val="none"/>
          <w:u w:val="single"/>
        </w:rPr>
        <w:t xml:space="preserve">（企业名称）</w:t>
      </w:r>
      <w:r>
        <w:rPr>
          <w:color w:val="000000"/>
          <w:highlight w:val="none"/>
        </w:rPr>
        <w:t xml:space="preserve">，从业人员</w:t>
      </w:r>
      <w:r>
        <w:rPr>
          <w:color w:val="000000"/>
          <w:highlight w:val="none"/>
          <w:u w:val="single"/>
        </w:rPr>
        <w:t xml:space="preserve">   </w:t>
      </w:r>
      <w:r>
        <w:rPr>
          <w:color w:val="000000"/>
          <w:highlight w:val="none"/>
        </w:rPr>
        <w:t xml:space="preserve">人，营业收入为</w:t>
      </w:r>
      <w:r>
        <w:rPr>
          <w:color w:val="000000"/>
          <w:highlight w:val="none"/>
          <w:u w:val="single"/>
        </w:rPr>
        <w:t xml:space="preserve">   </w:t>
      </w:r>
      <w:r>
        <w:rPr>
          <w:color w:val="000000"/>
          <w:highlight w:val="none"/>
        </w:rPr>
        <w:t xml:space="preserve">万元，资产总额为</w:t>
      </w:r>
      <w:r>
        <w:rPr>
          <w:color w:val="000000"/>
          <w:highlight w:val="none"/>
          <w:u w:val="single"/>
        </w:rPr>
        <w:t xml:space="preserve">   </w:t>
      </w:r>
      <w:r>
        <w:rPr>
          <w:color w:val="000000"/>
          <w:highlight w:val="none"/>
        </w:rPr>
        <w:t xml:space="preserve">万元</w:t>
      </w:r>
      <w:r>
        <w:rPr>
          <w:rFonts w:hint="eastAsia"/>
          <w:color w:val="000000"/>
          <w:highlight w:val="none"/>
        </w:rPr>
        <w:t xml:space="preserve">，</w:t>
      </w:r>
      <w:r>
        <w:rPr>
          <w:color w:val="000000"/>
          <w:highlight w:val="none"/>
        </w:rPr>
        <w:t xml:space="preserve">属于</w:t>
      </w:r>
      <w:r>
        <w:rPr>
          <w:i/>
          <w:iCs/>
          <w:color w:val="000000"/>
          <w:highlight w:val="none"/>
          <w:u w:val="single"/>
        </w:rPr>
        <w:t xml:space="preserve">（中型企业、小 型企业、微型企业）</w:t>
      </w:r>
      <w:r>
        <w:rPr>
          <w:color w:val="000000"/>
          <w:highlight w:val="none"/>
        </w:rPr>
        <w:t xml:space="preserve">；</w:t>
      </w:r>
      <w:r>
        <w:rPr>
          <w:color w:val="000000"/>
          <w:highlight w:val="none"/>
        </w:rPr>
      </w:r>
      <w:r/>
    </w:p>
    <w:p>
      <w:pPr>
        <w:pStyle w:val="947"/>
        <w:ind w:firstLine="359"/>
        <w:spacing w:line="360" w:lineRule="auto"/>
        <w:rPr>
          <w:color w:val="000000"/>
          <w:highlight w:val="none"/>
        </w:rPr>
      </w:pPr>
      <w:r>
        <w:rPr>
          <w:rFonts w:hint="eastAsia"/>
          <w:color w:val="000000"/>
          <w:highlight w:val="none"/>
        </w:rPr>
        <w:t xml:space="preserve">……</w:t>
      </w:r>
      <w:r>
        <w:rPr>
          <w:color w:val="000000"/>
          <w:highlight w:val="none"/>
        </w:rPr>
      </w:r>
      <w:r/>
    </w:p>
    <w:p>
      <w:pPr>
        <w:pStyle w:val="1403"/>
        <w:ind w:firstLine="359"/>
        <w:spacing w:line="360" w:lineRule="auto"/>
        <w:rPr>
          <w:rFonts w:hAnsi="宋体" w:eastAsia="宋体"/>
          <w:color w:val="000000"/>
          <w:sz w:val="21"/>
          <w:szCs w:val="21"/>
          <w:highlight w:val="none"/>
        </w:rPr>
      </w:pPr>
      <w:r>
        <w:rPr>
          <w:rFonts w:hAnsi="宋体" w:eastAsia="宋体"/>
          <w:color w:val="000000"/>
          <w:sz w:val="21"/>
          <w:szCs w:val="21"/>
          <w:highlight w:val="none"/>
        </w:rPr>
        <w:t xml:space="preserve">以上企业，不属于大企业的分支机构，不存在控股股东为大企业的情形，也不存在与大企业的负责人为同一人的情形。</w:t>
      </w:r>
      <w:r>
        <w:rPr>
          <w:rFonts w:hAnsi="宋体" w:eastAsia="宋体"/>
          <w:color w:val="000000"/>
          <w:sz w:val="21"/>
          <w:szCs w:val="21"/>
          <w:highlight w:val="none"/>
        </w:rPr>
      </w:r>
      <w:r/>
    </w:p>
    <w:p>
      <w:pPr>
        <w:pStyle w:val="947"/>
        <w:ind w:firstLine="359"/>
        <w:jc w:val="left"/>
        <w:spacing w:before="100" w:beforeAutospacing="1" w:after="100" w:afterAutospacing="1" w:line="360" w:lineRule="auto"/>
        <w:shd w:val="clear" w:color="auto" w:fill="ffffff"/>
        <w:widowControl/>
        <w:rPr>
          <w:rFonts w:ascii="Arial" w:hAnsi="Arial" w:cs="Arial"/>
          <w:color w:val="000000"/>
          <w:szCs w:val="21"/>
          <w:highlight w:val="none"/>
        </w:rPr>
      </w:pPr>
      <w:r>
        <w:rPr>
          <w:rFonts w:hAnsi="宋体"/>
          <w:color w:val="000000"/>
          <w:szCs w:val="21"/>
          <w:highlight w:val="none"/>
        </w:rPr>
        <w:t xml:space="preserve">本企业对上述声明内容的真实性负责。如有虚假，将依法承担相应责任</w:t>
      </w:r>
      <w:r>
        <w:rPr>
          <w:rFonts w:hint="eastAsia" w:ascii="宋体" w:hAnsi="宋体" w:cs="Arial"/>
          <w:color w:val="000000"/>
          <w:szCs w:val="21"/>
          <w:highlight w:val="none"/>
        </w:rPr>
        <w:t xml:space="preserve">。</w:t>
      </w:r>
      <w:r>
        <w:rPr>
          <w:rFonts w:ascii="Arial" w:hAnsi="Arial" w:cs="Arial"/>
          <w:color w:val="000000"/>
          <w:szCs w:val="21"/>
          <w:highlight w:val="none"/>
        </w:rPr>
      </w:r>
      <w:r/>
    </w:p>
    <w:p>
      <w:pPr>
        <w:pStyle w:val="947"/>
        <w:ind w:firstLine="359"/>
        <w:jc w:val="left"/>
        <w:spacing w:before="100" w:beforeAutospacing="1" w:after="100" w:afterAutospacing="1" w:line="360" w:lineRule="auto"/>
        <w:shd w:val="clear" w:color="auto" w:fill="ffffff"/>
        <w:widowControl/>
        <w:rPr>
          <w:rFonts w:ascii="Arial" w:hAnsi="Arial" w:cs="Arial"/>
          <w:color w:val="000000"/>
          <w:szCs w:val="21"/>
          <w:highlight w:val="none"/>
        </w:rPr>
      </w:pPr>
      <w:r>
        <w:rPr>
          <w:rFonts w:hint="eastAsia" w:ascii="宋体" w:hAnsi="宋体" w:cs="Arial"/>
          <w:color w:val="000000"/>
          <w:szCs w:val="21"/>
          <w:highlight w:val="none"/>
        </w:rPr>
        <w:t xml:space="preserve"> </w:t>
      </w:r>
      <w:r>
        <w:rPr>
          <w:rFonts w:ascii="Arial" w:hAnsi="Arial" w:cs="Arial"/>
          <w:color w:val="000000"/>
          <w:szCs w:val="21"/>
          <w:highlight w:val="none"/>
        </w:rPr>
      </w:r>
      <w:r/>
    </w:p>
    <w:p>
      <w:pPr>
        <w:pStyle w:val="947"/>
        <w:ind w:firstLine="359"/>
        <w:jc w:val="right"/>
        <w:spacing w:before="100" w:beforeAutospacing="1" w:after="100" w:afterAutospacing="1" w:line="360" w:lineRule="auto"/>
        <w:shd w:val="clear" w:color="auto" w:fill="ffffff"/>
        <w:widowControl/>
        <w:rPr>
          <w:rFonts w:ascii="Arial" w:hAnsi="Arial" w:cs="Arial"/>
          <w:color w:val="000000"/>
          <w:szCs w:val="21"/>
          <w:highlight w:val="none"/>
        </w:rPr>
      </w:pPr>
      <w:r>
        <w:rPr>
          <w:rFonts w:hint="eastAsia" w:ascii="宋体" w:hAnsi="宋体" w:cs="Arial"/>
          <w:color w:val="000000"/>
          <w:szCs w:val="21"/>
          <w:highlight w:val="none"/>
        </w:rPr>
        <w:t xml:space="preserve">企业名称（盖章）：</w:t>
      </w:r>
      <w:r>
        <w:rPr>
          <w:rFonts w:ascii="Arial" w:hAnsi="Arial" w:cs="Arial"/>
          <w:color w:val="000000"/>
          <w:szCs w:val="21"/>
          <w:highlight w:val="none"/>
        </w:rPr>
      </w:r>
      <w:r/>
    </w:p>
    <w:p>
      <w:pPr>
        <w:pStyle w:val="947"/>
        <w:ind w:firstLine="359"/>
        <w:jc w:val="right"/>
        <w:spacing w:before="100" w:beforeAutospacing="1" w:after="100" w:afterAutospacing="1"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日 期：</w:t>
      </w:r>
      <w:r>
        <w:rPr>
          <w:rFonts w:ascii="宋体" w:hAnsi="宋体" w:cs="Arial"/>
          <w:color w:val="000000"/>
          <w:szCs w:val="21"/>
          <w:highlight w:val="none"/>
        </w:rPr>
      </w:r>
      <w:r/>
    </w:p>
    <w:p>
      <w:pPr>
        <w:pStyle w:val="947"/>
        <w:ind w:firstLine="361"/>
        <w:spacing w:line="360" w:lineRule="auto"/>
        <w:rPr>
          <w:rFonts w:ascii="宋体" w:hAnsi="宋体" w:cs="宋体"/>
          <w:b/>
          <w:bCs/>
          <w:color w:val="000000"/>
          <w:highlight w:val="none"/>
        </w:rPr>
      </w:pPr>
      <w:r>
        <w:rPr>
          <w:rFonts w:hint="eastAsia" w:ascii="宋体" w:hAnsi="宋体" w:cs="宋体"/>
          <w:b/>
          <w:bCs/>
          <w:color w:val="000000"/>
          <w:highlight w:val="none"/>
        </w:rPr>
        <w:t xml:space="preserve">注：</w:t>
      </w:r>
      <w:r>
        <w:rPr>
          <w:rFonts w:ascii="宋体" w:hAnsi="宋体" w:cs="宋体"/>
          <w:b/>
          <w:bCs/>
          <w:color w:val="000000"/>
          <w:highlight w:val="none"/>
        </w:rPr>
      </w:r>
      <w:r/>
    </w:p>
    <w:p>
      <w:pPr>
        <w:pStyle w:val="947"/>
        <w:ind w:firstLine="361"/>
        <w:spacing w:line="360" w:lineRule="auto"/>
        <w:rPr>
          <w:rFonts w:ascii="宋体" w:hAnsi="宋体" w:cs="宋体"/>
          <w:b/>
          <w:bCs/>
          <w:color w:val="000000"/>
          <w:highlight w:val="none"/>
        </w:rPr>
      </w:pPr>
      <w:r>
        <w:rPr>
          <w:rFonts w:hint="eastAsia" w:ascii="宋体" w:hAnsi="宋体" w:cs="宋体"/>
          <w:b/>
          <w:bCs/>
          <w:color w:val="000000"/>
          <w:highlight w:val="none"/>
        </w:rPr>
        <w:t xml:space="preserve">1、投标人中标后，如有申明的，务必将中小企业声明函（加盖公章的电子件）于1个工作日内发至286268953@qq.com邮箱，联系电话：0512-50369351，以免影响中标公告发布；</w:t>
      </w:r>
      <w:r>
        <w:rPr>
          <w:rFonts w:ascii="宋体" w:hAnsi="宋体" w:cs="宋体"/>
          <w:b/>
          <w:bCs/>
          <w:color w:val="000000"/>
          <w:highlight w:val="none"/>
        </w:rPr>
      </w:r>
      <w:r/>
    </w:p>
    <w:p>
      <w:pPr>
        <w:pStyle w:val="947"/>
        <w:ind w:firstLine="361"/>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2、从业人员、营业收入、资产总额填报上一年度数据，无上一年度数据的新成立企业可不填报；</w:t>
      </w:r>
      <w:r>
        <w:rPr>
          <w:rFonts w:hint="eastAsia" w:ascii="宋体" w:hAnsi="宋体" w:cs="宋体"/>
          <w:b/>
          <w:bCs/>
          <w:color w:val="000000"/>
          <w:highlight w:val="none"/>
        </w:rPr>
      </w:r>
      <w:r/>
    </w:p>
    <w:p>
      <w:pPr>
        <w:pStyle w:val="947"/>
        <w:ind w:firstLine="361"/>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3、本项目服务所属行业为其他未列明行业。</w:t>
      </w:r>
      <w:r>
        <w:rPr>
          <w:rFonts w:hint="eastAsia" w:ascii="宋体" w:hAnsi="宋体" w:cs="宋体"/>
          <w:b/>
          <w:bCs/>
          <w:color w:val="000000"/>
          <w:highlight w:val="none"/>
        </w:rPr>
      </w:r>
      <w:r/>
    </w:p>
    <w:p>
      <w:pPr>
        <w:pStyle w:val="947"/>
        <w:ind w:firstLine="361"/>
        <w:spacing w:line="360" w:lineRule="auto"/>
        <w:rPr>
          <w:rFonts w:ascii="宋体" w:hAnsi="宋体" w:cs="宋体"/>
          <w:b/>
          <w:bCs/>
          <w:color w:val="000000"/>
          <w:highlight w:val="none"/>
        </w:rPr>
      </w:pPr>
      <w:r>
        <w:rPr>
          <w:rFonts w:ascii="宋体" w:hAnsi="宋体" w:cs="宋体"/>
          <w:b/>
          <w:bCs/>
          <w:color w:val="000000"/>
          <w:highlight w:val="none"/>
        </w:rPr>
      </w:r>
      <w:r/>
    </w:p>
    <w:p>
      <w:pPr>
        <w:pStyle w:val="947"/>
        <w:ind w:firstLine="361"/>
        <w:jc w:val="center"/>
        <w:spacing w:line="360" w:lineRule="auto"/>
        <w:rPr>
          <w:rFonts w:ascii="宋体" w:hAnsi="宋体" w:cs="宋体"/>
          <w:b/>
          <w:color w:val="000000"/>
          <w:sz w:val="24"/>
          <w:highlight w:val="none"/>
        </w:rPr>
      </w:pPr>
      <w:r>
        <w:rPr>
          <w:rFonts w:hint="eastAsia" w:ascii="宋体" w:hAnsi="宋体" w:cs="宋体"/>
          <w:b/>
          <w:bCs/>
          <w:color w:val="000000"/>
          <w:highlight w:val="none"/>
        </w:rPr>
        <w:br w:type="page" w:clear="all"/>
      </w:r>
      <w:r>
        <w:rPr>
          <w:rFonts w:hint="eastAsia" w:ascii="宋体" w:hAnsi="宋体" w:cs="宋体"/>
          <w:b/>
          <w:color w:val="000000"/>
          <w:sz w:val="24"/>
          <w:highlight w:val="none"/>
        </w:rPr>
        <w:t xml:space="preserve">《中小企业划型标准规定》（工信部联企业【2011】300号）</w:t>
      </w:r>
      <w:r>
        <w:rPr>
          <w:rFonts w:ascii="宋体" w:hAnsi="宋体" w:cs="宋体"/>
          <w:b/>
          <w:color w:val="000000"/>
          <w:sz w:val="24"/>
          <w:highlight w:val="none"/>
        </w:rPr>
      </w:r>
      <w:r/>
    </w:p>
    <w:p>
      <w:pPr>
        <w:pStyle w:val="1404"/>
        <w:ind w:firstLine="426"/>
        <w:spacing w:before="0" w:beforeAutospacing="0" w:after="480" w:afterAutospacing="0" w:line="360" w:lineRule="auto"/>
        <w:rPr>
          <w:rFonts w:cs="Segoe UI"/>
          <w:b/>
          <w:color w:val="000000"/>
          <w:sz w:val="21"/>
          <w:szCs w:val="21"/>
          <w:highlight w:val="none"/>
        </w:rPr>
      </w:pPr>
      <w:r>
        <w:rPr>
          <w:rFonts w:cs="Segoe UI"/>
          <w:b/>
          <w:color w:val="000000"/>
          <w:sz w:val="21"/>
          <w:szCs w:val="21"/>
          <w:highlight w:val="none"/>
        </w:rPr>
        <w:t xml:space="preserve">各行业划型标准：</w:t>
      </w:r>
      <w:r>
        <w:rPr>
          <w:rFonts w:cs="Segoe UI"/>
          <w:b/>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cs="Segoe UI"/>
          <w:color w:val="000000"/>
          <w:sz w:val="21"/>
          <w:szCs w:val="21"/>
          <w:highlight w:val="none"/>
        </w:rPr>
      </w:r>
      <w:r/>
    </w:p>
    <w:p>
      <w:pPr>
        <w:pStyle w:val="1404"/>
        <w:ind w:firstLine="424"/>
        <w:spacing w:before="0" w:beforeAutospacing="0" w:after="480" w:afterAutospacing="0" w:line="360" w:lineRule="auto"/>
        <w:rPr>
          <w:rFonts w:cs="Segoe UI"/>
          <w:color w:val="000000"/>
          <w:sz w:val="21"/>
          <w:szCs w:val="21"/>
          <w:highlight w:val="none"/>
        </w:rPr>
      </w:pPr>
      <w:r>
        <w:rPr>
          <w:rFonts w:cs="Segoe UI"/>
          <w:color w:val="000000"/>
          <w:sz w:val="21"/>
          <w:szCs w:val="21"/>
          <w:highlight w:val="none"/>
        </w:rPr>
      </w:r>
      <w:r/>
    </w:p>
    <w:p>
      <w:pPr>
        <w:pStyle w:val="1236"/>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6.2残疾人福利性单位声明函</w:t>
      </w:r>
      <w:r>
        <w:rPr>
          <w:rFonts w:hint="eastAsia" w:ascii="宋体" w:hAnsi="宋体"/>
          <w:b/>
          <w:bCs/>
          <w:color w:val="000000"/>
          <w:sz w:val="28"/>
          <w:szCs w:val="28"/>
          <w:highlight w:val="none"/>
        </w:rPr>
      </w:r>
      <w:r/>
    </w:p>
    <w:p>
      <w:pPr>
        <w:pStyle w:val="1167"/>
        <w:ind w:firstLine="425"/>
        <w:jc w:val="left"/>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124"/>
        <w:ind w:firstLine="36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highlight w:val="none"/>
          <w:u w:val="single"/>
        </w:rPr>
        <w:t xml:space="preserve">_       __</w:t>
      </w:r>
      <w:r>
        <w:rPr>
          <w:rFonts w:hAnsi="宋体" w:eastAsia="宋体"/>
          <w:color w:val="000000"/>
          <w:sz w:val="21"/>
          <w:szCs w:val="21"/>
          <w:highlight w:val="none"/>
        </w:rPr>
        <w:t xml:space="preserve">_单位的___</w:t>
      </w:r>
      <w:r>
        <w:rPr>
          <w:rFonts w:hAnsi="宋体" w:eastAsia="宋体"/>
          <w:color w:val="000000"/>
          <w:sz w:val="21"/>
          <w:szCs w:val="21"/>
          <w:highlight w:val="none"/>
          <w:u w:val="single"/>
        </w:rPr>
        <w:t xml:space="preserve">_      _</w:t>
      </w:r>
      <w:r>
        <w:rPr>
          <w:rFonts w:hAnsi="宋体" w:eastAsia="宋体"/>
          <w:color w:val="000000"/>
          <w:sz w:val="21"/>
          <w:szCs w:val="21"/>
          <w:highlight w:val="none"/>
        </w:rPr>
        <w:t xml:space="preserve">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1167"/>
        <w:ind w:firstLine="36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本单位对上述声明的真实性负责。如有虚假，将依法承担相应责任。</w:t>
      </w:r>
      <w:r>
        <w:rPr>
          <w:rFonts w:hAnsi="宋体" w:eastAsia="宋体"/>
          <w:color w:val="000000"/>
          <w:sz w:val="21"/>
          <w:szCs w:val="21"/>
          <w:highlight w:val="none"/>
        </w:rPr>
      </w:r>
      <w:r/>
    </w:p>
    <w:p>
      <w:pPr>
        <w:pStyle w:val="1167"/>
        <w:ind w:firstLine="425"/>
        <w:jc w:val="left"/>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167"/>
        <w:ind w:firstLine="425"/>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投标人：（单位盖章）</w:t>
      </w:r>
      <w:r>
        <w:rPr>
          <w:rFonts w:hAnsi="宋体" w:eastAsia="宋体"/>
          <w:color w:val="000000"/>
          <w:sz w:val="21"/>
          <w:szCs w:val="21"/>
          <w:highlight w:val="none"/>
        </w:rPr>
      </w:r>
      <w:r/>
    </w:p>
    <w:p>
      <w:pPr>
        <w:pStyle w:val="1167"/>
        <w:ind w:firstLine="425"/>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日期：        年     月     日</w:t>
      </w:r>
      <w:r>
        <w:rPr>
          <w:rFonts w:hAnsi="宋体" w:eastAsia="宋体"/>
          <w:color w:val="000000"/>
          <w:sz w:val="21"/>
          <w:szCs w:val="21"/>
          <w:highlight w:val="none"/>
        </w:rPr>
      </w:r>
      <w:r/>
    </w:p>
    <w:p>
      <w:pPr>
        <w:pStyle w:val="1167"/>
        <w:ind w:firstLine="425"/>
        <w:jc w:val="right"/>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947"/>
        <w:ind w:firstLine="361"/>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注：投标人如为残疾人福利性单位，中标后，请将残疾人福利性单位声明函（加盖公章的电子件）于1个工作日内发至286268953@qq.com邮箱，联系电话：0512-50369351，以免影响中标公告发布。</w:t>
      </w:r>
      <w:r>
        <w:rPr>
          <w:rFonts w:hint="eastAsia" w:ascii="宋体" w:hAnsi="宋体" w:cs="宋体"/>
          <w:b/>
          <w:bCs/>
          <w:color w:val="000000"/>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6.3监狱企业证明文件</w:t>
      </w:r>
      <w:r>
        <w:rPr>
          <w:rFonts w:hint="eastAsia" w:ascii="宋体" w:hAnsi="宋体"/>
          <w:b/>
          <w:bCs/>
          <w:color w:val="000000"/>
          <w:sz w:val="28"/>
          <w:szCs w:val="28"/>
          <w:highlight w:val="none"/>
        </w:rPr>
      </w:r>
      <w:r/>
    </w:p>
    <w:p>
      <w:pPr>
        <w:pStyle w:val="1046"/>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1046"/>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1046"/>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1046"/>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1046"/>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1046"/>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1046"/>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88"/>
        <w:ind w:left="1260"/>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88"/>
        <w:ind w:left="1260"/>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9"/>
        <w:spacing w:before="480" w:after="240"/>
        <w:rPr>
          <w:rFonts w:hint="eastAsia"/>
          <w:color w:val="000000"/>
          <w:highlight w:val="none"/>
          <w:shd w:val="clear" w:color="auto" w:fill="ffffff"/>
        </w:rPr>
      </w:pPr>
      <w:r>
        <w:rPr>
          <w:rFonts w:hint="eastAsia"/>
          <w:color w:val="000000"/>
          <w:highlight w:val="none"/>
          <w:shd w:val="clear" w:color="auto" w:fill="ffffff"/>
        </w:rPr>
        <w:t xml:space="preserve">7、特定资格条件的证明材料</w:t>
      </w:r>
      <w:r>
        <w:rPr>
          <w:rFonts w:hint="eastAsia"/>
          <w:color w:val="000000"/>
          <w:highlight w:val="none"/>
          <w:shd w:val="clear" w:color="auto" w:fill="ffffff"/>
        </w:rPr>
      </w:r>
      <w:r/>
    </w:p>
    <w:p>
      <w:pPr>
        <w:pStyle w:val="947"/>
        <w:ind w:firstLine="420"/>
        <w:spacing w:line="360" w:lineRule="auto"/>
        <w:rPr>
          <w:iCs/>
          <w:color w:val="000000"/>
          <w:highlight w:val="none"/>
        </w:rPr>
      </w:pPr>
      <w:r>
        <w:rPr>
          <w:rFonts w:hint="eastAsia"/>
          <w:iCs/>
          <w:color w:val="000000"/>
          <w:highlight w:val="none"/>
        </w:rPr>
        <w:t xml:space="preserve">如有特定资格条件，则必须提供相应证明材料，否则将被认定为资格审查不合格。</w:t>
      </w:r>
      <w:r>
        <w:rPr>
          <w:iCs/>
          <w:color w:val="000000"/>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1046"/>
        <w:rPr>
          <w:rFonts w:ascii="Tahoma" w:hAnsi="Tahoma"/>
          <w:color w:val="000000"/>
          <w:sz w:val="24"/>
          <w:highlight w:val="none"/>
        </w:rPr>
      </w:pPr>
      <w:r>
        <w:rPr>
          <w:rFonts w:ascii="Tahoma" w:hAnsi="Tahoma"/>
          <w:color w:val="000000"/>
          <w:sz w:val="24"/>
          <w:highlight w:val="none"/>
        </w:rPr>
      </w:r>
      <w:r/>
    </w:p>
    <w:p>
      <w:pPr>
        <w:pStyle w:val="947"/>
        <w:rPr>
          <w:rFonts w:ascii="Tahoma" w:hAnsi="Tahoma"/>
          <w:color w:val="000000"/>
          <w:sz w:val="24"/>
          <w:highlight w:val="none"/>
        </w:rPr>
      </w:pPr>
      <w:r>
        <w:rPr>
          <w:rFonts w:ascii="Tahoma" w:hAnsi="Tahoma"/>
          <w:color w:val="000000"/>
          <w:sz w:val="24"/>
          <w:highlight w:val="none"/>
        </w:rPr>
      </w:r>
      <w:r/>
    </w:p>
    <w:p>
      <w:pPr>
        <w:pStyle w:val="1046"/>
        <w:rPr>
          <w:color w:val="000000"/>
          <w:highlight w:val="none"/>
        </w:rPr>
      </w:pPr>
      <w:r>
        <w:rPr>
          <w:color w:val="000000"/>
          <w:highlight w:val="none"/>
        </w:rPr>
      </w:r>
      <w:r/>
    </w:p>
    <w:p>
      <w:pPr>
        <w:pStyle w:val="949"/>
        <w:spacing w:before="480" w:after="240"/>
        <w:rPr>
          <w:rFonts w:hint="eastAsia"/>
          <w:color w:val="000000"/>
          <w:highlight w:val="none"/>
          <w:shd w:val="clear" w:color="auto" w:fill="ffffff"/>
        </w:rPr>
      </w:pPr>
      <w:r>
        <w:rPr>
          <w:rFonts w:hint="eastAsia"/>
          <w:color w:val="000000"/>
          <w:highlight w:val="none"/>
          <w:shd w:val="clear" w:color="auto" w:fill="ffffff"/>
        </w:rPr>
        <w:t xml:space="preserve">8、</w:t>
      </w:r>
      <w:bookmarkStart w:id="20" w:name="_Ref79499332"/>
      <w:r/>
      <w:bookmarkStart w:id="21" w:name="法定代表人授权委托书"/>
      <w:r/>
      <w:bookmarkStart w:id="22" w:name="_Ref65584695"/>
      <w:r>
        <w:rPr>
          <w:rFonts w:hint="eastAsia"/>
          <w:color w:val="000000"/>
          <w:highlight w:val="none"/>
          <w:shd w:val="clear" w:color="auto" w:fill="ffffff"/>
        </w:rPr>
        <w:t xml:space="preserve">法定代表人授权委托书</w:t>
      </w:r>
      <w:bookmarkEnd w:id="20"/>
      <w:r/>
      <w:bookmarkEnd w:id="21"/>
      <w:r/>
      <w:bookmarkEnd w:id="22"/>
      <w:r>
        <w:rPr>
          <w:rFonts w:hint="eastAsia"/>
          <w:color w:val="000000"/>
          <w:highlight w:val="none"/>
          <w:shd w:val="clear" w:color="auto" w:fill="ffffff"/>
        </w:rPr>
        <w:t xml:space="preserve">（如有）</w:t>
      </w:r>
      <w:r>
        <w:rPr>
          <w:rFonts w:hint="eastAsia"/>
          <w:color w:val="000000"/>
          <w:highlight w:val="none"/>
          <w:shd w:val="clear" w:color="auto" w:fill="ffffff"/>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法定代表人授权委托书</w:t>
      </w:r>
      <w:r>
        <w:rPr>
          <w:rFonts w:hint="eastAsia" w:ascii="宋体" w:hAnsi="宋体"/>
          <w:b/>
          <w:bCs/>
          <w:color w:val="000000"/>
          <w:sz w:val="28"/>
          <w:szCs w:val="28"/>
          <w:highlight w:val="none"/>
        </w:rPr>
      </w:r>
      <w:r/>
    </w:p>
    <w:p>
      <w:pPr>
        <w:pStyle w:val="947"/>
        <w:spacing w:line="360" w:lineRule="auto"/>
        <w:rPr>
          <w:rFonts w:ascii="宋体" w:hAnsi="宋体"/>
          <w:color w:val="000000"/>
          <w:szCs w:val="21"/>
          <w:highlight w:val="none"/>
        </w:rPr>
      </w:pPr>
      <w:r>
        <w:rPr>
          <w:rFonts w:hint="eastAsia" w:ascii="宋体" w:hAnsi="宋体" w:cs="宋体"/>
          <w:bCs/>
          <w:color w:val="000000"/>
          <w:szCs w:val="21"/>
          <w:highlight w:val="none"/>
        </w:rPr>
        <w:t xml:space="preserve">苏州正信工程造价咨询事务所有限责任公司</w:t>
      </w:r>
      <w:r>
        <w:rPr>
          <w:rFonts w:ascii="宋体" w:hAnsi="宋体"/>
          <w:color w:val="000000"/>
          <w:szCs w:val="21"/>
          <w:highlight w:val="none"/>
        </w:rPr>
        <w:t xml:space="preserve">：</w:t>
      </w:r>
      <w:r>
        <w:rPr>
          <w:rFonts w:ascii="宋体" w:hAnsi="宋体"/>
          <w:color w:val="000000"/>
          <w:szCs w:val="21"/>
          <w:highlight w:val="none"/>
        </w:rPr>
      </w:r>
      <w:r/>
    </w:p>
    <w:p>
      <w:pPr>
        <w:pStyle w:val="947"/>
        <w:ind w:firstLine="420"/>
        <w:spacing w:line="360" w:lineRule="auto"/>
        <w:rPr>
          <w:rFonts w:ascii="宋体" w:hAnsi="宋体"/>
          <w:color w:val="000000"/>
          <w:szCs w:val="21"/>
          <w:highlight w:val="none"/>
        </w:rPr>
      </w:pPr>
      <w:r>
        <w:rPr>
          <w:rFonts w:ascii="宋体" w:hAnsi="宋体"/>
          <w:color w:val="000000"/>
          <w:szCs w:val="21"/>
          <w:highlight w:val="none"/>
        </w:rPr>
        <w:t xml:space="preserve">本授权委托书声明：我</w:t>
      </w:r>
      <w:r>
        <w:rPr>
          <w:rFonts w:ascii="宋体" w:hAnsi="宋体"/>
          <w:i/>
          <w:iCs/>
          <w:color w:val="000000"/>
          <w:highlight w:val="none"/>
          <w:u w:val="single"/>
        </w:rPr>
        <w:t xml:space="preserve">（法定代表人姓名）</w:t>
      </w:r>
      <w:r>
        <w:rPr>
          <w:rFonts w:ascii="宋体" w:hAnsi="宋体"/>
          <w:color w:val="000000"/>
          <w:szCs w:val="21"/>
          <w:highlight w:val="none"/>
        </w:rPr>
        <w:t xml:space="preserve">系</w:t>
      </w:r>
      <w:r>
        <w:rPr>
          <w:rFonts w:ascii="宋体" w:hAnsi="宋体"/>
          <w:i/>
          <w:iCs/>
          <w:color w:val="000000"/>
          <w:highlight w:val="none"/>
          <w:u w:val="single"/>
        </w:rPr>
        <w:t xml:space="preserve">（企业名称）</w:t>
      </w:r>
      <w:r>
        <w:rPr>
          <w:rFonts w:ascii="宋体" w:hAnsi="宋体"/>
          <w:color w:val="000000"/>
          <w:szCs w:val="21"/>
          <w:highlight w:val="none"/>
        </w:rPr>
        <w:t xml:space="preserve">的法定代表人，现授权委托</w:t>
      </w:r>
      <w:r>
        <w:rPr>
          <w:rFonts w:ascii="宋体" w:hAnsi="宋体"/>
          <w:i/>
          <w:iCs/>
          <w:color w:val="000000"/>
          <w:highlight w:val="none"/>
          <w:u w:val="single"/>
        </w:rPr>
        <w:t xml:space="preserve">（代理人姓名）</w:t>
      </w:r>
      <w:r>
        <w:rPr>
          <w:rFonts w:ascii="宋体" w:hAnsi="宋体"/>
          <w:color w:val="000000"/>
          <w:szCs w:val="21"/>
          <w:highlight w:val="none"/>
        </w:rPr>
        <w:t xml:space="preserve">代表我公司参加贵</w:t>
      </w:r>
      <w:r>
        <w:rPr>
          <w:rFonts w:hint="eastAsia" w:ascii="宋体" w:hAnsi="宋体"/>
          <w:color w:val="000000"/>
          <w:szCs w:val="21"/>
          <w:highlight w:val="none"/>
        </w:rPr>
        <w:t xml:space="preserve">公司</w:t>
      </w:r>
      <w:r>
        <w:rPr>
          <w:rFonts w:ascii="宋体" w:hAnsi="宋体"/>
          <w:color w:val="000000"/>
          <w:szCs w:val="21"/>
          <w:highlight w:val="none"/>
        </w:rPr>
        <w:t xml:space="preserve">组织实施的项目编号为</w:t>
      </w:r>
      <w:r>
        <w:rPr>
          <w:rFonts w:hint="eastAsia" w:ascii="宋体" w:hAnsi="宋体"/>
          <w:color w:val="000000"/>
          <w:szCs w:val="21"/>
          <w:highlight w:val="none"/>
          <w:u w:val="single"/>
        </w:rPr>
        <w:t xml:space="preserve">             </w:t>
      </w:r>
      <w:r>
        <w:rPr>
          <w:rFonts w:ascii="宋体" w:hAnsi="宋体"/>
          <w:color w:val="000000"/>
          <w:szCs w:val="21"/>
          <w:highlight w:val="none"/>
        </w:rPr>
        <w:t xml:space="preserve">号的采购活动。代理人在开标、澄清、签约等过程中所签署的一切文件和处理与这有关的一切事务，我均予以承认。</w:t>
      </w:r>
      <w:r>
        <w:rPr>
          <w:rFonts w:ascii="宋体" w:hAnsi="宋体"/>
          <w:color w:val="000000"/>
          <w:szCs w:val="21"/>
          <w:highlight w:val="none"/>
        </w:rPr>
      </w:r>
      <w:r/>
    </w:p>
    <w:p>
      <w:pPr>
        <w:pStyle w:val="947"/>
        <w:spacing w:line="360" w:lineRule="auto"/>
        <w:rPr>
          <w:rFonts w:ascii="宋体" w:hAnsi="宋体"/>
          <w:color w:val="000000"/>
          <w:szCs w:val="21"/>
          <w:highlight w:val="none"/>
        </w:rPr>
      </w:pPr>
      <w:r>
        <w:rPr>
          <w:rFonts w:ascii="宋体" w:hAnsi="宋体"/>
          <w:color w:val="000000"/>
          <w:szCs w:val="21"/>
          <w:highlight w:val="none"/>
        </w:rPr>
        <w:t xml:space="preserve">本授权委托书自投标开始至合同履行完毕止。</w:t>
      </w:r>
      <w:r>
        <w:rPr>
          <w:rFonts w:ascii="宋体" w:hAnsi="宋体"/>
          <w:color w:val="000000"/>
          <w:szCs w:val="21"/>
          <w:highlight w:val="none"/>
        </w:rPr>
      </w:r>
      <w:r/>
    </w:p>
    <w:p>
      <w:pPr>
        <w:pStyle w:val="947"/>
        <w:spacing w:line="360" w:lineRule="auto"/>
        <w:rPr>
          <w:rFonts w:ascii="宋体" w:hAnsi="宋体"/>
          <w:color w:val="000000"/>
          <w:szCs w:val="21"/>
          <w:highlight w:val="none"/>
        </w:rPr>
      </w:pPr>
      <w:r>
        <w:rPr>
          <w:rFonts w:ascii="宋体" w:hAnsi="宋体"/>
          <w:color w:val="000000"/>
          <w:szCs w:val="21"/>
          <w:highlight w:val="none"/>
        </w:rPr>
      </w:r>
      <w:r/>
    </w:p>
    <w:p>
      <w:pPr>
        <w:pStyle w:val="947"/>
        <w:spacing w:line="360" w:lineRule="auto"/>
        <w:rPr>
          <w:rFonts w:hint="eastAsia" w:ascii="宋体" w:hAnsi="宋体"/>
          <w:color w:val="000000"/>
          <w:szCs w:val="21"/>
          <w:highlight w:val="none"/>
        </w:rPr>
      </w:pPr>
      <w:r>
        <w:rPr>
          <w:rFonts w:ascii="宋体" w:hAnsi="宋体"/>
          <w:color w:val="000000"/>
          <w:szCs w:val="21"/>
          <w:highlight w:val="none"/>
        </w:rPr>
        <w:t xml:space="preserve">代理人：                                 职务：</w:t>
      </w:r>
      <w:r>
        <w:rPr>
          <w:rFonts w:hint="eastAsia" w:ascii="宋体" w:hAnsi="宋体"/>
          <w:color w:val="000000"/>
          <w:szCs w:val="21"/>
          <w:highlight w:val="none"/>
        </w:rPr>
      </w:r>
      <w:r/>
    </w:p>
    <w:p>
      <w:pPr>
        <w:pStyle w:val="947"/>
        <w:spacing w:line="360" w:lineRule="auto"/>
        <w:rPr>
          <w:rFonts w:hint="eastAsia" w:ascii="宋体" w:hAnsi="宋体"/>
          <w:color w:val="000000"/>
          <w:szCs w:val="21"/>
          <w:highlight w:val="none"/>
        </w:rPr>
      </w:pPr>
      <w:r>
        <w:rPr>
          <w:rFonts w:ascii="宋体" w:hAnsi="宋体"/>
          <w:color w:val="000000"/>
          <w:szCs w:val="21"/>
          <w:highlight w:val="none"/>
        </w:rPr>
        <w:t xml:space="preserve">身份证号码：                             联系电话：</w:t>
      </w:r>
      <w:r>
        <w:rPr>
          <w:rFonts w:hint="eastAsia" w:ascii="宋体" w:hAnsi="宋体"/>
          <w:color w:val="000000"/>
          <w:szCs w:val="21"/>
          <w:highlight w:val="none"/>
        </w:rPr>
      </w:r>
      <w:r/>
    </w:p>
    <w:p>
      <w:pPr>
        <w:pStyle w:val="94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4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47"/>
        <w:spacing w:line="360" w:lineRule="auto"/>
        <w:rPr>
          <w:rFonts w:hint="eastAsia" w:ascii="宋体" w:hAnsi="宋体"/>
          <w:color w:val="000000"/>
          <w:szCs w:val="21"/>
          <w:highlight w:val="none"/>
        </w:rPr>
      </w:pPr>
      <w:r>
        <w:rPr>
          <w:rFonts w:ascii="宋体" w:hAnsi="宋体"/>
          <w:color w:val="000000"/>
          <w:szCs w:val="21"/>
          <w:highlight w:val="none"/>
        </w:rPr>
        <w:t xml:space="preserve">代理人：</w:t>
      </w:r>
      <w:r>
        <w:rPr>
          <w:rFonts w:hAnsi="宋体"/>
          <w:color w:val="000000"/>
          <w:szCs w:val="21"/>
          <w:highlight w:val="none"/>
        </w:rPr>
        <w:t xml:space="preserve">（签字或盖章）</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法定代表人：</w:t>
      </w:r>
      <w:r>
        <w:rPr>
          <w:rFonts w:hAnsi="宋体"/>
          <w:color w:val="000000"/>
          <w:szCs w:val="21"/>
          <w:highlight w:val="none"/>
        </w:rPr>
        <w:t xml:space="preserve">（签字或盖章）</w:t>
      </w:r>
      <w:r>
        <w:rPr>
          <w:rFonts w:hint="eastAsia" w:ascii="宋体" w:hAnsi="宋体"/>
          <w:color w:val="000000"/>
          <w:szCs w:val="21"/>
          <w:highlight w:val="none"/>
        </w:rPr>
      </w:r>
      <w:r/>
    </w:p>
    <w:p>
      <w:pPr>
        <w:pStyle w:val="947"/>
        <w:spacing w:line="360" w:lineRule="auto"/>
        <w:rPr>
          <w:rFonts w:ascii="宋体" w:hAnsi="宋体"/>
          <w:color w:val="000000"/>
          <w:szCs w:val="21"/>
          <w:highlight w:val="none"/>
        </w:rPr>
      </w:pPr>
      <w:r>
        <w:rPr>
          <w:rFonts w:ascii="宋体" w:hAnsi="宋体"/>
          <w:color w:val="000000"/>
          <w:szCs w:val="21"/>
          <w:highlight w:val="none"/>
        </w:rPr>
      </w:r>
      <w:r/>
    </w:p>
    <w:p>
      <w:pPr>
        <w:pStyle w:val="947"/>
        <w:jc w:val="right"/>
        <w:spacing w:line="360" w:lineRule="auto"/>
        <w:rPr>
          <w:rFonts w:ascii="宋体" w:hAnsi="宋体"/>
          <w:color w:val="000000"/>
          <w:highlight w:val="none"/>
        </w:rPr>
      </w:pPr>
      <w:r>
        <w:rPr>
          <w:rFonts w:ascii="宋体" w:hAnsi="宋体"/>
          <w:color w:val="000000"/>
          <w:highlight w:val="none"/>
        </w:rPr>
        <w:t xml:space="preserve">投标人：（加盖公章）</w:t>
      </w: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t xml:space="preserve">日期：</w:t>
      </w:r>
      <w:r>
        <w:rPr>
          <w:rFonts w:hint="eastAsia" w:ascii="宋体" w:hAnsi="宋体"/>
          <w:color w:val="000000"/>
          <w:highlight w:val="none"/>
        </w:rPr>
        <w:t xml:space="preserve">    </w:t>
      </w:r>
      <w:r>
        <w:rPr>
          <w:rFonts w:ascii="宋体" w:hAnsi="宋体"/>
          <w:color w:val="000000"/>
          <w:highlight w:val="none"/>
        </w:rPr>
        <w:t xml:space="preserve">年</w:t>
      </w:r>
      <w:r>
        <w:rPr>
          <w:rFonts w:hint="eastAsia" w:ascii="宋体" w:hAnsi="宋体"/>
          <w:color w:val="000000"/>
          <w:highlight w:val="none"/>
        </w:rPr>
        <w:t xml:space="preserve">   </w:t>
      </w:r>
      <w:r>
        <w:rPr>
          <w:rFonts w:ascii="宋体" w:hAnsi="宋体"/>
          <w:color w:val="000000"/>
          <w:highlight w:val="none"/>
        </w:rPr>
        <w:t xml:space="preserve">月</w:t>
      </w:r>
      <w:r>
        <w:rPr>
          <w:rFonts w:hint="eastAsia" w:ascii="宋体" w:hAnsi="宋体"/>
          <w:color w:val="000000"/>
          <w:highlight w:val="none"/>
        </w:rPr>
        <w:t xml:space="preserve">   </w:t>
      </w:r>
      <w:r>
        <w:rPr>
          <w:rFonts w:ascii="宋体" w:hAnsi="宋体"/>
          <w:color w:val="000000"/>
          <w:highlight w:val="none"/>
        </w:rPr>
        <w:t xml:space="preserve">日</w:t>
      </w: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7"/>
        <w:jc w:val="right"/>
        <w:spacing w:line="360" w:lineRule="auto"/>
        <w:rPr>
          <w:rFonts w:ascii="宋体" w:hAnsi="宋体"/>
          <w:color w:val="000000"/>
          <w:highlight w:val="none"/>
        </w:rPr>
      </w:pPr>
      <w:r>
        <w:rPr>
          <w:rFonts w:ascii="宋体" w:hAnsi="宋体"/>
          <w:color w:val="000000"/>
          <w:highlight w:val="none"/>
        </w:rPr>
      </w:r>
      <w:r/>
    </w:p>
    <w:p>
      <w:pPr>
        <w:pStyle w:val="949"/>
        <w:spacing w:before="480" w:after="240"/>
        <w:rPr>
          <w:rFonts w:hint="eastAsia" w:ascii="黑体" w:hAnsi="黑体"/>
          <w:color w:val="000000"/>
          <w:sz w:val="32"/>
          <w:highlight w:val="none"/>
          <w:u w:val="single"/>
        </w:rPr>
      </w:pPr>
      <w:r>
        <w:rPr>
          <w:rFonts w:hint="eastAsia"/>
          <w:color w:val="000000"/>
          <w:highlight w:val="none"/>
          <w:shd w:val="clear" w:color="auto" w:fill="ffffff"/>
        </w:rPr>
        <w:t xml:space="preserve">9、</w:t>
      </w:r>
      <w:r>
        <w:rPr>
          <w:rFonts w:ascii="黑体" w:hAnsi="黑体"/>
          <w:color w:val="000000"/>
          <w:sz w:val="32"/>
          <w:highlight w:val="none"/>
          <w:u w:val="single"/>
        </w:rPr>
        <w:t xml:space="preserve">偏离表</w:t>
      </w:r>
      <w:r>
        <w:rPr>
          <w:rFonts w:hint="eastAsia" w:ascii="黑体" w:hAnsi="黑体"/>
          <w:color w:val="000000"/>
          <w:sz w:val="32"/>
          <w:highlight w:val="none"/>
          <w:u w:val="single"/>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偏离表（技术要求）</w:t>
      </w:r>
      <w:r>
        <w:rPr>
          <w:rFonts w:hint="eastAsia" w:ascii="宋体" w:hAnsi="宋体"/>
          <w:b/>
          <w:bCs/>
          <w:color w:val="000000"/>
          <w:sz w:val="28"/>
          <w:szCs w:val="28"/>
          <w:highlight w:val="none"/>
        </w:rPr>
      </w:r>
      <w:r/>
    </w:p>
    <w:tbl>
      <w:tblPr>
        <w:tblW w:w="5161" w:type="pct"/>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2"/>
        <w:gridCol w:w="2670"/>
        <w:gridCol w:w="2684"/>
        <w:gridCol w:w="2615"/>
      </w:tblGrid>
      <w:tr>
        <w:trPr>
          <w:trHeight w:val="454"/>
        </w:trPr>
        <w:tc>
          <w:tcPr>
            <w:tcW w:w="1082" w:type="dxa"/>
            <w:vAlign w:val="center"/>
            <w:textDirection w:val="lrTb"/>
            <w:noWrap w:val="false"/>
          </w:tcPr>
          <w:p>
            <w:pPr>
              <w:pStyle w:val="960"/>
              <w:ind w:firstLine="0"/>
              <w:jc w:val="center"/>
              <w:rPr>
                <w:rFonts w:hint="eastAsia" w:ascii="宋体" w:hAnsi="宋体" w:eastAsia="宋体"/>
                <w:b/>
                <w:color w:val="000000"/>
                <w:sz w:val="21"/>
                <w:szCs w:val="21"/>
                <w:highlight w:val="none"/>
              </w:rPr>
            </w:pPr>
            <w:r>
              <w:rPr>
                <w:rFonts w:ascii="宋体" w:hAnsi="宋体" w:eastAsia="宋体"/>
                <w:b/>
                <w:color w:val="000000"/>
                <w:sz w:val="21"/>
                <w:szCs w:val="21"/>
                <w:highlight w:val="none"/>
              </w:rPr>
              <w:t xml:space="preserve">项目</w:t>
            </w:r>
            <w:r>
              <w:rPr>
                <w:rFonts w:hint="eastAsia" w:ascii="宋体" w:hAnsi="宋体" w:eastAsia="宋体"/>
                <w:b/>
                <w:color w:val="000000"/>
                <w:sz w:val="21"/>
                <w:szCs w:val="21"/>
                <w:highlight w:val="none"/>
              </w:rPr>
            </w:r>
            <w:r/>
          </w:p>
        </w:tc>
        <w:tc>
          <w:tcPr>
            <w:tcW w:w="1312" w:type="dxa"/>
            <w:vAlign w:val="center"/>
            <w:textDirection w:val="lrTb"/>
            <w:noWrap w:val="false"/>
          </w:tcPr>
          <w:p>
            <w:pPr>
              <w:pStyle w:val="960"/>
              <w:ind w:firstLine="0"/>
              <w:jc w:val="center"/>
              <w:rPr>
                <w:rFonts w:hint="eastAsia" w:ascii="宋体" w:hAnsi="宋体" w:eastAsia="宋体"/>
                <w:b/>
                <w:color w:val="000000"/>
                <w:sz w:val="21"/>
                <w:szCs w:val="21"/>
                <w:highlight w:val="none"/>
              </w:rPr>
            </w:pPr>
            <w:r>
              <w:rPr>
                <w:rFonts w:ascii="宋体" w:hAnsi="宋体" w:eastAsia="宋体"/>
                <w:b/>
                <w:color w:val="000000"/>
                <w:sz w:val="21"/>
                <w:szCs w:val="21"/>
                <w:highlight w:val="none"/>
              </w:rPr>
              <w:t xml:space="preserve">招标要求</w:t>
            </w:r>
            <w:r>
              <w:rPr>
                <w:rFonts w:hint="eastAsia" w:ascii="宋体" w:hAnsi="宋体" w:eastAsia="宋体"/>
                <w:b/>
                <w:color w:val="000000"/>
                <w:sz w:val="21"/>
                <w:szCs w:val="21"/>
                <w:highlight w:val="none"/>
              </w:rPr>
            </w:r>
            <w:r/>
          </w:p>
        </w:tc>
        <w:tc>
          <w:tcPr>
            <w:tcW w:w="1319" w:type="dxa"/>
            <w:vAlign w:val="center"/>
            <w:textDirection w:val="lrTb"/>
            <w:noWrap w:val="false"/>
          </w:tcPr>
          <w:p>
            <w:pPr>
              <w:pStyle w:val="960"/>
              <w:ind w:firstLine="0"/>
              <w:jc w:val="center"/>
              <w:rPr>
                <w:rFonts w:hint="eastAsia" w:ascii="宋体" w:hAnsi="宋体" w:eastAsia="宋体"/>
                <w:b/>
                <w:color w:val="000000"/>
                <w:sz w:val="21"/>
                <w:szCs w:val="21"/>
                <w:highlight w:val="none"/>
              </w:rPr>
            </w:pPr>
            <w:r>
              <w:rPr>
                <w:rFonts w:ascii="宋体" w:hAnsi="宋体" w:eastAsia="宋体"/>
                <w:b/>
                <w:color w:val="000000"/>
                <w:sz w:val="21"/>
                <w:szCs w:val="21"/>
                <w:highlight w:val="none"/>
              </w:rPr>
              <w:t xml:space="preserve">投标内容</w:t>
            </w:r>
            <w:r>
              <w:rPr>
                <w:rFonts w:hint="eastAsia" w:ascii="宋体" w:hAnsi="宋体" w:eastAsia="宋体"/>
                <w:b/>
                <w:color w:val="000000"/>
                <w:sz w:val="21"/>
                <w:szCs w:val="21"/>
                <w:highlight w:val="none"/>
              </w:rPr>
            </w:r>
            <w:r/>
          </w:p>
        </w:tc>
        <w:tc>
          <w:tcPr>
            <w:tcW w:w="1285" w:type="dxa"/>
            <w:vAlign w:val="center"/>
            <w:textDirection w:val="lrTb"/>
            <w:noWrap w:val="false"/>
          </w:tcPr>
          <w:p>
            <w:pPr>
              <w:pStyle w:val="960"/>
              <w:ind w:firstLine="0"/>
              <w:jc w:val="center"/>
              <w:rPr>
                <w:rFonts w:hint="eastAsia" w:ascii="宋体" w:hAnsi="宋体" w:eastAsia="宋体"/>
                <w:b/>
                <w:color w:val="000000"/>
                <w:sz w:val="21"/>
                <w:szCs w:val="21"/>
                <w:highlight w:val="none"/>
              </w:rPr>
            </w:pPr>
            <w:r>
              <w:rPr>
                <w:rFonts w:ascii="宋体" w:hAnsi="宋体" w:eastAsia="宋体"/>
                <w:b/>
                <w:color w:val="000000"/>
                <w:sz w:val="21"/>
                <w:szCs w:val="21"/>
                <w:highlight w:val="none"/>
              </w:rPr>
              <w:t xml:space="preserve">偏离说明</w:t>
            </w:r>
            <w:r>
              <w:rPr>
                <w:rFonts w:hint="eastAsia" w:ascii="宋体" w:hAnsi="宋体" w:eastAsia="宋体"/>
                <w:b/>
                <w:color w:val="000000"/>
                <w:sz w:val="21"/>
                <w:szCs w:val="21"/>
                <w:highlight w:val="none"/>
              </w:rPr>
            </w:r>
            <w:r/>
          </w:p>
        </w:tc>
      </w:tr>
      <w:tr>
        <w:trPr>
          <w:trHeight w:val="454"/>
        </w:trPr>
        <w:tc>
          <w:tcPr>
            <w:tcW w:w="1082"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t xml:space="preserve">例:</w:t>
            </w:r>
            <w:r>
              <w:rPr>
                <w:rFonts w:hint="eastAsia"/>
                <w:color w:val="000000"/>
                <w:highlight w:val="none"/>
              </w:rPr>
              <w:t xml:space="preserve"> </w:t>
            </w:r>
            <w:r>
              <w:rPr>
                <w:rFonts w:hint="eastAsia" w:ascii="宋体" w:hAnsi="宋体" w:eastAsia="宋体"/>
                <w:i/>
                <w:color w:val="000000"/>
                <w:sz w:val="21"/>
                <w:szCs w:val="21"/>
                <w:highlight w:val="none"/>
              </w:rPr>
              <w:t xml:space="preserve">招标内容</w:t>
            </w:r>
            <w:r>
              <w:rPr>
                <w:rFonts w:hint="eastAsia" w:ascii="宋体" w:hAnsi="宋体" w:eastAsia="宋体"/>
                <w:i/>
                <w:color w:val="000000"/>
                <w:sz w:val="21"/>
                <w:szCs w:val="21"/>
                <w:highlight w:val="none"/>
              </w:rPr>
            </w:r>
            <w:r/>
          </w:p>
        </w:tc>
        <w:tc>
          <w:tcPr>
            <w:tcW w:w="1312"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t xml:space="preserve">详见招标文件相关需求</w:t>
            </w:r>
            <w:r>
              <w:rPr>
                <w:rFonts w:hint="eastAsia" w:ascii="宋体" w:hAnsi="宋体" w:eastAsia="宋体"/>
                <w:i/>
                <w:color w:val="000000"/>
                <w:sz w:val="21"/>
                <w:szCs w:val="21"/>
                <w:highlight w:val="none"/>
              </w:rPr>
            </w:r>
            <w:r/>
          </w:p>
        </w:tc>
        <w:tc>
          <w:tcPr>
            <w:tcW w:w="1319"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t xml:space="preserve">符合招标文件相关需求</w:t>
            </w:r>
            <w:r>
              <w:rPr>
                <w:rFonts w:hint="eastAsia" w:ascii="宋体" w:hAnsi="宋体" w:eastAsia="宋体"/>
                <w:i/>
                <w:color w:val="000000"/>
                <w:sz w:val="21"/>
                <w:szCs w:val="21"/>
                <w:highlight w:val="none"/>
              </w:rPr>
            </w:r>
            <w:r/>
          </w:p>
        </w:tc>
        <w:tc>
          <w:tcPr>
            <w:tcW w:w="1285"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t xml:space="preserve">无偏离</w:t>
            </w:r>
            <w:r>
              <w:rPr>
                <w:rFonts w:hint="eastAsia" w:ascii="宋体" w:hAnsi="宋体" w:eastAsia="宋体"/>
                <w:i/>
                <w:color w:val="000000"/>
                <w:sz w:val="21"/>
                <w:szCs w:val="21"/>
                <w:highlight w:val="none"/>
              </w:rPr>
            </w:r>
            <w:r/>
          </w:p>
        </w:tc>
      </w:tr>
      <w:tr>
        <w:trPr>
          <w:trHeight w:val="454"/>
        </w:trPr>
        <w:tc>
          <w:tcPr>
            <w:tcW w:w="1082"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t xml:space="preserve">服务时间</w:t>
            </w:r>
            <w:r>
              <w:rPr>
                <w:rFonts w:hint="eastAsia" w:ascii="宋体" w:hAnsi="宋体" w:eastAsia="宋体"/>
                <w:i/>
                <w:color w:val="000000"/>
                <w:sz w:val="21"/>
                <w:szCs w:val="21"/>
                <w:highlight w:val="none"/>
              </w:rPr>
            </w:r>
            <w:r/>
          </w:p>
        </w:tc>
        <w:tc>
          <w:tcPr>
            <w:tcW w:w="1312"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319"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85"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54"/>
        </w:trPr>
        <w:tc>
          <w:tcPr>
            <w:tcW w:w="1082"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t xml:space="preserve">人员配置要求</w:t>
            </w:r>
            <w:r>
              <w:rPr>
                <w:rFonts w:hint="eastAsia" w:ascii="宋体" w:hAnsi="宋体" w:eastAsia="宋体"/>
                <w:i/>
                <w:color w:val="000000"/>
                <w:sz w:val="21"/>
                <w:szCs w:val="21"/>
                <w:highlight w:val="none"/>
              </w:rPr>
            </w:r>
            <w:r/>
          </w:p>
        </w:tc>
        <w:tc>
          <w:tcPr>
            <w:tcW w:w="1312"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319"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85"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54"/>
        </w:trPr>
        <w:tc>
          <w:tcPr>
            <w:tcW w:w="1082"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t xml:space="preserve">其他要求</w:t>
            </w:r>
            <w:r>
              <w:rPr>
                <w:rFonts w:hint="eastAsia" w:ascii="宋体" w:hAnsi="宋体" w:eastAsia="宋体"/>
                <w:i/>
                <w:color w:val="000000"/>
                <w:sz w:val="21"/>
                <w:szCs w:val="21"/>
                <w:highlight w:val="none"/>
              </w:rPr>
            </w:r>
            <w:r/>
          </w:p>
        </w:tc>
        <w:tc>
          <w:tcPr>
            <w:tcW w:w="1312"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319"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85"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54"/>
        </w:trPr>
        <w:tc>
          <w:tcPr>
            <w:tcW w:w="1082"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ascii="宋体" w:hAnsi="宋体" w:eastAsia="宋体"/>
                <w:i/>
                <w:color w:val="000000"/>
                <w:sz w:val="21"/>
                <w:szCs w:val="21"/>
                <w:highlight w:val="none"/>
              </w:rPr>
              <w:t xml:space="preserve">…</w:t>
            </w:r>
            <w:r>
              <w:rPr>
                <w:rFonts w:hint="eastAsia" w:ascii="宋体" w:hAnsi="宋体" w:eastAsia="宋体"/>
                <w:i/>
                <w:color w:val="000000"/>
                <w:sz w:val="21"/>
                <w:szCs w:val="21"/>
                <w:highlight w:val="none"/>
              </w:rPr>
            </w:r>
            <w:r/>
          </w:p>
        </w:tc>
        <w:tc>
          <w:tcPr>
            <w:tcW w:w="1312"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319"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85"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454"/>
        </w:trPr>
        <w:tc>
          <w:tcPr>
            <w:tcW w:w="1082"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r>
            <w:r/>
          </w:p>
        </w:tc>
        <w:tc>
          <w:tcPr>
            <w:tcW w:w="1312"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319"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85"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1124"/>
        <w:ind w:left="-210" w:right="-210" w:firstLine="390"/>
        <w:jc w:val="left"/>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rPr>
          <w:rFonts w:hAnsi="宋体" w:eastAsia="宋体" w:cs="宋体"/>
          <w:b/>
          <w:color w:val="000000"/>
          <w:sz w:val="21"/>
          <w:szCs w:val="21"/>
          <w:highlight w:val="none"/>
        </w:rPr>
      </w:r>
      <w:r/>
    </w:p>
    <w:p>
      <w:pPr>
        <w:pStyle w:val="960"/>
        <w:ind w:firstLine="0"/>
        <w:jc w:val="right"/>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int="eastAsia" w:hAnsi="宋体" w:eastAsia="宋体"/>
          <w:color w:val="000000"/>
          <w:sz w:val="21"/>
          <w:szCs w:val="21"/>
          <w:highlight w:val="none"/>
        </w:rPr>
        <w:t xml:space="preserve">公章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947"/>
        <w:jc w:val="right"/>
        <w:spacing w:line="360" w:lineRule="auto"/>
        <w:rPr>
          <w:rFonts w:hint="eastAsia"/>
          <w:color w:val="000000"/>
          <w:szCs w:val="21"/>
          <w:highlight w:val="none"/>
        </w:rPr>
      </w:pPr>
      <w:r>
        <w:rPr>
          <w:rFonts w:hAnsi="宋体"/>
          <w:color w:val="000000"/>
          <w:szCs w:val="21"/>
          <w:highlight w:val="none"/>
        </w:rPr>
        <w:t xml:space="preserve">日期：</w:t>
      </w:r>
      <w:r>
        <w:rPr>
          <w:rFonts w:hint="eastAsia" w:hAnsi="宋体"/>
          <w:color w:val="000000"/>
          <w:szCs w:val="21"/>
          <w:highlight w:val="none"/>
        </w:rPr>
        <w:t xml:space="preserve">      </w:t>
      </w:r>
      <w:r>
        <w:rPr>
          <w:rFonts w:hAnsi="宋体"/>
          <w:color w:val="000000"/>
          <w:szCs w:val="21"/>
          <w:highlight w:val="none"/>
        </w:rPr>
        <w:t xml:space="preserve">年</w:t>
      </w:r>
      <w:r>
        <w:rPr>
          <w:rFonts w:hint="eastAsia" w:hAnsi="宋体"/>
          <w:color w:val="000000"/>
          <w:szCs w:val="21"/>
          <w:highlight w:val="none"/>
        </w:rPr>
        <w:t xml:space="preserve">  </w:t>
      </w:r>
      <w:r>
        <w:rPr>
          <w:rFonts w:hAnsi="宋体"/>
          <w:color w:val="000000"/>
          <w:szCs w:val="21"/>
          <w:highlight w:val="none"/>
        </w:rPr>
        <w:t xml:space="preserve">月</w:t>
      </w:r>
      <w:r>
        <w:rPr>
          <w:rFonts w:hint="eastAsia" w:hAnsi="宋体"/>
          <w:color w:val="000000"/>
          <w:szCs w:val="21"/>
          <w:highlight w:val="none"/>
        </w:rPr>
        <w:t xml:space="preserve">  </w:t>
      </w:r>
      <w:r>
        <w:rPr>
          <w:rFonts w:hAnsi="宋体"/>
          <w:color w:val="000000"/>
          <w:szCs w:val="21"/>
          <w:highlight w:val="none"/>
        </w:rPr>
        <w:t xml:space="preserve">日</w:t>
      </w:r>
      <w:r>
        <w:rPr>
          <w:rFonts w:hint="eastAsia"/>
          <w:color w:val="000000"/>
          <w:szCs w:val="21"/>
          <w:highlight w:val="none"/>
        </w:rPr>
      </w:r>
      <w:r/>
    </w:p>
    <w:p>
      <w:pPr>
        <w:pStyle w:val="960"/>
        <w:ind w:firstLine="0"/>
        <w:jc w:val="right"/>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60"/>
        <w:ind w:firstLine="0"/>
        <w:jc w:val="right"/>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60"/>
        <w:ind w:firstLine="0"/>
        <w:jc w:val="right"/>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偏离表（商务要求）</w:t>
      </w:r>
      <w:r>
        <w:rPr>
          <w:rFonts w:hint="eastAsia" w:ascii="宋体" w:hAnsi="宋体"/>
          <w:b/>
          <w:bCs/>
          <w:color w:val="000000"/>
          <w:sz w:val="28"/>
          <w:szCs w:val="28"/>
          <w:highlight w:val="none"/>
        </w:rPr>
      </w:r>
      <w:r/>
    </w:p>
    <w:tbl>
      <w:tblPr>
        <w:tblW w:w="5163" w:type="pct"/>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0"/>
        <w:gridCol w:w="2672"/>
        <w:gridCol w:w="2672"/>
        <w:gridCol w:w="2631"/>
      </w:tblGrid>
      <w:tr>
        <w:trPr>
          <w:trHeight w:val="454"/>
        </w:trPr>
        <w:tc>
          <w:tcPr>
            <w:tcW w:w="1081" w:type="dxa"/>
            <w:vAlign w:val="center"/>
            <w:textDirection w:val="lrTb"/>
            <w:noWrap w:val="false"/>
          </w:tcPr>
          <w:p>
            <w:pPr>
              <w:pStyle w:val="960"/>
              <w:ind w:firstLine="0"/>
              <w:jc w:val="cente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项目</w:t>
            </w:r>
            <w:r>
              <w:rPr>
                <w:rFonts w:hint="eastAsia" w:ascii="宋体" w:hAnsi="宋体" w:eastAsia="宋体"/>
                <w:b/>
                <w:color w:val="000000"/>
                <w:sz w:val="21"/>
                <w:szCs w:val="21"/>
                <w:highlight w:val="none"/>
              </w:rPr>
            </w:r>
            <w:r/>
          </w:p>
        </w:tc>
        <w:tc>
          <w:tcPr>
            <w:tcW w:w="1313" w:type="dxa"/>
            <w:vAlign w:val="center"/>
            <w:textDirection w:val="lrTb"/>
            <w:noWrap w:val="false"/>
          </w:tcPr>
          <w:p>
            <w:pPr>
              <w:pStyle w:val="960"/>
              <w:ind w:firstLine="0"/>
              <w:jc w:val="cente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招标要求</w:t>
            </w:r>
            <w:r>
              <w:rPr>
                <w:rFonts w:hint="eastAsia" w:ascii="宋体" w:hAnsi="宋体" w:eastAsia="宋体"/>
                <w:b/>
                <w:color w:val="000000"/>
                <w:sz w:val="21"/>
                <w:szCs w:val="21"/>
                <w:highlight w:val="none"/>
              </w:rPr>
            </w:r>
            <w:r/>
          </w:p>
        </w:tc>
        <w:tc>
          <w:tcPr>
            <w:tcW w:w="1313" w:type="dxa"/>
            <w:vAlign w:val="center"/>
            <w:textDirection w:val="lrTb"/>
            <w:noWrap w:val="false"/>
          </w:tcPr>
          <w:p>
            <w:pPr>
              <w:pStyle w:val="960"/>
              <w:ind w:firstLine="0"/>
              <w:jc w:val="cente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投标内容</w:t>
            </w:r>
            <w:r>
              <w:rPr>
                <w:rFonts w:hint="eastAsia" w:ascii="宋体" w:hAnsi="宋体" w:eastAsia="宋体"/>
                <w:b/>
                <w:color w:val="000000"/>
                <w:sz w:val="21"/>
                <w:szCs w:val="21"/>
                <w:highlight w:val="none"/>
              </w:rPr>
            </w:r>
            <w:r/>
          </w:p>
        </w:tc>
        <w:tc>
          <w:tcPr>
            <w:tcW w:w="1294" w:type="dxa"/>
            <w:vAlign w:val="center"/>
            <w:textDirection w:val="lrTb"/>
            <w:noWrap w:val="false"/>
          </w:tcPr>
          <w:p>
            <w:pPr>
              <w:pStyle w:val="960"/>
              <w:ind w:firstLine="0"/>
              <w:jc w:val="cente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偏离说明</w:t>
            </w:r>
            <w:r>
              <w:rPr>
                <w:rFonts w:hint="eastAsia" w:ascii="宋体" w:hAnsi="宋体" w:eastAsia="宋体"/>
                <w:b/>
                <w:color w:val="000000"/>
                <w:sz w:val="21"/>
                <w:szCs w:val="21"/>
                <w:highlight w:val="none"/>
              </w:rPr>
            </w:r>
            <w:r/>
          </w:p>
        </w:tc>
      </w:tr>
      <w:tr>
        <w:trPr>
          <w:trHeight w:val="454"/>
        </w:trPr>
        <w:tc>
          <w:tcPr>
            <w:tcW w:w="1081"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t xml:space="preserve">例如：商务要求</w:t>
            </w:r>
            <w:r>
              <w:rPr>
                <w:rFonts w:hint="eastAsia" w:ascii="宋体" w:hAnsi="宋体" w:eastAsia="宋体"/>
                <w:i/>
                <w:color w:val="000000"/>
                <w:sz w:val="21"/>
                <w:szCs w:val="21"/>
                <w:highlight w:val="none"/>
              </w:rPr>
            </w:r>
            <w:r/>
          </w:p>
        </w:tc>
        <w:tc>
          <w:tcPr>
            <w:tcW w:w="1313"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i/>
                <w:color w:val="000000"/>
                <w:sz w:val="21"/>
                <w:szCs w:val="21"/>
                <w:highlight w:val="none"/>
              </w:rPr>
              <w:t xml:space="preserve">详见招标文件相关需求</w:t>
            </w:r>
            <w:r>
              <w:rPr>
                <w:rFonts w:hint="eastAsia" w:ascii="宋体" w:hAnsi="宋体" w:eastAsia="宋体"/>
                <w:color w:val="000000"/>
                <w:sz w:val="21"/>
                <w:szCs w:val="21"/>
                <w:highlight w:val="none"/>
              </w:rPr>
            </w:r>
            <w:r/>
          </w:p>
        </w:tc>
        <w:tc>
          <w:tcPr>
            <w:tcW w:w="1313"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i/>
                <w:color w:val="000000"/>
                <w:sz w:val="21"/>
                <w:szCs w:val="21"/>
                <w:highlight w:val="none"/>
              </w:rPr>
              <w:t xml:space="preserve">符合招标文件相关需求</w:t>
            </w:r>
            <w:r>
              <w:rPr>
                <w:rFonts w:hint="eastAsia" w:ascii="宋体" w:hAnsi="宋体" w:eastAsia="宋体"/>
                <w:color w:val="000000"/>
                <w:sz w:val="21"/>
                <w:szCs w:val="21"/>
                <w:highlight w:val="none"/>
              </w:rPr>
            </w:r>
            <w:r/>
          </w:p>
        </w:tc>
        <w:tc>
          <w:tcPr>
            <w:tcW w:w="1294" w:type="dxa"/>
            <w:vAlign w:val="center"/>
            <w:textDirection w:val="lrTb"/>
            <w:noWrap w:val="false"/>
          </w:tcPr>
          <w:p>
            <w:pPr>
              <w:pStyle w:val="960"/>
              <w:ind w:firstLine="0"/>
              <w:jc w:val="center"/>
              <w:rPr>
                <w:rFonts w:hint="eastAsia" w:ascii="宋体" w:hAnsi="宋体" w:eastAsia="宋体"/>
                <w:color w:val="000000"/>
                <w:sz w:val="21"/>
                <w:szCs w:val="21"/>
                <w:highlight w:val="none"/>
              </w:rPr>
            </w:pPr>
            <w:r>
              <w:rPr>
                <w:rFonts w:hint="eastAsia" w:ascii="宋体" w:hAnsi="宋体" w:eastAsia="宋体"/>
                <w:i/>
                <w:color w:val="000000"/>
                <w:sz w:val="21"/>
                <w:szCs w:val="21"/>
                <w:highlight w:val="none"/>
              </w:rPr>
              <w:t xml:space="preserve">无偏离</w:t>
            </w:r>
            <w:r>
              <w:rPr>
                <w:rFonts w:hint="eastAsia" w:ascii="宋体" w:hAnsi="宋体" w:eastAsia="宋体"/>
                <w:color w:val="000000"/>
                <w:sz w:val="21"/>
                <w:szCs w:val="21"/>
                <w:highlight w:val="none"/>
              </w:rPr>
            </w:r>
            <w:r/>
          </w:p>
        </w:tc>
      </w:tr>
      <w:tr>
        <w:trPr>
          <w:trHeight w:val="454"/>
        </w:trPr>
        <w:tc>
          <w:tcPr>
            <w:tcW w:w="1081"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r>
            <w:r/>
          </w:p>
        </w:tc>
        <w:tc>
          <w:tcPr>
            <w:tcW w:w="1313"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r>
            <w:r/>
          </w:p>
        </w:tc>
        <w:tc>
          <w:tcPr>
            <w:tcW w:w="1313"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r>
            <w:r/>
          </w:p>
        </w:tc>
        <w:tc>
          <w:tcPr>
            <w:tcW w:w="1294"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r>
            <w:r/>
          </w:p>
        </w:tc>
      </w:tr>
      <w:tr>
        <w:trPr>
          <w:trHeight w:val="454"/>
        </w:trPr>
        <w:tc>
          <w:tcPr>
            <w:tcW w:w="1081"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r>
            <w:r/>
          </w:p>
        </w:tc>
        <w:tc>
          <w:tcPr>
            <w:tcW w:w="1313"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r>
            <w:r/>
          </w:p>
        </w:tc>
        <w:tc>
          <w:tcPr>
            <w:tcW w:w="1313"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r>
            <w:r/>
          </w:p>
        </w:tc>
        <w:tc>
          <w:tcPr>
            <w:tcW w:w="1294" w:type="dxa"/>
            <w:vAlign w:val="center"/>
            <w:textDirection w:val="lrTb"/>
            <w:noWrap w:val="false"/>
          </w:tcPr>
          <w:p>
            <w:pPr>
              <w:pStyle w:val="960"/>
              <w:ind w:firstLine="0"/>
              <w:jc w:val="center"/>
              <w:rPr>
                <w:rFonts w:hint="eastAsia" w:ascii="宋体" w:hAnsi="宋体" w:eastAsia="宋体"/>
                <w:i/>
                <w:color w:val="000000"/>
                <w:sz w:val="21"/>
                <w:szCs w:val="21"/>
                <w:highlight w:val="none"/>
              </w:rPr>
            </w:pPr>
            <w:r>
              <w:rPr>
                <w:rFonts w:hint="eastAsia" w:ascii="宋体" w:hAnsi="宋体" w:eastAsia="宋体"/>
                <w:i/>
                <w:color w:val="000000"/>
                <w:sz w:val="21"/>
                <w:szCs w:val="21"/>
                <w:highlight w:val="none"/>
              </w:rPr>
            </w:r>
            <w:r/>
          </w:p>
        </w:tc>
      </w:tr>
    </w:tbl>
    <w:p>
      <w:pPr>
        <w:pStyle w:val="947"/>
        <w:spacing w:line="360" w:lineRule="auto"/>
        <w:rPr>
          <w:rFonts w:hint="eastAsia" w:ascii="Tahoma" w:hAnsi="Tahoma"/>
          <w:color w:val="000000"/>
          <w:szCs w:val="21"/>
          <w:highlight w:val="none"/>
        </w:rPr>
      </w:pPr>
      <w:r>
        <w:rPr>
          <w:rFonts w:hint="eastAsia" w:ascii="宋体" w:hAnsi="宋体"/>
          <w:b/>
          <w:color w:val="000000"/>
          <w:szCs w:val="21"/>
          <w:highlight w:val="none"/>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rPr>
          <w:rFonts w:hint="eastAsia" w:ascii="Tahoma" w:hAnsi="Tahoma"/>
          <w:color w:val="000000"/>
          <w:szCs w:val="21"/>
          <w:highlight w:val="none"/>
        </w:rPr>
        <w:t xml:space="preserve">。</w:t>
      </w:r>
      <w:r>
        <w:rPr>
          <w:rFonts w:hint="eastAsia" w:ascii="Tahoma" w:hAnsi="Tahoma"/>
          <w:color w:val="000000"/>
          <w:szCs w:val="21"/>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int="eastAsia" w:hAnsi="宋体" w:eastAsia="宋体"/>
          <w:color w:val="000000"/>
          <w:sz w:val="21"/>
          <w:szCs w:val="21"/>
          <w:highlight w:val="none"/>
        </w:rPr>
        <w:t xml:space="preserve">公章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947"/>
        <w:jc w:val="right"/>
        <w:spacing w:line="360" w:lineRule="auto"/>
        <w:rPr>
          <w:rFonts w:hint="eastAsia"/>
          <w:color w:val="000000"/>
          <w:szCs w:val="21"/>
          <w:highlight w:val="none"/>
        </w:rPr>
      </w:pPr>
      <w:r>
        <w:rPr>
          <w:rFonts w:hAnsi="宋体"/>
          <w:color w:val="000000"/>
          <w:szCs w:val="21"/>
          <w:highlight w:val="none"/>
        </w:rPr>
        <w:t xml:space="preserve">日期：</w:t>
      </w:r>
      <w:r>
        <w:rPr>
          <w:rFonts w:hint="eastAsia" w:hAnsi="宋体"/>
          <w:color w:val="000000"/>
          <w:szCs w:val="21"/>
          <w:highlight w:val="none"/>
        </w:rPr>
        <w:t xml:space="preserve">      </w:t>
      </w:r>
      <w:r>
        <w:rPr>
          <w:rFonts w:hAnsi="宋体"/>
          <w:color w:val="000000"/>
          <w:szCs w:val="21"/>
          <w:highlight w:val="none"/>
        </w:rPr>
        <w:t xml:space="preserve">年</w:t>
      </w:r>
      <w:r>
        <w:rPr>
          <w:rFonts w:hint="eastAsia" w:hAnsi="宋体"/>
          <w:color w:val="000000"/>
          <w:szCs w:val="21"/>
          <w:highlight w:val="none"/>
        </w:rPr>
        <w:t xml:space="preserve">  </w:t>
      </w:r>
      <w:r>
        <w:rPr>
          <w:rFonts w:hAnsi="宋体"/>
          <w:color w:val="000000"/>
          <w:szCs w:val="21"/>
          <w:highlight w:val="none"/>
        </w:rPr>
        <w:t xml:space="preserve">月</w:t>
      </w:r>
      <w:r>
        <w:rPr>
          <w:rFonts w:hint="eastAsia" w:hAnsi="宋体"/>
          <w:color w:val="000000"/>
          <w:szCs w:val="21"/>
          <w:highlight w:val="none"/>
        </w:rPr>
        <w:t xml:space="preserve">  </w:t>
      </w:r>
      <w:r>
        <w:rPr>
          <w:rFonts w:hAnsi="宋体"/>
          <w:color w:val="000000"/>
          <w:szCs w:val="21"/>
          <w:highlight w:val="none"/>
        </w:rPr>
        <w:t xml:space="preserve">日</w:t>
      </w:r>
      <w:r>
        <w:rPr>
          <w:rFonts w:hint="eastAsia"/>
          <w:color w:val="000000"/>
          <w:szCs w:val="21"/>
          <w:highlight w:val="none"/>
        </w:rPr>
      </w:r>
      <w:r/>
    </w:p>
    <w:p>
      <w:pPr>
        <w:pStyle w:val="949"/>
        <w:spacing w:before="480" w:after="240"/>
        <w:rPr>
          <w:rFonts w:hint="eastAsia"/>
          <w:color w:val="000000"/>
          <w:highlight w:val="none"/>
          <w:shd w:val="clear" w:color="auto" w:fill="ffffff"/>
        </w:rPr>
      </w:pPr>
      <w:r>
        <w:rPr>
          <w:rFonts w:hint="eastAsia"/>
          <w:color w:val="000000"/>
          <w:highlight w:val="none"/>
          <w:shd w:val="clear" w:color="auto" w:fill="ffffff"/>
        </w:rPr>
        <w:t xml:space="preserve">10、人员配置表</w:t>
      </w:r>
      <w:r>
        <w:rPr>
          <w:rFonts w:hint="eastAsia"/>
          <w:color w:val="000000"/>
          <w:highlight w:val="none"/>
          <w:shd w:val="clear" w:color="auto" w:fill="ffffff"/>
        </w:rPr>
      </w:r>
      <w:r/>
    </w:p>
    <w:p>
      <w:pPr>
        <w:pStyle w:val="947"/>
        <w:jc w:val="center"/>
        <w:spacing w:line="360" w:lineRule="auto"/>
        <w:rPr>
          <w:rFonts w:hint="eastAsia" w:ascii="宋体" w:hAnsi="宋体"/>
          <w:b/>
          <w:bCs/>
          <w:color w:val="000000"/>
          <w:sz w:val="28"/>
          <w:szCs w:val="28"/>
          <w:highlight w:val="none"/>
        </w:rPr>
      </w:pPr>
      <w:r/>
      <w:bookmarkStart w:id="23" w:name="_Ref513045069"/>
      <w:r>
        <w:rPr>
          <w:rFonts w:hint="eastAsia" w:ascii="宋体" w:hAnsi="宋体"/>
          <w:b/>
          <w:bCs/>
          <w:color w:val="000000"/>
          <w:sz w:val="28"/>
          <w:szCs w:val="28"/>
          <w:highlight w:val="none"/>
        </w:rPr>
        <w:t xml:space="preserve">人员配置表</w:t>
      </w:r>
      <w:r>
        <w:rPr>
          <w:rFonts w:hint="eastAsia" w:ascii="宋体" w:hAnsi="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072"/>
        <w:gridCol w:w="1134"/>
        <w:gridCol w:w="993"/>
        <w:gridCol w:w="850"/>
        <w:gridCol w:w="2177"/>
      </w:tblGrid>
      <w:tr>
        <w:trPr>
          <w:trHeight w:val="760"/>
        </w:trPr>
        <w:tc>
          <w:tcPr>
            <w:tcW w:w="724" w:type="dxa"/>
            <w:vAlign w:val="center"/>
            <w:textDirection w:val="lrTb"/>
            <w:noWrap w:val="false"/>
          </w:tcPr>
          <w:p>
            <w:pPr>
              <w:pStyle w:val="947"/>
              <w:spacing w:line="400" w:lineRule="exact"/>
              <w:rPr>
                <w:rFonts w:ascii="宋体" w:hAnsi="宋体"/>
                <w:color w:val="000000"/>
                <w:szCs w:val="21"/>
                <w:highlight w:val="none"/>
              </w:rPr>
            </w:pPr>
            <w:r/>
            <w:bookmarkStart w:id="24" w:name="_Hlk172548613"/>
            <w:r>
              <w:rPr>
                <w:rFonts w:hint="eastAsia" w:ascii="宋体" w:hAnsi="宋体"/>
                <w:color w:val="000000"/>
                <w:szCs w:val="21"/>
                <w:highlight w:val="none"/>
              </w:rPr>
              <w:t xml:space="preserve">序号</w:t>
            </w:r>
            <w:r>
              <w:rPr>
                <w:rFonts w:ascii="宋体" w:hAnsi="宋体"/>
                <w:color w:val="000000"/>
                <w:szCs w:val="21"/>
                <w:highlight w:val="none"/>
              </w:rPr>
            </w:r>
            <w:r/>
          </w:p>
        </w:tc>
        <w:tc>
          <w:tcPr>
            <w:tcW w:w="2338" w:type="dxa"/>
            <w:vAlign w:val="center"/>
            <w:textDirection w:val="lrTb"/>
            <w:noWrap w:val="false"/>
          </w:tcPr>
          <w:p>
            <w:pPr>
              <w:pStyle w:val="947"/>
              <w:spacing w:line="400" w:lineRule="exact"/>
              <w:rPr>
                <w:rFonts w:ascii="宋体" w:hAnsi="宋体"/>
                <w:color w:val="000000"/>
                <w:szCs w:val="21"/>
                <w:highlight w:val="none"/>
              </w:rPr>
            </w:pPr>
            <w:r>
              <w:rPr>
                <w:rFonts w:hint="eastAsia" w:ascii="宋体" w:hAnsi="宋体"/>
                <w:color w:val="000000"/>
                <w:szCs w:val="21"/>
                <w:highlight w:val="none"/>
              </w:rPr>
              <w:t xml:space="preserve">岗位</w:t>
            </w:r>
            <w:r>
              <w:rPr>
                <w:rFonts w:ascii="宋体" w:hAnsi="宋体"/>
                <w:color w:val="000000"/>
                <w:szCs w:val="21"/>
                <w:highlight w:val="none"/>
              </w:rPr>
            </w:r>
            <w:r/>
          </w:p>
        </w:tc>
        <w:tc>
          <w:tcPr>
            <w:tcW w:w="1072" w:type="dxa"/>
            <w:vAlign w:val="center"/>
            <w:textDirection w:val="lrTb"/>
            <w:noWrap w:val="false"/>
          </w:tcPr>
          <w:p>
            <w:pPr>
              <w:pStyle w:val="947"/>
              <w:spacing w:line="400" w:lineRule="exact"/>
              <w:rPr>
                <w:rFonts w:ascii="宋体" w:hAnsi="宋体"/>
                <w:color w:val="000000"/>
                <w:szCs w:val="21"/>
                <w:highlight w:val="none"/>
              </w:rPr>
            </w:pPr>
            <w:r>
              <w:rPr>
                <w:rFonts w:hint="eastAsia" w:ascii="宋体" w:hAnsi="宋体"/>
                <w:color w:val="000000"/>
                <w:szCs w:val="21"/>
                <w:highlight w:val="none"/>
              </w:rPr>
              <w:t xml:space="preserve">姓名</w:t>
            </w:r>
            <w:r>
              <w:rPr>
                <w:rFonts w:ascii="宋体" w:hAnsi="宋体"/>
                <w:color w:val="000000"/>
                <w:szCs w:val="21"/>
                <w:highlight w:val="none"/>
              </w:rPr>
            </w:r>
            <w:r/>
          </w:p>
        </w:tc>
        <w:tc>
          <w:tcPr>
            <w:tcW w:w="1134" w:type="dxa"/>
            <w:vAlign w:val="center"/>
            <w:textDirection w:val="lrTb"/>
            <w:noWrap w:val="false"/>
          </w:tcPr>
          <w:p>
            <w:pPr>
              <w:pStyle w:val="947"/>
              <w:spacing w:line="400" w:lineRule="exact"/>
              <w:rPr>
                <w:rFonts w:ascii="宋体" w:hAnsi="宋体"/>
                <w:color w:val="000000"/>
                <w:szCs w:val="21"/>
                <w:highlight w:val="none"/>
              </w:rPr>
            </w:pPr>
            <w:r>
              <w:rPr>
                <w:rFonts w:hint="eastAsia" w:ascii="宋体" w:hAnsi="宋体"/>
                <w:color w:val="000000"/>
                <w:szCs w:val="21"/>
                <w:highlight w:val="none"/>
              </w:rPr>
              <w:t xml:space="preserve">性别</w:t>
            </w:r>
            <w:r>
              <w:rPr>
                <w:rFonts w:ascii="宋体" w:hAnsi="宋体"/>
                <w:color w:val="000000"/>
                <w:szCs w:val="21"/>
                <w:highlight w:val="none"/>
              </w:rPr>
            </w:r>
            <w:r/>
          </w:p>
        </w:tc>
        <w:tc>
          <w:tcPr>
            <w:tcW w:w="993" w:type="dxa"/>
            <w:vAlign w:val="center"/>
            <w:textDirection w:val="lrTb"/>
            <w:noWrap w:val="false"/>
          </w:tcPr>
          <w:p>
            <w:pPr>
              <w:pStyle w:val="947"/>
              <w:spacing w:line="400" w:lineRule="exact"/>
              <w:rPr>
                <w:rFonts w:ascii="宋体" w:hAnsi="宋体"/>
                <w:color w:val="000000"/>
                <w:szCs w:val="21"/>
                <w:highlight w:val="none"/>
              </w:rPr>
            </w:pPr>
            <w:r>
              <w:rPr>
                <w:rFonts w:hint="eastAsia" w:ascii="宋体" w:hAnsi="宋体"/>
                <w:color w:val="000000"/>
                <w:szCs w:val="21"/>
                <w:highlight w:val="none"/>
              </w:rPr>
              <w:t xml:space="preserve">年龄</w:t>
            </w:r>
            <w:r>
              <w:rPr>
                <w:rFonts w:ascii="宋体" w:hAnsi="宋体"/>
                <w:color w:val="000000"/>
                <w:szCs w:val="21"/>
                <w:highlight w:val="none"/>
              </w:rPr>
            </w:r>
            <w:r/>
          </w:p>
        </w:tc>
        <w:tc>
          <w:tcPr>
            <w:tcW w:w="850" w:type="dxa"/>
            <w:vAlign w:val="center"/>
            <w:textDirection w:val="lrTb"/>
            <w:noWrap w:val="false"/>
          </w:tcPr>
          <w:p>
            <w:pPr>
              <w:pStyle w:val="947"/>
              <w:spacing w:line="400" w:lineRule="exact"/>
              <w:rPr>
                <w:rFonts w:ascii="宋体" w:hAnsi="宋体"/>
                <w:color w:val="000000"/>
                <w:szCs w:val="21"/>
                <w:highlight w:val="none"/>
              </w:rPr>
            </w:pPr>
            <w:r>
              <w:rPr>
                <w:rFonts w:hint="eastAsia" w:ascii="宋体" w:hAnsi="宋体"/>
                <w:color w:val="000000"/>
                <w:szCs w:val="21"/>
                <w:highlight w:val="none"/>
              </w:rPr>
              <w:t xml:space="preserve">学历</w:t>
            </w:r>
            <w:r>
              <w:rPr>
                <w:rFonts w:ascii="宋体" w:hAnsi="宋体"/>
                <w:color w:val="000000"/>
                <w:szCs w:val="21"/>
                <w:highlight w:val="none"/>
              </w:rPr>
            </w:r>
            <w:r/>
          </w:p>
        </w:tc>
        <w:tc>
          <w:tcPr>
            <w:tcW w:w="2177" w:type="dxa"/>
            <w:vAlign w:val="center"/>
            <w:textDirection w:val="lrTb"/>
            <w:noWrap w:val="false"/>
          </w:tcPr>
          <w:p>
            <w:pPr>
              <w:pStyle w:val="947"/>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职称或</w:t>
            </w:r>
            <w:r>
              <w:rPr>
                <w:rFonts w:ascii="宋体" w:hAnsi="宋体"/>
                <w:color w:val="000000"/>
                <w:szCs w:val="21"/>
                <w:highlight w:val="none"/>
              </w:rPr>
              <w:t xml:space="preserve">相关证书</w:t>
            </w:r>
            <w:r>
              <w:rPr>
                <w:rFonts w:hint="eastAsia" w:ascii="宋体" w:hAnsi="宋体"/>
                <w:color w:val="000000"/>
                <w:szCs w:val="21"/>
                <w:highlight w:val="none"/>
              </w:rPr>
            </w:r>
            <w:r/>
          </w:p>
        </w:tc>
      </w:tr>
      <w:tr>
        <w:trPr>
          <w:cantSplit/>
          <w:trHeight w:val="495"/>
        </w:trPr>
        <w:tc>
          <w:tcPr>
            <w:tcW w:w="724"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338"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072"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993"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177"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24"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338"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993"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177"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24"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338"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993"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177"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24"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338"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993"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177"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24"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338"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993"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177"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24"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338"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993"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177"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24"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338"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993"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177"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24"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338"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993"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177"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495"/>
        </w:trPr>
        <w:tc>
          <w:tcPr>
            <w:tcW w:w="724" w:type="dxa"/>
            <w:vAlign w:val="top"/>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338"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993"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850"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c>
          <w:tcPr>
            <w:tcW w:w="2177" w:type="dxa"/>
            <w:vAlign w:val="center"/>
            <w:textDirection w:val="lrTb"/>
            <w:noWrap w:val="false"/>
          </w:tcPr>
          <w:p>
            <w:pPr>
              <w:pStyle w:val="947"/>
              <w:spacing w:line="400" w:lineRule="exact"/>
              <w:rPr>
                <w:rFonts w:ascii="宋体" w:hAnsi="宋体"/>
                <w:color w:val="000000"/>
                <w:szCs w:val="21"/>
                <w:highlight w:val="none"/>
              </w:rPr>
            </w:pPr>
            <w:r>
              <w:rPr>
                <w:rFonts w:ascii="宋体" w:hAnsi="宋体"/>
                <w:color w:val="000000"/>
                <w:szCs w:val="21"/>
                <w:highlight w:val="none"/>
              </w:rPr>
            </w:r>
            <w:r/>
          </w:p>
        </w:tc>
      </w:tr>
    </w:tbl>
    <w:p>
      <w:pPr>
        <w:pStyle w:val="960"/>
        <w:ind w:firstLine="0"/>
        <w:spacing w:line="276" w:lineRule="auto"/>
        <w:rPr>
          <w:rFonts w:ascii="宋体" w:hAnsi="宋体" w:eastAsia="宋体"/>
          <w:b/>
          <w:color w:val="000000"/>
          <w:sz w:val="21"/>
          <w:szCs w:val="21"/>
          <w:highlight w:val="none"/>
        </w:rPr>
      </w:pPr>
      <w:r/>
      <w:bookmarkEnd w:id="24"/>
      <w:r>
        <w:rPr>
          <w:rFonts w:ascii="宋体" w:hAnsi="宋体" w:eastAsia="宋体"/>
          <w:b/>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int="eastAsia" w:hAnsi="宋体" w:eastAsia="宋体"/>
          <w:color w:val="000000"/>
          <w:sz w:val="21"/>
          <w:szCs w:val="21"/>
          <w:highlight w:val="none"/>
        </w:rPr>
        <w:t xml:space="preserve">公章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947"/>
        <w:jc w:val="right"/>
        <w:spacing w:line="360" w:lineRule="auto"/>
        <w:rPr>
          <w:rFonts w:hint="eastAsia"/>
          <w:color w:val="000000"/>
          <w:szCs w:val="21"/>
          <w:highlight w:val="none"/>
        </w:rPr>
      </w:pPr>
      <w:r>
        <w:rPr>
          <w:rFonts w:hAnsi="宋体"/>
          <w:color w:val="000000"/>
          <w:szCs w:val="21"/>
          <w:highlight w:val="none"/>
        </w:rPr>
        <w:t xml:space="preserve">日期：</w:t>
      </w:r>
      <w:r>
        <w:rPr>
          <w:rFonts w:hint="eastAsia" w:hAnsi="宋体"/>
          <w:color w:val="000000"/>
          <w:szCs w:val="21"/>
          <w:highlight w:val="none"/>
        </w:rPr>
        <w:t xml:space="preserve">      </w:t>
      </w:r>
      <w:r>
        <w:rPr>
          <w:rFonts w:hAnsi="宋体"/>
          <w:color w:val="000000"/>
          <w:szCs w:val="21"/>
          <w:highlight w:val="none"/>
        </w:rPr>
        <w:t xml:space="preserve">年</w:t>
      </w:r>
      <w:r>
        <w:rPr>
          <w:rFonts w:hint="eastAsia" w:hAnsi="宋体"/>
          <w:color w:val="000000"/>
          <w:szCs w:val="21"/>
          <w:highlight w:val="none"/>
        </w:rPr>
        <w:t xml:space="preserve">  </w:t>
      </w:r>
      <w:r>
        <w:rPr>
          <w:rFonts w:hAnsi="宋体"/>
          <w:color w:val="000000"/>
          <w:szCs w:val="21"/>
          <w:highlight w:val="none"/>
        </w:rPr>
        <w:t xml:space="preserve">月</w:t>
      </w:r>
      <w:r>
        <w:rPr>
          <w:rFonts w:hint="eastAsia" w:hAnsi="宋体"/>
          <w:color w:val="000000"/>
          <w:szCs w:val="21"/>
          <w:highlight w:val="none"/>
        </w:rPr>
        <w:t xml:space="preserve">  </w:t>
      </w:r>
      <w:r>
        <w:rPr>
          <w:rFonts w:hAnsi="宋体"/>
          <w:color w:val="000000"/>
          <w:szCs w:val="21"/>
          <w:highlight w:val="none"/>
        </w:rPr>
        <w:t xml:space="preserve">日</w:t>
      </w:r>
      <w:r>
        <w:rPr>
          <w:rFonts w:hint="eastAsia"/>
          <w:color w:val="000000"/>
          <w:szCs w:val="21"/>
          <w:highlight w:val="none"/>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1046"/>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1046"/>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1046"/>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1046"/>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9"/>
        <w:spacing w:before="480" w:after="240"/>
        <w:rPr>
          <w:rFonts w:hint="eastAsia"/>
          <w:color w:val="000000"/>
          <w:highlight w:val="none"/>
          <w:shd w:val="clear" w:color="auto" w:fill="ffffff"/>
        </w:rPr>
      </w:pPr>
      <w:r>
        <w:rPr>
          <w:rFonts w:hint="eastAsia"/>
          <w:color w:val="000000"/>
          <w:highlight w:val="none"/>
          <w:shd w:val="clear" w:color="auto" w:fill="ffffff"/>
        </w:rPr>
        <w:t xml:space="preserve">11、项目负责人情况一览表</w:t>
      </w:r>
      <w:r>
        <w:rPr>
          <w:rFonts w:hint="eastAsia"/>
          <w:color w:val="000000"/>
          <w:highlight w:val="none"/>
          <w:shd w:val="clear" w:color="auto" w:fill="ffffff"/>
        </w:rPr>
      </w:r>
      <w:r/>
    </w:p>
    <w:p>
      <w:pPr>
        <w:pStyle w:val="947"/>
        <w:jc w:val="center"/>
        <w:spacing w:line="360" w:lineRule="auto"/>
        <w:rPr>
          <w:rFonts w:hint="eastAsia" w:ascii="宋体"/>
          <w:b/>
          <w:color w:val="000000"/>
          <w:szCs w:val="21"/>
          <w:highlight w:val="none"/>
        </w:rPr>
      </w:pPr>
      <w:r>
        <w:rPr>
          <w:rFonts w:hint="eastAsia" w:ascii="宋体"/>
          <w:b/>
          <w:color w:val="000000"/>
          <w:szCs w:val="21"/>
          <w:highlight w:val="none"/>
        </w:rPr>
        <w:t xml:space="preserve">项目负责人情况一览表</w:t>
      </w:r>
      <w:r>
        <w:rPr>
          <w:rFonts w:hint="eastAsia" w:ascii="宋体"/>
          <w:b/>
          <w:color w:val="000000"/>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1</w:t>
            </w:r>
            <w:r>
              <w:rPr>
                <w:rFonts w:hint="eastAsia" w:ascii="宋体" w:eastAsia="宋体"/>
                <w:color w:val="000000"/>
                <w:sz w:val="21"/>
                <w:szCs w:val="21"/>
                <w:highlight w:val="none"/>
              </w:rPr>
            </w:r>
            <w:r/>
          </w:p>
        </w:tc>
        <w:tc>
          <w:tcPr>
            <w:tcW w:w="1851"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姓      名</w:t>
            </w:r>
            <w:r>
              <w:rPr>
                <w:rFonts w:hint="eastAsia" w:ascii="宋体" w:eastAsia="宋体"/>
                <w:color w:val="000000"/>
                <w:sz w:val="21"/>
                <w:szCs w:val="21"/>
                <w:highlight w:val="none"/>
              </w:rPr>
            </w:r>
            <w:r/>
          </w:p>
        </w:tc>
        <w:tc>
          <w:tcPr>
            <w:gridSpan w:val="2"/>
            <w:tcW w:w="2394" w:type="dxa"/>
            <w:vAlign w:val="center"/>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r>
            <w:r/>
          </w:p>
        </w:tc>
        <w:tc>
          <w:tcPr>
            <w:tcW w:w="1083"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性   别</w:t>
            </w:r>
            <w:r>
              <w:rPr>
                <w:rFonts w:hint="eastAsia" w:ascii="宋体" w:eastAsia="宋体"/>
                <w:color w:val="000000"/>
                <w:sz w:val="21"/>
                <w:szCs w:val="21"/>
                <w:highlight w:val="none"/>
              </w:rPr>
            </w:r>
            <w:r/>
          </w:p>
        </w:tc>
        <w:tc>
          <w:tcPr>
            <w:gridSpan w:val="2"/>
            <w:tcW w:w="3072" w:type="dxa"/>
            <w:vAlign w:val="center"/>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r>
            <w:r/>
          </w:p>
        </w:tc>
      </w:tr>
      <w:tr>
        <w:trPr>
          <w:trHeight w:val="645"/>
        </w:trPr>
        <w:tc>
          <w:tcPr>
            <w:tcW w:w="628"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2</w:t>
            </w:r>
            <w:r>
              <w:rPr>
                <w:rFonts w:hint="eastAsia" w:ascii="宋体" w:eastAsia="宋体"/>
                <w:color w:val="000000"/>
                <w:sz w:val="21"/>
                <w:szCs w:val="21"/>
                <w:highlight w:val="none"/>
              </w:rPr>
            </w:r>
            <w:r/>
          </w:p>
        </w:tc>
        <w:tc>
          <w:tcPr>
            <w:tcW w:w="1851"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身份证号码</w:t>
            </w:r>
            <w:r>
              <w:rPr>
                <w:rFonts w:hint="eastAsia" w:ascii="宋体" w:eastAsia="宋体"/>
                <w:color w:val="000000"/>
                <w:sz w:val="21"/>
                <w:szCs w:val="21"/>
                <w:highlight w:val="none"/>
              </w:rPr>
            </w:r>
            <w:r/>
          </w:p>
        </w:tc>
        <w:tc>
          <w:tcPr>
            <w:gridSpan w:val="3"/>
            <w:tcW w:w="3477" w:type="dxa"/>
            <w:vAlign w:val="center"/>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r>
            <w:r/>
          </w:p>
        </w:tc>
        <w:tc>
          <w:tcPr>
            <w:tcW w:w="1254"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出生年月</w:t>
            </w:r>
            <w:r>
              <w:rPr>
                <w:rFonts w:hint="eastAsia" w:ascii="宋体" w:eastAsia="宋体"/>
                <w:color w:val="000000"/>
                <w:sz w:val="21"/>
                <w:szCs w:val="21"/>
                <w:highlight w:val="none"/>
              </w:rPr>
            </w:r>
            <w:r/>
          </w:p>
        </w:tc>
        <w:tc>
          <w:tcPr>
            <w:tcW w:w="1818"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年   月</w:t>
            </w:r>
            <w:r>
              <w:rPr>
                <w:rFonts w:hint="eastAsia" w:ascii="宋体" w:eastAsia="宋体"/>
                <w:color w:val="000000"/>
                <w:sz w:val="21"/>
                <w:szCs w:val="21"/>
                <w:highlight w:val="none"/>
              </w:rPr>
            </w:r>
            <w:r/>
          </w:p>
        </w:tc>
      </w:tr>
      <w:tr>
        <w:trPr>
          <w:trHeight w:val="645"/>
        </w:trPr>
        <w:tc>
          <w:tcPr>
            <w:tcW w:w="628"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3</w:t>
            </w:r>
            <w:r>
              <w:rPr>
                <w:rFonts w:hint="eastAsia" w:ascii="宋体" w:eastAsia="宋体"/>
                <w:color w:val="000000"/>
                <w:sz w:val="21"/>
                <w:szCs w:val="21"/>
                <w:highlight w:val="none"/>
              </w:rPr>
            </w:r>
            <w:r/>
          </w:p>
        </w:tc>
        <w:tc>
          <w:tcPr>
            <w:gridSpan w:val="2"/>
            <w:tcW w:w="3180" w:type="dxa"/>
            <w:vAlign w:val="center"/>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t xml:space="preserve">联系电话：</w:t>
            </w:r>
            <w:r>
              <w:rPr>
                <w:rFonts w:hint="eastAsia" w:ascii="宋体" w:eastAsia="宋体"/>
                <w:color w:val="000000"/>
                <w:sz w:val="21"/>
                <w:szCs w:val="21"/>
                <w:highlight w:val="none"/>
              </w:rPr>
            </w:r>
            <w:r/>
          </w:p>
        </w:tc>
        <w:tc>
          <w:tcPr>
            <w:gridSpan w:val="2"/>
            <w:tcW w:w="2148" w:type="dxa"/>
            <w:vAlign w:val="center"/>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t xml:space="preserve">传真：</w:t>
            </w:r>
            <w:r>
              <w:rPr>
                <w:rFonts w:hint="eastAsia" w:ascii="宋体" w:eastAsia="宋体"/>
                <w:color w:val="000000"/>
                <w:sz w:val="21"/>
                <w:szCs w:val="21"/>
                <w:highlight w:val="none"/>
              </w:rPr>
            </w:r>
            <w:r/>
          </w:p>
        </w:tc>
        <w:tc>
          <w:tcPr>
            <w:gridSpan w:val="2"/>
            <w:tcW w:w="3072" w:type="dxa"/>
            <w:vAlign w:val="center"/>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t xml:space="preserve">电子邮箱：</w:t>
            </w:r>
            <w:r>
              <w:rPr>
                <w:rFonts w:hint="eastAsia" w:ascii="宋体" w:eastAsia="宋体"/>
                <w:color w:val="000000"/>
                <w:sz w:val="21"/>
                <w:szCs w:val="21"/>
                <w:highlight w:val="none"/>
              </w:rPr>
            </w:r>
            <w:r/>
          </w:p>
        </w:tc>
      </w:tr>
      <w:tr>
        <w:trPr>
          <w:cantSplit/>
          <w:trHeight w:val="645"/>
        </w:trPr>
        <w:tc>
          <w:tcPr>
            <w:tcW w:w="628"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4</w:t>
            </w:r>
            <w:r>
              <w:rPr>
                <w:rFonts w:hint="eastAsia" w:ascii="宋体" w:eastAsia="宋体"/>
                <w:color w:val="000000"/>
                <w:sz w:val="21"/>
                <w:szCs w:val="21"/>
                <w:highlight w:val="none"/>
              </w:rPr>
            </w:r>
            <w:r/>
          </w:p>
        </w:tc>
        <w:tc>
          <w:tcPr>
            <w:gridSpan w:val="6"/>
            <w:tcW w:w="8400" w:type="dxa"/>
            <w:vAlign w:val="center"/>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t xml:space="preserve">从事工作时间：</w:t>
            </w:r>
            <w:r>
              <w:rPr>
                <w:rFonts w:hint="eastAsia" w:ascii="宋体" w:eastAsia="宋体"/>
                <w:color w:val="000000"/>
                <w:sz w:val="21"/>
                <w:szCs w:val="21"/>
                <w:highlight w:val="none"/>
              </w:rPr>
            </w:r>
            <w:r/>
          </w:p>
        </w:tc>
      </w:tr>
      <w:tr>
        <w:trPr>
          <w:cantSplit/>
          <w:trHeight w:val="625"/>
        </w:trPr>
        <w:tc>
          <w:tcPr>
            <w:tcW w:w="628"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5</w:t>
            </w:r>
            <w:r>
              <w:rPr>
                <w:rFonts w:hint="eastAsia" w:ascii="宋体" w:eastAsia="宋体"/>
                <w:color w:val="000000"/>
                <w:sz w:val="21"/>
                <w:szCs w:val="21"/>
                <w:highlight w:val="none"/>
              </w:rPr>
            </w:r>
            <w:r/>
          </w:p>
        </w:tc>
        <w:tc>
          <w:tcPr>
            <w:gridSpan w:val="6"/>
            <w:tcW w:w="8400" w:type="dxa"/>
            <w:vAlign w:val="center"/>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t xml:space="preserve">资质证书等级：</w:t>
            </w:r>
            <w:r>
              <w:rPr>
                <w:rFonts w:hint="eastAsia" w:ascii="宋体" w:eastAsia="宋体"/>
                <w:color w:val="000000"/>
                <w:sz w:val="21"/>
                <w:szCs w:val="21"/>
                <w:highlight w:val="none"/>
              </w:rPr>
            </w:r>
            <w:r/>
          </w:p>
        </w:tc>
      </w:tr>
      <w:tr>
        <w:trPr>
          <w:cantSplit/>
          <w:trHeight w:val="625"/>
        </w:trPr>
        <w:tc>
          <w:tcPr>
            <w:tcW w:w="628"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6</w:t>
            </w:r>
            <w:r>
              <w:rPr>
                <w:rFonts w:hint="eastAsia" w:ascii="宋体" w:eastAsia="宋体"/>
                <w:color w:val="000000"/>
                <w:sz w:val="21"/>
                <w:szCs w:val="21"/>
                <w:highlight w:val="none"/>
              </w:rPr>
            </w:r>
            <w:r/>
          </w:p>
        </w:tc>
        <w:tc>
          <w:tcPr>
            <w:gridSpan w:val="6"/>
            <w:tcW w:w="8400" w:type="dxa"/>
            <w:vAlign w:val="center"/>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t xml:space="preserve">所获表彰：</w:t>
            </w:r>
            <w:r>
              <w:rPr>
                <w:rFonts w:hint="eastAsia" w:ascii="宋体" w:eastAsia="宋体"/>
                <w:color w:val="000000"/>
                <w:sz w:val="21"/>
                <w:szCs w:val="21"/>
                <w:highlight w:val="none"/>
              </w:rPr>
            </w:r>
            <w:r/>
          </w:p>
        </w:tc>
      </w:tr>
      <w:tr>
        <w:trPr>
          <w:cantSplit/>
          <w:trHeight w:val="625"/>
        </w:trPr>
        <w:tc>
          <w:tcPr>
            <w:tcW w:w="628" w:type="dxa"/>
            <w:vAlign w:val="center"/>
            <w:textDirection w:val="lrTb"/>
            <w:noWrap w:val="false"/>
          </w:tcPr>
          <w:p>
            <w:pPr>
              <w:pStyle w:val="1408"/>
              <w:ind w:firstLine="0"/>
              <w:jc w:val="center"/>
              <w:rPr>
                <w:rFonts w:hint="eastAsia" w:ascii="宋体" w:eastAsia="宋体"/>
                <w:color w:val="000000"/>
                <w:sz w:val="21"/>
                <w:szCs w:val="21"/>
                <w:highlight w:val="none"/>
              </w:rPr>
            </w:pPr>
            <w:r>
              <w:rPr>
                <w:rFonts w:hint="eastAsia" w:ascii="宋体" w:eastAsia="宋体"/>
                <w:color w:val="000000"/>
                <w:sz w:val="21"/>
                <w:szCs w:val="21"/>
                <w:highlight w:val="none"/>
              </w:rPr>
              <w:t xml:space="preserve">7</w:t>
            </w:r>
            <w:r>
              <w:rPr>
                <w:rFonts w:hint="eastAsia" w:ascii="宋体" w:eastAsia="宋体"/>
                <w:color w:val="000000"/>
                <w:sz w:val="21"/>
                <w:szCs w:val="21"/>
                <w:highlight w:val="none"/>
              </w:rPr>
            </w:r>
            <w:r/>
          </w:p>
        </w:tc>
        <w:tc>
          <w:tcPr>
            <w:gridSpan w:val="6"/>
            <w:tcW w:w="8400" w:type="dxa"/>
            <w:vAlign w:val="center"/>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t xml:space="preserve">职称：</w:t>
            </w:r>
            <w:r>
              <w:rPr>
                <w:rFonts w:hint="eastAsia" w:ascii="宋体" w:eastAsia="宋体"/>
                <w:color w:val="000000"/>
                <w:sz w:val="21"/>
                <w:szCs w:val="21"/>
                <w:highlight w:val="none"/>
              </w:rPr>
            </w:r>
            <w:r/>
          </w:p>
        </w:tc>
      </w:tr>
      <w:tr>
        <w:trPr>
          <w:trHeight w:val="1484"/>
        </w:trPr>
        <w:tc>
          <w:tcPr>
            <w:tcW w:w="628" w:type="dxa"/>
            <w:vAlign w:val="center"/>
            <w:textDirection w:val="lrTb"/>
            <w:noWrap w:val="false"/>
          </w:tcPr>
          <w:p>
            <w:pPr>
              <w:pStyle w:val="947"/>
              <w:ind w:left="-2"/>
              <w:jc w:val="center"/>
              <w:spacing w:line="360" w:lineRule="auto"/>
              <w:rPr>
                <w:rFonts w:hint="eastAsia" w:ascii="宋体"/>
                <w:color w:val="000000"/>
                <w:szCs w:val="21"/>
                <w:highlight w:val="none"/>
              </w:rPr>
            </w:pPr>
            <w:r>
              <w:rPr>
                <w:rFonts w:hint="eastAsia" w:ascii="宋体"/>
                <w:color w:val="000000"/>
                <w:szCs w:val="21"/>
                <w:highlight w:val="none"/>
              </w:rPr>
              <w:t xml:space="preserve">8</w:t>
            </w:r>
            <w:r>
              <w:rPr>
                <w:rFonts w:hint="eastAsia" w:ascii="宋体"/>
                <w:color w:val="000000"/>
                <w:szCs w:val="21"/>
                <w:highlight w:val="none"/>
              </w:rPr>
            </w:r>
            <w:r/>
          </w:p>
        </w:tc>
        <w:tc>
          <w:tcPr>
            <w:gridSpan w:val="6"/>
            <w:tcW w:w="8400" w:type="dxa"/>
            <w:vAlign w:val="top"/>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t xml:space="preserve">本公司承诺：</w:t>
            </w:r>
            <w:r>
              <w:rPr>
                <w:rFonts w:hint="eastAsia" w:ascii="宋体" w:eastAsia="宋体"/>
                <w:color w:val="000000"/>
                <w:sz w:val="21"/>
                <w:szCs w:val="21"/>
                <w:highlight w:val="none"/>
              </w:rPr>
            </w:r>
            <w:r/>
          </w:p>
          <w:p>
            <w:pPr>
              <w:pStyle w:val="1408"/>
              <w:jc w:val="both"/>
              <w:rPr>
                <w:rFonts w:hint="eastAsia" w:ascii="宋体" w:eastAsia="宋体"/>
                <w:color w:val="000000"/>
                <w:sz w:val="21"/>
                <w:szCs w:val="21"/>
                <w:highlight w:val="none"/>
              </w:rPr>
            </w:pPr>
            <w:r>
              <w:rPr>
                <w:rFonts w:hint="eastAsia" w:ascii="宋体" w:eastAsia="宋体"/>
                <w:color w:val="000000"/>
                <w:sz w:val="21"/>
                <w:szCs w:val="21"/>
                <w:highlight w:val="none"/>
              </w:rPr>
              <w:t xml:space="preserve">该项目负责人在我单位已任职且在从业经历中没有任何违法、违规而被查处的不良记录。</w:t>
            </w:r>
            <w:r>
              <w:rPr>
                <w:rFonts w:hint="eastAsia" w:ascii="宋体" w:eastAsia="宋体"/>
                <w:color w:val="000000"/>
                <w:sz w:val="21"/>
                <w:szCs w:val="21"/>
                <w:highlight w:val="none"/>
              </w:rPr>
            </w:r>
            <w:r/>
          </w:p>
        </w:tc>
      </w:tr>
      <w:tr>
        <w:trPr>
          <w:trHeight w:val="3391"/>
        </w:trPr>
        <w:tc>
          <w:tcPr>
            <w:tcW w:w="628" w:type="dxa"/>
            <w:vAlign w:val="center"/>
            <w:textDirection w:val="lrTb"/>
            <w:noWrap w:val="false"/>
          </w:tcPr>
          <w:p>
            <w:pPr>
              <w:pStyle w:val="947"/>
              <w:ind w:left="-2"/>
              <w:jc w:val="center"/>
              <w:spacing w:line="360" w:lineRule="auto"/>
              <w:rPr>
                <w:rFonts w:hint="eastAsia" w:ascii="宋体"/>
                <w:color w:val="000000"/>
                <w:szCs w:val="21"/>
                <w:highlight w:val="none"/>
              </w:rPr>
            </w:pPr>
            <w:r>
              <w:rPr>
                <w:rFonts w:hint="eastAsia" w:ascii="宋体"/>
                <w:color w:val="000000"/>
                <w:szCs w:val="21"/>
                <w:highlight w:val="none"/>
              </w:rPr>
              <w:t xml:space="preserve">9</w:t>
            </w:r>
            <w:r>
              <w:rPr>
                <w:rFonts w:hint="eastAsia" w:ascii="宋体"/>
                <w:color w:val="000000"/>
                <w:szCs w:val="21"/>
                <w:highlight w:val="none"/>
              </w:rPr>
            </w:r>
            <w:r/>
          </w:p>
        </w:tc>
        <w:tc>
          <w:tcPr>
            <w:gridSpan w:val="6"/>
            <w:tcW w:w="8400" w:type="dxa"/>
            <w:vAlign w:val="top"/>
            <w:textDirection w:val="lrTb"/>
            <w:noWrap w:val="false"/>
          </w:tcPr>
          <w:p>
            <w:pPr>
              <w:pStyle w:val="1408"/>
              <w:ind w:firstLine="0"/>
              <w:jc w:val="both"/>
              <w:rPr>
                <w:rFonts w:hint="eastAsia" w:ascii="宋体" w:eastAsia="宋体"/>
                <w:color w:val="000000"/>
                <w:sz w:val="21"/>
                <w:szCs w:val="21"/>
                <w:highlight w:val="none"/>
              </w:rPr>
            </w:pPr>
            <w:r>
              <w:rPr>
                <w:rFonts w:hint="eastAsia" w:ascii="宋体" w:eastAsia="宋体"/>
                <w:color w:val="000000"/>
                <w:sz w:val="21"/>
                <w:szCs w:val="21"/>
                <w:highlight w:val="none"/>
              </w:rPr>
              <w:t xml:space="preserve">其他需要说明的情况</w:t>
            </w:r>
            <w:r>
              <w:rPr>
                <w:rFonts w:hint="eastAsia" w:ascii="宋体" w:eastAsia="宋体"/>
                <w:color w:val="000000"/>
                <w:sz w:val="21"/>
                <w:szCs w:val="21"/>
                <w:highlight w:val="none"/>
              </w:rPr>
            </w:r>
            <w:r/>
          </w:p>
        </w:tc>
      </w:tr>
    </w:tbl>
    <w:p>
      <w:pPr>
        <w:pStyle w:val="947"/>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1046"/>
        <w:rPr>
          <w:rFonts w:hint="eastAsia" w:ascii="Tahoma" w:hAnsi="Tahoma"/>
          <w:color w:val="000000"/>
          <w:sz w:val="24"/>
          <w:highlight w:val="none"/>
          <w:shd w:val="clear" w:color="auto" w:fill="ffffff"/>
        </w:rPr>
      </w:pPr>
      <w:r>
        <w:rPr>
          <w:rFonts w:hint="eastAsia" w:ascii="Tahoma" w:hAnsi="Tahoma"/>
          <w:color w:val="000000"/>
          <w:sz w:val="24"/>
          <w:highlight w:val="none"/>
          <w:shd w:val="clear" w:color="auto" w:fill="ffffff"/>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9"/>
        <w:spacing w:before="480" w:after="240"/>
        <w:rPr>
          <w:rFonts w:hint="eastAsia"/>
          <w:color w:val="000000"/>
          <w:highlight w:val="none"/>
          <w:shd w:val="clear" w:color="auto" w:fill="ffffff"/>
        </w:rPr>
      </w:pPr>
      <w:r>
        <w:rPr>
          <w:rFonts w:hint="eastAsia"/>
          <w:color w:val="000000"/>
          <w:highlight w:val="none"/>
          <w:shd w:val="clear" w:color="auto" w:fill="ffffff"/>
        </w:rPr>
        <w:t xml:space="preserve">12、</w:t>
      </w:r>
      <w:r>
        <w:rPr>
          <w:rFonts w:hint="eastAsia"/>
          <w:color w:val="000000"/>
          <w:highlight w:val="none"/>
        </w:rPr>
        <w:t xml:space="preserve">类似业绩证明材料</w:t>
      </w:r>
      <w:r>
        <w:rPr>
          <w:rFonts w:hint="eastAsia"/>
          <w:color w:val="000000"/>
          <w:highlight w:val="none"/>
          <w:shd w:val="clear" w:color="auto" w:fill="ffffff"/>
        </w:rPr>
      </w:r>
      <w:r/>
    </w:p>
    <w:p>
      <w:pPr>
        <w:pStyle w:val="947"/>
        <w:jc w:val="center"/>
        <w:spacing w:line="360" w:lineRule="auto"/>
        <w:rPr>
          <w:rFonts w:hint="eastAsia" w:ascii="宋体" w:hAnsi="宋体"/>
          <w:b/>
          <w:bCs/>
          <w:color w:val="000000"/>
          <w:sz w:val="28"/>
          <w:szCs w:val="28"/>
          <w:highlight w:val="none"/>
        </w:rPr>
      </w:pPr>
      <w:r/>
      <w:bookmarkEnd w:id="23"/>
      <w:r/>
      <w:bookmarkStart w:id="25" w:name="_Ref5854"/>
      <w:r>
        <w:rPr>
          <w:rFonts w:hint="eastAsia" w:ascii="宋体" w:hAnsi="宋体"/>
          <w:b/>
          <w:bCs/>
          <w:color w:val="000000"/>
          <w:sz w:val="28"/>
          <w:szCs w:val="28"/>
          <w:highlight w:val="none"/>
        </w:rPr>
        <w:t xml:space="preserve">类似业绩证明材料</w:t>
      </w:r>
      <w:bookmarkEnd w:id="25"/>
      <w:r>
        <w:rPr>
          <w:rFonts w:hint="eastAsia" w:ascii="宋体" w:hAnsi="宋体"/>
          <w:b/>
          <w:bCs/>
          <w:color w:val="000000"/>
          <w:sz w:val="28"/>
          <w:szCs w:val="28"/>
          <w:highlight w:val="none"/>
        </w:rPr>
      </w:r>
      <w:r/>
    </w:p>
    <w:p>
      <w:pPr>
        <w:pStyle w:val="947"/>
        <w:ind w:firstLine="424"/>
        <w:spacing w:line="400" w:lineRule="exact"/>
        <w:rPr>
          <w:rFonts w:hint="eastAsia" w:ascii="宋体" w:hAnsi="宋体"/>
          <w:color w:val="000000"/>
          <w:szCs w:val="21"/>
          <w:highlight w:val="none"/>
        </w:rPr>
      </w:pPr>
      <w:r>
        <w:rPr>
          <w:rFonts w:ascii="宋体" w:hAnsi="宋体"/>
          <w:color w:val="000000"/>
          <w:szCs w:val="21"/>
          <w:highlight w:val="none"/>
        </w:rPr>
        <w:t xml:space="preserve">投标人名称：_________________________</w:t>
      </w:r>
      <w:r>
        <w:rPr>
          <w:rFonts w:hint="eastAsia" w:ascii="宋体" w:hAnsi="宋体"/>
          <w:color w:val="000000"/>
          <w:szCs w:val="21"/>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2410"/>
        <w:gridCol w:w="2693"/>
        <w:gridCol w:w="1418"/>
      </w:tblGrid>
      <w:tr>
        <w:trPr>
          <w:trHeight w:val="542"/>
        </w:trPr>
        <w:tc>
          <w:tcPr>
            <w:tcW w:w="2376" w:type="dxa"/>
            <w:vAlign w:val="center"/>
            <w:textDirection w:val="lrTb"/>
            <w:noWrap w:val="false"/>
          </w:tcPr>
          <w:p>
            <w:pPr>
              <w:pStyle w:val="947"/>
              <w:jc w:val="center"/>
              <w:rPr>
                <w:rFonts w:hint="eastAsia" w:ascii="宋体" w:hAnsi="宋体"/>
                <w:b/>
                <w:color w:val="000000"/>
                <w:szCs w:val="21"/>
                <w:highlight w:val="none"/>
              </w:rPr>
            </w:pPr>
            <w:r>
              <w:rPr>
                <w:rFonts w:hint="eastAsia" w:ascii="宋体" w:hAnsi="宋体"/>
                <w:b/>
                <w:color w:val="000000"/>
                <w:szCs w:val="21"/>
                <w:highlight w:val="none"/>
              </w:rPr>
              <w:t xml:space="preserve">服务单位</w:t>
            </w:r>
            <w:r>
              <w:rPr>
                <w:rFonts w:hint="eastAsia" w:ascii="宋体" w:hAnsi="宋体"/>
                <w:b/>
                <w:color w:val="000000"/>
                <w:szCs w:val="21"/>
                <w:highlight w:val="none"/>
              </w:rPr>
            </w:r>
            <w:r/>
          </w:p>
        </w:tc>
        <w:tc>
          <w:tcPr>
            <w:tcW w:w="2410" w:type="dxa"/>
            <w:vAlign w:val="center"/>
            <w:textDirection w:val="lrTb"/>
            <w:noWrap w:val="false"/>
          </w:tcPr>
          <w:p>
            <w:pPr>
              <w:pStyle w:val="947"/>
              <w:jc w:val="center"/>
              <w:rPr>
                <w:rFonts w:hint="eastAsia" w:ascii="宋体" w:hAnsi="宋体"/>
                <w:b/>
                <w:color w:val="000000"/>
                <w:szCs w:val="21"/>
                <w:highlight w:val="none"/>
              </w:rPr>
            </w:pPr>
            <w:r>
              <w:rPr>
                <w:rFonts w:hint="eastAsia" w:ascii="宋体" w:hAnsi="宋体"/>
                <w:b/>
                <w:color w:val="000000"/>
                <w:szCs w:val="21"/>
                <w:highlight w:val="none"/>
              </w:rPr>
              <w:t xml:space="preserve">项目金额（万元）</w:t>
            </w:r>
            <w:r>
              <w:rPr>
                <w:rFonts w:hint="eastAsia" w:ascii="宋体" w:hAnsi="宋体"/>
                <w:b/>
                <w:color w:val="000000"/>
                <w:szCs w:val="21"/>
                <w:highlight w:val="none"/>
              </w:rPr>
            </w:r>
            <w:r/>
          </w:p>
        </w:tc>
        <w:tc>
          <w:tcPr>
            <w:tcW w:w="2693" w:type="dxa"/>
            <w:vAlign w:val="center"/>
            <w:textDirection w:val="lrTb"/>
            <w:noWrap w:val="false"/>
          </w:tcPr>
          <w:p>
            <w:pPr>
              <w:pStyle w:val="947"/>
              <w:jc w:val="center"/>
              <w:rPr>
                <w:rFonts w:hint="eastAsia" w:ascii="宋体" w:hAnsi="宋体"/>
                <w:b/>
                <w:color w:val="000000"/>
                <w:szCs w:val="21"/>
                <w:highlight w:val="none"/>
              </w:rPr>
            </w:pPr>
            <w:r>
              <w:rPr>
                <w:rFonts w:hint="eastAsia" w:ascii="宋体" w:hAnsi="宋体"/>
                <w:b/>
                <w:color w:val="000000"/>
                <w:szCs w:val="21"/>
                <w:highlight w:val="none"/>
              </w:rPr>
              <w:t xml:space="preserve">服务内容</w:t>
            </w:r>
            <w:r>
              <w:rPr>
                <w:rFonts w:hint="eastAsia" w:ascii="宋体" w:hAnsi="宋体"/>
                <w:b/>
                <w:color w:val="000000"/>
                <w:szCs w:val="21"/>
                <w:highlight w:val="none"/>
              </w:rPr>
            </w:r>
            <w:r/>
          </w:p>
        </w:tc>
        <w:tc>
          <w:tcPr>
            <w:tcW w:w="1418" w:type="dxa"/>
            <w:vAlign w:val="center"/>
            <w:textDirection w:val="lrTb"/>
            <w:noWrap w:val="false"/>
          </w:tcPr>
          <w:p>
            <w:pPr>
              <w:pStyle w:val="947"/>
              <w:jc w:val="center"/>
              <w:rPr>
                <w:rFonts w:hint="eastAsia" w:ascii="宋体" w:hAnsi="宋体"/>
                <w:b/>
                <w:color w:val="000000"/>
                <w:szCs w:val="21"/>
                <w:highlight w:val="none"/>
              </w:rPr>
            </w:pPr>
            <w:r>
              <w:rPr>
                <w:rFonts w:hint="eastAsia" w:ascii="宋体" w:hAnsi="宋体"/>
                <w:b/>
                <w:color w:val="000000"/>
                <w:szCs w:val="21"/>
                <w:highlight w:val="none"/>
              </w:rPr>
              <w:t xml:space="preserve">备注</w:t>
            </w:r>
            <w:r>
              <w:rPr>
                <w:rFonts w:hint="eastAsia" w:ascii="宋体" w:hAnsi="宋体"/>
                <w:b/>
                <w:color w:val="000000"/>
                <w:szCs w:val="21"/>
                <w:highlight w:val="none"/>
              </w:rPr>
            </w:r>
            <w:r/>
          </w:p>
        </w:tc>
      </w:tr>
      <w:tr>
        <w:trPr>
          <w:trHeight w:val="609"/>
        </w:trPr>
        <w:tc>
          <w:tcPr>
            <w:tcW w:w="2376"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410"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693"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1418"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r>
      <w:tr>
        <w:trPr>
          <w:trHeight w:val="609"/>
        </w:trPr>
        <w:tc>
          <w:tcPr>
            <w:tcW w:w="2376"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410"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693"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1418"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r>
      <w:tr>
        <w:trPr>
          <w:trHeight w:val="609"/>
        </w:trPr>
        <w:tc>
          <w:tcPr>
            <w:tcW w:w="2376"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410"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693"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1418"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r>
      <w:tr>
        <w:trPr>
          <w:trHeight w:val="609"/>
        </w:trPr>
        <w:tc>
          <w:tcPr>
            <w:tcW w:w="2376"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410"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693"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1418"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r>
      <w:tr>
        <w:trPr>
          <w:trHeight w:val="609"/>
        </w:trPr>
        <w:tc>
          <w:tcPr>
            <w:tcW w:w="2376"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410"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693"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1418"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r>
      <w:tr>
        <w:trPr>
          <w:trHeight w:val="609"/>
        </w:trPr>
        <w:tc>
          <w:tcPr>
            <w:tcW w:w="2376" w:type="dxa"/>
            <w:vAlign w:val="center"/>
            <w:textDirection w:val="lrTb"/>
            <w:noWrap w:val="false"/>
          </w:tcPr>
          <w:p>
            <w:pPr>
              <w:pStyle w:val="947"/>
              <w:jc w:val="center"/>
              <w:rPr>
                <w:rFonts w:hint="eastAsia" w:ascii="宋体" w:hAnsi="宋体"/>
                <w:b/>
                <w:color w:val="000000"/>
                <w:szCs w:val="21"/>
                <w:highlight w:val="none"/>
              </w:rPr>
            </w:pPr>
            <w:r>
              <w:rPr>
                <w:rFonts w:hint="eastAsia" w:ascii="宋体" w:hAnsi="宋体"/>
                <w:b/>
                <w:color w:val="000000"/>
                <w:szCs w:val="21"/>
                <w:highlight w:val="none"/>
              </w:rPr>
              <w:t xml:space="preserve">合计</w:t>
            </w:r>
            <w:r>
              <w:rPr>
                <w:rFonts w:hint="eastAsia" w:ascii="宋体" w:hAnsi="宋体"/>
                <w:b/>
                <w:color w:val="000000"/>
                <w:szCs w:val="21"/>
                <w:highlight w:val="none"/>
              </w:rPr>
            </w:r>
            <w:r/>
          </w:p>
        </w:tc>
        <w:tc>
          <w:tcPr>
            <w:tcW w:w="2410"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2693"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c>
          <w:tcPr>
            <w:tcW w:w="1418" w:type="dxa"/>
            <w:vAlign w:val="center"/>
            <w:textDirection w:val="lrTb"/>
            <w:noWrap w:val="false"/>
          </w:tcPr>
          <w:p>
            <w:pPr>
              <w:pStyle w:val="947"/>
              <w:jc w:val="center"/>
              <w:spacing w:line="360" w:lineRule="auto"/>
              <w:rPr>
                <w:rFonts w:hint="eastAsia"/>
                <w:color w:val="000000"/>
                <w:szCs w:val="21"/>
                <w:highlight w:val="none"/>
              </w:rPr>
            </w:pPr>
            <w:r>
              <w:rPr>
                <w:rFonts w:hint="eastAsia"/>
                <w:color w:val="000000"/>
                <w:szCs w:val="21"/>
                <w:highlight w:val="none"/>
              </w:rPr>
            </w:r>
            <w:r/>
          </w:p>
        </w:tc>
      </w:tr>
    </w:tbl>
    <w:p>
      <w:pPr>
        <w:pStyle w:val="947"/>
        <w:ind w:right="357" w:firstLine="426"/>
        <w:spacing w:before="120" w:line="400" w:lineRule="exact"/>
        <w:rPr>
          <w:rFonts w:ascii="宋体" w:hAnsi="宋体"/>
          <w:color w:val="000000"/>
          <w:highlight w:val="none"/>
        </w:rPr>
      </w:pPr>
      <w:r>
        <w:rPr>
          <w:rFonts w:ascii="宋体" w:hAnsi="宋体"/>
          <w:b/>
          <w:bCs/>
          <w:color w:val="000000"/>
          <w:szCs w:val="21"/>
          <w:highlight w:val="none"/>
        </w:rPr>
        <w:t xml:space="preserve">注：投标人应提供双方签订的服务合同</w:t>
      </w:r>
      <w:r>
        <w:rPr>
          <w:rFonts w:hint="eastAsia" w:ascii="宋体" w:hAnsi="宋体"/>
          <w:b/>
          <w:bCs/>
          <w:color w:val="000000"/>
          <w:szCs w:val="21"/>
          <w:highlight w:val="none"/>
        </w:rPr>
        <w:t xml:space="preserve">扫描件。</w:t>
      </w:r>
      <w:r>
        <w:rPr>
          <w:rFonts w:ascii="宋体" w:hAnsi="宋体"/>
          <w:color w:val="000000"/>
          <w:highlight w:val="none"/>
        </w:rPr>
      </w:r>
      <w:r/>
    </w:p>
    <w:p>
      <w:pPr>
        <w:pStyle w:val="947"/>
        <w:rPr>
          <w:color w:val="000000"/>
          <w:highlight w:val="none"/>
        </w:rPr>
      </w:pPr>
      <w:r>
        <w:rPr>
          <w:color w:val="000000"/>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int="eastAsia" w:hAnsi="宋体" w:eastAsia="宋体"/>
          <w:color w:val="000000"/>
          <w:sz w:val="21"/>
          <w:szCs w:val="21"/>
          <w:highlight w:val="none"/>
        </w:rPr>
        <w:t xml:space="preserve">公章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947"/>
        <w:jc w:val="right"/>
        <w:spacing w:line="360" w:lineRule="auto"/>
        <w:rPr>
          <w:rFonts w:hint="eastAsia"/>
          <w:color w:val="000000"/>
          <w:szCs w:val="21"/>
          <w:highlight w:val="none"/>
        </w:rPr>
      </w:pPr>
      <w:r>
        <w:rPr>
          <w:rFonts w:hAnsi="宋体"/>
          <w:color w:val="000000"/>
          <w:szCs w:val="21"/>
          <w:highlight w:val="none"/>
        </w:rPr>
        <w:t xml:space="preserve">日期：</w:t>
      </w:r>
      <w:r>
        <w:rPr>
          <w:rFonts w:hint="eastAsia" w:hAnsi="宋体"/>
          <w:color w:val="000000"/>
          <w:szCs w:val="21"/>
          <w:highlight w:val="none"/>
        </w:rPr>
        <w:t xml:space="preserve">      </w:t>
      </w:r>
      <w:r>
        <w:rPr>
          <w:rFonts w:hAnsi="宋体"/>
          <w:color w:val="000000"/>
          <w:szCs w:val="21"/>
          <w:highlight w:val="none"/>
        </w:rPr>
        <w:t xml:space="preserve">年</w:t>
      </w:r>
      <w:r>
        <w:rPr>
          <w:rFonts w:hint="eastAsia" w:hAnsi="宋体"/>
          <w:color w:val="000000"/>
          <w:szCs w:val="21"/>
          <w:highlight w:val="none"/>
        </w:rPr>
        <w:t xml:space="preserve">  </w:t>
      </w:r>
      <w:r>
        <w:rPr>
          <w:rFonts w:hAnsi="宋体"/>
          <w:color w:val="000000"/>
          <w:szCs w:val="21"/>
          <w:highlight w:val="none"/>
        </w:rPr>
        <w:t xml:space="preserve">月</w:t>
      </w:r>
      <w:r>
        <w:rPr>
          <w:rFonts w:hint="eastAsia" w:hAnsi="宋体"/>
          <w:color w:val="000000"/>
          <w:szCs w:val="21"/>
          <w:highlight w:val="none"/>
        </w:rPr>
        <w:t xml:space="preserve">  </w:t>
      </w:r>
      <w:r>
        <w:rPr>
          <w:rFonts w:hAnsi="宋体"/>
          <w:color w:val="000000"/>
          <w:szCs w:val="21"/>
          <w:highlight w:val="none"/>
        </w:rPr>
        <w:t xml:space="preserve">日</w:t>
      </w:r>
      <w:r>
        <w:rPr>
          <w:rFonts w:hint="eastAsia"/>
          <w:color w:val="000000"/>
          <w:szCs w:val="21"/>
          <w:highlight w:val="none"/>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rPr>
      </w:pPr>
      <w:r>
        <w:rPr>
          <w:rFonts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hint="eastAsia" w:ascii="Tahoma" w:hAnsi="Tahoma"/>
          <w:color w:val="000000"/>
          <w:sz w:val="24"/>
          <w:highlight w:val="none"/>
        </w:rPr>
      </w:pPr>
      <w:r>
        <w:rPr>
          <w:rFonts w:hint="eastAsia" w:ascii="Tahoma" w:hAnsi="Tahoma"/>
          <w:color w:val="000000"/>
          <w:sz w:val="24"/>
          <w:highlight w:val="none"/>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9"/>
        <w:spacing w:before="480" w:after="240"/>
        <w:rPr>
          <w:rFonts w:hint="eastAsia"/>
          <w:color w:val="000000"/>
          <w:highlight w:val="none"/>
          <w:shd w:val="clear" w:color="auto" w:fill="ffffff"/>
        </w:rPr>
      </w:pPr>
      <w:r/>
      <w:bookmarkStart w:id="26" w:name="_Ref73106145"/>
      <w:r>
        <w:rPr>
          <w:rFonts w:hint="eastAsia"/>
          <w:color w:val="000000"/>
          <w:highlight w:val="none"/>
          <w:shd w:val="clear" w:color="auto" w:fill="ffffff"/>
        </w:rPr>
        <w:t xml:space="preserve">13、作业车辆配置表</w:t>
      </w:r>
      <w:bookmarkEnd w:id="26"/>
      <w:r>
        <w:rPr>
          <w:rFonts w:hint="eastAsia"/>
          <w:color w:val="000000"/>
          <w:highlight w:val="none"/>
          <w:shd w:val="clear" w:color="auto" w:fill="ffffff"/>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作业车辆配置表</w:t>
      </w:r>
      <w:r>
        <w:rPr>
          <w:rFonts w:hint="eastAsia" w:ascii="宋体" w:hAnsi="宋体"/>
          <w:b/>
          <w:bCs/>
          <w:color w:val="000000"/>
          <w:sz w:val="28"/>
          <w:szCs w:val="28"/>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5"/>
        <w:gridCol w:w="1272"/>
        <w:gridCol w:w="761"/>
        <w:gridCol w:w="761"/>
        <w:gridCol w:w="1830"/>
      </w:tblGrid>
      <w:tr>
        <w:trPr>
          <w:cantSplit/>
          <w:trHeight w:val="1259"/>
        </w:trPr>
        <w:tc>
          <w:tcPr>
            <w:tcW w:w="716" w:type="dxa"/>
            <w:vAlign w:val="center"/>
            <w:textDirection w:val="lrTb"/>
            <w:noWrap w:val="false"/>
          </w:tcPr>
          <w:p>
            <w:pPr>
              <w:pStyle w:val="1206"/>
              <w:jc w:val="center"/>
              <w:spacing w:line="360" w:lineRule="auto"/>
              <w:rPr>
                <w:rFonts w:eastAsia="宋体"/>
                <w:color w:val="000000"/>
                <w:sz w:val="21"/>
                <w:szCs w:val="21"/>
                <w:highlight w:val="none"/>
              </w:rPr>
            </w:pPr>
            <w:r/>
            <w:bookmarkStart w:id="27" w:name="_Hlk172548653"/>
            <w:r>
              <w:rPr>
                <w:rFonts w:hint="eastAsia" w:eastAsia="宋体"/>
                <w:color w:val="000000"/>
                <w:sz w:val="21"/>
                <w:szCs w:val="21"/>
                <w:highlight w:val="none"/>
              </w:rPr>
              <w:t xml:space="preserve">序号</w:t>
            </w:r>
            <w:r>
              <w:rPr>
                <w:rFonts w:eastAsia="宋体"/>
                <w:color w:val="000000"/>
                <w:sz w:val="21"/>
                <w:szCs w:val="21"/>
                <w:highlight w:val="none"/>
              </w:rPr>
            </w:r>
            <w:r/>
          </w:p>
        </w:tc>
        <w:tc>
          <w:tcPr>
            <w:tcW w:w="1809" w:type="dxa"/>
            <w:vAlign w:val="center"/>
            <w:textDirection w:val="lrTb"/>
            <w:noWrap w:val="false"/>
          </w:tcPr>
          <w:p>
            <w:pPr>
              <w:pStyle w:val="1206"/>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名称</w:t>
            </w:r>
            <w:r>
              <w:rPr>
                <w:rFonts w:eastAsia="宋体"/>
                <w:color w:val="000000"/>
                <w:sz w:val="21"/>
                <w:szCs w:val="21"/>
                <w:highlight w:val="none"/>
              </w:rPr>
            </w:r>
            <w:r/>
          </w:p>
        </w:tc>
        <w:tc>
          <w:tcPr>
            <w:tcW w:w="2195" w:type="dxa"/>
            <w:vAlign w:val="center"/>
            <w:textDirection w:val="lrTb"/>
            <w:noWrap w:val="false"/>
          </w:tcPr>
          <w:p>
            <w:pPr>
              <w:pStyle w:val="1206"/>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车牌号、型号、规格</w:t>
            </w:r>
            <w:r>
              <w:rPr>
                <w:rFonts w:eastAsia="宋体"/>
                <w:color w:val="000000"/>
                <w:sz w:val="21"/>
                <w:szCs w:val="21"/>
                <w:highlight w:val="none"/>
              </w:rPr>
            </w:r>
            <w:r/>
          </w:p>
        </w:tc>
        <w:tc>
          <w:tcPr>
            <w:tcW w:w="1272" w:type="dxa"/>
            <w:vAlign w:val="center"/>
            <w:textDirection w:val="lrTb"/>
            <w:noWrap w:val="false"/>
          </w:tcPr>
          <w:p>
            <w:pPr>
              <w:pStyle w:val="1206"/>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购买日期/租赁日期</w:t>
            </w:r>
            <w:r>
              <w:rPr>
                <w:rFonts w:eastAsia="宋体"/>
                <w:color w:val="000000"/>
                <w:sz w:val="21"/>
                <w:szCs w:val="21"/>
                <w:highlight w:val="none"/>
              </w:rPr>
            </w:r>
            <w:r/>
          </w:p>
        </w:tc>
        <w:tc>
          <w:tcPr>
            <w:tcW w:w="761" w:type="dxa"/>
            <w:vAlign w:val="center"/>
            <w:textDirection w:val="lrTb"/>
            <w:noWrap w:val="false"/>
          </w:tcPr>
          <w:p>
            <w:pPr>
              <w:pStyle w:val="1206"/>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单位</w:t>
            </w:r>
            <w:r>
              <w:rPr>
                <w:rFonts w:eastAsia="宋体"/>
                <w:color w:val="000000"/>
                <w:sz w:val="21"/>
                <w:szCs w:val="21"/>
                <w:highlight w:val="none"/>
              </w:rPr>
            </w:r>
            <w:r/>
          </w:p>
        </w:tc>
        <w:tc>
          <w:tcPr>
            <w:tcW w:w="761" w:type="dxa"/>
            <w:vAlign w:val="center"/>
            <w:textDirection w:val="lrTb"/>
            <w:noWrap w:val="false"/>
          </w:tcPr>
          <w:p>
            <w:pPr>
              <w:pStyle w:val="1206"/>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数量</w:t>
            </w:r>
            <w:r>
              <w:rPr>
                <w:rFonts w:eastAsia="宋体"/>
                <w:color w:val="000000"/>
                <w:sz w:val="21"/>
                <w:szCs w:val="21"/>
                <w:highlight w:val="none"/>
              </w:rPr>
            </w:r>
            <w:r/>
          </w:p>
        </w:tc>
        <w:tc>
          <w:tcPr>
            <w:tcW w:w="1830" w:type="dxa"/>
            <w:vAlign w:val="center"/>
            <w:textDirection w:val="lrTb"/>
            <w:noWrap w:val="false"/>
          </w:tcPr>
          <w:p>
            <w:pPr>
              <w:pStyle w:val="1236"/>
              <w:jc w:val="center"/>
              <w:spacing w:line="360" w:lineRule="auto"/>
              <w:rPr>
                <w:rFonts w:eastAsia="宋体"/>
                <w:color w:val="000000"/>
                <w:sz w:val="21"/>
                <w:szCs w:val="21"/>
                <w:highlight w:val="none"/>
              </w:rPr>
            </w:pPr>
            <w:r>
              <w:rPr>
                <w:rFonts w:eastAsia="宋体"/>
                <w:color w:val="000000"/>
                <w:sz w:val="21"/>
                <w:szCs w:val="21"/>
                <w:highlight w:val="none"/>
              </w:rPr>
              <w:t xml:space="preserve">备注</w:t>
            </w:r>
            <w:r>
              <w:rPr>
                <w:rFonts w:eastAsia="宋体"/>
                <w:color w:val="000000"/>
                <w:sz w:val="21"/>
                <w:szCs w:val="21"/>
                <w:highlight w:val="none"/>
              </w:rPr>
            </w:r>
            <w:r/>
          </w:p>
          <w:p>
            <w:pPr>
              <w:pStyle w:val="1206"/>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（填写“现自有”或“租赁”或“承诺中标后配置”）</w:t>
            </w:r>
            <w:r>
              <w:rPr>
                <w:rFonts w:eastAsia="宋体"/>
                <w:color w:val="000000"/>
                <w:sz w:val="21"/>
                <w:szCs w:val="21"/>
                <w:highlight w:val="none"/>
              </w:rPr>
            </w:r>
            <w:r/>
          </w:p>
        </w:tc>
      </w:tr>
      <w:tr>
        <w:trPr>
          <w:cantSplit/>
          <w:trHeight w:val="420"/>
        </w:trPr>
        <w:tc>
          <w:tcPr>
            <w:tcW w:w="716" w:type="dxa"/>
            <w:vAlign w:val="top"/>
            <w:textDirection w:val="lrTb"/>
            <w:noWrap w:val="false"/>
          </w:tcPr>
          <w:p>
            <w:pPr>
              <w:pStyle w:val="1206"/>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1</w:t>
            </w:r>
            <w:r>
              <w:rPr>
                <w:rFonts w:eastAsia="宋体"/>
                <w:color w:val="000000"/>
                <w:sz w:val="21"/>
                <w:szCs w:val="21"/>
                <w:highlight w:val="none"/>
              </w:rPr>
            </w:r>
            <w:r/>
          </w:p>
        </w:tc>
        <w:tc>
          <w:tcPr>
            <w:tcW w:w="1809"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95"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1272"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761"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761"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1830"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r>
      <w:tr>
        <w:trPr>
          <w:cantSplit/>
          <w:trHeight w:val="420"/>
        </w:trPr>
        <w:tc>
          <w:tcPr>
            <w:tcW w:w="716" w:type="dxa"/>
            <w:vAlign w:val="top"/>
            <w:textDirection w:val="lrTb"/>
            <w:noWrap w:val="false"/>
          </w:tcPr>
          <w:p>
            <w:pPr>
              <w:pStyle w:val="1206"/>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2</w:t>
            </w:r>
            <w:r>
              <w:rPr>
                <w:rFonts w:eastAsia="宋体"/>
                <w:color w:val="000000"/>
                <w:sz w:val="21"/>
                <w:szCs w:val="21"/>
                <w:highlight w:val="none"/>
              </w:rPr>
            </w:r>
            <w:r/>
          </w:p>
        </w:tc>
        <w:tc>
          <w:tcPr>
            <w:tcW w:w="1809"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95"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1272"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761"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761"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1830"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r>
      <w:tr>
        <w:trPr>
          <w:cantSplit/>
          <w:trHeight w:val="420"/>
        </w:trPr>
        <w:tc>
          <w:tcPr>
            <w:tcW w:w="716" w:type="dxa"/>
            <w:vAlign w:val="top"/>
            <w:textDirection w:val="lrTb"/>
            <w:noWrap w:val="false"/>
          </w:tcPr>
          <w:p>
            <w:pPr>
              <w:pStyle w:val="1206"/>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3</w:t>
            </w:r>
            <w:r>
              <w:rPr>
                <w:rFonts w:eastAsia="宋体"/>
                <w:color w:val="000000"/>
                <w:sz w:val="21"/>
                <w:szCs w:val="21"/>
                <w:highlight w:val="none"/>
              </w:rPr>
            </w:r>
            <w:r/>
          </w:p>
        </w:tc>
        <w:tc>
          <w:tcPr>
            <w:tcW w:w="1809"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95"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1272"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761"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761"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1830"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r>
      <w:tr>
        <w:trPr>
          <w:cantSplit/>
          <w:trHeight w:val="420"/>
        </w:trPr>
        <w:tc>
          <w:tcPr>
            <w:tcW w:w="716" w:type="dxa"/>
            <w:vAlign w:val="top"/>
            <w:textDirection w:val="lrTb"/>
            <w:noWrap w:val="false"/>
          </w:tcPr>
          <w:p>
            <w:pPr>
              <w:pStyle w:val="1206"/>
              <w:jc w:val="center"/>
              <w:spacing w:line="360" w:lineRule="auto"/>
              <w:rPr>
                <w:rFonts w:eastAsia="宋体"/>
                <w:color w:val="000000"/>
                <w:sz w:val="21"/>
                <w:szCs w:val="21"/>
                <w:highlight w:val="none"/>
              </w:rPr>
            </w:pPr>
            <w:r>
              <w:rPr>
                <w:rFonts w:hint="eastAsia" w:eastAsia="宋体"/>
                <w:color w:val="000000"/>
                <w:sz w:val="21"/>
                <w:szCs w:val="21"/>
                <w:highlight w:val="none"/>
              </w:rPr>
              <w:t xml:space="preserve">...</w:t>
            </w:r>
            <w:r>
              <w:rPr>
                <w:rFonts w:eastAsia="宋体"/>
                <w:color w:val="000000"/>
                <w:sz w:val="21"/>
                <w:szCs w:val="21"/>
                <w:highlight w:val="none"/>
              </w:rPr>
            </w:r>
            <w:r/>
          </w:p>
        </w:tc>
        <w:tc>
          <w:tcPr>
            <w:tcW w:w="1809"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2195"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1272"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761"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761"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c>
          <w:tcPr>
            <w:tcW w:w="1830" w:type="dxa"/>
            <w:vAlign w:val="top"/>
            <w:textDirection w:val="lrTb"/>
            <w:noWrap w:val="false"/>
          </w:tcPr>
          <w:p>
            <w:pPr>
              <w:pStyle w:val="1206"/>
              <w:jc w:val="center"/>
              <w:spacing w:line="360" w:lineRule="auto"/>
              <w:rPr>
                <w:rFonts w:eastAsia="宋体"/>
                <w:color w:val="000000"/>
                <w:sz w:val="21"/>
                <w:szCs w:val="21"/>
                <w:highlight w:val="none"/>
              </w:rPr>
            </w:pPr>
            <w:r>
              <w:rPr>
                <w:rFonts w:eastAsia="宋体"/>
                <w:color w:val="000000"/>
                <w:sz w:val="21"/>
                <w:szCs w:val="21"/>
                <w:highlight w:val="none"/>
              </w:rPr>
            </w:r>
            <w:r/>
          </w:p>
        </w:tc>
      </w:tr>
      <w:tr>
        <w:trPr>
          <w:cantSplit/>
          <w:trHeight w:val="599"/>
        </w:trPr>
        <w:tc>
          <w:tcPr>
            <w:gridSpan w:val="7"/>
            <w:tcW w:w="9344" w:type="dxa"/>
            <w:vAlign w:val="top"/>
            <w:textDirection w:val="lrTb"/>
            <w:noWrap w:val="false"/>
          </w:tcPr>
          <w:p>
            <w:pPr>
              <w:pStyle w:val="1206"/>
              <w:jc w:val="left"/>
              <w:spacing w:line="360" w:lineRule="auto"/>
              <w:rPr>
                <w:rFonts w:eastAsia="宋体"/>
                <w:color w:val="000000"/>
                <w:sz w:val="21"/>
                <w:szCs w:val="21"/>
                <w:highlight w:val="none"/>
              </w:rPr>
            </w:pPr>
            <w:r>
              <w:rPr>
                <w:rFonts w:hint="eastAsia" w:eastAsia="宋体"/>
                <w:color w:val="000000"/>
                <w:sz w:val="21"/>
                <w:szCs w:val="21"/>
                <w:highlight w:val="none"/>
              </w:rPr>
              <w:t xml:space="preserve">我公司承诺，若上述“现自有”车辆情况在中标后未通过采购人审查，我公司中标后将按招标文件要求重新配置新车辆投入本项目使用。</w:t>
            </w:r>
            <w:r>
              <w:rPr>
                <w:rFonts w:eastAsia="宋体"/>
                <w:color w:val="000000"/>
                <w:sz w:val="21"/>
                <w:szCs w:val="21"/>
                <w:highlight w:val="none"/>
              </w:rPr>
            </w:r>
            <w:r/>
          </w:p>
        </w:tc>
      </w:tr>
    </w:tbl>
    <w:p>
      <w:pPr>
        <w:pStyle w:val="1206"/>
        <w:ind w:firstLine="359"/>
        <w:spacing w:line="360" w:lineRule="auto"/>
        <w:rPr>
          <w:rFonts w:eastAsia="宋体"/>
          <w:color w:val="000000"/>
          <w:sz w:val="21"/>
          <w:szCs w:val="21"/>
          <w:highlight w:val="none"/>
        </w:rPr>
      </w:pPr>
      <w:r/>
      <w:bookmarkEnd w:id="27"/>
      <w:r/>
      <w:bookmarkStart w:id="28" w:name="_Hlk172548664"/>
      <w:r>
        <w:rPr>
          <w:rFonts w:hint="eastAsia" w:eastAsia="宋体"/>
          <w:color w:val="000000"/>
          <w:sz w:val="21"/>
          <w:szCs w:val="21"/>
          <w:highlight w:val="none"/>
        </w:rPr>
        <w:t xml:space="preserve">备注：</w:t>
      </w:r>
      <w:r>
        <w:rPr>
          <w:rFonts w:eastAsia="宋体"/>
          <w:color w:val="000000"/>
          <w:sz w:val="21"/>
          <w:szCs w:val="21"/>
          <w:highlight w:val="none"/>
        </w:rPr>
      </w:r>
      <w:r/>
    </w:p>
    <w:p>
      <w:pPr>
        <w:pStyle w:val="1206"/>
        <w:ind w:firstLine="359"/>
        <w:spacing w:line="360" w:lineRule="auto"/>
        <w:rPr>
          <w:rFonts w:eastAsia="宋体"/>
          <w:color w:val="000000"/>
          <w:sz w:val="21"/>
          <w:szCs w:val="21"/>
          <w:highlight w:val="none"/>
        </w:rPr>
      </w:pPr>
      <w:r>
        <w:rPr>
          <w:rFonts w:hint="eastAsia" w:eastAsia="宋体"/>
          <w:color w:val="000000"/>
          <w:sz w:val="21"/>
          <w:szCs w:val="21"/>
          <w:highlight w:val="none"/>
        </w:rPr>
        <w:t xml:space="preserve">1、特指纳入投标人企业固定资产管理的设施设备。</w:t>
      </w:r>
      <w:r>
        <w:rPr>
          <w:rFonts w:eastAsia="宋体"/>
          <w:color w:val="000000"/>
          <w:sz w:val="21"/>
          <w:szCs w:val="21"/>
          <w:highlight w:val="none"/>
        </w:rPr>
      </w:r>
      <w:r/>
    </w:p>
    <w:p>
      <w:pPr>
        <w:pStyle w:val="1206"/>
        <w:ind w:firstLine="359"/>
        <w:spacing w:line="360" w:lineRule="auto"/>
        <w:rPr>
          <w:rFonts w:hint="eastAsia" w:eastAsia="宋体"/>
          <w:color w:val="000000"/>
          <w:sz w:val="21"/>
          <w:szCs w:val="21"/>
          <w:highlight w:val="none"/>
        </w:rPr>
      </w:pPr>
      <w:r>
        <w:rPr>
          <w:rFonts w:hint="eastAsia" w:eastAsia="宋体"/>
          <w:color w:val="000000"/>
          <w:sz w:val="21"/>
          <w:szCs w:val="21"/>
          <w:highlight w:val="none"/>
        </w:rPr>
        <w:t xml:space="preserve">2、投标人现无符合招标要求的车辆或设备的，投标人可在投标文件中承诺在合同签订后3</w:t>
      </w:r>
      <w:r>
        <w:rPr>
          <w:rFonts w:eastAsia="宋体"/>
          <w:color w:val="000000"/>
          <w:sz w:val="21"/>
          <w:szCs w:val="21"/>
          <w:highlight w:val="none"/>
        </w:rPr>
        <w:t xml:space="preserve">0</w:t>
      </w:r>
      <w:r>
        <w:rPr>
          <w:rFonts w:hint="eastAsia" w:eastAsia="宋体"/>
          <w:color w:val="000000"/>
          <w:sz w:val="21"/>
          <w:szCs w:val="21"/>
          <w:highlight w:val="none"/>
        </w:rPr>
        <w:t xml:space="preserve">天内或项目进场前配置满足招标要求的车辆。</w:t>
      </w:r>
      <w:r>
        <w:rPr>
          <w:rFonts w:hint="eastAsia" w:eastAsia="宋体"/>
          <w:color w:val="000000"/>
          <w:sz w:val="21"/>
          <w:szCs w:val="21"/>
          <w:highlight w:val="none"/>
        </w:rPr>
      </w:r>
      <w:r/>
    </w:p>
    <w:p>
      <w:pPr>
        <w:pStyle w:val="1206"/>
        <w:ind w:firstLine="359"/>
        <w:spacing w:line="360" w:lineRule="auto"/>
        <w:rPr>
          <w:rFonts w:hint="eastAsia" w:eastAsia="宋体"/>
          <w:color w:val="000000"/>
          <w:sz w:val="21"/>
          <w:szCs w:val="21"/>
          <w:highlight w:val="none"/>
        </w:rPr>
      </w:pPr>
      <w:r>
        <w:rPr>
          <w:rFonts w:hint="eastAsia" w:eastAsia="宋体"/>
          <w:color w:val="000000"/>
          <w:sz w:val="21"/>
          <w:szCs w:val="21"/>
          <w:highlight w:val="none"/>
        </w:rPr>
        <w:t xml:space="preserve">3、车辆如是租赁，租赁期需涵盖项目服务期。</w:t>
      </w:r>
      <w:r>
        <w:rPr>
          <w:rFonts w:hint="eastAsia" w:eastAsia="宋体"/>
          <w:color w:val="000000"/>
          <w:sz w:val="21"/>
          <w:szCs w:val="21"/>
          <w:highlight w:val="none"/>
        </w:rPr>
      </w:r>
      <w:r/>
    </w:p>
    <w:p>
      <w:pPr>
        <w:pStyle w:val="1206"/>
        <w:ind w:firstLine="359"/>
        <w:spacing w:line="360" w:lineRule="auto"/>
        <w:rPr>
          <w:rFonts w:hint="eastAsia" w:eastAsia="宋体"/>
          <w:color w:val="000000"/>
          <w:sz w:val="21"/>
          <w:szCs w:val="21"/>
          <w:highlight w:val="none"/>
        </w:rPr>
      </w:pPr>
      <w:r>
        <w:rPr>
          <w:rFonts w:hint="eastAsia"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bookmarkEnd w:id="28"/>
      <w:r>
        <w:rPr>
          <w:rFonts w:hAnsi="宋体" w:eastAsia="宋体"/>
          <w:color w:val="000000"/>
          <w:sz w:val="21"/>
          <w:szCs w:val="21"/>
          <w:highlight w:val="none"/>
        </w:rPr>
        <w:t xml:space="preserve">投标人：（</w:t>
      </w:r>
      <w:r>
        <w:rPr>
          <w:rFonts w:hint="eastAsia" w:hAnsi="宋体" w:eastAsia="宋体"/>
          <w:color w:val="000000"/>
          <w:sz w:val="21"/>
          <w:szCs w:val="21"/>
          <w:highlight w:val="none"/>
        </w:rPr>
        <w:t xml:space="preserve">公章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947"/>
        <w:jc w:val="right"/>
        <w:spacing w:line="360" w:lineRule="auto"/>
        <w:rPr>
          <w:rFonts w:hint="eastAsia"/>
          <w:color w:val="000000"/>
          <w:szCs w:val="21"/>
          <w:highlight w:val="none"/>
        </w:rPr>
      </w:pPr>
      <w:r>
        <w:rPr>
          <w:rFonts w:hAnsi="宋体"/>
          <w:color w:val="000000"/>
          <w:szCs w:val="21"/>
          <w:highlight w:val="none"/>
        </w:rPr>
        <w:t xml:space="preserve">日期：</w:t>
      </w:r>
      <w:r>
        <w:rPr>
          <w:rFonts w:hint="eastAsia" w:hAnsi="宋体"/>
          <w:color w:val="000000"/>
          <w:szCs w:val="21"/>
          <w:highlight w:val="none"/>
        </w:rPr>
        <w:t xml:space="preserve">      </w:t>
      </w:r>
      <w:r>
        <w:rPr>
          <w:rFonts w:hAnsi="宋体"/>
          <w:color w:val="000000"/>
          <w:szCs w:val="21"/>
          <w:highlight w:val="none"/>
        </w:rPr>
        <w:t xml:space="preserve">年</w:t>
      </w:r>
      <w:r>
        <w:rPr>
          <w:rFonts w:hint="eastAsia" w:hAnsi="宋体"/>
          <w:color w:val="000000"/>
          <w:szCs w:val="21"/>
          <w:highlight w:val="none"/>
        </w:rPr>
        <w:t xml:space="preserve">  </w:t>
      </w:r>
      <w:r>
        <w:rPr>
          <w:rFonts w:hAnsi="宋体"/>
          <w:color w:val="000000"/>
          <w:szCs w:val="21"/>
          <w:highlight w:val="none"/>
        </w:rPr>
        <w:t xml:space="preserve">月</w:t>
      </w:r>
      <w:r>
        <w:rPr>
          <w:rFonts w:hint="eastAsia" w:hAnsi="宋体"/>
          <w:color w:val="000000"/>
          <w:szCs w:val="21"/>
          <w:highlight w:val="none"/>
        </w:rPr>
        <w:t xml:space="preserve">  </w:t>
      </w:r>
      <w:r>
        <w:rPr>
          <w:rFonts w:hAnsi="宋体"/>
          <w:color w:val="000000"/>
          <w:szCs w:val="21"/>
          <w:highlight w:val="none"/>
        </w:rPr>
        <w:t xml:space="preserve">日</w:t>
      </w:r>
      <w:r>
        <w:rPr>
          <w:rFonts w:hint="eastAsia"/>
          <w:color w:val="000000"/>
          <w:szCs w:val="21"/>
          <w:highlight w:val="none"/>
        </w:rPr>
      </w:r>
      <w:r/>
    </w:p>
    <w:p>
      <w:pPr>
        <w:pStyle w:val="949"/>
        <w:spacing w:before="480" w:after="240"/>
        <w:rPr>
          <w:rFonts w:hint="eastAsia"/>
          <w:color w:val="000000"/>
          <w:highlight w:val="none"/>
          <w:shd w:val="clear" w:color="auto" w:fill="ffffff"/>
        </w:rPr>
      </w:pPr>
      <w:r>
        <w:rPr>
          <w:color w:val="000000"/>
          <w:highlight w:val="none"/>
          <w:lang w:val="zh-CN"/>
        </w:rPr>
        <w:br w:type="page" w:clear="all"/>
      </w:r>
      <w:bookmarkStart w:id="29" w:name="_Ref62218061"/>
      <w:r/>
      <w:bookmarkStart w:id="30" w:name="_Hlk172548693"/>
      <w:r>
        <w:rPr>
          <w:rFonts w:hint="eastAsia"/>
          <w:color w:val="000000"/>
          <w:highlight w:val="none"/>
          <w:shd w:val="clear" w:color="auto" w:fill="ffffff"/>
        </w:rPr>
        <w:t xml:space="preserve">14、车辆承诺函</w:t>
      </w:r>
      <w:bookmarkEnd w:id="29"/>
      <w:r>
        <w:rPr>
          <w:rFonts w:hint="eastAsia"/>
          <w:color w:val="000000"/>
          <w:highlight w:val="none"/>
          <w:shd w:val="clear" w:color="auto" w:fill="ffffff"/>
        </w:rPr>
      </w:r>
      <w:r/>
    </w:p>
    <w:p>
      <w:pPr>
        <w:pStyle w:val="947"/>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车辆承诺函</w:t>
      </w:r>
      <w:r>
        <w:rPr>
          <w:rFonts w:hint="eastAsia" w:ascii="宋体" w:hAnsi="宋体"/>
          <w:b/>
          <w:bCs/>
          <w:color w:val="000000"/>
          <w:sz w:val="28"/>
          <w:szCs w:val="28"/>
          <w:highlight w:val="none"/>
        </w:rPr>
      </w:r>
      <w:r/>
    </w:p>
    <w:p>
      <w:pPr>
        <w:pStyle w:val="947"/>
        <w:spacing w:line="360" w:lineRule="auto"/>
        <w:rPr>
          <w:rFonts w:hint="eastAsia" w:ascii="宋体" w:cs="宋体"/>
          <w:color w:val="000000"/>
          <w:szCs w:val="21"/>
          <w:highlight w:val="none"/>
        </w:rPr>
      </w:pPr>
      <w:r>
        <w:rPr>
          <w:rFonts w:hint="eastAsia" w:ascii="宋体" w:cs="宋体"/>
          <w:color w:val="000000"/>
          <w:szCs w:val="21"/>
          <w:highlight w:val="none"/>
        </w:rPr>
        <w:t xml:space="preserve">致：___________________________(招标人名称）：</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我单位承诺在</w:t>
      </w:r>
      <w:r>
        <w:rPr>
          <w:rFonts w:ascii="宋体" w:hAnsi="宋体"/>
          <w:b/>
          <w:bCs/>
          <w:color w:val="000000"/>
          <w:szCs w:val="21"/>
          <w:highlight w:val="none"/>
        </w:rPr>
        <w:t xml:space="preserve">中标</w:t>
      </w:r>
      <w:r>
        <w:rPr>
          <w:rFonts w:hint="eastAsia" w:ascii="宋体" w:hAnsi="宋体"/>
          <w:b/>
          <w:bCs/>
          <w:color w:val="000000"/>
          <w:szCs w:val="21"/>
          <w:highlight w:val="none"/>
        </w:rPr>
        <w:t xml:space="preserve">合同签订后在进场前15天</w:t>
      </w:r>
      <w:r>
        <w:rPr>
          <w:rFonts w:hint="eastAsia"/>
          <w:color w:val="000000"/>
          <w:szCs w:val="21"/>
          <w:highlight w:val="none"/>
        </w:rPr>
        <w:t xml:space="preserve">前</w:t>
      </w:r>
      <w:r>
        <w:rPr>
          <w:rFonts w:hint="eastAsia" w:ascii="宋体" w:cs="宋体"/>
          <w:color w:val="000000"/>
          <w:szCs w:val="21"/>
          <w:highlight w:val="none"/>
        </w:rPr>
        <w:t xml:space="preserve">配置满足招标要求的以下车辆：</w:t>
      </w:r>
      <w:r>
        <w:rPr>
          <w:rFonts w:hint="eastAsia" w:ascii="宋体" w:cs="宋体"/>
          <w:color w:val="000000"/>
          <w:szCs w:val="21"/>
          <w:highlight w:val="none"/>
        </w:rPr>
      </w:r>
      <w:r/>
    </w:p>
    <w:tbl>
      <w:tblPr>
        <w:tblW w:w="9634" w:type="dxa"/>
        <w:tblInd w:w="5" w:type="dxa"/>
        <w:tblLayout w:type="fixed"/>
        <w:tblCellMar>
          <w:left w:w="108" w:type="dxa"/>
          <w:top w:w="0" w:type="dxa"/>
          <w:right w:w="108" w:type="dxa"/>
          <w:bottom w:w="0" w:type="dxa"/>
        </w:tblCellMar>
        <w:tblLook w:val="04A0" w:firstRow="1" w:lastRow="0" w:firstColumn="1" w:lastColumn="0" w:noHBand="0" w:noVBand="1"/>
      </w:tblPr>
      <w:tblGrid>
        <w:gridCol w:w="658"/>
        <w:gridCol w:w="1464"/>
        <w:gridCol w:w="3402"/>
        <w:gridCol w:w="1417"/>
        <w:gridCol w:w="2693"/>
      </w:tblGrid>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序号</w:t>
            </w:r>
            <w:r>
              <w:rPr>
                <w:rFonts w:ascii="宋体" w:hAnsi="宋体" w:cs="宋体"/>
                <w:b/>
                <w:bCs/>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4866" w:type="dxa"/>
            <w:vAlign w:val="center"/>
            <w:textDirection w:val="lrTb"/>
            <w:noWrap/>
          </w:tcPr>
          <w:p>
            <w:pPr>
              <w:pStyle w:val="947"/>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车型</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b/>
                <w:bCs/>
                <w:color w:val="000000"/>
                <w:sz w:val="22"/>
                <w:highlight w:val="none"/>
              </w:rPr>
            </w:pPr>
            <w:r>
              <w:rPr>
                <w:rFonts w:hint="eastAsia" w:ascii="宋体" w:hAnsi="宋体" w:cs="宋体"/>
                <w:b/>
                <w:bCs/>
                <w:color w:val="000000"/>
                <w:sz w:val="22"/>
                <w:highlight w:val="none"/>
              </w:rPr>
              <w:t xml:space="preserve">所需数量</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693" w:type="dxa"/>
            <w:vAlign w:val="center"/>
            <w:textDirection w:val="lrTb"/>
            <w:noWrap/>
          </w:tcPr>
          <w:p>
            <w:pPr>
              <w:pStyle w:val="947"/>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备注</w:t>
            </w:r>
            <w:r>
              <w:rPr>
                <w:rFonts w:ascii="宋体" w:hAnsi="宋体" w:cs="宋体"/>
                <w:b/>
                <w:bCs/>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4866"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收运车（后压式）：额定载质量7.5t</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4866"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勾臂车</w:t>
            </w:r>
            <w:r>
              <w:rPr>
                <w:rFonts w:hint="eastAsia" w:ascii="宋体" w:hAnsi="宋体" w:cs="宋体"/>
                <w:color w:val="000000"/>
                <w:szCs w:val="21"/>
                <w:highlight w:val="none"/>
              </w:rPr>
              <w:t xml:space="preserve">：额定载质量13.5t</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shd w:val="clear" w:color="000000" w:fill="ffffff"/>
            <w:tcBorders>
              <w:top w:val="none" w:color="000000" w:sz="4" w:space="0"/>
              <w:left w:val="none" w:color="000000" w:sz="4" w:space="0"/>
              <w:bottom w:val="none" w:color="000000" w:sz="0" w:space="0"/>
              <w:right w:val="single" w:color="000000" w:sz="4" w:space="0"/>
            </w:tcBorders>
            <w:tcW w:w="1464" w:type="dxa"/>
            <w:vAlign w:val="center"/>
            <w:vMerge w:val="restart"/>
            <w:textDirection w:val="lrTb"/>
            <w:noWrap/>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整体站</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连体式料斗移动箱（≥16m³）</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r>
            <w:r/>
          </w:p>
        </w:tc>
        <w:tc>
          <w:tcPr>
            <w:shd w:val="clear" w:color="000000" w:fill="ffffff"/>
            <w:tcBorders>
              <w:top w:val="none" w:color="000000" w:sz="0" w:space="0"/>
              <w:left w:val="none" w:color="000000" w:sz="4" w:space="0"/>
              <w:bottom w:val="single" w:color="000000" w:sz="4" w:space="0"/>
              <w:right w:val="single" w:color="000000" w:sz="4" w:space="0"/>
            </w:tcBorders>
            <w:tcW w:w="1464" w:type="dxa"/>
            <w:vAlign w:val="center"/>
            <w:vMerge w:val="continue"/>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分体式移动箱及料斗（≥16m³）</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1料斗2箱体</w:t>
            </w: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64"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厨余垃圾车</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947"/>
              <w:jc w:val="center"/>
              <w:widowControl/>
              <w:rPr>
                <w:rFonts w:ascii="宋体" w:hAnsi="宋体" w:cs="宋体"/>
                <w:color w:val="000000"/>
                <w:sz w:val="22"/>
                <w:highlight w:val="none"/>
              </w:rPr>
            </w:pPr>
            <w:r>
              <w:rPr>
                <w:rFonts w:ascii="宋体" w:hAnsi="宋体" w:cs="宋体"/>
                <w:color w:val="000000"/>
                <w:sz w:val="22"/>
                <w:highlight w:val="none"/>
              </w:rPr>
              <w:t xml:space="preserve">额定载质量</w:t>
            </w:r>
            <w:r>
              <w:rPr>
                <w:rFonts w:hint="eastAsia" w:ascii="宋体" w:hAnsi="宋体" w:cs="宋体"/>
                <w:color w:val="000000"/>
                <w:sz w:val="22"/>
                <w:highlight w:val="none"/>
              </w:rPr>
              <w:t xml:space="preserve">3t</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6</w:t>
            </w:r>
            <w:r>
              <w:rPr>
                <w:rFonts w:ascii="宋体" w:hAnsi="宋体" w:cs="宋体"/>
                <w:color w:val="000000"/>
                <w:sz w:val="22"/>
                <w:highlight w:val="none"/>
              </w:rPr>
            </w:r>
            <w:r/>
          </w:p>
        </w:tc>
        <w:tc>
          <w:tcPr>
            <w:tcBorders>
              <w:top w:val="none" w:color="000000" w:sz="4" w:space="0"/>
              <w:left w:val="none" w:color="000000" w:sz="4" w:space="0"/>
              <w:bottom w:val="none" w:color="000000" w:sz="0" w:space="0"/>
              <w:right w:val="single" w:color="000000" w:sz="4" w:space="0"/>
            </w:tcBorders>
            <w:tcW w:w="1464" w:type="dxa"/>
            <w:vAlign w:val="center"/>
            <w:vMerge w:val="restart"/>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其他垃圾车</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947"/>
              <w:jc w:val="center"/>
              <w:widowControl/>
              <w:rPr>
                <w:rFonts w:ascii="宋体" w:hAnsi="宋体" w:cs="宋体"/>
                <w:color w:val="000000"/>
                <w:sz w:val="22"/>
                <w:highlight w:val="none"/>
              </w:rPr>
            </w:pPr>
            <w:r>
              <w:rPr>
                <w:rFonts w:ascii="宋体" w:hAnsi="宋体" w:cs="宋体"/>
                <w:color w:val="000000"/>
                <w:sz w:val="22"/>
                <w:highlight w:val="none"/>
              </w:rPr>
              <w:t xml:space="preserve">额定载质量</w:t>
            </w:r>
            <w:r>
              <w:rPr>
                <w:rFonts w:hint="eastAsia" w:ascii="宋体" w:hAnsi="宋体" w:cs="宋体"/>
                <w:color w:val="000000"/>
                <w:sz w:val="22"/>
                <w:highlight w:val="none"/>
              </w:rPr>
              <w:t xml:space="preserve">2.5t</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12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7</w:t>
            </w:r>
            <w:r>
              <w:rPr>
                <w:rFonts w:ascii="宋体" w:hAnsi="宋体" w:cs="宋体"/>
                <w:color w:val="000000"/>
                <w:sz w:val="22"/>
                <w:highlight w:val="none"/>
              </w:rPr>
            </w:r>
            <w:r/>
          </w:p>
        </w:tc>
        <w:tc>
          <w:tcPr>
            <w:tcBorders>
              <w:top w:val="none" w:color="000000" w:sz="0" w:space="0"/>
              <w:left w:val="none" w:color="000000" w:sz="4" w:space="0"/>
              <w:bottom w:val="single" w:color="000000" w:sz="4" w:space="0"/>
              <w:right w:val="single" w:color="000000" w:sz="4" w:space="0"/>
            </w:tcBorders>
            <w:tcW w:w="1464" w:type="dxa"/>
            <w:vAlign w:val="center"/>
            <w:vMerge w:val="continue"/>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947"/>
              <w:jc w:val="center"/>
              <w:widowControl/>
              <w:rPr>
                <w:rFonts w:ascii="宋体" w:hAnsi="宋体" w:cs="宋体"/>
                <w:color w:val="000000"/>
                <w:sz w:val="22"/>
                <w:highlight w:val="none"/>
              </w:rPr>
            </w:pPr>
            <w:r>
              <w:rPr>
                <w:rFonts w:ascii="宋体" w:hAnsi="宋体" w:cs="宋体"/>
                <w:color w:val="000000"/>
                <w:sz w:val="22"/>
                <w:highlight w:val="none"/>
              </w:rPr>
              <w:t xml:space="preserve">额定载质量</w:t>
            </w:r>
            <w:r>
              <w:rPr>
                <w:rFonts w:hint="eastAsia" w:ascii="宋体" w:hAnsi="宋体" w:cs="宋体"/>
                <w:color w:val="000000"/>
                <w:sz w:val="22"/>
                <w:highlight w:val="none"/>
              </w:rPr>
              <w:t xml:space="preserve">5t</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8</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8</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4866"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四轮电瓶车</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947"/>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4866"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花望站转运</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2693"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车辆甲方提供</w:t>
            </w:r>
            <w:r>
              <w:rPr>
                <w:rFonts w:ascii="宋体" w:hAnsi="宋体" w:cs="宋体"/>
                <w:color w:val="000000"/>
                <w:sz w:val="22"/>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10</w:t>
            </w:r>
            <w:r>
              <w:rPr>
                <w:rFonts w:ascii="宋体" w:hAnsi="宋体" w:cs="宋体"/>
                <w:color w:val="000000"/>
                <w:sz w:val="22"/>
                <w:highlight w:val="none"/>
              </w:rPr>
            </w:r>
            <w:r/>
          </w:p>
        </w:tc>
        <w:tc>
          <w:tcPr>
            <w:gridSpan w:val="2"/>
            <w:tcBorders>
              <w:top w:val="none" w:color="000000" w:sz="4" w:space="0"/>
              <w:left w:val="none" w:color="000000" w:sz="4" w:space="0"/>
              <w:bottom w:val="single" w:color="000000" w:sz="4" w:space="0"/>
              <w:right w:val="single" w:color="000000" w:sz="4" w:space="0"/>
            </w:tcBorders>
            <w:tcW w:w="4866" w:type="dxa"/>
            <w:vAlign w:val="center"/>
            <w:textDirection w:val="lrTb"/>
            <w:noWrap/>
          </w:tcPr>
          <w:p>
            <w:pPr>
              <w:pStyle w:val="947"/>
              <w:jc w:val="center"/>
              <w:widowControl/>
              <w:rPr>
                <w:rFonts w:ascii="宋体" w:hAnsi="宋体" w:cs="宋体"/>
                <w:color w:val="000000"/>
                <w:sz w:val="22"/>
                <w:highlight w:val="none"/>
              </w:rPr>
            </w:pPr>
            <w:r>
              <w:rPr>
                <w:rFonts w:hint="eastAsia" w:ascii="宋体" w:hAnsi="宋体" w:cs="宋体"/>
                <w:color w:val="000000"/>
                <w:sz w:val="22"/>
                <w:highlight w:val="none"/>
              </w:rPr>
              <w:t xml:space="preserve">中宇站转运</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47"/>
              <w:jc w:val="center"/>
              <w:rPr>
                <w:rFonts w:ascii="宋体" w:hAnsi="宋体" w:cs="宋体"/>
                <w:color w:val="000000"/>
                <w:sz w:val="22"/>
                <w:highlight w:val="none"/>
              </w:rPr>
            </w:pPr>
            <w:r>
              <w:rPr>
                <w:rFonts w:hint="eastAsia" w:ascii="宋体" w:hAnsi="宋体" w:cs="宋体"/>
                <w:color w:val="000000"/>
                <w:sz w:val="22"/>
                <w:highlight w:val="none"/>
              </w:rPr>
              <w:t xml:space="preserve">车辆甲方提供</w:t>
            </w:r>
            <w:r>
              <w:rPr>
                <w:rFonts w:ascii="宋体" w:hAnsi="宋体" w:cs="宋体"/>
                <w:color w:val="000000"/>
                <w:sz w:val="22"/>
                <w:highlight w:val="none"/>
              </w:rPr>
            </w:r>
            <w:r/>
          </w:p>
        </w:tc>
      </w:tr>
    </w:tbl>
    <w:p>
      <w:pPr>
        <w:pStyle w:val="947"/>
        <w:ind w:firstLine="420"/>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注、车辆额定载质量可以根据车辆规格型号上下浮动10%；</w:t>
      </w:r>
      <w:r>
        <w:rPr>
          <w:rFonts w:hint="eastAsia" w:ascii="宋体" w:hAnsi="宋体" w:cs="宋体"/>
          <w:b/>
          <w:color w:val="000000"/>
          <w:szCs w:val="21"/>
          <w:highlight w:val="none"/>
        </w:rPr>
      </w:r>
      <w:r/>
    </w:p>
    <w:p>
      <w:pPr>
        <w:pStyle w:val="991"/>
        <w:ind w:left="3400" w:firstLine="425"/>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991"/>
        <w:ind w:left="3400" w:firstLine="425"/>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bookmarkEnd w:id="30"/>
      <w:r>
        <w:rPr>
          <w:rFonts w:hAnsi="宋体" w:eastAsia="宋体"/>
          <w:color w:val="000000"/>
          <w:sz w:val="21"/>
          <w:szCs w:val="21"/>
          <w:highlight w:val="none"/>
        </w:rPr>
        <w:t xml:space="preserve">投标人：（</w:t>
      </w:r>
      <w:r>
        <w:rPr>
          <w:rFonts w:hint="eastAsia" w:hAnsi="宋体" w:eastAsia="宋体"/>
          <w:color w:val="000000"/>
          <w:sz w:val="21"/>
          <w:szCs w:val="21"/>
          <w:highlight w:val="none"/>
        </w:rPr>
        <w:t xml:space="preserve">公章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206"/>
        <w:ind w:firstLine="359"/>
        <w:jc w:val="righ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947"/>
        <w:jc w:val="right"/>
        <w:spacing w:line="360" w:lineRule="auto"/>
        <w:rPr>
          <w:rFonts w:hint="eastAsia"/>
          <w:color w:val="000000"/>
          <w:szCs w:val="21"/>
          <w:highlight w:val="none"/>
        </w:rPr>
      </w:pPr>
      <w:r>
        <w:rPr>
          <w:rFonts w:hAnsi="宋体"/>
          <w:color w:val="000000"/>
          <w:szCs w:val="21"/>
          <w:highlight w:val="none"/>
        </w:rPr>
        <w:t xml:space="preserve">日期：</w:t>
      </w:r>
      <w:r>
        <w:rPr>
          <w:rFonts w:hint="eastAsia" w:hAnsi="宋体"/>
          <w:color w:val="000000"/>
          <w:szCs w:val="21"/>
          <w:highlight w:val="none"/>
        </w:rPr>
        <w:t xml:space="preserve">      </w:t>
      </w:r>
      <w:r>
        <w:rPr>
          <w:rFonts w:hAnsi="宋体"/>
          <w:color w:val="000000"/>
          <w:szCs w:val="21"/>
          <w:highlight w:val="none"/>
        </w:rPr>
        <w:t xml:space="preserve">年</w:t>
      </w:r>
      <w:r>
        <w:rPr>
          <w:rFonts w:hint="eastAsia" w:hAnsi="宋体"/>
          <w:color w:val="000000"/>
          <w:szCs w:val="21"/>
          <w:highlight w:val="none"/>
        </w:rPr>
        <w:t xml:space="preserve">  </w:t>
      </w:r>
      <w:r>
        <w:rPr>
          <w:rFonts w:hAnsi="宋体"/>
          <w:color w:val="000000"/>
          <w:szCs w:val="21"/>
          <w:highlight w:val="none"/>
        </w:rPr>
        <w:t xml:space="preserve">月</w:t>
      </w:r>
      <w:r>
        <w:rPr>
          <w:rFonts w:hint="eastAsia" w:hAnsi="宋体"/>
          <w:color w:val="000000"/>
          <w:szCs w:val="21"/>
          <w:highlight w:val="none"/>
        </w:rPr>
        <w:t xml:space="preserve">  </w:t>
      </w:r>
      <w:r>
        <w:rPr>
          <w:rFonts w:hAnsi="宋体"/>
          <w:color w:val="000000"/>
          <w:szCs w:val="21"/>
          <w:highlight w:val="none"/>
        </w:rPr>
        <w:t xml:space="preserve">日</w:t>
      </w:r>
      <w:r>
        <w:rPr>
          <w:rFonts w:hint="eastAsia"/>
          <w:color w:val="000000"/>
          <w:szCs w:val="21"/>
          <w:highlight w:val="none"/>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7"/>
        <w:rPr>
          <w:rFonts w:ascii="Tahoma" w:hAnsi="Tahoma"/>
          <w:color w:val="000000"/>
          <w:sz w:val="24"/>
          <w:highlight w:val="none"/>
          <w:shd w:val="clear" w:color="auto" w:fill="ffffff"/>
        </w:rPr>
      </w:pPr>
      <w:r>
        <w:rPr>
          <w:rFonts w:ascii="Tahoma" w:hAnsi="Tahoma"/>
          <w:color w:val="000000"/>
          <w:sz w:val="24"/>
          <w:highlight w:val="none"/>
          <w:shd w:val="clear" w:color="auto" w:fill="ffffff"/>
        </w:rPr>
      </w:r>
      <w:r/>
    </w:p>
    <w:p>
      <w:pPr>
        <w:pStyle w:val="949"/>
        <w:spacing w:before="480" w:after="240"/>
        <w:rPr>
          <w:rFonts w:hint="eastAsia"/>
          <w:color w:val="000000"/>
          <w:highlight w:val="none"/>
          <w:shd w:val="clear" w:color="auto" w:fill="ffffff"/>
        </w:rPr>
      </w:pPr>
      <w:r>
        <w:rPr>
          <w:color w:val="000000"/>
          <w:highlight w:val="none"/>
          <w:shd w:val="clear" w:color="auto" w:fill="ffffff"/>
        </w:rPr>
        <w:br w:type="page" w:clear="all"/>
      </w:r>
      <w:r>
        <w:rPr>
          <w:rFonts w:hint="eastAsia"/>
          <w:color w:val="000000"/>
          <w:highlight w:val="none"/>
          <w:shd w:val="clear" w:color="auto" w:fill="ffffff"/>
        </w:rPr>
        <w:t xml:space="preserve">15、与本次招标相关材料</w:t>
      </w:r>
      <w:r>
        <w:rPr>
          <w:rFonts w:hint="eastAsia"/>
          <w:color w:val="000000"/>
          <w:highlight w:val="none"/>
          <w:shd w:val="clear" w:color="auto" w:fill="ffffff"/>
        </w:rPr>
      </w:r>
      <w:r/>
    </w:p>
    <w:p>
      <w:pPr>
        <w:pStyle w:val="949"/>
        <w:spacing w:before="480" w:after="240"/>
        <w:rPr>
          <w:rFonts w:hint="eastAsia"/>
          <w:color w:val="000000"/>
          <w:highlight w:val="none"/>
          <w:shd w:val="clear" w:color="auto" w:fill="ffffff"/>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titlePg/>
        </w:sectPr>
      </w:pPr>
      <w:r>
        <w:rPr>
          <w:rFonts w:hint="eastAsia"/>
          <w:color w:val="000000"/>
          <w:highlight w:val="none"/>
          <w:shd w:val="clear" w:color="auto" w:fill="ffffff"/>
        </w:rPr>
      </w:r>
      <w:r/>
    </w:p>
    <w:p>
      <w:pPr>
        <w:pStyle w:val="948"/>
        <w:jc w:val="center"/>
        <w:spacing w:line="360" w:lineRule="auto"/>
        <w:rPr>
          <w:rFonts w:hint="eastAsia"/>
          <w:color w:val="000000"/>
          <w:highlight w:val="none"/>
          <w:shd w:val="clear" w:color="auto" w:fill="ffffff"/>
        </w:rPr>
      </w:pPr>
      <w:r/>
      <w:bookmarkStart w:id="31" w:name="_Toc26775"/>
      <w:r>
        <w:rPr>
          <w:rFonts w:hint="eastAsia"/>
          <w:color w:val="000000"/>
          <w:highlight w:val="none"/>
          <w:shd w:val="clear" w:color="auto" w:fill="ffffff"/>
        </w:rPr>
        <w:t xml:space="preserve">第四章 招标书</w:t>
      </w:r>
      <w:bookmarkEnd w:id="7"/>
      <w:r/>
      <w:bookmarkEnd w:id="31"/>
      <w:r>
        <w:rPr>
          <w:rFonts w:hint="eastAsia"/>
          <w:color w:val="000000"/>
          <w:highlight w:val="none"/>
          <w:shd w:val="clear" w:color="auto" w:fill="ffffff"/>
        </w:rPr>
      </w:r>
      <w:r/>
    </w:p>
    <w:p>
      <w:pPr>
        <w:pStyle w:val="960"/>
        <w:ind w:right="-252" w:firstLine="462"/>
        <w:spacing w:line="360" w:lineRule="auto"/>
        <w:rPr>
          <w:rFonts w:hint="eastAsia" w:ascii="宋体" w:hAnsi="宋体" w:eastAsia="宋体" w:cs="宋体"/>
          <w:bCs/>
          <w:color w:val="000000"/>
          <w:sz w:val="21"/>
          <w:szCs w:val="21"/>
          <w:highlight w:val="none"/>
          <w:shd w:val="clear" w:color="auto" w:fill="ffffff"/>
        </w:rPr>
      </w:pPr>
      <w:r/>
      <w:bookmarkEnd w:id="8"/>
      <w:r/>
      <w:bookmarkStart w:id="32" w:name="_Toc276023192"/>
      <w:r/>
      <w:bookmarkStart w:id="33" w:name="_Toc233272230"/>
      <w:r/>
      <w:bookmarkStart w:id="34" w:name="_Toc13889376"/>
      <w:r/>
      <w:bookmarkStart w:id="35" w:name="_Toc13642116"/>
      <w:r>
        <w:rPr>
          <w:rFonts w:hint="eastAsia" w:ascii="宋体" w:hAnsi="宋体" w:eastAsia="宋体" w:cs="宋体"/>
          <w:bCs/>
          <w:color w:val="000000"/>
          <w:sz w:val="21"/>
          <w:szCs w:val="21"/>
          <w:highlight w:val="none"/>
          <w:shd w:val="clear" w:color="auto" w:fill="ffffff"/>
        </w:rPr>
        <w:t xml:space="preserve">受</w:t>
      </w:r>
      <w:r>
        <w:rPr>
          <w:rFonts w:hint="eastAsia" w:ascii="宋体" w:hAnsi="宋体" w:eastAsia="宋体" w:cs="宋体"/>
          <w:color w:val="000000"/>
          <w:sz w:val="21"/>
          <w:szCs w:val="21"/>
          <w:highlight w:val="none"/>
          <w:shd w:val="clear" w:color="auto" w:fill="ffffff"/>
        </w:rPr>
        <w:t xml:space="preserve">昆山市花桥镇人民政府</w:t>
      </w:r>
      <w:r>
        <w:rPr>
          <w:rFonts w:hint="eastAsia" w:ascii="宋体" w:hAnsi="宋体" w:eastAsia="宋体" w:cs="宋体"/>
          <w:bCs/>
          <w:color w:val="000000"/>
          <w:sz w:val="21"/>
          <w:szCs w:val="21"/>
          <w:highlight w:val="none"/>
          <w:shd w:val="clear" w:color="auto" w:fill="ffffff"/>
        </w:rPr>
        <w:t xml:space="preserve">委托，苏州正信工程造价咨询事务所有限责任公司对其所需采购的小区生活垃圾分类收运进行国内公开招标。欢迎有资格的单位参加投标。</w:t>
      </w:r>
      <w:r>
        <w:rPr>
          <w:rFonts w:hint="eastAsia" w:ascii="宋体" w:hAnsi="宋体" w:eastAsia="宋体" w:cs="宋体"/>
          <w:bCs/>
          <w:color w:val="000000"/>
          <w:sz w:val="21"/>
          <w:szCs w:val="21"/>
          <w:highlight w:val="none"/>
          <w:shd w:val="clear" w:color="auto" w:fill="ffffff"/>
        </w:rPr>
      </w:r>
      <w:r/>
    </w:p>
    <w:p>
      <w:pPr>
        <w:pStyle w:val="9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w:t>
      </w:r>
      <w:r>
        <w:rPr>
          <w:rFonts w:hint="eastAsia" w:ascii="宋体" w:hAnsi="宋体"/>
          <w:b/>
          <w:bCs/>
          <w:color w:val="000000"/>
          <w:szCs w:val="21"/>
          <w:highlight w:val="none"/>
        </w:rPr>
        <w:t xml:space="preserve">项目名称：</w:t>
      </w:r>
      <w:r>
        <w:rPr>
          <w:rFonts w:hint="eastAsia" w:ascii="宋体" w:hAnsi="宋体" w:cs="宋体"/>
          <w:bCs/>
          <w:color w:val="000000"/>
          <w:szCs w:val="21"/>
          <w:highlight w:val="none"/>
          <w:shd w:val="clear" w:color="auto" w:fill="ffffff"/>
        </w:rPr>
        <w:t xml:space="preserve">小区生活垃圾分类收运</w:t>
      </w:r>
      <w:r>
        <w:rPr>
          <w:rFonts w:hint="eastAsia" w:ascii="宋体" w:hAnsi="宋体"/>
          <w:color w:val="000000"/>
          <w:szCs w:val="21"/>
          <w:highlight w:val="none"/>
        </w:rPr>
      </w:r>
      <w:r/>
    </w:p>
    <w:p>
      <w:pPr>
        <w:pStyle w:val="947"/>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二、</w:t>
      </w:r>
      <w:r>
        <w:rPr>
          <w:rFonts w:hint="eastAsia" w:ascii="宋体" w:hAnsi="宋体"/>
          <w:b/>
          <w:color w:val="000000"/>
          <w:szCs w:val="21"/>
          <w:highlight w:val="none"/>
        </w:rPr>
        <w:t xml:space="preserve">项目编号</w:t>
      </w:r>
      <w:r>
        <w:rPr>
          <w:rFonts w:hint="eastAsia" w:ascii="宋体" w:hAnsi="宋体"/>
          <w:color w:val="000000"/>
          <w:szCs w:val="21"/>
          <w:highlight w:val="none"/>
        </w:rPr>
        <w:t xml:space="preserve">：</w:t>
      </w:r>
      <w:r>
        <w:rPr>
          <w:rFonts w:hint="eastAsia" w:ascii="宋体" w:hAnsi="宋体"/>
          <w:color w:val="000000"/>
          <w:highlight w:val="none"/>
          <w:lang w:eastAsia="zh-CN"/>
        </w:rPr>
        <w:t xml:space="preserve">JSZC-320583-ZXCG-G2026-0008</w:t>
      </w:r>
      <w:r>
        <w:rPr>
          <w:rFonts w:hint="eastAsia" w:ascii="宋体" w:hAnsi="宋体" w:eastAsia="宋体"/>
          <w:color w:val="000000"/>
          <w:szCs w:val="21"/>
          <w:highlight w:val="none"/>
          <w:lang w:eastAsia="zh-CN"/>
        </w:rPr>
      </w:r>
      <w:r/>
    </w:p>
    <w:p>
      <w:pPr>
        <w:pStyle w:val="947"/>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三、采购内容及要求</w:t>
      </w:r>
      <w:r>
        <w:rPr>
          <w:rFonts w:ascii="宋体" w:hAnsi="宋体" w:cs="宋体"/>
          <w:b/>
          <w:color w:val="000000"/>
          <w:szCs w:val="21"/>
          <w:highlight w:val="none"/>
        </w:rPr>
      </w:r>
      <w:r/>
    </w:p>
    <w:p>
      <w:pPr>
        <w:pStyle w:val="1046"/>
        <w:ind w:firstLine="422"/>
        <w:spacing w:line="360" w:lineRule="auto"/>
        <w:rPr>
          <w:rFonts w:hint="eastAsia" w:hAnsi="宋体" w:cs="宋体"/>
          <w:b/>
          <w:color w:val="000000"/>
          <w:szCs w:val="21"/>
          <w:highlight w:val="none"/>
        </w:rPr>
      </w:pPr>
      <w:r>
        <w:rPr>
          <w:rFonts w:hint="eastAsia" w:hAnsi="宋体" w:cs="宋体"/>
          <w:b/>
          <w:color w:val="000000"/>
          <w:szCs w:val="21"/>
          <w:highlight w:val="none"/>
        </w:rPr>
        <w:t xml:space="preserve">（一）项目概况</w:t>
      </w:r>
      <w:r>
        <w:rPr>
          <w:rFonts w:hint="eastAsia" w:hAnsi="宋体" w:cs="宋体"/>
          <w:b/>
          <w:color w:val="000000"/>
          <w:szCs w:val="21"/>
          <w:highlight w:val="none"/>
        </w:rPr>
      </w:r>
      <w:r/>
    </w:p>
    <w:p>
      <w:pPr>
        <w:pStyle w:val="947"/>
        <w:ind w:firstLine="360"/>
        <w:spacing w:line="360" w:lineRule="auto"/>
        <w:rPr>
          <w:rFonts w:hint="eastAsia" w:ascii="宋体" w:hAnsi="宋体" w:cs="宋体"/>
          <w:b/>
          <w:color w:val="000000"/>
          <w:szCs w:val="21"/>
          <w:highlight w:val="none"/>
        </w:rPr>
      </w:pPr>
      <w:r>
        <w:rPr>
          <w:rFonts w:hint="eastAsia" w:hAnsi="宋体" w:cs="宋体"/>
          <w:bCs/>
          <w:color w:val="000000"/>
          <w:szCs w:val="21"/>
          <w:highlight w:val="none"/>
        </w:rPr>
        <w:t xml:space="preserve">本项目为花桥经济开发区范围内生活垃圾收运并运至指定地点，区域范围为：花桥全区</w:t>
      </w:r>
      <w:r>
        <w:rPr>
          <w:rFonts w:hint="eastAsia" w:ascii="宋体" w:hAnsi="宋体" w:cs="宋体"/>
          <w:b/>
          <w:color w:val="000000"/>
          <w:szCs w:val="21"/>
          <w:highlight w:val="none"/>
        </w:rPr>
      </w:r>
      <w:r/>
    </w:p>
    <w:p>
      <w:pPr>
        <w:pStyle w:val="947"/>
        <w:ind w:firstLine="360"/>
        <w:spacing w:line="360" w:lineRule="auto"/>
        <w:rPr>
          <w:rFonts w:hint="eastAsia" w:hAnsi="宋体" w:cs="宋体"/>
          <w:bCs/>
          <w:color w:val="000000"/>
          <w:szCs w:val="21"/>
          <w:highlight w:val="none"/>
        </w:rPr>
      </w:pPr>
      <w:r>
        <w:rPr>
          <w:rFonts w:hint="eastAsia" w:hAnsi="宋体" w:cs="宋体"/>
          <w:bCs/>
          <w:color w:val="000000"/>
          <w:szCs w:val="21"/>
          <w:highlight w:val="none"/>
        </w:rPr>
        <w:t xml:space="preserve">具体点位包括但不限于如下（服务期间内点位如有变更，服务方需按更新后点位进行收运）：</w:t>
      </w:r>
      <w:r>
        <w:rPr>
          <w:rFonts w:hint="eastAsia" w:hAnsi="宋体" w:cs="宋体"/>
          <w:bCs/>
          <w:color w:val="000000"/>
          <w:szCs w:val="21"/>
          <w:highlight w:val="none"/>
        </w:rPr>
      </w:r>
      <w:r/>
    </w:p>
    <w:tbl>
      <w:tblPr>
        <w:tblW w:w="9654"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2340"/>
        <w:gridCol w:w="3860"/>
        <w:gridCol w:w="2374"/>
      </w:tblGrid>
      <w:tr>
        <w:trPr>
          <w:trHeight w:val="390"/>
        </w:trPr>
        <w:tc>
          <w:tcPr>
            <w:shd w:val="clear" w:color="000000" w:fill="ffffff"/>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社区序号　</w:t>
            </w:r>
            <w:r>
              <w:rPr>
                <w:rFonts w:ascii="宋体" w:hAnsi="宋体" w:cs="宋体"/>
                <w:b/>
                <w:bCs/>
                <w:color w:val="000000"/>
                <w:szCs w:val="21"/>
                <w:highlight w:val="none"/>
              </w:rPr>
            </w:r>
            <w:r/>
          </w:p>
        </w:tc>
        <w:tc>
          <w:tcPr>
            <w:shd w:val="clear" w:color="000000" w:fill="ffffff"/>
            <w:tcBorders>
              <w:top w:val="single" w:color="000000" w:sz="8" w:space="0"/>
              <w:left w:val="none" w:color="000000" w:sz="4" w:space="0"/>
              <w:bottom w:val="single" w:color="000000" w:sz="8" w:space="0"/>
              <w:right w:val="single" w:color="000000" w:sz="8" w:space="0"/>
            </w:tcBorders>
            <w:tcW w:w="2340" w:type="dxa"/>
            <w:vAlign w:val="center"/>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社区</w:t>
            </w:r>
            <w:r>
              <w:rPr>
                <w:rFonts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小区名称</w:t>
            </w:r>
            <w:r>
              <w:rPr>
                <w:rFonts w:ascii="宋体" w:hAnsi="宋体" w:cs="宋体"/>
                <w:b/>
                <w:bCs/>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点位数</w:t>
            </w:r>
            <w:r>
              <w:rPr>
                <w:rFonts w:ascii="宋体" w:hAnsi="宋体" w:cs="宋体"/>
                <w:b/>
                <w:bCs/>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枫浜社区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浦岸花园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万科魅力花园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万科外街</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滨江雅苑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聚杨社区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国基城邦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绿地理想家园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香逸铂悦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香逸尚城</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滨江裕花园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象屿都城怡园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建滔裕园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0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绿地滨江汇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05"/>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3</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金城基社区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嘉宝梦之悦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0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嘉宝梦之晨</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梦世界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明月璟辰苑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云桥雅苑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4</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横墅江社区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鑫苑世家</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中科花苑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象屿都城嘉园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象屿都城二期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5</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延祥社区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光华时代</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常发香城湾</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棕榈湾</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德馨嘉苑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6</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集善社区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台昆商墅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富隆花园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集善新村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金城花园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花悦江南</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花桥裕花园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聚福社区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可逸兰亭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黄城花园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两岸心都新苑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中骏柏景云庭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8</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花安社区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蒋浦新村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花苑新村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9</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花桥社区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花溪公馆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姜夏新村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光明新村一期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光明新村二期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花家浜新村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青青家园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花溪新村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朗绿花园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花都新村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机关住宅楼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鸡鸣塘小区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花卫新村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中国银行住宅楼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10</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天福社区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阳光苑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天福苑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梅苑里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鑫隆广场商住楼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供销花园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信用商住楼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花家湾</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花溪社区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白云佳苑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花望新村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国际华城</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花溪畔居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电力站住宅楼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印刷厂楼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税务所住宅楼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姚南商住楼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东方商住楼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就管所楼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农机站住宅楼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花园3号住宅楼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花溪澜园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花忆江南</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璟禧云庭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中骏世界城</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12</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绿地社区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孝贤景苑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孝贤雅苑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春华里</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绿地A区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绿地B区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绿地C区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绿地D区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绿地E区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绿地商铺（春天大道）</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13</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时代社区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U世代</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鑫苑国际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启航社河东</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启航社河西</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绿地商务杰座</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易买得</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14</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观澜社区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哥伦大厦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光明馨座</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中铁建设大厦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中信广场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汇金大厦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伟鹏商务大厦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博富科技大厦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格林国际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爱知大厦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双联国际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建滔广场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天工国际大厦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中城商务广场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上海裕花园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徐公桥花园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悦城（医谷国际）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游站</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光明捷座</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虹桥公馆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苏豪国际广场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中茵商务大厦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浦江大厦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金融大厦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廊桥嘉苑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越洋国际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和润大厦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宏远都汇国际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研祥国际金融中心</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15</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徐公桥社区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徐公桥人才公寓</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梅浦新村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天誉名邸</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公桥新村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星汇兰亭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香悦花园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徐公桥别墅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杨家浜别墅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新浦别墅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硅湖学院</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16</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星浜社区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四季花园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中城花园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绿地世纪雅苑        </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美车城</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BOBE商住楼</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17</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泗泾社区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泗泾湾家园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智慧广场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名俊豪庭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宏图公寓</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永泰大厦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宝嘉丽公寓</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宏图花苑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中桥人才公寓</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18</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新安社区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米筛巷花园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庞家浜新村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世纪华城                </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鑫都汇</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新安花园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曹安花园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金都安亭家园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招商新村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胜巷新村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曹新花园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中置花园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中宇花苑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中宇广场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珍兴大厦</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曹新路3号</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shd w:val="clear" w:color="000000" w:fill="ffffff"/>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19</w:t>
            </w:r>
            <w:r>
              <w:rPr>
                <w:rFonts w:ascii="宋体" w:hAnsi="宋体" w:cs="宋体"/>
                <w:b/>
                <w:bCs/>
                <w:color w:val="000000"/>
                <w:szCs w:val="21"/>
                <w:highlight w:val="none"/>
              </w:rPr>
            </w:r>
            <w:r/>
          </w:p>
        </w:tc>
        <w:tc>
          <w:tcPr>
            <w:shd w:val="clear" w:color="000000" w:fill="ffffff"/>
            <w:tcBorders>
              <w:top w:val="none" w:color="000000" w:sz="4" w:space="0"/>
              <w:left w:val="single" w:color="000000" w:sz="8" w:space="0"/>
              <w:bottom w:val="single" w:color="000000" w:sz="8" w:space="0"/>
              <w:right w:val="single" w:color="000000" w:sz="8" w:space="0"/>
            </w:tcBorders>
            <w:tcW w:w="2340" w:type="dxa"/>
            <w:vAlign w:val="center"/>
            <w:vMerge w:val="restart"/>
            <w:textDirection w:val="lrTb"/>
            <w:noWrap w:val="false"/>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横漕社区</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都会晶彩</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中宇国际公寓</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宝岛别墅</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糖果公元</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亚太广场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太平洋广场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中寰广场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通达广场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大上海小台北</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希悦庭</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兆丰99广场</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家速度公馆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赛格公寓</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都会新峰</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2340" w:type="dxa"/>
            <w:vAlign w:val="center"/>
            <w:vMerge w:val="continue"/>
            <w:textDirection w:val="lrTb"/>
            <w:noWrap w:val="false"/>
          </w:tcPr>
          <w:p>
            <w:pPr>
              <w:pStyle w:val="947"/>
              <w:jc w:val="left"/>
              <w:widowControl/>
              <w:rPr>
                <w:rFonts w:ascii="宋体" w:hAnsi="宋体" w:cs="宋体"/>
                <w:b/>
                <w:bCs/>
                <w:color w:val="000000"/>
                <w:szCs w:val="21"/>
                <w:highlight w:val="none"/>
              </w:rPr>
            </w:pP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38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鑫宇嘉苑</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374"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390"/>
        </w:trPr>
        <w:tc>
          <w:tcPr>
            <w:tcBorders>
              <w:top w:val="none" w:color="000000" w:sz="4" w:space="0"/>
              <w:left w:val="single" w:color="000000" w:sz="8" w:space="0"/>
              <w:bottom w:val="single" w:color="000000" w:sz="8" w:space="0"/>
              <w:right w:val="single" w:color="000000" w:sz="8" w:space="0"/>
            </w:tcBorders>
            <w:tcW w:w="1080" w:type="dxa"/>
            <w:vAlign w:val="bottom"/>
            <w:textDirection w:val="lrTb"/>
            <w:noWrap/>
          </w:tcPr>
          <w:p>
            <w:pPr>
              <w:pStyle w:val="947"/>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2340" w:type="dxa"/>
            <w:vAlign w:val="bottom"/>
            <w:textDirection w:val="lrTb"/>
            <w:noWrap/>
          </w:tcPr>
          <w:p>
            <w:pPr>
              <w:pStyle w:val="947"/>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3860" w:type="dxa"/>
            <w:vAlign w:val="bottom"/>
            <w:textDirection w:val="lrTb"/>
            <w:noWrap/>
          </w:tcPr>
          <w:p>
            <w:pPr>
              <w:pStyle w:val="947"/>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合计</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2374" w:type="dxa"/>
            <w:vAlign w:val="bottom"/>
            <w:textDirection w:val="lrTb"/>
            <w:noWrap/>
          </w:tcPr>
          <w:p>
            <w:pPr>
              <w:pStyle w:val="947"/>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205</w:t>
            </w:r>
            <w:r>
              <w:rPr>
                <w:rFonts w:ascii="宋体" w:hAnsi="宋体" w:cs="宋体"/>
                <w:color w:val="000000"/>
                <w:sz w:val="22"/>
                <w:szCs w:val="22"/>
                <w:highlight w:val="none"/>
              </w:rPr>
            </w:r>
            <w:r/>
          </w:p>
        </w:tc>
      </w:tr>
    </w:tbl>
    <w:p>
      <w:pPr>
        <w:pStyle w:val="947"/>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947"/>
        <w:ind w:firstLine="361"/>
        <w:spacing w:line="360" w:lineRule="auto"/>
        <w:rPr>
          <w:color w:val="000000"/>
          <w:highlight w:val="none"/>
        </w:rPr>
      </w:pPr>
      <w:r/>
      <w:bookmarkEnd w:id="32"/>
      <w:r/>
      <w:bookmarkEnd w:id="33"/>
      <w:r/>
      <w:bookmarkEnd w:id="34"/>
      <w:r/>
      <w:bookmarkEnd w:id="35"/>
      <w:r/>
      <w:bookmarkStart w:id="36" w:name="_Toc27656"/>
      <w:r/>
      <w:bookmarkStart w:id="37" w:name="_Toc13642118"/>
      <w:r/>
      <w:bookmarkStart w:id="38" w:name="_Toc13889378"/>
      <w:r>
        <w:rPr>
          <w:rFonts w:hint="eastAsia" w:ascii="宋体" w:hAnsi="宋体"/>
          <w:b/>
          <w:bCs/>
          <w:color w:val="000000"/>
          <w:szCs w:val="21"/>
          <w:highlight w:val="none"/>
        </w:rPr>
        <w:t xml:space="preserve">（二）</w:t>
      </w:r>
      <w:r>
        <w:rPr>
          <w:rFonts w:hint="eastAsia"/>
          <w:b/>
          <w:bCs/>
          <w:color w:val="000000"/>
          <w:highlight w:val="none"/>
        </w:rPr>
        <w:t xml:space="preserve">作业要求</w:t>
      </w:r>
      <w:r>
        <w:rPr>
          <w:color w:val="000000"/>
          <w:highlight w:val="none"/>
        </w:rPr>
      </w:r>
      <w:r/>
    </w:p>
    <w:p>
      <w:pPr>
        <w:pStyle w:val="947"/>
        <w:ind w:firstLine="359"/>
        <w:jc w:val="left"/>
        <w:spacing w:line="360" w:lineRule="auto"/>
        <w:rPr>
          <w:rFonts w:ascii="宋体" w:hAnsi="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垃圾收集人员按照采购人要求，定时定点到各小区指定收集点位，按照生活垃圾分类标准，分类收</w:t>
      </w:r>
      <w:r>
        <w:rPr>
          <w:rFonts w:hint="eastAsia" w:ascii="宋体" w:hAnsi="宋体" w:cs="宋体"/>
          <w:color w:val="000000"/>
          <w:szCs w:val="21"/>
          <w:highlight w:val="none"/>
        </w:rPr>
        <w:t xml:space="preserve">运后送至采购人指定地点，收运期间不得存在混收混运等行为。</w:t>
      </w:r>
      <w:r>
        <w:rPr>
          <w:rFonts w:ascii="宋体" w:hAnsi="宋体"/>
          <w:color w:val="000000"/>
          <w:szCs w:val="21"/>
          <w:highlight w:val="none"/>
        </w:rPr>
      </w:r>
      <w:r/>
    </w:p>
    <w:p>
      <w:pPr>
        <w:pStyle w:val="947"/>
        <w:ind w:firstLine="35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垃圾收运必须密闭化运输，不得有抛洒滴漏，确保垃圾日产日清，建立收运台账，定期向采购人以书面形式汇报。</w:t>
      </w:r>
      <w:r>
        <w:rPr>
          <w:rFonts w:ascii="宋体" w:hAnsi="宋体" w:cs="宋体"/>
          <w:color w:val="000000"/>
          <w:szCs w:val="21"/>
          <w:highlight w:val="none"/>
        </w:rPr>
      </w:r>
      <w:r/>
    </w:p>
    <w:p>
      <w:pPr>
        <w:pStyle w:val="1410"/>
        <w:ind w:firstLine="359"/>
        <w:spacing w:before="0" w:beforeAutospacing="0" w:after="0" w:afterAutospacing="0" w:line="360" w:lineRule="auto"/>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在垃圾房（归集点）垃圾收运时，无翻捡垃圾情况。</w:t>
      </w:r>
      <w:r>
        <w:rPr>
          <w:color w:val="000000"/>
          <w:sz w:val="21"/>
          <w:szCs w:val="21"/>
          <w:highlight w:val="none"/>
        </w:rPr>
      </w:r>
      <w:r/>
    </w:p>
    <w:p>
      <w:pPr>
        <w:pStyle w:val="947"/>
        <w:ind w:firstLine="359"/>
        <w:jc w:val="left"/>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垃圾收集作业人员作业完成后应及时清扫场地，做到车走地净，确保垃圾设施周围干净整洁，周边3米范围内无散落垃圾、无污水横溢现象。垃圾收集设施移动后能及时复位，设施外观整洁、无明显污迹；严禁垃圾在清运车辆内过夜。</w:t>
      </w:r>
      <w:r>
        <w:rPr>
          <w:rFonts w:ascii="宋体" w:hAnsi="宋体"/>
          <w:color w:val="000000"/>
          <w:szCs w:val="21"/>
          <w:highlight w:val="none"/>
        </w:rPr>
      </w:r>
      <w:r/>
    </w:p>
    <w:p>
      <w:pPr>
        <w:pStyle w:val="1410"/>
        <w:ind w:firstLine="359"/>
        <w:spacing w:before="0" w:beforeAutospacing="0" w:after="0" w:afterAutospacing="0" w:line="360" w:lineRule="auto"/>
        <w:rPr>
          <w:color w:val="000000"/>
          <w:sz w:val="21"/>
          <w:szCs w:val="21"/>
          <w:highlight w:val="none"/>
        </w:rPr>
      </w:pPr>
      <w:r>
        <w:rPr>
          <w:color w:val="000000"/>
          <w:sz w:val="21"/>
          <w:szCs w:val="21"/>
          <w:highlight w:val="none"/>
        </w:rPr>
        <w:t xml:space="preserve">5.</w:t>
      </w:r>
      <w:r>
        <w:rPr>
          <w:rFonts w:hint="eastAsia"/>
          <w:color w:val="000000"/>
          <w:sz w:val="21"/>
          <w:szCs w:val="21"/>
          <w:highlight w:val="none"/>
        </w:rPr>
        <w:t xml:space="preserve">各类工具摆放整齐有序，并按规定用途使用。</w:t>
      </w:r>
      <w:r>
        <w:rPr>
          <w:color w:val="000000"/>
          <w:sz w:val="21"/>
          <w:szCs w:val="21"/>
          <w:highlight w:val="none"/>
        </w:rPr>
      </w:r>
      <w:r/>
    </w:p>
    <w:p>
      <w:pPr>
        <w:pStyle w:val="1410"/>
        <w:ind w:firstLine="359"/>
        <w:spacing w:before="0" w:beforeAutospacing="0" w:after="0" w:afterAutospacing="0" w:line="360" w:lineRule="auto"/>
        <w:rPr>
          <w:color w:val="000000"/>
          <w:sz w:val="21"/>
          <w:szCs w:val="21"/>
          <w:highlight w:val="none"/>
        </w:rPr>
      </w:pPr>
      <w:r>
        <w:rPr>
          <w:color w:val="000000"/>
          <w:sz w:val="21"/>
          <w:szCs w:val="21"/>
          <w:highlight w:val="none"/>
        </w:rPr>
        <w:t xml:space="preserve">6.</w:t>
      </w:r>
      <w:r>
        <w:rPr>
          <w:rFonts w:hint="eastAsia"/>
          <w:color w:val="000000"/>
          <w:sz w:val="21"/>
          <w:szCs w:val="21"/>
          <w:highlight w:val="none"/>
        </w:rPr>
        <w:t xml:space="preserve">所有垃圾清运车辆均车况良好、车身干净、整洁无破损、无油漆脱落，车辆编号、机动车车牌号码完整，并符合国家排放标准，公司标志清晰标准，车厢密闭、无滴漏、撒漏。同时，安装统一的GPS系统,接入采购人平台。</w:t>
      </w:r>
      <w:r>
        <w:rPr>
          <w:color w:val="000000"/>
          <w:sz w:val="21"/>
          <w:szCs w:val="21"/>
          <w:highlight w:val="none"/>
        </w:rPr>
      </w:r>
      <w:r/>
    </w:p>
    <w:p>
      <w:pPr>
        <w:pStyle w:val="947"/>
        <w:ind w:firstLine="359"/>
        <w:jc w:val="left"/>
        <w:spacing w:line="360" w:lineRule="auto"/>
        <w:widowControl/>
        <w:rPr>
          <w:rFonts w:hint="eastAsia" w:ascii="宋体" w:hAnsi="宋体" w:cs="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垃圾收集作业人员</w:t>
      </w:r>
      <w:r>
        <w:rPr>
          <w:rFonts w:hint="eastAsia" w:ascii="宋体" w:hAnsi="宋体" w:cs="宋体"/>
          <w:color w:val="000000"/>
          <w:szCs w:val="21"/>
          <w:highlight w:val="none"/>
        </w:rPr>
        <w:t xml:space="preserve">每天作业完成后对清运车辆进行保洁，保持车容车貌整洁、美观。</w:t>
      </w:r>
      <w:r>
        <w:rPr>
          <w:rFonts w:hint="eastAsia" w:ascii="宋体" w:hAnsi="宋体" w:cs="宋体"/>
          <w:color w:val="000000"/>
          <w:szCs w:val="21"/>
          <w:highlight w:val="none"/>
        </w:rPr>
      </w:r>
      <w:r/>
    </w:p>
    <w:p>
      <w:pPr>
        <w:pStyle w:val="947"/>
        <w:ind w:firstLine="422"/>
        <w:spacing w:line="360" w:lineRule="auto"/>
        <w:rPr>
          <w:rFonts w:hint="eastAsia"/>
          <w:b/>
          <w:bCs/>
          <w:color w:val="000000"/>
          <w:highlight w:val="none"/>
        </w:rPr>
      </w:pPr>
      <w:r>
        <w:rPr>
          <w:rFonts w:hint="eastAsia" w:ascii="宋体" w:hAnsi="宋体"/>
          <w:b/>
          <w:bCs/>
          <w:color w:val="000000"/>
          <w:szCs w:val="21"/>
          <w:highlight w:val="none"/>
        </w:rPr>
        <w:t xml:space="preserve">（三）</w:t>
      </w:r>
      <w:r>
        <w:rPr>
          <w:rFonts w:hint="eastAsia"/>
          <w:b/>
          <w:bCs/>
          <w:color w:val="000000"/>
          <w:highlight w:val="none"/>
        </w:rPr>
        <w:t xml:space="preserve">作业时间</w:t>
      </w:r>
      <w:r>
        <w:rPr>
          <w:rFonts w:hint="eastAsia"/>
          <w:b/>
          <w:bCs/>
          <w:color w:val="000000"/>
          <w:highlight w:val="none"/>
        </w:rPr>
      </w:r>
      <w:r/>
    </w:p>
    <w:tbl>
      <w:tblPr>
        <w:tblW w:w="0" w:type="auto"/>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9"/>
        <w:gridCol w:w="4881"/>
        <w:gridCol w:w="3231"/>
      </w:tblGrid>
      <w:tr>
        <w:trPr/>
        <w:tc>
          <w:tcPr>
            <w:shd w:val="clear" w:color="auto" w:fill="d9d9d9"/>
            <w:tcW w:w="1629" w:type="dxa"/>
            <w:vAlign w:val="center"/>
            <w:textDirection w:val="lrTb"/>
            <w:noWrap w:val="false"/>
          </w:tcPr>
          <w:p>
            <w:pPr>
              <w:pStyle w:val="9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类别</w:t>
            </w:r>
            <w:r>
              <w:rPr>
                <w:rFonts w:ascii="宋体" w:hAnsi="宋体"/>
                <w:b/>
                <w:color w:val="000000"/>
                <w:szCs w:val="21"/>
                <w:highlight w:val="none"/>
              </w:rPr>
            </w:r>
            <w:r/>
          </w:p>
        </w:tc>
        <w:tc>
          <w:tcPr>
            <w:shd w:val="clear" w:color="auto" w:fill="d9d9d9"/>
            <w:tcW w:w="4881" w:type="dxa"/>
            <w:vAlign w:val="center"/>
            <w:textDirection w:val="lrTb"/>
            <w:noWrap w:val="false"/>
          </w:tcPr>
          <w:p>
            <w:pPr>
              <w:pStyle w:val="9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作业时间</w:t>
            </w:r>
            <w:r>
              <w:rPr>
                <w:rFonts w:ascii="宋体" w:hAnsi="宋体"/>
                <w:b/>
                <w:color w:val="000000"/>
                <w:szCs w:val="21"/>
                <w:highlight w:val="none"/>
              </w:rPr>
            </w:r>
            <w:r/>
          </w:p>
        </w:tc>
        <w:tc>
          <w:tcPr>
            <w:shd w:val="clear" w:color="auto" w:fill="d9d9d9"/>
            <w:tcW w:w="3231" w:type="dxa"/>
            <w:vAlign w:val="center"/>
            <w:textDirection w:val="lrTb"/>
            <w:noWrap w:val="false"/>
          </w:tcPr>
          <w:p>
            <w:pPr>
              <w:pStyle w:val="9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tc>
          <w:tcPr>
            <w:tcW w:w="1629" w:type="dxa"/>
            <w:vAlign w:val="center"/>
            <w:textDirection w:val="lrTb"/>
            <w:noWrap w:val="false"/>
          </w:tcPr>
          <w:p>
            <w:pPr>
              <w:pStyle w:val="94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其他垃圾</w:t>
            </w:r>
            <w:r>
              <w:rPr>
                <w:rFonts w:ascii="宋体" w:hAnsi="宋体"/>
                <w:color w:val="000000"/>
                <w:szCs w:val="21"/>
                <w:highlight w:val="none"/>
              </w:rPr>
            </w:r>
            <w:r/>
          </w:p>
        </w:tc>
        <w:tc>
          <w:tcPr>
            <w:tcW w:w="4881" w:type="dxa"/>
            <w:vAlign w:val="center"/>
            <w:textDirection w:val="lrTb"/>
            <w:noWrap w:val="false"/>
          </w:tcPr>
          <w:p>
            <w:pPr>
              <w:pStyle w:val="94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第一次  0</w:t>
            </w:r>
            <w:r>
              <w:rPr>
                <w:rFonts w:ascii="宋体" w:hAnsi="宋体"/>
                <w:color w:val="000000"/>
                <w:szCs w:val="21"/>
                <w:highlight w:val="none"/>
              </w:rPr>
              <w:t xml:space="preserve">6</w:t>
            </w:r>
            <w:r>
              <w:rPr>
                <w:rFonts w:hint="eastAsia" w:ascii="宋体" w:hAnsi="宋体"/>
                <w:color w:val="000000"/>
                <w:szCs w:val="21"/>
                <w:highlight w:val="none"/>
              </w:rPr>
              <w:t xml:space="preserve">:30-10:</w:t>
            </w:r>
            <w:r>
              <w:rPr>
                <w:rFonts w:ascii="宋体" w:hAnsi="宋体"/>
                <w:color w:val="000000"/>
                <w:szCs w:val="21"/>
                <w:highlight w:val="none"/>
              </w:rPr>
              <w:t xml:space="preserve">0</w:t>
            </w:r>
            <w:r>
              <w:rPr>
                <w:rFonts w:hint="eastAsia" w:ascii="宋体" w:hAnsi="宋体"/>
                <w:color w:val="000000"/>
                <w:szCs w:val="21"/>
                <w:highlight w:val="none"/>
              </w:rPr>
              <w:t xml:space="preserve">0</w:t>
            </w:r>
            <w:r>
              <w:rPr>
                <w:rFonts w:ascii="宋体" w:hAnsi="宋体"/>
                <w:color w:val="000000"/>
                <w:szCs w:val="21"/>
                <w:highlight w:val="none"/>
              </w:rPr>
            </w:r>
            <w:r/>
          </w:p>
          <w:p>
            <w:pPr>
              <w:pStyle w:val="94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第二次  1</w:t>
            </w:r>
            <w:r>
              <w:rPr>
                <w:rFonts w:ascii="宋体" w:hAnsi="宋体"/>
                <w:color w:val="000000"/>
                <w:szCs w:val="21"/>
                <w:highlight w:val="none"/>
              </w:rPr>
              <w:t xml:space="preserve">7</w:t>
            </w:r>
            <w:r>
              <w:rPr>
                <w:rFonts w:hint="eastAsia" w:ascii="宋体" w:hAnsi="宋体"/>
                <w:color w:val="000000"/>
                <w:szCs w:val="21"/>
                <w:highlight w:val="none"/>
              </w:rPr>
              <w:t xml:space="preserve">:</w:t>
            </w:r>
            <w:r>
              <w:rPr>
                <w:rFonts w:ascii="宋体" w:hAnsi="宋体"/>
                <w:color w:val="000000"/>
                <w:szCs w:val="21"/>
                <w:highlight w:val="none"/>
              </w:rPr>
              <w:t xml:space="preserve">0</w:t>
            </w:r>
            <w:r>
              <w:rPr>
                <w:rFonts w:hint="eastAsia" w:ascii="宋体" w:hAnsi="宋体"/>
                <w:color w:val="000000"/>
                <w:szCs w:val="21"/>
                <w:highlight w:val="none"/>
              </w:rPr>
              <w:t xml:space="preserve">0-2</w:t>
            </w:r>
            <w:r>
              <w:rPr>
                <w:rFonts w:ascii="宋体" w:hAnsi="宋体"/>
                <w:color w:val="000000"/>
                <w:szCs w:val="21"/>
                <w:highlight w:val="none"/>
              </w:rPr>
              <w:t xml:space="preserve">0</w:t>
            </w:r>
            <w:r>
              <w:rPr>
                <w:rFonts w:hint="eastAsia" w:ascii="宋体" w:hAnsi="宋体"/>
                <w:color w:val="000000"/>
                <w:szCs w:val="21"/>
                <w:highlight w:val="none"/>
              </w:rPr>
              <w:t xml:space="preserve">:</w:t>
            </w:r>
            <w:r>
              <w:rPr>
                <w:rFonts w:ascii="宋体" w:hAnsi="宋体"/>
                <w:color w:val="000000"/>
                <w:szCs w:val="21"/>
                <w:highlight w:val="none"/>
              </w:rPr>
              <w:t xml:space="preserve">0</w:t>
            </w:r>
            <w:r>
              <w:rPr>
                <w:rFonts w:hint="eastAsia" w:ascii="宋体" w:hAnsi="宋体"/>
                <w:color w:val="000000"/>
                <w:szCs w:val="21"/>
                <w:highlight w:val="none"/>
              </w:rPr>
              <w:t xml:space="preserve">0</w:t>
            </w:r>
            <w:r>
              <w:rPr>
                <w:rFonts w:ascii="宋体" w:hAnsi="宋体"/>
                <w:color w:val="000000"/>
                <w:szCs w:val="21"/>
                <w:highlight w:val="none"/>
              </w:rPr>
            </w:r>
            <w:r/>
          </w:p>
        </w:tc>
        <w:tc>
          <w:tcPr>
            <w:tcW w:w="3231" w:type="dxa"/>
            <w:vAlign w:val="center"/>
            <w:textDirection w:val="lrTb"/>
            <w:noWrap w:val="false"/>
          </w:tcPr>
          <w:p>
            <w:pPr>
              <w:pStyle w:val="947"/>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每天2次</w:t>
            </w:r>
            <w:r>
              <w:rPr>
                <w:rFonts w:hint="eastAsia" w:ascii="宋体" w:hAnsi="宋体"/>
                <w:color w:val="000000"/>
                <w:szCs w:val="21"/>
                <w:highlight w:val="none"/>
              </w:rPr>
            </w:r>
            <w:r/>
          </w:p>
          <w:p>
            <w:pPr>
              <w:pStyle w:val="94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（具体时间以采购人通知为准）</w:t>
            </w:r>
            <w:r>
              <w:rPr>
                <w:rFonts w:ascii="宋体" w:hAnsi="宋体"/>
                <w:color w:val="000000"/>
                <w:szCs w:val="21"/>
                <w:highlight w:val="none"/>
              </w:rPr>
            </w:r>
            <w:r/>
          </w:p>
        </w:tc>
      </w:tr>
      <w:tr>
        <w:trPr/>
        <w:tc>
          <w:tcPr>
            <w:tcW w:w="1629" w:type="dxa"/>
            <w:vAlign w:val="center"/>
            <w:textDirection w:val="lrTb"/>
            <w:noWrap w:val="false"/>
          </w:tcPr>
          <w:p>
            <w:pPr>
              <w:pStyle w:val="94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厨余垃圾</w:t>
            </w:r>
            <w:r>
              <w:rPr>
                <w:rFonts w:ascii="宋体" w:hAnsi="宋体"/>
                <w:color w:val="000000"/>
                <w:szCs w:val="21"/>
                <w:highlight w:val="none"/>
              </w:rPr>
            </w:r>
            <w:r/>
          </w:p>
        </w:tc>
        <w:tc>
          <w:tcPr>
            <w:tcW w:w="4881" w:type="dxa"/>
            <w:vAlign w:val="center"/>
            <w:textDirection w:val="lrTb"/>
            <w:noWrap w:val="false"/>
          </w:tcPr>
          <w:p>
            <w:pPr>
              <w:pStyle w:val="94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第一次  0</w:t>
            </w:r>
            <w:r>
              <w:rPr>
                <w:rFonts w:ascii="宋体" w:hAnsi="宋体"/>
                <w:color w:val="000000"/>
                <w:szCs w:val="21"/>
                <w:highlight w:val="none"/>
              </w:rPr>
              <w:t xml:space="preserve">6</w:t>
            </w:r>
            <w:r>
              <w:rPr>
                <w:rFonts w:hint="eastAsia" w:ascii="宋体" w:hAnsi="宋体"/>
                <w:color w:val="000000"/>
                <w:szCs w:val="21"/>
                <w:highlight w:val="none"/>
              </w:rPr>
              <w:t xml:space="preserve">:30-10:</w:t>
            </w:r>
            <w:r>
              <w:rPr>
                <w:rFonts w:ascii="宋体" w:hAnsi="宋体"/>
                <w:color w:val="000000"/>
                <w:szCs w:val="21"/>
                <w:highlight w:val="none"/>
              </w:rPr>
              <w:t xml:space="preserve">0</w:t>
            </w:r>
            <w:r>
              <w:rPr>
                <w:rFonts w:hint="eastAsia" w:ascii="宋体" w:hAnsi="宋体"/>
                <w:color w:val="000000"/>
                <w:szCs w:val="21"/>
                <w:highlight w:val="none"/>
              </w:rPr>
              <w:t xml:space="preserve">0</w:t>
            </w:r>
            <w:r>
              <w:rPr>
                <w:rFonts w:ascii="宋体" w:hAnsi="宋体"/>
                <w:color w:val="000000"/>
                <w:szCs w:val="21"/>
                <w:highlight w:val="none"/>
              </w:rPr>
            </w:r>
            <w:r/>
          </w:p>
          <w:p>
            <w:pPr>
              <w:pStyle w:val="94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第二次  1</w:t>
            </w:r>
            <w:r>
              <w:rPr>
                <w:rFonts w:ascii="宋体" w:hAnsi="宋体"/>
                <w:color w:val="000000"/>
                <w:szCs w:val="21"/>
                <w:highlight w:val="none"/>
              </w:rPr>
              <w:t xml:space="preserve">7</w:t>
            </w:r>
            <w:r>
              <w:rPr>
                <w:rFonts w:hint="eastAsia" w:ascii="宋体" w:hAnsi="宋体"/>
                <w:color w:val="000000"/>
                <w:szCs w:val="21"/>
                <w:highlight w:val="none"/>
              </w:rPr>
              <w:t xml:space="preserve">:</w:t>
            </w:r>
            <w:r>
              <w:rPr>
                <w:rFonts w:ascii="宋体" w:hAnsi="宋体"/>
                <w:color w:val="000000"/>
                <w:szCs w:val="21"/>
                <w:highlight w:val="none"/>
              </w:rPr>
              <w:t xml:space="preserve">0</w:t>
            </w:r>
            <w:r>
              <w:rPr>
                <w:rFonts w:hint="eastAsia" w:ascii="宋体" w:hAnsi="宋体"/>
                <w:color w:val="000000"/>
                <w:szCs w:val="21"/>
                <w:highlight w:val="none"/>
              </w:rPr>
              <w:t xml:space="preserve">0-2</w:t>
            </w:r>
            <w:r>
              <w:rPr>
                <w:rFonts w:ascii="宋体" w:hAnsi="宋体"/>
                <w:color w:val="000000"/>
                <w:szCs w:val="21"/>
                <w:highlight w:val="none"/>
              </w:rPr>
              <w:t xml:space="preserve">0</w:t>
            </w:r>
            <w:r>
              <w:rPr>
                <w:rFonts w:hint="eastAsia" w:ascii="宋体" w:hAnsi="宋体"/>
                <w:color w:val="000000"/>
                <w:szCs w:val="21"/>
                <w:highlight w:val="none"/>
              </w:rPr>
              <w:t xml:space="preserve">:</w:t>
            </w:r>
            <w:r>
              <w:rPr>
                <w:rFonts w:ascii="宋体" w:hAnsi="宋体"/>
                <w:color w:val="000000"/>
                <w:szCs w:val="21"/>
                <w:highlight w:val="none"/>
              </w:rPr>
              <w:t xml:space="preserve">0</w:t>
            </w:r>
            <w:r>
              <w:rPr>
                <w:rFonts w:hint="eastAsia" w:ascii="宋体" w:hAnsi="宋体"/>
                <w:color w:val="000000"/>
                <w:szCs w:val="21"/>
                <w:highlight w:val="none"/>
              </w:rPr>
              <w:t xml:space="preserve">0</w:t>
            </w:r>
            <w:r>
              <w:rPr>
                <w:rFonts w:ascii="宋体" w:hAnsi="宋体"/>
                <w:color w:val="000000"/>
                <w:szCs w:val="21"/>
                <w:highlight w:val="none"/>
              </w:rPr>
            </w:r>
            <w:r/>
          </w:p>
        </w:tc>
        <w:tc>
          <w:tcPr>
            <w:tcW w:w="3231" w:type="dxa"/>
            <w:vAlign w:val="center"/>
            <w:textDirection w:val="lrTb"/>
            <w:noWrap w:val="false"/>
          </w:tcPr>
          <w:p>
            <w:pPr>
              <w:pStyle w:val="947"/>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每天2次</w:t>
            </w:r>
            <w:r>
              <w:rPr>
                <w:rFonts w:hint="eastAsia" w:ascii="宋体" w:hAnsi="宋体"/>
                <w:color w:val="000000"/>
                <w:szCs w:val="21"/>
                <w:highlight w:val="none"/>
              </w:rPr>
            </w:r>
            <w:r/>
          </w:p>
          <w:p>
            <w:pPr>
              <w:pStyle w:val="94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（具体时间以采购人通知为准）</w:t>
            </w:r>
            <w:r>
              <w:rPr>
                <w:rFonts w:ascii="宋体" w:hAnsi="宋体"/>
                <w:color w:val="000000"/>
                <w:szCs w:val="21"/>
                <w:highlight w:val="none"/>
              </w:rPr>
            </w:r>
            <w:r/>
          </w:p>
        </w:tc>
      </w:tr>
    </w:tbl>
    <w:p>
      <w:pPr>
        <w:pStyle w:val="947"/>
        <w:ind w:firstLine="422"/>
        <w:jc w:val="left"/>
        <w:spacing w:line="360" w:lineRule="auto"/>
        <w:rPr>
          <w:rFonts w:ascii="宋体" w:hAnsi="宋体"/>
          <w:color w:val="000000"/>
          <w:highlight w:val="none"/>
        </w:rPr>
      </w:pPr>
      <w:r>
        <w:rPr>
          <w:rFonts w:hint="eastAsia" w:ascii="宋体" w:hAnsi="宋体"/>
          <w:b/>
          <w:bCs/>
          <w:color w:val="000000"/>
          <w:szCs w:val="21"/>
          <w:highlight w:val="none"/>
        </w:rPr>
        <w:t xml:space="preserve">（四）工作及车辆配备基本要求</w:t>
      </w:r>
      <w:r>
        <w:rPr>
          <w:rFonts w:ascii="宋体" w:hAnsi="宋体"/>
          <w:color w:val="000000"/>
          <w:highlight w:val="none"/>
        </w:rPr>
      </w:r>
      <w:r/>
    </w:p>
    <w:p>
      <w:pPr>
        <w:pStyle w:val="947"/>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1.总体工作要求</w:t>
      </w:r>
      <w:r>
        <w:rPr>
          <w:rFonts w:hint="eastAsia" w:ascii="宋体" w:hAnsi="宋体"/>
          <w:b/>
          <w:bCs/>
          <w:color w:val="000000"/>
          <w:szCs w:val="21"/>
          <w:highlight w:val="none"/>
        </w:rPr>
      </w:r>
      <w:r/>
    </w:p>
    <w:p>
      <w:pPr>
        <w:pStyle w:val="947"/>
        <w:ind w:firstLine="36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中标人将以确保</w:t>
      </w:r>
      <w:r>
        <w:rPr>
          <w:rFonts w:hint="eastAsia" w:ascii="宋体" w:hAnsi="宋体"/>
          <w:color w:val="000000"/>
          <w:szCs w:val="21"/>
          <w:highlight w:val="none"/>
        </w:rPr>
        <w:t xml:space="preserve">“</w:t>
      </w:r>
      <w:r>
        <w:rPr>
          <w:rFonts w:ascii="宋体" w:hAnsi="宋体"/>
          <w:color w:val="000000"/>
          <w:szCs w:val="21"/>
          <w:highlight w:val="none"/>
        </w:rPr>
        <w:t xml:space="preserve">日产日清</w:t>
      </w:r>
      <w:r>
        <w:rPr>
          <w:rFonts w:hint="eastAsia" w:ascii="宋体" w:hAnsi="宋体"/>
          <w:color w:val="000000"/>
          <w:szCs w:val="21"/>
          <w:highlight w:val="none"/>
        </w:rPr>
        <w:t xml:space="preserve">”</w:t>
      </w:r>
      <w:r>
        <w:rPr>
          <w:rFonts w:ascii="宋体" w:hAnsi="宋体"/>
          <w:color w:val="000000"/>
          <w:szCs w:val="21"/>
          <w:highlight w:val="none"/>
        </w:rPr>
        <w:t xml:space="preserve">为首要目标，动态优化收运调度。</w:t>
      </w:r>
      <w:r>
        <w:rPr>
          <w:rFonts w:ascii="宋体" w:hAnsi="宋体"/>
          <w:bCs/>
          <w:color w:val="000000"/>
          <w:szCs w:val="21"/>
          <w:highlight w:val="none"/>
        </w:rPr>
        <w:t xml:space="preserve">根据项目实际作业需求</w:t>
      </w:r>
      <w:r>
        <w:rPr>
          <w:rFonts w:ascii="宋体" w:hAnsi="宋体"/>
          <w:color w:val="000000"/>
          <w:szCs w:val="21"/>
          <w:highlight w:val="none"/>
        </w:rPr>
        <w:t xml:space="preserve">，允许车辆</w:t>
      </w:r>
      <w:r>
        <w:rPr>
          <w:rFonts w:ascii="宋体" w:hAnsi="宋体"/>
          <w:bCs/>
          <w:color w:val="000000"/>
          <w:szCs w:val="21"/>
          <w:highlight w:val="none"/>
        </w:rPr>
        <w:t xml:space="preserve">分阶段配置</w:t>
      </w:r>
      <w:r>
        <w:rPr>
          <w:rFonts w:hint="eastAsia" w:ascii="宋体" w:hAnsi="宋体"/>
          <w:color w:val="000000"/>
          <w:szCs w:val="21"/>
          <w:highlight w:val="none"/>
        </w:rPr>
        <w:t xml:space="preserve">，</w:t>
      </w:r>
      <w:r>
        <w:rPr>
          <w:rFonts w:ascii="宋体" w:hAnsi="宋体"/>
          <w:color w:val="000000"/>
          <w:szCs w:val="21"/>
          <w:highlight w:val="none"/>
        </w:rPr>
        <w:t xml:space="preserve">期间相关费用</w:t>
      </w:r>
      <w:r>
        <w:rPr>
          <w:rFonts w:ascii="宋体" w:hAnsi="宋体"/>
          <w:bCs/>
          <w:color w:val="000000"/>
          <w:szCs w:val="21"/>
          <w:highlight w:val="none"/>
        </w:rPr>
        <w:t xml:space="preserve">按实际完成作业量据实结算</w:t>
      </w:r>
      <w:r>
        <w:rPr>
          <w:rFonts w:ascii="宋体" w:hAnsi="宋体"/>
          <w:color w:val="000000"/>
          <w:szCs w:val="21"/>
          <w:highlight w:val="none"/>
        </w:rPr>
        <w:t xml:space="preserve">。</w:t>
      </w:r>
      <w:r>
        <w:rPr>
          <w:rFonts w:hint="eastAsia" w:ascii="宋体" w:hAnsi="宋体"/>
          <w:color w:val="000000"/>
          <w:szCs w:val="21"/>
          <w:highlight w:val="none"/>
        </w:rPr>
        <w:t xml:space="preserve">项目负责人1名，项目日常运营主管1名，车队长1名，安全员2名，文员2名，</w:t>
      </w:r>
      <w:r>
        <w:rPr>
          <w:rFonts w:hint="eastAsia" w:ascii="宋体" w:hAnsi="宋体" w:cs="宋体"/>
          <w:color w:val="000000"/>
          <w:szCs w:val="21"/>
          <w:highlight w:val="none"/>
        </w:rPr>
        <w:t xml:space="preserve">必须</w:t>
      </w:r>
      <w:r>
        <w:rPr>
          <w:rFonts w:hint="eastAsia" w:ascii="宋体" w:hAnsi="宋体"/>
          <w:color w:val="000000"/>
          <w:szCs w:val="21"/>
          <w:highlight w:val="none"/>
        </w:rPr>
        <w:t xml:space="preserve">为本项目的专职人员，不得由作业人员兼任，项目日常运营主管每天到岗，不得缺岗</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947"/>
        <w:ind w:firstLine="360"/>
        <w:jc w:val="left"/>
        <w:spacing w:line="360" w:lineRule="auto"/>
        <w:rPr>
          <w:rFonts w:ascii="宋体" w:hAnsi="宋体"/>
          <w:color w:val="000000"/>
          <w:szCs w:val="21"/>
          <w:highlight w:val="none"/>
        </w:rPr>
      </w:pPr>
      <w:r>
        <w:rPr>
          <w:rFonts w:hint="eastAsia" w:ascii="宋体" w:hAnsi="宋体"/>
          <w:color w:val="000000"/>
          <w:szCs w:val="21"/>
          <w:highlight w:val="none"/>
        </w:rPr>
        <w:t xml:space="preserve">（2）本项目作业人员工资在符合苏州市当期最低工资标准的基础上，严格执行《关于进一步保障全省环卫行业职工合法权益的实施意见》（苏建城〔2012〕614号）关于“月工资收入不低于当地最低工资标准的110%”之规定。并全面落实《昆城管〔2019〕43号》文件要求，在此基础上，为一线人员每月增发专项补贴500元。社保年龄段内的人员须缴纳相关社会保险，所有人员购买不少于80万保额的人身意外伤害保险。中标人</w:t>
      </w:r>
      <w:r>
        <w:rPr>
          <w:rFonts w:hint="eastAsia" w:ascii="宋体" w:hAnsi="宋体" w:cs="宋体"/>
          <w:bCs/>
          <w:color w:val="000000"/>
          <w:szCs w:val="21"/>
          <w:highlight w:val="none"/>
        </w:rPr>
        <w:t xml:space="preserve">必须考虑到作业期内最低工资标准、社保基数调整等风险因素，调整对象、费用按相关政策要求执行，采购人对该项费用不作调整。</w:t>
      </w:r>
      <w:r>
        <w:rPr>
          <w:rFonts w:ascii="宋体" w:hAnsi="宋体"/>
          <w:color w:val="000000"/>
          <w:szCs w:val="21"/>
          <w:highlight w:val="none"/>
        </w:rPr>
      </w:r>
      <w:r/>
    </w:p>
    <w:p>
      <w:pPr>
        <w:pStyle w:val="947"/>
        <w:ind w:firstLine="360"/>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运营期间必须建立健全安全责任制。建立安全生产管理系统，创建安全生产、文明生产的氛围，定期进行安全教育和检查。所有工作人员必须自觉遵守交通规则，按规定穿戴防护用品，并持证上岗。运营期间，必须加强安全管理工作，确保不发生任何人身、财产安全事故。如若发生人身、财产安全事故的，投标人负责处理并承担由此产生的一切责任。</w:t>
      </w:r>
      <w:r>
        <w:rPr>
          <w:rFonts w:ascii="宋体" w:hAnsi="宋体"/>
          <w:color w:val="000000"/>
          <w:szCs w:val="21"/>
          <w:highlight w:val="none"/>
        </w:rPr>
      </w:r>
      <w:r/>
    </w:p>
    <w:p>
      <w:pPr>
        <w:pStyle w:val="947"/>
        <w:ind w:firstLine="360"/>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）投标人应确保合同签订后、项目正式进场前，落实项目服务团队的组建工作。项目进场初期，需无条件接手采购人原有愿意留下的作业人员，可在后期的运营过程中通过考核调整，实施优胜劣汰。</w:t>
      </w:r>
      <w:r>
        <w:rPr>
          <w:rFonts w:ascii="宋体" w:hAnsi="宋体"/>
          <w:color w:val="000000"/>
          <w:szCs w:val="21"/>
          <w:highlight w:val="none"/>
        </w:rPr>
      </w:r>
      <w:r/>
    </w:p>
    <w:p>
      <w:pPr>
        <w:pStyle w:val="947"/>
        <w:ind w:firstLine="360"/>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6</w:t>
      </w:r>
      <w:r>
        <w:rPr>
          <w:rFonts w:hint="eastAsia" w:ascii="宋体" w:hAnsi="宋体"/>
          <w:color w:val="000000"/>
          <w:szCs w:val="21"/>
          <w:highlight w:val="none"/>
        </w:rPr>
        <w:t xml:space="preserve">）每月召开作业人员例会，做好安全作业培训，及时布置、点评和指导收运工作。</w:t>
      </w:r>
      <w:r>
        <w:rPr>
          <w:rFonts w:hint="eastAsia"/>
          <w:color w:val="000000"/>
          <w:szCs w:val="21"/>
          <w:highlight w:val="none"/>
        </w:rPr>
        <w:t xml:space="preserve">因管理不当、违规操作造成自身或第三方人身、财产损失的，中标人需承担赔偿责任，与采购人无关。</w:t>
      </w:r>
      <w:r>
        <w:rPr>
          <w:rFonts w:ascii="宋体" w:hAnsi="宋体"/>
          <w:color w:val="000000"/>
          <w:szCs w:val="21"/>
          <w:highlight w:val="none"/>
        </w:rPr>
      </w:r>
      <w:r/>
    </w:p>
    <w:p>
      <w:pPr>
        <w:pStyle w:val="947"/>
        <w:ind w:firstLine="360"/>
        <w:jc w:val="left"/>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）服务期内因垃圾收运所需发生的工人工资、福利、保险、交通、设备、办公等费用全部由中标人自行承担，采购人不再追加费用。</w:t>
      </w:r>
      <w:r>
        <w:rPr>
          <w:rFonts w:ascii="宋体" w:hAnsi="宋体"/>
          <w:color w:val="000000"/>
          <w:szCs w:val="21"/>
          <w:highlight w:val="none"/>
        </w:rPr>
      </w:r>
      <w:r/>
    </w:p>
    <w:p>
      <w:pPr>
        <w:pStyle w:val="947"/>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2.车辆设备配置基本要求</w:t>
      </w:r>
      <w:r>
        <w:rPr>
          <w:rFonts w:hint="eastAsia" w:ascii="宋体" w:hAnsi="宋体"/>
          <w:b/>
          <w:bCs/>
          <w:color w:val="000000"/>
          <w:szCs w:val="21"/>
          <w:highlight w:val="none"/>
        </w:rPr>
      </w:r>
      <w:r/>
    </w:p>
    <w:tbl>
      <w:tblPr>
        <w:tblW w:w="9209" w:type="dxa"/>
        <w:tblInd w:w="426" w:type="dxa"/>
        <w:tblLayout w:type="fixed"/>
        <w:tblCellMar>
          <w:left w:w="108" w:type="dxa"/>
          <w:top w:w="0" w:type="dxa"/>
          <w:right w:w="108" w:type="dxa"/>
          <w:bottom w:w="0" w:type="dxa"/>
        </w:tblCellMar>
        <w:tblLook w:val="04A0" w:firstRow="1" w:lastRow="0" w:firstColumn="1" w:lastColumn="0" w:noHBand="0" w:noVBand="1"/>
      </w:tblPr>
      <w:tblGrid>
        <w:gridCol w:w="658"/>
        <w:gridCol w:w="1326"/>
        <w:gridCol w:w="3260"/>
        <w:gridCol w:w="1276"/>
        <w:gridCol w:w="2689"/>
      </w:tblGrid>
      <w:tr>
        <w:trPr>
          <w:trHeight w:val="60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4586" w:type="dxa"/>
            <w:vAlign w:val="center"/>
            <w:textDirection w:val="lrTb"/>
            <w:noWrap/>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车型</w:t>
            </w: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所需数量</w:t>
            </w: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89" w:type="dxa"/>
            <w:vAlign w:val="center"/>
            <w:textDirection w:val="lrTb"/>
            <w:noWrap/>
          </w:tcPr>
          <w:p>
            <w:pPr>
              <w:pStyle w:val="94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ascii="宋体" w:hAnsi="宋体" w:cs="宋体"/>
                <w:b/>
                <w:bCs/>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gridSpan w:val="2"/>
            <w:tcBorders>
              <w:top w:val="none" w:color="000000" w:sz="4" w:space="0"/>
              <w:left w:val="none" w:color="000000" w:sz="4" w:space="0"/>
              <w:bottom w:val="single" w:color="000000" w:sz="4" w:space="0"/>
              <w:right w:val="single" w:color="000000" w:sz="4" w:space="0"/>
            </w:tcBorders>
            <w:tcW w:w="4586"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收运车（后压式）：额定载质量7.5t</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89" w:type="dxa"/>
            <w:vAlign w:val="center"/>
            <w:textDirection w:val="lrTb"/>
            <w:noWrap/>
          </w:tcPr>
          <w:p>
            <w:pPr>
              <w:pStyle w:val="947"/>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4586"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勾臂车：额定载质量13.5t</w:t>
            </w:r>
            <w:r>
              <w:rPr>
                <w:rFonts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689" w:type="dxa"/>
            <w:vAlign w:val="center"/>
            <w:textDirection w:val="lrTb"/>
            <w:noWrap/>
          </w:tcPr>
          <w:p>
            <w:pPr>
              <w:pStyle w:val="947"/>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shd w:val="clear" w:color="000000" w:fill="ffffff"/>
            <w:tcBorders>
              <w:top w:val="none" w:color="000000" w:sz="4" w:space="0"/>
              <w:left w:val="none" w:color="000000" w:sz="4" w:space="0"/>
              <w:bottom w:val="none" w:color="000000" w:sz="0" w:space="0"/>
              <w:right w:val="single" w:color="000000" w:sz="4" w:space="0"/>
            </w:tcBorders>
            <w:tcW w:w="1326" w:type="dxa"/>
            <w:vAlign w:val="center"/>
            <w:vMerge w:val="restart"/>
            <w:textDirection w:val="lrTb"/>
            <w:noWrap/>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整体站</w:t>
            </w:r>
            <w:r>
              <w:rPr>
                <w:rFonts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2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连体式料斗移动箱（≥16m³）</w:t>
            </w:r>
            <w:r>
              <w:rPr>
                <w:rFonts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689" w:type="dxa"/>
            <w:vAlign w:val="center"/>
            <w:textDirection w:val="lrTb"/>
            <w:noWrap/>
          </w:tcPr>
          <w:p>
            <w:pPr>
              <w:pStyle w:val="947"/>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shd w:val="clear" w:color="000000" w:fill="ffffff"/>
            <w:tcBorders>
              <w:top w:val="none" w:color="000000" w:sz="0" w:space="0"/>
              <w:left w:val="none" w:color="000000" w:sz="4" w:space="0"/>
              <w:bottom w:val="single" w:color="000000" w:sz="4" w:space="0"/>
              <w:right w:val="single" w:color="000000" w:sz="4" w:space="0"/>
            </w:tcBorders>
            <w:tcW w:w="1326" w:type="dxa"/>
            <w:vAlign w:val="center"/>
            <w:vMerge w:val="continue"/>
            <w:textDirection w:val="lrTb"/>
            <w:noWrap/>
          </w:tcPr>
          <w:p>
            <w:pPr>
              <w:pStyle w:val="947"/>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2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分体式移动箱及料斗（≥16m³）</w:t>
            </w:r>
            <w:r>
              <w:rPr>
                <w:rFonts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689"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1料斗2箱体</w:t>
            </w:r>
            <w:r>
              <w:rPr>
                <w:rFonts w:ascii="宋体" w:hAnsi="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6"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厨余垃圾车</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额定载质量3t</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89" w:type="dxa"/>
            <w:vAlign w:val="center"/>
            <w:textDirection w:val="lrTb"/>
            <w:noWrap/>
          </w:tcPr>
          <w:p>
            <w:pPr>
              <w:pStyle w:val="947"/>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1326" w:type="dxa"/>
            <w:vAlign w:val="center"/>
            <w:vMerge w:val="restart"/>
            <w:textDirection w:val="lrTb"/>
            <w:noWrap/>
          </w:tcPr>
          <w:p>
            <w:pPr>
              <w:pStyle w:val="947"/>
              <w:jc w:val="center"/>
              <w:widowControl/>
              <w:rPr>
                <w:rFonts w:ascii="宋体" w:hAnsi="宋体" w:cs="宋体"/>
                <w:color w:val="000000"/>
                <w:szCs w:val="21"/>
                <w:highlight w:val="none"/>
              </w:rPr>
            </w:pPr>
            <w:r>
              <w:rPr>
                <w:rFonts w:ascii="宋体" w:hAnsi="宋体" w:cs="宋体"/>
                <w:color w:val="000000"/>
                <w:szCs w:val="21"/>
                <w:highlight w:val="none"/>
              </w:rPr>
              <w:t xml:space="preserve">其他垃圾车</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60" w:type="dxa"/>
            <w:vAlign w:val="center"/>
            <w:textDirection w:val="lrTb"/>
            <w:noWrap w:val="false"/>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额定载质量2.5t</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89" w:type="dxa"/>
            <w:vAlign w:val="center"/>
            <w:textDirection w:val="lrTb"/>
            <w:noWrap/>
          </w:tcPr>
          <w:p>
            <w:pPr>
              <w:pStyle w:val="947"/>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1326" w:type="dxa"/>
            <w:vAlign w:val="center"/>
            <w:vMerge w:val="continue"/>
            <w:textDirection w:val="lrTb"/>
            <w:noWrap/>
          </w:tcPr>
          <w:p>
            <w:pPr>
              <w:pStyle w:val="947"/>
              <w:jc w:val="center"/>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260" w:type="dxa"/>
            <w:vAlign w:val="center"/>
            <w:textDirection w:val="lrTb"/>
            <w:noWrap w:val="false"/>
          </w:tcPr>
          <w:p>
            <w:pPr>
              <w:pStyle w:val="947"/>
              <w:jc w:val="center"/>
              <w:widowControl/>
              <w:rPr>
                <w:rFonts w:ascii="宋体" w:hAnsi="宋体" w:cs="宋体"/>
                <w:color w:val="000000"/>
                <w:szCs w:val="21"/>
                <w:highlight w:val="none"/>
              </w:rPr>
            </w:pPr>
            <w:r>
              <w:rPr>
                <w:rFonts w:ascii="宋体" w:hAnsi="宋体" w:cs="宋体"/>
                <w:color w:val="000000"/>
                <w:szCs w:val="21"/>
                <w:highlight w:val="none"/>
              </w:rPr>
              <w:t xml:space="preserve">额定载质量</w:t>
            </w:r>
            <w:r>
              <w:rPr>
                <w:rFonts w:hint="eastAsia" w:ascii="宋体" w:hAnsi="宋体" w:cs="宋体"/>
                <w:color w:val="000000"/>
                <w:szCs w:val="21"/>
                <w:highlight w:val="none"/>
              </w:rPr>
              <w:t xml:space="preserve">5t</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89" w:type="dxa"/>
            <w:vAlign w:val="center"/>
            <w:textDirection w:val="lrTb"/>
            <w:noWrap/>
          </w:tcPr>
          <w:p>
            <w:pPr>
              <w:pStyle w:val="947"/>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gridSpan w:val="2"/>
            <w:tcBorders>
              <w:top w:val="none" w:color="000000" w:sz="4" w:space="0"/>
              <w:left w:val="none" w:color="000000" w:sz="4" w:space="0"/>
              <w:bottom w:val="single" w:color="000000" w:sz="4" w:space="0"/>
              <w:right w:val="single" w:color="000000" w:sz="4" w:space="0"/>
            </w:tcBorders>
            <w:tcW w:w="4586"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四轮电瓶车</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89" w:type="dxa"/>
            <w:vAlign w:val="center"/>
            <w:textDirection w:val="lrTb"/>
            <w:noWrap/>
          </w:tcPr>
          <w:p>
            <w:pPr>
              <w:pStyle w:val="947"/>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gridSpan w:val="2"/>
            <w:tcBorders>
              <w:top w:val="none" w:color="000000" w:sz="4" w:space="0"/>
              <w:left w:val="none" w:color="000000" w:sz="4" w:space="0"/>
              <w:bottom w:val="single" w:color="000000" w:sz="4" w:space="0"/>
              <w:right w:val="single" w:color="000000" w:sz="4" w:space="0"/>
            </w:tcBorders>
            <w:tcW w:w="4586"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花望站转运</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2689"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车辆采购人提供</w:t>
            </w:r>
            <w:r>
              <w:rPr>
                <w:rFonts w:ascii="宋体" w:hAnsi="宋体" w:cs="宋体"/>
                <w:color w:val="000000"/>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gridSpan w:val="2"/>
            <w:tcBorders>
              <w:top w:val="none" w:color="000000" w:sz="4" w:space="0"/>
              <w:left w:val="none" w:color="000000" w:sz="4" w:space="0"/>
              <w:bottom w:val="single" w:color="000000" w:sz="4" w:space="0"/>
              <w:right w:val="single" w:color="000000" w:sz="4" w:space="0"/>
            </w:tcBorders>
            <w:tcW w:w="4586" w:type="dxa"/>
            <w:vAlign w:val="center"/>
            <w:textDirection w:val="lrTb"/>
            <w:noWrap/>
          </w:tcPr>
          <w:p>
            <w:pPr>
              <w:pStyle w:val="94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中宇站转运</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pStyle w:val="947"/>
              <w:jc w:val="center"/>
              <w:rPr>
                <w:rFonts w:ascii="宋体" w:hAnsi="宋体" w:cs="宋体"/>
                <w:color w:val="000000"/>
                <w:szCs w:val="21"/>
                <w:highlight w:val="none"/>
              </w:rPr>
            </w:pPr>
            <w:r>
              <w:rPr>
                <w:rFonts w:hint="eastAsia" w:ascii="宋体" w:hAnsi="宋体" w:cs="宋体"/>
                <w:color w:val="000000"/>
                <w:szCs w:val="21"/>
                <w:highlight w:val="none"/>
              </w:rPr>
              <w:t xml:space="preserve">车辆采购人提供</w:t>
            </w:r>
            <w:r>
              <w:rPr>
                <w:rFonts w:ascii="宋体" w:hAnsi="宋体" w:cs="宋体"/>
                <w:color w:val="000000"/>
                <w:szCs w:val="21"/>
                <w:highlight w:val="none"/>
              </w:rPr>
            </w:r>
            <w:r/>
          </w:p>
        </w:tc>
      </w:tr>
    </w:tbl>
    <w:p>
      <w:pPr>
        <w:pStyle w:val="947"/>
        <w:ind w:firstLine="359"/>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注：1、车辆额定载质量可以根据车辆规格型号上下浮动10%；</w:t>
      </w:r>
      <w:r>
        <w:rPr>
          <w:rFonts w:hint="eastAsia" w:ascii="宋体" w:hAnsi="宋体"/>
          <w:color w:val="000000"/>
          <w:szCs w:val="21"/>
          <w:highlight w:val="none"/>
        </w:rPr>
      </w:r>
      <w:r/>
    </w:p>
    <w:p>
      <w:pPr>
        <w:pStyle w:val="947"/>
        <w:ind w:firstLine="359"/>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    2、车辆保险保额不低于200万/辆。</w:t>
      </w:r>
      <w:r>
        <w:rPr>
          <w:rFonts w:hint="eastAsia" w:ascii="宋体" w:hAnsi="宋体"/>
          <w:color w:val="000000"/>
          <w:szCs w:val="21"/>
          <w:highlight w:val="none"/>
        </w:rPr>
      </w:r>
      <w:r/>
    </w:p>
    <w:p>
      <w:pPr>
        <w:pStyle w:val="947"/>
        <w:ind w:left="0" w:firstLine="359"/>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3、车辆使用必须证照齐全，安全性能达标，缴纳车辆保险，投标人承担车辆使用过程中的一切费用和风险。</w:t>
      </w:r>
      <w:r>
        <w:rPr>
          <w:rFonts w:hint="eastAsia" w:ascii="宋体" w:hAnsi="宋体" w:cs="宋体"/>
          <w:color w:val="000000"/>
          <w:szCs w:val="21"/>
          <w:highlight w:val="none"/>
        </w:rPr>
        <w:t xml:space="preserve">本项目投入的全部垃圾清运车辆中，新能源汽车占比不得低于15%；其中，轻型环卫车辆，新能源汽车占比不得低于80%。</w:t>
      </w:r>
      <w:r>
        <w:rPr>
          <w:rFonts w:hint="eastAsia" w:ascii="宋体" w:hAnsi="宋体"/>
          <w:color w:val="000000"/>
          <w:szCs w:val="21"/>
          <w:highlight w:val="none"/>
        </w:rPr>
        <w:t xml:space="preserve">（其中拟投入的四轮电瓶垃圾收运车须为合规新能源车辆，各项技术指标须符合国家及地方机动车上牌登记要求，确保具备合法上路行驶资格)。投标文件中须提供相关承诺或证明材料，否则按无效标处理。</w:t>
      </w:r>
      <w:r>
        <w:rPr>
          <w:rFonts w:hint="eastAsia" w:ascii="宋体" w:hAnsi="宋体"/>
          <w:color w:val="000000"/>
          <w:szCs w:val="21"/>
          <w:highlight w:val="none"/>
        </w:rPr>
      </w:r>
      <w:r/>
    </w:p>
    <w:p>
      <w:pPr>
        <w:pStyle w:val="947"/>
        <w:ind w:left="0" w:firstLine="361"/>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4、中标人需在</w:t>
      </w:r>
      <w:bookmarkStart w:id="39" w:name="_Hlk179301345"/>
      <w:r>
        <w:rPr>
          <w:rFonts w:ascii="宋体" w:hAnsi="宋体"/>
          <w:b/>
          <w:bCs/>
          <w:color w:val="000000"/>
          <w:szCs w:val="21"/>
          <w:highlight w:val="none"/>
        </w:rPr>
        <w:t xml:space="preserve">中标</w:t>
      </w:r>
      <w:r>
        <w:rPr>
          <w:rFonts w:hint="eastAsia" w:ascii="宋体" w:hAnsi="宋体"/>
          <w:b/>
          <w:bCs/>
          <w:color w:val="000000"/>
          <w:szCs w:val="21"/>
          <w:highlight w:val="none"/>
        </w:rPr>
        <w:t xml:space="preserve">合同签订后在进场前15天前配置</w:t>
      </w:r>
      <w:bookmarkEnd w:id="39"/>
      <w:r>
        <w:rPr>
          <w:rFonts w:hint="eastAsia" w:ascii="宋体" w:hAnsi="宋体"/>
          <w:b/>
          <w:bCs/>
          <w:color w:val="000000"/>
          <w:szCs w:val="21"/>
          <w:highlight w:val="none"/>
        </w:rPr>
        <w:t xml:space="preserve">满足招标要求的车辆。</w:t>
      </w:r>
      <w:r>
        <w:rPr>
          <w:rFonts w:hint="eastAsia" w:ascii="宋体" w:hAnsi="宋体"/>
          <w:b/>
          <w:bCs/>
          <w:color w:val="000000"/>
          <w:szCs w:val="21"/>
          <w:highlight w:val="none"/>
        </w:rPr>
      </w:r>
      <w:r/>
    </w:p>
    <w:p>
      <w:pPr>
        <w:pStyle w:val="947"/>
        <w:ind w:left="0" w:firstLine="359"/>
        <w:jc w:val="left"/>
        <w:spacing w:line="360" w:lineRule="auto"/>
        <w:rPr>
          <w:rFonts w:hint="eastAsia" w:ascii="宋体" w:hAnsi="宋体" w:cs="宋体"/>
          <w:color w:val="000000"/>
          <w:szCs w:val="21"/>
          <w:highlight w:val="none"/>
        </w:rPr>
      </w:pPr>
      <w:r>
        <w:rPr>
          <w:rFonts w:hint="eastAsia" w:ascii="宋体" w:hAnsi="宋体"/>
          <w:bCs/>
          <w:color w:val="000000"/>
          <w:highlight w:val="none"/>
        </w:rPr>
        <w:t xml:space="preserve">5、</w:t>
      </w:r>
      <w:r>
        <w:rPr>
          <w:rFonts w:hint="eastAsia" w:ascii="宋体" w:hAnsi="宋体"/>
          <w:bCs/>
          <w:color w:val="000000"/>
          <w:szCs w:val="21"/>
          <w:highlight w:val="none"/>
        </w:rPr>
        <w:t xml:space="preserve">车辆配置</w:t>
      </w:r>
      <w:r>
        <w:rPr>
          <w:rFonts w:hint="eastAsia" w:ascii="宋体" w:hAnsi="宋体" w:cs="宋体"/>
          <w:bCs/>
          <w:color w:val="000000"/>
          <w:szCs w:val="21"/>
          <w:highlight w:val="none"/>
        </w:rPr>
        <w:t xml:space="preserve">需原则上</w:t>
      </w:r>
      <w:r>
        <w:rPr>
          <w:rFonts w:hint="eastAsia" w:ascii="宋体" w:hAnsi="宋体" w:cs="宋体"/>
          <w:color w:val="000000"/>
          <w:szCs w:val="21"/>
          <w:highlight w:val="none"/>
        </w:rPr>
        <w:t xml:space="preserve">保证不低于招标所要求的最低车辆要求，具体中标单位可以根据实际垃圾量做出调整，保证日产日清，具体费用按实结算，超出合同价部分不予结算。</w:t>
      </w:r>
      <w:r>
        <w:rPr>
          <w:rFonts w:hint="eastAsia" w:ascii="宋体" w:hAnsi="宋体" w:cs="宋体"/>
          <w:color w:val="000000"/>
          <w:szCs w:val="21"/>
          <w:highlight w:val="none"/>
        </w:rPr>
      </w:r>
      <w:r/>
    </w:p>
    <w:p>
      <w:pPr>
        <w:pStyle w:val="947"/>
        <w:ind w:left="0" w:firstLine="361"/>
        <w:jc w:val="left"/>
        <w:spacing w:line="360" w:lineRule="auto"/>
        <w:rPr>
          <w:rFonts w:hint="eastAsia" w:ascii="宋体" w:hAnsi="宋体" w:cs="宋体"/>
          <w:b/>
          <w:color w:val="000000"/>
          <w:szCs w:val="21"/>
          <w:highlight w:val="none"/>
        </w:rPr>
      </w:pPr>
      <w:r>
        <w:rPr>
          <w:rFonts w:hint="eastAsia" w:ascii="宋体" w:hAnsi="宋体"/>
          <w:b/>
          <w:color w:val="000000"/>
          <w:highlight w:val="none"/>
        </w:rPr>
        <w:t xml:space="preserve">（五）</w:t>
      </w:r>
      <w:r>
        <w:rPr>
          <w:rFonts w:hint="eastAsia" w:ascii="宋体" w:hAnsi="宋体" w:cs="宋体"/>
          <w:b/>
          <w:color w:val="000000"/>
          <w:szCs w:val="21"/>
          <w:highlight w:val="none"/>
        </w:rPr>
        <w:t xml:space="preserve">综合要求</w:t>
      </w:r>
      <w:r>
        <w:rPr>
          <w:rFonts w:hint="eastAsia" w:ascii="宋体" w:hAnsi="宋体" w:cs="宋体"/>
          <w:b/>
          <w:color w:val="000000"/>
          <w:szCs w:val="21"/>
          <w:highlight w:val="none"/>
        </w:rPr>
      </w:r>
      <w:r/>
    </w:p>
    <w:p>
      <w:pPr>
        <w:pStyle w:val="947"/>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1.管理交接时间：中标后由采购人通知或合同约定时间进场，初定进场时间为2026年12月31日,</w:t>
      </w:r>
      <w:r>
        <w:rPr>
          <w:rFonts w:ascii="宋体" w:hAnsi="宋体" w:cs="宋体"/>
          <w:b/>
          <w:color w:val="000000"/>
          <w:szCs w:val="21"/>
          <w:highlight w:val="none"/>
        </w:rPr>
        <w:t xml:space="preserve">中标人</w:t>
      </w:r>
      <w:r>
        <w:rPr>
          <w:rFonts w:hint="eastAsia" w:ascii="宋体" w:hAnsi="宋体" w:cs="宋体"/>
          <w:b/>
          <w:color w:val="000000"/>
          <w:szCs w:val="21"/>
          <w:highlight w:val="none"/>
        </w:rPr>
        <w:t xml:space="preserve">进场</w:t>
      </w:r>
      <w:r>
        <w:rPr>
          <w:rFonts w:ascii="宋体" w:hAnsi="宋体" w:cs="宋体"/>
          <w:b/>
          <w:color w:val="000000"/>
          <w:szCs w:val="21"/>
          <w:highlight w:val="none"/>
        </w:rPr>
        <w:t xml:space="preserve">前需做好与前期单位的交接工作及</w:t>
      </w:r>
      <w:r>
        <w:rPr>
          <w:rFonts w:hint="eastAsia" w:ascii="宋体" w:hAnsi="宋体" w:cs="宋体"/>
          <w:b/>
          <w:color w:val="000000"/>
          <w:szCs w:val="21"/>
          <w:highlight w:val="none"/>
        </w:rPr>
        <w:t xml:space="preserve">退场时</w:t>
      </w:r>
      <w:r>
        <w:rPr>
          <w:rFonts w:ascii="宋体" w:hAnsi="宋体" w:cs="宋体"/>
          <w:b/>
          <w:color w:val="000000"/>
          <w:szCs w:val="21"/>
          <w:highlight w:val="none"/>
        </w:rPr>
        <w:t xml:space="preserve">与后续单位的交接工作</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r>
      <w:r/>
    </w:p>
    <w:p>
      <w:pPr>
        <w:pStyle w:val="947"/>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若中标人在服务管理期间，违反下列规定将被解除服务合同。</w:t>
      </w:r>
      <w:r>
        <w:rPr>
          <w:rFonts w:hint="eastAsia" w:ascii="宋体" w:hAnsi="宋体" w:cs="宋体"/>
          <w:color w:val="000000"/>
          <w:szCs w:val="21"/>
          <w:highlight w:val="none"/>
        </w:rPr>
      </w:r>
      <w:r/>
    </w:p>
    <w:p>
      <w:pPr>
        <w:pStyle w:val="947"/>
        <w:ind w:firstLine="42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（1）不服从采购人管理或调配，被采购人书面警告并约谈三次以上的；</w:t>
      </w:r>
      <w:r>
        <w:rPr>
          <w:rFonts w:hint="eastAsia" w:ascii="宋体" w:hAnsi="宋体"/>
          <w:color w:val="000000"/>
          <w:szCs w:val="21"/>
          <w:highlight w:val="none"/>
        </w:rPr>
      </w:r>
      <w:r/>
    </w:p>
    <w:p>
      <w:pPr>
        <w:pStyle w:val="947"/>
        <w:ind w:firstLine="424"/>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（2）如发生重大事故或重大劳资纠纷，未及时积极处理，造成重大影响的；</w:t>
      </w:r>
      <w:r>
        <w:rPr>
          <w:rFonts w:hint="eastAsia" w:ascii="宋体" w:hAnsi="宋体"/>
          <w:color w:val="000000"/>
          <w:szCs w:val="21"/>
          <w:highlight w:val="none"/>
        </w:rPr>
      </w:r>
      <w:r/>
    </w:p>
    <w:p>
      <w:pPr>
        <w:pStyle w:val="947"/>
        <w:ind w:firstLine="424"/>
        <w:spacing w:line="360" w:lineRule="auto"/>
        <w:rPr>
          <w:rFonts w:hint="eastAsia" w:ascii="宋体" w:hAnsi="宋体"/>
          <w:b/>
          <w:bCs/>
          <w:color w:val="000000"/>
          <w:szCs w:val="21"/>
          <w:highlight w:val="none"/>
        </w:rPr>
      </w:pPr>
      <w:r>
        <w:rPr>
          <w:rFonts w:hint="eastAsia" w:ascii="宋体" w:hAnsi="宋体"/>
          <w:color w:val="000000"/>
          <w:szCs w:val="21"/>
          <w:highlight w:val="none"/>
        </w:rPr>
        <w:t xml:space="preserve">（3）其他重大违法现象的。</w:t>
      </w:r>
      <w:r>
        <w:rPr>
          <w:rFonts w:hint="eastAsia" w:ascii="宋体" w:hAnsi="宋体"/>
          <w:b/>
          <w:bCs/>
          <w:color w:val="000000"/>
          <w:szCs w:val="21"/>
          <w:highlight w:val="none"/>
        </w:rPr>
      </w:r>
      <w:r/>
    </w:p>
    <w:p>
      <w:pPr>
        <w:pStyle w:val="9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3.在合同履行期间，采购人有权根据实际情况对考核方式、考核内容、作业方式作出变更，中标人应无条件接受。</w:t>
      </w:r>
      <w:r>
        <w:rPr>
          <w:rFonts w:hint="eastAsia" w:ascii="宋体" w:hAnsi="宋体" w:cs="宋体"/>
          <w:color w:val="000000"/>
          <w:szCs w:val="21"/>
          <w:highlight w:val="none"/>
        </w:rPr>
      </w:r>
      <w:r/>
    </w:p>
    <w:p>
      <w:pPr>
        <w:pStyle w:val="1046"/>
        <w:ind w:firstLine="420"/>
        <w:jc w:val="left"/>
        <w:spacing w:line="360" w:lineRule="auto"/>
        <w:rPr>
          <w:rFonts w:hint="eastAsia" w:hAnsi="宋体"/>
          <w:color w:val="000000"/>
          <w:szCs w:val="21"/>
          <w:highlight w:val="none"/>
        </w:rPr>
      </w:pPr>
      <w:r>
        <w:rPr>
          <w:rFonts w:hint="eastAsia" w:hAnsi="宋体"/>
          <w:color w:val="000000"/>
          <w:szCs w:val="21"/>
          <w:highlight w:val="none"/>
        </w:rPr>
        <w:t xml:space="preserve">4.在合同期间，未按招标文件要求及合同内容实施，被</w:t>
      </w:r>
      <w:r>
        <w:rPr>
          <w:rFonts w:hint="eastAsia" w:hAnsi="宋体" w:cs="宋体"/>
          <w:color w:val="000000"/>
          <w:szCs w:val="21"/>
          <w:highlight w:val="none"/>
        </w:rPr>
        <w:t xml:space="preserve">采购人</w:t>
      </w:r>
      <w:r>
        <w:rPr>
          <w:rFonts w:hint="eastAsia" w:hAnsi="宋体"/>
          <w:color w:val="000000"/>
          <w:szCs w:val="21"/>
          <w:highlight w:val="none"/>
        </w:rPr>
        <w:t xml:space="preserve">解除合同的，费用只能结算至合同中止日。</w:t>
      </w:r>
      <w:r>
        <w:rPr>
          <w:rFonts w:hint="eastAsia" w:hAnsi="宋体"/>
          <w:color w:val="000000"/>
          <w:szCs w:val="21"/>
          <w:highlight w:val="none"/>
        </w:rPr>
      </w:r>
      <w:r/>
    </w:p>
    <w:p>
      <w:pPr>
        <w:pStyle w:val="947"/>
        <w:ind w:firstLine="420"/>
        <w:jc w:val="left"/>
        <w:spacing w:line="360" w:lineRule="auto"/>
        <w:rPr>
          <w:rFonts w:ascii="宋体" w:hAnsi="宋体"/>
          <w:color w:val="000000"/>
          <w:szCs w:val="21"/>
          <w:highlight w:val="none"/>
        </w:rPr>
      </w:pPr>
      <w:r>
        <w:rPr>
          <w:rFonts w:hint="eastAsia" w:ascii="宋体" w:hAnsi="宋体"/>
          <w:color w:val="000000"/>
          <w:highlight w:val="none"/>
        </w:rPr>
        <w:t xml:space="preserve">5.</w:t>
      </w:r>
      <w:r>
        <w:rPr>
          <w:rFonts w:hint="eastAsia" w:ascii="宋体" w:hAnsi="宋体"/>
          <w:color w:val="000000"/>
          <w:szCs w:val="21"/>
          <w:highlight w:val="none"/>
        </w:rPr>
        <w:t xml:space="preserve">所有作业工具必须按照采购人的标准要求规范统一，作业工作服需发放</w:t>
      </w:r>
      <w:r>
        <w:rPr>
          <w:rFonts w:hint="eastAsia" w:ascii="宋体" w:hAnsi="宋体"/>
          <w:bCs/>
          <w:color w:val="000000"/>
          <w:szCs w:val="21"/>
          <w:highlight w:val="none"/>
        </w:rPr>
        <w:t xml:space="preserve">春秋、夏装、雨衣、雨鞋、帽子各2套，冬装1套</w:t>
      </w:r>
      <w:r>
        <w:rPr>
          <w:rFonts w:hint="eastAsia" w:ascii="宋体" w:hAnsi="宋体"/>
          <w:color w:val="000000"/>
          <w:szCs w:val="21"/>
          <w:highlight w:val="none"/>
        </w:rPr>
        <w:t xml:space="preserve">，工作服由采购人统一标准，由中标人自行采购。</w:t>
      </w:r>
      <w:r>
        <w:rPr>
          <w:rFonts w:ascii="宋体" w:hAnsi="宋体"/>
          <w:color w:val="000000"/>
          <w:szCs w:val="21"/>
          <w:highlight w:val="none"/>
        </w:rPr>
      </w:r>
      <w:r/>
    </w:p>
    <w:p>
      <w:pPr>
        <w:pStyle w:val="947"/>
        <w:ind w:firstLine="361"/>
        <w:spacing w:line="360" w:lineRule="auto"/>
        <w:rPr>
          <w:rFonts w:ascii="宋体" w:hAnsi="宋体"/>
          <w:b/>
          <w:bCs/>
          <w:color w:val="000000"/>
          <w:szCs w:val="21"/>
          <w:highlight w:val="none"/>
        </w:rPr>
      </w:pPr>
      <w:r>
        <w:rPr>
          <w:rFonts w:ascii="宋体" w:hAnsi="宋体"/>
          <w:b/>
          <w:color w:val="000000"/>
          <w:highlight w:val="none"/>
        </w:rPr>
        <w:t xml:space="preserve">6</w:t>
      </w:r>
      <w:r>
        <w:rPr>
          <w:rFonts w:hint="eastAsia" w:ascii="宋体" w:hAnsi="宋体"/>
          <w:b/>
          <w:color w:val="000000"/>
          <w:highlight w:val="none"/>
        </w:rPr>
        <w:t xml:space="preserve">.</w:t>
      </w:r>
      <w:r>
        <w:rPr>
          <w:rFonts w:hint="eastAsia" w:ascii="宋体" w:hAnsi="宋体"/>
          <w:b/>
          <w:bCs/>
          <w:color w:val="000000"/>
          <w:szCs w:val="21"/>
          <w:highlight w:val="none"/>
        </w:rPr>
        <w:t xml:space="preserve">若因政府政策、规</w:t>
      </w:r>
      <w:r>
        <w:rPr>
          <w:rFonts w:ascii="宋体" w:hAnsi="宋体"/>
          <w:b/>
          <w:bCs/>
          <w:color w:val="000000"/>
          <w:szCs w:val="21"/>
          <w:highlight w:val="none"/>
        </w:rPr>
        <w:t xml:space="preserve">划</w:t>
      </w:r>
      <w:r>
        <w:rPr>
          <w:rFonts w:hint="eastAsia" w:ascii="宋体" w:hAnsi="宋体"/>
          <w:b/>
          <w:bCs/>
          <w:color w:val="000000"/>
          <w:szCs w:val="21"/>
          <w:highlight w:val="none"/>
        </w:rPr>
        <w:t xml:space="preserve">调整或其他任何原因造成本招标范围内减少任务量或采购人指派增加的任务量，中标人应予认可与配合，并按合同标准进行履行，中标人拖延履行或不履行的，经采购人催告仍未整改的，采购人有权解除合同并有权要求中标人承担违约责任。</w:t>
      </w:r>
      <w:r>
        <w:rPr>
          <w:rFonts w:hint="eastAsia" w:ascii="宋体" w:hAnsi="宋体"/>
          <w:b/>
          <w:color w:val="000000"/>
          <w:szCs w:val="21"/>
          <w:highlight w:val="none"/>
        </w:rPr>
        <w:t xml:space="preserve">作业工作量减少或者增加作业工作量，根据中标全费用综合单价经采购人签证审核后按实结算。</w:t>
      </w:r>
      <w:r>
        <w:rPr>
          <w:rFonts w:ascii="宋体" w:hAnsi="宋体"/>
          <w:b/>
          <w:bCs/>
          <w:color w:val="000000"/>
          <w:szCs w:val="21"/>
          <w:highlight w:val="none"/>
        </w:rPr>
      </w:r>
      <w:r/>
    </w:p>
    <w:p>
      <w:pPr>
        <w:pStyle w:val="947"/>
        <w:ind w:left="0" w:firstLine="360"/>
        <w:spacing w:line="360" w:lineRule="auto"/>
        <w:rPr>
          <w:rFonts w:ascii="宋体" w:hAnsi="宋体"/>
          <w:b/>
          <w:color w:val="000000"/>
          <w:szCs w:val="21"/>
          <w:highlight w:val="none"/>
        </w:rPr>
      </w:pPr>
      <w:r>
        <w:rPr>
          <w:rFonts w:hint="eastAsia" w:ascii="宋体" w:hAnsi="宋体"/>
          <w:b/>
          <w:bCs/>
          <w:color w:val="000000"/>
          <w:szCs w:val="21"/>
          <w:highlight w:val="none"/>
        </w:rPr>
        <w:t xml:space="preserve">7.中标人在花桥经济开发区范围内需具有作业停车</w:t>
      </w:r>
      <w:r>
        <w:rPr>
          <w:rFonts w:ascii="宋体" w:hAnsi="宋体"/>
          <w:b/>
          <w:bCs/>
          <w:color w:val="000000"/>
          <w:szCs w:val="21"/>
          <w:highlight w:val="none"/>
        </w:rPr>
        <w:t xml:space="preserve">场地</w:t>
      </w:r>
      <w:r>
        <w:rPr>
          <w:rFonts w:hint="eastAsia" w:ascii="宋体" w:hAnsi="宋体"/>
          <w:b/>
          <w:bCs/>
          <w:color w:val="000000"/>
          <w:szCs w:val="21"/>
          <w:highlight w:val="none"/>
        </w:rPr>
        <w:t xml:space="preserve">（</w:t>
      </w:r>
      <w:r>
        <w:rPr>
          <w:rFonts w:ascii="宋体" w:hAnsi="宋体"/>
          <w:b/>
          <w:bCs/>
          <w:color w:val="000000"/>
          <w:szCs w:val="21"/>
          <w:highlight w:val="none"/>
        </w:rPr>
        <w:t xml:space="preserve">面积不低于2000平方米，地面硬化，具备车辆停放及冲洗条件</w:t>
      </w:r>
      <w:r>
        <w:rPr>
          <w:rFonts w:hint="eastAsia" w:ascii="宋体" w:hAnsi="宋体"/>
          <w:b/>
          <w:bCs/>
          <w:color w:val="000000"/>
          <w:szCs w:val="21"/>
          <w:highlight w:val="none"/>
        </w:rPr>
        <w:t xml:space="preserve">）和满足作业要求的办公场所（不少于200</w:t>
      </w:r>
      <w:r>
        <w:rPr>
          <w:rFonts w:ascii="宋体" w:hAnsi="宋体"/>
          <w:b/>
          <w:bCs/>
          <w:color w:val="000000"/>
          <w:szCs w:val="21"/>
          <w:highlight w:val="none"/>
        </w:rPr>
        <w:t xml:space="preserve">平方米</w:t>
      </w:r>
      <w:r>
        <w:rPr>
          <w:rFonts w:hint="eastAsia" w:ascii="宋体" w:hAnsi="宋体"/>
          <w:b/>
          <w:bCs/>
          <w:color w:val="000000"/>
          <w:szCs w:val="21"/>
          <w:highlight w:val="none"/>
        </w:rPr>
        <w:t xml:space="preserve">）。自有的</w:t>
      </w:r>
      <w:r>
        <w:rPr>
          <w:rFonts w:ascii="宋体" w:hAnsi="宋体"/>
          <w:b/>
          <w:bCs/>
          <w:color w:val="000000"/>
          <w:szCs w:val="21"/>
          <w:highlight w:val="none"/>
        </w:rPr>
        <w:t xml:space="preserve">提供</w:t>
      </w:r>
      <w:r>
        <w:rPr>
          <w:rFonts w:hint="eastAsia" w:ascii="宋体" w:hAnsi="宋体"/>
          <w:b/>
          <w:bCs/>
          <w:color w:val="000000"/>
          <w:szCs w:val="21"/>
          <w:highlight w:val="none"/>
        </w:rPr>
        <w:t xml:space="preserve">自有</w:t>
      </w:r>
      <w:r>
        <w:rPr>
          <w:rFonts w:ascii="宋体" w:hAnsi="宋体"/>
          <w:b/>
          <w:bCs/>
          <w:color w:val="000000"/>
          <w:szCs w:val="21"/>
          <w:highlight w:val="none"/>
        </w:rPr>
        <w:t xml:space="preserve">场地证明</w:t>
      </w:r>
      <w:r>
        <w:rPr>
          <w:rFonts w:hint="eastAsia" w:ascii="宋体" w:hAnsi="宋体"/>
          <w:b/>
          <w:bCs/>
          <w:color w:val="000000"/>
          <w:szCs w:val="21"/>
          <w:highlight w:val="none"/>
        </w:rPr>
        <w:t xml:space="preserve">、办公场所证明；如无自有需承诺：</w:t>
      </w:r>
      <w:r>
        <w:rPr>
          <w:rFonts w:hint="eastAsia" w:ascii="宋体" w:hAnsi="宋体" w:cs="宋体"/>
          <w:color w:val="000000"/>
          <w:szCs w:val="21"/>
          <w:highlight w:val="none"/>
        </w:rPr>
        <w:t xml:space="preserve">合同签订后在进场前15天</w:t>
      </w:r>
      <w:r>
        <w:rPr>
          <w:rFonts w:ascii="宋体" w:hAnsi="宋体" w:cs="宋体"/>
          <w:color w:val="000000"/>
          <w:szCs w:val="21"/>
          <w:highlight w:val="none"/>
        </w:rPr>
        <w:t xml:space="preserve">提交</w:t>
      </w:r>
      <w:r>
        <w:rPr>
          <w:rFonts w:hint="eastAsia" w:ascii="宋体" w:hAnsi="宋体"/>
          <w:b/>
          <w:bCs/>
          <w:color w:val="000000"/>
          <w:szCs w:val="21"/>
          <w:highlight w:val="none"/>
        </w:rPr>
        <w:t xml:space="preserve">在花桥</w:t>
      </w:r>
      <w:r>
        <w:rPr>
          <w:rFonts w:ascii="宋体" w:hAnsi="宋体"/>
          <w:b/>
          <w:bCs/>
          <w:color w:val="000000"/>
          <w:szCs w:val="21"/>
          <w:highlight w:val="none"/>
        </w:rPr>
        <w:t xml:space="preserve">经济开</w:t>
      </w:r>
      <w:r>
        <w:rPr>
          <w:rFonts w:hint="eastAsia" w:ascii="宋体" w:hAnsi="宋体"/>
          <w:b/>
          <w:bCs/>
          <w:color w:val="000000"/>
          <w:szCs w:val="21"/>
          <w:highlight w:val="none"/>
        </w:rPr>
        <w:t xml:space="preserve">发区范围内购买或租赁作业</w:t>
      </w:r>
      <w:r>
        <w:rPr>
          <w:rFonts w:ascii="宋体" w:hAnsi="宋体"/>
          <w:b/>
          <w:bCs/>
          <w:color w:val="000000"/>
          <w:szCs w:val="21"/>
          <w:highlight w:val="none"/>
        </w:rPr>
        <w:t xml:space="preserve">场地</w:t>
      </w:r>
      <w:r>
        <w:rPr>
          <w:rFonts w:hint="eastAsia" w:ascii="宋体" w:hAnsi="宋体"/>
          <w:b/>
          <w:bCs/>
          <w:color w:val="000000"/>
          <w:szCs w:val="21"/>
          <w:highlight w:val="none"/>
        </w:rPr>
        <w:t xml:space="preserve">（租期需涵盖项目服务期），投标</w:t>
      </w:r>
      <w:r>
        <w:rPr>
          <w:rFonts w:ascii="宋体" w:hAnsi="宋体"/>
          <w:b/>
          <w:bCs/>
          <w:color w:val="000000"/>
          <w:szCs w:val="21"/>
          <w:highlight w:val="none"/>
        </w:rPr>
        <w:t xml:space="preserve">文件</w:t>
      </w:r>
      <w:r>
        <w:rPr>
          <w:rFonts w:hint="eastAsia" w:ascii="宋体" w:hAnsi="宋体"/>
          <w:b/>
          <w:bCs/>
          <w:color w:val="000000"/>
          <w:szCs w:val="21"/>
          <w:highlight w:val="none"/>
        </w:rPr>
        <w:t xml:space="preserve">提供承诺书，</w:t>
      </w:r>
      <w:r>
        <w:rPr>
          <w:rFonts w:ascii="宋体" w:hAnsi="宋体"/>
          <w:b/>
          <w:bCs/>
          <w:color w:val="000000"/>
          <w:szCs w:val="21"/>
          <w:highlight w:val="none"/>
        </w:rPr>
        <w:t xml:space="preserve">未提供</w:t>
      </w:r>
      <w:r>
        <w:rPr>
          <w:rFonts w:hint="eastAsia" w:ascii="宋体" w:hAnsi="宋体"/>
          <w:b/>
          <w:bCs/>
          <w:color w:val="000000"/>
          <w:szCs w:val="21"/>
          <w:highlight w:val="none"/>
        </w:rPr>
        <w:t xml:space="preserve">作无效标处理。未按上述要求提供满足招标要求场所的</w:t>
      </w:r>
      <w:r>
        <w:rPr>
          <w:rFonts w:hint="eastAsia" w:ascii="宋体" w:hAnsi="宋体"/>
          <w:b/>
          <w:color w:val="000000"/>
          <w:szCs w:val="21"/>
          <w:highlight w:val="none"/>
        </w:rPr>
        <w:t xml:space="preserve">视为中标人放弃中标资格</w:t>
      </w:r>
      <w:r>
        <w:rPr>
          <w:rFonts w:hint="eastAsia" w:ascii="宋体" w:hAnsi="宋体"/>
          <w:b/>
          <w:bCs/>
          <w:color w:val="000000"/>
          <w:szCs w:val="21"/>
          <w:highlight w:val="none"/>
        </w:rPr>
        <w:t xml:space="preserve">。</w:t>
      </w:r>
      <w:r>
        <w:rPr>
          <w:rFonts w:ascii="宋体" w:hAnsi="宋体"/>
          <w:b/>
          <w:color w:val="000000"/>
          <w:szCs w:val="21"/>
          <w:highlight w:val="none"/>
        </w:rPr>
      </w:r>
      <w:r/>
    </w:p>
    <w:p>
      <w:pPr>
        <w:pStyle w:val="947"/>
        <w:ind w:left="0" w:firstLine="36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合同履行期间自有</w:t>
      </w:r>
      <w:r>
        <w:rPr>
          <w:rFonts w:ascii="宋体" w:hAnsi="宋体"/>
          <w:b/>
          <w:bCs/>
          <w:color w:val="000000"/>
          <w:szCs w:val="21"/>
          <w:highlight w:val="none"/>
        </w:rPr>
        <w:t xml:space="preserve">场地</w:t>
      </w:r>
      <w:r>
        <w:rPr>
          <w:rFonts w:hint="eastAsia" w:ascii="宋体" w:hAnsi="宋体"/>
          <w:b/>
          <w:bCs/>
          <w:color w:val="000000"/>
          <w:szCs w:val="21"/>
          <w:highlight w:val="none"/>
        </w:rPr>
        <w:t xml:space="preserve">、办公场所需与投标文件中提供的地点保持一致，确需更换地点的需经采购人同意。</w:t>
      </w:r>
      <w:r>
        <w:rPr>
          <w:rFonts w:hint="eastAsia" w:ascii="宋体" w:hAnsi="宋体"/>
          <w:b/>
          <w:bCs/>
          <w:color w:val="000000"/>
          <w:szCs w:val="21"/>
          <w:highlight w:val="none"/>
        </w:rPr>
      </w:r>
      <w:r/>
    </w:p>
    <w:p>
      <w:pPr>
        <w:pStyle w:val="947"/>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四、综合说明</w:t>
      </w:r>
      <w:r>
        <w:rPr>
          <w:rFonts w:hint="eastAsia" w:ascii="宋体" w:hAnsi="宋体"/>
          <w:b/>
          <w:bCs/>
          <w:color w:val="000000"/>
          <w:szCs w:val="21"/>
          <w:highlight w:val="none"/>
        </w:rPr>
      </w:r>
      <w:r/>
    </w:p>
    <w:p>
      <w:pPr>
        <w:pStyle w:val="9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1.中标人提供的服务必须满足以上全部要求，如果其中某些条款不响应时，应在偏离表中逐条列出，未列出的视同响应。</w:t>
      </w:r>
      <w:r>
        <w:rPr>
          <w:rFonts w:hint="eastAsia" w:ascii="宋体" w:hAnsi="宋体" w:cs="宋体"/>
          <w:color w:val="000000"/>
          <w:szCs w:val="21"/>
          <w:highlight w:val="none"/>
        </w:rPr>
      </w:r>
      <w:r/>
    </w:p>
    <w:p>
      <w:pPr>
        <w:pStyle w:val="9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综合单价应包括所需完成本项工作所需的全部人员的人工费（含工资、加班工资、绩效奖金、社保、公积金、意外伤害保险费、高温津贴、体检费及食宿交通补贴等）、劳保防护用品及统一服装费、工具及信息化设备（含GPS/ 监控平台）购置与使用费、通讯及数据流量费；机械化作业车辆折旧费、燃油费(电费)、车辆保险费</w:t>
      </w:r>
      <w:r>
        <w:rPr>
          <w:rFonts w:hint="eastAsia" w:ascii="宋体" w:hAnsi="宋体" w:cs="宋体"/>
          <w:color w:val="000000"/>
          <w:szCs w:val="21"/>
          <w:highlight w:val="none"/>
        </w:rPr>
        <w:t xml:space="preserve">（含交强险、商业险及第三者责任险）、车船税、年检季审及二级维护检测费、日常保养维修费、易耗件更换费、过路过桥及洗车清洁费；停车场站租赁管理费、管理费、利润、各种税费；报价已包含政策性文件规定及合同包含的所有风险、责任及不可预见费用，包括但不限于路面污染清理恢复文件规定及合同包含的所有风险、责任及不可预见费用、扬尘噪声控制、第三者人身财产损害及环境污染责任赔偿、相关诉讼及律师费等，中标人须自行承担因作业不当产生的全部清理、赔偿及行政处罚费用，招标人不再另行支付任何费用；包括招标代理费及其他可能发生的一切费用。</w:t>
      </w:r>
      <w:r>
        <w:rPr>
          <w:rFonts w:hint="eastAsia" w:ascii="宋体" w:hAnsi="宋体" w:cs="宋体"/>
          <w:color w:val="000000"/>
          <w:szCs w:val="21"/>
          <w:highlight w:val="none"/>
        </w:rPr>
      </w:r>
      <w:r/>
    </w:p>
    <w:p>
      <w:pPr>
        <w:pStyle w:val="9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3.本项目服务过程中所有安全责任由中标人承担,</w:t>
      </w:r>
      <w:r>
        <w:rPr>
          <w:rFonts w:ascii="宋体" w:hAnsi="宋体" w:cs="宋体"/>
          <w:color w:val="000000"/>
          <w:szCs w:val="21"/>
          <w:highlight w:val="none"/>
        </w:rPr>
        <w:t xml:space="preserve">中标人作为本项目安全生产的直接责任主体，对服务全过程（含垃圾装载、运输、中转、卸载及往返途中等所有环节）的安全负完全责任。</w:t>
      </w:r>
      <w:r>
        <w:rPr>
          <w:rFonts w:hint="eastAsia" w:ascii="宋体" w:hAnsi="宋体" w:cs="宋体"/>
          <w:color w:val="000000"/>
          <w:szCs w:val="21"/>
          <w:highlight w:val="none"/>
        </w:rPr>
      </w:r>
      <w:r/>
    </w:p>
    <w:p>
      <w:pPr>
        <w:pStyle w:val="947"/>
        <w:ind w:firstLine="420"/>
        <w:jc w:val="left"/>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在服务期限内，凡因中标人及其工作人员、车辆、设备导致的自身人员伤害、第三者人身伤亡或财产损失，以及由此引发的疾病、职业病、猝死等，均属于中标人责任范围。中标人应自行承担由此产生的一切经济赔偿、行政处罚及法律责任。</w:t>
      </w:r>
      <w:r>
        <w:rPr>
          <w:rFonts w:hint="eastAsia" w:ascii="宋体" w:hAnsi="宋体" w:cs="宋体"/>
          <w:color w:val="000000"/>
          <w:szCs w:val="21"/>
          <w:highlight w:val="none"/>
        </w:rPr>
      </w:r>
      <w:r/>
    </w:p>
    <w:p>
      <w:pPr>
        <w:pStyle w:val="947"/>
        <w:ind w:firstLine="420"/>
        <w:jc w:val="left"/>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中标人须确保投入本项目的车辆、设备及人员资质合法合规，严禁带病作业、疲劳驾驶、超载超速及违反环保与安全禁令。因中标人原因造成路面污染、交通事故、环境污染事件或引发群体性事件的，中标人除承担全部清理、修复、赔偿及罚款外，还应赔偿因此给招标人造成的名誉损失及停工损失。</w:t>
      </w:r>
      <w:r>
        <w:rPr>
          <w:rFonts w:hint="eastAsia" w:ascii="宋体" w:hAnsi="宋体" w:cs="宋体"/>
          <w:color w:val="000000"/>
          <w:szCs w:val="21"/>
          <w:highlight w:val="none"/>
        </w:rPr>
      </w:r>
      <w:r/>
    </w:p>
    <w:p>
      <w:pPr>
        <w:pStyle w:val="94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招标人有权对中标人的安全管理工作进行监督、检查及考核，对存在重大安全隐患且拒不整改的，招标人有权单方面解除合同并要求中标人支付违约金。</w:t>
      </w:r>
      <w:r>
        <w:rPr>
          <w:rFonts w:ascii="宋体" w:hAnsi="宋体" w:cs="宋体"/>
          <w:color w:val="000000"/>
          <w:szCs w:val="21"/>
          <w:highlight w:val="none"/>
        </w:rPr>
      </w:r>
      <w:r/>
    </w:p>
    <w:p>
      <w:pPr>
        <w:pStyle w:val="94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4.凡涉及招标文件的补充说明和修改，均以招标代理机构网上发布的公告为准</w:t>
      </w:r>
      <w:r>
        <w:rPr>
          <w:rFonts w:hint="eastAsia" w:ascii="宋体" w:hAnsi="宋体" w:cs="宋体"/>
          <w:color w:val="000000"/>
          <w:szCs w:val="21"/>
          <w:highlight w:val="none"/>
        </w:rPr>
      </w:r>
      <w:r/>
    </w:p>
    <w:p>
      <w:pPr>
        <w:pStyle w:val="947"/>
        <w:rPr>
          <w:color w:val="000000"/>
          <w:highlight w:val="none"/>
        </w:rPr>
      </w:pPr>
      <w:r>
        <w:rPr>
          <w:color w:val="000000"/>
          <w:highlight w:val="none"/>
        </w:rPr>
      </w:r>
      <w:r/>
    </w:p>
    <w:p>
      <w:pPr>
        <w:pStyle w:val="948"/>
        <w:jc w:val="center"/>
        <w:spacing w:line="360" w:lineRule="auto"/>
        <w:rPr>
          <w:rFonts w:hint="eastAsia"/>
          <w:color w:val="000000"/>
          <w:highlight w:val="none"/>
        </w:rPr>
      </w:pPr>
      <w:r>
        <w:rPr>
          <w:color w:val="000000"/>
          <w:highlight w:val="none"/>
          <w:shd w:val="clear" w:color="auto" w:fill="ffffff"/>
        </w:rPr>
        <w:br w:type="page" w:clear="all"/>
      </w:r>
      <w:r>
        <w:rPr>
          <w:rFonts w:hint="eastAsia"/>
          <w:color w:val="000000"/>
          <w:highlight w:val="none"/>
          <w:shd w:val="clear" w:color="auto" w:fill="ffffff"/>
        </w:rPr>
        <w:t xml:space="preserve">第五章 </w:t>
      </w:r>
      <w:r>
        <w:rPr>
          <w:rFonts w:hint="eastAsia"/>
          <w:color w:val="000000"/>
          <w:highlight w:val="none"/>
        </w:rPr>
        <w:t xml:space="preserve">合同主要内容</w:t>
      </w:r>
      <w:bookmarkEnd w:id="36"/>
      <w:r>
        <w:rPr>
          <w:rFonts w:hint="eastAsia"/>
          <w:color w:val="000000"/>
          <w:highlight w:val="none"/>
        </w:rPr>
      </w:r>
      <w:r/>
    </w:p>
    <w:p>
      <w:pPr>
        <w:pStyle w:val="947"/>
        <w:ind w:firstLine="359"/>
        <w:spacing w:line="360" w:lineRule="auto"/>
        <w:rPr>
          <w:rFonts w:hint="eastAsia" w:ascii="宋体" w:hAnsi="宋体" w:cs="宋体"/>
          <w:bCs/>
          <w:color w:val="000000"/>
          <w:szCs w:val="21"/>
          <w:highlight w:val="none"/>
        </w:rPr>
      </w:pPr>
      <w:r/>
      <w:bookmarkEnd w:id="37"/>
      <w:r/>
      <w:bookmarkEnd w:id="38"/>
      <w:r/>
      <w:bookmarkStart w:id="40" w:name="_Toc304374140"/>
      <w:r>
        <w:rPr>
          <w:rFonts w:hint="eastAsia" w:ascii="宋体" w:hAnsi="宋体" w:cs="宋体"/>
          <w:color w:val="000000"/>
          <w:szCs w:val="21"/>
          <w:highlight w:val="none"/>
        </w:rPr>
        <w:t xml:space="preserve">甲</w:t>
      </w:r>
      <w:r>
        <w:rPr>
          <w:rFonts w:hint="eastAsia" w:ascii="宋体" w:hAnsi="宋体" w:cs="宋体"/>
          <w:bCs/>
          <w:color w:val="000000"/>
          <w:szCs w:val="21"/>
          <w:highlight w:val="none"/>
        </w:rPr>
        <w:t xml:space="preserve">方：</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（以下简称甲方）</w:t>
      </w:r>
      <w:r>
        <w:rPr>
          <w:rFonts w:hint="eastAsia" w:ascii="宋体" w:hAnsi="宋体" w:cs="宋体"/>
          <w:bCs/>
          <w:color w:val="000000"/>
          <w:szCs w:val="21"/>
          <w:highlight w:val="none"/>
        </w:rPr>
      </w:r>
      <w:r/>
    </w:p>
    <w:p>
      <w:pPr>
        <w:pStyle w:val="947"/>
        <w:ind w:firstLine="359"/>
        <w:spacing w:line="360" w:lineRule="auto"/>
        <w:tabs>
          <w:tab w:val="center" w:pos="5131"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47"/>
        <w:ind w:firstLine="359"/>
        <w:spacing w:line="360" w:lineRule="auto"/>
        <w:tabs>
          <w:tab w:val="center" w:pos="5131"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乙方：</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（以下简称乙方）</w:t>
      </w:r>
      <w:r>
        <w:rPr>
          <w:rFonts w:hint="eastAsia" w:ascii="宋体" w:hAnsi="宋体" w:cs="宋体"/>
          <w:bCs/>
          <w:color w:val="000000"/>
          <w:szCs w:val="21"/>
          <w:highlight w:val="none"/>
        </w:rPr>
      </w:r>
      <w:r/>
    </w:p>
    <w:p>
      <w:pPr>
        <w:pStyle w:val="1403"/>
        <w:ind w:firstLine="359"/>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403"/>
        <w:ind w:firstLine="359"/>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根据苏州正信工程造价咨询事务所有限责任公司招标编号为</w:t>
      </w:r>
      <w:r>
        <w:rPr>
          <w:rFonts w:hAnsi="宋体" w:eastAsia="宋体" w:cs="宋体"/>
          <w:color w:val="000000"/>
          <w:sz w:val="21"/>
          <w:szCs w:val="21"/>
          <w:highlight w:val="none"/>
          <w:u w:val="single"/>
        </w:rPr>
        <w:t xml:space="preserve">                </w:t>
      </w:r>
      <w:r>
        <w:rPr>
          <w:rFonts w:hAnsi="宋体" w:eastAsia="宋体" w:cs="宋体"/>
          <w:color w:val="000000"/>
          <w:sz w:val="21"/>
          <w:szCs w:val="21"/>
          <w:highlight w:val="none"/>
        </w:rPr>
        <w:t xml:space="preserve">的招标文件及该文件的投标文件和中标通知书，甲乙双方就以下</w:t>
      </w:r>
      <w:r>
        <w:rPr>
          <w:rFonts w:hAnsi="宋体" w:eastAsia="宋体" w:cs="宋体"/>
          <w:color w:val="000000"/>
          <w:sz w:val="21"/>
          <w:szCs w:val="21"/>
          <w:highlight w:val="none"/>
          <w:u w:val="single"/>
        </w:rPr>
        <w:t xml:space="preserve">     </w:t>
      </w:r>
      <w:r>
        <w:rPr>
          <w:rFonts w:hAnsi="宋体" w:eastAsia="宋体" w:cs="宋体"/>
          <w:color w:val="000000"/>
          <w:sz w:val="21"/>
          <w:szCs w:val="21"/>
          <w:highlight w:val="none"/>
        </w:rPr>
        <w:t xml:space="preserve">项目的中标事宜，签订本合同书。</w:t>
      </w:r>
      <w:r>
        <w:rPr>
          <w:rFonts w:hAnsi="宋体" w:eastAsia="宋体" w:cs="宋体"/>
          <w:color w:val="000000"/>
          <w:sz w:val="21"/>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一、合同内容</w:t>
      </w:r>
      <w:r>
        <w:rPr>
          <w:rFonts w:hint="eastAsia" w:ascii="宋体" w:hAnsi="宋体" w:cs="宋体"/>
          <w:b/>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1.项目名称：</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2.服务内容：针对花桥全区住宅小区生活垃圾分类进行分类收运。</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3.服务时间：</w:t>
      </w:r>
      <w:r>
        <w:rPr>
          <w:rFonts w:hint="eastAsia" w:ascii="宋体" w:hAnsi="宋体" w:cs="宋体"/>
          <w:b/>
          <w:bCs/>
          <w:color w:val="000000"/>
          <w:szCs w:val="21"/>
          <w:highlight w:val="none"/>
        </w:rPr>
        <w:t xml:space="preserve">贰年，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若项目满足以下两个条件之一，则采购服务合同自动终止：</w:t>
      </w:r>
      <w:r>
        <w:rPr>
          <w:rFonts w:hint="eastAsia" w:ascii="宋体" w:hAnsi="宋体" w:cs="宋体"/>
          <w:b/>
          <w:bCs/>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①服务期满；</w:t>
      </w:r>
      <w:r>
        <w:rPr>
          <w:rFonts w:hint="eastAsia" w:ascii="宋体" w:hAnsi="宋体" w:cs="宋体"/>
          <w:b/>
          <w:bCs/>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②服务期内，结算金额累计达到合同金额，其采购服务合同自动终止。</w:t>
      </w:r>
      <w:r>
        <w:rPr>
          <w:rFonts w:hint="eastAsia" w:ascii="宋体" w:hAnsi="宋体" w:cs="宋体"/>
          <w:b/>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4.合同服务内容及要求：负责中标区域内的垃圾分类收运工作,具体要求见本招标文件“第四章招标书”中相关内容及甲方要求。</w:t>
      </w:r>
      <w:r>
        <w:rPr>
          <w:rFonts w:hint="eastAsia" w:ascii="宋体" w:hAnsi="宋体" w:cs="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二、甲方权利和义务</w:t>
      </w:r>
      <w:r>
        <w:rPr>
          <w:rFonts w:hint="eastAsia" w:ascii="宋体" w:hAnsi="宋体" w:cs="宋体"/>
          <w:b/>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1.根据考核细则的有关规定，对乙方垃圾收运及履行合同情况进行检查考核。甲方有权根据实际情况对考核细则进行调整,乙方须无条件接受。</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2.有权对乙方运行人员、运行情况进行检查。</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3.有权组织乙方运行人员培训，指导规范作业，乙方应调整好生产，接受甲方培训。</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4.根据对乙方的检查考核结果按照招标文件规定按实向乙方支付作业服务费用。</w:t>
      </w:r>
      <w:r>
        <w:rPr>
          <w:rFonts w:hint="eastAsia" w:ascii="宋体" w:hAnsi="宋体" w:cs="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三、乙方权利和义务</w:t>
      </w:r>
      <w:r>
        <w:rPr>
          <w:rFonts w:hint="eastAsia" w:ascii="宋体" w:hAnsi="宋体" w:cs="宋体"/>
          <w:b/>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根据《考核细则》和投标书做出的承诺，自觉开展收运工作，确保收运范围内的垃圾“日产日清”；垃圾按指定地点、指定时间收运。严禁从事非经甲方认定或有碍甲方利益的各类业务（如擅自承揽垃圾代运、收费等）。</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2.自觉接受甲方和各级管理部门的检查考核，每次考核的扣款在当月度的服务费中扣除。</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3.乙方作业人员必须统一着装，并独立承担作业人员及作业车辆的安全责任、用人责任。</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4.乙方人员发生的交通事故、人身伤害、伤亡等一切意外事故和违法行为，均由乙方负责处理，并承担经济和道义上的责任，甲方不承担任何责任。</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5.乙方应服从甲方要求和安排，配合做好生活垃圾分类收集。同时，在灾害天气或重大活动期间做好垃圾收运的应急工作。</w:t>
      </w:r>
      <w:r>
        <w:rPr>
          <w:rFonts w:hint="eastAsia" w:ascii="宋体" w:hAnsi="宋体" w:cs="宋体"/>
          <w:color w:val="000000"/>
          <w:szCs w:val="21"/>
          <w:highlight w:val="none"/>
          <w:u w:val="singl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6.接受社会监督，对12345便民服务热线、数字城管派单、媒体曝光、信访来电等有责投诉必须按时间要求进行整改，并将整改结果报甲方。</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7.乙方使用甲方提供的车辆只能在招标范围内使用，不得用于其他用途。</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8.乙方必须为全部人员办理人身意外险（保额不低于80万/人·年）。</w:t>
      </w:r>
      <w:r>
        <w:rPr>
          <w:rFonts w:hint="eastAsia" w:ascii="宋体" w:hAnsi="宋体" w:cs="宋体"/>
          <w:color w:val="000000"/>
          <w:szCs w:val="21"/>
          <w:highlight w:val="none"/>
        </w:rPr>
      </w:r>
      <w:r/>
    </w:p>
    <w:p>
      <w:pPr>
        <w:pStyle w:val="1412"/>
        <w:ind w:firstLine="361"/>
        <w:spacing w:before="0" w:beforeAutospacing="0" w:after="0" w:afterAutospacing="0" w:line="360" w:lineRule="auto"/>
        <w:shd w:val="clear" w:color="auto" w:fill="ffffff"/>
        <w:rPr>
          <w:rFonts w:hint="eastAsia" w:cs="宋体"/>
          <w:b/>
          <w:bCs/>
          <w:color w:val="000000"/>
          <w:sz w:val="21"/>
          <w:szCs w:val="21"/>
          <w:highlight w:val="none"/>
        </w:rPr>
      </w:pPr>
      <w:r>
        <w:rPr>
          <w:rFonts w:hint="eastAsia" w:cs="宋体"/>
          <w:b/>
          <w:bCs/>
          <w:color w:val="000000"/>
          <w:sz w:val="21"/>
          <w:szCs w:val="21"/>
          <w:highlight w:val="none"/>
        </w:rPr>
        <w:t xml:space="preserve">9.合同履行期间自有场地、办公场所需与投标文件中提供的地点保持一致，确需更换地点的需经甲方同意。未经甲方同意擅自更换位置的甲方有权解除合同且不承担任何法律责任或赔偿义务。</w:t>
      </w:r>
      <w:r>
        <w:rPr>
          <w:rFonts w:hint="eastAsia" w:cs="宋体"/>
          <w:b/>
          <w:bCs/>
          <w:color w:val="000000"/>
          <w:sz w:val="21"/>
          <w:szCs w:val="21"/>
          <w:highlight w:val="none"/>
        </w:rPr>
      </w:r>
      <w:r/>
    </w:p>
    <w:p>
      <w:pPr>
        <w:pStyle w:val="1412"/>
        <w:ind w:firstLine="359"/>
        <w:spacing w:before="0" w:beforeAutospacing="0" w:after="0" w:afterAutospacing="0" w:line="360" w:lineRule="auto"/>
        <w:shd w:val="clear" w:color="auto" w:fill="ffffff"/>
        <w:rPr>
          <w:rFonts w:hint="eastAsia" w:cs="宋体"/>
          <w:color w:val="000000"/>
          <w:sz w:val="21"/>
          <w:szCs w:val="21"/>
          <w:highlight w:val="none"/>
        </w:rPr>
      </w:pPr>
      <w:r>
        <w:rPr>
          <w:rFonts w:hint="eastAsia" w:cs="宋体"/>
          <w:color w:val="000000"/>
          <w:sz w:val="21"/>
          <w:szCs w:val="21"/>
          <w:highlight w:val="none"/>
        </w:rPr>
        <w:t xml:space="preserve">10.</w:t>
      </w:r>
      <w:r>
        <w:rPr>
          <w:rFonts w:cs="宋体"/>
          <w:color w:val="000000"/>
          <w:sz w:val="21"/>
          <w:szCs w:val="21"/>
          <w:highlight w:val="none"/>
        </w:rPr>
        <w:t xml:space="preserve"> 乙方基于本合同配备的人员，均由乙方</w:t>
      </w:r>
      <w:r>
        <w:rPr>
          <w:rFonts w:cs="宋体"/>
          <w:b/>
          <w:bCs/>
          <w:color w:val="000000"/>
          <w:sz w:val="21"/>
          <w:szCs w:val="21"/>
          <w:highlight w:val="none"/>
        </w:rPr>
        <w:t xml:space="preserve">自行</w:t>
      </w:r>
      <w:r>
        <w:rPr>
          <w:rFonts w:hint="eastAsia" w:cs="宋体"/>
          <w:b/>
          <w:bCs/>
          <w:color w:val="000000"/>
          <w:sz w:val="21"/>
          <w:szCs w:val="21"/>
          <w:highlight w:val="none"/>
        </w:rPr>
        <w:t xml:space="preserve">配备</w:t>
      </w:r>
      <w:r>
        <w:rPr>
          <w:rFonts w:cs="宋体"/>
          <w:b/>
          <w:bCs/>
          <w:color w:val="000000"/>
          <w:sz w:val="21"/>
          <w:szCs w:val="21"/>
          <w:highlight w:val="none"/>
        </w:rPr>
        <w:t xml:space="preserve">并承担全部用人主体责任</w:t>
      </w:r>
      <w:r>
        <w:rPr>
          <w:rFonts w:hint="eastAsia" w:cs="宋体"/>
          <w:color w:val="000000"/>
          <w:sz w:val="21"/>
          <w:szCs w:val="21"/>
          <w:highlight w:val="none"/>
        </w:rPr>
        <w:t xml:space="preserve">，与甲方无劳动关系或聘用关系。乙方应建立完善的用工制度，并保证薪资等款项的正常发放、缴纳。如因此产生纠纷，由乙方自行负责，与甲方无关。</w:t>
      </w:r>
      <w:r>
        <w:rPr>
          <w:rFonts w:hint="eastAsia" w:cs="宋体"/>
          <w:color w:val="000000"/>
          <w:sz w:val="21"/>
          <w:szCs w:val="21"/>
          <w:highlight w:val="none"/>
        </w:rPr>
      </w:r>
      <w:r/>
    </w:p>
    <w:p>
      <w:pPr>
        <w:pStyle w:val="1412"/>
        <w:ind w:firstLine="359"/>
        <w:spacing w:before="0" w:beforeAutospacing="0" w:after="0" w:afterAutospacing="0" w:line="360" w:lineRule="auto"/>
        <w:shd w:val="clear" w:color="auto" w:fill="ffffff"/>
        <w:rPr>
          <w:rFonts w:hint="eastAsia" w:cs="宋体"/>
          <w:color w:val="000000"/>
          <w:sz w:val="21"/>
          <w:szCs w:val="21"/>
          <w:highlight w:val="none"/>
        </w:rPr>
      </w:pPr>
      <w:r>
        <w:rPr>
          <w:rFonts w:hint="eastAsia" w:cs="宋体"/>
          <w:color w:val="000000"/>
          <w:sz w:val="21"/>
          <w:szCs w:val="21"/>
          <w:highlight w:val="none"/>
        </w:rPr>
        <w:t xml:space="preserve">11.乙方应经常对员工进行岗位职责和安全教育，加强岗位责任考核。因管理不当、违规操作造成自身或第三方人身、财产损失的，乙方需承担赔偿责任，与甲方无关。</w:t>
      </w:r>
      <w:r>
        <w:rPr>
          <w:rFonts w:hint="eastAsia" w:cs="宋体"/>
          <w:color w:val="000000"/>
          <w:sz w:val="21"/>
          <w:szCs w:val="21"/>
          <w:highlight w:val="none"/>
        </w:rPr>
      </w:r>
      <w:r/>
    </w:p>
    <w:p>
      <w:pPr>
        <w:pStyle w:val="947"/>
        <w:ind w:firstLine="360"/>
        <w:jc w:val="left"/>
        <w:spacing w:line="360" w:lineRule="auto"/>
        <w:rPr>
          <w:rFonts w:hint="eastAsia" w:ascii="宋体" w:hAnsi="宋体"/>
          <w:color w:val="000000"/>
          <w:szCs w:val="21"/>
          <w:highlight w:val="none"/>
        </w:rPr>
      </w:pPr>
      <w:r>
        <w:rPr>
          <w:rFonts w:hint="eastAsia" w:cs="宋体"/>
          <w:b/>
          <w:bCs/>
          <w:color w:val="000000"/>
          <w:szCs w:val="21"/>
          <w:highlight w:val="none"/>
        </w:rPr>
        <w:t xml:space="preserve">12. 乙方在满足甲方收运要求的情况下合理配置收运人员和收运车辆。</w:t>
      </w:r>
      <w:r>
        <w:rPr>
          <w:rFonts w:hint="eastAsia" w:ascii="宋体" w:hAnsi="宋体"/>
          <w:color w:val="000000"/>
          <w:szCs w:val="21"/>
          <w:highlight w:val="none"/>
        </w:rPr>
        <w:t xml:space="preserve">项目负责人1名，项目日常运营主管1名，车队长1名，安全员2名，文员2名，</w:t>
      </w:r>
      <w:r>
        <w:rPr>
          <w:rFonts w:hint="eastAsia" w:ascii="宋体" w:hAnsi="宋体" w:cs="宋体"/>
          <w:color w:val="000000"/>
          <w:szCs w:val="21"/>
          <w:highlight w:val="none"/>
        </w:rPr>
        <w:t xml:space="preserve">必须</w:t>
      </w:r>
      <w:r>
        <w:rPr>
          <w:rFonts w:hint="eastAsia" w:ascii="宋体" w:hAnsi="宋体"/>
          <w:color w:val="000000"/>
          <w:szCs w:val="21"/>
          <w:highlight w:val="none"/>
        </w:rPr>
        <w:t xml:space="preserve">为本项目的专职人员，不得由作业人员兼任，项目日常运营主管每天到岗，不得缺岗</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1412"/>
        <w:ind w:firstLine="361"/>
        <w:spacing w:before="0" w:beforeAutospacing="0" w:after="0" w:afterAutospacing="0" w:line="360" w:lineRule="auto"/>
        <w:shd w:val="clear" w:color="auto" w:fill="ffffff"/>
        <w:rPr>
          <w:rFonts w:hint="eastAsia" w:cs="宋体"/>
          <w:b/>
          <w:bCs/>
          <w:color w:val="000000"/>
          <w:sz w:val="21"/>
          <w:szCs w:val="21"/>
          <w:highlight w:val="none"/>
        </w:rPr>
      </w:pPr>
      <w:r>
        <w:rPr>
          <w:rFonts w:hint="eastAsia" w:cs="宋体"/>
          <w:b/>
          <w:bCs/>
          <w:color w:val="000000"/>
          <w:sz w:val="21"/>
          <w:szCs w:val="21"/>
          <w:highlight w:val="none"/>
        </w:rPr>
        <w:t xml:space="preserve">13.乙方需每月按时发放作业人员工资。</w:t>
      </w:r>
      <w:r>
        <w:rPr>
          <w:rFonts w:hint="eastAsia" w:cs="宋体"/>
          <w:b/>
          <w:bCs/>
          <w:color w:val="000000"/>
          <w:sz w:val="21"/>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四、价格与支付</w:t>
      </w:r>
      <w:r>
        <w:rPr>
          <w:rFonts w:hint="eastAsia" w:ascii="宋体" w:hAnsi="宋体" w:cs="宋体"/>
          <w:b/>
          <w:bCs/>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1.合同总价（暂定）：</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中标综合单价应包括在服务期内清运服务需要的人工费（包括人员工资、人员加班工资、社保、公积金、意外伤害保险费、高温费等）、劳保用品、人员服装费、工具费、信息化设备购置及使用费、</w:t>
      </w:r>
      <w:r>
        <w:rPr>
          <w:rFonts w:hint="eastAsia" w:ascii="宋体" w:hAnsi="宋体" w:cs="宋体"/>
          <w:bCs/>
          <w:color w:val="000000"/>
          <w:szCs w:val="21"/>
          <w:highlight w:val="none"/>
        </w:rPr>
        <w:t xml:space="preserve">机械化作业车辆折旧费</w:t>
      </w:r>
      <w:r>
        <w:rPr>
          <w:rFonts w:hint="eastAsia" w:ascii="宋体" w:hAnsi="宋体" w:cs="宋体"/>
          <w:color w:val="000000"/>
          <w:szCs w:val="21"/>
          <w:highlight w:val="none"/>
        </w:rPr>
        <w:t xml:space="preserve">、车辆的保养、维修、油料费、车辆保险费、考核以及在清运过程中发生的一切费用。报价中还包括耗材、管理费、各种税费及政策性文件规定及合同包含的所有风险、责任等各项应有费用。</w:t>
      </w:r>
      <w:r>
        <w:rPr>
          <w:rFonts w:hint="eastAsia" w:ascii="宋体" w:hAnsi="宋体" w:cs="宋体"/>
          <w:b/>
          <w:bCs/>
          <w:color w:val="000000"/>
          <w:szCs w:val="21"/>
          <w:highlight w:val="none"/>
        </w:rPr>
      </w:r>
      <w:r/>
    </w:p>
    <w:p>
      <w:pPr>
        <w:pStyle w:val="947"/>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color w:val="000000"/>
          <w:szCs w:val="21"/>
          <w:highlight w:val="none"/>
        </w:rPr>
        <w:t xml:space="preserve">结算与支付（付款步骤）：每月根据实际完成工作量并根据考核结果计算应支付费用，按季度支付应支付费用的80%，服务期满后付至应支付费用总额（不超出合同价）的80%。余款待服务期满后一年内付清。</w:t>
      </w:r>
      <w:r>
        <w:rPr>
          <w:rFonts w:hint="eastAsia" w:ascii="宋体" w:hAnsi="宋体" w:cs="宋体"/>
          <w:b/>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若因政府政策、规划调整或其他任何原因造成招标范围内减少任务量或甲方指派增加的任务量，乙方应予认可与配合，并按合同标准进行履行，乙方拖延履行或不履行的，经甲方催告仍未整改的，甲方有权解除合同并有权要求乙方承担违约责任。</w:t>
      </w:r>
      <w:r>
        <w:rPr>
          <w:rFonts w:hint="eastAsia" w:ascii="宋体" w:hAnsi="宋体" w:cs="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五、履约保证金</w:t>
      </w:r>
      <w:r>
        <w:rPr>
          <w:rFonts w:hint="eastAsia" w:ascii="宋体" w:hAnsi="宋体" w:cs="宋体"/>
          <w:b/>
          <w:bCs/>
          <w:color w:val="000000"/>
          <w:szCs w:val="21"/>
          <w:highlight w:val="none"/>
        </w:rPr>
      </w:r>
      <w:r/>
    </w:p>
    <w:p>
      <w:pPr>
        <w:pStyle w:val="1408"/>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w:t>
      </w:r>
      <w:r>
        <w:rPr>
          <w:rFonts w:hint="eastAsia" w:ascii="宋体" w:hAnsi="宋体" w:eastAsia="宋体" w:cs="宋体"/>
          <w:color w:val="000000"/>
          <w:sz w:val="21"/>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六、违约责任</w:t>
      </w:r>
      <w:r>
        <w:rPr>
          <w:rFonts w:hint="eastAsia" w:ascii="宋体" w:hAnsi="宋体" w:cs="宋体"/>
          <w:b/>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1.合同生效后，乙方不履行合同义务、不按约定期限履行合同义务、履行合同义务未达到甲方要求的，经甲方催告后3日内仍未及时改成的，甲方有权单方面解除本合同，双方对已完成工作量据实结算。</w:t>
      </w:r>
      <w:r>
        <w:rPr>
          <w:rFonts w:hint="eastAsia" w:ascii="宋体" w:hAnsi="宋体" w:cs="宋体"/>
          <w:color w:val="000000"/>
          <w:szCs w:val="21"/>
          <w:highlight w:val="none"/>
        </w:rPr>
      </w:r>
      <w:r/>
    </w:p>
    <w:p>
      <w:pPr>
        <w:pStyle w:val="1046"/>
        <w:ind w:firstLine="359"/>
        <w:spacing w:line="360" w:lineRule="auto"/>
        <w:rPr>
          <w:rFonts w:hint="eastAsia" w:hAnsi="宋体" w:cs="宋体"/>
          <w:color w:val="000000"/>
          <w:szCs w:val="21"/>
          <w:highlight w:val="none"/>
        </w:rPr>
      </w:pPr>
      <w:r>
        <w:rPr>
          <w:rFonts w:hint="eastAsia" w:hAnsi="宋体" w:cs="宋体"/>
          <w:color w:val="000000"/>
          <w:szCs w:val="21"/>
          <w:highlight w:val="none"/>
        </w:rPr>
        <w:t xml:space="preserve">2.乙方履行合同义务不符合甲方或合同要求，但甲方不选择解除本合同的，甲方可视情况严重性每日扣除乙方相应服务费，直至履行合同义务符合甲方及合同要求。</w:t>
      </w:r>
      <w:r>
        <w:rPr>
          <w:rFonts w:hint="eastAsia"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3.因乙方违约给甲方造成的全部损失均由乙方承担，包括但不限于甲方支出的赔偿费用、其他经济损失、甲方为实现合法权益而支出的调查费、鉴定费、诉讼费用及律师费等。</w:t>
      </w:r>
      <w:r>
        <w:rPr>
          <w:rFonts w:hint="eastAsia" w:ascii="宋体" w:hAnsi="宋体" w:cs="宋体"/>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七、合同的解除</w:t>
      </w:r>
      <w:r>
        <w:rPr>
          <w:rFonts w:hint="eastAsia" w:ascii="宋体" w:hAnsi="宋体" w:cs="宋体"/>
          <w:b/>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1.甲乙双方协商一致，可以解除合同。</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2.因合同一方违约导致合同不能履行，另一方有权解除合同。</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 乙方有下列情况之一的，甲方有权单方面终止合同。</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（1）不服从甲方管理或调配，被甲方书面警告并约谈三次以上的；</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（2）如发生重大事故或重大劳资纠纷，未及时积极处理，造成重大影响的；</w:t>
      </w:r>
      <w:r>
        <w:rPr>
          <w:rFonts w:hint="eastAsia" w:ascii="宋体" w:hAnsi="宋体" w:cs="宋体"/>
          <w:color w:val="000000"/>
          <w:szCs w:val="21"/>
          <w:highlight w:val="none"/>
        </w:rPr>
      </w:r>
      <w:r/>
    </w:p>
    <w:p>
      <w:pPr>
        <w:pStyle w:val="947"/>
        <w:ind w:firstLine="359"/>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（3）其他重大违法现象的。</w:t>
      </w:r>
      <w:r>
        <w:rPr>
          <w:rFonts w:hint="eastAsia" w:ascii="宋体" w:hAnsi="宋体" w:cs="宋体"/>
          <w:b/>
          <w:bCs/>
          <w:color w:val="000000"/>
          <w:szCs w:val="21"/>
          <w:highlight w:val="none"/>
        </w:rPr>
      </w:r>
      <w:r/>
    </w:p>
    <w:p>
      <w:pPr>
        <w:pStyle w:val="947"/>
        <w:ind w:firstLine="36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八、其他事项</w:t>
      </w:r>
      <w:r>
        <w:rPr>
          <w:rFonts w:hint="eastAsia" w:ascii="宋体" w:hAnsi="宋体" w:cs="宋体"/>
          <w:b/>
          <w:bCs/>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1.合同经采购双方代表签字、加盖公章（或合同章）后生效。</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2.甲乙双方因履行本合同发生争议，任何一方可以向甲方所在地人民法院起诉。</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3.本合同一式陆份，甲方执肆份、乙方执贰份，各份具有相同法律效力。</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4.其他未尽事宜按《中华人民共和国政府采购法》、《中华人民共和国民法典》及其他法律法规的规定执行。</w:t>
      </w: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7"/>
        <w:ind w:firstLine="3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7"/>
        <w:ind w:firstLine="35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                                   乙方：                      </w:t>
      </w:r>
      <w:r>
        <w:rPr>
          <w:rFonts w:hint="eastAsia" w:ascii="宋体" w:hAnsi="宋体" w:cs="宋体"/>
          <w:color w:val="000000"/>
          <w:szCs w:val="21"/>
          <w:highlight w:val="none"/>
        </w:rPr>
      </w:r>
      <w:r/>
    </w:p>
    <w:p>
      <w:pPr>
        <w:pStyle w:val="947"/>
        <w:ind w:firstLine="35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法定代表人（授权代表）：                 法定代表人（授权代表）：     </w:t>
      </w:r>
      <w:r>
        <w:rPr>
          <w:rFonts w:hint="eastAsia" w:ascii="宋体" w:hAnsi="宋体" w:cs="宋体"/>
          <w:color w:val="000000"/>
          <w:szCs w:val="21"/>
          <w:highlight w:val="none"/>
        </w:rPr>
      </w:r>
      <w:r/>
    </w:p>
    <w:p>
      <w:pPr>
        <w:pStyle w:val="947"/>
        <w:ind w:firstLine="35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签约日期：                               签约日期：                  </w:t>
      </w:r>
      <w:r>
        <w:rPr>
          <w:rFonts w:hint="eastAsia" w:ascii="宋体" w:hAnsi="宋体" w:cs="宋体"/>
          <w:color w:val="000000"/>
          <w:szCs w:val="21"/>
          <w:highlight w:val="none"/>
        </w:rPr>
      </w:r>
      <w:r/>
    </w:p>
    <w:p>
      <w:pPr>
        <w:pStyle w:val="947"/>
        <w:ind w:firstLine="35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开户行：</w:t>
      </w:r>
      <w:r>
        <w:rPr>
          <w:rFonts w:hint="eastAsia" w:ascii="宋体" w:hAnsi="宋体" w:cs="宋体"/>
          <w:color w:val="000000"/>
          <w:szCs w:val="21"/>
          <w:highlight w:val="none"/>
        </w:rPr>
      </w:r>
      <w:r/>
    </w:p>
    <w:p>
      <w:pPr>
        <w:pStyle w:val="947"/>
        <w:ind w:firstLine="35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                 账户：</w:t>
      </w:r>
      <w:r>
        <w:rPr>
          <w:rFonts w:hint="eastAsia" w:ascii="宋体" w:hAnsi="宋体" w:cs="宋体"/>
          <w:color w:val="000000"/>
          <w:szCs w:val="21"/>
          <w:highlight w:val="none"/>
        </w:rPr>
      </w:r>
      <w:r/>
    </w:p>
    <w:p>
      <w:pPr>
        <w:pStyle w:val="947"/>
        <w:ind w:firstLine="35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合同签订地：</w:t>
      </w:r>
      <w:r>
        <w:rPr>
          <w:rFonts w:hint="eastAsia" w:ascii="宋体" w:hAnsi="宋体" w:cs="宋体"/>
          <w:color w:val="000000"/>
          <w:szCs w:val="21"/>
          <w:highlight w:val="none"/>
        </w:rPr>
      </w:r>
      <w:r/>
    </w:p>
    <w:p>
      <w:pPr>
        <w:pStyle w:val="947"/>
        <w:spacing w:line="360" w:lineRule="auto"/>
        <w:rPr>
          <w:rFonts w:hint="eastAsia" w:ascii="宋体" w:cs="宋体"/>
          <w:b/>
          <w:color w:val="000000"/>
          <w:szCs w:val="21"/>
          <w:highlight w:val="none"/>
        </w:rPr>
      </w:pPr>
      <w:r>
        <w:rPr>
          <w:rFonts w:hint="eastAsia"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ascii="宋体" w:cs="宋体"/>
          <w:b/>
          <w:color w:val="000000"/>
          <w:szCs w:val="21"/>
          <w:highlight w:val="none"/>
        </w:rPr>
      </w:pPr>
      <w:r>
        <w:rPr>
          <w:rFonts w:ascii="宋体" w:cs="宋体"/>
          <w:b/>
          <w:color w:val="000000"/>
          <w:szCs w:val="21"/>
          <w:highlight w:val="none"/>
        </w:rPr>
      </w:r>
      <w:r/>
    </w:p>
    <w:p>
      <w:pPr>
        <w:pStyle w:val="947"/>
        <w:spacing w:line="360" w:lineRule="auto"/>
        <w:rPr>
          <w:rFonts w:hint="eastAsia" w:ascii="宋体" w:cs="宋体"/>
          <w:b/>
          <w:color w:val="000000"/>
          <w:szCs w:val="21"/>
          <w:highlight w:val="none"/>
        </w:rPr>
      </w:pPr>
      <w:r>
        <w:rPr>
          <w:rFonts w:ascii="宋体" w:cs="宋体"/>
          <w:b/>
          <w:color w:val="000000"/>
          <w:szCs w:val="21"/>
          <w:highlight w:val="none"/>
        </w:rPr>
        <w:br w:type="page" w:clear="all"/>
      </w:r>
      <w:r>
        <w:rPr>
          <w:rFonts w:hint="eastAsia" w:ascii="宋体" w:cs="宋体"/>
          <w:b/>
          <w:color w:val="000000"/>
          <w:szCs w:val="21"/>
          <w:highlight w:val="none"/>
        </w:rPr>
        <w:t xml:space="preserve">附件1：</w:t>
      </w:r>
      <w:r>
        <w:rPr>
          <w:rFonts w:hint="eastAsia" w:ascii="宋体" w:cs="宋体"/>
          <w:b/>
          <w:color w:val="000000"/>
          <w:szCs w:val="21"/>
          <w:highlight w:val="none"/>
        </w:rPr>
      </w:r>
      <w:r/>
    </w:p>
    <w:p>
      <w:pPr>
        <w:pStyle w:val="947"/>
        <w:jc w:val="center"/>
        <w:spacing w:line="360" w:lineRule="auto"/>
        <w:rPr>
          <w:rFonts w:hint="eastAsia" w:ascii="宋体" w:cs="宋体"/>
          <w:b/>
          <w:color w:val="000000"/>
          <w:szCs w:val="21"/>
          <w:highlight w:val="none"/>
        </w:rPr>
      </w:pPr>
      <w:r>
        <w:rPr>
          <w:rFonts w:hint="eastAsia" w:ascii="宋体" w:cs="宋体"/>
          <w:b/>
          <w:color w:val="000000"/>
          <w:szCs w:val="21"/>
          <w:highlight w:val="none"/>
        </w:rPr>
        <w:t xml:space="preserve">项目安全目标责任书</w:t>
      </w:r>
      <w:r>
        <w:rPr>
          <w:rFonts w:hint="eastAsia" w:ascii="宋体" w:cs="宋体"/>
          <w:b/>
          <w:color w:val="000000"/>
          <w:szCs w:val="21"/>
          <w:highlight w:val="none"/>
        </w:rPr>
      </w:r>
      <w:r/>
    </w:p>
    <w:p>
      <w:pPr>
        <w:pStyle w:val="1264"/>
        <w:ind w:left="0" w:firstLine="359"/>
        <w:spacing w:line="360" w:lineRule="auto"/>
        <w:rPr>
          <w:rFonts w:hint="eastAsia" w:cs="宋体"/>
          <w:color w:val="000000"/>
          <w:sz w:val="21"/>
          <w:szCs w:val="21"/>
          <w:highlight w:val="none"/>
        </w:rPr>
      </w:pPr>
      <w:r>
        <w:rPr>
          <w:rFonts w:hint="eastAsia" w:cs="宋体"/>
          <w:color w:val="000000"/>
          <w:sz w:val="21"/>
          <w:szCs w:val="21"/>
          <w:highlight w:val="none"/>
        </w:rPr>
        <w:t xml:space="preserve">为贯彻“安全第一、预防为主”的安全生产方针，确保本项目无重大安全责任事故，保障现场环卫作业人员的人身安全及国家财产安全，保证养护项目的顺利进行，根据《中华人民共和国安全生产法》、《中华人民共和国道路交通安全法》等有关规定，经甲乙双方协商，特制定本项目安全目标责任书。 </w:t>
      </w:r>
      <w:r>
        <w:rPr>
          <w:rFonts w:hint="eastAsia" w:cs="宋体"/>
          <w:color w:val="000000"/>
          <w:sz w:val="21"/>
          <w:szCs w:val="21"/>
          <w:highlight w:val="none"/>
        </w:rPr>
      </w:r>
      <w:r/>
    </w:p>
    <w:p>
      <w:pPr>
        <w:pStyle w:val="1264"/>
        <w:ind w:left="0" w:firstLine="359"/>
        <w:spacing w:line="360" w:lineRule="auto"/>
        <w:rPr>
          <w:rFonts w:hint="eastAsia" w:cs="宋体"/>
          <w:color w:val="000000"/>
          <w:sz w:val="21"/>
          <w:szCs w:val="21"/>
          <w:highlight w:val="none"/>
        </w:rPr>
      </w:pPr>
      <w:r>
        <w:rPr>
          <w:rFonts w:hint="eastAsia" w:cs="宋体"/>
          <w:color w:val="000000"/>
          <w:sz w:val="21"/>
          <w:szCs w:val="21"/>
          <w:highlight w:val="none"/>
        </w:rPr>
        <w:t xml:space="preserve">一、本项目确保下列人员负责现场日常管理工作： </w:t>
      </w:r>
      <w:r>
        <w:rPr>
          <w:rFonts w:hint="eastAsia" w:cs="宋体"/>
          <w:color w:val="000000"/>
          <w:sz w:val="21"/>
          <w:szCs w:val="21"/>
          <w:highlight w:val="none"/>
        </w:rPr>
      </w:r>
      <w:r/>
    </w:p>
    <w:p>
      <w:pPr>
        <w:pStyle w:val="1264"/>
        <w:ind w:left="0" w:firstLine="359"/>
        <w:spacing w:line="360" w:lineRule="auto"/>
        <w:rPr>
          <w:rFonts w:hint="eastAsia" w:cs="宋体"/>
          <w:color w:val="000000"/>
          <w:sz w:val="21"/>
          <w:szCs w:val="21"/>
          <w:highlight w:val="none"/>
        </w:rPr>
      </w:pPr>
      <w:r>
        <w:rPr>
          <w:rFonts w:hint="eastAsia" w:cs="宋体"/>
          <w:color w:val="000000"/>
          <w:sz w:val="21"/>
          <w:szCs w:val="21"/>
          <w:highlight w:val="none"/>
        </w:rPr>
        <w:t xml:space="preserve">1、作业单位项目经理（兼安全员）</w:t>
      </w:r>
      <w:r>
        <w:rPr>
          <w:rFonts w:hint="eastAsia" w:cs="宋体"/>
          <w:color w:val="000000"/>
          <w:sz w:val="21"/>
          <w:szCs w:val="21"/>
          <w:highlight w:val="none"/>
          <w:u w:val="single"/>
        </w:rPr>
        <w:t xml:space="preserve"> </w:t>
      </w:r>
      <w:r>
        <w:rPr>
          <w:rFonts w:cs="宋体"/>
          <w:color w:val="000000"/>
          <w:sz w:val="21"/>
          <w:szCs w:val="21"/>
          <w:highlight w:val="none"/>
          <w:u w:val="single"/>
        </w:rPr>
        <w:t xml:space="preserve">    </w:t>
      </w:r>
      <w:r>
        <w:rPr>
          <w:rFonts w:hint="eastAsia" w:cs="宋体"/>
          <w:color w:val="000000"/>
          <w:sz w:val="21"/>
          <w:szCs w:val="21"/>
          <w:highlight w:val="none"/>
        </w:rPr>
        <w:t xml:space="preserve">；</w:t>
      </w:r>
      <w:r>
        <w:rPr>
          <w:rFonts w:hint="eastAsia" w:cs="宋体"/>
          <w:color w:val="000000"/>
          <w:sz w:val="21"/>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二、作业单位安全目标责任如下：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1、作业单位项目经理是本项目安全生产及相关业务活动的第一责任人。签订本项目安全目标责任书时，项目经理按现行规定持证上岗。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3、建立和完善以岗位安全生产责任制为核心的安全生产制度，明确安全生产目标，每个分解目标必须明确负责人和责任人，并制定具体的保证措施，确保目标实现。安全管理网络及安全工作的目标分解及保证措施必须报环卫管理部门备案。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4、作业单位在作业准备的同时，必须具备全体项目管理人员、环卫作业人员用工合同、社保证明、特种作业证书及以上人员意外伤害保险投保合同清单。</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5、作业单位应认真执行“安全生产技术交底制度”：服务开始前由项目经理向机械化作业人员、快速收运车作业人员、垃圾运输作业人员、作业工人等进行安全技术交底，对清运中的重点、难点部位及特殊的作业环境、危险性较大的工序要重点交底，交底后由相关作业人员在交底表上签字确认。该交底表应与安全教育培训记录统一保存，备案待查。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6、作业单位应当建立、健全对作业人员的日常安全教育、技术培训和考核制度，严格组织养护，不得安排未接受过安全教育和技术培训的作业人员上岗作业。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7、切实做好“安全三上岗”制度，上岗前由班长进行安全交底，上岗时班组组长进行上岗巡回检查并做好上岗记录，每周进行一次总结讲评工作。培训记录必须有被培训对象签字，记录备案等查。</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8、作业单位项目部每月应至少组织一次安全检查，同时根据季节环境和作业情况随时组织有针对性的检查，消除作业中存在的安全隐患，所查问题必须明确整改措施、整改时间及负责人，并以书面的形式报环卫管理部门审查。</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9、坚持持证上岗制度，特殊工种作业人员必须提供国家、行业主管部门颁发的有效资格证明，具备上岗操作的技能和安全知识，方可上岗操作。特种作业施工人员的有效证件必须在项目开始前报环卫管理部门审核备案。对在作业中出现问题的操作人员应立即停止其上岗操作。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10、作业单位应制定各项应急预案，并定期进行演练，特别是暴雨大雪天气清扫应急预案。</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11、项目开始前，所有的机械化设备、垃圾运输车等必须向环卫管理部门申请报验进场，环卫管理部门应严格按国家的有关规定进行检查验收，经国家相关检测部门检测合格后，方可投入使用。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12、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13、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14、清运工具等耗材的使用及存放的安全，必须符合国家的有关安全规定，并应制定符合要求的安全使用制度。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三、其他事项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1、本项目安全生产责任书由乙方授权代表签字并加盖公章或合同章后生效； </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2、本项目安全生产责任书作为项目合同的附件，具有同等法律效力。</w:t>
      </w:r>
      <w:r>
        <w:rPr>
          <w:rFonts w:hint="eastAsia" w:ascii="宋体" w:cs="宋体"/>
          <w:color w:val="000000"/>
          <w:szCs w:val="21"/>
          <w:highlight w:val="none"/>
        </w:rPr>
      </w:r>
      <w:r/>
    </w:p>
    <w:p>
      <w:pPr>
        <w:pStyle w:val="947"/>
        <w:ind w:firstLine="359"/>
        <w:jc w:val="left"/>
        <w:spacing w:line="360" w:lineRule="auto"/>
        <w:tabs>
          <w:tab w:val="left" w:pos="955" w:leader="none"/>
          <w:tab w:val="left" w:pos="1146" w:leader="none"/>
        </w:tabs>
        <w:rPr>
          <w:rFonts w:ascii="宋体" w:cs="宋体"/>
          <w:color w:val="000000"/>
          <w:szCs w:val="21"/>
          <w:highlight w:val="none"/>
        </w:rPr>
      </w:pPr>
      <w:r>
        <w:rPr>
          <w:rFonts w:ascii="宋体" w:cs="宋体"/>
          <w:color w:val="000000"/>
          <w:szCs w:val="21"/>
          <w:highlight w:val="none"/>
        </w:rPr>
      </w:r>
      <w:r/>
    </w:p>
    <w:p>
      <w:pPr>
        <w:pStyle w:val="947"/>
        <w:ind w:firstLine="359"/>
        <w:jc w:val="left"/>
        <w:spacing w:line="360" w:lineRule="auto"/>
        <w:tabs>
          <w:tab w:val="left" w:pos="955" w:leader="none"/>
          <w:tab w:val="left" w:pos="1146" w:leader="none"/>
        </w:tabs>
        <w:rPr>
          <w:rFonts w:hint="eastAsia" w:ascii="宋体" w:cs="宋体"/>
          <w:color w:val="000000"/>
          <w:szCs w:val="21"/>
          <w:highlight w:val="none"/>
        </w:rPr>
      </w:pPr>
      <w:r>
        <w:rPr>
          <w:rFonts w:hint="eastAsia" w:ascii="宋体" w:cs="宋体"/>
          <w:color w:val="000000"/>
          <w:szCs w:val="21"/>
          <w:highlight w:val="none"/>
        </w:rPr>
        <w:t xml:space="preserve">             </w:t>
      </w:r>
      <w:r>
        <w:rPr>
          <w:rFonts w:ascii="宋体" w:cs="宋体"/>
          <w:color w:val="000000"/>
          <w:szCs w:val="21"/>
          <w:highlight w:val="none"/>
        </w:rPr>
        <w:t xml:space="preserve">                         </w:t>
      </w:r>
      <w:r>
        <w:rPr>
          <w:rFonts w:hint="eastAsia" w:ascii="宋体" w:cs="宋体"/>
          <w:color w:val="000000"/>
          <w:szCs w:val="21"/>
          <w:highlight w:val="none"/>
        </w:rPr>
        <w:t xml:space="preserve">乙方单位（盖章）：</w:t>
      </w:r>
      <w:r>
        <w:rPr>
          <w:rFonts w:hint="eastAsia" w:ascii="宋体" w:cs="宋体"/>
          <w:color w:val="000000"/>
          <w:szCs w:val="21"/>
          <w:highlight w:val="none"/>
        </w:rPr>
      </w:r>
      <w:r/>
    </w:p>
    <w:p>
      <w:pPr>
        <w:pStyle w:val="947"/>
        <w:ind w:firstLine="359"/>
        <w:jc w:val="left"/>
        <w:spacing w:line="360" w:lineRule="auto"/>
        <w:rPr>
          <w:rFonts w:hint="eastAsia" w:ascii="宋体" w:cs="宋体"/>
          <w:color w:val="000000"/>
          <w:szCs w:val="21"/>
          <w:highlight w:val="none"/>
        </w:rPr>
      </w:pPr>
      <w:r>
        <w:rPr>
          <w:rFonts w:hint="eastAsia" w:ascii="宋体" w:cs="宋体"/>
          <w:color w:val="000000"/>
          <w:szCs w:val="21"/>
          <w:highlight w:val="none"/>
        </w:rPr>
        <w:t xml:space="preserve">                 </w:t>
      </w:r>
      <w:r>
        <w:rPr>
          <w:rFonts w:ascii="宋体" w:cs="宋体"/>
          <w:color w:val="000000"/>
          <w:szCs w:val="21"/>
          <w:highlight w:val="none"/>
        </w:rPr>
        <w:t xml:space="preserve">     </w:t>
      </w:r>
      <w:r>
        <w:rPr>
          <w:rFonts w:hint="eastAsia" w:ascii="宋体" w:cs="宋体"/>
          <w:color w:val="000000"/>
          <w:szCs w:val="21"/>
          <w:highlight w:val="none"/>
        </w:rPr>
        <w:t xml:space="preserve"> </w:t>
      </w:r>
      <w:r>
        <w:rPr>
          <w:rFonts w:ascii="宋体" w:cs="宋体"/>
          <w:color w:val="000000"/>
          <w:szCs w:val="21"/>
          <w:highlight w:val="none"/>
        </w:rPr>
        <w:t xml:space="preserve">               </w:t>
      </w:r>
      <w:r>
        <w:rPr>
          <w:rFonts w:hint="eastAsia" w:ascii="宋体" w:cs="宋体"/>
          <w:color w:val="000000"/>
          <w:szCs w:val="21"/>
          <w:highlight w:val="none"/>
        </w:rPr>
        <w:t xml:space="preserve">日期：</w:t>
      </w:r>
      <w:r>
        <w:rPr>
          <w:rFonts w:hint="eastAsia" w:ascii="宋体" w:cs="宋体"/>
          <w:color w:val="000000"/>
          <w:szCs w:val="21"/>
          <w:highlight w:val="none"/>
        </w:rPr>
      </w:r>
      <w:r/>
    </w:p>
    <w:p>
      <w:pPr>
        <w:pStyle w:val="947"/>
        <w:spacing w:line="360" w:lineRule="auto"/>
        <w:rPr>
          <w:rFonts w:hint="eastAsia" w:ascii="宋体" w:cs="宋体"/>
          <w:b/>
          <w:color w:val="000000"/>
          <w:szCs w:val="21"/>
          <w:highlight w:val="none"/>
        </w:rPr>
      </w:pPr>
      <w:r>
        <w:rPr>
          <w:color w:val="000000"/>
          <w:highlight w:val="none"/>
        </w:rPr>
        <w:br w:type="page" w:clear="all"/>
      </w:r>
      <w:r>
        <w:rPr>
          <w:rFonts w:hint="eastAsia" w:ascii="宋体" w:cs="宋体"/>
          <w:b/>
          <w:color w:val="000000"/>
          <w:szCs w:val="21"/>
          <w:highlight w:val="none"/>
        </w:rPr>
        <w:t xml:space="preserve">附件2：</w:t>
      </w:r>
      <w:r>
        <w:rPr>
          <w:rFonts w:hint="eastAsia" w:ascii="宋体" w:cs="宋体"/>
          <w:b/>
          <w:color w:val="000000"/>
          <w:szCs w:val="21"/>
          <w:highlight w:val="none"/>
        </w:rPr>
      </w:r>
      <w:r/>
    </w:p>
    <w:p>
      <w:pPr>
        <w:pStyle w:val="947"/>
        <w:ind w:left="0" w:firstLine="361"/>
        <w:spacing w:line="360" w:lineRule="auto"/>
        <w:rPr>
          <w:b/>
          <w:bCs/>
          <w:color w:val="000000"/>
          <w:highlight w:val="none"/>
        </w:rPr>
      </w:pPr>
      <w:r/>
      <w:bookmarkStart w:id="41" w:name="_Hlk172549115"/>
      <w:r>
        <w:rPr>
          <w:b/>
          <w:bCs/>
          <w:color w:val="000000"/>
          <w:highlight w:val="none"/>
        </w:rPr>
        <w:t xml:space="preserve">一、考核总则 </w:t>
      </w:r>
      <w:r>
        <w:rPr>
          <w:b/>
          <w:bCs/>
          <w:color w:val="000000"/>
          <w:highlight w:val="none"/>
        </w:rPr>
      </w:r>
      <w:r/>
    </w:p>
    <w:p>
      <w:pPr>
        <w:pStyle w:val="947"/>
        <w:ind w:left="0" w:firstLine="359"/>
        <w:spacing w:line="360" w:lineRule="auto"/>
        <w:rPr>
          <w:color w:val="000000"/>
          <w:highlight w:val="none"/>
        </w:rPr>
      </w:pPr>
      <w:r>
        <w:rPr>
          <w:rFonts w:hint="eastAsia"/>
          <w:color w:val="000000"/>
          <w:highlight w:val="none"/>
        </w:rPr>
        <w:t xml:space="preserve">1、</w:t>
      </w:r>
      <w:r>
        <w:rPr>
          <w:color w:val="000000"/>
          <w:highlight w:val="none"/>
        </w:rPr>
        <w:t xml:space="preserve">考核满分为100分，每扣1分对应扣款</w:t>
      </w:r>
      <w:r>
        <w:rPr>
          <w:rFonts w:hint="eastAsia"/>
          <w:color w:val="000000"/>
          <w:highlight w:val="none"/>
        </w:rPr>
        <w:t xml:space="preserve">300</w:t>
      </w:r>
      <w:r>
        <w:rPr>
          <w:color w:val="000000"/>
          <w:highlight w:val="none"/>
        </w:rPr>
        <w:t xml:space="preserve">元。</w:t>
      </w:r>
      <w:r>
        <w:rPr>
          <w:color w:val="000000"/>
          <w:highlight w:val="none"/>
        </w:rPr>
      </w:r>
      <w:r/>
    </w:p>
    <w:p>
      <w:pPr>
        <w:pStyle w:val="947"/>
        <w:ind w:left="0" w:firstLine="359"/>
        <w:spacing w:line="360" w:lineRule="auto"/>
        <w:rPr>
          <w:color w:val="000000"/>
          <w:highlight w:val="none"/>
        </w:rPr>
      </w:pPr>
      <w:r>
        <w:rPr>
          <w:rFonts w:hint="eastAsia"/>
          <w:color w:val="000000"/>
          <w:highlight w:val="none"/>
        </w:rPr>
        <w:t xml:space="preserve">2、</w:t>
      </w:r>
      <w:r>
        <w:rPr>
          <w:color w:val="000000"/>
          <w:highlight w:val="none"/>
        </w:rPr>
        <w:t xml:space="preserve">每月进行一次考核，乙方应做好配合，并在考核得分表上签字确认。</w:t>
      </w:r>
      <w:r>
        <w:rPr>
          <w:color w:val="000000"/>
          <w:highlight w:val="none"/>
        </w:rPr>
      </w:r>
      <w:r/>
    </w:p>
    <w:p>
      <w:pPr>
        <w:pStyle w:val="947"/>
        <w:ind w:left="0" w:firstLine="359"/>
        <w:spacing w:line="360" w:lineRule="auto"/>
        <w:rPr>
          <w:color w:val="000000"/>
          <w:highlight w:val="none"/>
        </w:rPr>
      </w:pPr>
      <w:r>
        <w:rPr>
          <w:rFonts w:hint="eastAsia"/>
          <w:color w:val="000000"/>
          <w:highlight w:val="none"/>
        </w:rPr>
        <w:t xml:space="preserve">3、</w:t>
      </w:r>
      <w:r>
        <w:rPr>
          <w:color w:val="000000"/>
          <w:highlight w:val="none"/>
        </w:rPr>
        <w:t xml:space="preserve">如对考核得分存在异议，乙方应在3个工作日内与甲方共同核实确认。</w:t>
      </w:r>
      <w:r>
        <w:rPr>
          <w:color w:val="000000"/>
          <w:highlight w:val="none"/>
        </w:rPr>
      </w:r>
      <w:r/>
    </w:p>
    <w:p>
      <w:pPr>
        <w:pStyle w:val="947"/>
        <w:ind w:left="0" w:firstLine="359"/>
        <w:spacing w:line="360" w:lineRule="auto"/>
        <w:rPr>
          <w:color w:val="000000"/>
          <w:highlight w:val="none"/>
        </w:rPr>
      </w:pPr>
      <w:r>
        <w:rPr>
          <w:rFonts w:hint="eastAsia"/>
          <w:color w:val="000000"/>
          <w:highlight w:val="none"/>
        </w:rPr>
        <w:t xml:space="preserve">4、</w:t>
      </w:r>
      <w:r>
        <w:rPr>
          <w:color w:val="000000"/>
          <w:highlight w:val="none"/>
        </w:rPr>
        <w:t xml:space="preserve">连续三个月考核得分低于65分，甲方有权要求乙方限期整改；拒不整改或整改未达要求的，甲方有权解除合同。</w:t>
      </w:r>
      <w:r>
        <w:rPr>
          <w:color w:val="000000"/>
          <w:highlight w:val="none"/>
        </w:rPr>
      </w:r>
      <w:r/>
    </w:p>
    <w:p>
      <w:pPr>
        <w:pStyle w:val="947"/>
        <w:ind w:left="0" w:firstLine="361"/>
        <w:spacing w:line="360" w:lineRule="auto"/>
        <w:rPr>
          <w:b/>
          <w:bCs/>
          <w:color w:val="000000"/>
          <w:highlight w:val="none"/>
        </w:rPr>
      </w:pPr>
      <w:r>
        <w:rPr>
          <w:rFonts w:hint="eastAsia"/>
          <w:b/>
          <w:bCs/>
          <w:color w:val="000000"/>
          <w:highlight w:val="none"/>
        </w:rPr>
        <w:t xml:space="preserve">二、考核内容及扣分标准</w:t>
      </w:r>
      <w:r>
        <w:rPr>
          <w:b/>
          <w:bCs/>
          <w:color w:val="000000"/>
          <w:highlight w:val="none"/>
        </w:rPr>
      </w:r>
      <w:r/>
    </w:p>
    <w:tbl>
      <w:tblPr>
        <w:tblW w:w="10245" w:type="dxa"/>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6341"/>
        <w:gridCol w:w="3007"/>
      </w:tblGrid>
      <w:tr>
        <w:trPr>
          <w:trHeight w:val="279"/>
        </w:trPr>
        <w:tc>
          <w:tcPr>
            <w:tcW w:w="897" w:type="dxa"/>
            <w:vAlign w:val="center"/>
            <w:textDirection w:val="lrTb"/>
            <w:noWrap/>
          </w:tcPr>
          <w:p>
            <w:pPr>
              <w:pStyle w:val="947"/>
              <w:jc w:val="center"/>
              <w:spacing w:line="360" w:lineRule="auto"/>
              <w:widowControl/>
              <w:rPr>
                <w:rFonts w:ascii="宋体" w:hAnsi="宋体" w:cs="宋体"/>
                <w:b/>
                <w:bCs/>
                <w:color w:val="000000"/>
                <w:szCs w:val="21"/>
                <w:highlight w:val="none"/>
              </w:rPr>
            </w:pPr>
            <w:r/>
            <w:bookmarkEnd w:id="41"/>
            <w:r>
              <w:rPr>
                <w:rFonts w:hint="eastAsia" w:ascii="宋体" w:hAnsi="宋体" w:cs="宋体"/>
                <w:b/>
                <w:bCs/>
                <w:color w:val="000000"/>
                <w:szCs w:val="21"/>
                <w:highlight w:val="none"/>
              </w:rPr>
              <w:t xml:space="preserve">项目</w:t>
            </w:r>
            <w:r>
              <w:rPr>
                <w:rFonts w:ascii="宋体" w:hAnsi="宋体" w:cs="宋体"/>
                <w:b/>
                <w:bCs/>
                <w:color w:val="000000"/>
                <w:szCs w:val="21"/>
                <w:highlight w:val="none"/>
              </w:rPr>
            </w:r>
            <w:r/>
          </w:p>
        </w:tc>
        <w:tc>
          <w:tcPr>
            <w:tcW w:w="6341" w:type="dxa"/>
            <w:vAlign w:val="center"/>
            <w:textDirection w:val="lrTb"/>
            <w:noWrap/>
          </w:tcPr>
          <w:p>
            <w:pPr>
              <w:pStyle w:val="947"/>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考核内容</w:t>
            </w:r>
            <w:r>
              <w:rPr>
                <w:rFonts w:ascii="宋体" w:hAnsi="宋体" w:cs="宋体"/>
                <w:b/>
                <w:bCs/>
                <w:color w:val="000000"/>
                <w:szCs w:val="21"/>
                <w:highlight w:val="none"/>
              </w:rPr>
            </w:r>
            <w:r/>
          </w:p>
        </w:tc>
        <w:tc>
          <w:tcPr>
            <w:tcW w:w="3007" w:type="dxa"/>
            <w:vAlign w:val="center"/>
            <w:textDirection w:val="lrTb"/>
            <w:noWrap/>
          </w:tcPr>
          <w:p>
            <w:pPr>
              <w:pStyle w:val="947"/>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扣分标准</w:t>
            </w:r>
            <w:r>
              <w:rPr>
                <w:rFonts w:ascii="宋体" w:hAnsi="宋体" w:cs="宋体"/>
                <w:b/>
                <w:bCs/>
                <w:color w:val="000000"/>
                <w:szCs w:val="21"/>
                <w:highlight w:val="none"/>
              </w:rPr>
            </w:r>
            <w:r/>
          </w:p>
        </w:tc>
      </w:tr>
      <w:tr>
        <w:trPr>
          <w:trHeight w:val="408"/>
        </w:trPr>
        <w:tc>
          <w:tcPr>
            <w:tcW w:w="897" w:type="dxa"/>
            <w:vAlign w:val="center"/>
            <w:vMerge w:val="restart"/>
            <w:textDirection w:val="lrTb"/>
            <w:noWrap/>
          </w:tcPr>
          <w:p>
            <w:pPr>
              <w:pStyle w:val="94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（一）车辆配置与管理（25分）</w:t>
            </w: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1、运力不足时未自行增配车辆导致未能日产日清</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未能日产日清一次扣5分</w:t>
            </w:r>
            <w:r>
              <w:rPr>
                <w:rFonts w:ascii="宋体" w:hAnsi="宋体" w:cs="宋体"/>
                <w:color w:val="000000"/>
                <w:szCs w:val="21"/>
                <w:highlight w:val="none"/>
              </w:rPr>
            </w:r>
            <w:r/>
          </w:p>
        </w:tc>
      </w:tr>
      <w:tr>
        <w:trPr>
          <w:trHeight w:val="722"/>
        </w:trPr>
        <w:tc>
          <w:tcPr>
            <w:tcW w:w="897" w:type="dxa"/>
            <w:vAlign w:val="center"/>
            <w:vMerge w:val="continue"/>
            <w:textDirection w:val="lrTb"/>
            <w:noWrap/>
          </w:tcPr>
          <w:p>
            <w:pPr>
              <w:pStyle w:val="947"/>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2、车辆为本项目专用，如用于其他项目作业</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每车次扣5分</w:t>
            </w:r>
            <w:r>
              <w:rPr>
                <w:rFonts w:ascii="宋体" w:hAnsi="宋体" w:cs="宋体"/>
                <w:color w:val="000000"/>
                <w:szCs w:val="21"/>
                <w:highlight w:val="none"/>
              </w:rPr>
            </w:r>
            <w:r/>
          </w:p>
        </w:tc>
      </w:tr>
      <w:tr>
        <w:trPr>
          <w:trHeight w:val="536"/>
        </w:trPr>
        <w:tc>
          <w:tcPr>
            <w:tcW w:w="897" w:type="dxa"/>
            <w:vAlign w:val="center"/>
            <w:vMerge w:val="continue"/>
            <w:textDirection w:val="lrTb"/>
            <w:noWrap/>
          </w:tcPr>
          <w:p>
            <w:pPr>
              <w:pStyle w:val="947"/>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3、车辆外观整洁、无污垢灰垢、标志清晰，作业完毕后及时冲洗，无异味、无污染环境</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未达标每次扣1分</w:t>
            </w:r>
            <w:r>
              <w:rPr>
                <w:rFonts w:ascii="宋体" w:hAnsi="宋体" w:cs="宋体"/>
                <w:color w:val="000000"/>
                <w:szCs w:val="21"/>
                <w:highlight w:val="none"/>
              </w:rPr>
            </w:r>
            <w:r/>
          </w:p>
        </w:tc>
      </w:tr>
      <w:tr>
        <w:trPr>
          <w:trHeight w:val="402"/>
        </w:trPr>
        <w:tc>
          <w:tcPr>
            <w:tcW w:w="897" w:type="dxa"/>
            <w:vAlign w:val="center"/>
            <w:vMerge w:val="continue"/>
            <w:textDirection w:val="lrTb"/>
            <w:noWrap/>
          </w:tcPr>
          <w:p>
            <w:pPr>
              <w:pStyle w:val="947"/>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4、车辆必须为符合交通运输要求及项目使用要求的合法车辆，能通过年检；按甲方要求进行车辆涂装，标识统一，不得遮挡公司名称、号牌</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不符合要求每车次扣1分</w:t>
            </w:r>
            <w:r>
              <w:rPr>
                <w:rFonts w:ascii="宋体" w:hAnsi="宋体" w:cs="宋体"/>
                <w:color w:val="000000"/>
                <w:szCs w:val="21"/>
                <w:highlight w:val="none"/>
              </w:rPr>
            </w:r>
            <w:r/>
          </w:p>
        </w:tc>
      </w:tr>
      <w:tr>
        <w:trPr>
          <w:trHeight w:val="576"/>
        </w:trPr>
        <w:tc>
          <w:tcPr>
            <w:tcW w:w="897" w:type="dxa"/>
            <w:vAlign w:val="center"/>
            <w:vMerge w:val="continue"/>
            <w:textDirection w:val="lrTb"/>
            <w:noWrap/>
          </w:tcPr>
          <w:p>
            <w:pPr>
              <w:pStyle w:val="947"/>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5、燃油车辆保险额不低于200万/辆，到期须及时续保</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未续保或保额不足扣2分</w:t>
            </w:r>
            <w:r>
              <w:rPr>
                <w:rFonts w:ascii="宋体" w:hAnsi="宋体" w:cs="宋体"/>
                <w:color w:val="000000"/>
                <w:szCs w:val="21"/>
                <w:highlight w:val="none"/>
              </w:rPr>
            </w:r>
            <w:r/>
          </w:p>
        </w:tc>
      </w:tr>
      <w:tr>
        <w:trPr>
          <w:trHeight w:val="415"/>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6、有出勤及考核记录，做好车辆上岗记录</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缺少每日考勤记录一次扣1分</w:t>
            </w:r>
            <w:r>
              <w:rPr>
                <w:rFonts w:ascii="宋体" w:hAnsi="宋体" w:cs="宋体"/>
                <w:color w:val="000000"/>
                <w:szCs w:val="21"/>
                <w:highlight w:val="none"/>
              </w:rPr>
            </w:r>
            <w:r/>
          </w:p>
        </w:tc>
      </w:tr>
      <w:tr>
        <w:trPr>
          <w:trHeight w:val="539"/>
        </w:trPr>
        <w:tc>
          <w:tcPr>
            <w:tcW w:w="897" w:type="dxa"/>
            <w:vAlign w:val="center"/>
            <w:vMerge w:val="continue"/>
            <w:textDirection w:val="lrTb"/>
            <w:noWrap/>
          </w:tcPr>
          <w:p>
            <w:pPr>
              <w:pStyle w:val="947"/>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7、能按规定路线行驶，实现实时监控定位</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未按要求一次扣1分</w:t>
            </w:r>
            <w:r>
              <w:rPr>
                <w:rFonts w:ascii="宋体" w:hAnsi="宋体" w:cs="宋体"/>
                <w:color w:val="000000"/>
                <w:szCs w:val="21"/>
                <w:highlight w:val="none"/>
              </w:rPr>
            </w:r>
            <w:r/>
          </w:p>
        </w:tc>
      </w:tr>
      <w:tr>
        <w:trPr>
          <w:trHeight w:val="539"/>
        </w:trPr>
        <w:tc>
          <w:tcPr>
            <w:tcW w:w="897" w:type="dxa"/>
            <w:vAlign w:val="center"/>
            <w:vMerge w:val="continue"/>
            <w:textDirection w:val="lrTb"/>
            <w:noWrap/>
          </w:tcPr>
          <w:p>
            <w:pPr>
              <w:pStyle w:val="947"/>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8、有各收集线路的收集记录，做好收集台账，按月统计上报业主</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无记录或未按月上报一次扣1分</w:t>
            </w:r>
            <w:r>
              <w:rPr>
                <w:rFonts w:ascii="宋体" w:hAnsi="宋体" w:cs="宋体"/>
                <w:color w:val="000000"/>
                <w:szCs w:val="21"/>
                <w:highlight w:val="none"/>
              </w:rPr>
            </w:r>
            <w:r/>
          </w:p>
        </w:tc>
      </w:tr>
      <w:tr>
        <w:trPr>
          <w:trHeight w:val="727"/>
        </w:trPr>
        <w:tc>
          <w:tcPr>
            <w:tcW w:w="897" w:type="dxa"/>
            <w:vAlign w:val="center"/>
            <w:vMerge w:val="continue"/>
            <w:textDirection w:val="lrTb"/>
            <w:noWrap/>
          </w:tcPr>
          <w:p>
            <w:pPr>
              <w:pStyle w:val="947"/>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9、有车辆维修保养记录，保障车况；故障车须有备用车辆调配计划</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无保养记录一次扣1分；故障无备用车一次扣1分</w:t>
            </w:r>
            <w:r>
              <w:rPr>
                <w:rFonts w:ascii="宋体" w:hAnsi="宋体" w:cs="宋体"/>
                <w:color w:val="000000"/>
                <w:szCs w:val="21"/>
                <w:highlight w:val="none"/>
              </w:rPr>
            </w:r>
            <w:r/>
          </w:p>
        </w:tc>
      </w:tr>
      <w:tr>
        <w:trPr>
          <w:trHeight w:val="539"/>
        </w:trPr>
        <w:tc>
          <w:tcPr>
            <w:tcW w:w="897" w:type="dxa"/>
            <w:vAlign w:val="center"/>
            <w:vMerge w:val="continue"/>
            <w:textDirection w:val="lrTb"/>
            <w:noWrap/>
          </w:tcPr>
          <w:p>
            <w:pPr>
              <w:pStyle w:val="947"/>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10、专用车辆及车载设备出现故障应及时维修并启用备用车辆/设备</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未按要求一次扣1分</w:t>
            </w:r>
            <w:r>
              <w:rPr>
                <w:rFonts w:ascii="宋体" w:hAnsi="宋体" w:cs="宋体"/>
                <w:color w:val="000000"/>
                <w:szCs w:val="21"/>
                <w:highlight w:val="none"/>
              </w:rPr>
            </w:r>
            <w:r/>
          </w:p>
        </w:tc>
      </w:tr>
      <w:tr>
        <w:trPr>
          <w:trHeight w:val="696"/>
        </w:trPr>
        <w:tc>
          <w:tcPr>
            <w:tcW w:w="897" w:type="dxa"/>
            <w:vAlign w:val="center"/>
            <w:vMerge w:val="restart"/>
            <w:textDirection w:val="lrTb"/>
            <w:noWrap/>
          </w:tcPr>
          <w:p>
            <w:pPr>
              <w:pStyle w:val="947"/>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（二）作业人员管理（20分）</w:t>
            </w: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1、统一着装，文明服务，按时按点收集垃圾</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不着统一工作服一次扣1分；被服务单位投诉视严重性一次扣2分</w:t>
            </w:r>
            <w:r>
              <w:rPr>
                <w:rFonts w:ascii="宋体" w:hAnsi="宋体" w:cs="宋体"/>
                <w:color w:val="000000"/>
                <w:szCs w:val="21"/>
                <w:highlight w:val="none"/>
              </w:rPr>
            </w:r>
            <w:r/>
          </w:p>
        </w:tc>
      </w:tr>
      <w:tr>
        <w:trPr>
          <w:trHeight w:val="696"/>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2、项目经理每天到岗，不得缺岗</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项目经理不到岗一次扣2分</w:t>
            </w:r>
            <w:r>
              <w:rPr>
                <w:rFonts w:ascii="宋体" w:hAnsi="宋体" w:cs="宋体"/>
                <w:color w:val="000000"/>
                <w:szCs w:val="21"/>
                <w:highlight w:val="none"/>
              </w:rPr>
            </w:r>
            <w:r/>
          </w:p>
        </w:tc>
      </w:tr>
      <w:tr>
        <w:trPr>
          <w:trHeight w:val="539"/>
        </w:trPr>
        <w:tc>
          <w:tcPr>
            <w:tcW w:w="897" w:type="dxa"/>
            <w:vAlign w:val="center"/>
            <w:vMerge w:val="continue"/>
            <w:textDirection w:val="lrTb"/>
            <w:noWrap/>
          </w:tcPr>
          <w:p>
            <w:pPr>
              <w:pStyle w:val="947"/>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3、有人员奖惩办法及管理制度，且执行到位</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制度不健全或执行不到位一次扣2分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4、驾驶员须持有有效驾驶证件，遵守交通法律法规，安全文明行车</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不符合要求扣1分/次</w:t>
            </w:r>
            <w:r>
              <w:rPr>
                <w:rFonts w:ascii="宋体" w:hAnsi="宋体" w:cs="宋体"/>
                <w:color w:val="000000"/>
                <w:szCs w:val="21"/>
                <w:highlight w:val="none"/>
              </w:rPr>
            </w:r>
            <w:r/>
          </w:p>
        </w:tc>
      </w:tr>
      <w:tr>
        <w:trPr>
          <w:trHeight w:val="90"/>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5、工作期间禁止饮酒，不得酒后驾车</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酒后驾驶扣5分/次；情节严重造成不良影响扣10分/次</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6、车辆行驶过程中不得抽烟、接打电话等妨碍安全驾驶的行为</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扣1分/次</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7、驾驶车辆不得乘载闲杂人员</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扣1分/次</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8、作业时必须穿着统一标识的服装，按规定穿戴劳动防护用具</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不符合要求扣1分/次</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9、驾驶车辆进入各场所须遵守其相关规定</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违反一次扣1分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10、垃圾装运完后须将环卫作业车辆后箱按要求关闭</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未关闭扣1分/次</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11、乙方须每月按时发放作业人员工资</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工资逾期发放视情节严重性扣5-10分</w:t>
            </w:r>
            <w:r>
              <w:rPr>
                <w:rFonts w:ascii="宋体" w:hAnsi="宋体" w:cs="宋体"/>
                <w:color w:val="000000"/>
                <w:szCs w:val="21"/>
                <w:highlight w:val="none"/>
              </w:rPr>
            </w:r>
            <w:r/>
          </w:p>
        </w:tc>
      </w:tr>
      <w:tr>
        <w:trPr>
          <w:trHeight w:val="538"/>
        </w:trPr>
        <w:tc>
          <w:tcPr>
            <w:tcW w:w="897" w:type="dxa"/>
            <w:vAlign w:val="center"/>
            <w:vMerge w:val="restart"/>
            <w:textDirection w:val="lrTb"/>
            <w:noWrap/>
          </w:tcPr>
          <w:p>
            <w:pPr>
              <w:pStyle w:val="947"/>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（三）作业质量（25分）</w:t>
            </w: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1、保证日产日清，无堆积、漏收，按时收集，无积压、不腐烂发臭</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未达标每个点位每次扣1分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2、收运频次达到业主合理要求</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未达到一次扣1分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3、作业完毕做到工完场清，可移动垃圾容器及时复位，保证收集点干净整洁</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收集点地面有污水杂物一次扣1分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4、垃圾收运车辆作业过程中不滴不漏、不超载、不超高运输</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有滴漏现象一次扣1分；超载超高一次扣3分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5、按照固定路线、时间运输垃圾</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不符合要求扣1分/车·次</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6、运输过程中不得故意沿途丢弃、遗撒垃圾</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扣10分/次</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7、不得从事非经甲方认定或有碍甲方利益的各类业务（擅自承揽垃圾代运、收费等）</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发现一次扣3-10分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8、未经核准不得擅自处置超出核准范围的垃圾；不得运输途中偷倒垃圾；不得加装不属于本项目范围内的垃圾；不得进行垃圾过磅数据造假（重复过磅、注水等）</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每次扣2-10分</w:t>
            </w:r>
            <w:r>
              <w:rPr>
                <w:rFonts w:ascii="宋体" w:hAnsi="宋体" w:cs="宋体"/>
                <w:color w:val="000000"/>
                <w:szCs w:val="21"/>
                <w:highlight w:val="none"/>
              </w:rPr>
            </w:r>
            <w:r/>
          </w:p>
        </w:tc>
      </w:tr>
      <w:tr>
        <w:trPr>
          <w:trHeight w:val="538"/>
        </w:trPr>
        <w:tc>
          <w:tcPr>
            <w:tcW w:w="897" w:type="dxa"/>
            <w:vAlign w:val="center"/>
            <w:vMerge w:val="restart"/>
            <w:textDirection w:val="lrTb"/>
            <w:noWrap/>
          </w:tcPr>
          <w:p>
            <w:pPr>
              <w:pStyle w:val="950"/>
              <w:spacing w:before="360" w:after="360" w:line="360" w:lineRule="auto"/>
              <w:widowControl/>
              <w:rPr>
                <w:color w:val="000000"/>
                <w:sz w:val="21"/>
                <w:szCs w:val="21"/>
                <w:highlight w:val="none"/>
              </w:rPr>
            </w:pPr>
            <w:r>
              <w:rPr>
                <w:rFonts w:cs="宋体"/>
                <w:color w:val="000000"/>
                <w:sz w:val="21"/>
                <w:szCs w:val="21"/>
                <w:highlight w:val="none"/>
              </w:rPr>
              <w:t xml:space="preserve">（四）安全管理（15分）</w:t>
            </w:r>
            <w:r>
              <w:rPr>
                <w:color w:val="000000"/>
                <w:sz w:val="21"/>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1、不发生安全事故</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根据事故严重性一次扣3-30分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2、垃圾运输过程中发生安全事故，经认定为乙方责任的</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扣3分/次，且乙方承担全部责任</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3、因驾驶人员原因造成重大交通事故的</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扣10分/次</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4、建立完善的安全生产管理制度，定期进行安全教育和检查</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制度不健全或执行不到位一次扣2分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5、特殊情况下（恶劣天气、节假日、旅游旺季、集中活动等）应急计划安排，服从领导调度</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不服从调配一次扣5分</w:t>
            </w:r>
            <w:r>
              <w:rPr>
                <w:rFonts w:ascii="宋体" w:hAnsi="宋体" w:cs="宋体"/>
                <w:color w:val="000000"/>
                <w:szCs w:val="21"/>
                <w:highlight w:val="none"/>
              </w:rPr>
            </w:r>
            <w:r/>
          </w:p>
        </w:tc>
      </w:tr>
      <w:tr>
        <w:trPr>
          <w:trHeight w:val="538"/>
        </w:trPr>
        <w:tc>
          <w:tcPr>
            <w:tcW w:w="897" w:type="dxa"/>
            <w:vAlign w:val="center"/>
            <w:vMerge w:val="restart"/>
            <w:textDirection w:val="lrTb"/>
            <w:noWrap/>
          </w:tcPr>
          <w:p>
            <w:pPr>
              <w:pStyle w:val="947"/>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（五）管理与制度建设（10分）</w:t>
            </w: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1、建立完善的台账、内部考核制度、车辆设备维保制度、应急预案、运输数据记录等，每月更新一次</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内容不完善或未及时上报一次扣1分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2、每月定期提供运营资料（人员信息、排班、工资发放资料、社保公积金缴纳等），确保真实</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不提供或提供不及时扣5分/次</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3、甲方召开会议，乙方法定代表人及项目负责人须准时参加</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未经同意缺席一次扣1分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4、乙方须积极响应甲方对人员及设备的统一调配，对重点路段、重大节日活动、突击任务、应急处理予以配合</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不予配合造成恶劣影响扣3-30分</w:t>
            </w:r>
            <w:r>
              <w:rPr>
                <w:rFonts w:ascii="宋体" w:hAnsi="宋体" w:cs="宋体"/>
                <w:color w:val="000000"/>
                <w:szCs w:val="21"/>
                <w:highlight w:val="none"/>
              </w:rPr>
            </w:r>
            <w:r/>
          </w:p>
        </w:tc>
      </w:tr>
      <w:tr>
        <w:trPr>
          <w:trHeight w:val="911"/>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5、项目服务过程中，甲方有特殊安排的，乙方须无条件服从并配合实施</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否则每次扣1分</w:t>
            </w:r>
            <w:r>
              <w:rPr>
                <w:rFonts w:ascii="宋体" w:hAnsi="宋体" w:cs="宋体"/>
                <w:color w:val="000000"/>
                <w:szCs w:val="21"/>
                <w:highlight w:val="none"/>
              </w:rPr>
            </w:r>
            <w:r/>
          </w:p>
        </w:tc>
      </w:tr>
      <w:tr>
        <w:trPr>
          <w:trHeight w:val="538"/>
        </w:trPr>
        <w:tc>
          <w:tcPr>
            <w:tcW w:w="897" w:type="dxa"/>
            <w:vAlign w:val="center"/>
            <w:vMerge w:val="restart"/>
            <w:textDirection w:val="lrTb"/>
            <w:noWrap/>
          </w:tcPr>
          <w:p>
            <w:pPr>
              <w:pStyle w:val="947"/>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（六）社会监督与投诉处理（5分）</w:t>
            </w: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1、被服务单位的有效投诉</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每发生一次有效投诉扣1分并予以改正</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2、经上级部门检查发现存在不规范运输行为的：第一次警告；第二次严重警告；累计3次及以上</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第一次扣2分；第二次扣5分；第三次扣10分，且甲方有权终止合同</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3、新闻媒体曝光、群众投诉经查证属实</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参照上级部门检查标准执行</w:t>
            </w:r>
            <w:r>
              <w:rPr>
                <w:rFonts w:ascii="宋体" w:hAnsi="宋体" w:cs="宋体"/>
                <w:color w:val="000000"/>
                <w:szCs w:val="21"/>
                <w:highlight w:val="none"/>
              </w:rPr>
            </w:r>
            <w:r/>
          </w:p>
        </w:tc>
      </w:tr>
      <w:tr>
        <w:trPr>
          <w:trHeight w:val="538"/>
        </w:trPr>
        <w:tc>
          <w:tcPr>
            <w:tcW w:w="897" w:type="dxa"/>
            <w:vAlign w:val="center"/>
            <w:vMerge w:val="restart"/>
            <w:textDirection w:val="lrTb"/>
            <w:noWrap/>
          </w:tcPr>
          <w:p>
            <w:pPr>
              <w:pStyle w:val="947"/>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（七）加分项</w:t>
            </w: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1、针对服务区域内的运输管理提出合理化建议并被采纳</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每条加5分</w:t>
            </w:r>
            <w:r>
              <w:rPr>
                <w:rFonts w:ascii="宋体" w:hAnsi="宋体" w:cs="宋体"/>
                <w:color w:val="000000"/>
                <w:szCs w:val="21"/>
                <w:highlight w:val="none"/>
              </w:rPr>
            </w:r>
            <w:r/>
          </w:p>
        </w:tc>
      </w:tr>
      <w:tr>
        <w:trPr>
          <w:trHeight w:val="538"/>
        </w:trPr>
        <w:tc>
          <w:tcPr>
            <w:tcW w:w="897" w:type="dxa"/>
            <w:vAlign w:val="center"/>
            <w:vMerge w:val="continue"/>
            <w:textDirection w:val="lrTb"/>
            <w:noWrap/>
          </w:tcPr>
          <w:p>
            <w:pPr>
              <w:pStyle w:val="947"/>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6341"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2、主动承揽、配合办事处、环卫所等部门处理相关工作，经核实确认</w:t>
            </w:r>
            <w:r>
              <w:rPr>
                <w:rFonts w:ascii="宋体" w:hAnsi="宋体" w:cs="宋体"/>
                <w:color w:val="000000"/>
                <w:szCs w:val="21"/>
                <w:highlight w:val="none"/>
              </w:rPr>
            </w:r>
            <w:r/>
          </w:p>
        </w:tc>
        <w:tc>
          <w:tcPr>
            <w:tcW w:w="3007" w:type="dxa"/>
            <w:vAlign w:val="center"/>
            <w:textDirection w:val="lrTb"/>
            <w:noWrap/>
          </w:tcPr>
          <w:p>
            <w:pPr>
              <w:pStyle w:val="94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按5分/起给予奖励；重大的给予10分/起奖励</w:t>
            </w:r>
            <w:r>
              <w:rPr>
                <w:rFonts w:ascii="宋体" w:hAnsi="宋体" w:cs="宋体"/>
                <w:color w:val="000000"/>
                <w:szCs w:val="21"/>
                <w:highlight w:val="none"/>
              </w:rPr>
            </w:r>
            <w:r/>
          </w:p>
        </w:tc>
      </w:tr>
    </w:tbl>
    <w:p>
      <w:pPr>
        <w:pStyle w:val="947"/>
        <w:ind w:firstLine="3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7"/>
        <w:ind w:firstLine="42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48"/>
        <w:jc w:val="center"/>
        <w:spacing w:line="360" w:lineRule="auto"/>
        <w:rPr>
          <w:rFonts w:hint="eastAsia"/>
          <w:color w:val="000000"/>
          <w:highlight w:val="none"/>
          <w:shd w:val="clear" w:color="auto" w:fill="ffffff"/>
        </w:rPr>
      </w:pPr>
      <w:r>
        <w:rPr>
          <w:rFonts w:hint="eastAsia" w:ascii="宋体" w:hAnsi="宋体" w:eastAsia="宋体" w:cs="宋体"/>
          <w:color w:val="000000"/>
          <w:sz w:val="24"/>
          <w:highlight w:val="none"/>
          <w:shd w:val="clear" w:color="auto" w:fill="ffffff"/>
        </w:rPr>
        <w:br w:type="page" w:clear="all"/>
      </w:r>
      <w:bookmarkEnd w:id="40"/>
      <w:r/>
      <w:bookmarkStart w:id="42" w:name="_Toc73626511"/>
      <w:r/>
      <w:bookmarkStart w:id="43" w:name="_Toc4457"/>
      <w:r>
        <w:rPr>
          <w:rFonts w:hint="eastAsia"/>
          <w:color w:val="000000"/>
          <w:highlight w:val="none"/>
          <w:shd w:val="clear" w:color="auto" w:fill="ffffff"/>
        </w:rPr>
        <w:t xml:space="preserve">第六章</w:t>
      </w:r>
      <w:r>
        <w:rPr>
          <w:color w:val="000000"/>
          <w:highlight w:val="none"/>
          <w:shd w:val="clear" w:color="auto" w:fill="ffffff"/>
        </w:rPr>
        <w:t xml:space="preserve"> </w:t>
      </w:r>
      <w:r>
        <w:rPr>
          <w:rFonts w:hint="eastAsia"/>
          <w:color w:val="000000"/>
          <w:highlight w:val="none"/>
          <w:shd w:val="clear" w:color="auto" w:fill="ffffff"/>
        </w:rPr>
        <w:t xml:space="preserve">评标方法、评分标准</w:t>
      </w:r>
      <w:bookmarkEnd w:id="42"/>
      <w:r/>
      <w:bookmarkEnd w:id="43"/>
      <w:r>
        <w:rPr>
          <w:rFonts w:hint="eastAsia"/>
          <w:color w:val="000000"/>
          <w:highlight w:val="none"/>
          <w:shd w:val="clear" w:color="auto" w:fill="ffffff"/>
        </w:rPr>
      </w:r>
      <w:r/>
    </w:p>
    <w:p>
      <w:pPr>
        <w:pStyle w:val="947"/>
        <w:ind w:firstLine="426"/>
        <w:spacing w:line="360" w:lineRule="auto"/>
        <w:rPr>
          <w:rFonts w:ascii="宋体" w:hAnsi="宋体"/>
          <w:b/>
          <w:color w:val="000000"/>
          <w:szCs w:val="21"/>
          <w:highlight w:val="none"/>
        </w:rPr>
      </w:pPr>
      <w:r>
        <w:rPr>
          <w:rFonts w:hint="eastAsia" w:ascii="宋体" w:hAnsi="宋体"/>
          <w:b/>
          <w:color w:val="000000"/>
          <w:szCs w:val="21"/>
          <w:highlight w:val="none"/>
        </w:rPr>
        <w:t xml:space="preserve">一、评分办法</w:t>
      </w:r>
      <w:r>
        <w:rPr>
          <w:rFonts w:ascii="宋体" w:hAnsi="宋体"/>
          <w:b/>
          <w:color w:val="000000"/>
          <w:szCs w:val="21"/>
          <w:highlight w:val="none"/>
        </w:rPr>
      </w:r>
      <w:r/>
    </w:p>
    <w:p>
      <w:pPr>
        <w:pStyle w:val="947"/>
        <w:ind w:firstLine="424"/>
        <w:spacing w:line="360" w:lineRule="auto"/>
        <w:rPr>
          <w:rFonts w:ascii="宋体" w:hAnsi="宋体"/>
          <w:color w:val="000000"/>
          <w:szCs w:val="21"/>
          <w:highlight w:val="none"/>
        </w:rPr>
      </w:pPr>
      <w:r>
        <w:rPr>
          <w:rFonts w:hint="eastAsia" w:ascii="宋体" w:hAnsi="宋体"/>
          <w:color w:val="000000"/>
          <w:szCs w:val="21"/>
          <w:highlight w:val="none"/>
        </w:rPr>
        <w:t xml:space="preserve">1、本次招标评标方法为综合评分法。即在最大限度地满足招标文件实质性要求前提下，按照招标文件中规定的各项因素进行综合评审后，以综合得分最高的投标人作为中标人的评标方法。</w:t>
      </w:r>
      <w:r>
        <w:rPr>
          <w:rFonts w:ascii="宋体" w:hAnsi="宋体"/>
          <w:color w:val="000000"/>
          <w:szCs w:val="21"/>
          <w:highlight w:val="none"/>
        </w:rPr>
      </w:r>
      <w:r/>
    </w:p>
    <w:p>
      <w:pPr>
        <w:pStyle w:val="947"/>
        <w:ind w:firstLine="424"/>
        <w:spacing w:line="360" w:lineRule="auto"/>
        <w:rPr>
          <w:rFonts w:ascii="宋体" w:hAnsi="宋体"/>
          <w:color w:val="000000"/>
          <w:szCs w:val="21"/>
          <w:highlight w:val="none"/>
        </w:rPr>
      </w:pPr>
      <w:r>
        <w:rPr>
          <w:rFonts w:hint="eastAsia" w:ascii="宋体" w:hAnsi="宋体"/>
          <w:color w:val="000000"/>
          <w:szCs w:val="21"/>
          <w:highlight w:val="none"/>
        </w:rPr>
        <w:t xml:space="preserve">2、综合评分的主要因素为：价格、技术、财务状况、信誉、业绩、服务、对招标文件的响应程度，以及相应的比重或者数值等。总分值100分，价格评审为10分，技术评审分值为90分。</w:t>
      </w:r>
      <w:r>
        <w:rPr>
          <w:rFonts w:ascii="宋体" w:hAnsi="宋体"/>
          <w:color w:val="000000"/>
          <w:szCs w:val="21"/>
          <w:highlight w:val="none"/>
        </w:rPr>
      </w:r>
      <w:r/>
    </w:p>
    <w:p>
      <w:pPr>
        <w:pStyle w:val="947"/>
        <w:ind w:firstLine="424"/>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评标时，评标委员会分别对每个有效投标人的投标书（报价除外）进行评价、打分，</w:t>
      </w:r>
      <w:r>
        <w:rPr>
          <w:rFonts w:hint="eastAsia" w:ascii="宋体" w:hAnsi="宋体"/>
          <w:color w:val="000000"/>
          <w:szCs w:val="21"/>
          <w:highlight w:val="none"/>
        </w:rPr>
        <w:t xml:space="preserve">然后通过软件</w:t>
      </w:r>
      <w:r>
        <w:rPr>
          <w:rFonts w:ascii="宋体" w:hAnsi="宋体"/>
          <w:color w:val="000000"/>
          <w:szCs w:val="21"/>
          <w:highlight w:val="none"/>
        </w:rPr>
        <w:t xml:space="preserve">进行统计汇总，按算术平均方法计算出每个投标人的得分；报价得分</w:t>
      </w:r>
      <w:r>
        <w:rPr>
          <w:rFonts w:hint="eastAsia" w:ascii="宋体" w:hAnsi="宋体"/>
          <w:color w:val="000000"/>
          <w:szCs w:val="21"/>
          <w:highlight w:val="none"/>
        </w:rPr>
        <w:t xml:space="preserve">软件自动生成</w:t>
      </w:r>
      <w:r>
        <w:rPr>
          <w:rFonts w:ascii="宋体" w:hAnsi="宋体"/>
          <w:color w:val="000000"/>
          <w:szCs w:val="21"/>
          <w:highlight w:val="none"/>
        </w:rPr>
        <w:t xml:space="preserve">，二者相加为投标人的综合</w:t>
      </w:r>
      <w:r>
        <w:rPr>
          <w:rFonts w:hint="eastAsia" w:ascii="宋体" w:hAnsi="宋体"/>
          <w:color w:val="000000"/>
          <w:szCs w:val="21"/>
          <w:highlight w:val="none"/>
        </w:rPr>
        <w:t xml:space="preserve">得</w:t>
      </w:r>
      <w:r>
        <w:rPr>
          <w:rFonts w:ascii="宋体" w:hAnsi="宋体"/>
          <w:color w:val="000000"/>
          <w:szCs w:val="21"/>
          <w:highlight w:val="none"/>
        </w:rPr>
        <w:t xml:space="preserve">分（各项得分按四舍五入原则精确到小数点后两位）。综合</w:t>
      </w:r>
      <w:r>
        <w:rPr>
          <w:rFonts w:hint="eastAsia" w:ascii="宋体" w:hAnsi="宋体"/>
          <w:color w:val="000000"/>
          <w:szCs w:val="21"/>
          <w:highlight w:val="none"/>
        </w:rPr>
        <w:t xml:space="preserve">得</w:t>
      </w:r>
      <w:r>
        <w:rPr>
          <w:rFonts w:ascii="宋体" w:hAnsi="宋体"/>
          <w:color w:val="000000"/>
          <w:szCs w:val="21"/>
          <w:highlight w:val="none"/>
        </w:rPr>
        <w:t xml:space="preserve">分相同的，按</w:t>
      </w:r>
      <w:r>
        <w:rPr>
          <w:rFonts w:hint="eastAsia" w:ascii="宋体" w:hAnsi="宋体"/>
          <w:color w:val="000000"/>
          <w:szCs w:val="21"/>
          <w:highlight w:val="none"/>
        </w:rPr>
        <w:t xml:space="preserve">投标报价</w:t>
      </w:r>
      <w:r>
        <w:rPr>
          <w:rFonts w:ascii="宋体" w:hAnsi="宋体"/>
          <w:color w:val="000000"/>
          <w:szCs w:val="21"/>
          <w:highlight w:val="none"/>
        </w:rPr>
        <w:t xml:space="preserve">由低到高顺序排列；综合</w:t>
      </w:r>
      <w:r>
        <w:rPr>
          <w:rFonts w:hint="eastAsia" w:ascii="宋体" w:hAnsi="宋体"/>
          <w:color w:val="000000"/>
          <w:szCs w:val="21"/>
          <w:highlight w:val="none"/>
        </w:rPr>
        <w:t xml:space="preserve">得</w:t>
      </w:r>
      <w:r>
        <w:rPr>
          <w:rFonts w:ascii="宋体" w:hAnsi="宋体"/>
          <w:color w:val="000000"/>
          <w:szCs w:val="21"/>
          <w:highlight w:val="none"/>
        </w:rPr>
        <w:t xml:space="preserve">分相同，且</w:t>
      </w:r>
      <w:r>
        <w:rPr>
          <w:rFonts w:hint="eastAsia" w:ascii="宋体" w:hAnsi="宋体"/>
          <w:color w:val="000000"/>
          <w:szCs w:val="21"/>
          <w:highlight w:val="none"/>
        </w:rPr>
        <w:t xml:space="preserve">投标报价</w:t>
      </w:r>
      <w:r>
        <w:rPr>
          <w:rFonts w:ascii="宋体" w:hAnsi="宋体"/>
          <w:color w:val="000000"/>
          <w:szCs w:val="21"/>
          <w:highlight w:val="none"/>
        </w:rPr>
        <w:t xml:space="preserve">相同的，按技术评分由高到低顺序排列</w:t>
      </w:r>
      <w:r>
        <w:rPr>
          <w:rFonts w:hint="eastAsia" w:ascii="宋体" w:hAnsi="宋体"/>
          <w:color w:val="000000"/>
          <w:szCs w:val="21"/>
          <w:highlight w:val="none"/>
        </w:rPr>
        <w:t xml:space="preserve">；</w:t>
      </w:r>
      <w:r>
        <w:rPr>
          <w:rFonts w:ascii="宋体" w:hAnsi="宋体"/>
          <w:color w:val="000000"/>
          <w:szCs w:val="21"/>
          <w:highlight w:val="none"/>
        </w:rPr>
        <w:t xml:space="preserve">综合</w:t>
      </w:r>
      <w:r>
        <w:rPr>
          <w:rFonts w:hint="eastAsia" w:ascii="宋体" w:hAnsi="宋体"/>
          <w:color w:val="000000"/>
          <w:szCs w:val="21"/>
          <w:highlight w:val="none"/>
        </w:rPr>
        <w:t xml:space="preserve">得</w:t>
      </w:r>
      <w:r>
        <w:rPr>
          <w:rFonts w:ascii="宋体" w:hAnsi="宋体"/>
          <w:color w:val="000000"/>
          <w:szCs w:val="21"/>
          <w:highlight w:val="none"/>
        </w:rPr>
        <w:t xml:space="preserve">分相同，且</w:t>
      </w:r>
      <w:r>
        <w:rPr>
          <w:rFonts w:hint="eastAsia" w:ascii="宋体" w:hAnsi="宋体"/>
          <w:color w:val="000000"/>
          <w:szCs w:val="21"/>
          <w:highlight w:val="none"/>
        </w:rPr>
        <w:t xml:space="preserve">投标报价</w:t>
      </w:r>
      <w:r>
        <w:rPr>
          <w:rFonts w:ascii="宋体" w:hAnsi="宋体"/>
          <w:color w:val="000000"/>
          <w:szCs w:val="21"/>
          <w:highlight w:val="none"/>
        </w:rPr>
        <w:t xml:space="preserve">和技术评分均相同的，</w:t>
      </w:r>
      <w:r>
        <w:rPr>
          <w:rFonts w:hint="eastAsia" w:ascii="宋体" w:hAnsi="宋体"/>
          <w:color w:val="000000"/>
          <w:szCs w:val="21"/>
          <w:highlight w:val="none"/>
        </w:rPr>
        <w:t xml:space="preserve">则以</w:t>
      </w:r>
      <w:r>
        <w:rPr>
          <w:rFonts w:ascii="宋体" w:hAnsi="宋体"/>
          <w:color w:val="000000"/>
          <w:szCs w:val="21"/>
          <w:highlight w:val="none"/>
        </w:rPr>
        <w:t xml:space="preserve">抽签决定</w:t>
      </w:r>
      <w:r>
        <w:rPr>
          <w:rFonts w:hint="eastAsia" w:ascii="宋体" w:hAnsi="宋体"/>
          <w:color w:val="000000"/>
          <w:szCs w:val="21"/>
          <w:highlight w:val="none"/>
        </w:rPr>
        <w:t xml:space="preserve">中标人。</w:t>
      </w:r>
      <w:r>
        <w:rPr>
          <w:rFonts w:ascii="宋体" w:hAnsi="宋体"/>
          <w:color w:val="000000"/>
          <w:szCs w:val="21"/>
          <w:highlight w:val="none"/>
        </w:rPr>
      </w:r>
      <w:r/>
    </w:p>
    <w:p>
      <w:pPr>
        <w:pStyle w:val="947"/>
        <w:ind w:firstLine="426"/>
        <w:spacing w:line="360" w:lineRule="auto"/>
        <w:rPr>
          <w:rFonts w:ascii="宋体" w:hAnsi="宋体"/>
          <w:b/>
          <w:color w:val="000000"/>
          <w:szCs w:val="21"/>
          <w:highlight w:val="none"/>
        </w:rPr>
      </w:pPr>
      <w:r>
        <w:rPr>
          <w:rFonts w:hint="eastAsia" w:ascii="宋体" w:hAnsi="宋体"/>
          <w:b/>
          <w:color w:val="000000"/>
          <w:szCs w:val="21"/>
          <w:highlight w:val="none"/>
        </w:rPr>
        <w:t xml:space="preserve">二、采购政策</w:t>
      </w:r>
      <w:r>
        <w:rPr>
          <w:rFonts w:ascii="宋体" w:hAnsi="宋体"/>
          <w:b/>
          <w:color w:val="000000"/>
          <w:szCs w:val="21"/>
          <w:highlight w:val="none"/>
        </w:rPr>
      </w:r>
      <w:r/>
    </w:p>
    <w:p>
      <w:pPr>
        <w:pStyle w:val="9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（一）中、小企业</w:t>
      </w:r>
      <w:r>
        <w:rPr>
          <w:rFonts w:hint="eastAsia" w:ascii="宋体" w:hAnsi="宋体"/>
          <w:color w:val="000000"/>
          <w:szCs w:val="21"/>
          <w:highlight w:val="none"/>
        </w:rPr>
      </w:r>
      <w:r/>
    </w:p>
    <w:p>
      <w:pPr>
        <w:pStyle w:val="947"/>
        <w:ind w:firstLine="420"/>
        <w:spacing w:line="360" w:lineRule="auto"/>
        <w:rPr>
          <w:rFonts w:hint="eastAsia" w:ascii="宋体" w:hAnsi="宋体"/>
          <w:b/>
          <w:bCs/>
          <w:color w:val="000000"/>
          <w:szCs w:val="21"/>
          <w:highlight w:val="none"/>
        </w:rPr>
      </w:pPr>
      <w:r>
        <w:rPr>
          <w:rFonts w:hint="eastAsia" w:ascii="宋体" w:hAnsi="宋体"/>
          <w:color w:val="000000"/>
          <w:szCs w:val="21"/>
          <w:highlight w:val="none"/>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color w:val="000000"/>
          <w:szCs w:val="21"/>
          <w:highlight w:val="none"/>
        </w:rPr>
        <w:t xml:space="preserve">加盖公章后的《中小企业声明函》电子件放置于投标文件中提交，未提交则不享受预留采购份额政策。</w:t>
      </w:r>
      <w:r>
        <w:rPr>
          <w:rFonts w:hint="eastAsia" w:ascii="宋体" w:hAnsi="宋体"/>
          <w:b/>
          <w:bCs/>
          <w:color w:val="000000"/>
          <w:szCs w:val="21"/>
          <w:highlight w:val="none"/>
        </w:rPr>
      </w:r>
      <w:r/>
    </w:p>
    <w:p>
      <w:pPr>
        <w:pStyle w:val="9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（二）残疾人福利性单位</w:t>
      </w:r>
      <w:r>
        <w:rPr>
          <w:rFonts w:hint="eastAsia" w:ascii="宋体" w:hAnsi="宋体"/>
          <w:color w:val="000000"/>
          <w:szCs w:val="21"/>
          <w:highlight w:val="none"/>
        </w:rPr>
      </w:r>
      <w:r/>
    </w:p>
    <w:p>
      <w:pPr>
        <w:pStyle w:val="947"/>
        <w:ind w:firstLine="420"/>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color w:val="000000"/>
          <w:szCs w:val="21"/>
          <w:highlight w:val="none"/>
        </w:rPr>
        <w:t xml:space="preserve">加盖公章后的《残疾人福利性单位声明函》电子件放置于投标文件中提交，未提交则不享受预留采购份额政策。</w:t>
      </w:r>
      <w:r>
        <w:rPr>
          <w:rFonts w:hint="eastAsia" w:ascii="宋体" w:hAnsi="宋体"/>
          <w:b/>
          <w:color w:val="000000"/>
          <w:szCs w:val="21"/>
          <w:highlight w:val="none"/>
        </w:rPr>
      </w:r>
      <w:r/>
    </w:p>
    <w:p>
      <w:pPr>
        <w:pStyle w:val="9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（三）监狱企业</w:t>
      </w:r>
      <w:r>
        <w:rPr>
          <w:rFonts w:hint="eastAsia" w:ascii="宋体" w:hAnsi="宋体"/>
          <w:color w:val="000000"/>
          <w:szCs w:val="21"/>
          <w:highlight w:val="none"/>
        </w:rPr>
      </w:r>
      <w:r/>
    </w:p>
    <w:p>
      <w:pPr>
        <w:pStyle w:val="947"/>
        <w:ind w:firstLine="420"/>
        <w:spacing w:line="360" w:lineRule="auto"/>
        <w:rPr>
          <w:rFonts w:hint="eastAsia" w:ascii="宋体" w:hAnsi="宋体"/>
          <w:b/>
          <w:bCs/>
          <w:color w:val="000000"/>
          <w:szCs w:val="21"/>
          <w:highlight w:val="none"/>
        </w:rPr>
      </w:pPr>
      <w:r>
        <w:rPr>
          <w:rFonts w:hint="eastAsia" w:ascii="宋体" w:hAnsi="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color w:val="000000"/>
          <w:szCs w:val="21"/>
          <w:highlight w:val="none"/>
        </w:rPr>
        <w:t xml:space="preserve">证明文件电子件放置于投标文件中提交，未提交则不享受预留采购份额政策。</w:t>
      </w:r>
      <w:r>
        <w:rPr>
          <w:rFonts w:hint="eastAsia" w:ascii="宋体" w:hAnsi="宋体"/>
          <w:b/>
          <w:bCs/>
          <w:color w:val="000000"/>
          <w:szCs w:val="21"/>
          <w:highlight w:val="none"/>
        </w:rPr>
      </w:r>
      <w:r/>
    </w:p>
    <w:p>
      <w:pPr>
        <w:pStyle w:val="9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（四）绿色采购</w:t>
      </w:r>
      <w:r>
        <w:rPr>
          <w:rFonts w:hint="eastAsia" w:ascii="宋体" w:hAnsi="宋体"/>
          <w:color w:val="000000"/>
          <w:szCs w:val="21"/>
          <w:highlight w:val="none"/>
        </w:rPr>
      </w:r>
      <w:r/>
    </w:p>
    <w:p>
      <w:pPr>
        <w:pStyle w:val="947"/>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根据《关于调整优化节能产品、环境标志产品政府采购执行机制的通知》（财库〔2019〕9号）等相关文件的规定，</w:t>
      </w:r>
      <w:r>
        <w:rPr>
          <w:rFonts w:hint="eastAsia" w:ascii="宋体" w:hAnsi="宋体"/>
          <w:color w:val="000000"/>
          <w:szCs w:val="21"/>
          <w:highlight w:val="none"/>
        </w:rPr>
        <w:t xml:space="preserve">若本次采购货物中包含有《节能产品政府采购品目清单》、《环境标志产品政府采购品目清单》中规定的政府强制采购产品的，</w:t>
      </w:r>
      <w:r>
        <w:rPr>
          <w:rFonts w:hint="eastAsia" w:ascii="宋体" w:hAnsi="宋体"/>
          <w:b/>
          <w:color w:val="000000"/>
          <w:szCs w:val="21"/>
          <w:highlight w:val="none"/>
        </w:rPr>
        <w:t xml:space="preserve">投标人须在投标文件中提供产品有效期内的节能产品认证证书扫描件，否则将被认定为未实质性响应招标文件要求。</w:t>
      </w:r>
      <w:r>
        <w:rPr>
          <w:rFonts w:hint="eastAsia" w:ascii="宋体" w:hAnsi="宋体"/>
          <w:color w:val="000000"/>
          <w:szCs w:val="21"/>
          <w:highlight w:val="none"/>
        </w:rPr>
      </w:r>
      <w:r/>
    </w:p>
    <w:p>
      <w:pPr>
        <w:pStyle w:val="9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如采购标的涉及包装的，投标人须按《商品包装政府采购需求标准（试行）》《快递包装政府采购需求标准（试行）》（财办库〔2020〕123号）执行。</w:t>
      </w:r>
      <w:r>
        <w:rPr>
          <w:rFonts w:hint="eastAsia" w:ascii="宋体" w:hAnsi="宋体"/>
          <w:color w:val="000000"/>
          <w:szCs w:val="21"/>
          <w:highlight w:val="none"/>
        </w:rPr>
      </w:r>
      <w:r/>
    </w:p>
    <w:p>
      <w:pPr>
        <w:pStyle w:val="94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color w:val="000000"/>
          <w:szCs w:val="21"/>
          <w:highlight w:val="none"/>
        </w:rPr>
      </w:r>
      <w:r/>
    </w:p>
    <w:p>
      <w:pPr>
        <w:pStyle w:val="947"/>
        <w:ind w:firstLine="426"/>
        <w:spacing w:line="360" w:lineRule="auto"/>
        <w:rPr>
          <w:rFonts w:ascii="宋体" w:hAnsi="宋体"/>
          <w:b/>
          <w:color w:val="000000"/>
          <w:szCs w:val="21"/>
          <w:highlight w:val="none"/>
        </w:rPr>
      </w:pPr>
      <w:r>
        <w:rPr>
          <w:rFonts w:hint="eastAsia" w:ascii="宋体" w:hAnsi="宋体"/>
          <w:b/>
          <w:color w:val="000000"/>
          <w:szCs w:val="21"/>
          <w:highlight w:val="none"/>
        </w:rPr>
        <w:t xml:space="preserve">三</w:t>
      </w:r>
      <w:r>
        <w:rPr>
          <w:rFonts w:ascii="宋体" w:hAnsi="宋体"/>
          <w:b/>
          <w:color w:val="000000"/>
          <w:szCs w:val="21"/>
          <w:highlight w:val="none"/>
        </w:rPr>
        <w:t xml:space="preserve">、</w:t>
      </w:r>
      <w:r>
        <w:rPr>
          <w:rFonts w:hint="eastAsia" w:ascii="宋体" w:hAnsi="宋体"/>
          <w:b/>
          <w:color w:val="000000"/>
          <w:highlight w:val="none"/>
        </w:rPr>
        <w:t xml:space="preserve">评标标准</w:t>
      </w:r>
      <w:r>
        <w:rPr>
          <w:rFonts w:ascii="宋体" w:hAnsi="宋体"/>
          <w:b/>
          <w:color w:val="000000"/>
          <w:szCs w:val="21"/>
          <w:highlight w:val="none"/>
        </w:rPr>
      </w:r>
      <w:r/>
    </w:p>
    <w:p>
      <w:pPr>
        <w:pStyle w:val="947"/>
        <w:ind w:firstLine="426"/>
        <w:spacing w:line="360" w:lineRule="auto"/>
        <w:rPr>
          <w:rFonts w:ascii="宋体" w:hAnsi="宋体"/>
          <w:b/>
          <w:color w:val="000000"/>
          <w:szCs w:val="21"/>
          <w:highlight w:val="none"/>
        </w:rPr>
      </w:pPr>
      <w:r>
        <w:rPr>
          <w:rFonts w:hint="eastAsia" w:ascii="宋体" w:hAnsi="宋体"/>
          <w:b/>
          <w:color w:val="000000"/>
          <w:szCs w:val="21"/>
          <w:highlight w:val="none"/>
        </w:rPr>
        <w:t xml:space="preserve">（一）</w:t>
      </w:r>
      <w:r>
        <w:rPr>
          <w:rFonts w:ascii="宋体" w:hAnsi="宋体"/>
          <w:b/>
          <w:color w:val="000000"/>
          <w:szCs w:val="21"/>
          <w:highlight w:val="none"/>
        </w:rPr>
        <w:t xml:space="preserve">报价（</w:t>
      </w:r>
      <w:r>
        <w:rPr>
          <w:rFonts w:hint="eastAsia" w:ascii="宋体" w:hAnsi="宋体"/>
          <w:b/>
          <w:color w:val="000000"/>
          <w:szCs w:val="21"/>
          <w:highlight w:val="none"/>
        </w:rPr>
        <w:t xml:space="preserve">10</w:t>
      </w:r>
      <w:r>
        <w:rPr>
          <w:rFonts w:ascii="宋体" w:hAnsi="宋体"/>
          <w:b/>
          <w:color w:val="000000"/>
          <w:szCs w:val="21"/>
          <w:highlight w:val="none"/>
        </w:rPr>
        <w:t xml:space="preserve">分）</w:t>
      </w:r>
      <w:r>
        <w:rPr>
          <w:rFonts w:ascii="宋体" w:hAnsi="宋体"/>
          <w:b/>
          <w:color w:val="000000"/>
          <w:szCs w:val="21"/>
          <w:highlight w:val="none"/>
        </w:rPr>
      </w:r>
      <w:r/>
    </w:p>
    <w:p>
      <w:pPr>
        <w:pStyle w:val="947"/>
        <w:ind w:firstLine="424"/>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投标</w:t>
      </w:r>
      <w:r>
        <w:rPr>
          <w:rFonts w:hint="eastAsia" w:ascii="宋体" w:hAnsi="宋体"/>
          <w:color w:val="000000"/>
          <w:szCs w:val="21"/>
          <w:highlight w:val="none"/>
        </w:rPr>
        <w:t xml:space="preserve">总</w:t>
      </w:r>
      <w:r>
        <w:rPr>
          <w:rFonts w:ascii="宋体" w:hAnsi="宋体"/>
          <w:color w:val="000000"/>
          <w:szCs w:val="21"/>
          <w:highlight w:val="none"/>
        </w:rPr>
        <w:t xml:space="preserve">报价低于或等于财政预算价格的，为有效投标报价。超财政预算的投标报价为无效投标报价。无效投标报价的投标文件不进行评审，也不得</w:t>
      </w:r>
      <w:r>
        <w:rPr>
          <w:rFonts w:hint="eastAsia" w:ascii="宋体" w:hAnsi="宋体"/>
          <w:color w:val="000000"/>
          <w:szCs w:val="21"/>
          <w:highlight w:val="none"/>
        </w:rPr>
        <w:t xml:space="preserve">中</w:t>
      </w:r>
      <w:r>
        <w:rPr>
          <w:rFonts w:ascii="宋体" w:hAnsi="宋体"/>
          <w:color w:val="000000"/>
          <w:szCs w:val="21"/>
          <w:highlight w:val="none"/>
        </w:rPr>
        <w:t xml:space="preserve">标。</w:t>
      </w:r>
      <w:r>
        <w:rPr>
          <w:rFonts w:ascii="宋体" w:hAnsi="宋体"/>
          <w:color w:val="000000"/>
          <w:szCs w:val="21"/>
          <w:highlight w:val="none"/>
        </w:rPr>
      </w:r>
      <w:r/>
    </w:p>
    <w:p>
      <w:pPr>
        <w:pStyle w:val="947"/>
        <w:ind w:firstLine="424"/>
        <w:spacing w:line="360" w:lineRule="auto"/>
        <w:rPr>
          <w:rFonts w:ascii="宋体" w:hAnsi="宋体"/>
          <w:color w:val="000000"/>
          <w:szCs w:val="21"/>
          <w:highlight w:val="none"/>
        </w:rPr>
      </w:pPr>
      <w:r>
        <w:rPr>
          <w:rFonts w:hint="eastAsia" w:ascii="宋体" w:hAnsi="宋体"/>
          <w:color w:val="000000"/>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color w:val="000000"/>
          <w:szCs w:val="21"/>
          <w:highlight w:val="none"/>
        </w:rPr>
        <w:t xml:space="preserve">（如构成未实质性响应招标文件要求的，将不得中标）</w:t>
      </w:r>
      <w:r>
        <w:rPr>
          <w:rFonts w:hint="eastAsia" w:ascii="宋体" w:hAnsi="宋体"/>
          <w:color w:val="000000"/>
          <w:szCs w:val="21"/>
          <w:highlight w:val="none"/>
        </w:rPr>
        <w:t xml:space="preserve">。</w:t>
      </w:r>
      <w:r>
        <w:rPr>
          <w:rFonts w:ascii="宋体" w:hAnsi="宋体"/>
          <w:color w:val="000000"/>
          <w:szCs w:val="21"/>
          <w:highlight w:val="none"/>
        </w:rPr>
      </w:r>
      <w:r/>
    </w:p>
    <w:p>
      <w:pPr>
        <w:pStyle w:val="947"/>
        <w:ind w:firstLine="424"/>
        <w:spacing w:line="360" w:lineRule="auto"/>
        <w:rPr>
          <w:rFonts w:ascii="宋体" w:hAnsi="宋体"/>
          <w:color w:val="000000"/>
          <w:szCs w:val="21"/>
          <w:highlight w:val="none"/>
        </w:rPr>
      </w:pPr>
      <w:r>
        <w:rPr>
          <w:rFonts w:hint="eastAsia" w:ascii="宋体" w:hAnsi="宋体"/>
          <w:color w:val="000000"/>
          <w:szCs w:val="21"/>
          <w:highlight w:val="none"/>
        </w:rPr>
        <w:t xml:space="preserve">3、价格分采用低价优先法计算，即满足招标文件要求且投标价格最低的投标报价为评标基准价，其价格分为满分10分。其他投标人的价格分统一按照下列公式计算：</w:t>
      </w:r>
      <w:r>
        <w:rPr>
          <w:rFonts w:ascii="宋体" w:hAnsi="宋体"/>
          <w:color w:val="000000"/>
          <w:szCs w:val="21"/>
          <w:highlight w:val="none"/>
        </w:rPr>
      </w:r>
      <w:r/>
    </w:p>
    <w:p>
      <w:pPr>
        <w:pStyle w:val="947"/>
        <w:ind w:firstLine="424"/>
        <w:spacing w:line="360" w:lineRule="auto"/>
        <w:rPr>
          <w:rFonts w:ascii="宋体" w:hAnsi="宋体"/>
          <w:color w:val="000000"/>
          <w:szCs w:val="21"/>
          <w:highlight w:val="none"/>
        </w:rPr>
      </w:pPr>
      <w:r>
        <w:rPr>
          <w:rFonts w:hint="eastAsia" w:ascii="宋体" w:hAnsi="宋体"/>
          <w:color w:val="000000"/>
          <w:szCs w:val="21"/>
          <w:highlight w:val="none"/>
        </w:rPr>
        <w:t xml:space="preserve">投标报价得分=（评标基准价/投标报价）*价格权重*100，小数点后保留两位</w:t>
      </w:r>
      <w:r>
        <w:rPr>
          <w:rFonts w:ascii="宋体" w:hAnsi="宋体"/>
          <w:color w:val="000000"/>
          <w:szCs w:val="21"/>
          <w:highlight w:val="none"/>
        </w:rPr>
        <w:t xml:space="preserve">。</w:t>
      </w:r>
      <w:r>
        <w:rPr>
          <w:rFonts w:ascii="宋体" w:hAnsi="宋体"/>
          <w:color w:val="000000"/>
          <w:szCs w:val="21"/>
          <w:highlight w:val="none"/>
        </w:rPr>
      </w:r>
      <w:r/>
    </w:p>
    <w:p>
      <w:pPr>
        <w:pStyle w:val="947"/>
        <w:ind w:firstLine="361"/>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4、除报价得分外，技术部分得分低于技术部分总分75%为无效投标（响应）。</w:t>
      </w:r>
      <w:r>
        <w:rPr>
          <w:rFonts w:hint="eastAsia" w:ascii="宋体" w:hAnsi="宋体"/>
          <w:b/>
          <w:color w:val="000000"/>
          <w:szCs w:val="21"/>
          <w:highlight w:val="none"/>
        </w:rPr>
      </w:r>
      <w:r/>
    </w:p>
    <w:p>
      <w:pPr>
        <w:pStyle w:val="947"/>
        <w:numPr>
          <w:ilvl w:val="0"/>
          <w:numId w:val="16"/>
        </w:numPr>
        <w:ind w:firstLine="422"/>
        <w:spacing w:line="360" w:lineRule="auto"/>
        <w:tabs>
          <w:tab w:val="left" w:pos="1140" w:leader="none"/>
        </w:tabs>
        <w:rPr>
          <w:rFonts w:ascii="宋体" w:hAnsi="宋体"/>
          <w:b/>
          <w:color w:val="000000"/>
          <w:highlight w:val="none"/>
        </w:rPr>
      </w:pPr>
      <w:r>
        <w:rPr>
          <w:rFonts w:ascii="宋体" w:hAnsi="宋体"/>
          <w:b/>
          <w:color w:val="000000"/>
          <w:highlight w:val="none"/>
        </w:rPr>
        <w:t xml:space="preserve">复审评审指标</w:t>
      </w:r>
      <w:r>
        <w:rPr>
          <w:rFonts w:ascii="宋体" w:hAnsi="宋体"/>
          <w:b/>
          <w:color w:val="000000"/>
          <w:highlight w:val="none"/>
        </w:rPr>
      </w:r>
      <w:r/>
    </w:p>
    <w:tbl>
      <w:tblPr>
        <w:tblW w:w="9891" w:type="dxa"/>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1168"/>
        <w:gridCol w:w="6925"/>
        <w:gridCol w:w="658"/>
      </w:tblGrid>
      <w:tr>
        <w:trPr>
          <w:trHeight w:val="591"/>
        </w:trPr>
        <w:tc>
          <w:tcPr>
            <w:tcW w:w="1140" w:type="dxa"/>
            <w:vAlign w:val="center"/>
            <w:textDirection w:val="lrTb"/>
            <w:noWrap w:val="false"/>
          </w:tcPr>
          <w:p>
            <w:pPr>
              <w:pStyle w:val="947"/>
              <w:jc w:val="center"/>
              <w:spacing w:line="360" w:lineRule="auto"/>
              <w:rPr>
                <w:rFonts w:hint="eastAsia" w:ascii="宋体" w:hAnsi="宋体" w:cs="宋体"/>
                <w:b/>
                <w:bCs/>
                <w:color w:val="000000"/>
                <w:szCs w:val="21"/>
                <w:highlight w:val="none"/>
              </w:rPr>
            </w:pPr>
            <w:r/>
            <w:bookmarkStart w:id="44" w:name="_Hlk172549285"/>
            <w:r>
              <w:rPr>
                <w:rFonts w:hint="eastAsia" w:ascii="宋体" w:hAnsi="宋体" w:cs="宋体"/>
                <w:b/>
                <w:bCs/>
                <w:color w:val="000000"/>
                <w:szCs w:val="21"/>
                <w:highlight w:val="none"/>
              </w:rPr>
              <w:t xml:space="preserve">评审类别</w:t>
            </w:r>
            <w:r>
              <w:rPr>
                <w:rFonts w:hint="eastAsia" w:ascii="宋体" w:hAnsi="宋体" w:cs="宋体"/>
                <w:b/>
                <w:bCs/>
                <w:color w:val="000000"/>
                <w:szCs w:val="21"/>
                <w:highlight w:val="none"/>
              </w:rPr>
            </w:r>
            <w:r/>
          </w:p>
        </w:tc>
        <w:tc>
          <w:tcPr>
            <w:tcW w:w="1168" w:type="dxa"/>
            <w:vAlign w:val="center"/>
            <w:textDirection w:val="lrTb"/>
            <w:noWrap w:val="false"/>
          </w:tcPr>
          <w:p>
            <w:pPr>
              <w:pStyle w:val="94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评审项</w:t>
            </w:r>
            <w:r>
              <w:rPr>
                <w:rFonts w:hint="eastAsia" w:ascii="宋体" w:hAnsi="宋体" w:cs="宋体"/>
                <w:b/>
                <w:bCs/>
                <w:color w:val="000000"/>
                <w:szCs w:val="21"/>
                <w:highlight w:val="none"/>
              </w:rPr>
            </w:r>
            <w:r/>
          </w:p>
        </w:tc>
        <w:tc>
          <w:tcPr>
            <w:tcW w:w="6925" w:type="dxa"/>
            <w:vAlign w:val="center"/>
            <w:textDirection w:val="lrTb"/>
            <w:noWrap w:val="false"/>
          </w:tcPr>
          <w:p>
            <w:pPr>
              <w:pStyle w:val="94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评审规则</w:t>
            </w:r>
            <w:r>
              <w:rPr>
                <w:rFonts w:hint="eastAsia" w:ascii="宋体" w:hAnsi="宋体" w:cs="宋体"/>
                <w:b/>
                <w:bCs/>
                <w:color w:val="000000"/>
                <w:szCs w:val="21"/>
                <w:highlight w:val="none"/>
              </w:rPr>
            </w:r>
            <w:r/>
          </w:p>
        </w:tc>
        <w:tc>
          <w:tcPr>
            <w:tcW w:w="658" w:type="dxa"/>
            <w:vAlign w:val="center"/>
            <w:textDirection w:val="lrTb"/>
            <w:noWrap w:val="false"/>
          </w:tcPr>
          <w:p>
            <w:pPr>
              <w:pStyle w:val="94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r>
      <w:tr>
        <w:trPr>
          <w:trHeight w:val="591"/>
        </w:trPr>
        <w:tc>
          <w:tcPr>
            <w:tcW w:w="1140" w:type="dxa"/>
            <w:vAlign w:val="center"/>
            <w:textDirection w:val="lrTb"/>
            <w:noWrap w:val="false"/>
          </w:tcPr>
          <w:p>
            <w:pPr>
              <w:pStyle w:val="94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价格</w:t>
            </w:r>
            <w:r>
              <w:rPr>
                <w:rFonts w:hint="eastAsia" w:ascii="宋体" w:hAnsi="宋体" w:cs="宋体"/>
                <w:b/>
                <w:color w:val="000000"/>
                <w:szCs w:val="21"/>
                <w:highlight w:val="none"/>
              </w:rPr>
            </w:r>
            <w:r/>
          </w:p>
          <w:p>
            <w:pPr>
              <w:pStyle w:val="94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（10分）</w:t>
            </w:r>
            <w:r>
              <w:rPr>
                <w:rFonts w:hint="eastAsia" w:ascii="宋体" w:hAnsi="宋体" w:cs="宋体"/>
                <w:b/>
                <w:color w:val="000000"/>
                <w:szCs w:val="21"/>
                <w:highlight w:val="none"/>
              </w:rPr>
            </w:r>
            <w:r/>
          </w:p>
        </w:tc>
        <w:tc>
          <w:tcPr>
            <w:tcW w:w="1168" w:type="dxa"/>
            <w:vAlign w:val="center"/>
            <w:textDirection w:val="lrTb"/>
            <w:noWrap w:val="false"/>
          </w:tcPr>
          <w:p>
            <w:pPr>
              <w:pStyle w:val="1408"/>
              <w:ind w:firstLine="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价格评审</w:t>
            </w:r>
            <w:r>
              <w:rPr>
                <w:rFonts w:hint="eastAsia" w:ascii="宋体" w:hAnsi="宋体" w:eastAsia="宋体" w:cs="宋体"/>
                <w:b/>
                <w:color w:val="000000"/>
                <w:sz w:val="21"/>
                <w:szCs w:val="21"/>
                <w:highlight w:val="none"/>
              </w:rPr>
            </w:r>
            <w:r/>
          </w:p>
          <w:p>
            <w:pPr>
              <w:pStyle w:val="1408"/>
              <w:ind w:firstLine="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指标</w:t>
            </w:r>
            <w:r>
              <w:rPr>
                <w:rFonts w:hint="eastAsia" w:ascii="宋体" w:hAnsi="宋体" w:eastAsia="宋体" w:cs="宋体"/>
                <w:b/>
                <w:color w:val="000000"/>
                <w:sz w:val="21"/>
                <w:szCs w:val="21"/>
                <w:highlight w:val="none"/>
              </w:rPr>
            </w:r>
            <w:r/>
          </w:p>
        </w:tc>
        <w:tc>
          <w:tcPr>
            <w:tcW w:w="6925" w:type="dxa"/>
            <w:vAlign w:val="top"/>
            <w:textDirection w:val="lrTb"/>
            <w:noWrap w:val="false"/>
          </w:tcPr>
          <w:p>
            <w:pPr>
              <w:pStyle w:val="1408"/>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投标报价得分=（评标基准价/投标报价）*价格权值*100小数点后保留两位。</w:t>
            </w:r>
            <w:r>
              <w:rPr>
                <w:rFonts w:hint="eastAsia" w:ascii="宋体" w:hAnsi="宋体" w:eastAsia="宋体" w:cs="宋体"/>
                <w:b/>
                <w:color w:val="000000"/>
                <w:sz w:val="21"/>
                <w:szCs w:val="21"/>
                <w:highlight w:val="none"/>
              </w:rPr>
            </w:r>
            <w:r/>
          </w:p>
        </w:tc>
        <w:tc>
          <w:tcPr>
            <w:tcW w:w="658" w:type="dxa"/>
            <w:vAlign w:val="center"/>
            <w:textDirection w:val="lrTb"/>
            <w:noWrap w:val="false"/>
          </w:tcPr>
          <w:p>
            <w:pPr>
              <w:pStyle w:val="94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10</w:t>
            </w:r>
            <w:r>
              <w:rPr>
                <w:rFonts w:hint="eastAsia" w:ascii="宋体" w:hAnsi="宋体" w:cs="宋体"/>
                <w:b/>
                <w:color w:val="000000"/>
                <w:szCs w:val="21"/>
                <w:highlight w:val="none"/>
              </w:rPr>
            </w:r>
            <w:r/>
          </w:p>
        </w:tc>
      </w:tr>
      <w:tr>
        <w:trPr>
          <w:trHeight w:val="1150"/>
        </w:trPr>
        <w:tc>
          <w:tcPr>
            <w:tcW w:w="1140" w:type="dxa"/>
            <w:vAlign w:val="center"/>
            <w:vMerge w:val="restart"/>
            <w:textDirection w:val="lrTb"/>
            <w:noWrap w:val="false"/>
          </w:tcPr>
          <w:p>
            <w:pPr>
              <w:pStyle w:val="94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技术方案</w:t>
            </w:r>
            <w:r>
              <w:rPr>
                <w:rFonts w:hint="eastAsia" w:ascii="宋体" w:hAnsi="宋体" w:cs="宋体"/>
                <w:b/>
                <w:color w:val="000000"/>
                <w:szCs w:val="21"/>
                <w:highlight w:val="none"/>
              </w:rPr>
            </w:r>
            <w:r/>
          </w:p>
          <w:p>
            <w:pPr>
              <w:pStyle w:val="947"/>
              <w:jc w:val="center"/>
              <w:spacing w:line="360" w:lineRule="auto"/>
              <w:rPr>
                <w:rFonts w:hint="eastAsia" w:ascii="宋体" w:hAnsi="宋体" w:cs="宋体"/>
                <w:bCs/>
                <w:color w:val="000000"/>
                <w:szCs w:val="21"/>
                <w:highlight w:val="none"/>
                <w:lang w:val="zh-CN"/>
              </w:rPr>
            </w:pPr>
            <w:r>
              <w:rPr>
                <w:rFonts w:hint="eastAsia" w:ascii="宋体" w:hAnsi="宋体" w:cs="宋体"/>
                <w:b/>
                <w:color w:val="000000"/>
                <w:szCs w:val="21"/>
                <w:highlight w:val="none"/>
              </w:rPr>
              <w:t xml:space="preserve">（90分）</w:t>
            </w:r>
            <w:r>
              <w:rPr>
                <w:rFonts w:hint="eastAsia" w:ascii="宋体" w:hAnsi="宋体" w:cs="宋体"/>
                <w:bCs/>
                <w:color w:val="000000"/>
                <w:szCs w:val="21"/>
                <w:highlight w:val="none"/>
                <w:lang w:val="zh-CN"/>
              </w:rPr>
            </w:r>
            <w:r/>
          </w:p>
        </w:tc>
        <w:tc>
          <w:tcPr>
            <w:tcW w:w="1168" w:type="dxa"/>
            <w:vAlign w:val="center"/>
            <w:textDirection w:val="lrTb"/>
            <w:noWrap w:val="false"/>
          </w:tcPr>
          <w:p>
            <w:pPr>
              <w:pStyle w:val="1046"/>
              <w:ind w:firstLine="14"/>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项目认知</w:t>
            </w:r>
            <w:r>
              <w:rPr>
                <w:rFonts w:hint="eastAsia" w:hAnsi="宋体" w:cs="宋体"/>
                <w:color w:val="000000"/>
                <w:szCs w:val="21"/>
                <w:highlight w:val="none"/>
              </w:rPr>
            </w:r>
            <w:r/>
          </w:p>
        </w:tc>
        <w:tc>
          <w:tcPr>
            <w:tcW w:w="6925" w:type="dxa"/>
            <w:vAlign w:val="center"/>
            <w:textDirection w:val="lrTb"/>
            <w:noWrap w:val="false"/>
          </w:tcPr>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针对本项目现状特点有清晰、准确的认知分析，要求每项内容符合实际情况且详细完善，至少包括：</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1.项目现状特点并提出分析方案，4分；</w:t>
            </w:r>
            <w:r>
              <w:rPr>
                <w:rFonts w:hint="eastAsia" w:hAnsi="宋体" w:cs="宋体"/>
                <w:color w:val="000000"/>
                <w:szCs w:val="21"/>
                <w:highlight w:val="none"/>
              </w:rPr>
            </w:r>
            <w:r/>
          </w:p>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2.流程熟悉度，3分；</w:t>
            </w:r>
            <w:r>
              <w:rPr>
                <w:rFonts w:hint="eastAsia" w:ascii="宋体"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3.重点难点分析及针对重难点提供解决方案，3分。</w:t>
            </w:r>
            <w:r>
              <w:rPr>
                <w:rFonts w:hint="eastAsia" w:hAnsi="宋体" w:cs="宋体"/>
                <w:color w:val="000000"/>
                <w:szCs w:val="21"/>
                <w:highlight w:val="none"/>
              </w:rPr>
            </w:r>
            <w:r/>
          </w:p>
          <w:p>
            <w:pPr>
              <w:pStyle w:val="1046"/>
              <w:ind w:firstLine="0"/>
              <w:jc w:val="left"/>
              <w:spacing w:line="360" w:lineRule="auto"/>
              <w:rPr>
                <w:rFonts w:hint="eastAsia" w:hAnsi="宋体"/>
                <w:color w:val="000000"/>
                <w:szCs w:val="21"/>
                <w:highlight w:val="none"/>
              </w:rPr>
            </w:pPr>
            <w:r>
              <w:rPr>
                <w:rFonts w:hint="eastAsia" w:hAnsi="宋体" w:cs="宋体"/>
                <w:color w:val="000000"/>
                <w:szCs w:val="21"/>
                <w:highlight w:val="none"/>
              </w:rPr>
              <w:t xml:space="preserve">注:上述每项应逐条叙述，内容完整，条理清晰，符合本项目实际情况且详细完善的，每项得4（或3）分，共10分;每项叙述内容与采购需求偏差较大或未做完整叙述的，不得分。</w:t>
            </w:r>
            <w:r>
              <w:rPr>
                <w:rFonts w:hint="eastAsia" w:hAnsi="宋体"/>
                <w:color w:val="000000"/>
                <w:szCs w:val="21"/>
                <w:highlight w:val="none"/>
              </w:rPr>
            </w:r>
            <w:r/>
          </w:p>
        </w:tc>
        <w:tc>
          <w:tcPr>
            <w:tcW w:w="65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10</w:t>
            </w:r>
            <w:r>
              <w:rPr>
                <w:rFonts w:hint="eastAsia" w:hAnsi="宋体" w:cs="宋体"/>
                <w:color w:val="000000"/>
                <w:szCs w:val="21"/>
                <w:highlight w:val="none"/>
              </w:rPr>
            </w:r>
            <w:r/>
          </w:p>
        </w:tc>
      </w:tr>
      <w:tr>
        <w:trPr>
          <w:trHeight w:val="841"/>
        </w:trPr>
        <w:tc>
          <w:tcPr>
            <w:tcW w:w="1140" w:type="dxa"/>
            <w:vAlign w:val="center"/>
            <w:vMerge w:val="continue"/>
            <w:textDirection w:val="lrTb"/>
            <w:noWrap w:val="false"/>
          </w:tcPr>
          <w:p>
            <w:pPr>
              <w:pStyle w:val="94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168" w:type="dxa"/>
            <w:vAlign w:val="center"/>
            <w:textDirection w:val="lrTb"/>
            <w:noWrap w:val="false"/>
          </w:tcPr>
          <w:p>
            <w:pPr>
              <w:pStyle w:val="1046"/>
              <w:ind w:firstLine="14"/>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服务质量方案</w:t>
            </w:r>
            <w:r>
              <w:rPr>
                <w:rFonts w:hint="eastAsia" w:hAnsi="宋体" w:cs="宋体"/>
                <w:color w:val="000000"/>
                <w:szCs w:val="21"/>
                <w:highlight w:val="none"/>
              </w:rPr>
            </w:r>
            <w:r/>
          </w:p>
        </w:tc>
        <w:tc>
          <w:tcPr>
            <w:tcW w:w="6925" w:type="dxa"/>
            <w:vAlign w:val="center"/>
            <w:textDirection w:val="lrTb"/>
            <w:noWrap w:val="false"/>
          </w:tcPr>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针对本项目提供的服务质量方案，要求每项内容符合实际情况且详细完善，至少包括：</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1.垃圾运输服务质量及保证措施，3分；</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2.作业方式和流程，3分；</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3.作业人员配置方案，3分；</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4.作业设备配置方案，3分；</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5.车辆维修保养方案，3分。</w:t>
            </w:r>
            <w:r>
              <w:rPr>
                <w:rFonts w:hint="eastAsia" w:hAnsi="宋体" w:cs="宋体"/>
                <w:color w:val="000000"/>
                <w:szCs w:val="21"/>
                <w:highlight w:val="none"/>
              </w:rPr>
            </w:r>
            <w:r/>
          </w:p>
          <w:p>
            <w:pPr>
              <w:pStyle w:val="1046"/>
              <w:ind w:firstLine="0"/>
              <w:jc w:val="left"/>
              <w:spacing w:line="360" w:lineRule="auto"/>
              <w:rPr>
                <w:rFonts w:hint="eastAsia" w:hAnsi="宋体"/>
                <w:color w:val="000000"/>
                <w:szCs w:val="21"/>
                <w:highlight w:val="none"/>
              </w:rPr>
            </w:pPr>
            <w:r>
              <w:rPr>
                <w:rFonts w:hint="eastAsia" w:hAnsi="宋体" w:cs="宋体"/>
                <w:color w:val="000000"/>
                <w:szCs w:val="21"/>
                <w:highlight w:val="none"/>
              </w:rPr>
              <w:t xml:space="preserve">注:上述每项应逐条叙述，内容完整，条理清晰，符合本项目实际情况且详细完善的，每项得3分，共15分;每项叙述内容与采购需求偏差较大或未做完整叙述的，不得分。</w:t>
            </w:r>
            <w:r>
              <w:rPr>
                <w:rFonts w:hint="eastAsia" w:hAnsi="宋体"/>
                <w:color w:val="000000"/>
                <w:szCs w:val="21"/>
                <w:highlight w:val="none"/>
              </w:rPr>
            </w:r>
            <w:r/>
          </w:p>
        </w:tc>
        <w:tc>
          <w:tcPr>
            <w:tcW w:w="65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15</w:t>
            </w:r>
            <w:r>
              <w:rPr>
                <w:rFonts w:hint="eastAsia" w:hAnsi="宋体" w:cs="宋体"/>
                <w:color w:val="000000"/>
                <w:szCs w:val="21"/>
                <w:highlight w:val="none"/>
              </w:rPr>
            </w:r>
            <w:r/>
          </w:p>
        </w:tc>
      </w:tr>
      <w:tr>
        <w:trPr>
          <w:trHeight w:val="1150"/>
        </w:trPr>
        <w:tc>
          <w:tcPr>
            <w:tcW w:w="1140" w:type="dxa"/>
            <w:vAlign w:val="center"/>
            <w:vMerge w:val="continue"/>
            <w:textDirection w:val="lrTb"/>
            <w:noWrap w:val="false"/>
          </w:tcPr>
          <w:p>
            <w:pPr>
              <w:pStyle w:val="94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16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应急预案</w:t>
            </w:r>
            <w:r>
              <w:rPr>
                <w:rFonts w:hint="eastAsia" w:hAnsi="宋体" w:cs="宋体"/>
                <w:color w:val="000000"/>
                <w:szCs w:val="21"/>
                <w:highlight w:val="none"/>
              </w:rPr>
            </w:r>
            <w:r/>
          </w:p>
        </w:tc>
        <w:tc>
          <w:tcPr>
            <w:tcW w:w="6925" w:type="dxa"/>
            <w:vAlign w:val="center"/>
            <w:textDirection w:val="lrTb"/>
            <w:noWrap w:val="false"/>
          </w:tcPr>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针对本项目提供的应急预案体系，要求每项内容符合实际情况且详细完善，至少包括：</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1.自然灾害及恶劣天气(冰雪等)应急方案，3分；</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2.节假日、重大活动、迎检应急方案，3分；</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3.车辆维修维护保养应急方案，2分；</w:t>
            </w:r>
            <w:r>
              <w:rPr>
                <w:rFonts w:hint="eastAsia" w:hAnsi="宋体" w:cs="宋体"/>
                <w:color w:val="000000"/>
                <w:szCs w:val="21"/>
                <w:highlight w:val="none"/>
              </w:rPr>
            </w:r>
            <w:r/>
          </w:p>
          <w:p>
            <w:pPr>
              <w:pStyle w:val="94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4.重大交通事故或重大安全事故处理应急预案，3分；</w:t>
            </w:r>
            <w:r>
              <w:rPr>
                <w:rFonts w:hint="eastAsia" w:ascii="宋体" w:hAnsi="宋体" w:cs="宋体"/>
                <w:color w:val="000000"/>
                <w:szCs w:val="21"/>
                <w:highlight w:val="none"/>
              </w:rPr>
            </w:r>
            <w:r/>
          </w:p>
          <w:p>
            <w:pPr>
              <w:pStyle w:val="947"/>
              <w:jc w:val="left"/>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5.</w:t>
            </w:r>
            <w:r>
              <w:rPr>
                <w:rFonts w:hint="eastAsia" w:ascii="宋体" w:hAnsi="宋体" w:cs="宋体"/>
                <w:bCs/>
                <w:color w:val="000000"/>
                <w:szCs w:val="21"/>
                <w:highlight w:val="none"/>
              </w:rPr>
              <w:t xml:space="preserve">列举其他可能发生的突发事件并制定详细清晰的应急预案，3分。</w:t>
            </w:r>
            <w:r>
              <w:rPr>
                <w:rFonts w:hint="eastAsia" w:ascii="宋体" w:hAnsi="宋体" w:cs="宋体"/>
                <w:bCs/>
                <w:color w:val="000000"/>
                <w:szCs w:val="21"/>
                <w:highlight w:val="none"/>
              </w:rPr>
            </w:r>
            <w:r/>
          </w:p>
          <w:p>
            <w:pPr>
              <w:pStyle w:val="94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注:上述每项应逐条叙述，内容完整，条理清晰，符合本项目实际情况且详细完善的，每项得3（或2）分，共14分;每项叙述内容与采购需求偏差较大或未做完整叙述的，不得分。</w:t>
            </w:r>
            <w:r>
              <w:rPr>
                <w:rFonts w:hint="eastAsia" w:ascii="宋体" w:hAnsi="宋体" w:cs="宋体"/>
                <w:color w:val="000000"/>
                <w:szCs w:val="21"/>
                <w:highlight w:val="none"/>
              </w:rPr>
            </w:r>
            <w:r/>
          </w:p>
        </w:tc>
        <w:tc>
          <w:tcPr>
            <w:tcW w:w="65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14</w:t>
            </w:r>
            <w:r>
              <w:rPr>
                <w:rFonts w:hint="eastAsia" w:hAnsi="宋体" w:cs="宋体"/>
                <w:color w:val="000000"/>
                <w:szCs w:val="21"/>
                <w:highlight w:val="none"/>
              </w:rPr>
            </w:r>
            <w:r/>
          </w:p>
        </w:tc>
      </w:tr>
      <w:tr>
        <w:trPr>
          <w:trHeight w:val="416"/>
        </w:trPr>
        <w:tc>
          <w:tcPr>
            <w:tcW w:w="1140" w:type="dxa"/>
            <w:vAlign w:val="center"/>
            <w:vMerge w:val="continue"/>
            <w:textDirection w:val="lrTb"/>
            <w:noWrap w:val="false"/>
          </w:tcPr>
          <w:p>
            <w:pPr>
              <w:pStyle w:val="94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16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项目管理制度</w:t>
            </w:r>
            <w:r>
              <w:rPr>
                <w:rFonts w:hint="eastAsia" w:hAnsi="宋体" w:cs="宋体"/>
                <w:color w:val="000000"/>
                <w:szCs w:val="21"/>
                <w:highlight w:val="none"/>
              </w:rPr>
            </w:r>
            <w:r/>
          </w:p>
        </w:tc>
        <w:tc>
          <w:tcPr>
            <w:tcW w:w="6925" w:type="dxa"/>
            <w:vAlign w:val="center"/>
            <w:textDirection w:val="lrTb"/>
            <w:noWrap w:val="false"/>
          </w:tcPr>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针对本项目提供的管理制度，要求每项内容符合实际情况且详细完善，至少包括：</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1.人员管理相关制度，2分；</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2.设备车辆管理相关制度，2分；</w:t>
            </w:r>
            <w:r>
              <w:rPr>
                <w:rFonts w:hint="eastAsia" w:hAnsi="宋体" w:cs="宋体"/>
                <w:color w:val="000000"/>
                <w:szCs w:val="21"/>
                <w:highlight w:val="none"/>
              </w:rPr>
            </w:r>
            <w:r/>
          </w:p>
          <w:p>
            <w:pPr>
              <w:pStyle w:val="94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3.内部考核及奖惩制度，1分；</w:t>
            </w:r>
            <w:r>
              <w:rPr>
                <w:rFonts w:hint="eastAsia" w:ascii="宋体" w:hAnsi="宋体" w:cs="宋体"/>
                <w:color w:val="000000"/>
                <w:szCs w:val="21"/>
                <w:highlight w:val="none"/>
              </w:rPr>
            </w:r>
            <w:r/>
          </w:p>
          <w:p>
            <w:pPr>
              <w:pStyle w:val="94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4.档案管理相关制度，1分；</w:t>
            </w:r>
            <w:r>
              <w:rPr>
                <w:rFonts w:hint="eastAsia" w:ascii="宋体" w:hAnsi="宋体" w:cs="宋体"/>
                <w:color w:val="000000"/>
                <w:szCs w:val="21"/>
                <w:highlight w:val="none"/>
              </w:rPr>
            </w:r>
            <w:r/>
          </w:p>
          <w:p>
            <w:pPr>
              <w:pStyle w:val="94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注:上述每项应逐条叙述，内容完整，条理清晰，符合本项目实际情况且详细完善的，每项得2（或1）分，共6分；每项叙述内容与采购需求偏差较大或未做完整叙述的，不得分。</w:t>
            </w:r>
            <w:r>
              <w:rPr>
                <w:rFonts w:hint="eastAsia" w:ascii="宋体" w:hAnsi="宋体" w:cs="宋体"/>
                <w:color w:val="000000"/>
                <w:szCs w:val="21"/>
                <w:highlight w:val="none"/>
              </w:rPr>
            </w:r>
            <w:r/>
          </w:p>
        </w:tc>
        <w:tc>
          <w:tcPr>
            <w:tcW w:w="65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6</w:t>
            </w:r>
            <w:r>
              <w:rPr>
                <w:rFonts w:hint="eastAsia" w:hAnsi="宋体" w:cs="宋体"/>
                <w:color w:val="000000"/>
                <w:szCs w:val="21"/>
                <w:highlight w:val="none"/>
              </w:rPr>
            </w:r>
            <w:r/>
          </w:p>
        </w:tc>
      </w:tr>
      <w:tr>
        <w:trPr>
          <w:trHeight w:val="132"/>
        </w:trPr>
        <w:tc>
          <w:tcPr>
            <w:tcW w:w="1140" w:type="dxa"/>
            <w:vAlign w:val="center"/>
            <w:vMerge w:val="continue"/>
            <w:textDirection w:val="lrTb"/>
            <w:noWrap w:val="false"/>
          </w:tcPr>
          <w:p>
            <w:pPr>
              <w:pStyle w:val="947"/>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16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安全文明方案</w:t>
            </w:r>
            <w:r>
              <w:rPr>
                <w:rFonts w:hint="eastAsia" w:hAnsi="宋体" w:cs="宋体"/>
                <w:color w:val="000000"/>
                <w:szCs w:val="21"/>
                <w:highlight w:val="none"/>
              </w:rPr>
            </w:r>
            <w:r/>
          </w:p>
        </w:tc>
        <w:tc>
          <w:tcPr>
            <w:tcW w:w="6925" w:type="dxa"/>
            <w:vAlign w:val="center"/>
            <w:textDirection w:val="lrTb"/>
            <w:noWrap w:val="false"/>
          </w:tcPr>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针对本项目提供的安全文明方案，要求每项内容符合实际情况且详细完善，至少包括：</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1.安全管理制度及管理措施，1分；</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2.文明作业保障措施，1分；</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3.处理劳资纠纷、交通意外事故等突发情况具体措施，2分；</w:t>
            </w:r>
            <w:r>
              <w:rPr>
                <w:rFonts w:hint="eastAsia" w:hAnsi="宋体" w:cs="宋体"/>
                <w:color w:val="000000"/>
                <w:szCs w:val="21"/>
                <w:highlight w:val="none"/>
              </w:rPr>
            </w:r>
            <w:r/>
          </w:p>
          <w:p>
            <w:pPr>
              <w:pStyle w:val="140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4.防抛洒防事故，2分；</w:t>
            </w:r>
            <w:r>
              <w:rPr>
                <w:rFonts w:hint="eastAsia" w:ascii="宋体" w:hAnsi="宋体" w:eastAsia="宋体" w:cs="宋体"/>
                <w:color w:val="000000"/>
                <w:sz w:val="21"/>
                <w:szCs w:val="21"/>
                <w:highlight w:val="none"/>
              </w:rPr>
            </w:r>
            <w:r/>
          </w:p>
          <w:p>
            <w:pPr>
              <w:pStyle w:val="140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5.防投诉对应的办法，2分。</w:t>
            </w:r>
            <w:r>
              <w:rPr>
                <w:rFonts w:hint="eastAsia" w:ascii="宋体" w:hAnsi="宋体" w:eastAsia="宋体" w:cs="宋体"/>
                <w:color w:val="000000"/>
                <w:sz w:val="21"/>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注:上述每项应逐条叙述，内容完整，条理清晰，符合本项目实际情况且详细完善的，每项得2（或1）分，共8分；每项叙述内容与采购需求偏差较大或未做完整叙述的，不得分。</w:t>
            </w:r>
            <w:r>
              <w:rPr>
                <w:rFonts w:hint="eastAsia" w:hAnsi="宋体" w:cs="宋体"/>
                <w:color w:val="000000"/>
                <w:szCs w:val="21"/>
                <w:highlight w:val="none"/>
              </w:rPr>
            </w:r>
            <w:r/>
          </w:p>
        </w:tc>
        <w:tc>
          <w:tcPr>
            <w:tcW w:w="65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8</w:t>
            </w:r>
            <w:r>
              <w:rPr>
                <w:rFonts w:hint="eastAsia" w:hAnsi="宋体" w:cs="宋体"/>
                <w:color w:val="000000"/>
                <w:szCs w:val="21"/>
                <w:highlight w:val="none"/>
              </w:rPr>
            </w:r>
            <w:r/>
          </w:p>
        </w:tc>
      </w:tr>
      <w:tr>
        <w:trPr>
          <w:trHeight w:val="512"/>
        </w:trPr>
        <w:tc>
          <w:tcPr>
            <w:tcW w:w="1140" w:type="dxa"/>
            <w:vAlign w:val="center"/>
            <w:vMerge w:val="continue"/>
            <w:textDirection w:val="lrTb"/>
            <w:noWrap w:val="false"/>
          </w:tcPr>
          <w:p>
            <w:pPr>
              <w:pStyle w:val="947"/>
              <w:jc w:val="center"/>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tc>
        <w:tc>
          <w:tcPr>
            <w:tcW w:w="116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进退场交接方案</w:t>
            </w:r>
            <w:r>
              <w:rPr>
                <w:rFonts w:hint="eastAsia" w:hAnsi="宋体" w:cs="宋体"/>
                <w:color w:val="000000"/>
                <w:szCs w:val="21"/>
                <w:highlight w:val="none"/>
              </w:rPr>
            </w:r>
            <w:r/>
          </w:p>
        </w:tc>
        <w:tc>
          <w:tcPr>
            <w:tcW w:w="6925" w:type="dxa"/>
            <w:vAlign w:val="center"/>
            <w:textDirection w:val="lrTb"/>
            <w:noWrap w:val="false"/>
          </w:tcPr>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针对本项目提供的进退场交接方案及保障，要求每项内容符合实际情况且详细完善，至少包括：</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1.进退场交接方案，3分；</w:t>
            </w:r>
            <w:r>
              <w:rPr>
                <w:rFonts w:hint="eastAsia" w:hAnsi="宋体" w:cs="宋体"/>
                <w:color w:val="000000"/>
                <w:szCs w:val="21"/>
                <w:highlight w:val="none"/>
              </w:rPr>
            </w:r>
            <w:r/>
          </w:p>
          <w:p>
            <w:pPr>
              <w:pStyle w:val="1046"/>
              <w:ind w:firstLine="0"/>
              <w:jc w:val="left"/>
              <w:spacing w:line="360" w:lineRule="auto"/>
              <w:rPr>
                <w:rFonts w:hint="eastAsia" w:hAnsi="宋体" w:cs="宋体"/>
                <w:color w:val="000000"/>
                <w:szCs w:val="21"/>
                <w:highlight w:val="none"/>
              </w:rPr>
            </w:pPr>
            <w:r>
              <w:rPr>
                <w:rFonts w:hint="eastAsia" w:hAnsi="宋体" w:cs="宋体"/>
                <w:color w:val="000000"/>
                <w:szCs w:val="21"/>
                <w:highlight w:val="none"/>
              </w:rPr>
              <w:t xml:space="preserve">2.进退场保障措施，3分。</w:t>
            </w:r>
            <w:r>
              <w:rPr>
                <w:rFonts w:hint="eastAsia" w:hAnsi="宋体" w:cs="宋体"/>
                <w:color w:val="000000"/>
                <w:szCs w:val="21"/>
                <w:highlight w:val="none"/>
              </w:rPr>
            </w:r>
            <w:r/>
          </w:p>
          <w:p>
            <w:pPr>
              <w:pStyle w:val="947"/>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注:上述每项应逐条叙述，内容完整，条理清晰，符合本项目实际情况且详细完善的，每项得3分，共6分;每项叙述内容与采购需求偏差较大或未做完整叙述的，不得分。</w:t>
            </w:r>
            <w:r>
              <w:rPr>
                <w:rFonts w:hint="eastAsia" w:ascii="宋体" w:hAnsi="宋体"/>
                <w:color w:val="000000"/>
                <w:szCs w:val="21"/>
                <w:highlight w:val="none"/>
              </w:rPr>
            </w:r>
            <w:r/>
          </w:p>
        </w:tc>
        <w:tc>
          <w:tcPr>
            <w:tcW w:w="65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6</w:t>
            </w:r>
            <w:r>
              <w:rPr>
                <w:rFonts w:hint="eastAsia" w:hAnsi="宋体" w:cs="宋体"/>
                <w:color w:val="000000"/>
                <w:szCs w:val="21"/>
                <w:highlight w:val="none"/>
              </w:rPr>
            </w:r>
            <w:r/>
          </w:p>
        </w:tc>
      </w:tr>
      <w:tr>
        <w:trPr>
          <w:trHeight w:val="512"/>
        </w:trPr>
        <w:tc>
          <w:tcPr>
            <w:tcW w:w="1140" w:type="dxa"/>
            <w:vAlign w:val="center"/>
            <w:vMerge w:val="continue"/>
            <w:textDirection w:val="lrTb"/>
            <w:noWrap w:val="false"/>
          </w:tcPr>
          <w:p>
            <w:pPr>
              <w:pStyle w:val="947"/>
              <w:jc w:val="center"/>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tc>
        <w:tc>
          <w:tcPr>
            <w:tcW w:w="1168" w:type="dxa"/>
            <w:vAlign w:val="center"/>
            <w:textDirection w:val="lrTb"/>
            <w:noWrap w:val="false"/>
          </w:tcPr>
          <w:p>
            <w:pPr>
              <w:pStyle w:val="947"/>
              <w:jc w:val="center"/>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服务承诺</w:t>
            </w:r>
            <w:r>
              <w:rPr>
                <w:rFonts w:hint="eastAsia" w:ascii="宋体" w:hAnsi="宋体" w:cs="宋体"/>
                <w:bCs/>
                <w:color w:val="000000"/>
                <w:szCs w:val="21"/>
                <w:highlight w:val="none"/>
              </w:rPr>
            </w:r>
            <w:r/>
          </w:p>
        </w:tc>
        <w:tc>
          <w:tcPr>
            <w:tcW w:w="6925" w:type="dxa"/>
            <w:vAlign w:val="top"/>
            <w:textDirection w:val="lrTb"/>
            <w:noWrap w:val="false"/>
          </w:tcPr>
          <w:p>
            <w:pPr>
              <w:pStyle w:val="1408"/>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投标人针对本项目提出的服务承诺，要求每项内容符合实际情况且详细完善，</w:t>
            </w:r>
            <w:r>
              <w:rPr>
                <w:rFonts w:hint="eastAsia" w:ascii="宋体" w:hAnsi="宋体" w:eastAsia="宋体" w:cs="宋体"/>
                <w:color w:val="000000"/>
                <w:sz w:val="21"/>
                <w:szCs w:val="21"/>
                <w:highlight w:val="none"/>
              </w:rPr>
              <w:t xml:space="preserve">至少包括</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408"/>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1.依法规范用工承诺，1分；</w:t>
            </w:r>
            <w:r>
              <w:rPr>
                <w:rFonts w:hint="eastAsia" w:ascii="宋体" w:hAnsi="宋体" w:eastAsia="宋体" w:cs="宋体"/>
                <w:bCs/>
                <w:color w:val="000000"/>
                <w:sz w:val="21"/>
                <w:szCs w:val="21"/>
                <w:highlight w:val="none"/>
              </w:rPr>
            </w:r>
            <w:r/>
          </w:p>
          <w:p>
            <w:pPr>
              <w:pStyle w:val="1408"/>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2.履约期内各类风险的承诺，1分。</w:t>
            </w:r>
            <w:r>
              <w:rPr>
                <w:rFonts w:hint="eastAsia" w:ascii="宋体" w:hAnsi="宋体" w:eastAsia="宋体" w:cs="宋体"/>
                <w:bCs/>
                <w:color w:val="000000"/>
                <w:sz w:val="21"/>
                <w:szCs w:val="21"/>
                <w:highlight w:val="none"/>
              </w:rPr>
            </w:r>
            <w:r/>
          </w:p>
          <w:p>
            <w:pPr>
              <w:pStyle w:val="1408"/>
              <w:ind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注:上述每项应逐条叙述，内容完整，条理清晰，符合本项目实际情况且详细完善的，每项得1分，共2分；每项叙述内容与采购需求偏差较大或未做完整叙述的，不得分。</w:t>
            </w:r>
            <w:r>
              <w:rPr>
                <w:rFonts w:hint="eastAsia" w:ascii="宋体" w:hAnsi="宋体" w:eastAsia="宋体" w:cs="宋体"/>
                <w:bCs/>
                <w:color w:val="000000"/>
                <w:sz w:val="21"/>
                <w:szCs w:val="21"/>
                <w:highlight w:val="none"/>
              </w:rPr>
            </w:r>
            <w:r/>
          </w:p>
        </w:tc>
        <w:tc>
          <w:tcPr>
            <w:tcW w:w="658"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r>
            <w:r/>
          </w:p>
        </w:tc>
      </w:tr>
      <w:tr>
        <w:trPr>
          <w:trHeight w:val="512"/>
        </w:trPr>
        <w:tc>
          <w:tcPr>
            <w:tcW w:w="1140" w:type="dxa"/>
            <w:vAlign w:val="center"/>
            <w:vMerge w:val="continue"/>
            <w:textDirection w:val="lrTb"/>
            <w:noWrap w:val="false"/>
          </w:tcPr>
          <w:p>
            <w:pPr>
              <w:pStyle w:val="947"/>
              <w:jc w:val="center"/>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tc>
        <w:tc>
          <w:tcPr>
            <w:tcW w:w="1168"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合理化建议</w:t>
            </w:r>
            <w:r>
              <w:rPr>
                <w:rFonts w:hint="eastAsia" w:ascii="宋体" w:hAnsi="宋体" w:cs="宋体"/>
                <w:color w:val="000000"/>
                <w:szCs w:val="21"/>
                <w:highlight w:val="none"/>
              </w:rPr>
            </w:r>
            <w:r/>
          </w:p>
        </w:tc>
        <w:tc>
          <w:tcPr>
            <w:tcW w:w="6925" w:type="dxa"/>
            <w:vAlign w:val="center"/>
            <w:textDirection w:val="lrTb"/>
            <w:noWrap w:val="false"/>
          </w:tcPr>
          <w:p>
            <w:pPr>
              <w:pStyle w:val="947"/>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投标人针对小区日常垃圾分类收运，在满足采购需求情况下提出的有利于提高服务质量的合理化建议，建议切实可行且对采购人有较大利处</w:t>
            </w:r>
            <w:r>
              <w:rPr>
                <w:rFonts w:hint="eastAsia" w:ascii="宋体" w:hAnsi="宋体" w:cs="宋体"/>
                <w:bCs/>
                <w:color w:val="000000"/>
                <w:szCs w:val="21"/>
                <w:highlight w:val="none"/>
              </w:rPr>
              <w:t xml:space="preserve">的，每项得1分，最高得3分。</w:t>
            </w:r>
            <w:r>
              <w:rPr>
                <w:rFonts w:hint="eastAsia" w:ascii="宋体" w:hAnsi="宋体" w:cs="宋体"/>
                <w:color w:val="000000"/>
                <w:szCs w:val="21"/>
                <w:highlight w:val="none"/>
              </w:rPr>
            </w:r>
            <w:r/>
          </w:p>
        </w:tc>
        <w:tc>
          <w:tcPr>
            <w:tcW w:w="658"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r>
      <w:tr>
        <w:trPr>
          <w:trHeight w:val="794"/>
        </w:trPr>
        <w:tc>
          <w:tcPr>
            <w:tcW w:w="1140" w:type="dxa"/>
            <w:vAlign w:val="center"/>
            <w:vMerge w:val="continue"/>
            <w:textDirection w:val="lrTb"/>
            <w:noWrap w:val="false"/>
          </w:tcPr>
          <w:p>
            <w:pPr>
              <w:pStyle w:val="947"/>
              <w:jc w:val="center"/>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tc>
        <w:tc>
          <w:tcPr>
            <w:tcW w:w="1168" w:type="dxa"/>
            <w:vAlign w:val="center"/>
            <w:textDirection w:val="lrTb"/>
            <w:noWrap w:val="false"/>
          </w:tcPr>
          <w:p>
            <w:pPr>
              <w:pStyle w:val="1046"/>
              <w:ind w:firstLine="0"/>
              <w:jc w:val="center"/>
              <w:spacing w:line="360" w:lineRule="auto"/>
              <w:rPr>
                <w:rFonts w:hint="eastAsia" w:hAnsi="宋体"/>
                <w:b/>
                <w:color w:val="000000"/>
                <w:szCs w:val="21"/>
                <w:highlight w:val="none"/>
              </w:rPr>
            </w:pPr>
            <w:r>
              <w:rPr>
                <w:rFonts w:hint="eastAsia" w:hAnsi="宋体"/>
                <w:b/>
                <w:color w:val="000000"/>
                <w:szCs w:val="21"/>
                <w:highlight w:val="none"/>
              </w:rPr>
              <w:t xml:space="preserve">▲人员配置</w:t>
            </w:r>
            <w:r>
              <w:rPr>
                <w:rFonts w:hint="eastAsia" w:hAnsi="宋体"/>
                <w:b/>
                <w:color w:val="000000"/>
                <w:szCs w:val="21"/>
                <w:highlight w:val="none"/>
              </w:rPr>
            </w:r>
            <w:r/>
          </w:p>
        </w:tc>
        <w:tc>
          <w:tcPr>
            <w:tcW w:w="6925" w:type="dxa"/>
            <w:vAlign w:val="center"/>
            <w:textDirection w:val="lrTb"/>
            <w:noWrap w:val="false"/>
          </w:tcPr>
          <w:p>
            <w:pPr>
              <w:pStyle w:val="1046"/>
              <w:ind w:firstLine="0"/>
              <w:jc w:val="left"/>
              <w:spacing w:line="360" w:lineRule="auto"/>
              <w:rPr>
                <w:rFonts w:hint="eastAsia" w:hAnsi="宋体" w:cs="宋体"/>
                <w:bCs/>
                <w:color w:val="000000"/>
                <w:szCs w:val="21"/>
                <w:highlight w:val="none"/>
                <w:lang w:val="zh-CN"/>
              </w:rPr>
            </w:pPr>
            <w:r>
              <w:rPr>
                <w:rFonts w:hint="eastAsia" w:hAnsi="宋体" w:cs="宋体"/>
                <w:bCs/>
                <w:color w:val="000000"/>
                <w:szCs w:val="21"/>
                <w:highlight w:val="none"/>
                <w:lang w:val="zh-CN"/>
              </w:rPr>
              <w:t xml:space="preserve">投标人拟投入本项目人员中:</w:t>
            </w:r>
            <w:r>
              <w:rPr>
                <w:rFonts w:hint="eastAsia" w:hAnsi="宋体" w:cs="宋体"/>
                <w:bCs/>
                <w:color w:val="000000"/>
                <w:szCs w:val="21"/>
                <w:highlight w:val="none"/>
                <w:lang w:val="zh-CN"/>
              </w:rPr>
            </w:r>
            <w:r/>
          </w:p>
          <w:p>
            <w:pPr>
              <w:pStyle w:val="1046"/>
              <w:ind w:firstLine="0"/>
              <w:jc w:val="left"/>
              <w:spacing w:line="360" w:lineRule="auto"/>
              <w:rPr>
                <w:rFonts w:hint="eastAsia" w:hAnsi="宋体" w:cs="宋体"/>
                <w:bCs/>
                <w:color w:val="000000"/>
                <w:szCs w:val="21"/>
                <w:highlight w:val="none"/>
                <w:lang w:val="zh-CN"/>
              </w:rPr>
            </w:pPr>
            <w:r>
              <w:rPr>
                <w:rFonts w:hint="eastAsia" w:hAnsi="宋体" w:cs="宋体"/>
                <w:bCs/>
                <w:color w:val="000000"/>
                <w:szCs w:val="21"/>
                <w:highlight w:val="none"/>
                <w:lang w:val="zh-CN"/>
              </w:rPr>
              <w:t xml:space="preserve">1.项目负责人具有</w:t>
            </w:r>
            <w:r>
              <w:rPr>
                <w:rFonts w:hint="eastAsia" w:hAnsi="宋体" w:cs="宋体"/>
                <w:bCs/>
                <w:color w:val="000000"/>
                <w:szCs w:val="21"/>
                <w:highlight w:val="none"/>
              </w:rPr>
              <w:t xml:space="preserve">全日制</w:t>
            </w:r>
            <w:r>
              <w:rPr>
                <w:rFonts w:hint="eastAsia" w:hAnsi="宋体" w:cs="宋体"/>
                <w:bCs/>
                <w:color w:val="000000"/>
                <w:szCs w:val="21"/>
                <w:highlight w:val="none"/>
                <w:lang w:val="zh-CN"/>
              </w:rPr>
              <w:t xml:space="preserve">本科(含)及以上学历，2分；本科以下的得1分；</w:t>
            </w:r>
            <w:r>
              <w:rPr>
                <w:rFonts w:hint="eastAsia" w:hAnsi="宋体" w:cs="宋体"/>
                <w:bCs/>
                <w:color w:val="000000"/>
                <w:szCs w:val="21"/>
                <w:highlight w:val="none"/>
                <w:lang w:val="zh-CN"/>
              </w:rPr>
            </w:r>
            <w:r/>
          </w:p>
          <w:p>
            <w:pPr>
              <w:pStyle w:val="1046"/>
              <w:ind w:firstLine="0"/>
              <w:jc w:val="left"/>
              <w:spacing w:line="360" w:lineRule="auto"/>
              <w:rPr>
                <w:rFonts w:hint="eastAsia" w:hAnsi="宋体" w:cs="宋体"/>
                <w:bCs/>
                <w:color w:val="000000"/>
                <w:szCs w:val="21"/>
                <w:highlight w:val="none"/>
                <w:lang w:val="zh-CN"/>
              </w:rPr>
            </w:pPr>
            <w:r>
              <w:rPr>
                <w:rFonts w:hint="eastAsia" w:hAnsi="宋体" w:cs="宋体"/>
                <w:bCs/>
                <w:color w:val="000000"/>
                <w:szCs w:val="21"/>
                <w:highlight w:val="none"/>
                <w:lang w:val="zh-CN"/>
              </w:rPr>
              <w:t xml:space="preserve">2.具有安全员培训证书，每证得1分，最高得3分；</w:t>
            </w:r>
            <w:r>
              <w:rPr>
                <w:rFonts w:hint="eastAsia" w:hAnsi="宋体" w:cs="宋体"/>
                <w:bCs/>
                <w:color w:val="000000"/>
                <w:szCs w:val="21"/>
                <w:highlight w:val="none"/>
                <w:lang w:val="zh-CN"/>
              </w:rPr>
            </w:r>
            <w:r/>
          </w:p>
          <w:p>
            <w:pPr>
              <w:pStyle w:val="1046"/>
              <w:ind w:firstLine="0"/>
              <w:jc w:val="left"/>
              <w:spacing w:line="360" w:lineRule="auto"/>
              <w:rPr>
                <w:rFonts w:hint="eastAsia" w:hAnsi="宋体" w:cs="宋体"/>
                <w:bCs/>
                <w:color w:val="000000"/>
                <w:szCs w:val="21"/>
                <w:highlight w:val="none"/>
                <w:lang w:val="zh-CN"/>
              </w:rPr>
            </w:pPr>
            <w:r>
              <w:rPr>
                <w:rFonts w:hint="eastAsia" w:hAnsi="宋体" w:cs="宋体"/>
                <w:bCs/>
                <w:color w:val="000000"/>
                <w:szCs w:val="21"/>
                <w:highlight w:val="none"/>
                <w:lang w:val="zh-CN"/>
              </w:rPr>
              <w:t xml:space="preserve">3.具有中级及以上职称，每证得1分，最高得1分；</w:t>
            </w:r>
            <w:r>
              <w:rPr>
                <w:rFonts w:hint="eastAsia" w:hAnsi="宋体" w:cs="宋体"/>
                <w:bCs/>
                <w:color w:val="000000"/>
                <w:szCs w:val="21"/>
                <w:highlight w:val="none"/>
                <w:lang w:val="zh-CN"/>
              </w:rPr>
            </w:r>
            <w:r/>
          </w:p>
          <w:p>
            <w:pPr>
              <w:pStyle w:val="1046"/>
              <w:ind w:firstLine="0"/>
              <w:jc w:val="left"/>
              <w:spacing w:line="360" w:lineRule="auto"/>
              <w:rPr>
                <w:rFonts w:hint="eastAsia" w:hAnsi="宋体" w:cs="宋体"/>
                <w:b/>
                <w:bCs/>
                <w:color w:val="000000"/>
                <w:szCs w:val="21"/>
                <w:highlight w:val="none"/>
              </w:rPr>
            </w:pPr>
            <w:r>
              <w:rPr>
                <w:rFonts w:hint="eastAsia" w:hAnsi="宋体" w:cs="宋体"/>
                <w:bCs/>
                <w:color w:val="000000"/>
                <w:szCs w:val="21"/>
                <w:highlight w:val="none"/>
                <w:lang w:val="zh-CN"/>
              </w:rPr>
              <w:t xml:space="preserve">注:1提供项目负责人学历、学位证书;2提供安全员证书;3提供职称证书。以上人员须提供投标人近期为其缴纳的社保证明材料。</w:t>
            </w:r>
            <w:r>
              <w:rPr>
                <w:rFonts w:hint="eastAsia" w:hAnsi="宋体" w:cs="宋体"/>
                <w:b/>
                <w:bCs/>
                <w:color w:val="000000"/>
                <w:szCs w:val="21"/>
                <w:highlight w:val="none"/>
              </w:rPr>
            </w:r>
            <w:r/>
          </w:p>
        </w:tc>
        <w:tc>
          <w:tcPr>
            <w:tcW w:w="65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6</w:t>
            </w:r>
            <w:r>
              <w:rPr>
                <w:rFonts w:hint="eastAsia" w:hAnsi="宋体" w:cs="宋体"/>
                <w:color w:val="000000"/>
                <w:szCs w:val="21"/>
                <w:highlight w:val="none"/>
              </w:rPr>
            </w:r>
            <w:r/>
          </w:p>
        </w:tc>
      </w:tr>
      <w:tr>
        <w:trPr>
          <w:trHeight w:val="842"/>
        </w:trPr>
        <w:tc>
          <w:tcPr>
            <w:tcW w:w="1140" w:type="dxa"/>
            <w:vAlign w:val="center"/>
            <w:vMerge w:val="continue"/>
            <w:textDirection w:val="lrTb"/>
            <w:noWrap w:val="false"/>
          </w:tcPr>
          <w:p>
            <w:pPr>
              <w:pStyle w:val="947"/>
              <w:jc w:val="center"/>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tc>
        <w:tc>
          <w:tcPr>
            <w:tcW w:w="1168" w:type="dxa"/>
            <w:vAlign w:val="center"/>
            <w:textDirection w:val="lrTb"/>
            <w:noWrap w:val="false"/>
          </w:tcPr>
          <w:p>
            <w:pPr>
              <w:pStyle w:val="1046"/>
              <w:ind w:firstLine="0"/>
              <w:spacing w:line="360" w:lineRule="auto"/>
              <w:rPr>
                <w:rFonts w:hint="eastAsia" w:hAnsi="宋体" w:cs="宋体"/>
                <w:color w:val="000000"/>
                <w:szCs w:val="21"/>
                <w:highlight w:val="none"/>
              </w:rPr>
            </w:pPr>
            <w:r>
              <w:rPr>
                <w:rFonts w:hint="eastAsia" w:hAnsi="宋体"/>
                <w:b/>
                <w:color w:val="000000"/>
                <w:szCs w:val="21"/>
                <w:highlight w:val="none"/>
              </w:rPr>
              <w:t xml:space="preserve">▲</w:t>
            </w:r>
            <w:r>
              <w:rPr>
                <w:rFonts w:hint="eastAsia" w:hAnsi="宋体" w:cs="宋体"/>
                <w:color w:val="000000"/>
                <w:szCs w:val="21"/>
                <w:highlight w:val="none"/>
              </w:rPr>
              <w:t xml:space="preserve">车辆配备情况</w:t>
            </w:r>
            <w:r>
              <w:rPr>
                <w:rFonts w:hint="eastAsia" w:hAnsi="宋体" w:cs="宋体"/>
                <w:color w:val="000000"/>
                <w:szCs w:val="21"/>
                <w:highlight w:val="none"/>
              </w:rPr>
            </w:r>
            <w:r/>
          </w:p>
        </w:tc>
        <w:tc>
          <w:tcPr>
            <w:tcW w:w="6925" w:type="dxa"/>
            <w:vAlign w:val="center"/>
            <w:textDirection w:val="lrTb"/>
            <w:noWrap w:val="false"/>
          </w:tcPr>
          <w:p>
            <w:pPr>
              <w:pStyle w:val="1046"/>
              <w:ind w:firstLine="0"/>
              <w:jc w:val="left"/>
              <w:spacing w:line="360" w:lineRule="auto"/>
              <w:tabs>
                <w:tab w:val="center" w:pos="3577" w:leader="none"/>
              </w:tabs>
              <w:rPr>
                <w:rFonts w:hint="eastAsia" w:hAnsi="宋体" w:cs="宋体"/>
                <w:color w:val="000000"/>
                <w:szCs w:val="21"/>
                <w:highlight w:val="none"/>
              </w:rPr>
            </w:pPr>
            <w:r>
              <w:rPr>
                <w:rFonts w:hint="eastAsia" w:hAnsi="宋体" w:cs="宋体"/>
                <w:color w:val="000000"/>
                <w:szCs w:val="21"/>
                <w:highlight w:val="none"/>
              </w:rPr>
              <w:t xml:space="preserve">1.中标后配置满足招标要求的【</w:t>
            </w:r>
            <w:r>
              <w:rPr>
                <w:rFonts w:hint="eastAsia" w:hAnsi="宋体"/>
                <w:color w:val="000000"/>
                <w:szCs w:val="21"/>
                <w:highlight w:val="none"/>
              </w:rPr>
              <w:t xml:space="preserve">额定载质量</w:t>
            </w:r>
            <w:r>
              <w:rPr>
                <w:rFonts w:hint="eastAsia" w:hAnsi="宋体" w:cs="宋体"/>
                <w:color w:val="000000"/>
                <w:szCs w:val="21"/>
                <w:highlight w:val="none"/>
              </w:rPr>
              <w:t xml:space="preserve">7.5吨车（后压式）】车的得2分；</w:t>
            </w:r>
            <w:r>
              <w:rPr>
                <w:rFonts w:hint="eastAsia" w:hAnsi="宋体" w:cs="宋体"/>
                <w:color w:val="000000"/>
                <w:szCs w:val="21"/>
                <w:highlight w:val="none"/>
              </w:rPr>
            </w:r>
            <w:r/>
          </w:p>
          <w:p>
            <w:pPr>
              <w:pStyle w:val="1046"/>
              <w:ind w:firstLine="0"/>
              <w:jc w:val="left"/>
              <w:spacing w:line="360" w:lineRule="auto"/>
              <w:tabs>
                <w:tab w:val="center" w:pos="3577" w:leader="none"/>
              </w:tabs>
              <w:rPr>
                <w:rFonts w:hint="eastAsia" w:hAnsi="宋体" w:cs="宋体"/>
                <w:color w:val="000000"/>
                <w:szCs w:val="21"/>
                <w:highlight w:val="none"/>
              </w:rPr>
            </w:pPr>
            <w:r>
              <w:rPr>
                <w:rFonts w:hint="eastAsia" w:hAnsi="宋体" w:cs="宋体"/>
                <w:color w:val="000000"/>
                <w:szCs w:val="21"/>
                <w:highlight w:val="none"/>
              </w:rPr>
              <w:t xml:space="preserve">2.中标后配置满足招标要求的(额定载质量13.5吨勾臂车)的得2分；</w:t>
            </w:r>
            <w:r>
              <w:rPr>
                <w:rFonts w:hint="eastAsia" w:hAnsi="宋体" w:cs="宋体"/>
                <w:color w:val="000000"/>
                <w:szCs w:val="21"/>
                <w:highlight w:val="none"/>
              </w:rPr>
            </w:r>
            <w:r/>
          </w:p>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3.中标后配置满足招标要求的厨余垃圾车(</w:t>
            </w:r>
            <w:r>
              <w:rPr>
                <w:rFonts w:hint="eastAsia" w:ascii="宋体" w:hAnsi="宋体"/>
                <w:color w:val="000000"/>
                <w:szCs w:val="21"/>
                <w:highlight w:val="none"/>
              </w:rPr>
              <w:t xml:space="preserve">额定载质量</w:t>
            </w:r>
            <w:r>
              <w:rPr>
                <w:rFonts w:hint="eastAsia" w:ascii="宋体" w:hAnsi="宋体" w:cs="宋体"/>
                <w:color w:val="000000"/>
                <w:szCs w:val="21"/>
                <w:highlight w:val="none"/>
              </w:rPr>
              <w:t xml:space="preserve">3吨车厨余垃圾车)的得2分；</w:t>
            </w:r>
            <w:r>
              <w:rPr>
                <w:rFonts w:hint="eastAsia" w:ascii="宋体" w:hAnsi="宋体" w:cs="宋体"/>
                <w:color w:val="000000"/>
                <w:szCs w:val="21"/>
                <w:highlight w:val="none"/>
              </w:rPr>
            </w:r>
            <w:r/>
          </w:p>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4.中标后配置满足招标要求的厨余垃圾车(</w:t>
            </w:r>
            <w:r>
              <w:rPr>
                <w:rFonts w:hint="eastAsia" w:ascii="宋体" w:hAnsi="宋体"/>
                <w:color w:val="000000"/>
                <w:szCs w:val="21"/>
                <w:highlight w:val="none"/>
              </w:rPr>
              <w:t xml:space="preserve">额定载质量</w:t>
            </w:r>
            <w:r>
              <w:rPr>
                <w:rFonts w:hint="eastAsia" w:ascii="宋体" w:hAnsi="宋体" w:cs="宋体"/>
                <w:color w:val="000000"/>
                <w:szCs w:val="21"/>
                <w:highlight w:val="none"/>
              </w:rPr>
              <w:t xml:space="preserve">2.5吨车其他垃圾车)的得2分；</w:t>
            </w:r>
            <w:r>
              <w:rPr>
                <w:rFonts w:hint="eastAsia" w:ascii="宋体" w:hAnsi="宋体" w:cs="宋体"/>
                <w:color w:val="000000"/>
                <w:szCs w:val="21"/>
                <w:highlight w:val="none"/>
              </w:rPr>
            </w:r>
            <w:r/>
          </w:p>
          <w:p>
            <w:pPr>
              <w:pStyle w:val="94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5.中标后配置满足招标要求的厨余垃圾车(</w:t>
            </w:r>
            <w:r>
              <w:rPr>
                <w:rFonts w:hint="eastAsia" w:ascii="宋体" w:hAnsi="宋体"/>
                <w:color w:val="000000"/>
                <w:szCs w:val="21"/>
                <w:highlight w:val="none"/>
              </w:rPr>
              <w:t xml:space="preserve">额定载质量</w:t>
            </w:r>
            <w:r>
              <w:rPr>
                <w:rFonts w:hint="eastAsia" w:ascii="宋体" w:hAnsi="宋体" w:cs="宋体"/>
                <w:color w:val="000000"/>
                <w:szCs w:val="21"/>
                <w:highlight w:val="none"/>
              </w:rPr>
              <w:t xml:space="preserve">5吨车其他垃圾车)的得2分；</w:t>
            </w:r>
            <w:r>
              <w:rPr>
                <w:rFonts w:hint="eastAsia" w:ascii="宋体" w:hAnsi="宋体" w:cs="宋体"/>
                <w:color w:val="000000"/>
                <w:szCs w:val="21"/>
                <w:highlight w:val="none"/>
              </w:rPr>
            </w:r>
            <w:r/>
          </w:p>
          <w:p>
            <w:pPr>
              <w:pStyle w:val="94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6.中标后配置满足招标要求其他车辆（如需）的得2分。</w:t>
            </w:r>
            <w:r>
              <w:rPr>
                <w:rFonts w:ascii="宋体" w:hAnsi="宋体" w:cs="宋体"/>
                <w:color w:val="000000"/>
                <w:szCs w:val="21"/>
                <w:highlight w:val="none"/>
              </w:rPr>
            </w:r>
            <w:r/>
          </w:p>
          <w:p>
            <w:pPr>
              <w:pStyle w:val="947"/>
              <w:ind w:right="-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注：①</w:t>
            </w:r>
            <w:r>
              <w:rPr>
                <w:rFonts w:hint="eastAsia" w:ascii="宋体" w:hAnsi="宋体"/>
                <w:color w:val="000000"/>
                <w:szCs w:val="21"/>
                <w:highlight w:val="none"/>
              </w:rPr>
              <w:t xml:space="preserve">车辆额定载质量可以根据车辆规格型号上下浮动10%；</w:t>
            </w:r>
            <w:r>
              <w:rPr>
                <w:rFonts w:hint="eastAsia" w:ascii="宋体" w:hAnsi="宋体" w:cs="宋体"/>
                <w:b/>
                <w:bCs/>
                <w:color w:val="000000"/>
                <w:szCs w:val="21"/>
                <w:highlight w:val="none"/>
              </w:rPr>
            </w:r>
            <w:r/>
          </w:p>
          <w:p>
            <w:pPr>
              <w:pStyle w:val="947"/>
              <w:ind w:right="-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②现自有的，投标文件中提供车辆的正面照片、购置发票、行驶证(机动车提供)、机动车登记证书（缺一不可），否则对应车辆不得分；租赁的，投标文件中提供车辆的正面照片、租赁合同、行驶证(机动车提供)、机动车登记证书（缺一不可），否则对应车辆不得分。</w:t>
            </w:r>
            <w:r>
              <w:rPr>
                <w:rFonts w:hint="eastAsia" w:ascii="宋体" w:hAnsi="宋体" w:cs="宋体"/>
                <w:b/>
                <w:bCs/>
                <w:color w:val="000000"/>
                <w:szCs w:val="21"/>
                <w:highlight w:val="none"/>
              </w:rPr>
            </w:r>
            <w:r/>
          </w:p>
          <w:p>
            <w:pPr>
              <w:pStyle w:val="1046"/>
              <w:ind w:firstLine="0"/>
              <w:spacing w:line="360" w:lineRule="auto"/>
              <w:rPr>
                <w:rFonts w:hint="eastAsia" w:hAnsi="宋体" w:cs="宋体"/>
                <w:color w:val="000000"/>
                <w:szCs w:val="21"/>
                <w:highlight w:val="none"/>
              </w:rPr>
            </w:pPr>
            <w:r>
              <w:rPr>
                <w:rFonts w:hint="eastAsia" w:hAnsi="宋体" w:cs="宋体"/>
                <w:b/>
                <w:bCs/>
                <w:color w:val="000000"/>
                <w:szCs w:val="21"/>
                <w:highlight w:val="none"/>
              </w:rPr>
              <w:t xml:space="preserve">③承诺中标合同签订后</w:t>
            </w:r>
            <w:r>
              <w:rPr>
                <w:rFonts w:hint="eastAsia" w:hAnsi="宋体"/>
                <w:b/>
                <w:bCs/>
                <w:color w:val="000000"/>
                <w:szCs w:val="21"/>
                <w:highlight w:val="none"/>
              </w:rPr>
              <w:t xml:space="preserve">在进场前15天配置满足招标要求的车辆</w:t>
            </w:r>
            <w:r>
              <w:rPr>
                <w:rFonts w:hint="eastAsia" w:hAnsi="宋体" w:cs="宋体"/>
                <w:b/>
                <w:bCs/>
                <w:color w:val="000000"/>
                <w:szCs w:val="21"/>
                <w:highlight w:val="none"/>
              </w:rPr>
              <w:t xml:space="preserve">，投标文件中提供承诺书，不承诺不得分。</w:t>
            </w:r>
            <w:r>
              <w:rPr>
                <w:rFonts w:hint="eastAsia" w:hAnsi="宋体" w:cs="宋体"/>
                <w:color w:val="000000"/>
                <w:szCs w:val="21"/>
                <w:highlight w:val="none"/>
              </w:rPr>
            </w:r>
            <w:r/>
          </w:p>
        </w:tc>
        <w:tc>
          <w:tcPr>
            <w:tcW w:w="658" w:type="dxa"/>
            <w:vAlign w:val="center"/>
            <w:textDirection w:val="lrTb"/>
            <w:noWrap w:val="false"/>
          </w:tcPr>
          <w:p>
            <w:pPr>
              <w:pStyle w:val="1046"/>
              <w:ind w:firstLine="0"/>
              <w:jc w:val="center"/>
              <w:spacing w:line="360" w:lineRule="auto"/>
              <w:rPr>
                <w:rFonts w:hint="eastAsia" w:hAnsi="宋体" w:cs="宋体"/>
                <w:color w:val="000000"/>
                <w:szCs w:val="21"/>
                <w:highlight w:val="none"/>
              </w:rPr>
            </w:pPr>
            <w:r>
              <w:rPr>
                <w:rFonts w:hint="eastAsia" w:hAnsi="宋体" w:cs="宋体"/>
                <w:color w:val="000000"/>
                <w:szCs w:val="21"/>
                <w:highlight w:val="none"/>
              </w:rPr>
              <w:t xml:space="preserve">12</w:t>
            </w:r>
            <w:r>
              <w:rPr>
                <w:rFonts w:hint="eastAsia" w:hAnsi="宋体" w:cs="宋体"/>
                <w:color w:val="000000"/>
                <w:szCs w:val="21"/>
                <w:highlight w:val="none"/>
              </w:rPr>
            </w:r>
            <w:r/>
          </w:p>
        </w:tc>
      </w:tr>
      <w:tr>
        <w:trPr>
          <w:trHeight w:val="994"/>
        </w:trPr>
        <w:tc>
          <w:tcPr>
            <w:tcW w:w="1140" w:type="dxa"/>
            <w:vAlign w:val="center"/>
            <w:vMerge w:val="continue"/>
            <w:textDirection w:val="lrTb"/>
            <w:noWrap w:val="false"/>
          </w:tcPr>
          <w:p>
            <w:pPr>
              <w:pStyle w:val="947"/>
              <w:jc w:val="center"/>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tc>
        <w:tc>
          <w:tcPr>
            <w:tcW w:w="1168" w:type="dxa"/>
            <w:vAlign w:val="center"/>
            <w:textDirection w:val="lrTb"/>
            <w:noWrap w:val="false"/>
          </w:tcPr>
          <w:p>
            <w:pPr>
              <w:pStyle w:val="1408"/>
              <w:ind w:firstLine="0"/>
              <w:jc w:val="center"/>
              <w:spacing w:line="360" w:lineRule="auto"/>
              <w:rPr>
                <w:rFonts w:hint="eastAsia" w:ascii="宋体" w:hAnsi="宋体" w:eastAsia="宋体" w:cs="宋体"/>
                <w:bCs/>
                <w:color w:val="000000"/>
                <w:sz w:val="21"/>
                <w:szCs w:val="21"/>
                <w:highlight w:val="none"/>
              </w:rPr>
            </w:pPr>
            <w:r/>
            <w:bookmarkStart w:id="45" w:name="OLE_LINK16"/>
            <w:r>
              <w:rPr>
                <w:rFonts w:hint="eastAsia" w:ascii="宋体" w:hAnsi="宋体" w:eastAsia="宋体"/>
                <w:b/>
                <w:color w:val="000000"/>
                <w:sz w:val="21"/>
                <w:szCs w:val="21"/>
                <w:highlight w:val="none"/>
              </w:rPr>
              <w:t xml:space="preserve">▲</w:t>
            </w:r>
            <w:r>
              <w:rPr>
                <w:rFonts w:hint="eastAsia" w:ascii="宋体" w:hAnsi="宋体" w:eastAsia="宋体" w:cs="宋体"/>
                <w:bCs/>
                <w:color w:val="000000"/>
                <w:sz w:val="21"/>
                <w:szCs w:val="21"/>
                <w:highlight w:val="none"/>
              </w:rPr>
              <w:t xml:space="preserve">体系认证</w:t>
            </w:r>
            <w:bookmarkEnd w:id="45"/>
            <w:r>
              <w:rPr>
                <w:rFonts w:hint="eastAsia" w:ascii="宋体" w:hAnsi="宋体" w:eastAsia="宋体" w:cs="宋体"/>
                <w:bCs/>
                <w:color w:val="000000"/>
                <w:sz w:val="21"/>
                <w:szCs w:val="21"/>
                <w:highlight w:val="none"/>
              </w:rPr>
            </w:r>
            <w:r/>
          </w:p>
        </w:tc>
        <w:tc>
          <w:tcPr>
            <w:tcW w:w="6925" w:type="dxa"/>
            <w:vAlign w:val="center"/>
            <w:textDirection w:val="lrTb"/>
            <w:noWrap w:val="false"/>
          </w:tcPr>
          <w:p>
            <w:pPr>
              <w:pStyle w:val="1408"/>
              <w:ind w:firstLine="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投标人具有有效期内的质量管理体系认证、环境管理体系认证、职业健康安全管理体系认证证书，每提供一项得</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zh-CN"/>
              </w:rPr>
              <w:t xml:space="preserve">分，最高3分。</w:t>
            </w:r>
            <w:r>
              <w:rPr>
                <w:rFonts w:hint="eastAsia" w:ascii="宋体" w:hAnsi="宋体" w:eastAsia="宋体" w:cs="宋体"/>
                <w:bCs/>
                <w:color w:val="000000"/>
                <w:sz w:val="21"/>
                <w:szCs w:val="21"/>
                <w:highlight w:val="none"/>
                <w:lang w:val="zh-CN"/>
              </w:rPr>
            </w:r>
            <w:r/>
          </w:p>
          <w:p>
            <w:pPr>
              <w:pStyle w:val="1408"/>
              <w:ind w:firstLine="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注：提供认证证书和该证书在中国国家认证认可监督管理委员会官网查询有效截图，未按上述要求提供资料的不得分。</w:t>
            </w:r>
            <w:r>
              <w:rPr>
                <w:rFonts w:hint="eastAsia" w:ascii="宋体" w:hAnsi="宋体" w:eastAsia="宋体" w:cs="宋体"/>
                <w:b/>
                <w:bCs/>
                <w:color w:val="000000"/>
                <w:sz w:val="21"/>
                <w:szCs w:val="21"/>
                <w:highlight w:val="none"/>
              </w:rPr>
            </w:r>
            <w:r/>
          </w:p>
        </w:tc>
        <w:tc>
          <w:tcPr>
            <w:tcW w:w="658"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r>
      <w:tr>
        <w:trPr>
          <w:trHeight w:val="994"/>
        </w:trPr>
        <w:tc>
          <w:tcPr>
            <w:tcW w:w="1140" w:type="dxa"/>
            <w:vAlign w:val="center"/>
            <w:vMerge w:val="continue"/>
            <w:textDirection w:val="lrTb"/>
            <w:noWrap w:val="false"/>
          </w:tcPr>
          <w:p>
            <w:pPr>
              <w:pStyle w:val="947"/>
              <w:jc w:val="center"/>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tc>
        <w:tc>
          <w:tcPr>
            <w:tcW w:w="1168" w:type="dxa"/>
            <w:vAlign w:val="center"/>
            <w:textDirection w:val="lrTb"/>
            <w:noWrap w:val="false"/>
          </w:tcPr>
          <w:p>
            <w:pPr>
              <w:pStyle w:val="947"/>
              <w:spacing w:line="360" w:lineRule="auto"/>
              <w:rPr>
                <w:rFonts w:ascii="宋体" w:hAnsi="宋体" w:cs="宋体"/>
                <w:color w:val="000000"/>
                <w:szCs w:val="21"/>
                <w:highlight w:val="none"/>
              </w:rPr>
            </w:pPr>
            <w:r>
              <w:rPr>
                <w:rFonts w:hint="eastAsia" w:ascii="宋体" w:hAnsi="宋体"/>
                <w:b/>
                <w:color w:val="000000"/>
                <w:szCs w:val="21"/>
                <w:highlight w:val="none"/>
              </w:rPr>
              <w:t xml:space="preserve">▲</w:t>
            </w:r>
            <w:r>
              <w:rPr>
                <w:rFonts w:hint="eastAsia" w:ascii="宋体" w:hAnsi="宋体" w:cs="宋体"/>
                <w:color w:val="000000"/>
                <w:szCs w:val="21"/>
                <w:highlight w:val="none"/>
              </w:rPr>
              <w:t xml:space="preserve">停车场及办公场所承诺</w:t>
            </w:r>
            <w:r>
              <w:rPr>
                <w:rFonts w:ascii="宋体" w:hAnsi="宋体" w:cs="宋体"/>
                <w:color w:val="000000"/>
                <w:szCs w:val="21"/>
                <w:highlight w:val="none"/>
              </w:rPr>
            </w:r>
            <w:r/>
          </w:p>
        </w:tc>
        <w:tc>
          <w:tcPr>
            <w:tcW w:w="6925" w:type="dxa"/>
            <w:vAlign w:val="center"/>
            <w:textDirection w:val="lrTb"/>
            <w:noWrap w:val="false"/>
          </w:tcPr>
          <w:p>
            <w:pPr>
              <w:pStyle w:val="947"/>
              <w:spacing w:line="360" w:lineRule="auto"/>
              <w:rPr>
                <w:rFonts w:ascii="宋体" w:hAnsi="宋体" w:cs="宋体"/>
                <w:color w:val="000000"/>
                <w:szCs w:val="21"/>
                <w:highlight w:val="none"/>
              </w:rPr>
            </w:pPr>
            <w:r>
              <w:rPr>
                <w:rFonts w:ascii="宋体" w:hAnsi="宋体" w:cs="宋体"/>
                <w:color w:val="000000"/>
                <w:szCs w:val="21"/>
                <w:highlight w:val="none"/>
              </w:rPr>
              <w:t xml:space="preserve">投标人须提供</w:t>
            </w:r>
            <w:r>
              <w:rPr>
                <w:rFonts w:hint="eastAsia" w:ascii="宋体" w:hAnsi="宋体" w:cs="宋体"/>
                <w:color w:val="000000"/>
                <w:szCs w:val="21"/>
                <w:highlight w:val="none"/>
              </w:rPr>
              <w:t xml:space="preserve">（在项目所在地）</w:t>
            </w:r>
            <w:r>
              <w:rPr>
                <w:rFonts w:ascii="宋体" w:hAnsi="宋体" w:cs="宋体"/>
                <w:color w:val="000000"/>
                <w:szCs w:val="21"/>
                <w:highlight w:val="none"/>
              </w:rPr>
              <w:t xml:space="preserve">满足以下条件的场地承诺函</w:t>
            </w:r>
            <w:r>
              <w:rPr>
                <w:rFonts w:hint="eastAsia" w:ascii="宋体" w:hAnsi="宋体" w:cs="宋体"/>
                <w:color w:val="000000"/>
                <w:szCs w:val="21"/>
                <w:highlight w:val="none"/>
              </w:rPr>
              <w:t xml:space="preserve">，格式自拟</w:t>
            </w:r>
            <w:r>
              <w:rPr>
                <w:rFonts w:ascii="宋体" w:hAnsi="宋体" w:cs="宋体"/>
                <w:color w:val="000000"/>
                <w:szCs w:val="21"/>
                <w:highlight w:val="none"/>
              </w:rPr>
              <w:t xml:space="preserve">，否则不得分：</w:t>
            </w:r>
            <w:r>
              <w:rPr>
                <w:rFonts w:ascii="宋体" w:hAnsi="宋体" w:cs="宋体"/>
                <w:color w:val="000000"/>
                <w:szCs w:val="21"/>
                <w:highlight w:val="none"/>
              </w:rPr>
            </w:r>
            <w:r/>
          </w:p>
          <w:p>
            <w:pPr>
              <w:pStyle w:val="947"/>
              <w:spacing w:line="360" w:lineRule="auto"/>
              <w:rPr>
                <w:rFonts w:ascii="宋体" w:hAnsi="宋体" w:cs="宋体"/>
                <w:color w:val="000000"/>
                <w:szCs w:val="21"/>
                <w:highlight w:val="none"/>
              </w:rPr>
            </w:pPr>
            <w:r>
              <w:rPr>
                <w:rFonts w:ascii="宋体" w:hAnsi="宋体" w:cs="宋体"/>
                <w:color w:val="000000"/>
                <w:szCs w:val="21"/>
                <w:highlight w:val="none"/>
              </w:rPr>
              <w:t xml:space="preserve">（1）停车场：面积不低于2000平方米，地面硬化，具备车辆停放及冲洗条件；</w:t>
            </w:r>
            <w:r>
              <w:rPr>
                <w:rFonts w:hint="eastAsia" w:ascii="宋体" w:hAnsi="宋体" w:cs="宋体"/>
                <w:color w:val="000000"/>
                <w:szCs w:val="21"/>
                <w:highlight w:val="none"/>
              </w:rPr>
              <w:t xml:space="preserve">2分；</w:t>
            </w:r>
            <w:r>
              <w:rPr>
                <w:rFonts w:ascii="宋体" w:hAnsi="宋体" w:cs="宋体"/>
                <w:color w:val="000000"/>
                <w:szCs w:val="21"/>
                <w:highlight w:val="none"/>
              </w:rPr>
            </w:r>
            <w:r/>
          </w:p>
          <w:p>
            <w:pPr>
              <w:pStyle w:val="947"/>
              <w:spacing w:line="360" w:lineRule="auto"/>
              <w:rPr>
                <w:rFonts w:ascii="宋体" w:hAnsi="宋体" w:cs="宋体"/>
                <w:color w:val="000000"/>
                <w:szCs w:val="21"/>
                <w:highlight w:val="none"/>
              </w:rPr>
            </w:pPr>
            <w:r>
              <w:rPr>
                <w:rFonts w:ascii="宋体" w:hAnsi="宋体" w:cs="宋体"/>
                <w:color w:val="000000"/>
                <w:szCs w:val="21"/>
                <w:highlight w:val="none"/>
              </w:rPr>
              <w:t xml:space="preserve">（2）办公场所：面积不低于</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00平方米，具备日常办公及台账管理条件。</w:t>
            </w:r>
            <w:r>
              <w:rPr>
                <w:rFonts w:hint="eastAsia" w:ascii="宋体" w:hAnsi="宋体" w:cs="宋体"/>
                <w:color w:val="000000"/>
                <w:szCs w:val="21"/>
                <w:highlight w:val="none"/>
              </w:rPr>
              <w:t xml:space="preserve">2分；</w:t>
            </w:r>
            <w:r>
              <w:rPr>
                <w:rFonts w:ascii="宋体" w:hAnsi="宋体" w:cs="宋体"/>
                <w:color w:val="000000"/>
                <w:szCs w:val="21"/>
                <w:highlight w:val="none"/>
              </w:rPr>
            </w:r>
            <w:r/>
          </w:p>
          <w:p>
            <w:pPr>
              <w:pStyle w:val="947"/>
              <w:spacing w:line="360" w:lineRule="auto"/>
              <w:rPr>
                <w:rFonts w:ascii="宋体" w:hAnsi="宋体" w:cs="宋体"/>
                <w:color w:val="000000"/>
                <w:szCs w:val="21"/>
                <w:highlight w:val="none"/>
              </w:rPr>
            </w:pPr>
            <w:r>
              <w:rPr>
                <w:rFonts w:ascii="宋体" w:hAnsi="宋体" w:cs="宋体"/>
                <w:color w:val="000000"/>
                <w:szCs w:val="21"/>
                <w:highlight w:val="none"/>
              </w:rPr>
              <w:t xml:space="preserve">（</w:t>
            </w:r>
            <w:r>
              <w:rPr>
                <w:rFonts w:hint="eastAsia" w:ascii="宋体" w:hAnsi="宋体" w:cs="宋体"/>
                <w:color w:val="000000"/>
                <w:szCs w:val="21"/>
                <w:highlight w:val="none"/>
              </w:rPr>
              <w:t xml:space="preserve">承诺合同签订后在进场前15天</w:t>
            </w:r>
            <w:r>
              <w:rPr>
                <w:rFonts w:ascii="宋体" w:hAnsi="宋体" w:cs="宋体"/>
                <w:color w:val="000000"/>
                <w:szCs w:val="21"/>
                <w:highlight w:val="none"/>
              </w:rPr>
              <w:t xml:space="preserve">提交场地权属证明或租赁合同等有效佐证材料供招标人核查，如发现虚假承诺将取消中标资格，并承担由此产生的一切法律责任。）</w:t>
            </w:r>
            <w:r>
              <w:rPr>
                <w:rFonts w:ascii="宋体" w:hAnsi="宋体" w:cs="宋体"/>
                <w:color w:val="000000"/>
                <w:szCs w:val="21"/>
                <w:highlight w:val="none"/>
              </w:rPr>
            </w:r>
            <w:r/>
          </w:p>
        </w:tc>
        <w:tc>
          <w:tcPr>
            <w:tcW w:w="658"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1447"/>
        </w:trPr>
        <w:tc>
          <w:tcPr>
            <w:tcW w:w="1140" w:type="dxa"/>
            <w:vAlign w:val="center"/>
            <w:vMerge w:val="continue"/>
            <w:textDirection w:val="lrTb"/>
            <w:noWrap w:val="false"/>
          </w:tcPr>
          <w:p>
            <w:pPr>
              <w:pStyle w:val="947"/>
              <w:jc w:val="center"/>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tc>
        <w:tc>
          <w:tcPr>
            <w:tcW w:w="1168" w:type="dxa"/>
            <w:vAlign w:val="center"/>
            <w:textDirection w:val="lrTb"/>
            <w:noWrap w:val="false"/>
          </w:tcPr>
          <w:p>
            <w:pPr>
              <w:pStyle w:val="947"/>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w:t>
            </w:r>
            <w:r>
              <w:rPr>
                <w:rFonts w:hint="eastAsia" w:ascii="宋体" w:hAnsi="宋体" w:cs="宋体"/>
                <w:color w:val="000000"/>
                <w:szCs w:val="21"/>
                <w:highlight w:val="none"/>
                <w:lang w:val="zh-CN"/>
              </w:rPr>
              <w:t xml:space="preserve">类似业绩</w:t>
            </w:r>
            <w:r>
              <w:rPr>
                <w:rFonts w:hint="eastAsia" w:ascii="宋体" w:hAnsi="宋体"/>
                <w:b/>
                <w:color w:val="000000"/>
                <w:szCs w:val="21"/>
                <w:highlight w:val="none"/>
              </w:rPr>
            </w:r>
            <w:r/>
          </w:p>
        </w:tc>
        <w:tc>
          <w:tcPr>
            <w:tcW w:w="6925" w:type="dxa"/>
            <w:vAlign w:val="center"/>
            <w:textDirection w:val="lrTb"/>
            <w:noWrap w:val="false"/>
          </w:tcPr>
          <w:p>
            <w:pPr>
              <w:pStyle w:val="1408"/>
              <w:ind w:firstLine="0"/>
              <w:spacing w:line="360" w:lineRule="auto"/>
              <w:widowControl/>
              <w:rPr>
                <w:rFonts w:hint="eastAsia" w:ascii="宋体" w:hAnsi="宋体" w:eastAsia="宋体" w:cs="宋体"/>
                <w:color w:val="000000"/>
                <w:sz w:val="21"/>
                <w:szCs w:val="21"/>
                <w:highlight w:val="none"/>
              </w:rPr>
            </w:pPr>
            <w:r/>
            <w:bookmarkStart w:id="46" w:name="OLE_LINK17"/>
            <w:r>
              <w:rPr>
                <w:rFonts w:hint="eastAsia" w:ascii="宋体" w:hAnsi="宋体" w:eastAsia="宋体" w:cs="宋体"/>
                <w:color w:val="000000"/>
                <w:sz w:val="21"/>
                <w:szCs w:val="21"/>
                <w:highlight w:val="none"/>
              </w:rPr>
              <w:t xml:space="preserve">投标人自2023年1月1日至投标截止日（以合同签订时间为准）承担过的类似项目业绩，每提供一份得1分，最高1分。</w:t>
            </w:r>
            <w:r>
              <w:rPr>
                <w:rFonts w:hint="eastAsia" w:ascii="宋体" w:hAnsi="宋体" w:eastAsia="宋体" w:cs="宋体"/>
                <w:color w:val="000000"/>
                <w:sz w:val="21"/>
                <w:szCs w:val="21"/>
                <w:highlight w:val="none"/>
              </w:rPr>
            </w:r>
            <w:r/>
          </w:p>
          <w:p>
            <w:pPr>
              <w:pStyle w:val="1408"/>
              <w:ind w:firstLine="0"/>
              <w:spacing w:line="360" w:lineRule="auto"/>
              <w:rPr>
                <w:rFonts w:hint="eastAsia" w:ascii="宋体" w:hAnsi="宋体" w:cs="宋体"/>
                <w:bCs/>
                <w:color w:val="000000"/>
                <w:szCs w:val="21"/>
                <w:highlight w:val="none"/>
              </w:rPr>
            </w:pPr>
            <w:r>
              <w:rPr>
                <w:rFonts w:hint="eastAsia" w:ascii="宋体" w:hAnsi="宋体" w:eastAsia="宋体" w:cs="宋体"/>
                <w:b/>
                <w:bCs/>
                <w:color w:val="000000"/>
                <w:sz w:val="21"/>
                <w:szCs w:val="21"/>
                <w:highlight w:val="none"/>
              </w:rPr>
              <w:t xml:space="preserve">注：提供项目合同和部分发票。</w:t>
            </w:r>
            <w:bookmarkEnd w:id="46"/>
            <w:r>
              <w:rPr>
                <w:rFonts w:hint="eastAsia" w:ascii="宋体" w:hAnsi="宋体" w:cs="宋体"/>
                <w:bCs/>
                <w:color w:val="000000"/>
                <w:szCs w:val="21"/>
                <w:highlight w:val="none"/>
              </w:rPr>
            </w:r>
            <w:r/>
          </w:p>
        </w:tc>
        <w:tc>
          <w:tcPr>
            <w:tcW w:w="658" w:type="dxa"/>
            <w:vAlign w:val="center"/>
            <w:textDirection w:val="lrTb"/>
            <w:noWrap w:val="false"/>
          </w:tcPr>
          <w:p>
            <w:pPr>
              <w:pStyle w:val="94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r>
    </w:tbl>
    <w:p>
      <w:pPr>
        <w:pStyle w:val="947"/>
        <w:ind w:firstLine="361"/>
        <w:spacing w:line="360" w:lineRule="auto"/>
        <w:rPr>
          <w:rFonts w:ascii="宋体" w:hAnsi="宋体"/>
          <w:b/>
          <w:color w:val="000000"/>
          <w:szCs w:val="21"/>
          <w:highlight w:val="none"/>
        </w:rPr>
      </w:pPr>
      <w:r/>
      <w:bookmarkEnd w:id="44"/>
      <w:r>
        <w:rPr>
          <w:rFonts w:ascii="宋体" w:hAnsi="宋体"/>
          <w:b/>
          <w:color w:val="000000"/>
          <w:szCs w:val="21"/>
          <w:highlight w:val="none"/>
        </w:rPr>
        <w:t xml:space="preserve">备注：</w:t>
      </w:r>
      <w:r>
        <w:rPr>
          <w:rFonts w:ascii="宋体" w:hAnsi="宋体"/>
          <w:b/>
          <w:color w:val="000000"/>
          <w:szCs w:val="21"/>
          <w:highlight w:val="none"/>
        </w:rPr>
      </w:r>
      <w:r/>
    </w:p>
    <w:p>
      <w:pPr>
        <w:pStyle w:val="947"/>
        <w:numPr>
          <w:ilvl w:val="0"/>
          <w:numId w:val="17"/>
        </w:numPr>
        <w:ind w:firstLine="361"/>
        <w:spacing w:line="360" w:lineRule="auto"/>
        <w:rPr>
          <w:rFonts w:ascii="宋体" w:hAnsi="宋体"/>
          <w:b/>
          <w:color w:val="000000"/>
          <w:szCs w:val="21"/>
          <w:highlight w:val="none"/>
        </w:rPr>
      </w:pPr>
      <w:r>
        <w:rPr>
          <w:rFonts w:ascii="宋体" w:hAnsi="宋体"/>
          <w:b/>
          <w:color w:val="000000"/>
          <w:szCs w:val="21"/>
          <w:highlight w:val="none"/>
        </w:rPr>
        <w:t xml:space="preserve">涉及评审的资料均需电子件形式上传，本项目不收取纸质投标文件及相关原件等纸质材料，仅以投标人提供的电子投标文件为准。</w:t>
      </w:r>
      <w:r>
        <w:rPr>
          <w:rFonts w:ascii="宋体" w:hAnsi="宋体"/>
          <w:b/>
          <w:color w:val="000000"/>
          <w:szCs w:val="21"/>
          <w:highlight w:val="none"/>
        </w:rPr>
      </w:r>
      <w:r/>
    </w:p>
    <w:p>
      <w:pPr>
        <w:pStyle w:val="947"/>
        <w:ind w:firstLine="361"/>
        <w:spacing w:line="360" w:lineRule="auto"/>
        <w:rPr>
          <w:rFonts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t xml:space="preserve">投标文件中的内容需和招标文件相关指标对应绑定，无绑定不得分。</w:t>
      </w:r>
      <w:r>
        <w:rPr>
          <w:rFonts w:ascii="宋体" w:hAnsi="宋体"/>
          <w:b/>
          <w:color w:val="000000"/>
          <w:szCs w:val="21"/>
          <w:highlight w:val="none"/>
        </w:rPr>
      </w:r>
      <w:r/>
    </w:p>
    <w:p>
      <w:pPr>
        <w:pStyle w:val="947"/>
        <w:ind w:firstLine="361"/>
        <w:spacing w:line="360" w:lineRule="auto"/>
        <w:rPr>
          <w:rFonts w:hint="eastAsia" w:ascii="宋体" w:hAnsi="宋体"/>
          <w:b/>
          <w:color w:val="000000"/>
          <w:szCs w:val="21"/>
          <w:highlight w:val="none"/>
        </w:rPr>
      </w:pPr>
      <w:r>
        <w:rPr>
          <w:rFonts w:hint="eastAsia" w:ascii="宋体" w:hAnsi="宋体" w:cs="宋体"/>
          <w:b/>
          <w:color w:val="000000"/>
          <w:szCs w:val="21"/>
          <w:highlight w:val="none"/>
        </w:rPr>
        <w:t xml:space="preserve">3、</w:t>
      </w:r>
      <w:r>
        <w:rPr>
          <w:rFonts w:hint="eastAsia" w:ascii="宋体" w:hAnsi="宋体"/>
          <w:b/>
          <w:color w:val="000000"/>
          <w:szCs w:val="21"/>
          <w:highlight w:val="none"/>
        </w:rPr>
        <w:t xml:space="preserve">打“▲”项目为客观分。</w:t>
      </w:r>
      <w:r/>
    </w:p>
    <w:sectPr>
      <w:footerReference w:type="default" r:id="rId13"/>
      <w:footerReference w:type="first" r:id="rId14"/>
      <w:footnotePr/>
      <w:endnotePr/>
      <w:type w:val="nextPage"/>
      <w:pgSz w:w="11906" w:h="16838" w:orient="portrait"/>
      <w:pgMar w:top="1134" w:right="1133"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等线 Light">
    <w:panose1 w:val="02010600030101010101"/>
  </w:font>
  <w:font w:name="MingLiU">
    <w:panose1 w:val="02020500000000000000"/>
  </w:font>
  <w:font w:name="Wingdings">
    <w:panose1 w:val="05000000000000000000"/>
  </w:font>
  <w:font w:name="全真中明體">
    <w:panose1 w:val="020B0503020202020204"/>
  </w:font>
  <w:font w:name="DFKai-SB">
    <w:panose1 w:val="03050502040202030202"/>
  </w:font>
  <w:font w:name="Symbol">
    <w:panose1 w:val="05050102010706020507"/>
  </w:font>
  <w:font w:name="Footlight MT Light">
    <w:panose1 w:val="0204060206030A020304"/>
  </w:font>
  <w:font w:name="Segoe UI">
    <w:panose1 w:val="020B0502040204020203"/>
  </w:font>
  <w:font w:name="PMingLiU">
    <w:panose1 w:val="02020500000000000000"/>
  </w:font>
  <w:font w:name="华文细黑">
    <w:panose1 w:val="02010600040101010101"/>
  </w:font>
  <w:font w:name="Courier New">
    <w:panose1 w:val="02070309020205020404"/>
  </w:font>
  <w:font w:name="Adobe 仿宋 Std R">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Ђˎ̥">
    <w:panose1 w:val="020B0503020202020204"/>
  </w:font>
  <w:font w:name="楷体_GB2312">
    <w:panose1 w:val="02010609060101010101"/>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4320"/>
      <w:tabs>
        <w:tab w:val="center" w:pos="4153" w:leader="none"/>
        <w:tab w:val="right" w:pos="8306" w:leader="none"/>
      </w:tabs>
      <w:rPr>
        <w:rFonts w:hint="eastAsia"/>
      </w:rPr>
    </w:pPr>
    <w:r>
      <w:rPr>
        <w:lang w:val="zh-CN"/>
      </w:rPr>
      <w:t xml:space="preserve"> </w:t>
    </w:r>
    <w:r>
      <w:rPr>
        <w:b/>
        <w:sz w:val="24"/>
      </w:rPr>
      <w:fldChar w:fldCharType="begin"/>
    </w:r>
    <w:r>
      <w:rPr>
        <w:b/>
      </w:rPr>
      <w:instrText xml:space="preserve">PAGE</w:instrText>
    </w:r>
    <w:r>
      <w:rPr>
        <w:b/>
        <w:sz w:val="24"/>
      </w:rPr>
      <w:fldChar w:fldCharType="separate"/>
    </w:r>
    <w:r>
      <w:rPr>
        <w:b/>
      </w:rPr>
      <w:t xml:space="preserve">4</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56</w:t>
    </w:r>
    <w:r>
      <w:rPr>
        <w:b/>
        <w:sz w:val="24"/>
      </w:rP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56</w:t>
    </w:r>
    <w:r>
      <w:rPr>
        <w:b/>
        <w:sz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56</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56</w:t>
    </w:r>
    <w:r>
      <w:rPr>
        <w:b/>
        <w:sz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35</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56</w:t>
    </w:r>
    <w:r>
      <w:rPr>
        <w:b/>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252"/>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JSZC-320583-ZXCG-G2026-0008</w:t>
    </w:r>
    <w:r>
      <w:rPr>
        <w:rFonts w:hint="eastAsia" w:ascii="宋体" w:hAnsi="宋体" w:eastAsia="宋体"/>
      </w:rPr>
      <w:t xml:space="preserve">                                                                 苏州正信  </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JSZC-320583-ZXCG-G2026-0008</w:t>
    </w:r>
    <w:r>
      <w:rPr>
        <w:rFonts w:hint="eastAsia" w:ascii="宋体" w:hAnsi="宋体" w:eastAsia="宋体"/>
      </w:rPr>
      <w:t xml:space="preserve">                                                                  苏州正信</w:t>
    </w: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47"/>
        <w:ind w:left="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一、"/>
      <w:lvlJc w:val="left"/>
      <w:pPr>
        <w:pStyle w:val="947"/>
        <w:ind w:left="1140" w:hanging="570"/>
        <w:tabs>
          <w:tab w:val="num"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4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03"/>
      <w:isLgl w:val="false"/>
      <w:suff w:val="tab"/>
      <w:lvlText w:val="%1、"/>
      <w:lvlJc w:val="left"/>
      <w:pPr>
        <w:pStyle w:val="947"/>
        <w:ind w:left="930" w:hanging="360"/>
        <w:tabs>
          <w:tab w:val="num"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19"/>
      <w:isLgl w:val="false"/>
      <w:suff w:val="tab"/>
      <w:lvlText w:val=""/>
      <w:lvlJc w:val="left"/>
      <w:pPr>
        <w:pStyle w:val="947"/>
        <w:ind w:left="840" w:hanging="420"/>
        <w:tabs>
          <w:tab w:val="num" w:pos="840" w:leader="none"/>
        </w:tabs>
      </w:pPr>
      <w:rPr>
        <w:rFonts w:ascii="Wingdings" w:hAnsi="Wingdings"/>
        <w:color w:val="000000"/>
      </w:rPr>
    </w:lvl>
    <w:lvl w:ilvl="1">
      <w:start w:val="1"/>
      <w:numFmt w:val="decimal"/>
      <w:isLgl w:val="false"/>
      <w:suff w:val="tab"/>
      <w:lvlText w:val="%2."/>
      <w:lvlJc w:val="left"/>
      <w:pPr>
        <w:pStyle w:val="947"/>
        <w:ind w:left="1440" w:hanging="360"/>
        <w:tabs>
          <w:tab w:val="num" w:pos="1440" w:leader="none"/>
        </w:tabs>
      </w:pPr>
    </w:lvl>
    <w:lvl w:ilvl="2">
      <w:start w:val="1"/>
      <w:numFmt w:val="decimal"/>
      <w:isLgl w:val="false"/>
      <w:suff w:val="tab"/>
      <w:lvlText w:val="%3."/>
      <w:lvlJc w:val="left"/>
      <w:pPr>
        <w:pStyle w:val="947"/>
        <w:ind w:left="2160" w:hanging="360"/>
        <w:tabs>
          <w:tab w:val="num" w:pos="2160" w:leader="none"/>
        </w:tabs>
      </w:pPr>
    </w:lvl>
    <w:lvl w:ilvl="3">
      <w:start w:val="1"/>
      <w:numFmt w:val="decimal"/>
      <w:isLgl w:val="false"/>
      <w:suff w:val="tab"/>
      <w:lvlText w:val="%4."/>
      <w:lvlJc w:val="left"/>
      <w:pPr>
        <w:pStyle w:val="947"/>
        <w:ind w:left="2880" w:hanging="360"/>
        <w:tabs>
          <w:tab w:val="num" w:pos="2880" w:leader="none"/>
        </w:tabs>
      </w:pPr>
    </w:lvl>
    <w:lvl w:ilvl="4">
      <w:start w:val="1"/>
      <w:numFmt w:val="decimal"/>
      <w:isLgl w:val="false"/>
      <w:suff w:val="tab"/>
      <w:lvlText w:val="%5."/>
      <w:lvlJc w:val="left"/>
      <w:pPr>
        <w:pStyle w:val="947"/>
        <w:ind w:left="3600" w:hanging="360"/>
        <w:tabs>
          <w:tab w:val="num" w:pos="3600" w:leader="none"/>
        </w:tabs>
      </w:pPr>
    </w:lvl>
    <w:lvl w:ilvl="5">
      <w:start w:val="1"/>
      <w:numFmt w:val="decimal"/>
      <w:isLgl w:val="false"/>
      <w:suff w:val="tab"/>
      <w:lvlText w:val="%6."/>
      <w:lvlJc w:val="left"/>
      <w:pPr>
        <w:pStyle w:val="947"/>
        <w:ind w:left="4320" w:hanging="360"/>
        <w:tabs>
          <w:tab w:val="num" w:pos="4320" w:leader="none"/>
        </w:tabs>
      </w:pPr>
    </w:lvl>
    <w:lvl w:ilvl="6">
      <w:start w:val="1"/>
      <w:numFmt w:val="decimal"/>
      <w:isLgl w:val="false"/>
      <w:suff w:val="tab"/>
      <w:lvlText w:val="%7."/>
      <w:lvlJc w:val="left"/>
      <w:pPr>
        <w:pStyle w:val="947"/>
        <w:ind w:left="5040" w:hanging="360"/>
        <w:tabs>
          <w:tab w:val="num" w:pos="5040" w:leader="none"/>
        </w:tabs>
      </w:pPr>
    </w:lvl>
    <w:lvl w:ilvl="7">
      <w:start w:val="1"/>
      <w:numFmt w:val="decimal"/>
      <w:isLgl w:val="false"/>
      <w:suff w:val="tab"/>
      <w:lvlText w:val="%8."/>
      <w:lvlJc w:val="left"/>
      <w:pPr>
        <w:pStyle w:val="947"/>
        <w:ind w:left="5760" w:hanging="360"/>
        <w:tabs>
          <w:tab w:val="num" w:pos="5760" w:leader="none"/>
        </w:tabs>
      </w:pPr>
    </w:lvl>
    <w:lvl w:ilvl="8">
      <w:start w:val="1"/>
      <w:numFmt w:val="decimal"/>
      <w:isLgl w:val="false"/>
      <w:suff w:val="tab"/>
      <w:lvlText w:val="%9."/>
      <w:lvlJc w:val="left"/>
      <w:pPr>
        <w:pStyle w:val="947"/>
        <w:ind w:left="6480" w:hanging="360"/>
        <w:tabs>
          <w:tab w:val="num" w:pos="6480" w:leader="none"/>
        </w:tabs>
      </w:pPr>
    </w:lvl>
  </w:abstractNum>
  <w:abstractNum w:abstractNumId="6">
    <w:multiLevelType w:val="hybridMultilevel"/>
    <w:lvl w:ilvl="0">
      <w:start w:val="4"/>
      <w:numFmt w:val="decimal"/>
      <w:pStyle w:val="1083"/>
      <w:isLgl w:val="false"/>
      <w:suff w:val="tab"/>
      <w:lvlText w:val="%1"/>
      <w:lvlJc w:val="left"/>
      <w:pPr>
        <w:pStyle w:val="947"/>
        <w:ind w:left="495" w:hanging="495"/>
        <w:tabs>
          <w:tab w:val="num" w:pos="495" w:leader="none"/>
        </w:tabs>
      </w:pPr>
    </w:lvl>
    <w:lvl w:ilvl="1">
      <w:start w:val="1"/>
      <w:numFmt w:val="decimal"/>
      <w:isLgl w:val="false"/>
      <w:suff w:val="tab"/>
      <w:lvlText w:val="%1.%2"/>
      <w:lvlJc w:val="left"/>
      <w:pPr>
        <w:pStyle w:val="947"/>
        <w:ind w:left="915" w:hanging="495"/>
        <w:tabs>
          <w:tab w:val="num" w:pos="915" w:leader="none"/>
        </w:tabs>
      </w:pPr>
    </w:lvl>
    <w:lvl w:ilvl="2">
      <w:start w:val="1"/>
      <w:numFmt w:val="decimal"/>
      <w:isLgl w:val="false"/>
      <w:suff w:val="tab"/>
      <w:lvlText w:val="%1.%2.%3"/>
      <w:lvlJc w:val="left"/>
      <w:pPr>
        <w:pStyle w:val="947"/>
        <w:ind w:left="1335" w:hanging="495"/>
        <w:tabs>
          <w:tab w:val="num" w:pos="1335" w:leader="none"/>
        </w:tabs>
      </w:pPr>
    </w:lvl>
    <w:lvl w:ilvl="3">
      <w:start w:val="1"/>
      <w:numFmt w:val="decimal"/>
      <w:isLgl w:val="false"/>
      <w:suff w:val="tab"/>
      <w:lvlText w:val="%1.%2.%3.%4"/>
      <w:lvlJc w:val="left"/>
      <w:pPr>
        <w:pStyle w:val="947"/>
        <w:ind w:left="1755" w:hanging="495"/>
        <w:tabs>
          <w:tab w:val="num" w:pos="1755" w:leader="none"/>
        </w:tabs>
      </w:pPr>
    </w:lvl>
    <w:lvl w:ilvl="4">
      <w:start w:val="1"/>
      <w:numFmt w:val="decimal"/>
      <w:isLgl w:val="false"/>
      <w:suff w:val="tab"/>
      <w:lvlText w:val="%1.%2.%3.%4.%5"/>
      <w:lvlJc w:val="left"/>
      <w:pPr>
        <w:pStyle w:val="947"/>
        <w:ind w:left="2175" w:hanging="495"/>
        <w:tabs>
          <w:tab w:val="num" w:pos="2175" w:leader="none"/>
        </w:tabs>
      </w:pPr>
    </w:lvl>
    <w:lvl w:ilvl="5">
      <w:start w:val="1"/>
      <w:numFmt w:val="decimal"/>
      <w:isLgl w:val="false"/>
      <w:suff w:val="tab"/>
      <w:lvlText w:val="%1.%2.%3.%4.%5.%6"/>
      <w:lvlJc w:val="left"/>
      <w:pPr>
        <w:pStyle w:val="947"/>
        <w:ind w:left="2595" w:hanging="495"/>
        <w:tabs>
          <w:tab w:val="num" w:pos="2595" w:leader="none"/>
        </w:tabs>
      </w:pPr>
    </w:lvl>
    <w:lvl w:ilvl="6">
      <w:start w:val="1"/>
      <w:numFmt w:val="decimal"/>
      <w:isLgl w:val="false"/>
      <w:suff w:val="tab"/>
      <w:lvlText w:val="%1.%2.%3.%4.%5.%6.%7"/>
      <w:lvlJc w:val="left"/>
      <w:pPr>
        <w:pStyle w:val="947"/>
        <w:ind w:left="3015" w:hanging="495"/>
        <w:tabs>
          <w:tab w:val="num" w:pos="3015" w:leader="none"/>
        </w:tabs>
      </w:pPr>
    </w:lvl>
    <w:lvl w:ilvl="7">
      <w:start w:val="1"/>
      <w:numFmt w:val="decimal"/>
      <w:isLgl w:val="false"/>
      <w:suff w:val="tab"/>
      <w:lvlText w:val="%1.%2.%3.%4.%5.%6.%7.%8"/>
      <w:lvlJc w:val="left"/>
      <w:pPr>
        <w:pStyle w:val="947"/>
        <w:ind w:left="3435" w:hanging="495"/>
        <w:tabs>
          <w:tab w:val="num" w:pos="3435" w:leader="none"/>
        </w:tabs>
      </w:pPr>
    </w:lvl>
    <w:lvl w:ilvl="8">
      <w:start w:val="1"/>
      <w:numFmt w:val="decimal"/>
      <w:isLgl w:val="false"/>
      <w:suff w:val="tab"/>
      <w:lvlText w:val="%1.%2.%3.%4.%5.%6.%7.%8.%9"/>
      <w:lvlJc w:val="left"/>
      <w:pPr>
        <w:pStyle w:val="947"/>
        <w:ind w:left="3855" w:hanging="495"/>
        <w:tabs>
          <w:tab w:val="num" w:pos="3855" w:leader="none"/>
        </w:tabs>
      </w:pPr>
    </w:lvl>
  </w:abstractNum>
  <w:abstractNum w:abstractNumId="7">
    <w:multiLevelType w:val="hybridMultilevel"/>
    <w:lvl w:ilvl="0">
      <w:start w:val="1"/>
      <w:numFmt w:val="decimal"/>
      <w:isLgl w:val="false"/>
      <w:suff w:val="tab"/>
      <w:lvlText w:val="%1"/>
      <w:lvlJc w:val="left"/>
      <w:pPr>
        <w:pStyle w:val="947"/>
        <w:ind w:left="432" w:hanging="632"/>
        <w:tabs>
          <w:tab w:val="num" w:pos="432" w:leader="none"/>
        </w:tabs>
      </w:pPr>
      <w:rPr>
        <w:rFonts w:ascii="Times New Roman" w:hAnsi="Times New Roman" w:eastAsia="宋体"/>
        <w:b/>
        <w:i w:val="0"/>
        <w:spacing w:val="8"/>
        <w:sz w:val="32"/>
        <w:szCs w:val="32"/>
      </w:rPr>
    </w:lvl>
    <w:lvl w:ilvl="1">
      <w:start w:val="1"/>
      <w:numFmt w:val="decimal"/>
      <w:pStyle w:val="1179"/>
      <w:isLgl w:val="false"/>
      <w:suff w:val="tab"/>
      <w:lvlText w:val="%1.%2"/>
      <w:lvlJc w:val="left"/>
      <w:pPr>
        <w:pStyle w:val="947"/>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947"/>
        <w:ind w:left="833" w:hanging="833"/>
        <w:tabs>
          <w:tab w:val="num" w:pos="833" w:leader="none"/>
        </w:tabs>
      </w:pPr>
      <w:rPr>
        <w:rFonts w:ascii="Times New Roman" w:hAnsi="Times New Roman" w:eastAsia="宋体"/>
        <w:b/>
        <w:i w:val="0"/>
        <w:sz w:val="24"/>
        <w:szCs w:val="24"/>
      </w:rPr>
    </w:lvl>
    <w:lvl w:ilvl="3">
      <w:start w:val="1"/>
      <w:numFmt w:val="decimal"/>
      <w:pStyle w:val="1192"/>
      <w:isLgl w:val="false"/>
      <w:suff w:val="tab"/>
      <w:lvlText w:val="%1.%2.%3.%4"/>
      <w:lvlJc w:val="left"/>
      <w:pPr>
        <w:pStyle w:val="947"/>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947"/>
        <w:ind w:left="1008" w:hanging="1008"/>
        <w:tabs>
          <w:tab w:val="num" w:pos="1008" w:leader="none"/>
        </w:tabs>
      </w:pPr>
      <w:rPr>
        <w:rFonts w:hint="eastAsia"/>
      </w:rPr>
    </w:lvl>
    <w:lvl w:ilvl="5">
      <w:start w:val="1"/>
      <w:numFmt w:val="decimal"/>
      <w:isLgl w:val="false"/>
      <w:suff w:val="tab"/>
      <w:lvlText w:val="%1.%2.%3.%4.%5.%6"/>
      <w:lvlJc w:val="left"/>
      <w:pPr>
        <w:pStyle w:val="947"/>
        <w:ind w:left="1152" w:hanging="1152"/>
        <w:tabs>
          <w:tab w:val="num" w:pos="1152" w:leader="none"/>
        </w:tabs>
      </w:pPr>
      <w:rPr>
        <w:rFonts w:hint="eastAsia"/>
      </w:rPr>
    </w:lvl>
    <w:lvl w:ilvl="6">
      <w:start w:val="1"/>
      <w:numFmt w:val="decimal"/>
      <w:isLgl w:val="false"/>
      <w:suff w:val="tab"/>
      <w:lvlText w:val="%1.%2.%3.%4.%5.%6.%7"/>
      <w:lvlJc w:val="left"/>
      <w:pPr>
        <w:pStyle w:val="947"/>
        <w:ind w:left="1296" w:hanging="1296"/>
        <w:tabs>
          <w:tab w:val="num" w:pos="1296" w:leader="none"/>
        </w:tabs>
      </w:pPr>
      <w:rPr>
        <w:rFonts w:hint="eastAsia"/>
      </w:rPr>
    </w:lvl>
    <w:lvl w:ilvl="7">
      <w:start w:val="1"/>
      <w:numFmt w:val="decimal"/>
      <w:isLgl w:val="false"/>
      <w:suff w:val="tab"/>
      <w:lvlText w:val="%1.%2.%3.%4.%5.%6.%7.%8"/>
      <w:lvlJc w:val="left"/>
      <w:pPr>
        <w:pStyle w:val="947"/>
        <w:ind w:left="1440" w:hanging="1440"/>
        <w:tabs>
          <w:tab w:val="num" w:pos="1440" w:leader="none"/>
        </w:tabs>
      </w:pPr>
      <w:rPr>
        <w:rFonts w:hint="eastAsia"/>
      </w:rPr>
    </w:lvl>
    <w:lvl w:ilvl="8">
      <w:start w:val="1"/>
      <w:numFmt w:val="decimal"/>
      <w:isLgl w:val="false"/>
      <w:suff w:val="tab"/>
      <w:lvlText w:val="%1.%2.%3.%4.%5.%6.%7.%8.%9"/>
      <w:lvlJc w:val="left"/>
      <w:pPr>
        <w:pStyle w:val="947"/>
        <w:ind w:left="1584" w:hanging="1584"/>
        <w:tabs>
          <w:tab w:val="num" w:pos="1584" w:leader="none"/>
        </w:tabs>
      </w:pPr>
      <w:rPr>
        <w:rFonts w:hint="eastAsia"/>
      </w:rPr>
    </w:lvl>
  </w:abstractNum>
  <w:abstractNum w:abstractNumId="8">
    <w:multiLevelType w:val="hybridMultilevel"/>
    <w:lvl w:ilvl="0">
      <w:start w:val="1"/>
      <w:numFmt w:val="decimal"/>
      <w:pStyle w:val="1089"/>
      <w:isLgl w:val="false"/>
      <w:suff w:val="tab"/>
      <w:lvlText w:val="%1、"/>
      <w:lvlJc w:val="left"/>
      <w:pPr>
        <w:pStyle w:val="947"/>
        <w:ind w:left="440" w:firstLine="400"/>
        <w:tabs>
          <w:tab w:val="num" w:pos="1240" w:leader="none"/>
        </w:tabs>
      </w:pPr>
      <w:rPr>
        <w:rFonts w:hint="eastAsia"/>
      </w:rPr>
    </w:lvl>
    <w:lvl w:ilvl="1">
      <w:start w:val="1"/>
      <w:numFmt w:val="upperLetter"/>
      <w:isLgl w:val="false"/>
      <w:suff w:val="tab"/>
      <w:lvlText w:val="%2."/>
      <w:lvlJc w:val="left"/>
      <w:pPr>
        <w:pStyle w:val="947"/>
        <w:ind w:left="840" w:hanging="420"/>
        <w:tabs>
          <w:tab w:val="num" w:pos="840" w:leader="none"/>
        </w:tabs>
      </w:pPr>
      <w:rPr>
        <w:rFonts w:hint="eastAsia"/>
      </w:rPr>
    </w:lvl>
    <w:lvl w:ilvl="2">
      <w:start w:val="1"/>
      <w:numFmt w:val="lowerRoman"/>
      <w:isLgl w:val="false"/>
      <w:suff w:val="tab"/>
      <w:lvlText w:val="%3."/>
      <w:lvlJc w:val="right"/>
      <w:pPr>
        <w:pStyle w:val="947"/>
        <w:ind w:left="1260" w:hanging="420"/>
        <w:tabs>
          <w:tab w:val="num" w:pos="1260" w:leader="none"/>
        </w:tabs>
      </w:pPr>
    </w:lvl>
    <w:lvl w:ilvl="3">
      <w:start w:val="1"/>
      <w:numFmt w:val="decimal"/>
      <w:isLgl w:val="false"/>
      <w:suff w:val="tab"/>
      <w:lvlText w:val="%4."/>
      <w:lvlJc w:val="left"/>
      <w:pPr>
        <w:pStyle w:val="947"/>
        <w:ind w:left="1680" w:hanging="420"/>
        <w:tabs>
          <w:tab w:val="num" w:pos="1680" w:leader="none"/>
        </w:tabs>
      </w:pPr>
    </w:lvl>
    <w:lvl w:ilvl="4">
      <w:start w:val="1"/>
      <w:numFmt w:val="lowerLetter"/>
      <w:isLgl w:val="false"/>
      <w:suff w:val="tab"/>
      <w:lvlText w:val="%5)"/>
      <w:lvlJc w:val="left"/>
      <w:pPr>
        <w:pStyle w:val="947"/>
        <w:ind w:left="2100" w:hanging="420"/>
        <w:tabs>
          <w:tab w:val="num" w:pos="2100" w:leader="none"/>
        </w:tabs>
      </w:pPr>
    </w:lvl>
    <w:lvl w:ilvl="5">
      <w:start w:val="1"/>
      <w:numFmt w:val="lowerRoman"/>
      <w:isLgl w:val="false"/>
      <w:suff w:val="tab"/>
      <w:lvlText w:val="%6."/>
      <w:lvlJc w:val="right"/>
      <w:pPr>
        <w:pStyle w:val="947"/>
        <w:ind w:left="2520" w:hanging="420"/>
        <w:tabs>
          <w:tab w:val="num" w:pos="2520" w:leader="none"/>
        </w:tabs>
      </w:pPr>
    </w:lvl>
    <w:lvl w:ilvl="6">
      <w:start w:val="1"/>
      <w:numFmt w:val="decimal"/>
      <w:isLgl w:val="false"/>
      <w:suff w:val="tab"/>
      <w:lvlText w:val="%7."/>
      <w:lvlJc w:val="left"/>
      <w:pPr>
        <w:pStyle w:val="947"/>
        <w:ind w:left="2940" w:hanging="420"/>
        <w:tabs>
          <w:tab w:val="num" w:pos="2940" w:leader="none"/>
        </w:tabs>
      </w:pPr>
    </w:lvl>
    <w:lvl w:ilvl="7">
      <w:start w:val="1"/>
      <w:numFmt w:val="lowerLetter"/>
      <w:isLgl w:val="false"/>
      <w:suff w:val="tab"/>
      <w:lvlText w:val="%8)"/>
      <w:lvlJc w:val="left"/>
      <w:pPr>
        <w:pStyle w:val="947"/>
        <w:ind w:left="3360" w:hanging="420"/>
        <w:tabs>
          <w:tab w:val="num" w:pos="3360" w:leader="none"/>
        </w:tabs>
      </w:pPr>
    </w:lvl>
    <w:lvl w:ilvl="8">
      <w:start w:val="1"/>
      <w:numFmt w:val="lowerRoman"/>
      <w:isLgl w:val="false"/>
      <w:suff w:val="tab"/>
      <w:lvlText w:val="%9."/>
      <w:lvlJc w:val="right"/>
      <w:pPr>
        <w:pStyle w:val="947"/>
        <w:ind w:left="3780" w:hanging="420"/>
        <w:tabs>
          <w:tab w:val="num" w:pos="3780" w:leader="none"/>
        </w:tabs>
      </w:pPr>
    </w:lvl>
  </w:abstractNum>
  <w:abstractNum w:abstractNumId="9">
    <w:multiLevelType w:val="hybridMultilevel"/>
    <w:lvl w:ilvl="0">
      <w:start w:val="1"/>
      <w:numFmt w:val="decimal"/>
      <w:pStyle w:val="1092"/>
      <w:isLgl w:val="false"/>
      <w:suff w:val="nothing"/>
      <w:lvlText w:val="%1"/>
      <w:lvlJc w:val="left"/>
      <w:pPr>
        <w:pStyle w:val="947"/>
        <w:ind w:left="0" w:firstLine="0"/>
      </w:pPr>
      <w:rPr>
        <w:rFonts w:ascii="Times New Roman" w:hAnsi="Times New Roman"/>
        <w:b/>
        <w:i w:val="0"/>
        <w:sz w:val="21"/>
      </w:rPr>
    </w:lvl>
    <w:lvl w:ilvl="1">
      <w:start w:val="1"/>
      <w:numFmt w:val="decimal"/>
      <w:isLgl w:val="false"/>
      <w:suff w:val="nothing"/>
      <w:lvlText w:val="%1%2　"/>
      <w:lvlJc w:val="left"/>
      <w:pPr>
        <w:pStyle w:val="947"/>
        <w:ind w:left="0" w:firstLine="0"/>
      </w:pPr>
      <w:rPr>
        <w:rFonts w:hint="eastAsia" w:ascii="黑体" w:hAnsi="Times New Roman" w:eastAsia="黑体"/>
        <w:b w:val="0"/>
        <w:i w:val="0"/>
        <w:sz w:val="21"/>
      </w:rPr>
    </w:lvl>
    <w:lvl w:ilvl="2">
      <w:start w:val="1"/>
      <w:numFmt w:val="decimal"/>
      <w:pStyle w:val="1116"/>
      <w:isLgl w:val="false"/>
      <w:suff w:val="nothing"/>
      <w:lvlText w:val="%1%2.%3　"/>
      <w:lvlJc w:val="left"/>
      <w:pPr>
        <w:pStyle w:val="947"/>
        <w:ind w:left="420" w:firstLine="0"/>
      </w:pPr>
      <w:rPr>
        <w:rFonts w:hint="eastAsia" w:ascii="黑体" w:hAnsi="Times New Roman" w:eastAsia="黑体"/>
        <w:b w:val="0"/>
        <w:i w:val="0"/>
        <w:sz w:val="21"/>
      </w:rPr>
    </w:lvl>
    <w:lvl w:ilvl="3">
      <w:start w:val="1"/>
      <w:numFmt w:val="decimal"/>
      <w:pStyle w:val="1115"/>
      <w:isLgl w:val="false"/>
      <w:suff w:val="nothing"/>
      <w:lvlText w:val="%1%2.%3.%4　"/>
      <w:lvlJc w:val="left"/>
      <w:pPr>
        <w:pStyle w:val="947"/>
        <w:ind w:left="0" w:firstLine="0"/>
      </w:pPr>
      <w:rPr>
        <w:rFonts w:hint="eastAsia" w:ascii="黑体" w:hAnsi="Times New Roman" w:eastAsia="黑体"/>
        <w:b w:val="0"/>
        <w:i w:val="0"/>
        <w:sz w:val="21"/>
      </w:rPr>
    </w:lvl>
    <w:lvl w:ilvl="4">
      <w:start w:val="1"/>
      <w:numFmt w:val="decimal"/>
      <w:pStyle w:val="1123"/>
      <w:isLgl w:val="false"/>
      <w:suff w:val="nothing"/>
      <w:lvlText w:val="%1%2.%3.%4.%5　"/>
      <w:lvlJc w:val="left"/>
      <w:pPr>
        <w:pStyle w:val="947"/>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4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47"/>
        <w:ind w:left="0" w:firstLine="0"/>
      </w:pPr>
      <w:rPr>
        <w:rFonts w:hint="eastAsia" w:ascii="黑体" w:hAnsi="Times New Roman" w:eastAsia="黑体"/>
        <w:b w:val="0"/>
        <w:i w:val="0"/>
        <w:sz w:val="21"/>
      </w:rPr>
    </w:lvl>
    <w:lvl w:ilvl="7">
      <w:start w:val="1"/>
      <w:numFmt w:val="decimal"/>
      <w:isLgl w:val="false"/>
      <w:suff w:val="tab"/>
      <w:lvlText w:val="%1.%2.%3.%4.%5.%6.%7.%8"/>
      <w:lvlJc w:val="left"/>
      <w:pPr>
        <w:pStyle w:val="947"/>
        <w:ind w:left="3969" w:hanging="1418"/>
        <w:tabs>
          <w:tab w:val="num" w:pos="4351" w:leader="none"/>
        </w:tabs>
      </w:pPr>
      <w:rPr>
        <w:rFonts w:hint="eastAsia"/>
      </w:rPr>
    </w:lvl>
    <w:lvl w:ilvl="8">
      <w:start w:val="1"/>
      <w:numFmt w:val="decimal"/>
      <w:isLgl w:val="false"/>
      <w:suff w:val="tab"/>
      <w:lvlText w:val="%1.%2.%3.%4.%5.%6.%7.%8.%9"/>
      <w:lvlJc w:val="left"/>
      <w:pPr>
        <w:pStyle w:val="947"/>
        <w:ind w:left="4677" w:hanging="1700"/>
        <w:tabs>
          <w:tab w:val="num" w:pos="4777" w:leader="none"/>
        </w:tabs>
      </w:pPr>
      <w:rPr>
        <w:rFonts w:hint="eastAsia"/>
      </w:rPr>
    </w:lvl>
  </w:abstractNum>
  <w:abstractNum w:abstractNumId="10">
    <w:multiLevelType w:val="hybridMultilevel"/>
    <w:lvl w:ilvl="0">
      <w:start w:val="1"/>
      <w:numFmt w:val="decimal"/>
      <w:pStyle w:val="1105"/>
      <w:isLgl w:val="false"/>
      <w:suff w:val="tab"/>
      <w:lvlText w:val="%1"/>
      <w:lvlJc w:val="left"/>
      <w:pPr>
        <w:pStyle w:val="947"/>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47"/>
        <w:ind w:left="360" w:hanging="360"/>
        <w:tabs>
          <w:tab w:val="num" w:pos="360" w:leader="none"/>
        </w:tabs>
      </w:pPr>
      <w:rPr>
        <w:rFonts w:hint="eastAsia"/>
      </w:rPr>
    </w:lvl>
    <w:lvl w:ilvl="1">
      <w:start w:val="1"/>
      <w:numFmt w:val="lowerLetter"/>
      <w:isLgl w:val="false"/>
      <w:suff w:val="tab"/>
      <w:lvlText w:val="%2)"/>
      <w:lvlJc w:val="left"/>
      <w:pPr>
        <w:pStyle w:val="947"/>
        <w:ind w:left="840" w:hanging="420"/>
        <w:tabs>
          <w:tab w:val="num" w:pos="840" w:leader="none"/>
        </w:tabs>
      </w:pPr>
    </w:lvl>
    <w:lvl w:ilvl="2">
      <w:start w:val="1"/>
      <w:numFmt w:val="lowerRoman"/>
      <w:isLgl w:val="false"/>
      <w:suff w:val="tab"/>
      <w:lvlText w:val="%3."/>
      <w:lvlJc w:val="right"/>
      <w:pPr>
        <w:pStyle w:val="947"/>
        <w:ind w:left="1260" w:hanging="420"/>
        <w:tabs>
          <w:tab w:val="num" w:pos="1260" w:leader="none"/>
        </w:tabs>
      </w:pPr>
    </w:lvl>
    <w:lvl w:ilvl="3">
      <w:start w:val="1"/>
      <w:numFmt w:val="decimal"/>
      <w:isLgl w:val="false"/>
      <w:suff w:val="tab"/>
      <w:lvlText w:val="%4."/>
      <w:lvlJc w:val="left"/>
      <w:pPr>
        <w:pStyle w:val="947"/>
        <w:ind w:left="1680" w:hanging="420"/>
        <w:tabs>
          <w:tab w:val="num" w:pos="1680" w:leader="none"/>
        </w:tabs>
      </w:pPr>
    </w:lvl>
    <w:lvl w:ilvl="4">
      <w:start w:val="1"/>
      <w:numFmt w:val="lowerLetter"/>
      <w:isLgl w:val="false"/>
      <w:suff w:val="tab"/>
      <w:lvlText w:val="%5)"/>
      <w:lvlJc w:val="left"/>
      <w:pPr>
        <w:pStyle w:val="947"/>
        <w:ind w:left="2100" w:hanging="420"/>
        <w:tabs>
          <w:tab w:val="num" w:pos="2100" w:leader="none"/>
        </w:tabs>
      </w:pPr>
    </w:lvl>
    <w:lvl w:ilvl="5">
      <w:start w:val="1"/>
      <w:numFmt w:val="lowerRoman"/>
      <w:isLgl w:val="false"/>
      <w:suff w:val="tab"/>
      <w:lvlText w:val="%6."/>
      <w:lvlJc w:val="right"/>
      <w:pPr>
        <w:pStyle w:val="947"/>
        <w:ind w:left="2520" w:hanging="420"/>
        <w:tabs>
          <w:tab w:val="num" w:pos="2520" w:leader="none"/>
        </w:tabs>
      </w:pPr>
    </w:lvl>
    <w:lvl w:ilvl="6">
      <w:start w:val="1"/>
      <w:numFmt w:val="decimal"/>
      <w:pStyle w:val="1098"/>
      <w:isLgl w:val="false"/>
      <w:suff w:val="tab"/>
      <w:lvlText w:val="%7."/>
      <w:lvlJc w:val="left"/>
      <w:pPr>
        <w:pStyle w:val="947"/>
        <w:ind w:left="2940" w:hanging="420"/>
        <w:tabs>
          <w:tab w:val="num" w:pos="2940" w:leader="none"/>
        </w:tabs>
      </w:pPr>
    </w:lvl>
    <w:lvl w:ilvl="7">
      <w:start w:val="1"/>
      <w:numFmt w:val="lowerLetter"/>
      <w:isLgl w:val="false"/>
      <w:suff w:val="tab"/>
      <w:lvlText w:val="%8)"/>
      <w:lvlJc w:val="left"/>
      <w:pPr>
        <w:pStyle w:val="947"/>
        <w:ind w:left="3360" w:hanging="420"/>
        <w:tabs>
          <w:tab w:val="num" w:pos="3360" w:leader="none"/>
        </w:tabs>
      </w:pPr>
    </w:lvl>
    <w:lvl w:ilvl="8">
      <w:start w:val="1"/>
      <w:numFmt w:val="lowerRoman"/>
      <w:isLgl w:val="false"/>
      <w:suff w:val="tab"/>
      <w:lvlText w:val="%9."/>
      <w:lvlJc w:val="right"/>
      <w:pPr>
        <w:pStyle w:val="947"/>
        <w:ind w:left="3780" w:hanging="420"/>
        <w:tabs>
          <w:tab w:val="num" w:pos="3780" w:leader="none"/>
        </w:tabs>
      </w:pPr>
    </w:lvl>
  </w:abstractNum>
  <w:abstractNum w:abstractNumId="12">
    <w:multiLevelType w:val="hybridMultilevel"/>
    <w:lvl w:ilvl="0">
      <w:start w:val="1"/>
      <w:numFmt w:val="decimal"/>
      <w:isLgl w:val="false"/>
      <w:suff w:val="tab"/>
      <w:lvlText w:val="一、"/>
      <w:lvlJc w:val="left"/>
      <w:pPr>
        <w:pStyle w:val="947"/>
        <w:ind w:left="840" w:hanging="420"/>
        <w:tabs>
          <w:tab w:val="num" w:pos="840" w:leader="none"/>
        </w:tabs>
      </w:pPr>
    </w:lvl>
    <w:lvl w:ilvl="1">
      <w:start w:val="1"/>
      <w:numFmt w:val="lowerLetter"/>
      <w:isLgl w:val="false"/>
      <w:suff w:val="tab"/>
      <w:lvlText w:val="%2)"/>
      <w:lvlJc w:val="left"/>
      <w:pPr>
        <w:pStyle w:val="947"/>
        <w:ind w:left="1260" w:hanging="420"/>
        <w:tabs>
          <w:tab w:val="num" w:pos="1260" w:leader="none"/>
        </w:tabs>
      </w:pPr>
    </w:lvl>
    <w:lvl w:ilvl="2">
      <w:start w:val="1"/>
      <w:numFmt w:val="lowerRoman"/>
      <w:isLgl w:val="false"/>
      <w:suff w:val="tab"/>
      <w:lvlText w:val="%3."/>
      <w:lvlJc w:val="right"/>
      <w:pPr>
        <w:pStyle w:val="947"/>
        <w:ind w:left="1680" w:hanging="420"/>
        <w:tabs>
          <w:tab w:val="num" w:pos="1680" w:leader="none"/>
        </w:tabs>
      </w:pPr>
    </w:lvl>
    <w:lvl w:ilvl="3">
      <w:start w:val="1"/>
      <w:numFmt w:val="decimal"/>
      <w:pStyle w:val="1122"/>
      <w:isLgl w:val="false"/>
      <w:suff w:val="tab"/>
      <w:lvlText w:val="%4."/>
      <w:lvlJc w:val="left"/>
      <w:pPr>
        <w:pStyle w:val="947"/>
        <w:ind w:left="2100" w:hanging="420"/>
        <w:tabs>
          <w:tab w:val="num" w:pos="2100" w:leader="none"/>
        </w:tabs>
      </w:pPr>
    </w:lvl>
    <w:lvl w:ilvl="4">
      <w:start w:val="1"/>
      <w:numFmt w:val="lowerLetter"/>
      <w:pStyle w:val="1121"/>
      <w:isLgl w:val="false"/>
      <w:suff w:val="tab"/>
      <w:lvlText w:val="%5)"/>
      <w:lvlJc w:val="left"/>
      <w:pPr>
        <w:pStyle w:val="947"/>
        <w:ind w:left="2520" w:hanging="420"/>
        <w:tabs>
          <w:tab w:val="num" w:pos="2520" w:leader="none"/>
        </w:tabs>
      </w:pPr>
    </w:lvl>
    <w:lvl w:ilvl="5">
      <w:start w:val="1"/>
      <w:numFmt w:val="lowerRoman"/>
      <w:isLgl w:val="false"/>
      <w:suff w:val="tab"/>
      <w:lvlText w:val="%6."/>
      <w:lvlJc w:val="right"/>
      <w:pPr>
        <w:pStyle w:val="947"/>
        <w:ind w:left="2940" w:hanging="420"/>
        <w:tabs>
          <w:tab w:val="num" w:pos="2940" w:leader="none"/>
        </w:tabs>
      </w:pPr>
    </w:lvl>
    <w:lvl w:ilvl="6">
      <w:start w:val="1"/>
      <w:numFmt w:val="decimal"/>
      <w:isLgl w:val="false"/>
      <w:suff w:val="tab"/>
      <w:lvlText w:val="%7."/>
      <w:lvlJc w:val="left"/>
      <w:pPr>
        <w:pStyle w:val="947"/>
        <w:ind w:left="3360" w:hanging="420"/>
        <w:tabs>
          <w:tab w:val="num" w:pos="3360" w:leader="none"/>
        </w:tabs>
      </w:pPr>
    </w:lvl>
    <w:lvl w:ilvl="7">
      <w:start w:val="1"/>
      <w:numFmt w:val="lowerLetter"/>
      <w:isLgl w:val="false"/>
      <w:suff w:val="tab"/>
      <w:lvlText w:val="%8)"/>
      <w:lvlJc w:val="left"/>
      <w:pPr>
        <w:pStyle w:val="947"/>
        <w:ind w:left="3780" w:hanging="420"/>
        <w:tabs>
          <w:tab w:val="num" w:pos="3780" w:leader="none"/>
        </w:tabs>
      </w:pPr>
    </w:lvl>
    <w:lvl w:ilvl="8">
      <w:start w:val="1"/>
      <w:numFmt w:val="lowerRoman"/>
      <w:isLgl w:val="false"/>
      <w:suff w:val="tab"/>
      <w:lvlText w:val="%9."/>
      <w:lvlJc w:val="right"/>
      <w:pPr>
        <w:pStyle w:val="947"/>
        <w:ind w:left="4200" w:hanging="420"/>
        <w:tabs>
          <w:tab w:val="num" w:pos="4200" w:leader="none"/>
        </w:tabs>
      </w:pPr>
    </w:lvl>
  </w:abstractNum>
  <w:abstractNum w:abstractNumId="13">
    <w:multiLevelType w:val="hybridMultilevel"/>
    <w:lvl w:ilvl="0">
      <w:start w:val="1"/>
      <w:numFmt w:val="bullet"/>
      <w:pStyle w:val="1137"/>
      <w:isLgl w:val="false"/>
      <w:suff w:val="tab"/>
      <w:lvlText w:val=""/>
      <w:lvlJc w:val="left"/>
      <w:pPr>
        <w:pStyle w:val="947"/>
        <w:ind w:left="42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85"/>
      <w:isLgl w:val="false"/>
      <w:suff w:val="tab"/>
      <w:lvlText w:val="%1)"/>
      <w:lvlJc w:val="left"/>
      <w:pPr>
        <w:pStyle w:val="947"/>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decimal"/>
      <w:pStyle w:val="1195"/>
      <w:isLgl w:val="false"/>
      <w:suff w:val="tab"/>
      <w:lvlText w:val="%1"/>
      <w:lvlJc w:val="left"/>
      <w:pPr>
        <w:pStyle w:val="947"/>
        <w:ind w:left="425" w:hanging="425"/>
        <w:tabs>
          <w:tab w:val="num" w:pos="425" w:leader="none"/>
        </w:tabs>
      </w:pPr>
    </w:lvl>
    <w:lvl w:ilvl="1">
      <w:start w:val="1"/>
      <w:numFmt w:val="decimal"/>
      <w:isLgl w:val="false"/>
      <w:suff w:val="tab"/>
      <w:lvlText w:val="%1.%2"/>
      <w:lvlJc w:val="left"/>
      <w:pPr>
        <w:pStyle w:val="947"/>
        <w:ind w:left="992" w:hanging="567"/>
        <w:tabs>
          <w:tab w:val="num" w:pos="992" w:leader="none"/>
        </w:tabs>
      </w:pPr>
    </w:lvl>
    <w:lvl w:ilvl="2">
      <w:start w:val="1"/>
      <w:numFmt w:val="decimal"/>
      <w:isLgl w:val="false"/>
      <w:suff w:val="tab"/>
      <w:lvlText w:val="%1.%2.%3"/>
      <w:lvlJc w:val="left"/>
      <w:pPr>
        <w:pStyle w:val="947"/>
        <w:ind w:left="1418" w:hanging="567"/>
        <w:tabs>
          <w:tab w:val="num" w:pos="1418" w:leader="none"/>
        </w:tabs>
      </w:pPr>
    </w:lvl>
    <w:lvl w:ilvl="3">
      <w:start w:val="5"/>
      <w:numFmt w:val="decimal"/>
      <w:isLgl w:val="false"/>
      <w:suff w:val="tab"/>
      <w:lvlText w:val="%1.%2.%3.%4"/>
      <w:lvlJc w:val="left"/>
      <w:pPr>
        <w:pStyle w:val="947"/>
        <w:ind w:left="1984" w:hanging="708"/>
        <w:tabs>
          <w:tab w:val="num" w:pos="1984" w:leader="none"/>
        </w:tabs>
      </w:pPr>
    </w:lvl>
    <w:lvl w:ilvl="4">
      <w:start w:val="5"/>
      <w:numFmt w:val="decimal"/>
      <w:isLgl w:val="false"/>
      <w:suff w:val="tab"/>
      <w:lvlText w:val="%1.%2.%3.%4.%5"/>
      <w:lvlJc w:val="left"/>
      <w:pPr>
        <w:pStyle w:val="947"/>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47"/>
        <w:ind w:left="3260" w:hanging="1134"/>
        <w:tabs>
          <w:tab w:val="num" w:pos="3260" w:leader="none"/>
        </w:tabs>
      </w:pPr>
    </w:lvl>
    <w:lvl w:ilvl="6">
      <w:start w:val="1"/>
      <w:numFmt w:val="decimal"/>
      <w:isLgl w:val="false"/>
      <w:suff w:val="tab"/>
      <w:lvlText w:val="%1.%2.%3.%4.%5.%6.%7"/>
      <w:lvlJc w:val="left"/>
      <w:pPr>
        <w:pStyle w:val="947"/>
        <w:ind w:left="3827" w:hanging="1276"/>
        <w:tabs>
          <w:tab w:val="num" w:pos="3827" w:leader="none"/>
        </w:tabs>
      </w:pPr>
    </w:lvl>
    <w:lvl w:ilvl="7">
      <w:start w:val="1"/>
      <w:numFmt w:val="decimal"/>
      <w:isLgl w:val="false"/>
      <w:suff w:val="tab"/>
      <w:lvlText w:val="%1.%2.%3.%4.%5.%6.%7.%8"/>
      <w:lvlJc w:val="left"/>
      <w:pPr>
        <w:pStyle w:val="947"/>
        <w:ind w:left="4394" w:hanging="1418"/>
        <w:tabs>
          <w:tab w:val="num" w:pos="4394" w:leader="none"/>
        </w:tabs>
      </w:pPr>
    </w:lvl>
    <w:lvl w:ilvl="8">
      <w:start w:val="1"/>
      <w:numFmt w:val="decimal"/>
      <w:isLgl w:val="false"/>
      <w:suff w:val="tab"/>
      <w:lvlText w:val="%1.%2.%3.%4.%5.%6.%7.%8.%9"/>
      <w:lvlJc w:val="left"/>
      <w:pPr>
        <w:pStyle w:val="947"/>
        <w:ind w:left="5102" w:hanging="1700"/>
        <w:tabs>
          <w:tab w:val="num" w:pos="5102" w:leader="none"/>
        </w:tabs>
      </w:pPr>
    </w:lvl>
  </w:abstractNum>
  <w:abstractNum w:abstractNumId="16">
    <w:multiLevelType w:val="hybridMultilevel"/>
    <w:lvl w:ilvl="0">
      <w:start w:val="1"/>
      <w:numFmt w:val="japaneseCounting"/>
      <w:isLgl w:val="false"/>
      <w:suff w:val="tab"/>
      <w:lvlText w:val="第%1章"/>
      <w:lvlJc w:val="left"/>
      <w:pPr>
        <w:pStyle w:val="947"/>
        <w:ind w:left="1605" w:hanging="1605"/>
      </w:pPr>
    </w:lvl>
    <w:lvl w:ilvl="1">
      <w:start w:val="1"/>
      <w:numFmt w:val="lowerLetter"/>
      <w:isLgl w:val="false"/>
      <w:suff w:val="tab"/>
      <w:lvlText w:val="%2)"/>
      <w:lvlJc w:val="left"/>
      <w:pPr>
        <w:pStyle w:val="947"/>
        <w:ind w:left="840" w:hanging="420"/>
      </w:p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num w:numId="1">
    <w:abstractNumId w:val="6"/>
  </w:num>
  <w:num w:numId="2">
    <w:abstractNumId w:val="14"/>
  </w:num>
  <w:num w:numId="3">
    <w:abstractNumId w:val="8"/>
  </w:num>
  <w:num w:numId="4">
    <w:abstractNumId w:val="9"/>
  </w:num>
  <w:num w:numId="5">
    <w:abstractNumId w:val="11"/>
  </w:num>
  <w:num w:numId="6">
    <w:abstractNumId w:val="4"/>
  </w:num>
  <w:num w:numId="7">
    <w:abstractNumId w:val="10"/>
  </w:num>
  <w:num w:numId="8">
    <w:abstractNumId w:val="5"/>
  </w:num>
  <w:num w:numId="9">
    <w:abstractNumId w:val="12"/>
  </w:num>
  <w:num w:numId="10">
    <w:abstractNumId w:val="13"/>
  </w:num>
  <w:num w:numId="11">
    <w:abstractNumId w:val="3"/>
  </w:num>
  <w:num w:numId="12">
    <w:abstractNumId w:val="7"/>
  </w:num>
  <w:num w:numId="13">
    <w:abstractNumId w:val="15"/>
  </w:num>
  <w:num w:numId="14">
    <w:abstractNumId w:val="16"/>
  </w:num>
  <w:num w:numId="15">
    <w:abstractNumId w:val="1"/>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47"/>
    <w:next w:val="947"/>
    <w:link w:val="777"/>
    <w:uiPriority w:val="9"/>
    <w:qFormat/>
    <w:pPr>
      <w:keepLines/>
      <w:keepNext/>
      <w:spacing w:before="480" w:after="200"/>
      <w:outlineLvl w:val="0"/>
    </w:pPr>
    <w:rPr>
      <w:rFonts w:ascii="Arial" w:hAnsi="Arial" w:eastAsia="Arial" w:cs="Arial"/>
      <w:sz w:val="40"/>
      <w:szCs w:val="40"/>
    </w:rPr>
  </w:style>
  <w:style w:type="character" w:styleId="777">
    <w:name w:val="Heading 1 Char"/>
    <w:link w:val="776"/>
    <w:uiPriority w:val="9"/>
    <w:rPr>
      <w:rFonts w:ascii="Arial" w:hAnsi="Arial" w:eastAsia="Arial" w:cs="Arial"/>
      <w:sz w:val="40"/>
      <w:szCs w:val="40"/>
    </w:rPr>
  </w:style>
  <w:style w:type="paragraph" w:styleId="778">
    <w:name w:val="Heading 2"/>
    <w:basedOn w:val="947"/>
    <w:next w:val="947"/>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link w:val="778"/>
    <w:uiPriority w:val="9"/>
    <w:rPr>
      <w:rFonts w:ascii="Arial" w:hAnsi="Arial" w:eastAsia="Arial" w:cs="Arial"/>
      <w:sz w:val="34"/>
    </w:rPr>
  </w:style>
  <w:style w:type="paragraph" w:styleId="780">
    <w:name w:val="Heading 3"/>
    <w:basedOn w:val="947"/>
    <w:next w:val="947"/>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link w:val="780"/>
    <w:uiPriority w:val="9"/>
    <w:rPr>
      <w:rFonts w:ascii="Arial" w:hAnsi="Arial" w:eastAsia="Arial" w:cs="Arial"/>
      <w:sz w:val="30"/>
      <w:szCs w:val="30"/>
    </w:rPr>
  </w:style>
  <w:style w:type="paragraph" w:styleId="782">
    <w:name w:val="Heading 4"/>
    <w:basedOn w:val="947"/>
    <w:next w:val="947"/>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link w:val="782"/>
    <w:uiPriority w:val="9"/>
    <w:rPr>
      <w:rFonts w:ascii="Arial" w:hAnsi="Arial" w:eastAsia="Arial" w:cs="Arial"/>
      <w:b/>
      <w:bCs/>
      <w:sz w:val="26"/>
      <w:szCs w:val="26"/>
    </w:rPr>
  </w:style>
  <w:style w:type="paragraph" w:styleId="784">
    <w:name w:val="Heading 5"/>
    <w:basedOn w:val="947"/>
    <w:next w:val="947"/>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link w:val="784"/>
    <w:uiPriority w:val="9"/>
    <w:rPr>
      <w:rFonts w:ascii="Arial" w:hAnsi="Arial" w:eastAsia="Arial" w:cs="Arial"/>
      <w:b/>
      <w:bCs/>
      <w:sz w:val="24"/>
      <w:szCs w:val="24"/>
    </w:rPr>
  </w:style>
  <w:style w:type="paragraph" w:styleId="786">
    <w:name w:val="Heading 6"/>
    <w:basedOn w:val="947"/>
    <w:next w:val="947"/>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link w:val="786"/>
    <w:uiPriority w:val="9"/>
    <w:rPr>
      <w:rFonts w:ascii="Arial" w:hAnsi="Arial" w:eastAsia="Arial" w:cs="Arial"/>
      <w:b/>
      <w:bCs/>
      <w:sz w:val="22"/>
      <w:szCs w:val="22"/>
    </w:rPr>
  </w:style>
  <w:style w:type="paragraph" w:styleId="788">
    <w:name w:val="Heading 7"/>
    <w:basedOn w:val="947"/>
    <w:next w:val="947"/>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link w:val="788"/>
    <w:uiPriority w:val="9"/>
    <w:rPr>
      <w:rFonts w:ascii="Arial" w:hAnsi="Arial" w:eastAsia="Arial" w:cs="Arial"/>
      <w:b/>
      <w:bCs/>
      <w:i/>
      <w:iCs/>
      <w:sz w:val="22"/>
      <w:szCs w:val="22"/>
    </w:rPr>
  </w:style>
  <w:style w:type="paragraph" w:styleId="790">
    <w:name w:val="Heading 8"/>
    <w:basedOn w:val="947"/>
    <w:next w:val="947"/>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link w:val="790"/>
    <w:uiPriority w:val="9"/>
    <w:rPr>
      <w:rFonts w:ascii="Arial" w:hAnsi="Arial" w:eastAsia="Arial" w:cs="Arial"/>
      <w:i/>
      <w:iCs/>
      <w:sz w:val="22"/>
      <w:szCs w:val="22"/>
    </w:rPr>
  </w:style>
  <w:style w:type="paragraph" w:styleId="792">
    <w:name w:val="Heading 9"/>
    <w:basedOn w:val="947"/>
    <w:next w:val="947"/>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link w:val="792"/>
    <w:uiPriority w:val="9"/>
    <w:rPr>
      <w:rFonts w:ascii="Arial" w:hAnsi="Arial" w:eastAsia="Arial" w:cs="Arial"/>
      <w:i/>
      <w:iCs/>
      <w:sz w:val="21"/>
      <w:szCs w:val="21"/>
    </w:rPr>
  </w:style>
  <w:style w:type="paragraph" w:styleId="794">
    <w:name w:val="No Spacing"/>
    <w:uiPriority w:val="1"/>
    <w:qFormat/>
    <w:pPr>
      <w:spacing w:before="0" w:after="0" w:line="240" w:lineRule="auto"/>
    </w:pPr>
  </w:style>
  <w:style w:type="character" w:styleId="795">
    <w:name w:val="Title Char"/>
    <w:link w:val="1289"/>
    <w:uiPriority w:val="10"/>
    <w:rPr>
      <w:sz w:val="48"/>
      <w:szCs w:val="48"/>
    </w:rPr>
  </w:style>
  <w:style w:type="paragraph" w:styleId="796">
    <w:name w:val="Subtitle"/>
    <w:basedOn w:val="947"/>
    <w:next w:val="947"/>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Header"/>
    <w:basedOn w:val="947"/>
    <w:link w:val="799"/>
    <w:uiPriority w:val="99"/>
    <w:unhideWhenUsed/>
    <w:pPr>
      <w:spacing w:after="0" w:line="240" w:lineRule="auto"/>
      <w:tabs>
        <w:tab w:val="center" w:pos="7143" w:leader="none"/>
        <w:tab w:val="right" w:pos="14287" w:leader="none"/>
      </w:tabs>
    </w:pPr>
  </w:style>
  <w:style w:type="character" w:styleId="799">
    <w:name w:val="Header Char"/>
    <w:link w:val="798"/>
    <w:uiPriority w:val="99"/>
  </w:style>
  <w:style w:type="paragraph" w:styleId="800">
    <w:name w:val="Footer"/>
    <w:basedOn w:val="947"/>
    <w:link w:val="803"/>
    <w:uiPriority w:val="99"/>
    <w:unhideWhenUsed/>
    <w:pPr>
      <w:spacing w:after="0" w:line="240" w:lineRule="auto"/>
      <w:tabs>
        <w:tab w:val="center" w:pos="7143" w:leader="none"/>
        <w:tab w:val="right" w:pos="14287" w:leader="none"/>
      </w:tabs>
    </w:pPr>
  </w:style>
  <w:style w:type="character" w:styleId="801">
    <w:name w:val="Footer Char"/>
    <w:link w:val="800"/>
    <w:uiPriority w:val="99"/>
  </w:style>
  <w:style w:type="paragraph" w:styleId="802">
    <w:name w:val="Caption"/>
    <w:basedOn w:val="947"/>
    <w:next w:val="947"/>
    <w:uiPriority w:val="35"/>
    <w:semiHidden/>
    <w:unhideWhenUsed/>
    <w:qFormat/>
    <w:pPr>
      <w:spacing w:line="276" w:lineRule="auto"/>
    </w:pPr>
    <w:rPr>
      <w:b/>
      <w:bCs/>
      <w:color w:val="4f81bd" w:themeColor="accent1"/>
      <w:sz w:val="18"/>
      <w:szCs w:val="18"/>
    </w:rPr>
  </w:style>
  <w:style w:type="character" w:styleId="803">
    <w:name w:val="Caption Char"/>
    <w:basedOn w:val="802"/>
    <w:link w:val="800"/>
    <w:uiPriority w:val="99"/>
  </w:style>
  <w:style w:type="table" w:styleId="8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Hyperlink"/>
    <w:uiPriority w:val="99"/>
    <w:unhideWhenUsed/>
    <w:rPr>
      <w:color w:val="0000ff" w:themeColor="hyperlink"/>
      <w:u w:val="single"/>
    </w:rPr>
  </w:style>
  <w:style w:type="paragraph" w:styleId="931">
    <w:name w:val="footnote text"/>
    <w:basedOn w:val="947"/>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uiPriority w:val="99"/>
    <w:unhideWhenUsed/>
    <w:rPr>
      <w:vertAlign w:val="superscript"/>
    </w:rPr>
  </w:style>
  <w:style w:type="paragraph" w:styleId="934">
    <w:name w:val="endnote text"/>
    <w:basedOn w:val="947"/>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uiPriority w:val="99"/>
    <w:semiHidden/>
    <w:unhideWhenUsed/>
    <w:rPr>
      <w:vertAlign w:val="superscript"/>
    </w:rPr>
  </w:style>
  <w:style w:type="paragraph" w:styleId="937">
    <w:name w:val="toc 1"/>
    <w:basedOn w:val="947"/>
    <w:next w:val="947"/>
    <w:uiPriority w:val="39"/>
    <w:unhideWhenUsed/>
    <w:pPr>
      <w:ind w:left="0" w:right="0" w:firstLine="0"/>
      <w:spacing w:after="57"/>
    </w:pPr>
  </w:style>
  <w:style w:type="paragraph" w:styleId="938">
    <w:name w:val="toc 2"/>
    <w:basedOn w:val="947"/>
    <w:next w:val="947"/>
    <w:uiPriority w:val="39"/>
    <w:unhideWhenUsed/>
    <w:pPr>
      <w:ind w:left="283" w:right="0" w:firstLine="0"/>
      <w:spacing w:after="57"/>
    </w:pPr>
  </w:style>
  <w:style w:type="paragraph" w:styleId="939">
    <w:name w:val="toc 3"/>
    <w:basedOn w:val="947"/>
    <w:next w:val="947"/>
    <w:uiPriority w:val="39"/>
    <w:unhideWhenUsed/>
    <w:pPr>
      <w:ind w:left="567" w:right="0" w:firstLine="0"/>
      <w:spacing w:after="57"/>
    </w:pPr>
  </w:style>
  <w:style w:type="paragraph" w:styleId="940">
    <w:name w:val="toc 4"/>
    <w:basedOn w:val="947"/>
    <w:next w:val="947"/>
    <w:uiPriority w:val="39"/>
    <w:unhideWhenUsed/>
    <w:pPr>
      <w:ind w:left="850" w:right="0" w:firstLine="0"/>
      <w:spacing w:after="57"/>
    </w:pPr>
  </w:style>
  <w:style w:type="paragraph" w:styleId="941">
    <w:name w:val="toc 5"/>
    <w:basedOn w:val="947"/>
    <w:next w:val="947"/>
    <w:uiPriority w:val="39"/>
    <w:unhideWhenUsed/>
    <w:pPr>
      <w:ind w:left="1134" w:right="0" w:firstLine="0"/>
      <w:spacing w:after="57"/>
    </w:pPr>
  </w:style>
  <w:style w:type="paragraph" w:styleId="942">
    <w:name w:val="toc 6"/>
    <w:basedOn w:val="947"/>
    <w:next w:val="947"/>
    <w:uiPriority w:val="39"/>
    <w:unhideWhenUsed/>
    <w:pPr>
      <w:ind w:left="1417" w:right="0" w:firstLine="0"/>
      <w:spacing w:after="57"/>
    </w:pPr>
  </w:style>
  <w:style w:type="paragraph" w:styleId="943">
    <w:name w:val="toc 7"/>
    <w:basedOn w:val="947"/>
    <w:next w:val="947"/>
    <w:uiPriority w:val="39"/>
    <w:unhideWhenUsed/>
    <w:pPr>
      <w:ind w:left="1701" w:right="0" w:firstLine="0"/>
      <w:spacing w:after="57"/>
    </w:pPr>
  </w:style>
  <w:style w:type="paragraph" w:styleId="944">
    <w:name w:val="toc 8"/>
    <w:basedOn w:val="947"/>
    <w:next w:val="947"/>
    <w:uiPriority w:val="39"/>
    <w:unhideWhenUsed/>
    <w:pPr>
      <w:ind w:left="1984" w:right="0" w:firstLine="0"/>
      <w:spacing w:after="57"/>
    </w:pPr>
  </w:style>
  <w:style w:type="paragraph" w:styleId="945">
    <w:name w:val="toc 9"/>
    <w:basedOn w:val="947"/>
    <w:next w:val="947"/>
    <w:uiPriority w:val="39"/>
    <w:unhideWhenUsed/>
    <w:pPr>
      <w:ind w:left="2268" w:right="0" w:firstLine="0"/>
      <w:spacing w:after="57"/>
    </w:pPr>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sz w:val="21"/>
      <w:szCs w:val="24"/>
      <w:lang w:val="en-US" w:eastAsia="zh-CN" w:bidi="ar-SA"/>
    </w:rPr>
  </w:style>
  <w:style w:type="paragraph" w:styleId="948">
    <w:name w:val="标题 1"/>
    <w:basedOn w:val="947"/>
    <w:next w:val="960"/>
    <w:link w:val="959"/>
    <w:qFormat/>
    <w:pPr>
      <w:keepLines/>
      <w:keepNext/>
      <w:spacing w:before="340" w:after="330" w:line="576" w:lineRule="auto"/>
      <w:outlineLvl w:val="0"/>
    </w:pPr>
    <w:rPr>
      <w:rFonts w:ascii="Tahoma" w:hAnsi="Tahoma" w:eastAsia="楷体_GB2312"/>
      <w:b/>
      <w:sz w:val="44"/>
    </w:rPr>
  </w:style>
  <w:style w:type="paragraph" w:styleId="949">
    <w:name w:val="标题 2"/>
    <w:basedOn w:val="947"/>
    <w:next w:val="960"/>
    <w:link w:val="962"/>
    <w:qFormat/>
    <w:pPr>
      <w:spacing w:before="624" w:after="312"/>
      <w:outlineLvl w:val="1"/>
    </w:pPr>
    <w:rPr>
      <w:rFonts w:ascii="Arial" w:hAnsi="Arial" w:eastAsia="黑体"/>
      <w:b/>
      <w:bCs/>
      <w:color w:val="000000"/>
      <w:spacing w:val="16"/>
      <w:sz w:val="28"/>
      <w:szCs w:val="32"/>
      <w:lang w:val="en-US" w:eastAsia="zh-CN" w:bidi="ar-SA"/>
    </w:rPr>
  </w:style>
  <w:style w:type="paragraph" w:styleId="950">
    <w:name w:val="标题 3"/>
    <w:basedOn w:val="947"/>
    <w:next w:val="947"/>
    <w:link w:val="963"/>
    <w:qFormat/>
    <w:pPr>
      <w:ind w:right="238"/>
      <w:spacing w:before="468" w:after="468"/>
      <w:outlineLvl w:val="2"/>
    </w:pPr>
    <w:rPr>
      <w:rFonts w:ascii="宋体" w:hAnsi="宋体"/>
      <w:sz w:val="28"/>
      <w:szCs w:val="24"/>
      <w:lang w:val="en-US" w:eastAsia="zh-CN" w:bidi="ar-SA"/>
    </w:rPr>
  </w:style>
  <w:style w:type="paragraph" w:styleId="951">
    <w:name w:val="标题 4"/>
    <w:next w:val="947"/>
    <w:link w:val="964"/>
    <w:qFormat/>
    <w:pPr>
      <w:spacing w:before="468" w:after="468"/>
      <w:outlineLvl w:val="3"/>
    </w:pPr>
    <w:rPr>
      <w:rFonts w:ascii="宋体" w:hAnsi="宋体"/>
      <w:color w:val="000000"/>
      <w:sz w:val="24"/>
      <w:szCs w:val="28"/>
      <w:u w:val="single"/>
      <w:lang w:val="en-US" w:eastAsia="zh-CN" w:bidi="ar-SA"/>
    </w:rPr>
  </w:style>
  <w:style w:type="paragraph" w:styleId="952">
    <w:name w:val="标题 5"/>
    <w:basedOn w:val="947"/>
    <w:next w:val="947"/>
    <w:link w:val="965"/>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953">
    <w:name w:val="标题 6"/>
    <w:basedOn w:val="947"/>
    <w:next w:val="947"/>
    <w:link w:val="966"/>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954">
    <w:name w:val="标题 7"/>
    <w:basedOn w:val="947"/>
    <w:next w:val="947"/>
    <w:link w:val="967"/>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955">
    <w:name w:val="标题 8"/>
    <w:basedOn w:val="947"/>
    <w:next w:val="947"/>
    <w:link w:val="968"/>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56">
    <w:name w:val="标题 9"/>
    <w:basedOn w:val="947"/>
    <w:next w:val="947"/>
    <w:link w:val="96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57">
    <w:name w:val="默认段落字体"/>
    <w:next w:val="957"/>
    <w:link w:val="947"/>
    <w:rPr>
      <w:rFonts w:ascii="Tahoma" w:hAnsi="Tahoma" w:eastAsia="宋体"/>
      <w:sz w:val="24"/>
      <w:szCs w:val="24"/>
      <w:lang w:val="en-US" w:eastAsia="zh-CN" w:bidi="ar-SA"/>
    </w:rPr>
  </w:style>
  <w:style w:type="table" w:styleId="958">
    <w:name w:val="普通表格"/>
    <w:next w:val="958"/>
    <w:link w:val="947"/>
    <w:uiPriority w:val="99"/>
    <w:unhideWhenUsed/>
    <w:tblPr/>
  </w:style>
  <w:style w:type="character" w:styleId="959">
    <w:name w:val="标题 1 Char"/>
    <w:next w:val="959"/>
    <w:link w:val="948"/>
    <w:rPr>
      <w:rFonts w:ascii="Tahoma" w:hAnsi="Tahoma" w:eastAsia="楷体_GB2312"/>
      <w:b/>
      <w:sz w:val="44"/>
      <w:szCs w:val="24"/>
      <w:lang w:val="en-US" w:eastAsia="zh-CN" w:bidi="ar-SA"/>
    </w:rPr>
  </w:style>
  <w:style w:type="paragraph" w:styleId="960">
    <w:name w:val="正文缩进"/>
    <w:basedOn w:val="947"/>
    <w:next w:val="960"/>
    <w:link w:val="961"/>
    <w:qFormat/>
    <w:pPr>
      <w:ind w:firstLine="420"/>
      <w:jc w:val="left"/>
    </w:pPr>
    <w:rPr>
      <w:rFonts w:ascii="Tahoma" w:hAnsi="Tahoma" w:eastAsia="楷体_GB2312"/>
      <w:sz w:val="24"/>
    </w:rPr>
  </w:style>
  <w:style w:type="character" w:styleId="961">
    <w:name w:val="正文缩进 Char"/>
    <w:next w:val="961"/>
    <w:link w:val="960"/>
    <w:qFormat/>
    <w:rPr>
      <w:rFonts w:ascii="Tahoma" w:hAnsi="Tahoma" w:eastAsia="楷体_GB2312"/>
      <w:sz w:val="24"/>
      <w:szCs w:val="24"/>
      <w:lang w:val="en-US" w:eastAsia="zh-CN" w:bidi="ar-SA"/>
    </w:rPr>
  </w:style>
  <w:style w:type="character" w:styleId="962">
    <w:name w:val="标题 2 Char"/>
    <w:next w:val="962"/>
    <w:link w:val="949"/>
    <w:qFormat/>
    <w:rPr>
      <w:rFonts w:ascii="Arial" w:hAnsi="Arial" w:eastAsia="黑体"/>
      <w:b/>
      <w:bCs/>
      <w:color w:val="000000"/>
      <w:spacing w:val="16"/>
      <w:sz w:val="28"/>
      <w:szCs w:val="32"/>
      <w:lang w:val="en-US" w:eastAsia="zh-CN" w:bidi="ar-SA"/>
    </w:rPr>
  </w:style>
  <w:style w:type="character" w:styleId="963">
    <w:name w:val="标题 3 Char"/>
    <w:next w:val="963"/>
    <w:link w:val="950"/>
    <w:rPr>
      <w:rFonts w:ascii="宋体" w:hAnsi="宋体"/>
      <w:sz w:val="28"/>
      <w:szCs w:val="24"/>
      <w:lang w:val="en-US" w:eastAsia="zh-CN" w:bidi="ar-SA"/>
    </w:rPr>
  </w:style>
  <w:style w:type="character" w:styleId="964">
    <w:name w:val="标题 4 Char"/>
    <w:next w:val="964"/>
    <w:link w:val="951"/>
    <w:rPr>
      <w:rFonts w:ascii="宋体" w:hAnsi="宋体"/>
      <w:color w:val="000000"/>
      <w:sz w:val="24"/>
      <w:szCs w:val="28"/>
      <w:u w:val="single"/>
      <w:lang w:val="en-US" w:eastAsia="zh-CN" w:bidi="ar-SA"/>
    </w:rPr>
  </w:style>
  <w:style w:type="character" w:styleId="965">
    <w:name w:val="标题 5 Char"/>
    <w:next w:val="965"/>
    <w:link w:val="952"/>
    <w:rPr>
      <w:rFonts w:ascii="Tahoma" w:hAnsi="Tahoma" w:eastAsia="宋体"/>
      <w:b/>
      <w:bCs/>
      <w:sz w:val="28"/>
      <w:szCs w:val="28"/>
      <w:lang w:val="en-US" w:eastAsia="zh-CN" w:bidi="ar-SA"/>
    </w:rPr>
  </w:style>
  <w:style w:type="character" w:styleId="966">
    <w:name w:val="标题 6 Char"/>
    <w:next w:val="966"/>
    <w:link w:val="953"/>
    <w:rPr>
      <w:rFonts w:ascii="Arial" w:hAnsi="Arial" w:eastAsia="黑体"/>
      <w:b/>
      <w:bCs/>
      <w:sz w:val="24"/>
      <w:szCs w:val="24"/>
      <w:lang w:val="en-US" w:eastAsia="zh-CN" w:bidi="ar-SA"/>
    </w:rPr>
  </w:style>
  <w:style w:type="character" w:styleId="967">
    <w:name w:val="标题 7 Char"/>
    <w:next w:val="967"/>
    <w:link w:val="954"/>
    <w:rPr>
      <w:rFonts w:ascii="Tahoma" w:hAnsi="Tahoma" w:eastAsia="宋体"/>
      <w:b/>
      <w:bCs/>
      <w:sz w:val="24"/>
      <w:szCs w:val="24"/>
      <w:lang w:val="en-US" w:eastAsia="zh-CN" w:bidi="ar-SA"/>
    </w:rPr>
  </w:style>
  <w:style w:type="character" w:styleId="968">
    <w:name w:val="标题 8 Char"/>
    <w:next w:val="968"/>
    <w:link w:val="955"/>
    <w:rPr>
      <w:rFonts w:ascii="Arial" w:hAnsi="Arial" w:eastAsia="黑体"/>
      <w:sz w:val="24"/>
      <w:szCs w:val="24"/>
      <w:lang w:val="en-US" w:eastAsia="zh-CN" w:bidi="ar-SA"/>
    </w:rPr>
  </w:style>
  <w:style w:type="character" w:styleId="969">
    <w:name w:val="标题 9 Char"/>
    <w:next w:val="969"/>
    <w:link w:val="956"/>
    <w:rPr>
      <w:rFonts w:ascii="Arial" w:hAnsi="Arial" w:eastAsia="黑体"/>
      <w:sz w:val="21"/>
      <w:szCs w:val="21"/>
      <w:lang w:val="en-US" w:eastAsia="zh-CN" w:bidi="ar-SA"/>
    </w:rPr>
  </w:style>
  <w:style w:type="paragraph" w:styleId="970">
    <w:name w:val="列表 3"/>
    <w:basedOn w:val="947"/>
    <w:next w:val="970"/>
    <w:link w:val="947"/>
    <w:pPr>
      <w:ind w:left="1260" w:hanging="420"/>
    </w:pPr>
  </w:style>
  <w:style w:type="paragraph" w:styleId="971">
    <w:name w:val="目录 7"/>
    <w:basedOn w:val="947"/>
    <w:next w:val="947"/>
    <w:link w:val="947"/>
    <w:pPr>
      <w:ind w:left="1050"/>
      <w:jc w:val="left"/>
    </w:pPr>
    <w:rPr>
      <w:rFonts w:cs="Calibri"/>
      <w:sz w:val="20"/>
      <w:szCs w:val="20"/>
    </w:rPr>
  </w:style>
  <w:style w:type="paragraph" w:styleId="972">
    <w:name w:val="题注"/>
    <w:basedOn w:val="947"/>
    <w:next w:val="947"/>
    <w:link w:val="947"/>
    <w:qFormat/>
    <w:pPr>
      <w:jc w:val="left"/>
      <w:widowControl/>
    </w:pPr>
    <w:rPr>
      <w:rFonts w:ascii="Cambria" w:hAnsi="Cambria" w:eastAsia="黑体"/>
      <w:sz w:val="20"/>
      <w:szCs w:val="20"/>
    </w:rPr>
  </w:style>
  <w:style w:type="paragraph" w:styleId="973">
    <w:name w:val="文档结构图"/>
    <w:basedOn w:val="947"/>
    <w:next w:val="973"/>
    <w:link w:val="974"/>
    <w:qFormat/>
    <w:pPr>
      <w:shd w:val="clear" w:color="auto" w:fill="000080"/>
    </w:pPr>
  </w:style>
  <w:style w:type="character" w:styleId="974">
    <w:name w:val="文档结构图 Char"/>
    <w:next w:val="974"/>
    <w:link w:val="973"/>
    <w:rPr>
      <w:sz w:val="21"/>
      <w:szCs w:val="24"/>
      <w:shd w:val="clear" w:color="auto" w:fill="000080"/>
    </w:rPr>
  </w:style>
  <w:style w:type="paragraph" w:styleId="975">
    <w:name w:val="引文目录标题"/>
    <w:basedOn w:val="947"/>
    <w:next w:val="947"/>
    <w:link w:val="947"/>
    <w:uiPriority w:val="99"/>
    <w:qFormat/>
    <w:pPr>
      <w:spacing w:before="120"/>
    </w:pPr>
    <w:rPr>
      <w:rFonts w:ascii="Cambria" w:hAnsi="Cambria"/>
      <w:sz w:val="24"/>
    </w:rPr>
  </w:style>
  <w:style w:type="paragraph" w:styleId="976">
    <w:name w:val="批注文字"/>
    <w:basedOn w:val="947"/>
    <w:next w:val="976"/>
    <w:link w:val="977"/>
    <w:uiPriority w:val="99"/>
    <w:qFormat/>
    <w:pPr>
      <w:jc w:val="left"/>
    </w:pPr>
    <w:rPr>
      <w:rFonts w:ascii="Tahoma" w:hAnsi="Tahoma"/>
    </w:rPr>
  </w:style>
  <w:style w:type="character" w:styleId="977">
    <w:name w:val="批注文字 Char"/>
    <w:next w:val="977"/>
    <w:link w:val="976"/>
    <w:uiPriority w:val="99"/>
    <w:qFormat/>
    <w:rPr>
      <w:rFonts w:ascii="Tahoma" w:hAnsi="Tahoma" w:eastAsia="宋体"/>
      <w:sz w:val="21"/>
      <w:szCs w:val="24"/>
      <w:lang w:val="en-US" w:eastAsia="zh-CN" w:bidi="ar-SA"/>
    </w:rPr>
  </w:style>
  <w:style w:type="paragraph" w:styleId="978">
    <w:name w:val="称呼"/>
    <w:basedOn w:val="947"/>
    <w:next w:val="947"/>
    <w:link w:val="979"/>
    <w:semiHidden/>
    <w:rPr>
      <w:sz w:val="20"/>
      <w:szCs w:val="20"/>
    </w:rPr>
  </w:style>
  <w:style w:type="character" w:styleId="979">
    <w:name w:val="称呼 Char"/>
    <w:next w:val="979"/>
    <w:link w:val="978"/>
    <w:semiHidden/>
  </w:style>
  <w:style w:type="paragraph" w:styleId="980">
    <w:name w:val="正文文本 3"/>
    <w:basedOn w:val="947"/>
    <w:next w:val="980"/>
    <w:link w:val="981"/>
    <w:uiPriority w:val="99"/>
    <w:pPr>
      <w:spacing w:after="120"/>
    </w:pPr>
    <w:rPr>
      <w:rFonts w:ascii="Tahoma" w:hAnsi="Tahoma"/>
      <w:sz w:val="16"/>
      <w:szCs w:val="16"/>
    </w:rPr>
  </w:style>
  <w:style w:type="character" w:styleId="981">
    <w:name w:val="正文文本 3 Char"/>
    <w:next w:val="981"/>
    <w:link w:val="980"/>
    <w:uiPriority w:val="99"/>
    <w:rPr>
      <w:rFonts w:ascii="Tahoma" w:hAnsi="Tahoma" w:eastAsia="宋体"/>
      <w:sz w:val="16"/>
      <w:szCs w:val="16"/>
      <w:lang w:val="en-US" w:eastAsia="zh-CN" w:bidi="ar-SA"/>
    </w:rPr>
  </w:style>
  <w:style w:type="paragraph" w:styleId="982">
    <w:name w:val="正文文本"/>
    <w:basedOn w:val="947"/>
    <w:next w:val="982"/>
    <w:link w:val="983"/>
    <w:qFormat/>
    <w:pPr>
      <w:spacing w:line="400" w:lineRule="exact"/>
    </w:pPr>
    <w:rPr>
      <w:rFonts w:ascii="楷体_GB2312" w:eastAsia="楷体_GB2312"/>
      <w:sz w:val="28"/>
      <w:szCs w:val="20"/>
    </w:rPr>
  </w:style>
  <w:style w:type="character" w:styleId="983">
    <w:name w:val="正文文本 Char"/>
    <w:next w:val="983"/>
    <w:link w:val="982"/>
    <w:rPr>
      <w:rFonts w:ascii="楷体_GB2312" w:eastAsia="楷体_GB2312"/>
      <w:sz w:val="28"/>
    </w:rPr>
  </w:style>
  <w:style w:type="paragraph" w:styleId="984">
    <w:name w:val="正文文本缩进"/>
    <w:basedOn w:val="947"/>
    <w:next w:val="984"/>
    <w:link w:val="985"/>
    <w:uiPriority w:val="99"/>
    <w:qFormat/>
    <w:pPr>
      <w:ind w:firstLine="435"/>
      <w:spacing w:line="260" w:lineRule="exact"/>
    </w:pPr>
    <w:rPr>
      <w:rFonts w:ascii="Tahoma" w:hAnsi="Tahoma"/>
      <w:sz w:val="18"/>
    </w:rPr>
  </w:style>
  <w:style w:type="character" w:styleId="985">
    <w:name w:val="正文文本缩进 Char"/>
    <w:next w:val="985"/>
    <w:link w:val="984"/>
    <w:uiPriority w:val="99"/>
    <w:rPr>
      <w:rFonts w:ascii="Tahoma" w:hAnsi="Tahoma" w:eastAsia="宋体"/>
      <w:sz w:val="18"/>
      <w:szCs w:val="24"/>
      <w:lang w:val="en-US" w:eastAsia="zh-CN" w:bidi="ar-SA"/>
    </w:rPr>
  </w:style>
  <w:style w:type="paragraph" w:styleId="986">
    <w:name w:val="列表 2"/>
    <w:basedOn w:val="947"/>
    <w:next w:val="986"/>
    <w:link w:val="947"/>
    <w:pPr>
      <w:ind w:left="840" w:hanging="420"/>
    </w:pPr>
  </w:style>
  <w:style w:type="paragraph" w:styleId="987">
    <w:name w:val="文本块"/>
    <w:basedOn w:val="947"/>
    <w:next w:val="987"/>
    <w:link w:val="947"/>
    <w:qFormat/>
    <w:pPr>
      <w:ind w:left="630" w:right="-609" w:firstLine="420"/>
      <w:jc w:val="left"/>
      <w:spacing w:line="360" w:lineRule="auto"/>
      <w:widowControl/>
    </w:pPr>
    <w:rPr>
      <w:rFonts w:hint="eastAsia" w:ascii="仿宋_GB2312" w:eastAsia="仿宋_GB2312"/>
      <w:sz w:val="24"/>
      <w:szCs w:val="20"/>
    </w:rPr>
  </w:style>
  <w:style w:type="paragraph" w:styleId="988">
    <w:name w:val="索引 4"/>
    <w:basedOn w:val="947"/>
    <w:next w:val="947"/>
    <w:link w:val="947"/>
    <w:pPr>
      <w:ind w:left="600"/>
    </w:pPr>
  </w:style>
  <w:style w:type="paragraph" w:styleId="989">
    <w:name w:val="目录 5"/>
    <w:basedOn w:val="947"/>
    <w:next w:val="947"/>
    <w:link w:val="947"/>
    <w:pPr>
      <w:ind w:left="1680"/>
    </w:pPr>
  </w:style>
  <w:style w:type="paragraph" w:styleId="990">
    <w:name w:val="目录 3"/>
    <w:basedOn w:val="947"/>
    <w:next w:val="947"/>
    <w:link w:val="947"/>
    <w:qFormat/>
    <w:pPr>
      <w:ind w:left="840"/>
    </w:pPr>
  </w:style>
  <w:style w:type="paragraph" w:styleId="991">
    <w:name w:val="纯文本"/>
    <w:basedOn w:val="947"/>
    <w:next w:val="991"/>
    <w:link w:val="992"/>
    <w:qFormat/>
    <w:rPr>
      <w:rFonts w:ascii="宋体" w:hAnsi="Courier New" w:eastAsia="楷体_GB2312"/>
      <w:sz w:val="28"/>
    </w:rPr>
  </w:style>
  <w:style w:type="character" w:styleId="992">
    <w:name w:val="纯文本 Char"/>
    <w:next w:val="992"/>
    <w:link w:val="991"/>
    <w:rPr>
      <w:rFonts w:ascii="宋体" w:hAnsi="Courier New" w:eastAsia="楷体_GB2312"/>
      <w:sz w:val="28"/>
      <w:szCs w:val="24"/>
      <w:lang w:val="en-US" w:eastAsia="zh-CN" w:bidi="ar-SA"/>
    </w:rPr>
  </w:style>
  <w:style w:type="paragraph" w:styleId="993">
    <w:name w:val="目录 8"/>
    <w:basedOn w:val="947"/>
    <w:next w:val="947"/>
    <w:link w:val="947"/>
    <w:pPr>
      <w:ind w:left="1260"/>
      <w:jc w:val="left"/>
    </w:pPr>
    <w:rPr>
      <w:rFonts w:cs="Calibri"/>
      <w:sz w:val="20"/>
      <w:szCs w:val="20"/>
    </w:rPr>
  </w:style>
  <w:style w:type="paragraph" w:styleId="994">
    <w:name w:val="日期"/>
    <w:basedOn w:val="947"/>
    <w:next w:val="947"/>
    <w:link w:val="995"/>
    <w:qFormat/>
    <w:rPr>
      <w:rFonts w:ascii="宋体" w:hAnsi="宋体" w:eastAsia="楷体_GB2312"/>
      <w:sz w:val="24"/>
    </w:rPr>
  </w:style>
  <w:style w:type="character" w:styleId="995">
    <w:name w:val="日期 Char"/>
    <w:next w:val="995"/>
    <w:link w:val="994"/>
    <w:rPr>
      <w:rFonts w:ascii="宋体" w:hAnsi="宋体" w:eastAsia="楷体_GB2312"/>
      <w:sz w:val="24"/>
      <w:szCs w:val="24"/>
      <w:lang w:val="en-US" w:eastAsia="zh-CN" w:bidi="ar-SA"/>
    </w:rPr>
  </w:style>
  <w:style w:type="paragraph" w:styleId="996">
    <w:name w:val="正文文本缩进 2"/>
    <w:basedOn w:val="947"/>
    <w:next w:val="996"/>
    <w:link w:val="997"/>
    <w:uiPriority w:val="99"/>
    <w:qFormat/>
    <w:pPr>
      <w:ind w:left="420"/>
      <w:spacing w:after="120" w:line="480" w:lineRule="auto"/>
    </w:pPr>
    <w:rPr>
      <w:rFonts w:ascii="Tahoma" w:hAnsi="Tahoma"/>
    </w:rPr>
  </w:style>
  <w:style w:type="character" w:styleId="997">
    <w:name w:val="正文文本缩进 2 Char"/>
    <w:next w:val="997"/>
    <w:link w:val="996"/>
    <w:uiPriority w:val="99"/>
    <w:rPr>
      <w:rFonts w:ascii="Tahoma" w:hAnsi="Tahoma" w:eastAsia="宋体"/>
      <w:sz w:val="21"/>
      <w:szCs w:val="24"/>
      <w:lang w:val="en-US" w:eastAsia="zh-CN" w:bidi="ar-SA"/>
    </w:rPr>
  </w:style>
  <w:style w:type="paragraph" w:styleId="998">
    <w:name w:val="批注框文本"/>
    <w:basedOn w:val="947"/>
    <w:next w:val="998"/>
    <w:link w:val="999"/>
    <w:qFormat/>
    <w:rPr>
      <w:sz w:val="18"/>
      <w:szCs w:val="18"/>
    </w:rPr>
  </w:style>
  <w:style w:type="character" w:styleId="999">
    <w:name w:val="批注框文本 Char"/>
    <w:next w:val="999"/>
    <w:link w:val="998"/>
    <w:qFormat/>
    <w:rPr>
      <w:sz w:val="18"/>
      <w:szCs w:val="18"/>
    </w:rPr>
  </w:style>
  <w:style w:type="paragraph" w:styleId="1000">
    <w:name w:val="页脚"/>
    <w:basedOn w:val="947"/>
    <w:next w:val="1000"/>
    <w:link w:val="1001"/>
    <w:uiPriority w:val="99"/>
    <w:qFormat/>
    <w:pPr>
      <w:jc w:val="left"/>
      <w:tabs>
        <w:tab w:val="center" w:pos="4153" w:leader="none"/>
        <w:tab w:val="right" w:pos="8306" w:leader="none"/>
      </w:tabs>
    </w:pPr>
    <w:rPr>
      <w:rFonts w:ascii="Tahoma" w:hAnsi="Tahoma" w:eastAsia="楷体_GB2312"/>
      <w:sz w:val="18"/>
    </w:rPr>
  </w:style>
  <w:style w:type="character" w:styleId="1001">
    <w:name w:val="页脚 Char"/>
    <w:next w:val="1001"/>
    <w:link w:val="1000"/>
    <w:uiPriority w:val="99"/>
    <w:rPr>
      <w:rFonts w:ascii="Tahoma" w:hAnsi="Tahoma" w:eastAsia="楷体_GB2312"/>
      <w:sz w:val="18"/>
      <w:szCs w:val="24"/>
      <w:lang w:val="en-US" w:eastAsia="zh-CN" w:bidi="ar-SA"/>
    </w:rPr>
  </w:style>
  <w:style w:type="paragraph" w:styleId="1002">
    <w:name w:val="页眉"/>
    <w:basedOn w:val="947"/>
    <w:next w:val="1002"/>
    <w:link w:val="1003"/>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03">
    <w:name w:val="页眉 Char"/>
    <w:next w:val="1003"/>
    <w:link w:val="1002"/>
    <w:rPr>
      <w:rFonts w:ascii="Tahoma" w:hAnsi="Tahoma" w:eastAsia="楷体_GB2312"/>
      <w:sz w:val="18"/>
      <w:szCs w:val="24"/>
      <w:lang w:val="en-US" w:eastAsia="zh-CN" w:bidi="ar-SA"/>
    </w:rPr>
  </w:style>
  <w:style w:type="paragraph" w:styleId="1004">
    <w:name w:val="目录 1"/>
    <w:basedOn w:val="947"/>
    <w:next w:val="947"/>
    <w:link w:val="947"/>
    <w:uiPriority w:val="39"/>
    <w:qFormat/>
    <w:pPr>
      <w:jc w:val="left"/>
    </w:pPr>
    <w:rPr>
      <w:rFonts w:eastAsia="楷体_GB2312"/>
      <w:sz w:val="24"/>
      <w:szCs w:val="20"/>
    </w:rPr>
  </w:style>
  <w:style w:type="paragraph" w:styleId="1005">
    <w:name w:val="列表接续 4"/>
    <w:basedOn w:val="947"/>
    <w:next w:val="1005"/>
    <w:link w:val="947"/>
    <w:pPr>
      <w:ind w:left="1680"/>
      <w:spacing w:after="120"/>
    </w:pPr>
  </w:style>
  <w:style w:type="paragraph" w:styleId="1006">
    <w:name w:val="目录 4"/>
    <w:basedOn w:val="947"/>
    <w:next w:val="947"/>
    <w:link w:val="947"/>
    <w:pPr>
      <w:ind w:left="1260"/>
    </w:pPr>
  </w:style>
  <w:style w:type="paragraph" w:styleId="1007">
    <w:name w:val="索引标题"/>
    <w:basedOn w:val="947"/>
    <w:next w:val="1008"/>
    <w:link w:val="947"/>
    <w:rPr>
      <w:rFonts w:ascii="Arial" w:hAnsi="Arial" w:cs="Arial"/>
      <w:b/>
      <w:bCs/>
    </w:rPr>
  </w:style>
  <w:style w:type="paragraph" w:styleId="1008">
    <w:name w:val="索引 1"/>
    <w:basedOn w:val="947"/>
    <w:next w:val="947"/>
    <w:link w:val="947"/>
  </w:style>
  <w:style w:type="paragraph" w:styleId="1009">
    <w:name w:val="副标题"/>
    <w:basedOn w:val="947"/>
    <w:next w:val="1009"/>
    <w:link w:val="1010"/>
    <w:qFormat/>
    <w:pPr>
      <w:jc w:val="left"/>
      <w:spacing w:before="100" w:beforeAutospacing="1" w:after="100" w:afterAutospacing="1"/>
      <w:widowControl/>
    </w:pPr>
    <w:rPr>
      <w:rFonts w:ascii="宋体" w:hAnsi="宋体" w:cs="宋体"/>
      <w:sz w:val="24"/>
    </w:rPr>
  </w:style>
  <w:style w:type="character" w:styleId="1010">
    <w:name w:val="副标题 Char"/>
    <w:next w:val="1010"/>
    <w:link w:val="1009"/>
    <w:rPr>
      <w:rFonts w:ascii="宋体" w:hAnsi="宋体" w:cs="宋体"/>
      <w:sz w:val="24"/>
      <w:szCs w:val="24"/>
    </w:rPr>
  </w:style>
  <w:style w:type="paragraph" w:styleId="1011">
    <w:name w:val="列表"/>
    <w:basedOn w:val="947"/>
    <w:next w:val="1011"/>
    <w:link w:val="947"/>
    <w:uiPriority w:val="99"/>
    <w:unhideWhenUsed/>
    <w:pPr>
      <w:contextualSpacing/>
      <w:ind w:left="200" w:hanging="200"/>
    </w:pPr>
  </w:style>
  <w:style w:type="paragraph" w:styleId="1012">
    <w:name w:val="脚注文本"/>
    <w:basedOn w:val="947"/>
    <w:next w:val="1012"/>
    <w:link w:val="1013"/>
    <w:unhideWhenUsed/>
    <w:pPr>
      <w:jc w:val="left"/>
    </w:pPr>
    <w:rPr>
      <w:rFonts w:ascii="Tahoma" w:hAnsi="Tahoma"/>
      <w:sz w:val="18"/>
      <w:szCs w:val="18"/>
    </w:rPr>
  </w:style>
  <w:style w:type="character" w:styleId="1013">
    <w:name w:val="脚注文本 Char"/>
    <w:next w:val="1013"/>
    <w:link w:val="1012"/>
    <w:rPr>
      <w:rFonts w:ascii="Tahoma" w:hAnsi="Tahoma" w:eastAsia="宋体"/>
      <w:sz w:val="18"/>
      <w:szCs w:val="18"/>
      <w:lang w:val="en-US" w:eastAsia="zh-CN" w:bidi="ar-SA"/>
    </w:rPr>
  </w:style>
  <w:style w:type="paragraph" w:styleId="1014">
    <w:name w:val="目录 6"/>
    <w:basedOn w:val="947"/>
    <w:next w:val="947"/>
    <w:link w:val="947"/>
    <w:pPr>
      <w:ind w:left="840"/>
      <w:jc w:val="left"/>
    </w:pPr>
    <w:rPr>
      <w:rFonts w:cs="Calibri"/>
      <w:sz w:val="20"/>
      <w:szCs w:val="20"/>
    </w:rPr>
  </w:style>
  <w:style w:type="paragraph" w:styleId="1015">
    <w:name w:val="正文文本缩进 3"/>
    <w:basedOn w:val="947"/>
    <w:next w:val="1015"/>
    <w:link w:val="1016"/>
    <w:uiPriority w:val="99"/>
    <w:qFormat/>
    <w:pPr>
      <w:ind w:left="420"/>
      <w:spacing w:after="120"/>
    </w:pPr>
    <w:rPr>
      <w:sz w:val="16"/>
      <w:szCs w:val="16"/>
    </w:rPr>
  </w:style>
  <w:style w:type="character" w:styleId="1016">
    <w:name w:val="正文文本缩进 3 Char"/>
    <w:next w:val="1016"/>
    <w:link w:val="1015"/>
    <w:uiPriority w:val="99"/>
    <w:rPr>
      <w:sz w:val="16"/>
      <w:szCs w:val="16"/>
    </w:rPr>
  </w:style>
  <w:style w:type="paragraph" w:styleId="1017">
    <w:name w:val="图表目录"/>
    <w:basedOn w:val="947"/>
    <w:next w:val="947"/>
    <w:link w:val="947"/>
    <w:qFormat/>
    <w:pPr>
      <w:ind w:left="840" w:hanging="420"/>
      <w:jc w:val="left"/>
      <w:widowControl/>
    </w:pPr>
    <w:rPr>
      <w:sz w:val="24"/>
    </w:rPr>
  </w:style>
  <w:style w:type="paragraph" w:styleId="1018">
    <w:name w:val="目录 2"/>
    <w:basedOn w:val="947"/>
    <w:next w:val="947"/>
    <w:link w:val="947"/>
    <w:qFormat/>
    <w:pPr>
      <w:ind w:left="420"/>
    </w:pPr>
  </w:style>
  <w:style w:type="paragraph" w:styleId="1019">
    <w:name w:val="目录 9"/>
    <w:basedOn w:val="947"/>
    <w:next w:val="947"/>
    <w:link w:val="947"/>
    <w:pPr>
      <w:ind w:left="3360"/>
    </w:pPr>
    <w:rPr>
      <w:rFonts w:eastAsia="楷体_GB2312"/>
      <w:sz w:val="28"/>
      <w:szCs w:val="20"/>
    </w:rPr>
  </w:style>
  <w:style w:type="paragraph" w:styleId="1020">
    <w:name w:val="正文文本 2"/>
    <w:basedOn w:val="947"/>
    <w:next w:val="1020"/>
    <w:link w:val="1021"/>
    <w:qFormat/>
    <w:pPr>
      <w:spacing w:after="120" w:line="480" w:lineRule="auto"/>
    </w:pPr>
    <w:rPr>
      <w:rFonts w:ascii="Tahoma" w:hAnsi="Tahoma"/>
    </w:rPr>
  </w:style>
  <w:style w:type="character" w:styleId="1021">
    <w:name w:val="正文文本 2 Char1"/>
    <w:next w:val="1021"/>
    <w:link w:val="1020"/>
    <w:rPr>
      <w:rFonts w:ascii="Tahoma" w:hAnsi="Tahoma" w:eastAsia="宋体"/>
      <w:sz w:val="21"/>
      <w:szCs w:val="24"/>
      <w:lang w:val="en-US" w:eastAsia="zh-CN" w:bidi="ar-SA"/>
    </w:rPr>
  </w:style>
  <w:style w:type="paragraph" w:styleId="1022">
    <w:name w:val="列表接续 2"/>
    <w:basedOn w:val="947"/>
    <w:next w:val="1022"/>
    <w:link w:val="947"/>
    <w:pPr>
      <w:ind w:left="840"/>
      <w:spacing w:after="120"/>
    </w:pPr>
  </w:style>
  <w:style w:type="paragraph" w:styleId="1023">
    <w:name w:val="HTML 预设格式"/>
    <w:basedOn w:val="947"/>
    <w:next w:val="1023"/>
    <w:link w:val="1024"/>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024">
    <w:name w:val="HTML 预设格式 Char"/>
    <w:next w:val="1024"/>
    <w:link w:val="1023"/>
    <w:uiPriority w:val="99"/>
    <w:rPr>
      <w:rFonts w:ascii="Arial" w:hAnsi="Arial" w:cs="Arial"/>
      <w:sz w:val="24"/>
      <w:szCs w:val="24"/>
    </w:rPr>
  </w:style>
  <w:style w:type="paragraph" w:styleId="1025">
    <w:name w:val="普通(网站)"/>
    <w:basedOn w:val="947"/>
    <w:next w:val="1025"/>
    <w:link w:val="947"/>
    <w:uiPriority w:val="99"/>
    <w:qFormat/>
    <w:pPr>
      <w:jc w:val="left"/>
      <w:spacing w:before="100" w:beforeAutospacing="1" w:after="100" w:afterAutospacing="1"/>
      <w:widowControl/>
    </w:pPr>
    <w:rPr>
      <w:rFonts w:ascii="宋体" w:hAnsi="宋体"/>
      <w:sz w:val="24"/>
    </w:rPr>
  </w:style>
  <w:style w:type="paragraph" w:styleId="1026">
    <w:name w:val="索引 2"/>
    <w:basedOn w:val="947"/>
    <w:next w:val="947"/>
    <w:link w:val="947"/>
    <w:qFormat/>
    <w:pPr>
      <w:ind w:left="420"/>
    </w:pPr>
    <w:rPr>
      <w:rFonts w:eastAsia="楷体_GB2312"/>
      <w:sz w:val="28"/>
      <w:szCs w:val="20"/>
    </w:rPr>
  </w:style>
  <w:style w:type="paragraph" w:styleId="1027">
    <w:name w:val="标题"/>
    <w:basedOn w:val="947"/>
    <w:next w:val="947"/>
    <w:link w:val="1028"/>
    <w:qFormat/>
    <w:pPr>
      <w:jc w:val="center"/>
      <w:spacing w:before="240" w:after="60"/>
      <w:outlineLvl w:val="0"/>
    </w:pPr>
    <w:rPr>
      <w:rFonts w:ascii="Cambria" w:hAnsi="Cambria"/>
      <w:b/>
      <w:bCs/>
      <w:sz w:val="32"/>
      <w:szCs w:val="32"/>
    </w:rPr>
  </w:style>
  <w:style w:type="character" w:styleId="1028">
    <w:name w:val="标题 Char"/>
    <w:next w:val="1028"/>
    <w:link w:val="1027"/>
    <w:rPr>
      <w:rFonts w:ascii="Cambria" w:hAnsi="Cambria"/>
      <w:b/>
      <w:bCs/>
      <w:sz w:val="32"/>
      <w:szCs w:val="32"/>
    </w:rPr>
  </w:style>
  <w:style w:type="paragraph" w:styleId="1029">
    <w:name w:val="批注主题"/>
    <w:basedOn w:val="976"/>
    <w:next w:val="976"/>
    <w:link w:val="1030"/>
    <w:qFormat/>
    <w:rPr>
      <w:b/>
      <w:bCs/>
    </w:rPr>
  </w:style>
  <w:style w:type="character" w:styleId="1030">
    <w:name w:val="批注主题 Char"/>
    <w:next w:val="1030"/>
    <w:link w:val="1029"/>
    <w:rPr>
      <w:lang w:val="en-US" w:eastAsia="zh-CN" w:bidi="ar-SA"/>
    </w:rPr>
  </w:style>
  <w:style w:type="paragraph" w:styleId="1031">
    <w:name w:val="正文首行缩进"/>
    <w:basedOn w:val="982"/>
    <w:next w:val="1031"/>
    <w:link w:val="1032"/>
    <w:qFormat/>
    <w:pPr>
      <w:ind w:firstLine="420"/>
      <w:spacing w:after="120" w:line="240" w:lineRule="auto"/>
    </w:pPr>
    <w:rPr>
      <w:rFonts w:ascii="Times New Roman" w:eastAsia="宋体"/>
      <w:sz w:val="21"/>
      <w:szCs w:val="24"/>
    </w:rPr>
  </w:style>
  <w:style w:type="character" w:styleId="1032">
    <w:name w:val="正文首行缩进 Char"/>
    <w:next w:val="1032"/>
    <w:link w:val="1031"/>
    <w:rPr>
      <w:sz w:val="21"/>
      <w:szCs w:val="24"/>
    </w:rPr>
  </w:style>
  <w:style w:type="paragraph" w:styleId="1033">
    <w:name w:val="正文首行缩进 2"/>
    <w:basedOn w:val="984"/>
    <w:next w:val="1033"/>
    <w:link w:val="1034"/>
    <w:pPr>
      <w:ind w:left="420" w:firstLine="420"/>
      <w:spacing w:after="120" w:line="240" w:lineRule="auto"/>
    </w:pPr>
    <w:rPr>
      <w:sz w:val="21"/>
    </w:rPr>
  </w:style>
  <w:style w:type="character" w:styleId="1034">
    <w:name w:val="正文首行缩进 2 Char"/>
    <w:next w:val="1034"/>
    <w:link w:val="1033"/>
    <w:rPr>
      <w:rFonts w:ascii="Tahoma" w:hAnsi="Tahoma"/>
      <w:sz w:val="21"/>
      <w:szCs w:val="24"/>
    </w:rPr>
  </w:style>
  <w:style w:type="table" w:styleId="1035">
    <w:name w:val="网格型"/>
    <w:basedOn w:val="958"/>
    <w:next w:val="1035"/>
    <w:link w:val="947"/>
    <w:qFormat/>
    <w:rPr>
      <w:rFonts w:ascii="Calibri" w:hAnsi="Calibri" w:eastAsia="宋体" w:cs="Times New Roman"/>
      <w:sz w:val="21"/>
      <w:szCs w:val="22"/>
    </w:rPr>
    <w:tblPr/>
  </w:style>
  <w:style w:type="character" w:styleId="1036">
    <w:name w:val="要点"/>
    <w:next w:val="1036"/>
    <w:link w:val="947"/>
    <w:uiPriority w:val="22"/>
    <w:qFormat/>
    <w:rPr>
      <w:rFonts w:ascii="Tahoma" w:hAnsi="Tahoma" w:eastAsia="宋体"/>
      <w:b/>
      <w:bCs/>
      <w:sz w:val="24"/>
      <w:szCs w:val="24"/>
      <w:lang w:val="en-US" w:eastAsia="zh-CN" w:bidi="ar-SA"/>
    </w:rPr>
  </w:style>
  <w:style w:type="character" w:styleId="1037">
    <w:name w:val="页码"/>
    <w:next w:val="1037"/>
    <w:link w:val="947"/>
    <w:qFormat/>
    <w:rPr>
      <w:lang w:val="en-US" w:eastAsia="zh-CN" w:bidi="ar-SA"/>
    </w:rPr>
  </w:style>
  <w:style w:type="character" w:styleId="1038">
    <w:name w:val="已访问的超链接"/>
    <w:next w:val="1038"/>
    <w:link w:val="947"/>
    <w:uiPriority w:val="99"/>
    <w:qFormat/>
    <w:rPr>
      <w:rFonts w:ascii="Tahoma" w:hAnsi="Tahoma" w:eastAsia="宋体"/>
      <w:color w:val="800080"/>
      <w:sz w:val="24"/>
      <w:szCs w:val="24"/>
      <w:u w:val="single"/>
      <w:lang w:val="en-US" w:eastAsia="zh-CN" w:bidi="ar-SA"/>
    </w:rPr>
  </w:style>
  <w:style w:type="character" w:styleId="1039">
    <w:name w:val="强调"/>
    <w:next w:val="1039"/>
    <w:link w:val="947"/>
    <w:uiPriority w:val="20"/>
    <w:qFormat/>
    <w:rPr>
      <w:i/>
      <w:iCs/>
      <w:lang w:val="en-US" w:eastAsia="zh-CN" w:bidi="ar-SA"/>
    </w:rPr>
  </w:style>
  <w:style w:type="character" w:styleId="1040">
    <w:name w:val="行号"/>
    <w:next w:val="1040"/>
    <w:link w:val="947"/>
  </w:style>
  <w:style w:type="character" w:styleId="1041">
    <w:name w:val="HTML 打字机"/>
    <w:next w:val="1041"/>
    <w:link w:val="947"/>
    <w:rPr>
      <w:rFonts w:ascii="黑体" w:hAnsi="Courier New" w:eastAsia="黑体" w:cs="Courier New"/>
      <w:sz w:val="14"/>
      <w:szCs w:val="14"/>
      <w:lang w:val="en-US" w:eastAsia="zh-CN" w:bidi="ar-SA"/>
    </w:rPr>
  </w:style>
  <w:style w:type="character" w:styleId="1042">
    <w:name w:val="超链接"/>
    <w:next w:val="1042"/>
    <w:link w:val="947"/>
    <w:uiPriority w:val="99"/>
    <w:rPr>
      <w:rFonts w:ascii="Arial" w:hAnsi="Arial" w:eastAsia="宋体" w:cs="Arial"/>
      <w:color w:val="2200cc"/>
      <w:sz w:val="24"/>
      <w:szCs w:val="24"/>
      <w:u w:val="single"/>
      <w:lang w:val="en-US" w:eastAsia="zh-CN" w:bidi="ar-SA"/>
    </w:rPr>
  </w:style>
  <w:style w:type="character" w:styleId="1043">
    <w:name w:val="批注引用"/>
    <w:next w:val="1043"/>
    <w:link w:val="947"/>
    <w:uiPriority w:val="99"/>
    <w:unhideWhenUsed/>
    <w:qFormat/>
    <w:rPr>
      <w:rFonts w:ascii="Tahoma" w:hAnsi="Tahoma" w:eastAsia="宋体"/>
      <w:sz w:val="21"/>
      <w:szCs w:val="21"/>
      <w:lang w:val="en-US" w:eastAsia="zh-CN" w:bidi="ar-SA"/>
    </w:rPr>
  </w:style>
  <w:style w:type="character" w:styleId="1044">
    <w:name w:val="脚注引用"/>
    <w:next w:val="1044"/>
    <w:link w:val="947"/>
    <w:uiPriority w:val="99"/>
    <w:unhideWhenUsed/>
    <w:rPr>
      <w:rFonts w:ascii="Tahoma" w:hAnsi="Tahoma" w:eastAsia="宋体"/>
      <w:sz w:val="24"/>
      <w:szCs w:val="24"/>
      <w:vertAlign w:val="superscript"/>
      <w:lang w:val="en-US" w:eastAsia="zh-CN" w:bidi="ar-SA"/>
    </w:rPr>
  </w:style>
  <w:style w:type="paragraph" w:styleId="1045">
    <w:name w:val="样式  + 首行缩进:  2 字符"/>
    <w:basedOn w:val="947"/>
    <w:next w:val="1045"/>
    <w:link w:val="947"/>
    <w:qFormat/>
    <w:pPr>
      <w:ind w:firstLine="524"/>
      <w:spacing w:line="360" w:lineRule="auto"/>
    </w:pPr>
    <w:rPr>
      <w:rFonts w:ascii="宋体" w:hAnsi="宋体"/>
      <w:spacing w:val="11"/>
      <w:sz w:val="24"/>
    </w:rPr>
  </w:style>
  <w:style w:type="paragraph" w:styleId="1046">
    <w:name w:val="段"/>
    <w:next w:val="947"/>
    <w:link w:val="947"/>
    <w:qFormat/>
    <w:pPr>
      <w:ind w:firstLine="200"/>
      <w:jc w:val="both"/>
    </w:pPr>
    <w:rPr>
      <w:rFonts w:ascii="宋体"/>
      <w:sz w:val="21"/>
      <w:szCs w:val="22"/>
      <w:lang w:val="en-US" w:eastAsia="zh-CN" w:bidi="ar-SA"/>
    </w:rPr>
  </w:style>
  <w:style w:type="character" w:styleId="1047">
    <w:name w:val="+正文 Char Char Char2"/>
    <w:next w:val="1047"/>
    <w:link w:val="947"/>
    <w:rPr>
      <w:rFonts w:ascii="Tahoma" w:hAnsi="Tahoma" w:eastAsia="宋体"/>
      <w:sz w:val="24"/>
      <w:szCs w:val="24"/>
      <w:lang w:val="en-US" w:eastAsia="zh-CN" w:bidi="ar-SA"/>
    </w:rPr>
  </w:style>
  <w:style w:type="character" w:styleId="1048">
    <w:name w:val="标题 2 Char Char"/>
    <w:next w:val="1048"/>
    <w:link w:val="947"/>
    <w:rPr>
      <w:rFonts w:ascii="Arial" w:hAnsi="Arial" w:eastAsia="黑体"/>
      <w:b/>
      <w:spacing w:val="-6"/>
      <w:sz w:val="30"/>
      <w:szCs w:val="32"/>
      <w:lang w:val="en-US" w:eastAsia="zh-CN" w:bidi="ar-SA"/>
    </w:rPr>
  </w:style>
  <w:style w:type="character" w:styleId="1049">
    <w:name w:val="font51"/>
    <w:next w:val="1049"/>
    <w:link w:val="947"/>
    <w:rPr>
      <w:rFonts w:hint="eastAsia" w:ascii="宋体" w:hAnsi="宋体" w:eastAsia="宋体" w:cs="宋体"/>
      <w:b/>
      <w:color w:val="000000"/>
      <w:sz w:val="21"/>
      <w:szCs w:val="21"/>
      <w:u w:val="none"/>
      <w:lang w:val="en-US" w:eastAsia="zh-CN" w:bidi="ar-SA"/>
    </w:rPr>
  </w:style>
  <w:style w:type="character" w:styleId="1050">
    <w:name w:val="content021"/>
    <w:next w:val="1050"/>
    <w:link w:val="947"/>
    <w:rPr>
      <w:lang w:val="en-US" w:eastAsia="zh-CN" w:bidi="ar-SA"/>
    </w:rPr>
  </w:style>
  <w:style w:type="character" w:styleId="1051">
    <w:name w:val="font01"/>
    <w:next w:val="1051"/>
    <w:link w:val="947"/>
    <w:rPr>
      <w:rFonts w:hint="eastAsia" w:ascii="宋体" w:hAnsi="宋体" w:eastAsia="宋体" w:cs="宋体"/>
      <w:i w:val="0"/>
      <w:color w:val="000000"/>
      <w:sz w:val="20"/>
      <w:szCs w:val="20"/>
      <w:u w:val="none"/>
      <w:vertAlign w:val="superscript"/>
      <w:lang w:val="en-US" w:eastAsia="zh-CN" w:bidi="ar-SA"/>
    </w:rPr>
  </w:style>
  <w:style w:type="character" w:styleId="1052">
    <w:name w:val="f141"/>
    <w:next w:val="1052"/>
    <w:link w:val="947"/>
    <w:rPr>
      <w:lang w:val="en-US" w:eastAsia="zh-CN" w:bidi="ar-SA"/>
    </w:rPr>
  </w:style>
  <w:style w:type="character" w:styleId="1053">
    <w:name w:val=" Char Char2"/>
    <w:next w:val="1053"/>
    <w:link w:val="947"/>
    <w:rPr>
      <w:rFonts w:ascii="宋体" w:hAnsi="Courier New" w:eastAsia="宋体"/>
      <w:sz w:val="21"/>
      <w:szCs w:val="21"/>
      <w:lang w:val="en-US" w:eastAsia="zh-CN" w:bidi="ar-SA"/>
    </w:rPr>
  </w:style>
  <w:style w:type="character" w:styleId="1054">
    <w:name w:val="+正文 Char Char Char Char"/>
    <w:next w:val="1054"/>
    <w:link w:val="947"/>
    <w:rPr>
      <w:rFonts w:ascii="Tahoma" w:hAnsi="Tahoma" w:eastAsia="宋体"/>
      <w:sz w:val="24"/>
      <w:szCs w:val="28"/>
      <w:lang w:val="en-US" w:eastAsia="zh-CN" w:bidi="ar-SA"/>
    </w:rPr>
  </w:style>
  <w:style w:type="character" w:styleId="1055">
    <w:name w:val="biaoti1"/>
    <w:next w:val="1055"/>
    <w:link w:val="947"/>
    <w:rPr>
      <w:rFonts w:ascii="Tahoma" w:hAnsi="Tahoma" w:eastAsia="宋体"/>
      <w:b/>
      <w:bCs/>
      <w:color w:val="336699"/>
      <w:sz w:val="21"/>
      <w:szCs w:val="21"/>
      <w:u w:val="none"/>
      <w:lang w:val="en-US" w:eastAsia="zh-CN" w:bidi="ar-SA"/>
    </w:rPr>
  </w:style>
  <w:style w:type="character" w:styleId="1056">
    <w:name w:val="apple-converted-space"/>
    <w:next w:val="1056"/>
    <w:link w:val="947"/>
    <w:rPr>
      <w:lang w:val="en-US" w:eastAsia="zh-CN" w:bidi="ar-SA"/>
    </w:rPr>
  </w:style>
  <w:style w:type="character" w:styleId="1057">
    <w:name w:val="font"/>
    <w:next w:val="1057"/>
    <w:link w:val="947"/>
    <w:rPr>
      <w:lang w:val="en-US" w:eastAsia="zh-CN" w:bidi="ar-SA"/>
    </w:rPr>
  </w:style>
  <w:style w:type="character" w:styleId="1058">
    <w:name w:val="样式 楷体_GB2312 四号 加粗"/>
    <w:next w:val="1058"/>
    <w:link w:val="947"/>
    <w:rPr>
      <w:rFonts w:ascii="楷体_GB2312" w:hAnsi="楷体_GB2312" w:eastAsia="楷体_GB2312"/>
      <w:b/>
      <w:bCs/>
      <w:sz w:val="28"/>
      <w:szCs w:val="24"/>
      <w:lang w:val="en-US" w:eastAsia="zh-CN" w:bidi="ar-SA"/>
    </w:rPr>
  </w:style>
  <w:style w:type="character" w:styleId="1059">
    <w:name w:val="font31"/>
    <w:next w:val="1059"/>
    <w:link w:val="947"/>
    <w:rPr>
      <w:rFonts w:hint="eastAsia" w:ascii="宋体" w:hAnsi="宋体" w:eastAsia="宋体" w:cs="宋体"/>
      <w:i w:val="0"/>
      <w:color w:val="000000"/>
      <w:sz w:val="24"/>
      <w:szCs w:val="24"/>
      <w:u w:val="none"/>
      <w:lang w:val="en-US" w:eastAsia="zh-CN" w:bidi="ar-SA"/>
    </w:rPr>
  </w:style>
  <w:style w:type="character" w:styleId="1060">
    <w:name w:val="font41"/>
    <w:next w:val="1060"/>
    <w:link w:val="947"/>
    <w:qFormat/>
    <w:rPr>
      <w:rFonts w:hint="eastAsia" w:ascii="宋体" w:hAnsi="宋体" w:eastAsia="宋体" w:cs="宋体"/>
      <w:color w:val="000000"/>
      <w:sz w:val="24"/>
      <w:szCs w:val="24"/>
      <w:u w:val="none"/>
      <w:lang w:val="en-US" w:eastAsia="zh-CN" w:bidi="ar-SA"/>
    </w:rPr>
  </w:style>
  <w:style w:type="character" w:styleId="1061">
    <w:name w:val="font71"/>
    <w:next w:val="1061"/>
    <w:link w:val="947"/>
    <w:rPr>
      <w:rFonts w:hint="eastAsia" w:ascii="宋体" w:hAnsi="宋体" w:eastAsia="宋体" w:cs="宋体"/>
      <w:i w:val="0"/>
      <w:color w:val="000000"/>
      <w:sz w:val="20"/>
      <w:szCs w:val="20"/>
      <w:u w:val="none"/>
      <w:vertAlign w:val="superscript"/>
      <w:lang w:val="en-US" w:eastAsia="zh-CN" w:bidi="ar-SA"/>
    </w:rPr>
  </w:style>
  <w:style w:type="character" w:styleId="1062">
    <w:name w:val="e1"/>
    <w:next w:val="1062"/>
    <w:link w:val="947"/>
    <w:rPr>
      <w:rFonts w:ascii="Tahoma" w:hAnsi="Tahoma" w:eastAsia="宋体"/>
      <w:sz w:val="21"/>
      <w:szCs w:val="24"/>
      <w:lang w:val="en-US" w:eastAsia="zh-CN" w:bidi="ar-SA"/>
    </w:rPr>
  </w:style>
  <w:style w:type="character" w:styleId="1063">
    <w:name w:val="info4"/>
    <w:next w:val="1063"/>
    <w:link w:val="947"/>
    <w:rPr>
      <w:lang w:val="en-US" w:eastAsia="zh-CN" w:bidi="ar-SA"/>
    </w:rPr>
  </w:style>
  <w:style w:type="character" w:styleId="1064">
    <w:name w:val="font11"/>
    <w:next w:val="1064"/>
    <w:link w:val="947"/>
    <w:rPr>
      <w:rFonts w:hint="eastAsia" w:ascii="宋体" w:hAnsi="宋体" w:eastAsia="宋体" w:cs="宋体"/>
      <w:i w:val="0"/>
      <w:color w:val="000000"/>
      <w:sz w:val="24"/>
      <w:szCs w:val="24"/>
      <w:u w:val="none"/>
      <w:lang w:val="en-US" w:eastAsia="zh-CN" w:bidi="ar-SA"/>
    </w:rPr>
  </w:style>
  <w:style w:type="character" w:styleId="1065">
    <w:name w:val="3zw1"/>
    <w:next w:val="1065"/>
    <w:link w:val="947"/>
    <w:rPr>
      <w:rFonts w:ascii="Tahoma" w:hAnsi="Tahoma" w:eastAsia="宋体"/>
      <w:color w:val="000000"/>
      <w:sz w:val="21"/>
      <w:szCs w:val="21"/>
      <w:lang w:val="en-US" w:eastAsia="zh-CN" w:bidi="ar-SA"/>
    </w:rPr>
  </w:style>
  <w:style w:type="character" w:styleId="1066">
    <w:name w:val="body1"/>
    <w:next w:val="1066"/>
    <w:link w:val="947"/>
    <w:rPr>
      <w:rFonts w:eastAsia="宋体"/>
      <w:sz w:val="18"/>
      <w:szCs w:val="18"/>
      <w:lang w:val="en-US" w:eastAsia="zh-CN" w:bidi="ar-SA"/>
    </w:rPr>
  </w:style>
  <w:style w:type="character" w:styleId="1067">
    <w:name w:val="apple-style-span"/>
    <w:next w:val="1067"/>
    <w:link w:val="947"/>
    <w:rPr>
      <w:lang w:val="en-US" w:eastAsia="zh-CN" w:bidi="ar-SA"/>
    </w:rPr>
  </w:style>
  <w:style w:type="character" w:styleId="1068">
    <w:name w:val="正文缩进 字符"/>
    <w:next w:val="1068"/>
    <w:link w:val="947"/>
    <w:uiPriority w:val="99"/>
    <w:qFormat/>
    <w:rPr>
      <w:rFonts w:eastAsia="楷体_GB2312"/>
      <w:sz w:val="24"/>
    </w:rPr>
  </w:style>
  <w:style w:type="character" w:styleId="1069">
    <w:name w:val="Plain Text Char Char"/>
    <w:next w:val="1069"/>
    <w:link w:val="947"/>
    <w:rPr>
      <w:rFonts w:ascii="宋体" w:hAnsi="Courier New" w:eastAsia="楷体_GB2312"/>
      <w:sz w:val="28"/>
      <w:szCs w:val="24"/>
      <w:lang w:val="en-US" w:eastAsia="zh-CN" w:bidi="ar-SA"/>
    </w:rPr>
  </w:style>
  <w:style w:type="character" w:styleId="1070">
    <w:name w:val="tpc_content1"/>
    <w:next w:val="1070"/>
    <w:link w:val="947"/>
    <w:rPr>
      <w:sz w:val="20"/>
      <w:szCs w:val="20"/>
    </w:rPr>
  </w:style>
  <w:style w:type="character" w:styleId="1071">
    <w:name w:val="正文文本 2 Char"/>
    <w:next w:val="1071"/>
    <w:link w:val="947"/>
    <w:rPr>
      <w:sz w:val="21"/>
      <w:szCs w:val="24"/>
    </w:rPr>
  </w:style>
  <w:style w:type="character" w:styleId="1072">
    <w:name w:val="td21"/>
    <w:next w:val="1072"/>
    <w:link w:val="947"/>
    <w:rPr>
      <w:rFonts w:ascii="Tahoma" w:hAnsi="Tahoma" w:eastAsia="宋体"/>
      <w:sz w:val="21"/>
      <w:szCs w:val="21"/>
      <w:u w:val="none"/>
      <w:lang w:val="en-US" w:eastAsia="zh-CN" w:bidi="ar-SA"/>
    </w:rPr>
  </w:style>
  <w:style w:type="character" w:styleId="1073">
    <w:name w:val="font21"/>
    <w:next w:val="1073"/>
    <w:link w:val="947"/>
    <w:rPr>
      <w:rFonts w:hint="eastAsia" w:ascii="宋体" w:hAnsi="宋体" w:eastAsia="宋体" w:cs="宋体"/>
      <w:i w:val="0"/>
      <w:color w:val="000000"/>
      <w:sz w:val="24"/>
      <w:szCs w:val="24"/>
      <w:u w:val="none"/>
      <w:lang w:val="en-US" w:eastAsia="zh-CN" w:bidi="ar-SA"/>
    </w:rPr>
  </w:style>
  <w:style w:type="character" w:styleId="1074">
    <w:name w:val="日期 Char1"/>
    <w:next w:val="1074"/>
    <w:link w:val="947"/>
    <w:rPr>
      <w:rFonts w:ascii="Tahoma" w:hAnsi="Tahoma" w:eastAsia="宋体"/>
      <w:sz w:val="21"/>
      <w:szCs w:val="24"/>
      <w:lang w:val="en-US" w:eastAsia="zh-CN" w:bidi="ar-SA"/>
    </w:rPr>
  </w:style>
  <w:style w:type="character" w:styleId="1075">
    <w:name w:val="+列表编号 Char Char"/>
    <w:next w:val="1075"/>
    <w:link w:val="947"/>
    <w:rPr>
      <w:rFonts w:ascii="Tahoma" w:hAnsi="Tahoma" w:eastAsia="宋体"/>
      <w:b/>
      <w:spacing w:val="8"/>
      <w:sz w:val="24"/>
      <w:szCs w:val="24"/>
      <w:lang w:val="en-US" w:eastAsia="zh-CN" w:bidi="ar-SA"/>
    </w:rPr>
  </w:style>
  <w:style w:type="character" w:styleId="1076">
    <w:name w:val="+正文 Char3"/>
    <w:next w:val="1076"/>
    <w:link w:val="1077"/>
    <w:rPr>
      <w:rFonts w:ascii="Tahoma" w:hAnsi="Tahoma" w:eastAsia="宋体"/>
      <w:sz w:val="24"/>
      <w:szCs w:val="28"/>
      <w:lang w:val="en-US" w:eastAsia="zh-CN" w:bidi="ar-SA"/>
    </w:rPr>
  </w:style>
  <w:style w:type="paragraph" w:styleId="1077">
    <w:name w:val="+正文"/>
    <w:basedOn w:val="947"/>
    <w:next w:val="1077"/>
    <w:link w:val="1076"/>
    <w:pPr>
      <w:ind w:firstLine="200"/>
      <w:spacing w:line="360" w:lineRule="auto"/>
    </w:pPr>
    <w:rPr>
      <w:rFonts w:ascii="Tahoma" w:hAnsi="Tahoma"/>
      <w:sz w:val="24"/>
      <w:szCs w:val="28"/>
    </w:rPr>
  </w:style>
  <w:style w:type="character" w:styleId="1078">
    <w:name w:val="+标题3 Char Char"/>
    <w:next w:val="1078"/>
    <w:link w:val="1079"/>
    <w:rPr>
      <w:rFonts w:ascii="Tahoma" w:hAnsi="Tahoma" w:eastAsia="宋体"/>
      <w:b/>
      <w:bCs/>
      <w:sz w:val="24"/>
      <w:szCs w:val="28"/>
      <w:lang w:val="en-US" w:eastAsia="zh-CN" w:bidi="ar-SA"/>
    </w:rPr>
  </w:style>
  <w:style w:type="paragraph" w:styleId="1079">
    <w:name w:val="+标题3 Char"/>
    <w:basedOn w:val="950"/>
    <w:next w:val="1079"/>
    <w:link w:val="1078"/>
    <w:pPr>
      <w:ind w:left="833" w:right="0" w:hanging="833"/>
      <w:jc w:val="both"/>
      <w:keepLines/>
      <w:keepNext/>
      <w:spacing w:before="120" w:after="120" w:line="360" w:lineRule="auto"/>
      <w:widowControl w:val="off"/>
      <w:tabs>
        <w:tab w:val="left" w:pos="833" w:leader="none"/>
      </w:tabs>
    </w:pPr>
    <w:rPr>
      <w:rFonts w:ascii="Tahoma" w:hAnsi="Tahoma"/>
      <w:b/>
      <w:bCs/>
      <w:sz w:val="24"/>
      <w:szCs w:val="28"/>
    </w:rPr>
  </w:style>
  <w:style w:type="character" w:styleId="1080">
    <w:name w:val="Plain Text Char"/>
    <w:next w:val="1080"/>
    <w:link w:val="1081"/>
    <w:qFormat/>
    <w:rPr>
      <w:rFonts w:ascii="宋体" w:hAnsi="Courier New" w:eastAsia="楷体_GB2312"/>
      <w:sz w:val="28"/>
    </w:rPr>
  </w:style>
  <w:style w:type="paragraph" w:styleId="1081">
    <w:name w:val="Plain Text"/>
    <w:basedOn w:val="947"/>
    <w:next w:val="1081"/>
    <w:link w:val="1080"/>
    <w:qFormat/>
    <w:rPr>
      <w:rFonts w:ascii="宋体" w:hAnsi="Courier New" w:eastAsia="楷体_GB2312"/>
      <w:sz w:val="28"/>
      <w:szCs w:val="20"/>
    </w:rPr>
  </w:style>
  <w:style w:type="character" w:styleId="1082">
    <w:name w:val=" Char Char Char Char Char Char Char"/>
    <w:next w:val="1082"/>
    <w:link w:val="1083"/>
    <w:rPr>
      <w:lang w:val="en-US" w:eastAsia="zh-CN" w:bidi="ar-SA"/>
    </w:rPr>
  </w:style>
  <w:style w:type="paragraph" w:styleId="1083">
    <w:name w:val=" Char"/>
    <w:basedOn w:val="947"/>
    <w:next w:val="1083"/>
    <w:link w:val="1082"/>
    <w:pPr>
      <w:numPr>
        <w:ilvl w:val="0"/>
        <w:numId w:val="1"/>
      </w:numPr>
      <w:tabs>
        <w:tab w:val="left" w:pos="495" w:leader="none"/>
      </w:tabs>
    </w:pPr>
    <w:rPr>
      <w:rFonts w:eastAsia="宋体"/>
      <w:sz w:val="24"/>
      <w:szCs w:val="24"/>
      <w:lang w:val="en-US" w:eastAsia="zh-CN" w:bidi="ar-SA"/>
    </w:rPr>
  </w:style>
  <w:style w:type="paragraph" w:styleId="1084">
    <w:name w:val="xl39"/>
    <w:basedOn w:val="947"/>
    <w:next w:val="1084"/>
    <w:link w:val="947"/>
    <w:uiPriority w:val="99"/>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085">
    <w:name w:val="符号与编号"/>
    <w:basedOn w:val="947"/>
    <w:next w:val="1085"/>
    <w:link w:val="947"/>
    <w:pPr>
      <w:numPr>
        <w:ilvl w:val="0"/>
        <w:numId w:val="2"/>
      </w:numPr>
      <w:spacing w:line="360" w:lineRule="auto"/>
      <w:tabs>
        <w:tab w:val="left" w:pos="425" w:leader="none"/>
      </w:tabs>
    </w:pPr>
    <w:rPr>
      <w:rFonts w:ascii="宋体" w:hAnsi="宋体"/>
      <w:sz w:val="28"/>
      <w:szCs w:val="28"/>
    </w:rPr>
  </w:style>
  <w:style w:type="paragraph" w:styleId="1086">
    <w:name w:val="xl40"/>
    <w:basedOn w:val="947"/>
    <w:next w:val="1086"/>
    <w:link w:val="947"/>
    <w:uiPriority w:val="99"/>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087">
    <w:name w:val="xl84"/>
    <w:basedOn w:val="947"/>
    <w:next w:val="1087"/>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8">
    <w:name w:val="xl28"/>
    <w:basedOn w:val="947"/>
    <w:next w:val="1088"/>
    <w:link w:val="9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89">
    <w:name w:val="+正文 Char6"/>
    <w:basedOn w:val="947"/>
    <w:next w:val="1089"/>
    <w:link w:val="947"/>
    <w:pPr>
      <w:numPr>
        <w:ilvl w:val="0"/>
        <w:numId w:val="3"/>
      </w:numPr>
      <w:ind w:left="0" w:firstLine="200"/>
      <w:spacing w:line="360" w:lineRule="auto"/>
      <w:tabs>
        <w:tab w:val="clear" w:pos="1240" w:leader="none"/>
      </w:tabs>
    </w:pPr>
    <w:rPr>
      <w:sz w:val="24"/>
    </w:rPr>
  </w:style>
  <w:style w:type="paragraph" w:styleId="1090">
    <w:name w:val="xl83"/>
    <w:basedOn w:val="947"/>
    <w:next w:val="1090"/>
    <w:link w:val="947"/>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091">
    <w:name w:val=" Char1 Char Char Char Char Char Char"/>
    <w:basedOn w:val="947"/>
    <w:next w:val="1091"/>
    <w:link w:val="947"/>
    <w:rPr>
      <w:rFonts w:ascii="Tahoma" w:hAnsi="Tahoma"/>
      <w:sz w:val="24"/>
      <w:szCs w:val="20"/>
    </w:rPr>
  </w:style>
  <w:style w:type="paragraph" w:styleId="1092">
    <w:name w:val="标准正文"/>
    <w:basedOn w:val="984"/>
    <w:next w:val="1092"/>
    <w:link w:val="947"/>
    <w:pPr>
      <w:numPr>
        <w:ilvl w:val="0"/>
        <w:numId w:val="4"/>
      </w:numPr>
      <w:ind w:firstLine="482"/>
      <w:spacing w:before="60" w:after="60" w:line="360" w:lineRule="auto"/>
    </w:pPr>
    <w:rPr>
      <w:rFonts w:ascii="Arial" w:hAnsi="Arial"/>
      <w:sz w:val="24"/>
    </w:rPr>
  </w:style>
  <w:style w:type="paragraph" w:styleId="1093">
    <w:name w:val=" Char Char Char Char Char Char Char Char Char1 Char"/>
    <w:basedOn w:val="973"/>
    <w:next w:val="1093"/>
    <w:link w:val="947"/>
    <w:pPr>
      <w:spacing w:line="360" w:lineRule="auto"/>
    </w:pPr>
    <w:rPr>
      <w:rFonts w:ascii="Tahoma" w:hAnsi="Tahoma"/>
      <w:sz w:val="24"/>
    </w:rPr>
  </w:style>
  <w:style w:type="paragraph" w:styleId="1094">
    <w:name w:val="xl35"/>
    <w:basedOn w:val="947"/>
    <w:next w:val="1094"/>
    <w:link w:val="9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095">
    <w:name w:val="正文 A"/>
    <w:next w:val="1046"/>
    <w:link w:val="947"/>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96">
    <w:name w:val="xl26"/>
    <w:basedOn w:val="947"/>
    <w:next w:val="1096"/>
    <w:link w:val="9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7">
    <w:name w:val="Char Char1 Char Char Char Char Char Char Char"/>
    <w:basedOn w:val="947"/>
    <w:next w:val="1097"/>
    <w:link w:val="947"/>
    <w:rPr>
      <w:szCs w:val="20"/>
    </w:rPr>
  </w:style>
  <w:style w:type="paragraph" w:styleId="1098">
    <w:name w:val="+●"/>
    <w:basedOn w:val="1099"/>
    <w:next w:val="1098"/>
    <w:link w:val="947"/>
    <w:pPr>
      <w:numPr>
        <w:ilvl w:val="6"/>
        <w:numId w:val="5"/>
      </w:numPr>
      <w:tabs>
        <w:tab w:val="left" w:pos="2940" w:leader="none"/>
      </w:tabs>
    </w:pPr>
  </w:style>
  <w:style w:type="paragraph" w:styleId="1099">
    <w:name w:val="+正文 Char"/>
    <w:basedOn w:val="947"/>
    <w:next w:val="1099"/>
    <w:link w:val="947"/>
    <w:pPr>
      <w:ind w:firstLine="200"/>
      <w:spacing w:line="360" w:lineRule="auto"/>
    </w:pPr>
    <w:rPr>
      <w:sz w:val="24"/>
      <w:szCs w:val="28"/>
    </w:rPr>
  </w:style>
  <w:style w:type="paragraph" w:styleId="1100">
    <w:name w:val="xl91"/>
    <w:basedOn w:val="947"/>
    <w:next w:val="1100"/>
    <w:link w:val="94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01">
    <w:name w:val="Char Char Char Char"/>
    <w:basedOn w:val="973"/>
    <w:next w:val="1101"/>
    <w:link w:val="947"/>
    <w:uiPriority w:val="99"/>
    <w:pPr>
      <w:spacing w:line="360" w:lineRule="auto"/>
    </w:pPr>
    <w:rPr>
      <w:rFonts w:ascii="Tahoma" w:hAnsi="Tahoma"/>
      <w:sz w:val="24"/>
    </w:rPr>
  </w:style>
  <w:style w:type="paragraph" w:styleId="1102">
    <w:name w:val="xl30"/>
    <w:basedOn w:val="947"/>
    <w:next w:val="1102"/>
    <w:link w:val="947"/>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3">
    <w:name w:val="+▲"/>
    <w:basedOn w:val="1099"/>
    <w:next w:val="1103"/>
    <w:link w:val="947"/>
    <w:pPr>
      <w:numPr>
        <w:ilvl w:val="0"/>
        <w:numId w:val="6"/>
      </w:numPr>
      <w:tabs>
        <w:tab w:val="left" w:pos="930" w:leader="none"/>
      </w:tabs>
    </w:pPr>
  </w:style>
  <w:style w:type="paragraph" w:styleId="1104">
    <w:name w:val="样式 样式 样式 小四 左 首行缩进:  2 字符 + 首行缩进:  2 字符 Char + 右  0 字符1"/>
    <w:basedOn w:val="947"/>
    <w:next w:val="1104"/>
    <w:link w:val="947"/>
    <w:pPr>
      <w:ind w:firstLine="200"/>
      <w:jc w:val="left"/>
      <w:spacing w:line="360" w:lineRule="auto"/>
    </w:pPr>
    <w:rPr>
      <w:rFonts w:cs="宋体"/>
      <w:sz w:val="24"/>
      <w:szCs w:val="20"/>
    </w:rPr>
  </w:style>
  <w:style w:type="paragraph" w:styleId="1105">
    <w:name w:val="样式SZA"/>
    <w:basedOn w:val="982"/>
    <w:next w:val="1105"/>
    <w:link w:val="947"/>
    <w:pPr>
      <w:numPr>
        <w:ilvl w:val="0"/>
        <w:numId w:val="7"/>
      </w:numPr>
      <w:jc w:val="left"/>
      <w:spacing w:after="220" w:line="220" w:lineRule="atLeast"/>
      <w:widowControl/>
      <w:tabs>
        <w:tab w:val="left" w:pos="660" w:leader="none"/>
      </w:tabs>
    </w:pPr>
    <w:rPr>
      <w:rFonts w:ascii="Times New Roman" w:eastAsia="宋体"/>
      <w:sz w:val="21"/>
    </w:rPr>
  </w:style>
  <w:style w:type="paragraph" w:styleId="1106">
    <w:name w:val="xl44"/>
    <w:basedOn w:val="947"/>
    <w:next w:val="1106"/>
    <w:link w:val="947"/>
    <w:uiPriority w:val="99"/>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07">
    <w:name w:val="List Paragraph"/>
    <w:basedOn w:val="947"/>
    <w:next w:val="1107"/>
    <w:link w:val="947"/>
    <w:qFormat/>
    <w:pPr>
      <w:ind w:firstLine="420"/>
    </w:pPr>
  </w:style>
  <w:style w:type="paragraph" w:styleId="1108">
    <w:name w:val="xl90"/>
    <w:basedOn w:val="947"/>
    <w:next w:val="1108"/>
    <w:link w:val="9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6"/>
      <w:szCs w:val="16"/>
    </w:rPr>
  </w:style>
  <w:style w:type="paragraph" w:styleId="1109">
    <w:name w:val="样式 首行缩进:  2 字符"/>
    <w:basedOn w:val="947"/>
    <w:next w:val="1109"/>
    <w:link w:val="947"/>
    <w:pPr>
      <w:ind w:firstLine="480"/>
      <w:spacing w:line="500" w:lineRule="exact"/>
    </w:pPr>
    <w:rPr>
      <w:rFonts w:ascii="宋体" w:hAnsi="宋体"/>
      <w:sz w:val="24"/>
      <w:szCs w:val="20"/>
    </w:rPr>
  </w:style>
  <w:style w:type="paragraph" w:styleId="1110">
    <w:name w:val="xl72"/>
    <w:basedOn w:val="947"/>
    <w:next w:val="1110"/>
    <w:link w:val="947"/>
    <w:pPr>
      <w:jc w:val="center"/>
      <w:spacing w:before="100" w:beforeAutospacing="1" w:after="100" w:afterAutospacing="1"/>
      <w:widowControl/>
      <w:pBdr>
        <w:bottom w:val="single" w:color="000000" w:sz="4" w:space="0"/>
        <w:right w:val="single" w:color="000000" w:sz="4" w:space="0"/>
      </w:pBdr>
    </w:pPr>
    <w:rPr>
      <w:rFonts w:ascii="宋体" w:hAnsi="宋体" w:cs="宋体"/>
      <w:sz w:val="22"/>
      <w:szCs w:val="22"/>
    </w:rPr>
  </w:style>
  <w:style w:type="paragraph" w:styleId="1111">
    <w:name w:val="xl78"/>
    <w:basedOn w:val="947"/>
    <w:next w:val="1111"/>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2">
    <w:name w:val="接續本文"/>
    <w:basedOn w:val="982"/>
    <w:next w:val="1112"/>
    <w:link w:val="947"/>
    <w:pPr>
      <w:ind w:left="1080"/>
      <w:keepNext/>
      <w:spacing w:after="240" w:line="240" w:lineRule="atLeast"/>
      <w:widowControl/>
    </w:pPr>
    <w:rPr>
      <w:rFonts w:ascii="Arial" w:hAnsi="Arial" w:eastAsia="PMingLiU"/>
      <w:spacing w:val="-5"/>
      <w:sz w:val="20"/>
      <w:lang w:eastAsia="zh-TW" w:bidi="he-IL"/>
    </w:rPr>
  </w:style>
  <w:style w:type="paragraph" w:styleId="1113">
    <w:name w:val="xl24"/>
    <w:basedOn w:val="947"/>
    <w:next w:val="1113"/>
    <w:link w:val="947"/>
    <w:uiPriority w:val="99"/>
    <w:qFormat/>
    <w:pPr>
      <w:jc w:val="center"/>
      <w:spacing w:before="100" w:beforeAutospacing="1" w:after="100" w:afterAutospacing="1"/>
      <w:widowControl/>
    </w:pPr>
    <w:rPr>
      <w:rFonts w:ascii="宋体" w:hAnsi="宋体"/>
      <w:sz w:val="24"/>
    </w:rPr>
  </w:style>
  <w:style w:type="paragraph" w:styleId="1114">
    <w:name w:val=" Char Char Char Char Char Char1 Char"/>
    <w:basedOn w:val="947"/>
    <w:next w:val="1114"/>
    <w:link w:val="947"/>
    <w:pPr>
      <w:jc w:val="left"/>
      <w:spacing w:after="160" w:line="240" w:lineRule="exact"/>
      <w:widowControl/>
    </w:pPr>
    <w:rPr>
      <w:rFonts w:ascii="Verdana" w:hAnsi="Verdana"/>
      <w:sz w:val="20"/>
      <w:szCs w:val="20"/>
      <w:lang w:eastAsia="en-US"/>
    </w:rPr>
  </w:style>
  <w:style w:type="paragraph" w:styleId="1115">
    <w:name w:val="二级条标题"/>
    <w:basedOn w:val="1116"/>
    <w:next w:val="947"/>
    <w:link w:val="947"/>
    <w:pPr>
      <w:numPr>
        <w:ilvl w:val="3"/>
        <w:numId w:val="4"/>
      </w:numPr>
      <w:ind w:left="480" w:hanging="480"/>
      <w:tabs>
        <w:tab w:val="left" w:pos="480" w:leader="none"/>
      </w:tabs>
      <w:outlineLvl w:val="3"/>
    </w:pPr>
  </w:style>
  <w:style w:type="paragraph" w:styleId="1116">
    <w:name w:val="一级条标题"/>
    <w:basedOn w:val="947"/>
    <w:next w:val="947"/>
    <w:link w:val="947"/>
    <w:pPr>
      <w:numPr>
        <w:ilvl w:val="2"/>
        <w:numId w:val="4"/>
      </w:numPr>
      <w:widowControl/>
      <w:tabs>
        <w:tab w:val="left" w:pos="360" w:leader="none"/>
      </w:tabs>
      <w:outlineLvl w:val="2"/>
    </w:pPr>
    <w:rPr>
      <w:rFonts w:ascii="黑体" w:eastAsia="黑体"/>
      <w:szCs w:val="20"/>
    </w:rPr>
  </w:style>
  <w:style w:type="paragraph" w:styleId="1117">
    <w:name w:val="xl87"/>
    <w:basedOn w:val="947"/>
    <w:next w:val="1117"/>
    <w:link w:val="94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1118">
    <w:name w:val="+1."/>
    <w:basedOn w:val="1099"/>
    <w:next w:val="1118"/>
    <w:link w:val="947"/>
    <w:pPr>
      <w:ind w:left="198" w:firstLine="0"/>
      <w:tabs>
        <w:tab w:val="left" w:pos="624" w:leader="none"/>
      </w:tabs>
    </w:pPr>
  </w:style>
  <w:style w:type="paragraph" w:styleId="1119">
    <w:name w:val="列表内容"/>
    <w:basedOn w:val="947"/>
    <w:next w:val="947"/>
    <w:link w:val="947"/>
    <w:pPr>
      <w:numPr>
        <w:ilvl w:val="0"/>
        <w:numId w:val="8"/>
      </w:numPr>
      <w:ind w:left="0" w:firstLine="200"/>
      <w:jc w:val="left"/>
      <w:widowControl/>
      <w:tabs>
        <w:tab w:val="left" w:pos="840" w:leader="none"/>
      </w:tabs>
    </w:pPr>
    <w:rPr>
      <w:sz w:val="18"/>
    </w:rPr>
  </w:style>
  <w:style w:type="paragraph" w:styleId="1120">
    <w:name w:val="xl77"/>
    <w:basedOn w:val="947"/>
    <w:next w:val="1120"/>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1">
    <w:name w:val="五级条标题"/>
    <w:basedOn w:val="1122"/>
    <w:next w:val="947"/>
    <w:link w:val="947"/>
    <w:pPr>
      <w:numPr>
        <w:ilvl w:val="4"/>
        <w:numId w:val="9"/>
      </w:numPr>
      <w:ind w:left="480" w:hanging="480"/>
      <w:tabs>
        <w:tab w:val="left" w:pos="480" w:leader="none"/>
        <w:tab w:val="left" w:pos="2520" w:leader="none"/>
      </w:tabs>
      <w:outlineLvl w:val="6"/>
    </w:pPr>
  </w:style>
  <w:style w:type="paragraph" w:styleId="1122">
    <w:name w:val="四级条标题"/>
    <w:basedOn w:val="1123"/>
    <w:next w:val="947"/>
    <w:link w:val="947"/>
    <w:pPr>
      <w:numPr>
        <w:ilvl w:val="3"/>
        <w:numId w:val="9"/>
      </w:numPr>
      <w:ind w:left="480" w:hanging="480"/>
      <w:tabs>
        <w:tab w:val="left" w:pos="480" w:leader="none"/>
        <w:tab w:val="left" w:pos="2100" w:leader="none"/>
      </w:tabs>
      <w:outlineLvl w:val="5"/>
    </w:pPr>
  </w:style>
  <w:style w:type="paragraph" w:styleId="1123">
    <w:name w:val="三级条标题"/>
    <w:basedOn w:val="1115"/>
    <w:next w:val="947"/>
    <w:link w:val="947"/>
    <w:pPr>
      <w:numPr>
        <w:ilvl w:val="4"/>
        <w:numId w:val="4"/>
      </w:numPr>
      <w:ind w:hanging="480"/>
      <w:tabs>
        <w:tab w:val="left" w:pos="480" w:leader="none"/>
      </w:tabs>
      <w:outlineLvl w:val="4"/>
    </w:pPr>
  </w:style>
  <w:style w:type="paragraph" w:styleId="1124">
    <w:name w:val="纯文本2"/>
    <w:basedOn w:val="947"/>
    <w:next w:val="1124"/>
    <w:link w:val="947"/>
    <w:qFormat/>
    <w:rPr>
      <w:rFonts w:hint="eastAsia" w:ascii="宋体" w:hAnsi="Courier New" w:eastAsia="楷体_GB2312"/>
      <w:sz w:val="28"/>
      <w:szCs w:val="20"/>
    </w:rPr>
  </w:style>
  <w:style w:type="paragraph" w:styleId="1125">
    <w:name w:val="Char Char Char Char Char1 Char Char Char Char Char Char Char"/>
    <w:basedOn w:val="947"/>
    <w:next w:val="1125"/>
    <w:link w:val="947"/>
  </w:style>
  <w:style w:type="paragraph" w:styleId="1126">
    <w:name w:val="标书正文格式"/>
    <w:next w:val="1126"/>
    <w:link w:val="1127"/>
    <w:qFormat/>
    <w:pPr>
      <w:ind w:firstLine="200"/>
      <w:spacing w:line="360" w:lineRule="auto"/>
    </w:pPr>
    <w:rPr>
      <w:rFonts w:eastAsia="楷体_GB2312"/>
      <w:sz w:val="24"/>
      <w:szCs w:val="24"/>
      <w:lang w:val="en-US" w:eastAsia="zh-CN" w:bidi="ar-SA"/>
    </w:rPr>
  </w:style>
  <w:style w:type="character" w:styleId="1127">
    <w:name w:val="标书正文格式 Char1"/>
    <w:next w:val="1127"/>
    <w:link w:val="1126"/>
    <w:qFormat/>
    <w:rPr>
      <w:rFonts w:eastAsia="楷体_GB2312"/>
      <w:sz w:val="24"/>
      <w:szCs w:val="24"/>
    </w:rPr>
  </w:style>
  <w:style w:type="paragraph" w:styleId="1128">
    <w:name w:val="xl34"/>
    <w:basedOn w:val="947"/>
    <w:next w:val="1128"/>
    <w:link w:val="947"/>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29">
    <w:name w:val=" Char Char Char Char"/>
    <w:basedOn w:val="947"/>
    <w:next w:val="1129"/>
    <w:link w:val="947"/>
    <w:pPr>
      <w:numPr>
        <w:ilvl w:val="0"/>
        <w:numId w:val="1"/>
      </w:numPr>
      <w:tabs>
        <w:tab w:val="left" w:pos="495" w:leader="none"/>
      </w:tabs>
    </w:pPr>
  </w:style>
  <w:style w:type="paragraph" w:styleId="1130">
    <w:name w:val="xl80"/>
    <w:basedOn w:val="947"/>
    <w:next w:val="1130"/>
    <w:link w:val="94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31">
    <w:name w:val="xl73"/>
    <w:basedOn w:val="947"/>
    <w:next w:val="1131"/>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32">
    <w:name w:val="样式1"/>
    <w:basedOn w:val="947"/>
    <w:next w:val="1132"/>
    <w:link w:val="947"/>
    <w:pPr>
      <w:numPr>
        <w:ilvl w:val="0"/>
        <w:numId w:val="7"/>
      </w:numPr>
      <w:tabs>
        <w:tab w:val="left" w:pos="660" w:leader="none"/>
        <w:tab w:val="left" w:pos="709" w:leader="none"/>
      </w:tabs>
    </w:pPr>
    <w:rPr>
      <w:rFonts w:ascii="宋体" w:hAnsi="宋体"/>
      <w:szCs w:val="21"/>
    </w:rPr>
  </w:style>
  <w:style w:type="paragraph" w:styleId="1133">
    <w:name w:val="xl33"/>
    <w:basedOn w:val="947"/>
    <w:next w:val="1133"/>
    <w:link w:val="9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34">
    <w:name w:val="xl88"/>
    <w:basedOn w:val="947"/>
    <w:next w:val="1134"/>
    <w:link w:val="9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35">
    <w:name w:val="xl41"/>
    <w:basedOn w:val="947"/>
    <w:next w:val="1135"/>
    <w:link w:val="947"/>
    <w:uiPriority w:val="99"/>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136">
    <w:name w:val="样式 标题 4"/>
    <w:basedOn w:val="951"/>
    <w:next w:val="1136"/>
    <w:link w:val="947"/>
    <w:pPr>
      <w:jc w:val="both"/>
      <w:keepLines/>
      <w:keepNext/>
      <w:spacing w:before="120" w:after="120" w:line="374" w:lineRule="auto"/>
      <w:widowControl w:val="off"/>
    </w:pPr>
    <w:rPr>
      <w:b/>
      <w:bCs/>
      <w:color w:val="000000"/>
      <w:sz w:val="30"/>
      <w:szCs w:val="20"/>
      <w:u w:val="none"/>
    </w:rPr>
  </w:style>
  <w:style w:type="paragraph" w:styleId="1137">
    <w:name w:val="样式4"/>
    <w:basedOn w:val="947"/>
    <w:next w:val="1137"/>
    <w:link w:val="947"/>
    <w:pPr>
      <w:numPr>
        <w:ilvl w:val="0"/>
        <w:numId w:val="10"/>
      </w:numPr>
      <w:spacing w:line="360" w:lineRule="auto"/>
      <w:tabs>
        <w:tab w:val="left" w:pos="420" w:leader="none"/>
      </w:tabs>
    </w:pPr>
    <w:rPr>
      <w:sz w:val="24"/>
    </w:rPr>
  </w:style>
  <w:style w:type="paragraph" w:styleId="1138">
    <w:name w:val="xl76"/>
    <w:basedOn w:val="947"/>
    <w:next w:val="1138"/>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9">
    <w:name w:val="+标题3"/>
    <w:basedOn w:val="950"/>
    <w:next w:val="1139"/>
    <w:link w:val="947"/>
    <w:pPr>
      <w:ind w:right="0"/>
      <w:jc w:val="both"/>
      <w:keepLines/>
      <w:keepNext/>
      <w:spacing w:before="120" w:after="120" w:line="360" w:lineRule="auto"/>
      <w:widowControl w:val="off"/>
    </w:pPr>
    <w:rPr>
      <w:rFonts w:ascii="Times New Roman"/>
      <w:color w:val="000000"/>
      <w:spacing w:val="0"/>
      <w:szCs w:val="28"/>
    </w:rPr>
  </w:style>
  <w:style w:type="paragraph" w:styleId="1140">
    <w:name w:val="打对勾的标号1"/>
    <w:basedOn w:val="947"/>
    <w:next w:val="1140"/>
    <w:link w:val="947"/>
    <w:pPr>
      <w:tabs>
        <w:tab w:val="left" w:pos="540" w:leader="none"/>
      </w:tabs>
    </w:pPr>
    <w:rPr>
      <w:rFonts w:ascii="宋体"/>
      <w:color w:val="000000"/>
      <w:sz w:val="28"/>
      <w:szCs w:val="20"/>
      <w:lang w:val="en-GB"/>
    </w:rPr>
  </w:style>
  <w:style w:type="paragraph" w:styleId="1141">
    <w:name w:val="xl66"/>
    <w:basedOn w:val="947"/>
    <w:next w:val="1141"/>
    <w:link w:val="947"/>
    <w:pPr>
      <w:jc w:val="center"/>
      <w:spacing w:before="100" w:beforeAutospacing="1" w:after="100" w:afterAutospacing="1"/>
      <w:widowControl/>
    </w:pPr>
    <w:rPr>
      <w:rFonts w:ascii="宋体" w:hAnsi="宋体" w:cs="宋体"/>
      <w:b/>
      <w:bCs/>
      <w:sz w:val="24"/>
    </w:rPr>
  </w:style>
  <w:style w:type="paragraph" w:styleId="1142">
    <w:name w:val="表格文字"/>
    <w:basedOn w:val="947"/>
    <w:next w:val="1142"/>
    <w:link w:val="947"/>
    <w:qFormat/>
  </w:style>
  <w:style w:type="paragraph" w:styleId="1143">
    <w:name w:val="图"/>
    <w:basedOn w:val="947"/>
    <w:next w:val="1143"/>
    <w:link w:val="947"/>
    <w:qFormat/>
    <w:pPr>
      <w:jc w:val="center"/>
      <w:keepNext/>
      <w:spacing w:before="60" w:after="60" w:line="300" w:lineRule="auto"/>
    </w:pPr>
    <w:rPr>
      <w:spacing w:val="20"/>
      <w:sz w:val="24"/>
      <w:szCs w:val="20"/>
    </w:rPr>
  </w:style>
  <w:style w:type="paragraph" w:styleId="1144">
    <w:name w:val="xl37"/>
    <w:basedOn w:val="947"/>
    <w:next w:val="1144"/>
    <w:link w:val="947"/>
    <w:uiPriority w:val="99"/>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45">
    <w:name w:val="yyn2"/>
    <w:basedOn w:val="947"/>
    <w:next w:val="1145"/>
    <w:link w:val="947"/>
    <w:pPr>
      <w:jc w:val="left"/>
      <w:keepNext/>
      <w:spacing w:line="360" w:lineRule="auto"/>
      <w:widowControl/>
      <w:tabs>
        <w:tab w:val="left" w:pos="1344" w:leader="none"/>
      </w:tabs>
    </w:pPr>
    <w:rPr>
      <w:rFonts w:ascii="宋体"/>
      <w:color w:val="000000"/>
      <w:sz w:val="28"/>
      <w:szCs w:val="20"/>
    </w:rPr>
  </w:style>
  <w:style w:type="paragraph" w:styleId="1146">
    <w:name w:val="xl36"/>
    <w:basedOn w:val="947"/>
    <w:next w:val="1146"/>
    <w:link w:val="9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47">
    <w:name w:val="+(1)"/>
    <w:basedOn w:val="1099"/>
    <w:next w:val="1147"/>
    <w:link w:val="947"/>
    <w:pPr>
      <w:numPr>
        <w:ilvl w:val="2"/>
        <w:numId w:val="11"/>
      </w:numPr>
      <w:tabs>
        <w:tab w:val="left" w:pos="1140" w:leader="none"/>
      </w:tabs>
    </w:pPr>
  </w:style>
  <w:style w:type="paragraph" w:styleId="1148">
    <w:name w:val="Char"/>
    <w:basedOn w:val="947"/>
    <w:next w:val="1148"/>
    <w:link w:val="947"/>
    <w:qFormat/>
    <w:pPr>
      <w:tabs>
        <w:tab w:val="left" w:pos="360" w:leader="none"/>
      </w:tabs>
    </w:pPr>
  </w:style>
  <w:style w:type="paragraph" w:styleId="1149">
    <w:name w:val="p1"/>
    <w:basedOn w:val="947"/>
    <w:next w:val="1149"/>
    <w:link w:val="947"/>
    <w:pPr>
      <w:jc w:val="left"/>
      <w:spacing w:before="100" w:beforeAutospacing="1" w:after="100" w:afterAutospacing="1"/>
      <w:widowControl/>
    </w:pPr>
    <w:rPr>
      <w:rFonts w:ascii="宋体" w:hAnsi="宋体" w:cs="宋体"/>
      <w:sz w:val="24"/>
    </w:rPr>
  </w:style>
  <w:style w:type="paragraph" w:styleId="1150">
    <w:name w:val="xl43"/>
    <w:basedOn w:val="947"/>
    <w:next w:val="1150"/>
    <w:link w:val="947"/>
    <w:uiPriority w:val="9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51">
    <w:name w:val=" Char Char"/>
    <w:basedOn w:val="947"/>
    <w:next w:val="1151"/>
    <w:link w:val="947"/>
    <w:pPr>
      <w:jc w:val="left"/>
      <w:spacing w:after="160" w:line="240" w:lineRule="exact"/>
      <w:widowControl/>
    </w:pPr>
    <w:rPr>
      <w:rFonts w:ascii="Verdana" w:hAnsi="Verdana"/>
      <w:szCs w:val="20"/>
      <w:lang w:eastAsia="en-US"/>
    </w:rPr>
  </w:style>
  <w:style w:type="paragraph" w:styleId="1152">
    <w:name w:val="xl86"/>
    <w:basedOn w:val="947"/>
    <w:next w:val="1152"/>
    <w:link w:val="94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3">
    <w:name w:val="p0"/>
    <w:basedOn w:val="947"/>
    <w:next w:val="1153"/>
    <w:link w:val="947"/>
    <w:qFormat/>
    <w:pPr>
      <w:jc w:val="left"/>
      <w:spacing w:before="100" w:beforeAutospacing="1" w:after="100" w:afterAutospacing="1"/>
      <w:widowControl/>
    </w:pPr>
    <w:rPr>
      <w:rFonts w:ascii="宋体" w:hAnsi="宋体" w:cs="宋体"/>
      <w:sz w:val="24"/>
    </w:rPr>
  </w:style>
  <w:style w:type="paragraph" w:styleId="1154">
    <w:name w:val="Plain Text11"/>
    <w:basedOn w:val="947"/>
    <w:next w:val="1154"/>
    <w:link w:val="947"/>
    <w:qFormat/>
    <w:rPr>
      <w:rFonts w:ascii="宋体" w:hAnsi="Courier New" w:eastAsia="楷体_GB2312"/>
      <w:sz w:val="28"/>
      <w:szCs w:val="20"/>
    </w:rPr>
  </w:style>
  <w:style w:type="paragraph" w:styleId="1155">
    <w:name w:val="xl89"/>
    <w:basedOn w:val="947"/>
    <w:next w:val="1155"/>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6">
    <w:name w:val="xl31"/>
    <w:basedOn w:val="947"/>
    <w:next w:val="1156"/>
    <w:link w:val="947"/>
    <w:uiPriority w:val="99"/>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157">
    <w:name w:val="样式 正文文本缩进 2 + Times New Roman 首行缩进:  1.06 厘米 行距: 固定值 30 磅"/>
    <w:basedOn w:val="996"/>
    <w:next w:val="1157"/>
    <w:link w:val="947"/>
    <w:pPr>
      <w:ind w:left="0" w:firstLine="601"/>
      <w:spacing w:after="0" w:line="540" w:lineRule="exact"/>
    </w:pPr>
    <w:rPr>
      <w:sz w:val="28"/>
      <w:szCs w:val="28"/>
    </w:rPr>
  </w:style>
  <w:style w:type="paragraph" w:styleId="1158">
    <w:name w:val=" Char Char Char Char Char Char Char Char Char Char Char1 Char Char Char Char Char Char Char Char Char Char"/>
    <w:basedOn w:val="947"/>
    <w:next w:val="1158"/>
    <w:link w:val="947"/>
    <w:rPr>
      <w:rFonts w:ascii="Tahoma" w:hAnsi="Tahoma"/>
      <w:sz w:val="24"/>
      <w:szCs w:val="20"/>
    </w:rPr>
  </w:style>
  <w:style w:type="paragraph" w:styleId="1159">
    <w:name w:val="xl74"/>
    <w:basedOn w:val="947"/>
    <w:next w:val="1159"/>
    <w:link w:val="9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2"/>
      <w:szCs w:val="22"/>
    </w:rPr>
  </w:style>
  <w:style w:type="paragraph" w:styleId="1160">
    <w:name w:val="标准"/>
    <w:basedOn w:val="947"/>
    <w:next w:val="1160"/>
    <w:link w:val="947"/>
    <w:pPr>
      <w:spacing w:line="300" w:lineRule="exact"/>
    </w:pPr>
    <w:rPr>
      <w:rFonts w:ascii="Footlight MT Light" w:hAnsi="Footlight MT Light"/>
      <w:b/>
      <w:sz w:val="28"/>
      <w:szCs w:val="20"/>
    </w:rPr>
  </w:style>
  <w:style w:type="paragraph" w:styleId="1161">
    <w:name w:val="+注："/>
    <w:basedOn w:val="947"/>
    <w:next w:val="1161"/>
    <w:link w:val="947"/>
    <w:pPr>
      <w:ind w:firstLine="200"/>
      <w:spacing w:line="360" w:lineRule="auto"/>
    </w:pPr>
    <w:rPr>
      <w:szCs w:val="21"/>
    </w:rPr>
  </w:style>
  <w:style w:type="paragraph" w:styleId="1162">
    <w:name w:val="xl32"/>
    <w:basedOn w:val="947"/>
    <w:next w:val="1162"/>
    <w:link w:val="947"/>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63">
    <w:name w:val="+正文 Char Char2 Char Char"/>
    <w:basedOn w:val="947"/>
    <w:next w:val="1163"/>
    <w:link w:val="947"/>
    <w:pPr>
      <w:ind w:firstLine="200"/>
      <w:spacing w:line="360" w:lineRule="auto"/>
    </w:pPr>
    <w:rPr>
      <w:sz w:val="24"/>
      <w:szCs w:val="28"/>
    </w:rPr>
  </w:style>
  <w:style w:type="paragraph" w:styleId="1164">
    <w:name w:val="xl69"/>
    <w:basedOn w:val="947"/>
    <w:next w:val="1164"/>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65">
    <w:name w:val="文档正文"/>
    <w:basedOn w:val="947"/>
    <w:next w:val="1165"/>
    <w:link w:val="947"/>
    <w:pPr>
      <w:ind w:firstLine="567"/>
      <w:spacing w:line="480" w:lineRule="atLeast"/>
    </w:pPr>
    <w:rPr>
      <w:rFonts w:ascii="仿宋_GB2312" w:eastAsia="仿宋_GB2312"/>
      <w:sz w:val="28"/>
      <w:szCs w:val="20"/>
    </w:rPr>
  </w:style>
  <w:style w:type="paragraph" w:styleId="1166">
    <w:name w:val="+正文 Char Char5"/>
    <w:basedOn w:val="947"/>
    <w:next w:val="1166"/>
    <w:link w:val="947"/>
    <w:pPr>
      <w:ind w:firstLine="200"/>
    </w:pPr>
    <w:rPr>
      <w:sz w:val="24"/>
    </w:rPr>
  </w:style>
  <w:style w:type="paragraph" w:styleId="1167">
    <w:name w:val="纯文本1"/>
    <w:basedOn w:val="947"/>
    <w:next w:val="1167"/>
    <w:link w:val="947"/>
    <w:qFormat/>
    <w:rPr>
      <w:rFonts w:hint="eastAsia" w:ascii="宋体" w:hAnsi="Courier New" w:eastAsia="楷体_GB2312"/>
      <w:sz w:val="28"/>
      <w:szCs w:val="20"/>
    </w:rPr>
  </w:style>
  <w:style w:type="paragraph" w:styleId="1168">
    <w:name w:val="Char Char Char Char Char Char Char Char Char1 Char"/>
    <w:basedOn w:val="973"/>
    <w:next w:val="1168"/>
    <w:link w:val="947"/>
    <w:qFormat/>
    <w:pPr>
      <w:spacing w:line="360" w:lineRule="auto"/>
    </w:pPr>
  </w:style>
  <w:style w:type="paragraph" w:styleId="1169">
    <w:name w:val="xl79"/>
    <w:basedOn w:val="947"/>
    <w:next w:val="1169"/>
    <w:link w:val="94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70">
    <w:name w:val="xl75"/>
    <w:basedOn w:val="947"/>
    <w:next w:val="1170"/>
    <w:link w:val="9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71">
    <w:name w:val="xl85"/>
    <w:basedOn w:val="947"/>
    <w:next w:val="1171"/>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2">
    <w:name w:val="Char Char Char Char Char Char Char"/>
    <w:basedOn w:val="947"/>
    <w:next w:val="1172"/>
    <w:link w:val="947"/>
    <w:pPr>
      <w:ind w:firstLine="480"/>
      <w:spacing w:line="360" w:lineRule="auto"/>
    </w:pPr>
    <w:rPr>
      <w:rFonts w:ascii="Tahoma" w:hAnsi="Tahoma"/>
      <w:sz w:val="24"/>
      <w:szCs w:val="20"/>
    </w:rPr>
  </w:style>
  <w:style w:type="paragraph" w:styleId="1173">
    <w:name w:val="列出段落1"/>
    <w:basedOn w:val="947"/>
    <w:next w:val="1173"/>
    <w:link w:val="947"/>
    <w:qFormat/>
    <w:pPr>
      <w:ind w:firstLine="420"/>
      <w:jc w:val="left"/>
      <w:widowControl/>
    </w:pPr>
    <w:rPr>
      <w:sz w:val="20"/>
      <w:szCs w:val="20"/>
    </w:rPr>
  </w:style>
  <w:style w:type="paragraph" w:styleId="1174">
    <w:name w:val="xl27"/>
    <w:basedOn w:val="947"/>
    <w:next w:val="1174"/>
    <w:link w:val="947"/>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75">
    <w:name w:val="xl42"/>
    <w:basedOn w:val="947"/>
    <w:next w:val="1175"/>
    <w:link w:val="947"/>
    <w:uiPriority w:val="99"/>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76">
    <w:name w:val="xl45"/>
    <w:basedOn w:val="947"/>
    <w:next w:val="1176"/>
    <w:link w:val="947"/>
    <w:uiPriority w:val="99"/>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77">
    <w:name w:val="font5"/>
    <w:basedOn w:val="947"/>
    <w:next w:val="1177"/>
    <w:link w:val="947"/>
    <w:qFormat/>
    <w:pPr>
      <w:jc w:val="left"/>
      <w:spacing w:before="100" w:beforeAutospacing="1" w:after="100" w:afterAutospacing="1"/>
      <w:widowControl/>
    </w:pPr>
    <w:rPr>
      <w:rFonts w:hint="eastAsia" w:ascii="宋体" w:hAnsi="宋体"/>
      <w:sz w:val="18"/>
      <w:szCs w:val="18"/>
    </w:rPr>
  </w:style>
  <w:style w:type="paragraph" w:styleId="1178">
    <w:name w:val=" Char Char Char"/>
    <w:basedOn w:val="947"/>
    <w:next w:val="1178"/>
    <w:link w:val="947"/>
    <w:pPr>
      <w:spacing w:line="360" w:lineRule="auto"/>
    </w:pPr>
    <w:rPr>
      <w:sz w:val="24"/>
      <w:szCs w:val="20"/>
    </w:rPr>
  </w:style>
  <w:style w:type="paragraph" w:styleId="1179">
    <w:name w:val="+标题2"/>
    <w:basedOn w:val="949"/>
    <w:next w:val="1179"/>
    <w:link w:val="947"/>
    <w:pPr>
      <w:numPr>
        <w:ilvl w:val="1"/>
        <w:numId w:val="12"/>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1180">
    <w:name w:val="+正文 Char Char5 Char"/>
    <w:basedOn w:val="947"/>
    <w:next w:val="1180"/>
    <w:link w:val="947"/>
    <w:pPr>
      <w:ind w:firstLine="200"/>
      <w:spacing w:line="360" w:lineRule="auto"/>
    </w:pPr>
    <w:rPr>
      <w:sz w:val="24"/>
      <w:szCs w:val="20"/>
    </w:rPr>
  </w:style>
  <w:style w:type="paragraph" w:styleId="1181">
    <w:name w:val="+标题1"/>
    <w:basedOn w:val="948"/>
    <w:next w:val="1181"/>
    <w:link w:val="947"/>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182">
    <w:name w:val="默认段落字体 Para Char Char Char Char Char Char Char Char Char1 Char Char Char Char"/>
    <w:basedOn w:val="947"/>
    <w:next w:val="1182"/>
    <w:link w:val="947"/>
    <w:qFormat/>
    <w:rPr>
      <w:rFonts w:ascii="Tahoma" w:hAnsi="Tahoma"/>
      <w:sz w:val="24"/>
      <w:szCs w:val="20"/>
    </w:rPr>
  </w:style>
  <w:style w:type="paragraph" w:styleId="1183">
    <w:name w:val="xl65"/>
    <w:basedOn w:val="947"/>
    <w:next w:val="1183"/>
    <w:link w:val="947"/>
    <w:pPr>
      <w:jc w:val="center"/>
      <w:spacing w:before="100" w:beforeAutospacing="1" w:after="100" w:afterAutospacing="1"/>
      <w:widowControl/>
    </w:pPr>
    <w:rPr>
      <w:rFonts w:ascii="宋体" w:hAnsi="宋体" w:cs="宋体"/>
      <w:sz w:val="24"/>
    </w:rPr>
  </w:style>
  <w:style w:type="paragraph" w:styleId="1184">
    <w:name w:val="Blockquote"/>
    <w:basedOn w:val="947"/>
    <w:next w:val="1184"/>
    <w:link w:val="947"/>
    <w:qFormat/>
    <w:pPr>
      <w:ind w:left="360" w:right="360"/>
      <w:jc w:val="left"/>
      <w:spacing w:before="100" w:after="100"/>
    </w:pPr>
    <w:rPr>
      <w:sz w:val="24"/>
      <w:szCs w:val="21"/>
    </w:rPr>
  </w:style>
  <w:style w:type="paragraph" w:styleId="1185">
    <w:name w:val="xl71"/>
    <w:basedOn w:val="947"/>
    <w:next w:val="1185"/>
    <w:link w:val="9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86">
    <w:name w:val="xl38"/>
    <w:basedOn w:val="947"/>
    <w:next w:val="1186"/>
    <w:link w:val="947"/>
    <w:uiPriority w:val="99"/>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87">
    <w:name w:val="Body Text Indent"/>
    <w:basedOn w:val="947"/>
    <w:next w:val="1187"/>
    <w:link w:val="947"/>
    <w:pPr>
      <w:ind w:left="-360" w:firstLine="540"/>
      <w:jc w:val="left"/>
      <w:widowControl/>
    </w:pPr>
    <w:rPr>
      <w:rFonts w:ascii="宋体" w:hAnsi="宋体"/>
      <w:sz w:val="24"/>
    </w:rPr>
  </w:style>
  <w:style w:type="paragraph" w:styleId="1188">
    <w:name w:val="列出段落"/>
    <w:basedOn w:val="947"/>
    <w:next w:val="1188"/>
    <w:link w:val="947"/>
    <w:uiPriority w:val="99"/>
    <w:qFormat/>
    <w:pPr>
      <w:ind w:firstLine="420"/>
    </w:pPr>
    <w:rPr>
      <w:rFonts w:ascii="Calibri" w:hAnsi="Calibri"/>
      <w:szCs w:val="22"/>
    </w:rPr>
  </w:style>
  <w:style w:type="paragraph" w:styleId="1189">
    <w:name w:val=" Char Char Char1 Char"/>
    <w:basedOn w:val="947"/>
    <w:next w:val="1189"/>
    <w:link w:val="947"/>
    <w:pPr>
      <w:spacing w:line="312" w:lineRule="atLeast"/>
    </w:pPr>
    <w:rPr>
      <w:b/>
      <w:bCs/>
      <w:sz w:val="36"/>
      <w:szCs w:val="32"/>
    </w:rPr>
  </w:style>
  <w:style w:type="paragraph" w:styleId="1190">
    <w:name w:val="reader-word-layer"/>
    <w:basedOn w:val="947"/>
    <w:next w:val="1190"/>
    <w:link w:val="947"/>
    <w:pPr>
      <w:jc w:val="left"/>
      <w:spacing w:before="100" w:beforeAutospacing="1" w:after="100" w:afterAutospacing="1"/>
      <w:widowControl/>
    </w:pPr>
    <w:rPr>
      <w:rFonts w:ascii="宋体" w:hAnsi="宋体" w:cs="宋体"/>
      <w:sz w:val="24"/>
    </w:rPr>
  </w:style>
  <w:style w:type="paragraph" w:styleId="1191">
    <w:name w:val="修订"/>
    <w:next w:val="1191"/>
    <w:link w:val="947"/>
    <w:rPr>
      <w:sz w:val="21"/>
      <w:szCs w:val="24"/>
      <w:lang w:val="en-US" w:eastAsia="zh-CN" w:bidi="ar-SA"/>
    </w:rPr>
  </w:style>
  <w:style w:type="paragraph" w:styleId="1192">
    <w:name w:val="+标题4"/>
    <w:basedOn w:val="951"/>
    <w:next w:val="1192"/>
    <w:link w:val="947"/>
    <w:pPr>
      <w:numPr>
        <w:ilvl w:val="3"/>
        <w:numId w:val="12"/>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1193">
    <w:name w:val="xl68"/>
    <w:basedOn w:val="947"/>
    <w:next w:val="1193"/>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4">
    <w:name w:val="Table Paragraph"/>
    <w:basedOn w:val="947"/>
    <w:next w:val="1194"/>
    <w:link w:val="947"/>
    <w:uiPriority w:val="1"/>
    <w:qFormat/>
    <w:pPr>
      <w:jc w:val="left"/>
    </w:pPr>
    <w:rPr>
      <w:rFonts w:ascii="Times New Roman" w:hAnsi="Times New Roman"/>
      <w:sz w:val="24"/>
    </w:rPr>
  </w:style>
  <w:style w:type="paragraph" w:styleId="1195">
    <w:name w:val="Char Char"/>
    <w:basedOn w:val="973"/>
    <w:next w:val="1195"/>
    <w:link w:val="947"/>
    <w:pPr>
      <w:numPr>
        <w:ilvl w:val="0"/>
        <w:numId w:val="13"/>
      </w:numPr>
      <w:tabs>
        <w:tab w:val="left" w:pos="425" w:leader="none"/>
      </w:tabs>
    </w:pPr>
    <w:rPr>
      <w:rFonts w:ascii="Tahoma" w:hAnsi="Tahoma"/>
      <w:sz w:val="24"/>
    </w:rPr>
  </w:style>
  <w:style w:type="paragraph" w:styleId="1196">
    <w:name w:val="EHPT"/>
    <w:basedOn w:val="947"/>
    <w:next w:val="982"/>
    <w:link w:val="947"/>
    <w:pPr>
      <w:ind w:right="-694"/>
    </w:pPr>
    <w:rPr>
      <w:sz w:val="24"/>
      <w:szCs w:val="20"/>
    </w:rPr>
  </w:style>
  <w:style w:type="paragraph" w:styleId="1197">
    <w:name w:val="xl82"/>
    <w:basedOn w:val="947"/>
    <w:next w:val="1197"/>
    <w:link w:val="947"/>
    <w:pPr>
      <w:jc w:val="center"/>
      <w:spacing w:before="100" w:beforeAutospacing="1" w:after="100" w:afterAutospacing="1"/>
      <w:widowControl/>
    </w:pPr>
    <w:rPr>
      <w:rFonts w:ascii="宋体" w:hAnsi="宋体" w:cs="宋体"/>
      <w:sz w:val="24"/>
    </w:rPr>
  </w:style>
  <w:style w:type="paragraph" w:styleId="1198">
    <w:name w:val="+列表1"/>
    <w:basedOn w:val="947"/>
    <w:next w:val="1198"/>
    <w:link w:val="947"/>
    <w:pPr>
      <w:jc w:val="center"/>
    </w:pPr>
    <w:rPr>
      <w:sz w:val="24"/>
    </w:rPr>
  </w:style>
  <w:style w:type="paragraph" w:styleId="1199">
    <w:name w:val="xl81"/>
    <w:basedOn w:val="947"/>
    <w:next w:val="1199"/>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0">
    <w:name w:val="+列表2"/>
    <w:basedOn w:val="947"/>
    <w:next w:val="1200"/>
    <w:link w:val="947"/>
    <w:pPr>
      <w:jc w:val="center"/>
    </w:pPr>
    <w:rPr>
      <w:sz w:val="18"/>
      <w:szCs w:val="21"/>
    </w:rPr>
  </w:style>
  <w:style w:type="paragraph" w:styleId="1201">
    <w:name w:val="xl25"/>
    <w:basedOn w:val="947"/>
    <w:next w:val="1201"/>
    <w:link w:val="947"/>
    <w:uiPriority w:val="99"/>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202">
    <w:name w:val="xl29"/>
    <w:basedOn w:val="947"/>
    <w:next w:val="1202"/>
    <w:link w:val="9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203">
    <w:name w:val="xl67"/>
    <w:basedOn w:val="947"/>
    <w:next w:val="1203"/>
    <w:link w:val="947"/>
    <w:pPr>
      <w:jc w:val="center"/>
      <w:spacing w:before="100" w:beforeAutospacing="1" w:after="100" w:afterAutospacing="1"/>
      <w:widowControl/>
    </w:pPr>
    <w:rPr>
      <w:rFonts w:ascii="宋体" w:hAnsi="宋体" w:cs="宋体"/>
      <w:sz w:val="22"/>
      <w:szCs w:val="22"/>
    </w:rPr>
  </w:style>
  <w:style w:type="paragraph" w:styleId="1204">
    <w:name w:val="Default"/>
    <w:next w:val="1204"/>
    <w:link w:val="947"/>
    <w:qFormat/>
    <w:pPr>
      <w:widowControl w:val="off"/>
    </w:pPr>
    <w:rPr>
      <w:color w:val="000000"/>
      <w:sz w:val="24"/>
      <w:szCs w:val="24"/>
      <w:lang w:val="en-US" w:eastAsia="zh-CN" w:bidi="ar-SA"/>
    </w:rPr>
  </w:style>
  <w:style w:type="paragraph" w:styleId="1205">
    <w:name w:val="xl70"/>
    <w:basedOn w:val="947"/>
    <w:next w:val="1205"/>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6">
    <w:name w:val="纯文本4"/>
    <w:basedOn w:val="947"/>
    <w:next w:val="1206"/>
    <w:link w:val="947"/>
    <w:rPr>
      <w:rFonts w:ascii="宋体" w:hAnsi="Courier New" w:eastAsia="楷体_GB2312"/>
      <w:sz w:val="28"/>
      <w:szCs w:val="20"/>
    </w:rPr>
  </w:style>
  <w:style w:type="character" w:styleId="1207">
    <w:name w:val="页脚 字符"/>
    <w:next w:val="1207"/>
    <w:link w:val="947"/>
    <w:uiPriority w:val="99"/>
    <w:qFormat/>
    <w:rPr>
      <w:rFonts w:eastAsia="楷体_GB2312"/>
      <w:sz w:val="18"/>
    </w:rPr>
  </w:style>
  <w:style w:type="character" w:styleId="1208">
    <w:name w:val="无间隔 Char1"/>
    <w:next w:val="1208"/>
    <w:link w:val="1209"/>
    <w:qFormat/>
    <w:rPr>
      <w:rFonts w:ascii="Calibri" w:hAnsi="Calibri"/>
      <w:sz w:val="22"/>
      <w:szCs w:val="22"/>
    </w:rPr>
  </w:style>
  <w:style w:type="paragraph" w:styleId="1209">
    <w:name w:val="无间隔"/>
    <w:next w:val="1209"/>
    <w:link w:val="1208"/>
    <w:qFormat/>
    <w:rPr>
      <w:rFonts w:ascii="Calibri" w:hAnsi="Calibri"/>
      <w:sz w:val="22"/>
      <w:szCs w:val="22"/>
      <w:lang w:val="en-US" w:eastAsia="zh-CN" w:bidi="ar-SA"/>
    </w:rPr>
  </w:style>
  <w:style w:type="character" w:styleId="1210">
    <w:name w:val="styl81"/>
    <w:next w:val="1210"/>
    <w:link w:val="947"/>
    <w:rPr>
      <w:sz w:val="21"/>
      <w:szCs w:val="21"/>
    </w:rPr>
  </w:style>
  <w:style w:type="character" w:styleId="1211">
    <w:name w:val="页眉 字符"/>
    <w:next w:val="1211"/>
    <w:link w:val="947"/>
    <w:uiPriority w:val="99"/>
    <w:qFormat/>
    <w:rPr>
      <w:rFonts w:eastAsia="楷体_GB2312"/>
      <w:sz w:val="18"/>
    </w:rPr>
  </w:style>
  <w:style w:type="character" w:styleId="1212">
    <w:name w:val="aa1 l01 style8"/>
    <w:next w:val="1212"/>
    <w:link w:val="947"/>
  </w:style>
  <w:style w:type="character" w:styleId="1213">
    <w:name w:val="p141"/>
    <w:next w:val="1213"/>
    <w:link w:val="947"/>
    <w:rPr>
      <w:sz w:val="21"/>
      <w:szCs w:val="21"/>
    </w:rPr>
  </w:style>
  <w:style w:type="paragraph" w:styleId="1214">
    <w:name w:val="2"/>
    <w:basedOn w:val="947"/>
    <w:next w:val="1188"/>
    <w:link w:val="947"/>
    <w:uiPriority w:val="34"/>
    <w:qFormat/>
    <w:pPr>
      <w:ind w:firstLine="420"/>
    </w:pPr>
    <w:rPr>
      <w:rFonts w:ascii="Calibri" w:hAnsi="Calibri"/>
      <w:szCs w:val="22"/>
    </w:rPr>
  </w:style>
  <w:style w:type="paragraph" w:styleId="1215">
    <w:name w:val="Char Char Char"/>
    <w:basedOn w:val="947"/>
    <w:next w:val="1215"/>
    <w:link w:val="947"/>
    <w:qFormat/>
    <w:pPr>
      <w:ind w:left="360" w:hanging="360"/>
      <w:tabs>
        <w:tab w:val="left" w:pos="840" w:leader="none"/>
      </w:tabs>
    </w:pPr>
    <w:rPr>
      <w:sz w:val="24"/>
      <w:szCs w:val="20"/>
    </w:rPr>
  </w:style>
  <w:style w:type="paragraph" w:styleId="1216">
    <w:name w:val="Char2"/>
    <w:basedOn w:val="947"/>
    <w:next w:val="1216"/>
    <w:link w:val="947"/>
    <w:uiPriority w:val="99"/>
    <w:qFormat/>
    <w:pPr>
      <w:ind w:left="930" w:hanging="360"/>
      <w:tabs>
        <w:tab w:val="left" w:pos="360" w:leader="none"/>
        <w:tab w:val="left" w:pos="930" w:leader="none"/>
      </w:tabs>
    </w:pPr>
    <w:rPr>
      <w:sz w:val="24"/>
    </w:rPr>
  </w:style>
  <w:style w:type="paragraph" w:styleId="1217">
    <w:name w:val="Char1"/>
    <w:basedOn w:val="947"/>
    <w:next w:val="1217"/>
    <w:link w:val="947"/>
    <w:uiPriority w:val="99"/>
    <w:qFormat/>
    <w:pPr>
      <w:ind w:left="360" w:hanging="360"/>
      <w:tabs>
        <w:tab w:val="left" w:pos="360" w:leader="none"/>
      </w:tabs>
    </w:pPr>
    <w:rPr>
      <w:sz w:val="24"/>
      <w:szCs w:val="20"/>
    </w:rPr>
  </w:style>
  <w:style w:type="paragraph" w:styleId="1218">
    <w:name w:val="纯文本6"/>
    <w:basedOn w:val="947"/>
    <w:next w:val="1218"/>
    <w:link w:val="947"/>
    <w:qFormat/>
    <w:pPr>
      <w:jc w:val="left"/>
      <w:widowControl/>
    </w:pPr>
    <w:rPr>
      <w:rFonts w:ascii="宋体" w:hAnsi="Courier New" w:eastAsia="楷体_GB2312"/>
      <w:sz w:val="26"/>
      <w:szCs w:val="20"/>
    </w:rPr>
  </w:style>
  <w:style w:type="paragraph" w:styleId="1219">
    <w:name w:val="font10"/>
    <w:basedOn w:val="947"/>
    <w:next w:val="1219"/>
    <w:link w:val="947"/>
    <w:qFormat/>
    <w:pPr>
      <w:jc w:val="left"/>
      <w:spacing w:before="100" w:beforeAutospacing="1" w:after="100" w:afterAutospacing="1"/>
      <w:widowControl/>
    </w:pPr>
    <w:rPr>
      <w:b/>
      <w:bCs/>
      <w:sz w:val="20"/>
      <w:szCs w:val="20"/>
    </w:rPr>
  </w:style>
  <w:style w:type="paragraph" w:styleId="1220">
    <w:name w:val="Char Char Char1 Char Char Char Char"/>
    <w:basedOn w:val="947"/>
    <w:next w:val="1220"/>
    <w:link w:val="947"/>
    <w:qFormat/>
    <w:pPr>
      <w:jc w:val="left"/>
      <w:spacing w:after="160" w:line="240" w:lineRule="exact"/>
      <w:widowControl/>
    </w:pPr>
    <w:rPr>
      <w:sz w:val="24"/>
      <w:szCs w:val="20"/>
    </w:rPr>
  </w:style>
  <w:style w:type="paragraph" w:styleId="1221">
    <w:name w:val="Default Paragraph Font Para Char"/>
    <w:basedOn w:val="947"/>
    <w:next w:val="1221"/>
    <w:link w:val="947"/>
    <w:qFormat/>
    <w:pPr>
      <w:jc w:val="left"/>
      <w:spacing w:after="160" w:line="240" w:lineRule="exact"/>
      <w:widowControl/>
    </w:pPr>
    <w:rPr>
      <w:rFonts w:ascii="Verdana" w:hAnsi="Verdana"/>
      <w:sz w:val="20"/>
      <w:szCs w:val="20"/>
      <w:lang w:eastAsia="en-US"/>
    </w:rPr>
  </w:style>
  <w:style w:type="paragraph" w:styleId="1222">
    <w:name w:val="Char1 Char Char Char"/>
    <w:basedOn w:val="947"/>
    <w:next w:val="1222"/>
    <w:link w:val="947"/>
    <w:qFormat/>
    <w:rPr>
      <w:rFonts w:ascii="Tahoma" w:hAnsi="Tahoma"/>
      <w:sz w:val="24"/>
      <w:szCs w:val="20"/>
    </w:rPr>
  </w:style>
  <w:style w:type="paragraph" w:styleId="1223">
    <w:name w:val="NRSection"/>
    <w:basedOn w:val="947"/>
    <w:next w:val="1223"/>
    <w:link w:val="947"/>
    <w:qFormat/>
    <w:pPr>
      <w:jc w:val="left"/>
      <w:widowControl/>
      <w:outlineLvl w:val="4"/>
    </w:pPr>
    <w:rPr>
      <w:b/>
      <w:sz w:val="24"/>
      <w:szCs w:val="20"/>
    </w:rPr>
  </w:style>
  <w:style w:type="paragraph" w:styleId="1224">
    <w:name w:val="font8"/>
    <w:basedOn w:val="947"/>
    <w:next w:val="1224"/>
    <w:link w:val="947"/>
    <w:uiPriority w:val="99"/>
    <w:pPr>
      <w:jc w:val="left"/>
      <w:spacing w:before="100" w:beforeAutospacing="1" w:after="100" w:afterAutospacing="1"/>
      <w:widowControl/>
    </w:pPr>
    <w:rPr>
      <w:rFonts w:hint="eastAsia" w:ascii="宋体" w:hAnsi="宋体"/>
      <w:b/>
      <w:bCs/>
      <w:sz w:val="20"/>
      <w:szCs w:val="20"/>
    </w:rPr>
  </w:style>
  <w:style w:type="paragraph" w:styleId="1225">
    <w:name w:val="_Style 5"/>
    <w:basedOn w:val="973"/>
    <w:next w:val="1225"/>
    <w:link w:val="947"/>
    <w:qFormat/>
    <w:pPr>
      <w:jc w:val="left"/>
      <w:spacing w:line="360" w:lineRule="auto"/>
      <w:widowControl/>
    </w:pPr>
    <w:rPr>
      <w:sz w:val="24"/>
    </w:rPr>
  </w:style>
  <w:style w:type="paragraph" w:styleId="1226">
    <w:name w:val="_Style 12"/>
    <w:basedOn w:val="973"/>
    <w:next w:val="1226"/>
    <w:link w:val="947"/>
    <w:qFormat/>
    <w:pPr>
      <w:spacing w:line="360" w:lineRule="auto"/>
    </w:pPr>
    <w:rPr>
      <w:szCs w:val="20"/>
    </w:rPr>
  </w:style>
  <w:style w:type="paragraph" w:styleId="1227">
    <w:name w:val="Char Char Char Char Char Char"/>
    <w:basedOn w:val="973"/>
    <w:next w:val="1227"/>
    <w:link w:val="947"/>
    <w:qFormat/>
    <w:pPr>
      <w:spacing w:line="360" w:lineRule="auto"/>
    </w:pPr>
    <w:rPr>
      <w:rFonts w:ascii="Tahoma" w:hAnsi="Tahoma"/>
      <w:sz w:val="24"/>
      <w:szCs w:val="20"/>
    </w:rPr>
  </w:style>
  <w:style w:type="paragraph" w:styleId="1228">
    <w:name w:val="font6"/>
    <w:basedOn w:val="947"/>
    <w:next w:val="1228"/>
    <w:link w:val="947"/>
    <w:uiPriority w:val="99"/>
    <w:qFormat/>
    <w:pPr>
      <w:jc w:val="left"/>
      <w:spacing w:before="100" w:beforeAutospacing="1" w:after="100" w:afterAutospacing="1"/>
      <w:widowControl/>
    </w:pPr>
    <w:rPr>
      <w:rFonts w:hint="eastAsia" w:ascii="宋体" w:hAnsi="宋体"/>
      <w:sz w:val="20"/>
      <w:szCs w:val="20"/>
    </w:rPr>
  </w:style>
  <w:style w:type="paragraph" w:styleId="1229">
    <w:name w:val="文章总标题"/>
    <w:basedOn w:val="947"/>
    <w:next w:val="947"/>
    <w:link w:val="947"/>
    <w:qFormat/>
    <w:pPr>
      <w:jc w:val="center"/>
      <w:spacing w:before="566" w:after="544" w:line="566" w:lineRule="atLeast"/>
      <w:widowControl/>
    </w:pPr>
    <w:rPr>
      <w:rFonts w:ascii="Arial" w:eastAsia="黑体"/>
      <w:color w:val="000000"/>
      <w:sz w:val="54"/>
      <w:szCs w:val="20"/>
    </w:rPr>
  </w:style>
  <w:style w:type="paragraph" w:styleId="1230">
    <w:name w:val="font7"/>
    <w:basedOn w:val="947"/>
    <w:next w:val="1230"/>
    <w:link w:val="947"/>
    <w:uiPriority w:val="99"/>
    <w:pPr>
      <w:jc w:val="left"/>
      <w:spacing w:before="100" w:beforeAutospacing="1" w:after="100" w:afterAutospacing="1"/>
      <w:widowControl/>
    </w:pPr>
    <w:rPr>
      <w:sz w:val="20"/>
      <w:szCs w:val="20"/>
    </w:rPr>
  </w:style>
  <w:style w:type="paragraph" w:styleId="1231">
    <w:name w:val="List Paragraph1"/>
    <w:basedOn w:val="947"/>
    <w:next w:val="1231"/>
    <w:link w:val="947"/>
    <w:uiPriority w:val="99"/>
    <w:qFormat/>
    <w:pPr>
      <w:ind w:firstLine="420"/>
    </w:pPr>
    <w:rPr>
      <w:rFonts w:ascii="Calibri" w:hAnsi="Calibri"/>
      <w:szCs w:val="22"/>
    </w:rPr>
  </w:style>
  <w:style w:type="paragraph" w:styleId="1232">
    <w:name w:val="font9"/>
    <w:basedOn w:val="947"/>
    <w:next w:val="1232"/>
    <w:link w:val="947"/>
    <w:pPr>
      <w:jc w:val="left"/>
      <w:spacing w:before="100" w:beforeAutospacing="1" w:after="100" w:afterAutospacing="1"/>
      <w:widowControl/>
    </w:pPr>
    <w:rPr>
      <w:sz w:val="20"/>
      <w:szCs w:val="20"/>
    </w:rPr>
  </w:style>
  <w:style w:type="paragraph" w:styleId="1233">
    <w:name w:val="纯文本3"/>
    <w:basedOn w:val="947"/>
    <w:next w:val="1233"/>
    <w:link w:val="947"/>
    <w:qFormat/>
    <w:pPr>
      <w:jc w:val="left"/>
      <w:widowControl/>
    </w:pPr>
    <w:rPr>
      <w:rFonts w:ascii="宋体" w:hAnsi="Courier New" w:eastAsia="楷体_GB2312"/>
      <w:sz w:val="26"/>
      <w:szCs w:val="20"/>
    </w:rPr>
  </w:style>
  <w:style w:type="paragraph" w:styleId="1234">
    <w:name w:val="xl23"/>
    <w:basedOn w:val="947"/>
    <w:next w:val="1234"/>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5">
    <w:name w:val="xl22"/>
    <w:basedOn w:val="947"/>
    <w:next w:val="1235"/>
    <w:link w:val="947"/>
    <w:pPr>
      <w:jc w:val="center"/>
      <w:spacing w:before="100" w:beforeAutospacing="1" w:after="100" w:afterAutospacing="1"/>
      <w:widowControl/>
    </w:pPr>
    <w:rPr>
      <w:rFonts w:ascii="宋体" w:hAnsi="宋体"/>
      <w:sz w:val="20"/>
      <w:szCs w:val="20"/>
    </w:rPr>
  </w:style>
  <w:style w:type="paragraph" w:styleId="1236">
    <w:name w:val="纯文本11"/>
    <w:basedOn w:val="947"/>
    <w:next w:val="1236"/>
    <w:link w:val="947"/>
    <w:pPr>
      <w:jc w:val="left"/>
      <w:widowControl/>
    </w:pPr>
    <w:rPr>
      <w:rFonts w:ascii="宋体" w:hAnsi="Courier New" w:eastAsia="楷体_GB2312"/>
      <w:sz w:val="26"/>
      <w:szCs w:val="20"/>
    </w:rPr>
  </w:style>
  <w:style w:type="paragraph" w:styleId="1237">
    <w:name w:val="H-TextFormat"/>
    <w:next w:val="1237"/>
    <w:link w:val="947"/>
    <w:rPr>
      <w:rFonts w:ascii="Arial" w:hAnsi="Arial"/>
      <w:sz w:val="22"/>
      <w:lang w:val="en-GB" w:eastAsia="en-US" w:bidi="ar-SA"/>
    </w:rPr>
  </w:style>
  <w:style w:type="paragraph" w:styleId="1238">
    <w:name w:val="正文文本 Char Char"/>
    <w:basedOn w:val="947"/>
    <w:next w:val="1238"/>
    <w:link w:val="947"/>
    <w:pPr>
      <w:jc w:val="center"/>
      <w:widowControl/>
    </w:pPr>
    <w:rPr>
      <w:sz w:val="24"/>
      <w:szCs w:val="20"/>
    </w:rPr>
  </w:style>
  <w:style w:type="paragraph" w:styleId="1239">
    <w:name w:val="Char Char Char1"/>
    <w:basedOn w:val="947"/>
    <w:next w:val="1239"/>
    <w:link w:val="947"/>
    <w:qFormat/>
    <w:pPr>
      <w:ind w:left="495" w:hanging="495"/>
      <w:tabs>
        <w:tab w:val="left" w:pos="495" w:leader="none"/>
        <w:tab w:val="left" w:pos="840" w:leader="none"/>
      </w:tabs>
    </w:pPr>
    <w:rPr>
      <w:sz w:val="24"/>
      <w:szCs w:val="20"/>
    </w:rPr>
  </w:style>
  <w:style w:type="character" w:styleId="1240">
    <w:name w:val="批注文字 字符"/>
    <w:next w:val="1240"/>
    <w:link w:val="947"/>
    <w:uiPriority w:val="99"/>
    <w:rPr>
      <w:rFonts w:ascii="Calibri" w:hAnsi="Calibri" w:eastAsia="宋体" w:cs="黑体"/>
      <w:sz w:val="20"/>
      <w:szCs w:val="24"/>
    </w:rPr>
  </w:style>
  <w:style w:type="paragraph" w:styleId="1241">
    <w:name w:val="正文1"/>
    <w:next w:val="1241"/>
    <w:link w:val="947"/>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1242">
    <w:name w:val="Char Char1"/>
    <w:next w:val="1242"/>
    <w:link w:val="947"/>
    <w:rPr>
      <w:lang w:eastAsia="zh-CN"/>
    </w:rPr>
  </w:style>
  <w:style w:type="character" w:styleId="1243">
    <w:name w:val="页眉 Char1"/>
    <w:next w:val="1243"/>
    <w:link w:val="947"/>
    <w:rPr>
      <w:rFonts w:eastAsia="楷体_GB2312"/>
      <w:sz w:val="18"/>
    </w:rPr>
  </w:style>
  <w:style w:type="character" w:styleId="1244">
    <w:name w:val="grame"/>
    <w:next w:val="1244"/>
    <w:link w:val="947"/>
  </w:style>
  <w:style w:type="character" w:styleId="1245">
    <w:name w:val="普通文字 Char Char,纯文本 Char1,普通文字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 Char2"/>
    <w:next w:val="1245"/>
    <w:link w:val="947"/>
    <w:rPr>
      <w:rFonts w:ascii="宋体" w:hAnsi="Courier New" w:eastAsia="楷体_GB2312"/>
      <w:sz w:val="28"/>
    </w:rPr>
  </w:style>
  <w:style w:type="character" w:styleId="1246">
    <w:name w:val="SC2021"/>
    <w:next w:val="1246"/>
    <w:link w:val="947"/>
    <w:rPr>
      <w:rFonts w:cs="宋体"/>
      <w:color w:val="000000"/>
      <w:sz w:val="20"/>
      <w:szCs w:val="20"/>
    </w:rPr>
  </w:style>
  <w:style w:type="character" w:styleId="1247">
    <w:name w:val="Ü5 + Nr Char, Char3 Char Char"/>
    <w:next w:val="1247"/>
    <w:link w:val="947"/>
    <w:rPr>
      <w:b/>
      <w:bCs/>
      <w:sz w:val="28"/>
      <w:szCs w:val="28"/>
    </w:rPr>
  </w:style>
  <w:style w:type="character" w:styleId="1248">
    <w:name w:val="标题 Char1"/>
    <w:next w:val="1248"/>
    <w:link w:val="947"/>
    <w:rPr>
      <w:rFonts w:ascii="Cambria" w:hAnsi="Cambria" w:eastAsia="宋体" w:cs="Times New Roman"/>
      <w:b/>
      <w:bCs/>
      <w:sz w:val="32"/>
      <w:szCs w:val="32"/>
      <w:lang w:val="en-US" w:eastAsia="zh-CN" w:bidi="ar-SA"/>
    </w:rPr>
  </w:style>
  <w:style w:type="character" w:styleId="1249">
    <w:name w:val="已访问的超链接1"/>
    <w:next w:val="1249"/>
    <w:link w:val="947"/>
    <w:rPr>
      <w:color w:val="800080"/>
      <w:u w:val="single"/>
    </w:rPr>
  </w:style>
  <w:style w:type="character" w:styleId="1250">
    <w:name w:val=" Char Char15"/>
    <w:next w:val="1250"/>
    <w:link w:val="947"/>
    <w:rPr>
      <w:rFonts w:ascii="Arial" w:hAnsi="Arial" w:eastAsia="黑体"/>
      <w:sz w:val="24"/>
      <w:szCs w:val="24"/>
    </w:rPr>
  </w:style>
  <w:style w:type="character" w:styleId="1251">
    <w:name w:val="Char Char3"/>
    <w:next w:val="1251"/>
    <w:link w:val="947"/>
    <w:rPr>
      <w:rFonts w:eastAsia="宋体"/>
      <w:sz w:val="28"/>
      <w:u w:val="single"/>
      <w:lang w:val="en-US" w:eastAsia="zh-CN"/>
    </w:rPr>
  </w:style>
  <w:style w:type="character" w:styleId="1252">
    <w:name w:val="Char Char2"/>
    <w:next w:val="1252"/>
    <w:link w:val="1253"/>
    <w:rPr>
      <w:rFonts w:ascii="宋体" w:hAnsi="Courier New"/>
      <w:sz w:val="21"/>
      <w:szCs w:val="21"/>
    </w:rPr>
  </w:style>
  <w:style w:type="paragraph" w:styleId="1253">
    <w:name w:val="Char3"/>
    <w:basedOn w:val="947"/>
    <w:next w:val="1253"/>
    <w:link w:val="1252"/>
    <w:rPr>
      <w:rFonts w:ascii="宋体" w:hAnsi="Courier New"/>
      <w:szCs w:val="21"/>
    </w:rPr>
  </w:style>
  <w:style w:type="character" w:styleId="1254">
    <w:name w:val="short_text1"/>
    <w:next w:val="1254"/>
    <w:link w:val="947"/>
    <w:rPr>
      <w:sz w:val="29"/>
    </w:rPr>
  </w:style>
  <w:style w:type="character" w:styleId="1255">
    <w:name w:val=" Char Char14"/>
    <w:next w:val="1255"/>
    <w:link w:val="947"/>
    <w:rPr>
      <w:rFonts w:ascii="Arial" w:hAnsi="Arial" w:eastAsia="黑体"/>
      <w:sz w:val="21"/>
      <w:szCs w:val="21"/>
    </w:rPr>
  </w:style>
  <w:style w:type="character" w:styleId="1256">
    <w:name w:val=" Char Char13"/>
    <w:next w:val="1256"/>
    <w:link w:val="947"/>
    <w:rPr>
      <w:sz w:val="18"/>
      <w:szCs w:val="18"/>
    </w:rPr>
  </w:style>
  <w:style w:type="character" w:styleId="1257">
    <w:name w:val="+正文 Char Char"/>
    <w:next w:val="1257"/>
    <w:link w:val="947"/>
    <w:rPr>
      <w:rFonts w:eastAsia="宋体"/>
      <w:sz w:val="24"/>
      <w:szCs w:val="28"/>
      <w:lang w:val="en-US" w:eastAsia="zh-CN" w:bidi="ar-SA"/>
    </w:rPr>
  </w:style>
  <w:style w:type="paragraph" w:styleId="1258">
    <w:name w:val="Style Heading 5 + 12 pt No underline"/>
    <w:basedOn w:val="952"/>
    <w:next w:val="1258"/>
    <w:link w:val="947"/>
    <w:pPr>
      <w:ind w:left="0" w:firstLine="0"/>
      <w:keepLines w:val="0"/>
      <w:spacing w:before="0" w:after="0" w:line="240" w:lineRule="auto"/>
      <w:tabs>
        <w:tab w:val="clear" w:pos="1008" w:leader="none"/>
      </w:tabs>
    </w:pPr>
    <w:rPr>
      <w:rFonts w:ascii="Calibri" w:hAnsi="Calibri"/>
      <w:b w:val="0"/>
      <w:bCs w:val="0"/>
      <w:iCs/>
      <w:sz w:val="24"/>
      <w:szCs w:val="26"/>
    </w:rPr>
  </w:style>
  <w:style w:type="paragraph" w:styleId="1259">
    <w:name w:val="text2"/>
    <w:basedOn w:val="947"/>
    <w:next w:val="1259"/>
    <w:link w:val="947"/>
    <w:pPr>
      <w:spacing w:before="30" w:after="30"/>
      <w:widowControl/>
    </w:pPr>
    <w:rPr>
      <w:rFonts w:ascii="Calibri" w:hAnsi="Calibri" w:eastAsia="PMingLiU"/>
      <w:sz w:val="22"/>
      <w:szCs w:val="20"/>
      <w:lang w:eastAsia="en-US"/>
    </w:rPr>
  </w:style>
  <w:style w:type="paragraph" w:styleId="1260">
    <w:name w:val="Big Heading"/>
    <w:basedOn w:val="947"/>
    <w:next w:val="1260"/>
    <w:link w:val="947"/>
    <w:pPr>
      <w:jc w:val="center"/>
    </w:pPr>
    <w:rPr>
      <w:rFonts w:ascii="Calibri" w:hAnsi="Calibri"/>
      <w:b/>
      <w:bCs/>
      <w:sz w:val="40"/>
      <w:szCs w:val="20"/>
    </w:rPr>
  </w:style>
  <w:style w:type="paragraph" w:styleId="1261">
    <w:name w:val="Char Char Char1 Char"/>
    <w:basedOn w:val="947"/>
    <w:next w:val="1261"/>
    <w:link w:val="947"/>
    <w:pPr>
      <w:spacing w:line="312" w:lineRule="atLeast"/>
    </w:pPr>
    <w:rPr>
      <w:rFonts w:ascii="Calibri" w:hAnsi="Calibri"/>
      <w:b/>
      <w:bCs/>
      <w:sz w:val="36"/>
      <w:szCs w:val="32"/>
    </w:rPr>
  </w:style>
  <w:style w:type="paragraph" w:styleId="1262">
    <w:name w:val="表格"/>
    <w:basedOn w:val="947"/>
    <w:next w:val="1262"/>
    <w:link w:val="947"/>
    <w:qFormat/>
    <w:pPr>
      <w:jc w:val="left"/>
      <w:widowControl/>
    </w:pPr>
    <w:rPr>
      <w:rFonts w:ascii="Calibri" w:hAnsi="Calibri" w:eastAsia="PMingLiU"/>
      <w:sz w:val="22"/>
      <w:szCs w:val="20"/>
      <w:lang w:eastAsia="zh-TW"/>
    </w:rPr>
  </w:style>
  <w:style w:type="paragraph" w:styleId="1263">
    <w:name w:val="spec.text"/>
    <w:basedOn w:val="947"/>
    <w:next w:val="1263"/>
    <w:link w:val="947"/>
    <w:pPr>
      <w:jc w:val="left"/>
      <w:spacing w:before="200"/>
      <w:widowControl/>
      <w:tabs>
        <w:tab w:val="left" w:pos="720" w:leader="none"/>
        <w:tab w:val="left" w:pos="1440" w:leader="none"/>
        <w:tab w:val="left" w:pos="2160" w:leader="none"/>
        <w:tab w:val="left" w:pos="2880" w:leader="none"/>
        <w:tab w:val="left" w:pos="3600" w:leader="none"/>
      </w:tabs>
    </w:pPr>
    <w:rPr>
      <w:rFonts w:ascii="Calibri" w:hAnsi="Calibri"/>
      <w:sz w:val="24"/>
      <w:szCs w:val="20"/>
      <w:lang w:val="en-GB" w:eastAsia="en-US"/>
    </w:rPr>
  </w:style>
  <w:style w:type="paragraph" w:styleId="1264">
    <w:name w:val="正文文本缩进1"/>
    <w:basedOn w:val="947"/>
    <w:next w:val="1264"/>
    <w:link w:val="947"/>
    <w:pPr>
      <w:ind w:left="-360" w:firstLine="540"/>
      <w:jc w:val="left"/>
      <w:widowControl/>
    </w:pPr>
    <w:rPr>
      <w:rFonts w:ascii="宋体" w:hAnsi="宋体"/>
      <w:sz w:val="24"/>
    </w:rPr>
  </w:style>
  <w:style w:type="paragraph" w:styleId="1265">
    <w:name w:val="GP标题4"/>
    <w:basedOn w:val="947"/>
    <w:next w:val="1266"/>
    <w:link w:val="947"/>
    <w:pPr>
      <w:jc w:val="left"/>
      <w:spacing w:line="360" w:lineRule="auto"/>
      <w:outlineLvl w:val="3"/>
    </w:pPr>
    <w:rPr>
      <w:rFonts w:ascii="华文细黑" w:hAnsi="华文细黑" w:eastAsia="华文细黑"/>
      <w:b/>
      <w:sz w:val="28"/>
      <w:szCs w:val="21"/>
    </w:rPr>
  </w:style>
  <w:style w:type="paragraph" w:styleId="1266">
    <w:name w:val="GP正文(首行缩进)"/>
    <w:basedOn w:val="947"/>
    <w:next w:val="1266"/>
    <w:link w:val="947"/>
    <w:pPr>
      <w:ind w:firstLine="200"/>
      <w:jc w:val="left"/>
      <w:spacing w:line="360" w:lineRule="auto"/>
    </w:pPr>
    <w:rPr>
      <w:rFonts w:ascii="Calibri" w:hAnsi="Calibri"/>
      <w:sz w:val="24"/>
      <w:szCs w:val="21"/>
    </w:rPr>
  </w:style>
  <w:style w:type="paragraph" w:styleId="1267">
    <w:name w:val="Normal - Small"/>
    <w:basedOn w:val="947"/>
    <w:next w:val="1267"/>
    <w:link w:val="947"/>
    <w:pPr>
      <w:jc w:val="left"/>
      <w:widowControl/>
    </w:pPr>
    <w:rPr>
      <w:rFonts w:ascii="Calibri" w:hAnsi="Calibri"/>
      <w:bCs/>
      <w:sz w:val="20"/>
      <w:szCs w:val="20"/>
    </w:rPr>
  </w:style>
  <w:style w:type="paragraph" w:styleId="1268">
    <w:name w:val="(Spec) 2-Normal"/>
    <w:next w:val="1268"/>
    <w:link w:val="947"/>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269">
    <w:name w:val="Plain Text2"/>
    <w:basedOn w:val="947"/>
    <w:next w:val="1269"/>
    <w:link w:val="947"/>
    <w:rPr>
      <w:rFonts w:ascii="宋体" w:hAnsi="Courier New" w:eastAsia="楷体_GB2312"/>
      <w:sz w:val="28"/>
      <w:szCs w:val="20"/>
    </w:rPr>
  </w:style>
  <w:style w:type="paragraph" w:styleId="1270">
    <w:name w:val="正文文字3"/>
    <w:basedOn w:val="982"/>
    <w:next w:val="1270"/>
    <w:link w:val="947"/>
    <w:qFormat/>
    <w:pPr>
      <w:ind w:left="72" w:right="72"/>
      <w:spacing w:line="360" w:lineRule="atLeast"/>
    </w:pPr>
    <w:rPr>
      <w:rFonts w:ascii="Times New Roman" w:hAnsi="Calibri" w:eastAsia="宋体"/>
      <w:sz w:val="21"/>
    </w:rPr>
  </w:style>
  <w:style w:type="paragraph" w:styleId="1271">
    <w:name w:val="(Spec) 5-Icons"/>
    <w:basedOn w:val="947"/>
    <w:next w:val="1271"/>
    <w:link w:val="947"/>
    <w:pPr>
      <w:ind w:left="1680" w:hanging="360"/>
      <w:spacing w:after="120"/>
    </w:pPr>
    <w:rPr>
      <w:rFonts w:ascii="DFKai-SB" w:hAnsi="DFKai-SB" w:eastAsia="DFKai-SB"/>
      <w:color w:val="000000"/>
      <w:sz w:val="26"/>
      <w:szCs w:val="22"/>
      <w:lang w:eastAsia="zh-TW"/>
    </w:rPr>
  </w:style>
  <w:style w:type="paragraph" w:styleId="1272">
    <w:name w:val="Char Char Char Char Char Char Char Char Char Char Char1 Char Char Char Char Char Char Char Char Char Char"/>
    <w:basedOn w:val="947"/>
    <w:next w:val="1272"/>
    <w:link w:val="947"/>
    <w:rPr>
      <w:rFonts w:ascii="Tahoma" w:hAnsi="Tahoma"/>
      <w:sz w:val="24"/>
      <w:szCs w:val="20"/>
    </w:rPr>
  </w:style>
  <w:style w:type="paragraph" w:styleId="1273">
    <w:name w:val="Char Char Char Char Char Char Char Char Char1 Char1"/>
    <w:basedOn w:val="973"/>
    <w:next w:val="1273"/>
    <w:link w:val="947"/>
    <w:pPr>
      <w:spacing w:line="360" w:lineRule="auto"/>
    </w:pPr>
    <w:rPr>
      <w:rFonts w:ascii="Tahoma" w:hAnsi="Tahoma"/>
      <w:sz w:val="24"/>
    </w:rPr>
  </w:style>
  <w:style w:type="paragraph" w:styleId="1274">
    <w:name w:val="front address heading"/>
    <w:basedOn w:val="947"/>
    <w:next w:val="1274"/>
    <w:link w:val="947"/>
    <w:pPr>
      <w:jc w:val="left"/>
      <w:spacing w:after="120" w:line="288" w:lineRule="auto"/>
      <w:widowControl/>
    </w:pPr>
    <w:rPr>
      <w:rFonts w:ascii="Arial" w:hAnsi="Arial" w:cs="Arial"/>
      <w:b/>
      <w:color w:val="ffffff"/>
      <w:sz w:val="18"/>
      <w:szCs w:val="16"/>
      <w:lang w:eastAsia="en-US"/>
    </w:rPr>
  </w:style>
  <w:style w:type="paragraph" w:styleId="1275">
    <w:name w:val="P5"/>
    <w:next w:val="1275"/>
    <w:link w:val="947"/>
    <w:pPr>
      <w:ind w:left="2304"/>
      <w:jc w:val="both"/>
      <w:spacing w:after="240"/>
      <w:widowControl w:val="off"/>
    </w:pPr>
    <w:rPr>
      <w:rFonts w:ascii="全真中明體" w:hAnsi="Calibri" w:eastAsia="全真中明體"/>
      <w:spacing w:val="30"/>
      <w:sz w:val="24"/>
      <w:lang w:val="en-GB" w:eastAsia="zh-TW" w:bidi="ar-SA"/>
    </w:rPr>
  </w:style>
  <w:style w:type="paragraph" w:styleId="1276">
    <w:name w:val="Plain Text1"/>
    <w:basedOn w:val="947"/>
    <w:next w:val="1276"/>
    <w:link w:val="947"/>
    <w:qFormat/>
    <w:rPr>
      <w:rFonts w:hint="eastAsia" w:ascii="宋体" w:hAnsi="Courier New" w:eastAsia="楷体_GB2312"/>
      <w:sz w:val="28"/>
      <w:szCs w:val="20"/>
    </w:rPr>
  </w:style>
  <w:style w:type="paragraph" w:styleId="1277">
    <w:name w:val="列出段落11"/>
    <w:basedOn w:val="947"/>
    <w:next w:val="1277"/>
    <w:link w:val="947"/>
    <w:pPr>
      <w:ind w:firstLine="420"/>
      <w:spacing w:line="312" w:lineRule="auto"/>
    </w:pPr>
    <w:rPr>
      <w:rFonts w:ascii="Calibri" w:hAnsi="Calibri"/>
      <w:szCs w:val="20"/>
    </w:rPr>
  </w:style>
  <w:style w:type="paragraph" w:styleId="1278">
    <w:name w:val="Char Char Char Char Char Char Char1"/>
    <w:basedOn w:val="947"/>
    <w:next w:val="1278"/>
    <w:link w:val="947"/>
    <w:pPr>
      <w:ind w:firstLine="480"/>
      <w:spacing w:line="360" w:lineRule="auto"/>
    </w:pPr>
    <w:rPr>
      <w:rFonts w:ascii="Tahoma" w:hAnsi="Tahoma"/>
      <w:sz w:val="24"/>
      <w:szCs w:val="20"/>
    </w:rPr>
  </w:style>
  <w:style w:type="paragraph" w:styleId="1279">
    <w:name w:val="GP标题5"/>
    <w:basedOn w:val="947"/>
    <w:next w:val="1266"/>
    <w:link w:val="947"/>
    <w:pPr>
      <w:jc w:val="left"/>
      <w:spacing w:line="360" w:lineRule="auto"/>
      <w:outlineLvl w:val="4"/>
    </w:pPr>
    <w:rPr>
      <w:rFonts w:ascii="华文细黑" w:hAnsi="华文细黑" w:eastAsia="华文细黑"/>
      <w:b/>
      <w:sz w:val="24"/>
      <w:szCs w:val="21"/>
    </w:rPr>
  </w:style>
  <w:style w:type="paragraph" w:styleId="1280">
    <w:name w:val="Char Char4"/>
    <w:basedOn w:val="947"/>
    <w:next w:val="1280"/>
    <w:link w:val="947"/>
    <w:pPr>
      <w:jc w:val="left"/>
      <w:spacing w:after="160" w:line="240" w:lineRule="exact"/>
      <w:widowControl/>
    </w:pPr>
    <w:rPr>
      <w:rFonts w:ascii="Verdana" w:hAnsi="Verdana"/>
      <w:szCs w:val="20"/>
      <w:lang w:eastAsia="en-US"/>
    </w:rPr>
  </w:style>
  <w:style w:type="paragraph" w:styleId="1281">
    <w:name w:val="_Style 53"/>
    <w:basedOn w:val="947"/>
    <w:next w:val="1281"/>
    <w:link w:val="947"/>
    <w:rPr>
      <w:rFonts w:ascii="Calibri" w:hAnsi="Calibri"/>
    </w:rPr>
  </w:style>
  <w:style w:type="paragraph" w:styleId="1282">
    <w:name w:val="Char Char Char Char1"/>
    <w:basedOn w:val="947"/>
    <w:next w:val="1282"/>
    <w:link w:val="947"/>
    <w:pPr>
      <w:ind w:left="495" w:hanging="495"/>
      <w:tabs>
        <w:tab w:val="left" w:pos="495" w:leader="none"/>
      </w:tabs>
    </w:pPr>
    <w:rPr>
      <w:rFonts w:ascii="Calibri" w:hAnsi="Calibri"/>
    </w:rPr>
  </w:style>
  <w:style w:type="paragraph" w:styleId="1283">
    <w:name w:val="Style Heading 3 + 12 pt"/>
    <w:basedOn w:val="991"/>
    <w:next w:val="1283"/>
    <w:link w:val="947"/>
    <w:pPr>
      <w:ind w:left="360" w:hanging="360"/>
      <w:jc w:val="left"/>
      <w:tabs>
        <w:tab w:val="left" w:pos="360" w:leader="none"/>
      </w:tabs>
    </w:pPr>
    <w:rPr>
      <w:rFonts w:ascii="MingLiU" w:eastAsia="MingLiU"/>
      <w:sz w:val="24"/>
      <w:szCs w:val="20"/>
      <w:lang w:eastAsia="zh-TW"/>
    </w:rPr>
  </w:style>
  <w:style w:type="paragraph" w:styleId="1284">
    <w:name w:val="样式 标题 3 + 四号 行距: 固定值 24 磅"/>
    <w:basedOn w:val="950"/>
    <w:next w:val="1284"/>
    <w:link w:val="947"/>
    <w:pPr>
      <w:ind w:right="0" w:firstLine="200"/>
      <w:jc w:val="both"/>
      <w:spacing w:before="0" w:after="0" w:line="480" w:lineRule="exact"/>
    </w:pPr>
    <w:rPr>
      <w:rFonts w:hAnsi="Calibri" w:cs="宋体"/>
      <w:szCs w:val="20"/>
    </w:rPr>
  </w:style>
  <w:style w:type="paragraph" w:styleId="1285">
    <w:name w:val="(Spec) 2-Heading"/>
    <w:next w:val="1268"/>
    <w:link w:val="947"/>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286">
    <w:name w:val="subcomment"/>
    <w:basedOn w:val="947"/>
    <w:next w:val="1286"/>
    <w:link w:val="947"/>
    <w:pPr>
      <w:ind w:left="851" w:hanging="851"/>
      <w:jc w:val="left"/>
      <w:widowControl/>
      <w:tabs>
        <w:tab w:val="left" w:pos="851" w:leader="none"/>
      </w:tabs>
    </w:pPr>
    <w:rPr>
      <w:rFonts w:ascii="Calibri" w:hAnsi="Calibri"/>
      <w:sz w:val="20"/>
      <w:szCs w:val="20"/>
      <w:lang w:val="en-AU" w:eastAsia="en-US"/>
    </w:rPr>
  </w:style>
  <w:style w:type="paragraph" w:styleId="1287">
    <w:name w:val="Char1 Char Char Char Char Char Char"/>
    <w:basedOn w:val="947"/>
    <w:next w:val="1287"/>
    <w:link w:val="947"/>
    <w:rPr>
      <w:rFonts w:ascii="Tahoma" w:hAnsi="Tahoma"/>
      <w:sz w:val="24"/>
      <w:szCs w:val="20"/>
    </w:rPr>
  </w:style>
  <w:style w:type="paragraph" w:styleId="1288">
    <w:name w:val="msolistparagraph"/>
    <w:basedOn w:val="947"/>
    <w:next w:val="1288"/>
    <w:link w:val="947"/>
    <w:pPr>
      <w:jc w:val="left"/>
      <w:spacing w:before="100" w:beforeAutospacing="1" w:after="100" w:afterAutospacing="1"/>
      <w:widowControl/>
    </w:pPr>
    <w:rPr>
      <w:rFonts w:ascii="宋体" w:hAnsi="宋体" w:cs="宋体"/>
      <w:sz w:val="24"/>
      <w:szCs w:val="20"/>
    </w:rPr>
  </w:style>
  <w:style w:type="paragraph" w:styleId="1289">
    <w:name w:val="Title"/>
    <w:basedOn w:val="1290"/>
    <w:next w:val="1290"/>
    <w:link w:val="947"/>
    <w:pPr>
      <w:spacing w:before="100" w:beforeAutospacing="1"/>
      <w:tabs>
        <w:tab w:val="left" w:pos="851" w:leader="none"/>
      </w:tabs>
    </w:pPr>
    <w:rPr>
      <w:b/>
      <w:bCs/>
    </w:rPr>
  </w:style>
  <w:style w:type="paragraph" w:styleId="1290">
    <w:name w:val="cntrt"/>
    <w:basedOn w:val="947"/>
    <w:next w:val="1290"/>
    <w:link w:val="947"/>
    <w:pPr>
      <w:jc w:val="left"/>
      <w:widowControl/>
    </w:pPr>
    <w:rPr>
      <w:rFonts w:ascii="Arial" w:hAnsi="Arial" w:cs="Arial"/>
      <w:sz w:val="20"/>
      <w:szCs w:val="20"/>
      <w:lang w:val="en-AU"/>
    </w:rPr>
  </w:style>
  <w:style w:type="paragraph" w:styleId="1291">
    <w:name w:val="GP标题3"/>
    <w:basedOn w:val="947"/>
    <w:next w:val="1266"/>
    <w:link w:val="947"/>
    <w:pPr>
      <w:jc w:val="left"/>
      <w:spacing w:line="360" w:lineRule="auto"/>
      <w:outlineLvl w:val="2"/>
    </w:pPr>
    <w:rPr>
      <w:rFonts w:ascii="华文细黑" w:hAnsi="华文细黑" w:eastAsia="华文细黑"/>
      <w:b/>
      <w:sz w:val="30"/>
      <w:szCs w:val="21"/>
    </w:rPr>
  </w:style>
  <w:style w:type="paragraph" w:styleId="1292">
    <w:name w:val="P3"/>
    <w:next w:val="1292"/>
    <w:link w:val="947"/>
    <w:pPr>
      <w:ind w:left="2880" w:hanging="576"/>
      <w:jc w:val="both"/>
      <w:spacing w:after="240" w:line="0" w:lineRule="atLeast"/>
      <w:widowControl w:val="off"/>
    </w:pPr>
    <w:rPr>
      <w:rFonts w:ascii="Calibri" w:hAnsi="Calibri" w:eastAsia="全真中明體"/>
      <w:spacing w:val="30"/>
      <w:sz w:val="24"/>
      <w:lang w:val="en-GB" w:eastAsia="zh-TW" w:bidi="ar-SA"/>
    </w:rPr>
  </w:style>
  <w:style w:type="paragraph" w:styleId="1293">
    <w:name w:val="Body Text Indent (20mm)"/>
    <w:basedOn w:val="947"/>
    <w:next w:val="1293"/>
    <w:link w:val="947"/>
    <w:pPr>
      <w:ind w:left="1134"/>
    </w:pPr>
    <w:rPr>
      <w:rFonts w:ascii="Calibri" w:hAnsi="Calibri"/>
      <w:sz w:val="20"/>
      <w:szCs w:val="20"/>
    </w:rPr>
  </w:style>
  <w:style w:type="paragraph" w:styleId="1294">
    <w:name w:val="P1"/>
    <w:next w:val="1294"/>
    <w:link w:val="947"/>
    <w:pPr>
      <w:ind w:left="2304" w:hanging="576"/>
      <w:jc w:val="both"/>
      <w:spacing w:after="240" w:line="0" w:lineRule="atLeast"/>
      <w:widowControl w:val="off"/>
    </w:pPr>
    <w:rPr>
      <w:rFonts w:ascii="Calibri" w:hAnsi="Calibri" w:eastAsia="全真中明體"/>
      <w:spacing w:val="30"/>
      <w:sz w:val="24"/>
      <w:lang w:val="en-GB" w:eastAsia="zh-TW" w:bidi="ar-SA"/>
    </w:rPr>
  </w:style>
  <w:style w:type="paragraph" w:styleId="1295">
    <w:name w:val="Char Char Char Char Char Char1 Char"/>
    <w:basedOn w:val="947"/>
    <w:next w:val="1295"/>
    <w:link w:val="947"/>
    <w:pPr>
      <w:jc w:val="left"/>
      <w:spacing w:after="160" w:line="240" w:lineRule="exact"/>
      <w:widowControl/>
    </w:pPr>
    <w:rPr>
      <w:rFonts w:ascii="Verdana" w:hAnsi="Verdana"/>
      <w:sz w:val="20"/>
      <w:szCs w:val="20"/>
      <w:lang w:eastAsia="en-US"/>
    </w:rPr>
  </w:style>
  <w:style w:type="paragraph" w:styleId="1296">
    <w:name w:val="GP标题1"/>
    <w:basedOn w:val="947"/>
    <w:next w:val="1266"/>
    <w:link w:val="947"/>
    <w:pPr>
      <w:jc w:val="center"/>
      <w:spacing w:line="360" w:lineRule="auto"/>
      <w:outlineLvl w:val="0"/>
    </w:pPr>
    <w:rPr>
      <w:rFonts w:ascii="黑体" w:hAnsi="黑体" w:eastAsia="黑体"/>
      <w:b/>
      <w:sz w:val="36"/>
      <w:szCs w:val="21"/>
    </w:rPr>
  </w:style>
  <w:style w:type="paragraph" w:styleId="1297">
    <w:name w:val="GP标题2"/>
    <w:basedOn w:val="947"/>
    <w:next w:val="1266"/>
    <w:link w:val="947"/>
    <w:pPr>
      <w:jc w:val="left"/>
      <w:spacing w:line="360" w:lineRule="auto"/>
      <w:outlineLvl w:val="1"/>
    </w:pPr>
    <w:rPr>
      <w:rFonts w:ascii="华文细黑" w:hAnsi="华文细黑" w:eastAsia="华文细黑"/>
      <w:b/>
      <w:sz w:val="32"/>
      <w:szCs w:val="21"/>
    </w:rPr>
  </w:style>
  <w:style w:type="paragraph" w:styleId="1298">
    <w:name w:val="GP正文(无首行缩进)"/>
    <w:next w:val="1298"/>
    <w:link w:val="947"/>
    <w:qFormat/>
    <w:pPr>
      <w:spacing w:line="360" w:lineRule="auto"/>
      <w:widowControl w:val="off"/>
    </w:pPr>
    <w:rPr>
      <w:rFonts w:ascii="Calibri" w:hAnsi="Calibri"/>
      <w:sz w:val="24"/>
      <w:szCs w:val="21"/>
      <w:lang w:val="en-US" w:eastAsia="zh-CN" w:bidi="ar-SA"/>
    </w:rPr>
  </w:style>
  <w:style w:type="paragraph" w:styleId="1299">
    <w:name w:val="Rgt-tab para"/>
    <w:basedOn w:val="947"/>
    <w:next w:val="1299"/>
    <w:link w:val="947"/>
    <w:pPr>
      <w:tabs>
        <w:tab w:val="right" w:pos="8050" w:leader="none"/>
      </w:tabs>
    </w:pPr>
    <w:rPr>
      <w:rFonts w:ascii="Calibri" w:hAnsi="Calibri"/>
      <w:spacing w:val="-2"/>
      <w:sz w:val="22"/>
      <w:szCs w:val="20"/>
      <w:lang w:eastAsia="en-US"/>
    </w:rPr>
  </w:style>
  <w:style w:type="character" w:styleId="1300">
    <w:name w:val="批注文字 Char Char"/>
    <w:next w:val="1300"/>
    <w:link w:val="947"/>
    <w:rPr>
      <w:rFonts w:ascii="宋体" w:hAnsi="Times New Roman" w:eastAsia="宋体" w:cs="Times New Roman"/>
      <w:sz w:val="28"/>
      <w:szCs w:val="20"/>
    </w:rPr>
  </w:style>
  <w:style w:type="character" w:styleId="1301">
    <w:name w:val="明显强调"/>
    <w:next w:val="1301"/>
    <w:link w:val="947"/>
    <w:qFormat/>
    <w:rPr>
      <w:b/>
      <w:i/>
      <w:color w:val="4f81bd"/>
    </w:rPr>
  </w:style>
  <w:style w:type="character" w:styleId="1302">
    <w:name w:val="infodetail"/>
    <w:next w:val="1302"/>
    <w:link w:val="947"/>
  </w:style>
  <w:style w:type="character" w:styleId="1303">
    <w:name w:val="样式 正文（首行缩进两字） + 宋体 Char Char"/>
    <w:next w:val="1303"/>
    <w:link w:val="947"/>
    <w:rPr>
      <w:rFonts w:ascii="宋体" w:hAnsi="宋体" w:eastAsia="宋体"/>
      <w:spacing w:val="6"/>
      <w:sz w:val="24"/>
      <w:szCs w:val="24"/>
      <w:lang w:val="en-US" w:eastAsia="zh-CN" w:bidi="ar-SA"/>
    </w:rPr>
  </w:style>
  <w:style w:type="character" w:styleId="1304">
    <w:name w:val="明显参考"/>
    <w:next w:val="1304"/>
    <w:link w:val="947"/>
    <w:qFormat/>
    <w:rPr>
      <w:b/>
      <w:smallCaps/>
      <w:color w:val="c0504d"/>
      <w:spacing w:val="5"/>
      <w:u w:val="single"/>
    </w:rPr>
  </w:style>
  <w:style w:type="character" w:styleId="1305">
    <w:name w:val=" Char Char23"/>
    <w:next w:val="1305"/>
    <w:link w:val="947"/>
    <w:rPr>
      <w:rFonts w:ascii="宋体" w:hAnsi="宋体" w:eastAsia="宋体"/>
      <w:b/>
      <w:bCs/>
      <w:sz w:val="28"/>
      <w:szCs w:val="32"/>
      <w:lang w:val="en-US" w:eastAsia="zh-CN" w:bidi="ar-SA"/>
    </w:rPr>
  </w:style>
  <w:style w:type="character" w:styleId="1306">
    <w:name w:val="脚注文本 字符"/>
    <w:next w:val="1306"/>
    <w:link w:val="947"/>
    <w:rPr>
      <w:sz w:val="18"/>
      <w:szCs w:val="18"/>
    </w:rPr>
  </w:style>
  <w:style w:type="character" w:styleId="1307">
    <w:name w:val="不明显强调"/>
    <w:next w:val="1307"/>
    <w:link w:val="947"/>
    <w:qFormat/>
    <w:rPr>
      <w:i/>
      <w:color w:val="808080"/>
    </w:rPr>
  </w:style>
  <w:style w:type="character" w:styleId="1308">
    <w:name w:val="明显引用 字符1"/>
    <w:next w:val="1308"/>
    <w:link w:val="947"/>
    <w:uiPriority w:val="30"/>
    <w:rPr>
      <w:rFonts w:cs="黑体"/>
      <w:i/>
      <w:iCs/>
      <w:color w:val="4472c4"/>
      <w:sz w:val="21"/>
      <w:szCs w:val="24"/>
    </w:rPr>
  </w:style>
  <w:style w:type="character" w:styleId="1309">
    <w:name w:val="Quote Char"/>
    <w:next w:val="1309"/>
    <w:link w:val="1310"/>
    <w:rPr>
      <w:i/>
      <w:color w:val="000000"/>
      <w:sz w:val="22"/>
    </w:rPr>
  </w:style>
  <w:style w:type="paragraph" w:styleId="1310">
    <w:name w:val="Quote"/>
    <w:basedOn w:val="947"/>
    <w:next w:val="947"/>
    <w:link w:val="1309"/>
    <w:qFormat/>
    <w:rPr>
      <w:i/>
      <w:color w:val="000000"/>
      <w:sz w:val="22"/>
      <w:szCs w:val="20"/>
    </w:rPr>
  </w:style>
  <w:style w:type="character" w:styleId="1311">
    <w:name w:val="明显引用 Char"/>
    <w:next w:val="1311"/>
    <w:link w:val="1312"/>
    <w:rPr>
      <w:b/>
      <w:bCs/>
      <w:i/>
      <w:iCs/>
      <w:color w:val="4f81bd"/>
      <w:sz w:val="21"/>
      <w:szCs w:val="24"/>
    </w:rPr>
  </w:style>
  <w:style w:type="paragraph" w:styleId="1312">
    <w:name w:val="明显引用"/>
    <w:basedOn w:val="947"/>
    <w:next w:val="947"/>
    <w:link w:val="1311"/>
    <w:qFormat/>
    <w:pPr>
      <w:ind w:left="936" w:right="936"/>
      <w:spacing w:before="200" w:after="280"/>
      <w:pBdr>
        <w:bottom w:val="single" w:color="4F81BD" w:sz="4" w:space="4"/>
      </w:pBdr>
    </w:pPr>
    <w:rPr>
      <w:b/>
      <w:bCs/>
      <w:i/>
      <w:iCs/>
      <w:color w:val="4f81bd"/>
    </w:rPr>
  </w:style>
  <w:style w:type="character" w:styleId="1313">
    <w:name w:val="明显引用 Char1"/>
    <w:next w:val="1313"/>
    <w:link w:val="947"/>
    <w:uiPriority w:val="30"/>
    <w:rPr>
      <w:rFonts w:ascii="Tahoma" w:hAnsi="Tahoma" w:eastAsia="宋体"/>
      <w:b/>
      <w:bCs/>
      <w:i/>
      <w:iCs/>
      <w:color w:val="4f81bd"/>
      <w:sz w:val="21"/>
      <w:szCs w:val="24"/>
      <w:lang w:val="en-US" w:eastAsia="zh-CN" w:bidi="ar-SA"/>
    </w:rPr>
  </w:style>
  <w:style w:type="character" w:styleId="1314">
    <w:name w:val="无间隔 Char"/>
    <w:next w:val="1314"/>
    <w:link w:val="947"/>
    <w:rPr>
      <w:rFonts w:ascii="Times New Roman" w:hAnsi="Times New Roman"/>
      <w:sz w:val="21"/>
      <w:szCs w:val="24"/>
    </w:rPr>
  </w:style>
  <w:style w:type="character" w:styleId="1315">
    <w:name w:val="副标题 字符1"/>
    <w:next w:val="1315"/>
    <w:link w:val="947"/>
    <w:uiPriority w:val="11"/>
    <w:rPr>
      <w:rFonts w:ascii="等线 Light" w:hAnsi="等线 Light" w:cs="Times New Roman"/>
      <w:b/>
      <w:bCs/>
      <w:sz w:val="32"/>
      <w:szCs w:val="32"/>
    </w:rPr>
  </w:style>
  <w:style w:type="character" w:styleId="1316">
    <w:name w:val="页脚 Char1"/>
    <w:next w:val="1316"/>
    <w:link w:val="947"/>
    <w:uiPriority w:val="99"/>
    <w:unhideWhenUsed/>
    <w:rPr>
      <w:rFonts w:eastAsia="宋体"/>
      <w:sz w:val="18"/>
    </w:rPr>
  </w:style>
  <w:style w:type="character" w:styleId="1317">
    <w:name w:val="批注主题 Char1"/>
    <w:next w:val="1317"/>
    <w:link w:val="947"/>
    <w:rPr>
      <w:b/>
      <w:bCs/>
      <w:sz w:val="21"/>
      <w:szCs w:val="22"/>
    </w:rPr>
  </w:style>
  <w:style w:type="character" w:styleId="1318">
    <w:name w:val="正文文本 Char1"/>
    <w:next w:val="1318"/>
    <w:link w:val="947"/>
    <w:rPr>
      <w:sz w:val="21"/>
      <w:szCs w:val="22"/>
    </w:rPr>
  </w:style>
  <w:style w:type="character" w:styleId="1319">
    <w:name w:val="textcontents"/>
    <w:next w:val="1319"/>
    <w:link w:val="947"/>
    <w:rPr>
      <w:rFonts w:cs="Times New Roman"/>
    </w:rPr>
  </w:style>
  <w:style w:type="character" w:styleId="1320">
    <w:name w:val="标题 字符1"/>
    <w:next w:val="1320"/>
    <w:link w:val="947"/>
    <w:uiPriority w:val="10"/>
    <w:rPr>
      <w:rFonts w:ascii="等线 Light" w:hAnsi="等线 Light" w:cs="Times New Roman"/>
      <w:b/>
      <w:bCs/>
      <w:sz w:val="32"/>
      <w:szCs w:val="32"/>
    </w:rPr>
  </w:style>
  <w:style w:type="character" w:styleId="1321">
    <w:name w:val="bigfont"/>
    <w:next w:val="1321"/>
    <w:link w:val="947"/>
    <w:uiPriority w:val="99"/>
    <w:rPr>
      <w:rFonts w:cs="Times New Roman"/>
    </w:rPr>
  </w:style>
  <w:style w:type="character" w:styleId="1322">
    <w:name w:val="脚注文本 Char1"/>
    <w:next w:val="1322"/>
    <w:link w:val="947"/>
  </w:style>
  <w:style w:type="character" w:styleId="1323">
    <w:name w:val="ꌢ 2 Char"/>
    <w:next w:val="1323"/>
    <w:link w:val="1324"/>
    <w:rPr>
      <w:rFonts w:ascii="Arial" w:hAnsi="Arial"/>
      <w:b/>
      <w:bCs/>
    </w:rPr>
  </w:style>
  <w:style w:type="paragraph" w:styleId="1324">
    <w:name w:val="ꌢ 2"/>
    <w:basedOn w:val="947"/>
    <w:next w:val="1324"/>
    <w:link w:val="1323"/>
    <w:pPr>
      <w:widowControl/>
    </w:pPr>
    <w:rPr>
      <w:rFonts w:ascii="Arial" w:hAnsi="Arial"/>
      <w:b/>
      <w:bCs/>
      <w:sz w:val="20"/>
      <w:szCs w:val="20"/>
    </w:rPr>
  </w:style>
  <w:style w:type="character" w:styleId="1325">
    <w:name w:val="Variable"/>
    <w:next w:val="1325"/>
    <w:link w:val="947"/>
    <w:uiPriority w:val="99"/>
    <w:rPr>
      <w:i/>
    </w:rPr>
  </w:style>
  <w:style w:type="character" w:styleId="1326">
    <w:name w:val="不明显参考"/>
    <w:next w:val="1326"/>
    <w:link w:val="947"/>
    <w:qFormat/>
    <w:rPr>
      <w:smallCaps/>
      <w:color w:val="c0504d"/>
      <w:u w:val="single"/>
    </w:rPr>
  </w:style>
  <w:style w:type="character" w:styleId="1327">
    <w:name w:val="纯文本 Char Char"/>
    <w:next w:val="1327"/>
    <w:link w:val="947"/>
    <w:rPr>
      <w:rFonts w:ascii="宋体" w:hAnsi="Courier New" w:eastAsia="宋体"/>
      <w:sz w:val="21"/>
      <w:lang w:val="en-US" w:eastAsia="zh-CN"/>
    </w:rPr>
  </w:style>
  <w:style w:type="character" w:styleId="1328">
    <w:name w:val="页码1"/>
    <w:next w:val="1328"/>
    <w:link w:val="947"/>
    <w:qFormat/>
  </w:style>
  <w:style w:type="character" w:styleId="1329">
    <w:name w:val="称呼 Char1"/>
    <w:next w:val="1329"/>
    <w:link w:val="947"/>
    <w:uiPriority w:val="99"/>
    <w:semiHidden/>
    <w:rPr>
      <w:rFonts w:ascii="Tahoma" w:hAnsi="Tahoma" w:eastAsia="宋体"/>
      <w:sz w:val="21"/>
      <w:szCs w:val="24"/>
      <w:lang w:val="en-US" w:eastAsia="zh-CN" w:bidi="ar-SA"/>
    </w:rPr>
  </w:style>
  <w:style w:type="character" w:styleId="1330">
    <w:name w:val="标题4 Char Char"/>
    <w:next w:val="1330"/>
    <w:link w:val="947"/>
    <w:rPr>
      <w:rFonts w:ascii="Arial" w:hAnsi="Arial"/>
      <w:b/>
      <w:sz w:val="32"/>
    </w:rPr>
  </w:style>
  <w:style w:type="character" w:styleId="1331">
    <w:name w:val="ҳŻ"/>
    <w:next w:val="1331"/>
    <w:link w:val="1332"/>
    <w:rPr>
      <w:rFonts w:ascii="宋体" w:hAnsi="宋体" w:cs="宋体"/>
      <w:sz w:val="32"/>
      <w:szCs w:val="32"/>
    </w:rPr>
  </w:style>
  <w:style w:type="paragraph" w:styleId="1332">
    <w:name w:val="ҳŠChar1"/>
    <w:basedOn w:val="947"/>
    <w:next w:val="1332"/>
    <w:link w:val="1331"/>
    <w:pPr>
      <w:jc w:val="center"/>
      <w:keepNext/>
      <w:spacing w:before="100" w:beforeAutospacing="1" w:after="120" w:line="400" w:lineRule="atLeast"/>
      <w:widowControl/>
    </w:pPr>
    <w:rPr>
      <w:rFonts w:ascii="宋体" w:hAnsi="宋体" w:cs="宋体"/>
      <w:sz w:val="32"/>
      <w:szCs w:val="32"/>
    </w:rPr>
  </w:style>
  <w:style w:type="character" w:styleId="1333">
    <w:name w:val="普通文字 Char2,小 Char,普通文字 Char Char Char Char,普通文字 Char Char Char Char Char Char,普通文字 Char Char Char Char Char Char Char Char1,普通文字 + Times New Roman Char,行距: 固定值 20 磅 Char,首行缩进:  0.74 字符 Char Char,普通文字 Char Char Char Char Char Char  Char,标题1 Char"/>
    <w:next w:val="1333"/>
    <w:link w:val="947"/>
    <w:uiPriority w:val="99"/>
    <w:rPr>
      <w:rFonts w:ascii="宋体" w:hAnsi="Courier New" w:eastAsia="宋体"/>
      <w:sz w:val="21"/>
      <w:lang w:val="en-US" w:eastAsia="zh-CN"/>
    </w:rPr>
  </w:style>
  <w:style w:type="character" w:styleId="1334">
    <w:name w:val="正文缩进 Char1,表正文 Char1,正文非缩进 Char1,ALT+Z Char1,水上软件 Char,段1 Char1,正文缩进（首行缩进两字） Char,正文缩进 Char Char,ALT+Z Char Char Char,ALT+Z Char Char1"/>
    <w:next w:val="1334"/>
    <w:link w:val="947"/>
    <w:rPr>
      <w:rFonts w:ascii="Times New Roman" w:hAnsi="Times New Roman" w:cs="黑体"/>
      <w:sz w:val="21"/>
      <w:szCs w:val="24"/>
    </w:rPr>
  </w:style>
  <w:style w:type="character" w:styleId="1335">
    <w:name w:val="Intense Quote Char"/>
    <w:next w:val="1335"/>
    <w:link w:val="1336"/>
    <w:rPr>
      <w:b/>
      <w:i/>
      <w:color w:val="4f81bd"/>
      <w:sz w:val="22"/>
    </w:rPr>
  </w:style>
  <w:style w:type="paragraph" w:styleId="1336">
    <w:name w:val="Intense Quote"/>
    <w:basedOn w:val="947"/>
    <w:next w:val="947"/>
    <w:link w:val="1335"/>
    <w:qFormat/>
    <w:pPr>
      <w:ind w:left="936" w:right="936"/>
      <w:spacing w:before="200" w:after="280"/>
      <w:pBdr>
        <w:bottom w:val="single" w:color="4F81BD" w:sz="4" w:space="4"/>
      </w:pBdr>
    </w:pPr>
    <w:rPr>
      <w:b/>
      <w:i/>
      <w:color w:val="4f81bd"/>
      <w:sz w:val="22"/>
      <w:szCs w:val="20"/>
    </w:rPr>
  </w:style>
  <w:style w:type="character" w:styleId="1337">
    <w:name w:val="书籍标题"/>
    <w:next w:val="1337"/>
    <w:link w:val="947"/>
    <w:qFormat/>
    <w:rPr>
      <w:b/>
      <w:smallCaps/>
      <w:spacing w:val="5"/>
    </w:rPr>
  </w:style>
  <w:style w:type="character" w:styleId="1338">
    <w:name w:val="文档结构图 Char1"/>
    <w:next w:val="1338"/>
    <w:link w:val="947"/>
    <w:rPr>
      <w:rFonts w:ascii="宋体"/>
      <w:sz w:val="18"/>
      <w:szCs w:val="18"/>
    </w:rPr>
  </w:style>
  <w:style w:type="character" w:styleId="1339">
    <w:name w:val="标题5 Char Char"/>
    <w:next w:val="1339"/>
    <w:link w:val="1340"/>
    <w:rPr>
      <w:rFonts w:ascii="Arial" w:hAnsi="Arial"/>
      <w:b/>
      <w:sz w:val="32"/>
    </w:rPr>
  </w:style>
  <w:style w:type="paragraph" w:styleId="1340">
    <w:name w:val="标题5"/>
    <w:basedOn w:val="950"/>
    <w:next w:val="1340"/>
    <w:link w:val="1339"/>
    <w:pPr>
      <w:ind w:right="0"/>
      <w:jc w:val="both"/>
      <w:keepLines/>
      <w:keepNext/>
      <w:spacing w:before="260" w:after="260" w:line="413" w:lineRule="auto"/>
      <w:widowControl w:val="off"/>
    </w:pPr>
    <w:rPr>
      <w:rFonts w:ascii="Arial" w:hAnsi="Arial"/>
      <w:b/>
      <w:sz w:val="32"/>
      <w:szCs w:val="20"/>
    </w:rPr>
  </w:style>
  <w:style w:type="character" w:styleId="1341">
    <w:name w:val="批注框文本 Char1"/>
    <w:next w:val="1341"/>
    <w:link w:val="947"/>
    <w:rPr>
      <w:rFonts w:ascii="Calibri" w:hAnsi="Calibri" w:eastAsia="宋体" w:cs="黑体"/>
      <w:sz w:val="18"/>
      <w:szCs w:val="18"/>
    </w:rPr>
  </w:style>
  <w:style w:type="character" w:styleId="1342">
    <w:name w:val="ꌢ 3 Char"/>
    <w:next w:val="1342"/>
    <w:link w:val="1343"/>
    <w:rPr>
      <w:rFonts w:ascii="Ђˎ̥" w:hAnsi="Ђˎ̥"/>
      <w:b/>
      <w:bCs/>
    </w:rPr>
  </w:style>
  <w:style w:type="paragraph" w:styleId="1343">
    <w:name w:val="ꌢ 3"/>
    <w:basedOn w:val="947"/>
    <w:next w:val="1343"/>
    <w:link w:val="1342"/>
    <w:pPr>
      <w:widowControl/>
    </w:pPr>
    <w:rPr>
      <w:rFonts w:ascii="Ђˎ̥" w:hAnsi="Ђˎ̥"/>
      <w:b/>
      <w:bCs/>
      <w:sz w:val="20"/>
      <w:szCs w:val="20"/>
    </w:rPr>
  </w:style>
  <w:style w:type="character" w:styleId="1344">
    <w:name w:val="引用 字符1"/>
    <w:next w:val="1344"/>
    <w:link w:val="947"/>
    <w:uiPriority w:val="29"/>
    <w:rPr>
      <w:rFonts w:cs="黑体"/>
      <w:i/>
      <w:iCs/>
      <w:color w:val="404040"/>
      <w:sz w:val="21"/>
      <w:szCs w:val="24"/>
    </w:rPr>
  </w:style>
  <w:style w:type="character" w:styleId="1345">
    <w:name w:val="引用 Char"/>
    <w:next w:val="1345"/>
    <w:link w:val="1346"/>
    <w:rPr>
      <w:i/>
      <w:iCs/>
      <w:color w:val="000000"/>
      <w:sz w:val="21"/>
      <w:szCs w:val="24"/>
    </w:rPr>
  </w:style>
  <w:style w:type="paragraph" w:styleId="1346">
    <w:name w:val="引用"/>
    <w:basedOn w:val="947"/>
    <w:next w:val="947"/>
    <w:link w:val="1345"/>
    <w:qFormat/>
    <w:rPr>
      <w:i/>
      <w:iCs/>
      <w:color w:val="000000"/>
    </w:rPr>
  </w:style>
  <w:style w:type="character" w:styleId="1347">
    <w:name w:val="引用 Char1"/>
    <w:next w:val="1347"/>
    <w:link w:val="947"/>
    <w:uiPriority w:val="29"/>
    <w:rPr>
      <w:rFonts w:ascii="Tahoma" w:hAnsi="Tahoma" w:eastAsia="宋体"/>
      <w:i/>
      <w:iCs/>
      <w:color w:val="000000"/>
      <w:sz w:val="21"/>
      <w:szCs w:val="24"/>
      <w:lang w:val="en-US" w:eastAsia="zh-CN" w:bidi="ar-SA"/>
    </w:rPr>
  </w:style>
  <w:style w:type="paragraph" w:styleId="1348">
    <w:name w:val="Normal Ind"/>
    <w:basedOn w:val="947"/>
    <w:next w:val="1348"/>
    <w:link w:val="947"/>
    <w:unhideWhenUsed/>
    <w:pPr>
      <w:ind w:firstLine="420"/>
    </w:pPr>
    <w:rPr>
      <w:rFonts w:hint="eastAsia"/>
      <w:szCs w:val="20"/>
    </w:rPr>
  </w:style>
  <w:style w:type="paragraph" w:styleId="1349">
    <w:name w:val="正文 New New New New New New New New"/>
    <w:next w:val="1349"/>
    <w:link w:val="947"/>
    <w:qFormat/>
    <w:pPr>
      <w:jc w:val="both"/>
      <w:widowControl w:val="off"/>
    </w:pPr>
    <w:rPr>
      <w:sz w:val="21"/>
      <w:szCs w:val="22"/>
      <w:lang w:val="en-US" w:eastAsia="zh-CN" w:bidi="ar-SA"/>
    </w:rPr>
  </w:style>
  <w:style w:type="paragraph" w:styleId="1350">
    <w:name w:val=" Char14 Char Char Char"/>
    <w:basedOn w:val="947"/>
    <w:next w:val="1350"/>
    <w:link w:val="947"/>
    <w:rPr>
      <w:szCs w:val="20"/>
    </w:rPr>
  </w:style>
  <w:style w:type="paragraph" w:styleId="1351">
    <w:name w:val="正文 New New New New New New New New New New New New New New New New New New New New New New New New New New"/>
    <w:next w:val="1351"/>
    <w:link w:val="947"/>
    <w:qFormat/>
    <w:pPr>
      <w:jc w:val="both"/>
      <w:widowControl w:val="off"/>
    </w:pPr>
    <w:rPr>
      <w:rFonts w:ascii="楷体_GB2312" w:eastAsia="楷体_GB2312"/>
      <w:b/>
      <w:bCs/>
      <w:sz w:val="24"/>
      <w:szCs w:val="22"/>
      <w:lang w:val="en-US" w:eastAsia="zh-CN" w:bidi="ar-SA"/>
    </w:rPr>
  </w:style>
  <w:style w:type="paragraph" w:styleId="1352">
    <w:name w:val="样式9"/>
    <w:basedOn w:val="947"/>
    <w:next w:val="1352"/>
    <w:link w:val="947"/>
    <w:qFormat/>
    <w:pPr>
      <w:ind w:firstLine="480"/>
      <w:jc w:val="left"/>
      <w:spacing w:line="480" w:lineRule="exact"/>
    </w:pPr>
    <w:rPr>
      <w:rFonts w:ascii="宋体" w:hAnsi="宋体" w:cs="黑体"/>
      <w:sz w:val="24"/>
    </w:rPr>
  </w:style>
  <w:style w:type="paragraph" w:styleId="1353">
    <w:name w:val="p13"/>
    <w:basedOn w:val="947"/>
    <w:next w:val="1353"/>
    <w:link w:val="947"/>
    <w:pPr>
      <w:jc w:val="left"/>
      <w:spacing w:before="100" w:beforeAutospacing="1" w:after="100" w:afterAutospacing="1" w:line="312" w:lineRule="auto"/>
      <w:widowControl/>
    </w:pPr>
    <w:rPr>
      <w:rFonts w:ascii="宋体" w:hAnsi="宋体"/>
      <w:sz w:val="26"/>
      <w:szCs w:val="26"/>
    </w:rPr>
  </w:style>
  <w:style w:type="paragraph" w:styleId="1354">
    <w:name w:val="三角"/>
    <w:basedOn w:val="947"/>
    <w:next w:val="1354"/>
    <w:link w:val="947"/>
    <w:qFormat/>
    <w:pPr>
      <w:ind w:left="930" w:hanging="360"/>
      <w:spacing w:before="40" w:after="40" w:line="240" w:lineRule="exact"/>
      <w:tabs>
        <w:tab w:val="left" w:pos="360" w:leader="none"/>
        <w:tab w:val="left" w:pos="894" w:leader="none"/>
        <w:tab w:val="left" w:pos="930" w:leader="none"/>
      </w:tabs>
    </w:pPr>
    <w:rPr>
      <w:rFonts w:eastAsia="幼圆"/>
      <w:sz w:val="15"/>
      <w:szCs w:val="20"/>
    </w:rPr>
  </w:style>
  <w:style w:type="paragraph" w:styleId="1355">
    <w:name w:val="_Style 46"/>
    <w:basedOn w:val="947"/>
    <w:next w:val="1188"/>
    <w:link w:val="947"/>
    <w:uiPriority w:val="34"/>
    <w:qFormat/>
    <w:pPr>
      <w:ind w:firstLine="420"/>
    </w:pPr>
    <w:rPr>
      <w:rFonts w:eastAsia="仿宋"/>
      <w:szCs w:val="22"/>
    </w:rPr>
  </w:style>
  <w:style w:type="paragraph" w:styleId="1356">
    <w:name w:val="_Style 3"/>
    <w:basedOn w:val="947"/>
    <w:next w:val="1356"/>
    <w:link w:val="947"/>
    <w:qFormat/>
    <w:pPr>
      <w:ind w:firstLine="420"/>
    </w:pPr>
  </w:style>
  <w:style w:type="paragraph" w:styleId="1357">
    <w:name w:val="Normal (Web)"/>
    <w:basedOn w:val="947"/>
    <w:next w:val="1357"/>
    <w:link w:val="947"/>
    <w:pPr>
      <w:jc w:val="left"/>
      <w:widowControl/>
    </w:pPr>
    <w:rPr>
      <w:rFonts w:ascii="宋体" w:hAnsi="宋体" w:cs="宋体"/>
      <w:sz w:val="18"/>
      <w:szCs w:val="18"/>
    </w:rPr>
  </w:style>
  <w:style w:type="paragraph" w:styleId="1358">
    <w:name w:val="Char14 Char Char Char"/>
    <w:basedOn w:val="947"/>
    <w:next w:val="1358"/>
    <w:link w:val="947"/>
    <w:uiPriority w:val="99"/>
    <w:rPr>
      <w:szCs w:val="20"/>
    </w:rPr>
  </w:style>
  <w:style w:type="paragraph" w:styleId="1359">
    <w:name w:val="正文2"/>
    <w:next w:val="1359"/>
    <w:link w:val="947"/>
    <w:qFormat/>
    <w:pPr>
      <w:jc w:val="both"/>
      <w:widowControl w:val="off"/>
    </w:pPr>
    <w:rPr>
      <w:rFonts w:hint="eastAsia"/>
      <w:sz w:val="28"/>
      <w:szCs w:val="22"/>
      <w:lang w:val="en-US" w:eastAsia="zh-CN" w:bidi="ar-SA"/>
    </w:rPr>
  </w:style>
  <w:style w:type="paragraph" w:styleId="1360">
    <w:name w:val="TOC Heading"/>
    <w:basedOn w:val="948"/>
    <w:next w:val="947"/>
    <w:link w:val="947"/>
    <w:qFormat/>
    <w:pPr>
      <w:outlineLvl w:val="9"/>
    </w:pPr>
    <w:rPr>
      <w:rFonts w:ascii="Times New Roman" w:hAnsi="Times New Roman" w:eastAsia="宋体"/>
      <w:bCs/>
      <w:szCs w:val="44"/>
    </w:rPr>
  </w:style>
  <w:style w:type="paragraph" w:styleId="1361">
    <w:name w:val="Normal_0"/>
    <w:next w:val="1361"/>
    <w:link w:val="947"/>
    <w:qFormat/>
    <w:rPr>
      <w:rFonts w:eastAsia="Times New Roman"/>
      <w:sz w:val="24"/>
      <w:szCs w:val="24"/>
      <w:lang w:val="en-US" w:eastAsia="zh-CN" w:bidi="ar-SA"/>
    </w:rPr>
  </w:style>
  <w:style w:type="paragraph" w:styleId="1362">
    <w:name w:val="Char Char4 Char"/>
    <w:basedOn w:val="947"/>
    <w:next w:val="1362"/>
    <w:link w:val="947"/>
    <w:pPr>
      <w:ind w:firstLine="200"/>
      <w:spacing w:line="360" w:lineRule="auto"/>
    </w:pPr>
    <w:rPr>
      <w:rFonts w:ascii="宋体" w:hAnsi="宋体" w:cs="宋体"/>
      <w:sz w:val="24"/>
    </w:rPr>
  </w:style>
  <w:style w:type="paragraph" w:styleId="1363">
    <w:name w:val="正文_1"/>
    <w:next w:val="1363"/>
    <w:link w:val="947"/>
    <w:qFormat/>
    <w:pPr>
      <w:jc w:val="both"/>
      <w:widowControl w:val="off"/>
    </w:pPr>
    <w:rPr>
      <w:sz w:val="21"/>
      <w:szCs w:val="22"/>
      <w:lang w:val="en-US" w:eastAsia="zh-CN" w:bidi="ar-SA"/>
    </w:rPr>
  </w:style>
  <w:style w:type="paragraph" w:styleId="1364">
    <w:name w:val="HTML Preformatted"/>
    <w:basedOn w:val="947"/>
    <w:next w:val="1364"/>
    <w:link w:val="9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365">
    <w:name w:val="样式 标题 3 + (中文) 黑体 小四 非加粗 段前: 7.8 磅 段后: 0 磅 行距: 固定值 20 磅"/>
    <w:basedOn w:val="950"/>
    <w:next w:val="1365"/>
    <w:link w:val="947"/>
    <w:pPr>
      <w:ind w:right="0"/>
      <w:jc w:val="both"/>
      <w:keepLines/>
      <w:keepNext/>
      <w:spacing w:before="0" w:after="0" w:line="400" w:lineRule="exact"/>
      <w:widowControl w:val="off"/>
    </w:pPr>
    <w:rPr>
      <w:rFonts w:ascii="Times New Roman" w:hAnsi="Times New Roman" w:eastAsia="黑体" w:cs="宋体"/>
      <w:sz w:val="24"/>
      <w:szCs w:val="20"/>
    </w:rPr>
  </w:style>
  <w:style w:type="paragraph" w:styleId="1366">
    <w:name w:val=" Char Char1 Char Char Char"/>
    <w:basedOn w:val="947"/>
    <w:next w:val="1366"/>
    <w:link w:val="947"/>
  </w:style>
  <w:style w:type="paragraph" w:styleId="1367">
    <w:name w:val="标题 2 + 黑色 行距: 1.5 倍行距"/>
    <w:basedOn w:val="949"/>
    <w:next w:val="1367"/>
    <w:link w:val="947"/>
    <w:pPr>
      <w:keepLines/>
      <w:keepNext/>
      <w:spacing w:before="0" w:after="0" w:line="360" w:lineRule="auto"/>
    </w:pPr>
    <w:rPr>
      <w:rFonts w:eastAsia="宋体" w:cs="宋体"/>
      <w:spacing w:val="0"/>
      <w:sz w:val="32"/>
      <w:szCs w:val="20"/>
    </w:rPr>
  </w:style>
  <w:style w:type="paragraph" w:styleId="1368">
    <w:name w:val="char"/>
    <w:basedOn w:val="947"/>
    <w:next w:val="1368"/>
    <w:link w:val="947"/>
    <w:pPr>
      <w:jc w:val="left"/>
      <w:spacing w:before="100" w:beforeAutospacing="1" w:after="100" w:afterAutospacing="1"/>
      <w:widowControl/>
    </w:pPr>
    <w:rPr>
      <w:rFonts w:ascii="宋体" w:hAnsi="宋体" w:cs="宋体"/>
      <w:sz w:val="24"/>
    </w:rPr>
  </w:style>
  <w:style w:type="paragraph" w:styleId="1369">
    <w:name w:val="font0"/>
    <w:basedOn w:val="947"/>
    <w:next w:val="1369"/>
    <w:link w:val="947"/>
    <w:uiPriority w:val="99"/>
    <w:pPr>
      <w:jc w:val="left"/>
      <w:spacing w:before="100" w:beforeAutospacing="1" w:after="100" w:afterAutospacing="1"/>
      <w:widowControl/>
    </w:pPr>
    <w:rPr>
      <w:rFonts w:ascii="Arial" w:hAnsi="Arial" w:cs="Arial"/>
      <w:sz w:val="20"/>
      <w:szCs w:val="20"/>
    </w:rPr>
  </w:style>
  <w:style w:type="paragraph" w:styleId="1370">
    <w:name w:val="Spec Level 3"/>
    <w:next w:val="1370"/>
    <w:link w:val="947"/>
    <w:pPr>
      <w:ind w:left="495" w:hanging="495"/>
      <w:tabs>
        <w:tab w:val="left" w:pos="360" w:leader="none"/>
        <w:tab w:val="left" w:pos="495" w:leader="none"/>
        <w:tab w:val="left" w:pos="1080" w:leader="none"/>
      </w:tabs>
    </w:pPr>
    <w:rPr>
      <w:rFonts w:ascii="Arial" w:hAnsi="Arial" w:cs="Arial"/>
      <w:lang w:val="en-US" w:eastAsia="en-US" w:bidi="ar-SA"/>
    </w:rPr>
  </w:style>
  <w:style w:type="paragraph" w:styleId="1371">
    <w:name w:val="普通(网站) New"/>
    <w:basedOn w:val="1372"/>
    <w:next w:val="1371"/>
    <w:link w:val="947"/>
    <w:pPr>
      <w:jc w:val="left"/>
      <w:widowControl/>
    </w:pPr>
    <w:rPr>
      <w:rFonts w:ascii="ˎ̥" w:hAnsi="ˎ̥" w:cs="宋体"/>
      <w:color w:val="000000"/>
      <w:sz w:val="13"/>
      <w:szCs w:val="13"/>
    </w:rPr>
  </w:style>
  <w:style w:type="paragraph" w:styleId="1372">
    <w:name w:val="正文 New"/>
    <w:next w:val="1372"/>
    <w:link w:val="947"/>
    <w:pPr>
      <w:jc w:val="both"/>
      <w:widowControl w:val="off"/>
    </w:pPr>
    <w:rPr>
      <w:sz w:val="21"/>
      <w:szCs w:val="24"/>
      <w:lang w:val="en-US" w:eastAsia="zh-CN" w:bidi="ar-SA"/>
    </w:rPr>
  </w:style>
  <w:style w:type="paragraph" w:styleId="1373">
    <w:name w:val="正文 New New New New New New"/>
    <w:next w:val="1373"/>
    <w:link w:val="947"/>
    <w:pPr>
      <w:jc w:val="both"/>
      <w:widowControl w:val="off"/>
    </w:pPr>
    <w:rPr>
      <w:szCs w:val="24"/>
      <w:lang w:val="en-US" w:eastAsia="zh-CN" w:bidi="ar-SA"/>
    </w:rPr>
  </w:style>
  <w:style w:type="paragraph" w:styleId="1374">
    <w:name w:val=" Char2 Char Char Char"/>
    <w:basedOn w:val="947"/>
    <w:next w:val="1374"/>
    <w:link w:val="947"/>
    <w:rPr>
      <w:szCs w:val="21"/>
    </w:rPr>
  </w:style>
  <w:style w:type="paragraph" w:styleId="1375">
    <w:name w:val="空半行"/>
    <w:basedOn w:val="947"/>
    <w:next w:val="1375"/>
    <w:link w:val="947"/>
    <w:pPr>
      <w:spacing w:line="120" w:lineRule="exact"/>
    </w:pPr>
    <w:rPr>
      <w:rFonts w:eastAsia="仿宋_GB2312"/>
      <w:color w:val="ffffff"/>
      <w:sz w:val="30"/>
      <w:szCs w:val="20"/>
    </w:rPr>
  </w:style>
  <w:style w:type="paragraph" w:styleId="1376">
    <w:name w:val="TOC 标题"/>
    <w:basedOn w:val="948"/>
    <w:next w:val="947"/>
    <w:link w:val="947"/>
    <w:qFormat/>
    <w:pPr>
      <w:spacing w:line="578" w:lineRule="auto"/>
      <w:outlineLvl w:val="9"/>
    </w:pPr>
    <w:rPr>
      <w:rFonts w:ascii="Times New Roman" w:hAnsi="Times New Roman" w:eastAsia="宋体"/>
      <w:bCs/>
      <w:szCs w:val="44"/>
    </w:rPr>
  </w:style>
  <w:style w:type="paragraph" w:styleId="1377">
    <w:name w:val="样式 标题 2 + 黑色 行距: 1.5 倍行距"/>
    <w:basedOn w:val="949"/>
    <w:next w:val="1377"/>
    <w:link w:val="947"/>
    <w:qFormat/>
    <w:pPr>
      <w:keepLines/>
      <w:keepNext/>
      <w:spacing w:before="0" w:after="0" w:line="360" w:lineRule="auto"/>
    </w:pPr>
    <w:rPr>
      <w:rFonts w:eastAsia="宋体" w:cs="宋体"/>
      <w:spacing w:val="0"/>
      <w:sz w:val="32"/>
      <w:szCs w:val="20"/>
    </w:rPr>
  </w:style>
  <w:style w:type="paragraph" w:styleId="1378">
    <w:name w:val="批注框文本1"/>
    <w:basedOn w:val="947"/>
    <w:next w:val="1378"/>
    <w:link w:val="947"/>
    <w:rPr>
      <w:sz w:val="18"/>
      <w:szCs w:val="18"/>
      <w:lang w:eastAsia="ar-SA"/>
    </w:rPr>
  </w:style>
  <w:style w:type="paragraph" w:styleId="1379">
    <w:name w:val="正文111"/>
    <w:basedOn w:val="947"/>
    <w:next w:val="1379"/>
    <w:link w:val="947"/>
    <w:pPr>
      <w:spacing w:line="360" w:lineRule="auto"/>
    </w:pPr>
    <w:rPr>
      <w:rFonts w:cs="宋体"/>
      <w:sz w:val="28"/>
    </w:rPr>
  </w:style>
  <w:style w:type="paragraph" w:styleId="1380">
    <w:name w:val=" Char Char1 Char Char Char Char Char Char Char Char Char Char"/>
    <w:basedOn w:val="947"/>
    <w:next w:val="1380"/>
    <w:link w:val="947"/>
  </w:style>
  <w:style w:type="paragraph" w:styleId="1381">
    <w:name w:val="Style1"/>
    <w:basedOn w:val="947"/>
    <w:next w:val="1381"/>
    <w:link w:val="947"/>
    <w:qFormat/>
    <w:pPr>
      <w:spacing w:after="120"/>
      <w:widowControl/>
      <w:tabs>
        <w:tab w:val="left" w:pos="-720" w:leader="none"/>
      </w:tabs>
    </w:pPr>
    <w:rPr>
      <w:spacing w:val="-3"/>
      <w:sz w:val="24"/>
      <w:szCs w:val="20"/>
      <w:lang w:val="en-AU" w:eastAsia="en-US"/>
    </w:rPr>
  </w:style>
  <w:style w:type="paragraph" w:styleId="1382">
    <w:name w:val="样式 标题 2 + Times New Roman 四号 非加粗 段前: 5 磅 段后: 0 磅 行距: 固定值 20..."/>
    <w:basedOn w:val="949"/>
    <w:next w:val="1382"/>
    <w:link w:val="947"/>
    <w:pPr>
      <w:keepLines/>
      <w:keepNext/>
      <w:spacing w:before="100" w:after="0" w:line="400" w:lineRule="exact"/>
    </w:pPr>
    <w:rPr>
      <w:rFonts w:ascii="Times New Roman" w:hAnsi="Times New Roman" w:cs="宋体"/>
      <w:b w:val="0"/>
      <w:bCs w:val="0"/>
      <w:color w:val="000000"/>
      <w:spacing w:val="0"/>
      <w:szCs w:val="20"/>
    </w:rPr>
  </w:style>
  <w:style w:type="paragraph" w:styleId="1383">
    <w:name w:val="标准中文版式_正文"/>
    <w:basedOn w:val="947"/>
    <w:next w:val="1383"/>
    <w:link w:val="947"/>
    <w:qFormat/>
    <w:pPr>
      <w:ind w:firstLine="200"/>
      <w:spacing w:before="30" w:line="360" w:lineRule="auto"/>
    </w:pPr>
    <w:rPr>
      <w:rFonts w:ascii="Arial" w:hAnsi="Arial"/>
      <w:sz w:val="24"/>
    </w:rPr>
  </w:style>
  <w:style w:type="paragraph" w:styleId="1384">
    <w:name w:val="_Style 38"/>
    <w:basedOn w:val="947"/>
    <w:next w:val="1188"/>
    <w:link w:val="947"/>
    <w:uiPriority w:val="34"/>
    <w:qFormat/>
    <w:pPr>
      <w:ind w:firstLine="420"/>
    </w:pPr>
  </w:style>
  <w:style w:type="paragraph" w:styleId="1385">
    <w:name w:val=" Char Char40 Char Char"/>
    <w:basedOn w:val="947"/>
    <w:next w:val="1385"/>
    <w:link w:val="947"/>
    <w:rPr>
      <w:rFonts w:ascii="Tahoma" w:hAnsi="Tahoma" w:eastAsia="Times New Roman"/>
      <w:sz w:val="24"/>
      <w:szCs w:val="20"/>
    </w:rPr>
  </w:style>
  <w:style w:type="paragraph" w:styleId="1386">
    <w:name w:val=" Char Char5 Char"/>
    <w:basedOn w:val="947"/>
    <w:next w:val="1386"/>
    <w:link w:val="947"/>
    <w:rPr>
      <w:szCs w:val="20"/>
    </w:rPr>
  </w:style>
  <w:style w:type="paragraph" w:styleId="1387">
    <w:name w:val=" Char Char4 Char"/>
    <w:basedOn w:val="947"/>
    <w:next w:val="1387"/>
    <w:link w:val="947"/>
    <w:pPr>
      <w:ind w:firstLine="200"/>
      <w:spacing w:line="360" w:lineRule="auto"/>
    </w:pPr>
    <w:rPr>
      <w:rFonts w:ascii="宋体" w:hAnsi="宋体" w:cs="宋体"/>
      <w:sz w:val="24"/>
    </w:rPr>
  </w:style>
  <w:style w:type="paragraph" w:styleId="1388">
    <w:name w:val="列表段落1"/>
    <w:basedOn w:val="947"/>
    <w:next w:val="1388"/>
    <w:link w:val="947"/>
    <w:uiPriority w:val="34"/>
    <w:qFormat/>
    <w:pPr>
      <w:ind w:firstLine="420"/>
    </w:pPr>
    <w:rPr>
      <w:rFonts w:cs="黑体"/>
    </w:rPr>
  </w:style>
  <w:style w:type="paragraph" w:styleId="1389">
    <w:name w:val="Definition List"/>
    <w:basedOn w:val="947"/>
    <w:next w:val="947"/>
    <w:link w:val="947"/>
    <w:pPr>
      <w:ind w:left="360"/>
      <w:jc w:val="left"/>
    </w:pPr>
    <w:rPr>
      <w:sz w:val="24"/>
      <w:szCs w:val="20"/>
    </w:rPr>
  </w:style>
  <w:style w:type="paragraph" w:styleId="1390">
    <w:name w:val="默认段落字体 Para Char Char Char Char"/>
    <w:basedOn w:val="947"/>
    <w:next w:val="1390"/>
    <w:link w:val="947"/>
    <w:rPr>
      <w:sz w:val="30"/>
      <w:szCs w:val="21"/>
    </w:rPr>
  </w:style>
  <w:style w:type="paragraph" w:styleId="1391">
    <w:name w:val="Address"/>
    <w:basedOn w:val="947"/>
    <w:next w:val="947"/>
    <w:link w:val="947"/>
    <w:uiPriority w:val="99"/>
    <w:pPr>
      <w:jc w:val="left"/>
    </w:pPr>
    <w:rPr>
      <w:i/>
      <w:sz w:val="24"/>
      <w:szCs w:val="20"/>
    </w:rPr>
  </w:style>
  <w:style w:type="paragraph" w:styleId="1392">
    <w:name w:val=" Char1"/>
    <w:basedOn w:val="947"/>
    <w:next w:val="1392"/>
    <w:link w:val="947"/>
    <w:rPr>
      <w:szCs w:val="21"/>
    </w:rPr>
  </w:style>
  <w:style w:type="paragraph" w:styleId="1393">
    <w:name w:val="flNote"/>
    <w:basedOn w:val="947"/>
    <w:next w:val="1393"/>
    <w:link w:val="947"/>
    <w:pPr>
      <w:jc w:val="center"/>
      <w:spacing w:before="320" w:after="160" w:line="360" w:lineRule="atLeast"/>
    </w:pPr>
    <w:rPr>
      <w:rFonts w:ascii="Arial" w:eastAsia="黑体"/>
      <w:sz w:val="30"/>
      <w:szCs w:val="20"/>
    </w:rPr>
  </w:style>
  <w:style w:type="paragraph" w:styleId="1394">
    <w:name w:val=" Char Char1 Char"/>
    <w:basedOn w:val="947"/>
    <w:next w:val="1394"/>
    <w:link w:val="947"/>
    <w:rPr>
      <w:rFonts w:ascii="Tahoma" w:hAnsi="Tahoma"/>
      <w:sz w:val="24"/>
      <w:szCs w:val="20"/>
    </w:rPr>
  </w:style>
  <w:style w:type="paragraph" w:styleId="1395">
    <w:name w:val="列出段落2"/>
    <w:basedOn w:val="947"/>
    <w:next w:val="1395"/>
    <w:link w:val="947"/>
    <w:qFormat/>
    <w:pPr>
      <w:ind w:firstLine="420"/>
    </w:pPr>
    <w:rPr>
      <w:szCs w:val="20"/>
    </w:rPr>
  </w:style>
  <w:style w:type="paragraph" w:styleId="1396">
    <w:name w:val="wenb"/>
    <w:basedOn w:val="947"/>
    <w:next w:val="1396"/>
    <w:link w:val="1397"/>
    <w:qFormat/>
    <w:pPr>
      <w:ind w:firstLine="480"/>
      <w:spacing w:before="120" w:after="120" w:line="360" w:lineRule="auto"/>
    </w:pPr>
    <w:rPr>
      <w:sz w:val="24"/>
    </w:rPr>
  </w:style>
  <w:style w:type="character" w:styleId="1397">
    <w:name w:val="wenb 字符"/>
    <w:next w:val="1397"/>
    <w:link w:val="1396"/>
    <w:rPr>
      <w:sz w:val="24"/>
      <w:szCs w:val="24"/>
    </w:rPr>
  </w:style>
  <w:style w:type="character" w:styleId="1398">
    <w:name w:val="正文文本缩进 Char1"/>
    <w:next w:val="1398"/>
    <w:link w:val="947"/>
    <w:uiPriority w:val="99"/>
    <w:semiHidden/>
    <w:rPr>
      <w:rFonts w:ascii="Tahoma" w:hAnsi="Tahoma" w:eastAsia="宋体"/>
      <w:sz w:val="21"/>
      <w:szCs w:val="24"/>
      <w:lang w:val="en-US" w:eastAsia="zh-CN" w:bidi="ar-SA"/>
    </w:rPr>
  </w:style>
  <w:style w:type="character" w:styleId="1399">
    <w:name w:val="正文文本缩进 2 Char1"/>
    <w:next w:val="1399"/>
    <w:link w:val="947"/>
    <w:uiPriority w:val="99"/>
    <w:semiHidden/>
    <w:rPr>
      <w:rFonts w:ascii="Tahoma" w:hAnsi="Tahoma" w:eastAsia="宋体"/>
      <w:sz w:val="21"/>
      <w:szCs w:val="24"/>
      <w:lang w:val="en-US" w:eastAsia="zh-CN" w:bidi="ar-SA"/>
    </w:rPr>
  </w:style>
  <w:style w:type="character" w:styleId="1400">
    <w:name w:val="批注文字 Char1"/>
    <w:next w:val="1400"/>
    <w:link w:val="947"/>
    <w:uiPriority w:val="99"/>
    <w:semiHidden/>
    <w:rPr>
      <w:rFonts w:ascii="Tahoma" w:hAnsi="Tahoma" w:eastAsia="宋体"/>
      <w:sz w:val="21"/>
      <w:szCs w:val="24"/>
      <w:lang w:val="en-US" w:eastAsia="zh-CN" w:bidi="ar-SA"/>
    </w:rPr>
  </w:style>
  <w:style w:type="character" w:styleId="1401">
    <w:name w:val="正文文本 3 Char1"/>
    <w:next w:val="1401"/>
    <w:link w:val="947"/>
    <w:uiPriority w:val="99"/>
    <w:semiHidden/>
    <w:rPr>
      <w:rFonts w:ascii="Tahoma" w:hAnsi="Tahoma" w:eastAsia="宋体"/>
      <w:sz w:val="16"/>
      <w:szCs w:val="16"/>
      <w:lang w:val="en-US" w:eastAsia="zh-CN" w:bidi="ar-SA"/>
    </w:rPr>
  </w:style>
  <w:style w:type="character" w:styleId="1402">
    <w:name w:val="无间隔 字符"/>
    <w:next w:val="1402"/>
    <w:link w:val="947"/>
    <w:qFormat/>
    <w:rPr>
      <w:rFonts w:ascii="Calibri" w:hAnsi="Calibri"/>
      <w:sz w:val="22"/>
      <w:szCs w:val="22"/>
    </w:rPr>
  </w:style>
  <w:style w:type="paragraph" w:styleId="1403">
    <w:name w:val="纯文本12"/>
    <w:basedOn w:val="947"/>
    <w:next w:val="1403"/>
    <w:link w:val="947"/>
    <w:qFormat/>
    <w:rPr>
      <w:rFonts w:hint="eastAsia" w:ascii="宋体" w:hAnsi="Courier New" w:eastAsia="楷体_GB2312"/>
      <w:sz w:val="28"/>
      <w:szCs w:val="20"/>
    </w:rPr>
  </w:style>
  <w:style w:type="paragraph" w:styleId="1404">
    <w:name w:val="one-p"/>
    <w:basedOn w:val="947"/>
    <w:next w:val="1404"/>
    <w:link w:val="947"/>
    <w:qFormat/>
    <w:pPr>
      <w:jc w:val="left"/>
      <w:spacing w:before="100" w:beforeAutospacing="1" w:after="100" w:afterAutospacing="1"/>
      <w:widowControl/>
    </w:pPr>
    <w:rPr>
      <w:rFonts w:ascii="宋体" w:hAnsi="宋体" w:cs="宋体"/>
      <w:sz w:val="24"/>
    </w:rPr>
  </w:style>
  <w:style w:type="paragraph" w:styleId="1405">
    <w:name w:val="*正文"/>
    <w:basedOn w:val="947"/>
    <w:next w:val="1405"/>
    <w:link w:val="947"/>
    <w:qFormat/>
    <w:pPr>
      <w:ind w:firstLine="200"/>
      <w:widowControl/>
    </w:pPr>
    <w:rPr>
      <w:rFonts w:ascii="仿宋_GB2312" w:hAnsi="Times New Roman" w:eastAsia="仿宋_GB2312" w:cs="Times New Roman"/>
      <w:sz w:val="24"/>
      <w:szCs w:val="28"/>
    </w:rPr>
  </w:style>
  <w:style w:type="paragraph" w:styleId="1406">
    <w:name w:val="_正文段落"/>
    <w:basedOn w:val="947"/>
    <w:next w:val="1406"/>
    <w:link w:val="947"/>
    <w:qFormat/>
    <w:pPr>
      <w:ind w:firstLine="200"/>
      <w:jc w:val="left"/>
      <w:spacing w:before="15" w:after="15" w:line="360" w:lineRule="auto"/>
      <w:widowControl/>
    </w:pPr>
    <w:rPr>
      <w:rFonts w:ascii="Times New Roman" w:hAnsi="Times New Roman" w:eastAsia="宋体" w:cs="Times New Roman"/>
      <w:sz w:val="24"/>
    </w:rPr>
  </w:style>
  <w:style w:type="paragraph" w:styleId="1407">
    <w:name w:val="Normal_12"/>
    <w:next w:val="1407"/>
    <w:link w:val="947"/>
    <w:qFormat/>
    <w:rPr>
      <w:rFonts w:eastAsia="Times New Roman"/>
      <w:sz w:val="24"/>
      <w:szCs w:val="24"/>
      <w:lang w:val="en-US" w:eastAsia="zh-CN" w:bidi="ar-SA"/>
    </w:rPr>
  </w:style>
  <w:style w:type="paragraph" w:styleId="1408">
    <w:name w:val="正文缩进1"/>
    <w:basedOn w:val="947"/>
    <w:next w:val="1408"/>
    <w:link w:val="947"/>
    <w:qFormat/>
    <w:pPr>
      <w:ind w:firstLine="420"/>
      <w:jc w:val="left"/>
    </w:pPr>
    <w:rPr>
      <w:rFonts w:eastAsia="楷体_GB2312"/>
      <w:sz w:val="24"/>
      <w:szCs w:val="20"/>
    </w:rPr>
  </w:style>
  <w:style w:type="paragraph" w:styleId="1409">
    <w:name w:val="标题 211"/>
    <w:basedOn w:val="947"/>
    <w:next w:val="947"/>
    <w:link w:val="947"/>
    <w:qFormat/>
    <w:pPr>
      <w:keepLines/>
      <w:keepNext/>
      <w:spacing w:before="260" w:after="260" w:line="416" w:lineRule="auto"/>
      <w:outlineLvl w:val="1"/>
    </w:pPr>
    <w:rPr>
      <w:rFonts w:ascii="Cambria" w:hAnsi="Cambria"/>
      <w:b/>
      <w:bCs/>
      <w:sz w:val="32"/>
      <w:szCs w:val="32"/>
    </w:rPr>
  </w:style>
  <w:style w:type="paragraph" w:styleId="1410">
    <w:name w:val="paragraphindent"/>
    <w:basedOn w:val="947"/>
    <w:next w:val="1410"/>
    <w:link w:val="947"/>
    <w:qFormat/>
    <w:pPr>
      <w:jc w:val="left"/>
      <w:spacing w:before="100" w:beforeAutospacing="1" w:after="100" w:afterAutospacing="1"/>
      <w:widowControl/>
    </w:pPr>
    <w:rPr>
      <w:rFonts w:ascii="宋体" w:hAnsi="宋体" w:cs="宋体"/>
      <w:sz w:val="24"/>
    </w:rPr>
  </w:style>
  <w:style w:type="paragraph" w:styleId="1411">
    <w:name w:val="正文文本缩进 31"/>
    <w:basedOn w:val="947"/>
    <w:next w:val="1411"/>
    <w:link w:val="947"/>
    <w:qFormat/>
    <w:pPr>
      <w:ind w:left="420"/>
      <w:spacing w:after="120"/>
    </w:pPr>
    <w:rPr>
      <w:sz w:val="16"/>
      <w:szCs w:val="16"/>
    </w:rPr>
  </w:style>
  <w:style w:type="paragraph" w:styleId="1412">
    <w:name w:val="普通(网站)1"/>
    <w:basedOn w:val="947"/>
    <w:next w:val="1412"/>
    <w:link w:val="947"/>
    <w:uiPriority w:val="99"/>
    <w:qFormat/>
    <w:pPr>
      <w:jc w:val="left"/>
      <w:spacing w:before="100" w:beforeAutospacing="1" w:after="100" w:afterAutospacing="1"/>
      <w:widowControl/>
    </w:pPr>
    <w:rPr>
      <w:rFonts w:ascii="宋体" w:hAnsi="宋体"/>
      <w:sz w:val="24"/>
    </w:rPr>
  </w:style>
  <w:style w:type="character" w:styleId="1413" w:default="1">
    <w:name w:val="Default Paragraph Font"/>
    <w:uiPriority w:val="1"/>
    <w:semiHidden/>
    <w:unhideWhenUsed/>
  </w:style>
  <w:style w:type="numbering" w:styleId="1414" w:default="1">
    <w:name w:val="No List"/>
    <w:uiPriority w:val="99"/>
    <w:semiHidden/>
    <w:unhideWhenUsed/>
  </w:style>
  <w:style w:type="table" w:styleId="14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jiny</dc:creator>
  <cp:lastModifiedBy>王万玺</cp:lastModifiedBy>
  <cp:revision>8</cp:revision>
  <dcterms:created xsi:type="dcterms:W3CDTF">2026-08-13T01:23:00Z</dcterms:created>
  <dcterms:modified xsi:type="dcterms:W3CDTF">2026-08-14T01:54:25Z</dcterms:modified>
</cp:coreProperties>
</file>