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8"/>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8"/>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8"/>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8"/>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bCs/>
          <w:color w:val="000000"/>
          <w:sz w:val="36"/>
          <w:szCs w:val="36"/>
          <w:highlight w:val="none"/>
        </w:rPr>
        <w:t xml:space="preserve">常州经开区图书馆综合运营服务</w:t>
      </w:r>
      <w:r>
        <w:rPr>
          <w:bCs/>
          <w:color w:val="000000"/>
          <w:sz w:val="36"/>
          <w:szCs w:val="36"/>
          <w:highlight w:val="none"/>
        </w:rPr>
        <w:t xml:space="preserve">项目</w:t>
      </w:r>
      <w:r>
        <w:rPr>
          <w:rFonts w:ascii="宋体" w:hAnsi="宋体"/>
          <w:bCs/>
          <w:color w:val="000000"/>
          <w:sz w:val="36"/>
          <w:szCs w:val="36"/>
          <w:highlight w:val="none"/>
        </w:rPr>
      </w:r>
      <w:r/>
    </w:p>
    <w:p>
      <w:pPr>
        <w:pStyle w:val="107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JSZC-320412056-CTZB-G2026-0122</w:t>
      </w:r>
      <w:r>
        <w:rPr>
          <w:rFonts w:ascii="宋体" w:hAnsi="宋体"/>
          <w:bCs/>
          <w:color w:val="000000"/>
          <w:sz w:val="36"/>
          <w:szCs w:val="36"/>
          <w:highlight w:val="none"/>
        </w:rPr>
      </w:r>
      <w:r/>
    </w:p>
    <w:p>
      <w:pPr>
        <w:pStyle w:val="107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bCs/>
          <w:color w:val="000000"/>
          <w:sz w:val="36"/>
          <w:szCs w:val="36"/>
          <w:highlight w:val="none"/>
        </w:rPr>
        <w:t xml:space="preserve">江苏常州经济开发区公共文化服务中心</w:t>
      </w:r>
      <w:r>
        <w:rPr>
          <w:rFonts w:ascii="宋体" w:hAnsi="宋体"/>
          <w:bCs/>
          <w:color w:val="000000"/>
          <w:sz w:val="36"/>
          <w:szCs w:val="36"/>
          <w:highlight w:val="none"/>
        </w:rPr>
      </w:r>
      <w:r/>
    </w:p>
    <w:p>
      <w:pPr>
        <w:pStyle w:val="1078"/>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8"/>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8"/>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8"/>
        <w:rPr>
          <w:rFonts w:ascii="宋体" w:hAnsi="宋体"/>
          <w:color w:val="000000"/>
          <w:highlight w:val="none"/>
        </w:rPr>
      </w:pPr>
      <w:r>
        <w:rPr>
          <w:rFonts w:ascii="宋体" w:hAnsi="宋体"/>
          <w:color w:val="000000"/>
          <w:highlight w:val="none"/>
        </w:rPr>
      </w:r>
      <w:r/>
    </w:p>
    <w:p>
      <w:pPr>
        <w:pStyle w:val="1078"/>
        <w:rPr>
          <w:rFonts w:ascii="宋体" w:hAnsi="宋体"/>
          <w:color w:val="000000"/>
          <w:highlight w:val="none"/>
        </w:rPr>
      </w:pPr>
      <w:r>
        <w:rPr>
          <w:rFonts w:ascii="宋体" w:hAnsi="宋体"/>
          <w:color w:val="000000"/>
          <w:highlight w:val="none"/>
        </w:rPr>
      </w:r>
      <w:r/>
    </w:p>
    <w:p>
      <w:pPr>
        <w:pStyle w:val="1078"/>
        <w:rPr>
          <w:rFonts w:ascii="宋体" w:hAnsi="宋体"/>
          <w:color w:val="000000"/>
          <w:highlight w:val="none"/>
        </w:rPr>
      </w:pPr>
      <w:r>
        <w:rPr>
          <w:rFonts w:ascii="宋体" w:hAnsi="宋体"/>
          <w:color w:val="000000"/>
          <w:highlight w:val="none"/>
        </w:rPr>
      </w:r>
      <w:r/>
    </w:p>
    <w:p>
      <w:pPr>
        <w:pStyle w:val="1130"/>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3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53"/>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53"/>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53"/>
          <w:color w:val="000000"/>
          <w:sz w:val="32"/>
          <w:szCs w:val="32"/>
          <w:highlight w:val="none"/>
        </w:rPr>
        <w:t xml:space="preserve">第三章   资</w:t>
      </w:r>
      <w:bookmarkStart w:id="1" w:name="_Hlt100754117"/>
      <w:r>
        <w:rPr>
          <w:rStyle w:val="1153"/>
          <w:color w:val="000000"/>
          <w:sz w:val="32"/>
          <w:szCs w:val="32"/>
          <w:highlight w:val="none"/>
        </w:rPr>
        <w:t xml:space="preserve">格</w:t>
      </w:r>
      <w:bookmarkEnd w:id="1"/>
      <w:r>
        <w:rPr>
          <w:rStyle w:val="1153"/>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53"/>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53"/>
          <w:color w:val="000000"/>
          <w:sz w:val="32"/>
          <w:szCs w:val="32"/>
          <w:highlight w:val="none"/>
        </w:rPr>
        <w:t xml:space="preserve">第五章   采购</w:t>
      </w:r>
      <w:bookmarkStart w:id="2" w:name="_Hlt100754102"/>
      <w:r/>
      <w:bookmarkStart w:id="3" w:name="_Hlt100754103"/>
      <w:r>
        <w:rPr>
          <w:rStyle w:val="1153"/>
          <w:color w:val="000000"/>
          <w:sz w:val="32"/>
          <w:szCs w:val="32"/>
          <w:highlight w:val="none"/>
        </w:rPr>
        <w:t xml:space="preserve">需</w:t>
      </w:r>
      <w:bookmarkEnd w:id="2"/>
      <w:r/>
      <w:bookmarkEnd w:id="3"/>
      <w:r>
        <w:rPr>
          <w:rStyle w:val="1153"/>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53"/>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53"/>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0"/>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8"/>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8"/>
        <w:ind w:firstLine="643"/>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b/>
          <w:bCs/>
          <w:color w:val="000000"/>
          <w:sz w:val="32"/>
          <w:szCs w:val="32"/>
          <w:highlight w:val="none"/>
        </w:rPr>
        <w:t xml:space="preserve">常州经开区图书馆综</w:t>
      </w:r>
      <w:r>
        <w:rPr>
          <w:rFonts w:hint="eastAsia" w:ascii="仿宋" w:hAnsi="仿宋" w:eastAsia="仿宋"/>
          <w:b/>
          <w:bCs/>
          <w:color w:val="000000"/>
          <w:sz w:val="32"/>
          <w:szCs w:val="32"/>
          <w:highlight w:val="none"/>
        </w:rPr>
        <w:t xml:space="preserve">合运营服务项目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t xml:space="preserve">2026</w:t>
      </w:r>
      <w:r>
        <w:rPr>
          <w:rFonts w:hint="eastAsia" w:ascii="仿宋" w:hAnsi="仿宋" w:eastAsia="仿宋" w:cs="宋体"/>
          <w:b/>
          <w:bCs/>
          <w:color w:val="000000"/>
          <w:sz w:val="32"/>
          <w:szCs w:val="32"/>
          <w:highlight w:val="none"/>
        </w:rPr>
        <w:t xml:space="preserve">年9月29日14点00分（北京时间）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0"/>
        <w:ind w:firstLine="643"/>
        <w:jc w:val="left"/>
        <w:spacing w:before="240" w:line="360" w:lineRule="auto"/>
        <w:rPr>
          <w:rFonts w:ascii="仿宋" w:hAnsi="仿宋" w:eastAsia="仿宋"/>
          <w:color w:val="000000"/>
          <w:sz w:val="32"/>
          <w:szCs w:val="32"/>
          <w:highlight w:val="none"/>
        </w:rPr>
      </w:pPr>
      <w:r/>
      <w:bookmarkStart w:id="5" w:name="_Toc35393621"/>
      <w:r/>
      <w:bookmarkStart w:id="6" w:name="_Toc35393790"/>
      <w:r/>
      <w:bookmarkStart w:id="7" w:name="_Toc28359002"/>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JSZC-320412056-CTZB-G2026-0122</w:t>
      </w:r>
      <w:r>
        <w:rPr>
          <w:rFonts w:ascii="仿宋" w:hAnsi="仿宋" w:eastAsia="仿宋"/>
          <w:color w:val="000000"/>
          <w:sz w:val="32"/>
          <w:szCs w:val="32"/>
          <w:highlight w:val="none"/>
        </w:rPr>
      </w:r>
      <w:r/>
    </w:p>
    <w:p>
      <w:pPr>
        <w:pStyle w:val="1078"/>
        <w:ind w:firstLine="640"/>
        <w:spacing w:line="360" w:lineRule="auto"/>
        <w:rPr>
          <w:rFonts w:ascii="仿宋" w:hAnsi="仿宋" w:eastAsia="仿宋" w:cs="Times New Roman"/>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s="Times New Roman"/>
          <w:color w:val="000000"/>
          <w:sz w:val="32"/>
          <w:szCs w:val="32"/>
          <w:highlight w:val="none"/>
        </w:rPr>
        <w:t xml:space="preserve">常州经开区图书馆综合运营服务</w:t>
      </w:r>
      <w:r>
        <w:rPr>
          <w:rFonts w:ascii="仿宋" w:hAnsi="仿宋" w:eastAsia="仿宋" w:cs="Times New Roman"/>
          <w:color w:val="000000"/>
          <w:sz w:val="32"/>
          <w:szCs w:val="32"/>
          <w:highlight w:val="none"/>
        </w:rPr>
        <w:t xml:space="preserve">项目</w:t>
      </w:r>
      <w:r>
        <w:rPr>
          <w:rFonts w:ascii="仿宋" w:hAnsi="仿宋" w:eastAsia="仿宋" w:cs="Times New Roman"/>
          <w:color w:val="000000"/>
          <w:sz w:val="32"/>
          <w:szCs w:val="32"/>
          <w:highlight w:val="none"/>
        </w:rPr>
      </w:r>
      <w:r/>
    </w:p>
    <w:p>
      <w:pPr>
        <w:pStyle w:val="1078"/>
        <w:ind w:firstLine="640"/>
        <w:spacing w:line="360" w:lineRule="auto"/>
        <w:rPr>
          <w:rFonts w:hint="eastAsia" w:ascii="仿宋" w:hAnsi="仿宋" w:eastAsia="仿宋"/>
          <w:b/>
          <w:bCs/>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b/>
          <w:bCs/>
          <w:color w:val="000000"/>
          <w:sz w:val="32"/>
          <w:szCs w:val="32"/>
          <w:highlight w:val="none"/>
          <w:lang w:val="en-US" w:eastAsia="zh-CN"/>
        </w:rPr>
        <w:t xml:space="preserve">238</w:t>
      </w:r>
      <w:r>
        <w:rPr>
          <w:rFonts w:ascii="仿宋" w:hAnsi="仿宋" w:eastAsia="仿宋"/>
          <w:b/>
          <w:bCs/>
          <w:color w:val="000000"/>
          <w:sz w:val="32"/>
          <w:szCs w:val="32"/>
          <w:highlight w:val="none"/>
        </w:rPr>
        <w:t xml:space="preserve">万元</w:t>
      </w:r>
      <w:r>
        <w:rPr>
          <w:rFonts w:hint="eastAsia" w:ascii="仿宋" w:hAnsi="仿宋" w:eastAsia="仿宋"/>
          <w:b/>
          <w:bCs/>
          <w:color w:val="000000"/>
          <w:sz w:val="32"/>
          <w:szCs w:val="32"/>
          <w:highlight w:val="none"/>
        </w:rPr>
      </w:r>
      <w:r/>
    </w:p>
    <w:p>
      <w:pPr>
        <w:pStyle w:val="1078"/>
        <w:ind w:firstLine="640"/>
        <w:spacing w:line="360" w:lineRule="auto"/>
        <w:rPr>
          <w:rFonts w:hint="eastAsia" w:ascii="仿宋" w:hAnsi="仿宋" w:eastAsia="仿宋"/>
          <w:b/>
          <w:bCs/>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b/>
          <w:bCs/>
          <w:color w:val="000000"/>
          <w:sz w:val="32"/>
          <w:szCs w:val="32"/>
          <w:highlight w:val="none"/>
          <w:lang w:val="en-US" w:eastAsia="zh-CN"/>
        </w:rPr>
        <w:t xml:space="preserve">238</w:t>
      </w:r>
      <w:r>
        <w:rPr>
          <w:rFonts w:ascii="仿宋" w:hAnsi="仿宋" w:eastAsia="仿宋"/>
          <w:b/>
          <w:bCs/>
          <w:color w:val="000000"/>
          <w:sz w:val="32"/>
          <w:szCs w:val="32"/>
          <w:highlight w:val="none"/>
        </w:rPr>
        <w:t xml:space="preserve">万元</w:t>
      </w:r>
      <w:r>
        <w:rPr>
          <w:rFonts w:hint="eastAsia" w:ascii="仿宋" w:hAnsi="仿宋" w:eastAsia="仿宋"/>
          <w:b/>
          <w:bCs/>
          <w:color w:val="000000"/>
          <w:sz w:val="32"/>
          <w:szCs w:val="32"/>
          <w:highlight w:val="none"/>
        </w:rPr>
      </w:r>
      <w:r/>
    </w:p>
    <w:p>
      <w:pPr>
        <w:pStyle w:val="1078"/>
        <w:ind w:firstLine="640"/>
        <w:spacing w:line="360" w:lineRule="auto"/>
        <w:rPr>
          <w:rFonts w:ascii="仿宋" w:hAnsi="仿宋" w:eastAsia="仿宋" w:cs="宋体"/>
          <w:b/>
          <w:color w:val="000000"/>
          <w:spacing w:val="2"/>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hint="eastAsia" w:ascii="仿宋" w:hAnsi="仿宋" w:eastAsia="仿宋" w:cs="Times New Roman"/>
          <w:color w:val="000000"/>
          <w:sz w:val="32"/>
          <w:szCs w:val="32"/>
          <w:highlight w:val="none"/>
        </w:rPr>
        <w:t xml:space="preserve">本项目为常州经开区图书馆综合运营服务项目，主要内容包括但不限于由运营服务商负责图书馆的日常运营、人员聘用、活动开展、教育培训，且保证图书馆固定资产的安全处于正常使用状态等涉及本项目的所有服务内容。</w:t>
      </w:r>
      <w:r>
        <w:rPr>
          <w:rFonts w:ascii="仿宋" w:hAnsi="仿宋" w:eastAsia="仿宋" w:cs="宋体"/>
          <w:b/>
          <w:color w:val="000000"/>
          <w:spacing w:val="2"/>
          <w:sz w:val="32"/>
          <w:szCs w:val="32"/>
          <w:highlight w:val="none"/>
        </w:rPr>
      </w:r>
      <w:r/>
    </w:p>
    <w:p>
      <w:pPr>
        <w:pStyle w:val="1078"/>
        <w:ind w:firstLine="640"/>
        <w:pageBreakBefore w:val="0"/>
        <w:spacing w:line="360" w:lineRule="auto"/>
        <w:rPr>
          <w:rFonts w:ascii="仿宋" w:hAnsi="仿宋" w:eastAsia="仿宋" w:cs="Times New Roman"/>
          <w:color w:val="000000"/>
          <w:sz w:val="32"/>
          <w:szCs w:val="32"/>
          <w:highlight w:val="non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s="Times New Roman"/>
          <w:color w:val="000000"/>
          <w:sz w:val="32"/>
          <w:szCs w:val="32"/>
          <w:highlight w:val="none"/>
        </w:rPr>
        <w:t xml:space="preserve">服务期限为</w:t>
      </w:r>
      <w:r>
        <w:rPr>
          <w:rFonts w:hint="eastAsia" w:ascii="仿宋" w:hAnsi="仿宋" w:eastAsia="仿宋" w:cs="Times New Roman"/>
          <w:color w:val="000000"/>
          <w:sz w:val="32"/>
          <w:szCs w:val="32"/>
          <w:highlight w:val="none"/>
          <w:lang w:val="en-US" w:eastAsia="zh-CN"/>
        </w:rPr>
        <w:t xml:space="preserve">一</w:t>
      </w:r>
      <w:r>
        <w:rPr>
          <w:rFonts w:hint="eastAsia" w:ascii="仿宋" w:hAnsi="仿宋" w:eastAsia="仿宋" w:cs="Times New Roman"/>
          <w:color w:val="000000"/>
          <w:sz w:val="32"/>
          <w:szCs w:val="32"/>
          <w:highlight w:val="none"/>
        </w:rPr>
        <w:t xml:space="preserve">年</w:t>
      </w:r>
      <w:r>
        <w:rPr>
          <w:rFonts w:hint="eastAsia" w:ascii="仿宋" w:hAnsi="仿宋" w:eastAsia="仿宋" w:cs="Times New Roman"/>
          <w:color w:val="000000"/>
          <w:sz w:val="32"/>
          <w:szCs w:val="32"/>
          <w:highlight w:val="none"/>
          <w:lang w:eastAsia="zh-CN"/>
        </w:rPr>
        <w:t xml:space="preserve">（</w:t>
      </w:r>
      <w:r>
        <w:rPr>
          <w:rFonts w:hint="eastAsia" w:ascii="仿宋" w:hAnsi="仿宋" w:eastAsia="仿宋" w:cs="Times New Roman"/>
          <w:color w:val="000000"/>
          <w:sz w:val="32"/>
          <w:szCs w:val="32"/>
          <w:highlight w:val="none"/>
          <w:lang w:val="en-US" w:eastAsia="zh-CN"/>
        </w:rPr>
        <w:t xml:space="preserve">2026年10月13日至2027年10月12日</w:t>
      </w:r>
      <w:r>
        <w:rPr>
          <w:rFonts w:hint="eastAsia" w:ascii="仿宋" w:hAnsi="仿宋" w:eastAsia="仿宋" w:cs="Times New Roman"/>
          <w:color w:val="000000"/>
          <w:sz w:val="32"/>
          <w:szCs w:val="32"/>
          <w:highlight w:val="none"/>
          <w:lang w:eastAsia="zh-CN"/>
        </w:rPr>
        <w:t xml:space="preserve">）</w:t>
      </w:r>
      <w:r>
        <w:rPr>
          <w:rFonts w:hint="eastAsia" w:ascii="仿宋" w:hAnsi="仿宋" w:eastAsia="仿宋" w:cs="Times New Roman"/>
          <w:color w:val="000000"/>
          <w:sz w:val="32"/>
          <w:szCs w:val="32"/>
          <w:highlight w:val="none"/>
        </w:rPr>
        <w:t xml:space="preserve">。</w:t>
      </w:r>
      <w:r>
        <w:rPr>
          <w:rFonts w:ascii="仿宋" w:hAnsi="仿宋" w:eastAsia="仿宋" w:cs="Times New Roman"/>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80"/>
        <w:ind w:firstLine="643"/>
        <w:jc w:val="left"/>
        <w:spacing w:before="0" w:line="360" w:lineRule="auto"/>
        <w:rPr>
          <w:rFonts w:ascii="仿宋" w:hAnsi="仿宋" w:eastAsia="仿宋"/>
          <w:color w:val="000000"/>
          <w:sz w:val="32"/>
          <w:szCs w:val="32"/>
          <w:highlight w:val="none"/>
        </w:rPr>
      </w:pPr>
      <w:r/>
      <w:bookmarkStart w:id="10" w:name="_Toc35393791"/>
      <w:r/>
      <w:bookmarkStart w:id="11" w:name="_Toc28359080"/>
      <w:r/>
      <w:bookmarkStart w:id="12" w:name="_Toc28359003"/>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8"/>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78"/>
        <w:ind w:firstLine="640"/>
        <w:spacing w:line="360" w:lineRule="auto"/>
        <w:rPr>
          <w:rFonts w:ascii="仿宋" w:hAnsi="仿宋" w:eastAsia="仿宋" w:cs="Times New Roman"/>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cs="Times New Roman"/>
          <w:color w:val="000000"/>
          <w:sz w:val="32"/>
          <w:szCs w:val="32"/>
          <w:highlight w:val="none"/>
        </w:rPr>
        <w:t xml:space="preserve">。对于预留份额，提供的服务由符合政策要求的中小企业承接。预留份额通过以下措施进行：</w:t>
      </w:r>
      <w:r>
        <w:rPr>
          <w:rFonts w:hint="eastAsia" w:ascii="仿宋" w:hAnsi="仿宋" w:eastAsia="仿宋" w:cs="Times New Roman"/>
          <w:color w:val="000000"/>
          <w:sz w:val="32"/>
          <w:szCs w:val="32"/>
          <w:highlight w:val="none"/>
        </w:rPr>
        <w:t xml:space="preserve">获得采购合同的投标人应承诺将采购项目中不低于40%的金额分包给一家或多家中小企业。</w:t>
      </w:r>
      <w:r>
        <w:rPr>
          <w:rFonts w:ascii="仿宋" w:hAnsi="仿宋" w:eastAsia="仿宋" w:cs="Times New Roman"/>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8"/>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w:t>
      </w:r>
      <w:r>
        <w:rPr>
          <w:rFonts w:ascii="仿宋" w:hAnsi="仿宋" w:eastAsia="仿宋"/>
          <w:color w:val="000000"/>
          <w:sz w:val="32"/>
          <w:szCs w:val="32"/>
          <w:highlight w:val="none"/>
        </w:rPr>
        <w:t xml:space="preserve">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i/>
          <w:iCs/>
          <w:color w:val="000000"/>
          <w:sz w:val="32"/>
          <w:szCs w:val="32"/>
          <w:highlight w:val="none"/>
          <w:u w:val="single"/>
        </w:rPr>
      </w:r>
      <w:r/>
    </w:p>
    <w:p>
      <w:pPr>
        <w:pStyle w:val="1080"/>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623"/>
      <w:r/>
      <w:bookmarkStart w:id="17" w:name="_Toc35393792"/>
      <w:r>
        <w:rPr>
          <w:rFonts w:ascii="仿宋" w:hAnsi="仿宋" w:eastAsia="仿宋"/>
          <w:color w:val="000000"/>
          <w:sz w:val="32"/>
          <w:szCs w:val="32"/>
          <w:highlight w:val="none"/>
        </w:rPr>
        <w:t xml:space="preserve">三、获取</w:t>
      </w:r>
      <w:r>
        <w:rPr>
          <w:rFonts w:ascii="仿宋" w:hAnsi="仿宋" w:eastAsia="仿宋"/>
          <w:color w:val="000000"/>
          <w:sz w:val="32"/>
          <w:szCs w:val="32"/>
          <w:highlight w:val="none"/>
        </w:rPr>
        <w:t xml:space="preserve">招标文件</w:t>
      </w:r>
      <w:bookmarkEnd w:id="16"/>
      <w:r/>
      <w:bookmarkEnd w:id="17"/>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1.时间：2026</w:t>
      </w:r>
      <w:r>
        <w:rPr>
          <w:rFonts w:hint="eastAsia" w:ascii="仿宋" w:hAnsi="仿宋" w:eastAsia="仿宋" w:cs="宋体"/>
          <w:color w:val="000000"/>
          <w:sz w:val="32"/>
          <w:szCs w:val="32"/>
          <w:highlight w:val="none"/>
        </w:rPr>
        <w:t xml:space="preserve">年9月8日</w:t>
      </w:r>
      <w:r>
        <w:rPr>
          <w:rFonts w:hint="eastAsia" w:ascii="仿宋" w:hAnsi="仿宋" w:eastAsia="仿宋"/>
          <w:color w:val="000000"/>
          <w:sz w:val="32"/>
          <w:szCs w:val="32"/>
          <w:highlight w:val="none"/>
          <w:lang w:bidi="ar"/>
        </w:rPr>
        <w:t xml:space="preserve">至2026</w:t>
      </w:r>
      <w:r>
        <w:rPr>
          <w:rFonts w:hint="eastAsia" w:ascii="仿宋" w:hAnsi="仿宋" w:eastAsia="仿宋" w:cs="宋体"/>
          <w:color w:val="000000"/>
          <w:sz w:val="32"/>
          <w:szCs w:val="32"/>
          <w:highlight w:val="none"/>
        </w:rPr>
        <w:t xml:space="preserve">年8月15日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8"/>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8"/>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80"/>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8"/>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rPr>
        <w:t xml:space="preserve">2026</w:t>
      </w:r>
      <w:r>
        <w:rPr>
          <w:rFonts w:hint="eastAsia" w:ascii="仿宋" w:hAnsi="仿宋" w:eastAsia="仿宋" w:cs="宋体"/>
          <w:b/>
          <w:bCs/>
          <w:color w:val="000000"/>
          <w:sz w:val="32"/>
          <w:szCs w:val="32"/>
          <w:highlight w:val="none"/>
        </w:rPr>
        <w:t xml:space="preserve">年9月29日14点00分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8"/>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80"/>
        <w:ind w:firstLine="643"/>
        <w:jc w:val="left"/>
        <w:spacing w:before="0" w:line="360" w:lineRule="auto"/>
        <w:rPr>
          <w:rFonts w:ascii="仿宋" w:hAnsi="仿宋" w:eastAsia="仿宋"/>
          <w:color w:val="000000"/>
          <w:sz w:val="32"/>
          <w:szCs w:val="32"/>
          <w:highlight w:val="none"/>
        </w:rPr>
      </w:pPr>
      <w:r/>
      <w:bookmarkStart w:id="22" w:name="_Toc28359084"/>
      <w:r/>
      <w:bookmarkStart w:id="23" w:name="_Toc35393794"/>
      <w:r/>
      <w:bookmarkStart w:id="24" w:name="_Toc35393625"/>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80"/>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bidi="ar"/>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80"/>
        <w:ind w:firstLine="643"/>
        <w:jc w:val="left"/>
        <w:spacing w:before="0" w:line="360" w:lineRule="auto"/>
        <w:rPr>
          <w:rFonts w:ascii="仿宋" w:hAnsi="仿宋" w:eastAsia="仿宋"/>
          <w:color w:val="000000"/>
          <w:sz w:val="32"/>
          <w:szCs w:val="32"/>
          <w:highlight w:val="none"/>
        </w:rPr>
      </w:pPr>
      <w:r/>
      <w:bookmarkStart w:id="28" w:name="_Toc28359085"/>
      <w:r/>
      <w:bookmarkStart w:id="29" w:name="_Toc28359008"/>
      <w:r/>
      <w:bookmarkStart w:id="30" w:name="_Toc35393627"/>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8"/>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8"/>
        <w:ind w:firstLine="640"/>
        <w:jc w:val="left"/>
        <w:pageBreakBefore w:val="0"/>
        <w:spacing w:line="360" w:lineRule="auto"/>
        <w:rPr>
          <w:rFonts w:hint="eastAsia" w:ascii="仿宋" w:hAnsi="仿宋" w:eastAsia="仿宋"/>
          <w:b w:val="0"/>
          <w:bCs/>
          <w:color w:val="000000"/>
          <w:sz w:val="32"/>
          <w:szCs w:val="32"/>
          <w:highlight w:val="none"/>
        </w:rPr>
      </w:pPr>
      <w:r/>
      <w:bookmarkStart w:id="32" w:name="_Toc28359086"/>
      <w:r/>
      <w:bookmarkStart w:id="33" w:name="_Toc28359009"/>
      <w:r>
        <w:rPr>
          <w:rFonts w:hint="eastAsia" w:ascii="仿宋" w:hAnsi="仿宋" w:eastAsia="仿宋"/>
          <w:b w:val="0"/>
          <w:bCs/>
          <w:color w:val="000000"/>
          <w:sz w:val="32"/>
          <w:szCs w:val="32"/>
          <w:highlight w:val="none"/>
        </w:rPr>
        <w:t xml:space="preserve">名　　称：江苏常州经济开发区公共文化服务中心 </w:t>
      </w:r>
      <w:r>
        <w:rPr>
          <w:rFonts w:hint="eastAsia" w:ascii="仿宋" w:hAnsi="仿宋" w:eastAsia="仿宋"/>
          <w:b w:val="0"/>
          <w:bCs/>
          <w:color w:val="000000"/>
          <w:sz w:val="32"/>
          <w:szCs w:val="32"/>
          <w:highlight w:val="none"/>
        </w:rPr>
      </w:r>
      <w:r/>
    </w:p>
    <w:p>
      <w:pPr>
        <w:pStyle w:val="1078"/>
        <w:ind w:firstLine="640"/>
        <w:jc w:val="left"/>
        <w:pageBreakBefore w:val="0"/>
        <w:spacing w:line="360" w:lineRule="auto"/>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地　　址：</w:t>
      </w:r>
      <w:r>
        <w:rPr>
          <w:rFonts w:hint="eastAsia" w:ascii="Times New Roman" w:hAnsi="Times New Roman" w:eastAsia="仿宋_GB2312" w:cs="Times New Roman"/>
          <w:color w:val="000000"/>
          <w:sz w:val="32"/>
          <w:szCs w:val="20"/>
          <w:highlight w:val="none"/>
          <w:lang w:val="en-US" w:eastAsia="zh-CN"/>
        </w:rPr>
        <w:t xml:space="preserve">常州经开区潞城街道常青路555号</w:t>
      </w:r>
      <w:r>
        <w:rPr>
          <w:rFonts w:hint="eastAsia" w:ascii="仿宋" w:hAnsi="仿宋" w:eastAsia="仿宋"/>
          <w:b w:val="0"/>
          <w:bCs/>
          <w:color w:val="000000"/>
          <w:sz w:val="32"/>
          <w:szCs w:val="32"/>
          <w:highlight w:val="none"/>
        </w:rPr>
      </w:r>
      <w:r/>
    </w:p>
    <w:p>
      <w:pPr>
        <w:pStyle w:val="1078"/>
        <w:ind w:firstLine="640"/>
        <w:jc w:val="left"/>
        <w:pageBreakBefore w:val="0"/>
        <w:spacing w:line="360" w:lineRule="auto"/>
        <w:rPr>
          <w:rFonts w:ascii="仿宋" w:hAnsi="仿宋" w:eastAsia="仿宋"/>
          <w:b w:val="0"/>
          <w:bCs/>
          <w:color w:val="000000"/>
          <w:sz w:val="32"/>
          <w:szCs w:val="32"/>
          <w:highlight w:val="none"/>
          <w:lang w:val="en-US" w:eastAsia="zh-CN"/>
        </w:rPr>
      </w:pPr>
      <w:r>
        <w:rPr>
          <w:rFonts w:hint="eastAsia" w:ascii="仿宋" w:hAnsi="仿宋" w:eastAsia="仿宋"/>
          <w:b w:val="0"/>
          <w:bCs/>
          <w:color w:val="000000"/>
          <w:sz w:val="32"/>
          <w:szCs w:val="32"/>
          <w:highlight w:val="none"/>
        </w:rPr>
        <w:t xml:space="preserve">联系方式：0519-</w:t>
      </w:r>
      <w:r>
        <w:rPr>
          <w:rFonts w:hint="eastAsia" w:ascii="仿宋" w:hAnsi="仿宋" w:eastAsia="仿宋"/>
          <w:b w:val="0"/>
          <w:bCs/>
          <w:color w:val="000000"/>
          <w:sz w:val="32"/>
          <w:szCs w:val="32"/>
          <w:highlight w:val="none"/>
          <w:lang w:val="en-US" w:eastAsia="zh-CN"/>
        </w:rPr>
        <w:t xml:space="preserve">89863723</w:t>
      </w:r>
      <w:r>
        <w:rPr>
          <w:rFonts w:ascii="仿宋" w:hAnsi="仿宋" w:eastAsia="仿宋"/>
          <w:b w:val="0"/>
          <w:bCs/>
          <w:color w:val="000000"/>
          <w:sz w:val="32"/>
          <w:szCs w:val="32"/>
          <w:highlight w:val="none"/>
          <w:lang w:val="en-US" w:eastAsia="zh-CN"/>
        </w:rPr>
      </w:r>
      <w:r/>
    </w:p>
    <w:p>
      <w:pPr>
        <w:pStyle w:val="1078"/>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8"/>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8"/>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8"/>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8"/>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袁  婷</w:t>
      </w:r>
      <w:r>
        <w:rPr>
          <w:rFonts w:hint="eastAsia" w:ascii="仿宋" w:hAnsi="仿宋" w:eastAsia="仿宋"/>
          <w:color w:val="000000"/>
          <w:sz w:val="32"/>
          <w:szCs w:val="32"/>
          <w:highlight w:val="none"/>
          <w:lang w:val="en-US" w:eastAsia="zh-CN"/>
        </w:rPr>
      </w:r>
      <w:r/>
    </w:p>
    <w:p>
      <w:pPr>
        <w:pStyle w:val="107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6013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8"/>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8"/>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512937850"/>
      <w:r/>
      <w:bookmarkStart w:id="37" w:name="_Toc264969275"/>
      <w:r/>
      <w:bookmarkStart w:id="38" w:name="_Toc353873938"/>
      <w:r/>
      <w:bookmarkStart w:id="39" w:name="_Toc265228423"/>
      <w:r/>
      <w:bookmarkStart w:id="40" w:name="_Toc305158854"/>
      <w:r/>
      <w:bookmarkStart w:id="41" w:name="_Toc305158928"/>
      <w:r/>
      <w:bookmarkStart w:id="42" w:name="_Toc195842950"/>
      <w:r/>
      <w:bookmarkStart w:id="43" w:name="_Toc226965856"/>
      <w:r/>
      <w:bookmarkStart w:id="44" w:name="_Toc353825548"/>
      <w:r/>
      <w:bookmarkStart w:id="45" w:name="_Toc99301420"/>
      <w:r/>
      <w:bookmarkStart w:id="46" w:name="_Toc150774783"/>
      <w:r/>
      <w:bookmarkStart w:id="47" w:name="_Toc127151777"/>
      <w:r/>
      <w:bookmarkStart w:id="48" w:name="_Toc12716148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80"/>
        <w:spacing w:before="0" w:line="360" w:lineRule="auto"/>
        <w:tabs>
          <w:tab w:val="center" w:pos="4592" w:leader="none"/>
          <w:tab w:val="left" w:pos="7860" w:leader="none"/>
        </w:tabs>
        <w:rPr>
          <w:rFonts w:ascii="宋体" w:hAnsi="宋体" w:eastAsia="宋体"/>
          <w:color w:val="000000"/>
          <w:sz w:val="28"/>
          <w:highlight w:val="none"/>
        </w:rPr>
      </w:pPr>
      <w:r/>
      <w:bookmarkStart w:id="49" w:name="_Toc195842884"/>
      <w:r/>
      <w:bookmarkStart w:id="50" w:name="_Toc520356144"/>
      <w:r/>
      <w:bookmarkStart w:id="51" w:name="_Toc164229214"/>
      <w:r/>
      <w:bookmarkStart w:id="52" w:name="_Toc151193617"/>
      <w:r/>
      <w:bookmarkStart w:id="53" w:name="_Toc150480757"/>
      <w:r/>
      <w:bookmarkStart w:id="54" w:name="_Toc150774619"/>
      <w:r/>
      <w:bookmarkStart w:id="55" w:name="_Toc226337215"/>
      <w:r/>
      <w:bookmarkStart w:id="56" w:name="_Toc151193907"/>
      <w:r/>
      <w:bookmarkStart w:id="57" w:name="_Toc226309763"/>
      <w:r/>
      <w:bookmarkStart w:id="58" w:name="_Toc164229360"/>
      <w:r/>
      <w:bookmarkStart w:id="59" w:name="_Toc164351613"/>
      <w:r/>
      <w:bookmarkStart w:id="60" w:name="_Toc226965792"/>
      <w:r/>
      <w:bookmarkStart w:id="61" w:name="_Toc151193689"/>
      <w:r/>
      <w:bookmarkStart w:id="62" w:name="_Toc151193833"/>
      <w:r/>
      <w:bookmarkStart w:id="63" w:name="_Toc150774724"/>
      <w:r/>
      <w:bookmarkStart w:id="64" w:name="_Toc151190146"/>
      <w:r/>
      <w:bookmarkStart w:id="65" w:name="_Toc142311021"/>
      <w:r/>
      <w:bookmarkStart w:id="66" w:name="_Toc164608788"/>
      <w:r/>
      <w:bookmarkStart w:id="67" w:name="_Toc127151519"/>
      <w:r/>
      <w:bookmarkStart w:id="68" w:name="_Toc151193761"/>
      <w:r/>
      <w:bookmarkStart w:id="69" w:name="_Toc127151720"/>
      <w:r/>
      <w:bookmarkStart w:id="70" w:name="_Toc226965709"/>
      <w:r/>
      <w:bookmarkStart w:id="71" w:name="_Toc149720812"/>
      <w:r/>
      <w:bookmarkStart w:id="72" w:name="_Toc164608633"/>
      <w:r/>
      <w:bookmarkStart w:id="73" w:name="_Toc127161433"/>
      <w:r/>
      <w:bookmarkStart w:id="74" w:name="_Toc150509270"/>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8"/>
        <w:jc w:val="center"/>
        <w:rPr>
          <w:rFonts w:ascii="宋体" w:hAnsi="宋体"/>
          <w:b/>
          <w:color w:val="000000"/>
          <w:sz w:val="28"/>
          <w:szCs w:val="28"/>
          <w:highlight w:val="none"/>
        </w:rPr>
      </w:pPr>
      <w:r>
        <w:rPr>
          <w:rFonts w:ascii="宋体" w:hAnsi="宋体"/>
          <w:b/>
          <w:color w:val="000000"/>
          <w:sz w:val="28"/>
          <w:szCs w:val="28"/>
          <w:highlight w:val="none"/>
        </w:rPr>
      </w:r>
      <w:r/>
    </w:p>
    <w:p>
      <w:pPr>
        <w:pStyle w:val="107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8"/>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7"/>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7"/>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8"/>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8"/>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7"/>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8"/>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8"/>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80"/>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询问送达形式：投标人对招标文件如有疑问，请将疑问于2026</w:t>
            </w:r>
            <w:r>
              <w:rPr>
                <w:rFonts w:hint="eastAsia" w:ascii="宋体" w:hAnsi="宋体" w:cs="宋体"/>
                <w:b/>
                <w:color w:val="000000"/>
                <w:sz w:val="24"/>
                <w:highlight w:val="none"/>
              </w:rPr>
              <w:t xml:space="preserve">年8月16日11点00分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8"/>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8"/>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bCs w:val="0"/>
                <w:color w:val="000000"/>
                <w:sz w:val="24"/>
                <w:highlight w:val="none"/>
                <w:lang w:val="en-US" w:eastAsia="zh-CN"/>
              </w:rPr>
              <w:t xml:space="preserve">因采购人预算金额包含代理费，本项目向</w:t>
            </w:r>
            <w:r>
              <w:rPr>
                <w:rFonts w:hint="eastAsia" w:ascii="宋体" w:hAnsi="宋体" w:cs="宋体"/>
                <w:b/>
                <w:bCs w:val="0"/>
                <w:color w:val="000000"/>
                <w:sz w:val="24"/>
                <w:highlight w:val="none"/>
              </w:rPr>
              <w:t xml:space="preserve">中标人</w:t>
            </w:r>
            <w:r>
              <w:rPr>
                <w:rFonts w:hint="eastAsia" w:ascii="宋体" w:hAnsi="宋体" w:cs="宋体"/>
                <w:b/>
                <w:bCs w:val="0"/>
                <w:color w:val="000000"/>
                <w:sz w:val="24"/>
                <w:highlight w:val="none"/>
                <w:lang w:val="en-US" w:eastAsia="zh-CN"/>
              </w:rPr>
              <w:t xml:space="preserve">收取</w:t>
            </w:r>
            <w:r>
              <w:rPr>
                <w:rFonts w:hint="eastAsia" w:ascii="宋体" w:hAnsi="宋体" w:cs="宋体"/>
                <w:b/>
                <w:bCs w:val="0"/>
                <w:color w:val="000000"/>
                <w:sz w:val="24"/>
                <w:highlight w:val="none"/>
              </w:rPr>
              <w:t xml:space="preserve">代理费</w:t>
            </w:r>
            <w:r>
              <w:rPr>
                <w:rFonts w:hint="eastAsia" w:ascii="宋体" w:hAnsi="宋体" w:cs="宋体"/>
                <w:b/>
                <w:bCs w:val="0"/>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8"/>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8"/>
                    <w:ind w:firstLine="945"/>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highlight w:val="none"/>
                    </w:rPr>
                    <w:t xml:space="preserve">服</w:t>
                  </w:r>
                  <w:r>
                    <w:rPr>
                      <w:rFonts w:hint="eastAsia" w:ascii="宋体" w:hAnsi="宋体" w:cs="宋体"/>
                      <w:bCs/>
                      <w:color w:val="000000"/>
                      <w:sz w:val="24"/>
                      <w:highlight w:val="none"/>
                    </w:rPr>
                  </w:r>
                  <w:r/>
                </w:p>
                <w:p>
                  <w:pPr>
                    <w:pStyle w:val="1078"/>
                    <w:ind w:firstLine="24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费　　　   务</w:t>
                  </w:r>
                  <w:r>
                    <w:rPr>
                      <w:rFonts w:hint="eastAsia" w:ascii="宋体" w:hAnsi="宋体" w:cs="宋体"/>
                      <w:bCs/>
                      <w:color w:val="000000"/>
                      <w:sz w:val="24"/>
                      <w:highlight w:val="none"/>
                    </w:rPr>
                  </w:r>
                  <w:r/>
                </w:p>
                <w:p>
                  <w:pPr>
                    <w:pStyle w:val="1078"/>
                    <w:ind w:firstLine="1260"/>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highlight w:val="none"/>
                    </w:rPr>
                    <w:t xml:space="preserve">　   类</w:t>
                  </w:r>
                  <w:r>
                    <w:rPr>
                      <w:rFonts w:hint="eastAsia" w:ascii="宋体" w:hAnsi="宋体" w:cs="宋体"/>
                      <w:bCs/>
                      <w:color w:val="000000"/>
                      <w:sz w:val="24"/>
                      <w:highlight w:val="none"/>
                    </w:rPr>
                  </w:r>
                  <w:r/>
                </w:p>
                <w:p>
                  <w:pPr>
                    <w:pStyle w:val="1078"/>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率　       型</w:t>
                  </w:r>
                  <w:r>
                    <w:rPr>
                      <w:rFonts w:hint="eastAsia" w:ascii="宋体" w:hAnsi="宋体" w:cs="宋体"/>
                      <w:bCs/>
                      <w:color w:val="000000"/>
                      <w:sz w:val="24"/>
                      <w:highlight w:val="none"/>
                    </w:rPr>
                  </w:r>
                  <w:r/>
                </w:p>
                <w:p>
                  <w:pPr>
                    <w:pStyle w:val="1078"/>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7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成交金额（万元）</w:t>
                  </w:r>
                  <w:r>
                    <w:rPr>
                      <w:rFonts w:hint="eastAsia" w:ascii="宋体" w:hAnsi="宋体" w:cs="宋体"/>
                      <w:bCs/>
                      <w:color w:val="000000"/>
                      <w:sz w:val="24"/>
                      <w:highlight w:val="none"/>
                    </w:rPr>
                  </w:r>
                  <w:r/>
                </w:p>
              </w:tc>
              <w:tc>
                <w:tcPr>
                  <w:tcW w:w="2407" w:type="dxa"/>
                  <w:vAlign w:val="center"/>
                  <w:textDirection w:val="lrTb"/>
                  <w:noWrap w:val="false"/>
                </w:tcPr>
                <w:p>
                  <w:pPr>
                    <w:pStyle w:val="1078"/>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服务类</w:t>
                  </w:r>
                  <w:r>
                    <w:rPr>
                      <w:rFonts w:hint="eastAsia" w:ascii="宋体" w:hAnsi="宋体" w:cs="宋体"/>
                      <w:bCs/>
                      <w:color w:val="000000"/>
                      <w:sz w:val="24"/>
                      <w:highlight w:val="none"/>
                    </w:rPr>
                  </w:r>
                  <w:r/>
                </w:p>
              </w:tc>
            </w:tr>
            <w:tr>
              <w:trPr>
                <w:trHeight w:val="454"/>
              </w:trPr>
              <w:tc>
                <w:tcPr>
                  <w:tcW w:w="3023" w:type="dxa"/>
                  <w:vAlign w:val="center"/>
                  <w:textDirection w:val="lrTb"/>
                  <w:noWrap w:val="false"/>
                </w:tcPr>
                <w:p>
                  <w:pPr>
                    <w:pStyle w:val="107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100（含，下同）以下</w:t>
                  </w:r>
                  <w:r>
                    <w:rPr>
                      <w:rFonts w:hint="eastAsia" w:ascii="宋体" w:hAnsi="宋体" w:cs="宋体"/>
                      <w:color w:val="000000"/>
                      <w:sz w:val="24"/>
                      <w:highlight w:val="none"/>
                    </w:rPr>
                  </w:r>
                  <w:r/>
                </w:p>
              </w:tc>
              <w:tc>
                <w:tcPr>
                  <w:tcW w:w="2407" w:type="dxa"/>
                  <w:vAlign w:val="center"/>
                  <w:textDirection w:val="lrTb"/>
                  <w:noWrap w:val="false"/>
                </w:tcPr>
                <w:p>
                  <w:pPr>
                    <w:pStyle w:val="107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r>
            <w:tr>
              <w:trPr>
                <w:trHeight w:val="454"/>
              </w:trPr>
              <w:tc>
                <w:tcPr>
                  <w:tcW w:w="3023" w:type="dxa"/>
                  <w:vAlign w:val="center"/>
                  <w:textDirection w:val="lrTb"/>
                  <w:noWrap w:val="false"/>
                </w:tcPr>
                <w:p>
                  <w:pPr>
                    <w:pStyle w:val="107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100-500</w:t>
                  </w:r>
                  <w:r>
                    <w:rPr>
                      <w:rFonts w:hint="eastAsia" w:ascii="宋体" w:hAnsi="宋体" w:cs="宋体"/>
                      <w:color w:val="000000"/>
                      <w:sz w:val="24"/>
                      <w:highlight w:val="none"/>
                    </w:rPr>
                  </w:r>
                  <w:r/>
                </w:p>
              </w:tc>
              <w:tc>
                <w:tcPr>
                  <w:tcW w:w="2407" w:type="dxa"/>
                  <w:vAlign w:val="center"/>
                  <w:textDirection w:val="lrTb"/>
                  <w:noWrap w:val="false"/>
                </w:tcPr>
                <w:p>
                  <w:pPr>
                    <w:pStyle w:val="107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0.8%</w:t>
                  </w:r>
                  <w:r>
                    <w:rPr>
                      <w:rFonts w:hint="eastAsia" w:ascii="宋体" w:hAnsi="宋体" w:cs="宋体"/>
                      <w:color w:val="000000"/>
                      <w:sz w:val="24"/>
                      <w:highlight w:val="none"/>
                    </w:rPr>
                  </w:r>
                  <w:r/>
                </w:p>
              </w:tc>
            </w:tr>
            <w:tr>
              <w:trPr>
                <w:trHeight w:val="454"/>
              </w:trPr>
              <w:tc>
                <w:tcPr>
                  <w:tcW w:w="3023" w:type="dxa"/>
                  <w:vAlign w:val="center"/>
                  <w:textDirection w:val="lrTb"/>
                  <w:noWrap w:val="false"/>
                </w:tcPr>
                <w:p>
                  <w:pPr>
                    <w:pStyle w:val="107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500—1000</w:t>
                  </w:r>
                  <w:r>
                    <w:rPr>
                      <w:rFonts w:hint="eastAsia" w:ascii="宋体" w:hAnsi="宋体" w:cs="宋体"/>
                      <w:color w:val="000000"/>
                      <w:sz w:val="24"/>
                      <w:highlight w:val="none"/>
                    </w:rPr>
                  </w:r>
                  <w:r/>
                </w:p>
              </w:tc>
              <w:tc>
                <w:tcPr>
                  <w:tcW w:w="2407" w:type="dxa"/>
                  <w:vAlign w:val="center"/>
                  <w:textDirection w:val="lrTb"/>
                  <w:noWrap w:val="false"/>
                </w:tcPr>
                <w:p>
                  <w:pPr>
                    <w:pStyle w:val="107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0.45</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454"/>
              </w:trPr>
              <w:tc>
                <w:tcPr>
                  <w:tcW w:w="3023" w:type="dxa"/>
                  <w:vAlign w:val="center"/>
                  <w:textDirection w:val="lrTb"/>
                  <w:noWrap w:val="false"/>
                </w:tcPr>
                <w:p>
                  <w:pPr>
                    <w:pStyle w:val="107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7" w:type="dxa"/>
                  <w:vAlign w:val="center"/>
                  <w:textDirection w:val="lrTb"/>
                  <w:noWrap w:val="false"/>
                </w:tcPr>
                <w:p>
                  <w:pPr>
                    <w:pStyle w:val="107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bl>
          <w:p>
            <w:pPr>
              <w:pStyle w:val="107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78"/>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b/>
                <w:color w:val="000000"/>
                <w:sz w:val="24"/>
                <w:highlight w:val="none"/>
              </w:rPr>
              <w:t xml:space="preserve">按照上述标准</w:t>
            </w:r>
            <w:r>
              <w:rPr>
                <w:rFonts w:hint="eastAsia" w:ascii="宋体" w:hAnsi="宋体" w:cs="宋体"/>
                <w:b/>
                <w:color w:val="000000"/>
                <w:sz w:val="24"/>
                <w:highlight w:val="none"/>
              </w:rPr>
              <w:t xml:space="preserve">收取。</w:t>
            </w:r>
            <w:r>
              <w:rPr>
                <w:rFonts w:hint="eastAsia" w:ascii="宋体" w:hAnsi="宋体" w:cs="宋体"/>
                <w:b/>
                <w:color w:val="000000"/>
                <w:sz w:val="24"/>
                <w:highlight w:val="none"/>
              </w:rPr>
            </w:r>
            <w:r/>
          </w:p>
          <w:p>
            <w:pPr>
              <w:pStyle w:val="107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8"/>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w:t>
            </w:r>
            <w:r>
              <w:rPr>
                <w:rFonts w:hint="eastAsia" w:ascii="宋体" w:hAnsi="宋体" w:cs="宋体"/>
                <w:color w:val="000000"/>
                <w:sz w:val="24"/>
                <w:highlight w:val="none"/>
              </w:rPr>
              <w:t xml:space="preserve">领取中标通知书时将代理费支付至常州市城投建设工程招标有限公司账户。</w:t>
            </w:r>
            <w:r>
              <w:rPr>
                <w:rFonts w:hint="eastAsia" w:ascii="宋体" w:hAnsi="宋体" w:cs="宋体"/>
                <w:color w:val="000000"/>
                <w:sz w:val="24"/>
                <w:highlight w:val="none"/>
              </w:rPr>
            </w:r>
            <w:r/>
          </w:p>
          <w:p>
            <w:pPr>
              <w:pStyle w:val="107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7"/>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8"/>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8"/>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8"/>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8"/>
        <w:jc w:val="center"/>
        <w:spacing w:before="240" w:after="240"/>
        <w:rPr>
          <w:rFonts w:hint="eastAsia" w:ascii="宋体" w:hAnsi="宋体" w:cs="宋体"/>
          <w:b/>
          <w:color w:val="000000"/>
          <w:sz w:val="28"/>
          <w:szCs w:val="28"/>
          <w:highlight w:val="none"/>
        </w:rPr>
      </w:pPr>
      <w:r/>
      <w:bookmarkStart w:id="75" w:name="_Toc127151517"/>
      <w:r/>
      <w:bookmarkStart w:id="76" w:name="_Toc226965790"/>
      <w:r/>
      <w:bookmarkStart w:id="77" w:name="_Toc150480755"/>
      <w:r/>
      <w:bookmarkStart w:id="78" w:name="_Toc195842882"/>
      <w:r/>
      <w:bookmarkStart w:id="79" w:name="_Toc264969207"/>
      <w:r/>
      <w:bookmarkStart w:id="80" w:name="_Toc305158785"/>
      <w:r/>
      <w:bookmarkStart w:id="81" w:name="_Toc265228355"/>
      <w:r/>
      <w:bookmarkStart w:id="82" w:name="_Toc150774722"/>
      <w:r/>
      <w:bookmarkStart w:id="83" w:name="_Toc353873662"/>
      <w:r/>
      <w:bookmarkStart w:id="84" w:name="_Toc353825542"/>
      <w:r/>
      <w:bookmarkStart w:id="85" w:name="_Toc142311019"/>
      <w:r/>
      <w:bookmarkStart w:id="86" w:name="_Toc353873932"/>
      <w:r/>
      <w:bookmarkStart w:id="87" w:name="_Toc226337213"/>
      <w:r/>
      <w:bookmarkStart w:id="88" w:name="_Toc305158859"/>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80"/>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265228356"/>
      <w:r/>
      <w:bookmarkStart w:id="92" w:name="_Toc150509269"/>
      <w:r/>
      <w:bookmarkStart w:id="93" w:name="_Toc226337214"/>
      <w:r/>
      <w:bookmarkStart w:id="94" w:name="_Toc151193688"/>
      <w:r/>
      <w:bookmarkStart w:id="95" w:name="_Toc151193906"/>
      <w:r/>
      <w:bookmarkStart w:id="96" w:name="_Toc150480756"/>
      <w:r/>
      <w:bookmarkStart w:id="97" w:name="_Toc305158786"/>
      <w:r/>
      <w:bookmarkStart w:id="98" w:name="_Toc226965791"/>
      <w:r/>
      <w:bookmarkStart w:id="99" w:name="_Toc151190145"/>
      <w:r/>
      <w:bookmarkStart w:id="100" w:name="_Toc150774618"/>
      <w:r/>
      <w:bookmarkStart w:id="101" w:name="_Toc151193616"/>
      <w:r/>
      <w:bookmarkStart w:id="102" w:name="_Toc142311020"/>
      <w:r/>
      <w:bookmarkStart w:id="103" w:name="_Toc226965708"/>
      <w:r/>
      <w:bookmarkStart w:id="104" w:name="_Toc195842883"/>
      <w:r/>
      <w:bookmarkStart w:id="105" w:name="_Toc305158860"/>
      <w:r/>
      <w:bookmarkStart w:id="106" w:name="_Toc226309762"/>
      <w:r/>
      <w:bookmarkStart w:id="107" w:name="_Toc151193832"/>
      <w:r/>
      <w:bookmarkStart w:id="108" w:name="_Toc150774723"/>
      <w:r/>
      <w:bookmarkStart w:id="109" w:name="_Toc264969208"/>
      <w:r/>
      <w:bookmarkStart w:id="110" w:name="_Toc151193760"/>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264969209"/>
      <w:r/>
      <w:bookmarkStart w:id="113" w:name="_Toc265228357"/>
      <w:r/>
      <w:bookmarkStart w:id="114" w:name="_Toc30515886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0774725"/>
      <w:r/>
      <w:bookmarkStart w:id="116" w:name="_Toc305158862"/>
      <w:r/>
      <w:bookmarkStart w:id="117" w:name="_Toc150509271"/>
      <w:r/>
      <w:bookmarkStart w:id="118" w:name="_Toc151193690"/>
      <w:r/>
      <w:bookmarkStart w:id="119" w:name="_Toc226965710"/>
      <w:r/>
      <w:bookmarkStart w:id="120" w:name="_Toc164351614"/>
      <w:r/>
      <w:bookmarkStart w:id="121" w:name="_Toc151193618"/>
      <w:r/>
      <w:bookmarkStart w:id="122" w:name="_Toc150774620"/>
      <w:r/>
      <w:bookmarkStart w:id="123" w:name="_Toc149720813"/>
      <w:r/>
      <w:bookmarkStart w:id="124" w:name="_Toc305158788"/>
      <w:r/>
      <w:bookmarkStart w:id="125" w:name="_Toc151193834"/>
      <w:r/>
      <w:bookmarkStart w:id="126" w:name="_Toc142311022"/>
      <w:r/>
      <w:bookmarkStart w:id="127" w:name="_Toc164608789"/>
      <w:r/>
      <w:bookmarkStart w:id="128" w:name="_Toc265228358"/>
      <w:r/>
      <w:bookmarkStart w:id="129" w:name="_Toc164229361"/>
      <w:r/>
      <w:bookmarkStart w:id="130" w:name="_Toc127161434"/>
      <w:r/>
      <w:bookmarkStart w:id="131" w:name="_Toc226337216"/>
      <w:r/>
      <w:bookmarkStart w:id="132" w:name="_Toc164608634"/>
      <w:r/>
      <w:bookmarkStart w:id="133" w:name="_Toc226309764"/>
      <w:r/>
      <w:bookmarkStart w:id="134" w:name="_Toc195842885"/>
      <w:r/>
      <w:bookmarkStart w:id="135" w:name="_Toc127151520"/>
      <w:r/>
      <w:bookmarkStart w:id="136" w:name="_Toc150480758"/>
      <w:r/>
      <w:bookmarkStart w:id="137" w:name="_Toc264969210"/>
      <w:r/>
      <w:bookmarkStart w:id="138" w:name="_Toc151190147"/>
      <w:r/>
      <w:bookmarkStart w:id="139" w:name="_Toc164229215"/>
      <w:r/>
      <w:bookmarkStart w:id="140" w:name="_Toc151193762"/>
      <w:r/>
      <w:bookmarkStart w:id="141" w:name="_Toc151193908"/>
      <w:r/>
      <w:bookmarkStart w:id="142" w:name="_Toc226965793"/>
      <w:r/>
      <w:bookmarkStart w:id="143" w:name="_Toc127151721"/>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95842887"/>
      <w:r/>
      <w:bookmarkStart w:id="145" w:name="_Toc142311024"/>
      <w:r/>
      <w:bookmarkStart w:id="146" w:name="_Toc151193620"/>
      <w:r/>
      <w:bookmarkStart w:id="147" w:name="_Toc305158790"/>
      <w:r/>
      <w:bookmarkStart w:id="148" w:name="_Toc520356146"/>
      <w:r/>
      <w:bookmarkStart w:id="149" w:name="_Toc151193692"/>
      <w:r/>
      <w:bookmarkStart w:id="150" w:name="_Toc151193836"/>
      <w:r/>
      <w:bookmarkStart w:id="151" w:name="_Toc151193910"/>
      <w:r/>
      <w:bookmarkStart w:id="152" w:name="_Toc150774622"/>
      <w:r/>
      <w:bookmarkStart w:id="153" w:name="_Toc226309766"/>
      <w:r/>
      <w:bookmarkStart w:id="154" w:name="_Toc127151522"/>
      <w:r/>
      <w:bookmarkStart w:id="155" w:name="_Toc150480760"/>
      <w:r/>
      <w:bookmarkStart w:id="156" w:name="_Toc226337218"/>
      <w:r/>
      <w:bookmarkStart w:id="157" w:name="_Toc305158864"/>
      <w:r/>
      <w:bookmarkStart w:id="158" w:name="_Toc151193764"/>
      <w:r/>
      <w:bookmarkStart w:id="159" w:name="_Toc226965712"/>
      <w:r/>
      <w:bookmarkStart w:id="160" w:name="_Toc150774727"/>
      <w:r/>
      <w:bookmarkStart w:id="161" w:name="_Toc265228360"/>
      <w:r/>
      <w:bookmarkStart w:id="162" w:name="_Toc264969212"/>
      <w:r/>
      <w:bookmarkStart w:id="163" w:name="_Toc226965795"/>
      <w:r/>
      <w:bookmarkStart w:id="164" w:name="_Toc150509273"/>
      <w:r/>
      <w:bookmarkStart w:id="165" w:name="_Toc151190149"/>
      <w:r>
        <w:rPr>
          <w:rFonts w:hint="eastAsia" w:ascii="宋体" w:hAnsi="宋体" w:cs="宋体"/>
          <w:color w:val="000000"/>
          <w:sz w:val="28"/>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8"/>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7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7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7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7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73"/>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73"/>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73"/>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73"/>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8"/>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8"/>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73"/>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73"/>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8"/>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8"/>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8"/>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8"/>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8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64351617"/>
      <w:r/>
      <w:bookmarkStart w:id="168" w:name="_Toc164608637"/>
      <w:r/>
      <w:bookmarkStart w:id="169" w:name="_Toc151193693"/>
      <w:r/>
      <w:bookmarkStart w:id="170" w:name="_Toc305158865"/>
      <w:r/>
      <w:bookmarkStart w:id="171" w:name="_Toc150774623"/>
      <w:r/>
      <w:bookmarkStart w:id="172" w:name="_Toc520356147"/>
      <w:r/>
      <w:bookmarkStart w:id="173" w:name="_Toc164608792"/>
      <w:r/>
      <w:bookmarkStart w:id="174" w:name="_Toc226337219"/>
      <w:r/>
      <w:bookmarkStart w:id="175" w:name="_Toc149720816"/>
      <w:r/>
      <w:bookmarkStart w:id="176" w:name="_Toc305158791"/>
      <w:r/>
      <w:bookmarkStart w:id="177" w:name="_Toc264969213"/>
      <w:r/>
      <w:bookmarkStart w:id="178" w:name="_Toc226309767"/>
      <w:r/>
      <w:bookmarkStart w:id="179" w:name="_Toc151193837"/>
      <w:r/>
      <w:bookmarkStart w:id="180" w:name="_Toc127151724"/>
      <w:r/>
      <w:bookmarkStart w:id="181" w:name="_Toc226965713"/>
      <w:r/>
      <w:bookmarkStart w:id="182" w:name="_Toc151190150"/>
      <w:r/>
      <w:bookmarkStart w:id="183" w:name="_Toc164229218"/>
      <w:r/>
      <w:bookmarkStart w:id="184" w:name="_Toc164229364"/>
      <w:r/>
      <w:bookmarkStart w:id="185" w:name="_Toc151193621"/>
      <w:r/>
      <w:bookmarkStart w:id="186" w:name="_Toc142311025"/>
      <w:r/>
      <w:bookmarkStart w:id="187" w:name="_Toc150480761"/>
      <w:r/>
      <w:bookmarkStart w:id="188" w:name="_Toc226965796"/>
      <w:r/>
      <w:bookmarkStart w:id="189" w:name="_Toc195842888"/>
      <w:r/>
      <w:bookmarkStart w:id="190" w:name="_Toc150774728"/>
      <w:r/>
      <w:bookmarkStart w:id="191" w:name="_Toc265228361"/>
      <w:r/>
      <w:bookmarkStart w:id="192" w:name="_Toc127161437"/>
      <w:r/>
      <w:bookmarkStart w:id="193" w:name="_Toc127151523"/>
      <w:r/>
      <w:bookmarkStart w:id="194" w:name="_Toc151193765"/>
      <w:r/>
      <w:bookmarkStart w:id="195" w:name="_Toc150509274"/>
      <w:r/>
      <w:bookmarkStart w:id="196" w:name="_Toc15119391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80"/>
        <w:ind w:firstLine="562"/>
        <w:spacing w:before="0" w:line="360" w:lineRule="auto"/>
        <w:rPr>
          <w:rFonts w:hint="eastAsia" w:ascii="宋体" w:hAnsi="宋体" w:eastAsia="宋体" w:cs="宋体"/>
          <w:color w:val="000000"/>
          <w:sz w:val="28"/>
          <w:highlight w:val="none"/>
        </w:rPr>
      </w:pPr>
      <w:r/>
      <w:bookmarkStart w:id="197" w:name="_Toc150480764"/>
      <w:r/>
      <w:bookmarkStart w:id="198" w:name="_Toc150774731"/>
      <w:r/>
      <w:bookmarkStart w:id="199" w:name="_Toc226309770"/>
      <w:r/>
      <w:bookmarkStart w:id="200" w:name="_Toc151193914"/>
      <w:r/>
      <w:bookmarkStart w:id="201" w:name="_Toc151193624"/>
      <w:r/>
      <w:bookmarkStart w:id="202" w:name="_Toc305158794"/>
      <w:r/>
      <w:bookmarkStart w:id="203" w:name="_Toc151193768"/>
      <w:r/>
      <w:bookmarkStart w:id="204" w:name="_Toc142311028"/>
      <w:r/>
      <w:bookmarkStart w:id="205" w:name="_Toc151193696"/>
      <w:r/>
      <w:bookmarkStart w:id="206" w:name="_Toc265228364"/>
      <w:r/>
      <w:bookmarkStart w:id="207" w:name="_Toc226965716"/>
      <w:r/>
      <w:bookmarkStart w:id="208" w:name="_Toc226965799"/>
      <w:r/>
      <w:bookmarkStart w:id="209" w:name="_Toc195842891"/>
      <w:r/>
      <w:bookmarkStart w:id="210" w:name="_Toc516367020"/>
      <w:r/>
      <w:bookmarkStart w:id="211" w:name="_Toc305158868"/>
      <w:r/>
      <w:bookmarkStart w:id="212" w:name="_Toc264969216"/>
      <w:r/>
      <w:bookmarkStart w:id="213" w:name="_Toc150774626"/>
      <w:r/>
      <w:bookmarkStart w:id="214" w:name="_Toc226337222"/>
      <w:r/>
      <w:bookmarkStart w:id="215" w:name="_Toc127151526"/>
      <w:r/>
      <w:bookmarkStart w:id="216" w:name="_Toc520356150"/>
      <w:r/>
      <w:bookmarkStart w:id="217" w:name="_Toc151193840"/>
      <w:r/>
      <w:bookmarkStart w:id="218" w:name="_Toc150509277"/>
      <w:r/>
      <w:bookmarkStart w:id="219" w:name="_Toc151190153"/>
      <w:r>
        <w:rPr>
          <w:rFonts w:hint="eastAsia" w:ascii="宋体" w:hAnsi="宋体" w:eastAsia="宋体" w:cs="宋体"/>
          <w:color w:val="000000"/>
          <w:sz w:val="28"/>
          <w:highlight w:val="none"/>
        </w:rPr>
      </w:r>
      <w:r/>
    </w:p>
    <w:p>
      <w:pPr>
        <w:pStyle w:val="108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226965717"/>
      <w:r/>
      <w:bookmarkStart w:id="221" w:name="_Toc264969217"/>
      <w:r/>
      <w:bookmarkStart w:id="222" w:name="_Toc305158869"/>
      <w:r/>
      <w:bookmarkStart w:id="223" w:name="_Toc151193915"/>
      <w:r/>
      <w:bookmarkStart w:id="224" w:name="_Toc151193625"/>
      <w:r/>
      <w:bookmarkStart w:id="225" w:name="_Toc226337223"/>
      <w:r/>
      <w:bookmarkStart w:id="226" w:name="_Toc150774627"/>
      <w:r/>
      <w:bookmarkStart w:id="227" w:name="_Toc142311029"/>
      <w:r/>
      <w:bookmarkStart w:id="228" w:name="_Toc150480765"/>
      <w:r/>
      <w:bookmarkStart w:id="229" w:name="_Toc516367021"/>
      <w:r/>
      <w:bookmarkStart w:id="230" w:name="_Toc150509278"/>
      <w:r/>
      <w:bookmarkStart w:id="231" w:name="_Toc151193769"/>
      <w:r/>
      <w:bookmarkStart w:id="232" w:name="_Toc127161441"/>
      <w:r/>
      <w:bookmarkStart w:id="233" w:name="_Toc164608796"/>
      <w:r/>
      <w:bookmarkStart w:id="234" w:name="_Toc151190154"/>
      <w:r/>
      <w:bookmarkStart w:id="235" w:name="_Toc151193697"/>
      <w:r/>
      <w:bookmarkStart w:id="236" w:name="_Toc265228365"/>
      <w:r/>
      <w:bookmarkStart w:id="237" w:name="_Toc520356151"/>
      <w:r/>
      <w:bookmarkStart w:id="238" w:name="_Toc305158795"/>
      <w:r/>
      <w:bookmarkStart w:id="239" w:name="_Toc149720820"/>
      <w:r/>
      <w:bookmarkStart w:id="240" w:name="_Toc226309771"/>
      <w:r/>
      <w:bookmarkStart w:id="241" w:name="_Toc164608641"/>
      <w:r/>
      <w:bookmarkStart w:id="242" w:name="_Toc164351621"/>
      <w:r/>
      <w:bookmarkStart w:id="243" w:name="_Toc164229368"/>
      <w:r/>
      <w:bookmarkStart w:id="244" w:name="_Toc164229222"/>
      <w:r/>
      <w:bookmarkStart w:id="245" w:name="_Toc127151728"/>
      <w:r/>
      <w:bookmarkStart w:id="246" w:name="_Toc127151527"/>
      <w:r/>
      <w:bookmarkStart w:id="247" w:name="_Toc195842892"/>
      <w:r/>
      <w:bookmarkStart w:id="248" w:name="_Toc150774732"/>
      <w:r/>
      <w:bookmarkStart w:id="249" w:name="_Toc151193841"/>
      <w:r/>
      <w:bookmarkStart w:id="250" w:name="_Toc226965800"/>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226965718"/>
      <w:r/>
      <w:bookmarkStart w:id="252" w:name="_Toc164229223"/>
      <w:r/>
      <w:bookmarkStart w:id="253" w:name="_Toc151190155"/>
      <w:r/>
      <w:bookmarkStart w:id="254" w:name="_Toc164351622"/>
      <w:r/>
      <w:bookmarkStart w:id="255" w:name="_Toc127151528"/>
      <w:r/>
      <w:bookmarkStart w:id="256" w:name="_Toc150509279"/>
      <w:r/>
      <w:bookmarkStart w:id="257" w:name="_Toc164608642"/>
      <w:r/>
      <w:bookmarkStart w:id="258" w:name="_Ref467306676"/>
      <w:r/>
      <w:bookmarkStart w:id="259" w:name="_Ref467306195"/>
      <w:r/>
      <w:bookmarkStart w:id="260" w:name="_Toc516367022"/>
      <w:r/>
      <w:bookmarkStart w:id="261" w:name="_Toc151193842"/>
      <w:r/>
      <w:bookmarkStart w:id="262" w:name="_Toc150480766"/>
      <w:r/>
      <w:bookmarkStart w:id="263" w:name="_Toc226309772"/>
      <w:r/>
      <w:bookmarkStart w:id="264" w:name="_Toc151193770"/>
      <w:r/>
      <w:bookmarkStart w:id="265" w:name="_Toc195842893"/>
      <w:r/>
      <w:bookmarkStart w:id="266" w:name="_Toc151193626"/>
      <w:r/>
      <w:bookmarkStart w:id="267" w:name="_Toc150774628"/>
      <w:r/>
      <w:bookmarkStart w:id="268" w:name="_Toc127151729"/>
      <w:r/>
      <w:bookmarkStart w:id="269" w:name="_Toc265228366"/>
      <w:r/>
      <w:bookmarkStart w:id="270" w:name="_Toc151193916"/>
      <w:r/>
      <w:bookmarkStart w:id="271" w:name="_Toc305158796"/>
      <w:r/>
      <w:bookmarkStart w:id="272" w:name="_Toc264969218"/>
      <w:r/>
      <w:bookmarkStart w:id="273" w:name="_Toc164608797"/>
      <w:r/>
      <w:bookmarkStart w:id="274" w:name="_Toc142311030"/>
      <w:r/>
      <w:bookmarkStart w:id="275" w:name="_Toc151193698"/>
      <w:r/>
      <w:bookmarkStart w:id="276" w:name="_Toc164229369"/>
      <w:r/>
      <w:bookmarkStart w:id="277" w:name="_Toc520356152"/>
      <w:r/>
      <w:bookmarkStart w:id="278" w:name="_Toc150774733"/>
      <w:r/>
      <w:bookmarkStart w:id="279" w:name="_Toc226965801"/>
      <w:r/>
      <w:bookmarkStart w:id="280" w:name="_Toc149720821"/>
      <w:r/>
      <w:bookmarkStart w:id="281" w:name="_Toc226337224"/>
      <w:r/>
      <w:bookmarkStart w:id="282" w:name="_Toc305158870"/>
      <w:r/>
      <w:bookmarkStart w:id="283" w:name="_Toc12716144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95842895"/>
      <w:r/>
      <w:bookmarkStart w:id="286" w:name="_Toc151193918"/>
      <w:r/>
      <w:bookmarkStart w:id="287" w:name="_Toc150480768"/>
      <w:r/>
      <w:bookmarkStart w:id="288" w:name="_Toc164608644"/>
      <w:r/>
      <w:bookmarkStart w:id="289" w:name="_Toc164608799"/>
      <w:r/>
      <w:bookmarkStart w:id="290" w:name="_Toc127151530"/>
      <w:r/>
      <w:bookmarkStart w:id="291" w:name="_Toc151193844"/>
      <w:r/>
      <w:bookmarkStart w:id="292" w:name="_Toc142311032"/>
      <w:r/>
      <w:bookmarkStart w:id="293" w:name="_Toc150509281"/>
      <w:r/>
      <w:bookmarkStart w:id="294" w:name="_Toc151193700"/>
      <w:r/>
      <w:bookmarkStart w:id="295" w:name="_Toc520356155"/>
      <w:r/>
      <w:bookmarkStart w:id="296" w:name="_Toc127161444"/>
      <w:r/>
      <w:bookmarkStart w:id="297" w:name="_Toc151193628"/>
      <w:r/>
      <w:bookmarkStart w:id="298" w:name="_Toc164229371"/>
      <w:r/>
      <w:bookmarkStart w:id="299" w:name="_Toc127151731"/>
      <w:r/>
      <w:bookmarkStart w:id="300" w:name="_Toc150774735"/>
      <w:r/>
      <w:bookmarkStart w:id="301" w:name="_Toc150774630"/>
      <w:r/>
      <w:bookmarkStart w:id="302" w:name="_Toc164351624"/>
      <w:r/>
      <w:bookmarkStart w:id="303" w:name="_Toc151193772"/>
      <w:r/>
      <w:bookmarkStart w:id="304" w:name="_Toc151190157"/>
      <w:r/>
      <w:bookmarkStart w:id="305" w:name="_Toc149720823"/>
      <w:r/>
      <w:bookmarkStart w:id="306" w:name="_Toc164229225"/>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27161445"/>
      <w:r/>
      <w:bookmarkStart w:id="308" w:name="_Toc127151531"/>
      <w:r/>
      <w:bookmarkStart w:id="309" w:name="_Toc164229226"/>
      <w:r/>
      <w:bookmarkStart w:id="310" w:name="_Toc150509282"/>
      <w:r/>
      <w:bookmarkStart w:id="311" w:name="_Toc305158873"/>
      <w:r/>
      <w:bookmarkStart w:id="312" w:name="_Toc151193701"/>
      <w:r/>
      <w:bookmarkStart w:id="313" w:name="_Toc164608645"/>
      <w:r/>
      <w:bookmarkStart w:id="314" w:name="_Toc151193773"/>
      <w:r/>
      <w:bookmarkStart w:id="315" w:name="_Toc164229372"/>
      <w:r/>
      <w:bookmarkStart w:id="316" w:name="_Toc150480769"/>
      <w:r/>
      <w:bookmarkStart w:id="317" w:name="_Toc226965721"/>
      <w:r/>
      <w:bookmarkStart w:id="318" w:name="_Toc127151732"/>
      <w:r/>
      <w:bookmarkStart w:id="319" w:name="_Toc265228369"/>
      <w:r/>
      <w:bookmarkStart w:id="320" w:name="_Toc164351625"/>
      <w:r/>
      <w:bookmarkStart w:id="321" w:name="_Toc142311033"/>
      <w:r/>
      <w:bookmarkStart w:id="322" w:name="_Toc195842896"/>
      <w:r/>
      <w:bookmarkStart w:id="323" w:name="_Ref467306513"/>
      <w:r/>
      <w:bookmarkStart w:id="324" w:name="_Toc226965804"/>
      <w:r/>
      <w:bookmarkStart w:id="325" w:name="_Toc305158799"/>
      <w:r/>
      <w:bookmarkStart w:id="326" w:name="_Toc226309775"/>
      <w:r/>
      <w:bookmarkStart w:id="327" w:name="_Toc149720824"/>
      <w:r/>
      <w:bookmarkStart w:id="328" w:name="_Toc151193629"/>
      <w:r/>
      <w:bookmarkStart w:id="329" w:name="_Toc264969221"/>
      <w:r/>
      <w:bookmarkStart w:id="330" w:name="_Toc151193845"/>
      <w:r/>
      <w:bookmarkStart w:id="331" w:name="_Toc151193919"/>
      <w:r/>
      <w:bookmarkStart w:id="332" w:name="_Toc164608800"/>
      <w:r/>
      <w:bookmarkStart w:id="333" w:name="_Toc520356156"/>
      <w:r/>
      <w:bookmarkStart w:id="334" w:name="_Toc226337227"/>
      <w:r/>
      <w:bookmarkStart w:id="335" w:name="_Toc150774631"/>
      <w:r/>
      <w:bookmarkStart w:id="336" w:name="_Toc151190158"/>
      <w:r/>
      <w:bookmarkStart w:id="337" w:name="_Toc150774736"/>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8"/>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1193702"/>
      <w:r/>
      <w:bookmarkStart w:id="339" w:name="_Toc264969222"/>
      <w:r/>
      <w:bookmarkStart w:id="340" w:name="_Toc151193846"/>
      <w:r/>
      <w:bookmarkStart w:id="341" w:name="_Toc226309776"/>
      <w:r/>
      <w:bookmarkStart w:id="342" w:name="_Toc226337228"/>
      <w:r/>
      <w:bookmarkStart w:id="343" w:name="_Toc305158874"/>
      <w:r/>
      <w:bookmarkStart w:id="344" w:name="_Toc164229373"/>
      <w:r/>
      <w:bookmarkStart w:id="345" w:name="_Toc149720825"/>
      <w:r/>
      <w:bookmarkStart w:id="346" w:name="_Toc150480770"/>
      <w:r/>
      <w:bookmarkStart w:id="347" w:name="_Toc150774632"/>
      <w:r/>
      <w:bookmarkStart w:id="348" w:name="_Toc226965805"/>
      <w:r/>
      <w:bookmarkStart w:id="349" w:name="_Toc151193920"/>
      <w:r/>
      <w:bookmarkStart w:id="350" w:name="_Toc127151532"/>
      <w:r/>
      <w:bookmarkStart w:id="351" w:name="_Toc142311034"/>
      <w:r/>
      <w:bookmarkStart w:id="352" w:name="_Toc195842897"/>
      <w:r/>
      <w:bookmarkStart w:id="353" w:name="_Toc305158800"/>
      <w:r/>
      <w:bookmarkStart w:id="354" w:name="_Toc151193774"/>
      <w:r/>
      <w:bookmarkStart w:id="355" w:name="_Toc150774737"/>
      <w:r/>
      <w:bookmarkStart w:id="356" w:name="_Toc150509283"/>
      <w:r/>
      <w:bookmarkStart w:id="357" w:name="_Toc520356157"/>
      <w:r/>
      <w:bookmarkStart w:id="358" w:name="_Toc164351626"/>
      <w:r/>
      <w:bookmarkStart w:id="359" w:name="_Toc164608646"/>
      <w:r/>
      <w:bookmarkStart w:id="360" w:name="_Toc164229227"/>
      <w:r/>
      <w:bookmarkStart w:id="361" w:name="_Toc127161446"/>
      <w:r/>
      <w:bookmarkStart w:id="362" w:name="_Toc127151733"/>
      <w:r/>
      <w:bookmarkStart w:id="363" w:name="_Toc164608801"/>
      <w:r/>
      <w:bookmarkStart w:id="364" w:name="_Toc265228370"/>
      <w:r/>
      <w:bookmarkStart w:id="365" w:name="_Toc151193630"/>
      <w:r/>
      <w:bookmarkStart w:id="366" w:name="_Toc226965722"/>
      <w:r/>
      <w:bookmarkStart w:id="367" w:name="_Toc151190159"/>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1190160"/>
      <w:r/>
      <w:bookmarkStart w:id="369" w:name="_Toc520356158"/>
      <w:r/>
      <w:bookmarkStart w:id="370" w:name="_Toc226337229"/>
      <w:r/>
      <w:bookmarkStart w:id="371" w:name="_Toc164351627"/>
      <w:r/>
      <w:bookmarkStart w:id="372" w:name="_Toc150774633"/>
      <w:r/>
      <w:bookmarkStart w:id="373" w:name="_Toc151193921"/>
      <w:r/>
      <w:bookmarkStart w:id="374" w:name="_Toc127161447"/>
      <w:r/>
      <w:bookmarkStart w:id="375" w:name="_Toc164608802"/>
      <w:r/>
      <w:bookmarkStart w:id="376" w:name="_Toc151193703"/>
      <w:r/>
      <w:bookmarkStart w:id="377" w:name="_Toc264969223"/>
      <w:r/>
      <w:bookmarkStart w:id="378" w:name="_Toc142311035"/>
      <w:r/>
      <w:bookmarkStart w:id="379" w:name="_Toc151193631"/>
      <w:r/>
      <w:bookmarkStart w:id="380" w:name="_Toc164608647"/>
      <w:r/>
      <w:bookmarkStart w:id="381" w:name="_Toc164229374"/>
      <w:r/>
      <w:bookmarkStart w:id="382" w:name="_Toc195842898"/>
      <w:r/>
      <w:bookmarkStart w:id="383" w:name="_Toc226965723"/>
      <w:r/>
      <w:bookmarkStart w:id="384" w:name="_Toc127151734"/>
      <w:r/>
      <w:bookmarkStart w:id="385" w:name="_Toc151193775"/>
      <w:r/>
      <w:bookmarkStart w:id="386" w:name="_Toc226309777"/>
      <w:r/>
      <w:bookmarkStart w:id="387" w:name="_Toc151193847"/>
      <w:r/>
      <w:bookmarkStart w:id="388" w:name="_Toc305158801"/>
      <w:r/>
      <w:bookmarkStart w:id="389" w:name="_Toc149720826"/>
      <w:r/>
      <w:bookmarkStart w:id="390" w:name="_Toc127151533"/>
      <w:r/>
      <w:bookmarkStart w:id="391" w:name="_Toc305158875"/>
      <w:r/>
      <w:bookmarkStart w:id="392" w:name="_Toc164229228"/>
      <w:r/>
      <w:bookmarkStart w:id="393" w:name="_Toc226965806"/>
      <w:r/>
      <w:bookmarkStart w:id="394" w:name="_Toc265228371"/>
      <w:r/>
      <w:bookmarkStart w:id="395" w:name="_Toc150774738"/>
      <w:r/>
      <w:bookmarkStart w:id="396" w:name="_Toc150509284"/>
      <w:r/>
      <w:bookmarkStart w:id="397" w:name="_Toc150480771"/>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0774634"/>
      <w:r/>
      <w:bookmarkStart w:id="399" w:name="_Toc151193704"/>
      <w:r/>
      <w:bookmarkStart w:id="400" w:name="_Toc305158876"/>
      <w:r/>
      <w:bookmarkStart w:id="401" w:name="_Toc226965724"/>
      <w:r/>
      <w:bookmarkStart w:id="402" w:name="_Toc265228372"/>
      <w:r/>
      <w:bookmarkStart w:id="403" w:name="_Toc195842899"/>
      <w:r/>
      <w:bookmarkStart w:id="404" w:name="_Toc151193848"/>
      <w:r/>
      <w:bookmarkStart w:id="405" w:name="_Toc151190161"/>
      <w:r/>
      <w:bookmarkStart w:id="406" w:name="_Toc127151534"/>
      <w:r/>
      <w:bookmarkStart w:id="407" w:name="_Toc142311036"/>
      <w:r/>
      <w:bookmarkStart w:id="408" w:name="_Toc150774739"/>
      <w:r/>
      <w:bookmarkStart w:id="409" w:name="_Toc305158802"/>
      <w:r/>
      <w:bookmarkStart w:id="410" w:name="_Toc151193632"/>
      <w:r/>
      <w:bookmarkStart w:id="411" w:name="_Toc226965807"/>
      <w:r/>
      <w:bookmarkStart w:id="412" w:name="_Toc151193922"/>
      <w:r/>
      <w:bookmarkStart w:id="413" w:name="_Toc226337230"/>
      <w:r/>
      <w:bookmarkStart w:id="414" w:name="_Toc226309778"/>
      <w:r/>
      <w:bookmarkStart w:id="415" w:name="_Toc520356159"/>
      <w:r/>
      <w:bookmarkStart w:id="416" w:name="_Toc150480772"/>
      <w:r/>
      <w:bookmarkStart w:id="417" w:name="_Toc151193776"/>
      <w:r/>
      <w:bookmarkStart w:id="418" w:name="_Toc264969224"/>
      <w:r/>
      <w:bookmarkStart w:id="419" w:name="_Toc150509285"/>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8"/>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8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226309779"/>
      <w:r/>
      <w:bookmarkStart w:id="421" w:name="_Toc127151535"/>
      <w:r/>
      <w:bookmarkStart w:id="422" w:name="_Toc164229376"/>
      <w:r/>
      <w:bookmarkStart w:id="423" w:name="_Toc150480773"/>
      <w:r/>
      <w:bookmarkStart w:id="424" w:name="_Toc226965808"/>
      <w:r/>
      <w:bookmarkStart w:id="425" w:name="_Toc149720828"/>
      <w:r/>
      <w:bookmarkStart w:id="426" w:name="_Toc305158877"/>
      <w:r/>
      <w:bookmarkStart w:id="427" w:name="_Toc195842900"/>
      <w:r/>
      <w:bookmarkStart w:id="428" w:name="_Toc127151736"/>
      <w:r/>
      <w:bookmarkStart w:id="429" w:name="_Toc226337231"/>
      <w:r/>
      <w:bookmarkStart w:id="430" w:name="_Toc226965725"/>
      <w:r/>
      <w:bookmarkStart w:id="431" w:name="_Toc151193849"/>
      <w:r/>
      <w:bookmarkStart w:id="432" w:name="_Toc164608649"/>
      <w:r/>
      <w:bookmarkStart w:id="433" w:name="_Toc150774740"/>
      <w:r/>
      <w:bookmarkStart w:id="434" w:name="_Toc305158803"/>
      <w:r/>
      <w:bookmarkStart w:id="435" w:name="_Toc150774635"/>
      <w:r/>
      <w:bookmarkStart w:id="436" w:name="_Toc151190162"/>
      <w:r/>
      <w:bookmarkStart w:id="437" w:name="_Toc150509286"/>
      <w:r/>
      <w:bookmarkStart w:id="438" w:name="_Toc151193777"/>
      <w:r/>
      <w:bookmarkStart w:id="439" w:name="_Toc164229230"/>
      <w:r/>
      <w:bookmarkStart w:id="440" w:name="_Toc265228373"/>
      <w:r/>
      <w:bookmarkStart w:id="441" w:name="_Toc151193923"/>
      <w:r/>
      <w:bookmarkStart w:id="442" w:name="_Toc151193633"/>
      <w:r/>
      <w:bookmarkStart w:id="443" w:name="_Toc164608804"/>
      <w:r/>
      <w:bookmarkStart w:id="444" w:name="_Toc520356160"/>
      <w:r/>
      <w:bookmarkStart w:id="445" w:name="_Toc151193705"/>
      <w:r/>
      <w:bookmarkStart w:id="446" w:name="_Toc142311037"/>
      <w:r/>
      <w:bookmarkStart w:id="447" w:name="_Toc127161449"/>
      <w:r/>
      <w:bookmarkStart w:id="448" w:name="_Toc164351629"/>
      <w:r/>
      <w:bookmarkStart w:id="449" w:name="_Toc264969225"/>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26337232"/>
      <w:r/>
      <w:bookmarkStart w:id="451" w:name="_Toc164229377"/>
      <w:r/>
      <w:bookmarkStart w:id="452" w:name="_Toc149720829"/>
      <w:r/>
      <w:bookmarkStart w:id="453" w:name="_Toc264969226"/>
      <w:r/>
      <w:bookmarkStart w:id="454" w:name="_Toc151190163"/>
      <w:r/>
      <w:bookmarkStart w:id="455" w:name="_Toc151193778"/>
      <w:r/>
      <w:bookmarkStart w:id="456" w:name="_Toc127161450"/>
      <w:r/>
      <w:bookmarkStart w:id="457" w:name="_Toc151193850"/>
      <w:r/>
      <w:bookmarkStart w:id="458" w:name="_Toc142311038"/>
      <w:r/>
      <w:bookmarkStart w:id="459" w:name="_Toc164351630"/>
      <w:r/>
      <w:bookmarkStart w:id="460" w:name="_Toc164229231"/>
      <w:r/>
      <w:bookmarkStart w:id="461" w:name="_Toc265228374"/>
      <w:r/>
      <w:bookmarkStart w:id="462" w:name="_Toc151193924"/>
      <w:r/>
      <w:bookmarkStart w:id="463" w:name="_Toc305158878"/>
      <w:r/>
      <w:bookmarkStart w:id="464" w:name="_Toc226309780"/>
      <w:r/>
      <w:bookmarkStart w:id="465" w:name="_Toc150480774"/>
      <w:r/>
      <w:bookmarkStart w:id="466" w:name="_Toc520356161"/>
      <w:r/>
      <w:bookmarkStart w:id="467" w:name="_Toc151193706"/>
      <w:r/>
      <w:bookmarkStart w:id="468" w:name="_Toc150774741"/>
      <w:r/>
      <w:bookmarkStart w:id="469" w:name="_Toc226965726"/>
      <w:r/>
      <w:bookmarkStart w:id="470" w:name="_Toc226965809"/>
      <w:r/>
      <w:bookmarkStart w:id="471" w:name="_Toc127151536"/>
      <w:r/>
      <w:bookmarkStart w:id="472" w:name="_Toc164608805"/>
      <w:r/>
      <w:bookmarkStart w:id="473" w:name="_Toc150774636"/>
      <w:r/>
      <w:bookmarkStart w:id="474" w:name="_Toc150509287"/>
      <w:r/>
      <w:bookmarkStart w:id="475" w:name="_Toc151193634"/>
      <w:r/>
      <w:bookmarkStart w:id="476" w:name="_Toc195842901"/>
      <w:r/>
      <w:bookmarkStart w:id="477" w:name="_Toc305158804"/>
      <w:r/>
      <w:bookmarkStart w:id="478" w:name="_Toc127151737"/>
      <w:r/>
      <w:bookmarkStart w:id="479" w:name="_Toc164608650"/>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64608806"/>
      <w:r/>
      <w:bookmarkStart w:id="481" w:name="_Toc151190164"/>
      <w:r/>
      <w:bookmarkStart w:id="482" w:name="_Toc226309781"/>
      <w:r/>
      <w:bookmarkStart w:id="483" w:name="_Toc164608651"/>
      <w:r/>
      <w:bookmarkStart w:id="484" w:name="_Toc164351631"/>
      <w:r/>
      <w:bookmarkStart w:id="485" w:name="_Toc164229232"/>
      <w:r/>
      <w:bookmarkStart w:id="486" w:name="_Toc149720830"/>
      <w:r/>
      <w:bookmarkStart w:id="487" w:name="_Toc142311039"/>
      <w:r/>
      <w:bookmarkStart w:id="488" w:name="_Toc127151537"/>
      <w:r/>
      <w:bookmarkStart w:id="489" w:name="_Toc151193779"/>
      <w:r/>
      <w:bookmarkStart w:id="490" w:name="_Toc305158805"/>
      <w:r/>
      <w:bookmarkStart w:id="491" w:name="_Toc265228375"/>
      <w:r/>
      <w:bookmarkStart w:id="492" w:name="_Toc226337233"/>
      <w:r/>
      <w:bookmarkStart w:id="493" w:name="_Toc127161451"/>
      <w:r/>
      <w:bookmarkStart w:id="494" w:name="_Toc226965810"/>
      <w:r/>
      <w:bookmarkStart w:id="495" w:name="_Toc150774742"/>
      <w:r/>
      <w:bookmarkStart w:id="496" w:name="_Toc226965727"/>
      <w:r/>
      <w:bookmarkStart w:id="497" w:name="_Toc150480775"/>
      <w:r/>
      <w:bookmarkStart w:id="498" w:name="_Toc151193707"/>
      <w:r/>
      <w:bookmarkStart w:id="499" w:name="_Toc150774637"/>
      <w:r/>
      <w:bookmarkStart w:id="500" w:name="_Toc151193851"/>
      <w:r/>
      <w:bookmarkStart w:id="501" w:name="_Toc150509288"/>
      <w:r/>
      <w:bookmarkStart w:id="502" w:name="_Toc127151738"/>
      <w:r/>
      <w:bookmarkStart w:id="503" w:name="_Toc164229378"/>
      <w:r/>
      <w:bookmarkStart w:id="504" w:name="_Toc520356162"/>
      <w:r/>
      <w:bookmarkStart w:id="505" w:name="_Toc195842902"/>
      <w:r/>
      <w:bookmarkStart w:id="506" w:name="_Toc305158879"/>
      <w:r/>
      <w:bookmarkStart w:id="507" w:name="_Toc151193635"/>
      <w:r/>
      <w:bookmarkStart w:id="508" w:name="_Toc151193925"/>
      <w:r/>
      <w:bookmarkStart w:id="509" w:name="_Toc264969227"/>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ind w:firstLine="562"/>
        <w:spacing w:before="0" w:line="360" w:lineRule="auto"/>
        <w:rPr>
          <w:rFonts w:hint="eastAsia" w:ascii="宋体" w:hAnsi="宋体" w:eastAsia="宋体" w:cs="宋体"/>
          <w:color w:val="000000"/>
          <w:sz w:val="28"/>
          <w:highlight w:val="none"/>
        </w:rPr>
      </w:pPr>
      <w:r/>
      <w:bookmarkStart w:id="510" w:name="_Toc151193852"/>
      <w:r/>
      <w:bookmarkStart w:id="511" w:name="_Toc151193780"/>
      <w:r/>
      <w:bookmarkStart w:id="512" w:name="_Toc226337234"/>
      <w:r/>
      <w:bookmarkStart w:id="513" w:name="_Toc195842903"/>
      <w:r/>
      <w:bookmarkStart w:id="514" w:name="_Toc150774638"/>
      <w:r/>
      <w:bookmarkStart w:id="515" w:name="_Toc150774743"/>
      <w:r/>
      <w:bookmarkStart w:id="516" w:name="_Toc142311040"/>
      <w:r/>
      <w:bookmarkStart w:id="517" w:name="_Toc150509289"/>
      <w:r/>
      <w:bookmarkStart w:id="518" w:name="_Toc151193926"/>
      <w:r/>
      <w:bookmarkStart w:id="519" w:name="_Toc305158806"/>
      <w:r/>
      <w:bookmarkStart w:id="520" w:name="_Toc151193636"/>
      <w:r/>
      <w:bookmarkStart w:id="521" w:name="_Toc226965728"/>
      <w:r/>
      <w:bookmarkStart w:id="522" w:name="_Toc226965811"/>
      <w:r/>
      <w:bookmarkStart w:id="523" w:name="_Toc305158880"/>
      <w:r/>
      <w:bookmarkStart w:id="524" w:name="_Toc264969228"/>
      <w:r/>
      <w:bookmarkStart w:id="525" w:name="_Toc151193708"/>
      <w:r/>
      <w:bookmarkStart w:id="526" w:name="_Toc265228376"/>
      <w:r/>
      <w:bookmarkStart w:id="527" w:name="_Toc520356163"/>
      <w:r/>
      <w:bookmarkStart w:id="528" w:name="_Toc150480776"/>
      <w:r/>
      <w:bookmarkStart w:id="529" w:name="_Toc127151538"/>
      <w:r/>
      <w:bookmarkStart w:id="530" w:name="_Toc226309782"/>
      <w:r/>
      <w:bookmarkStart w:id="531" w:name="_Toc151190165"/>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1193853"/>
      <w:r/>
      <w:bookmarkStart w:id="533" w:name="_Toc151193927"/>
      <w:r/>
      <w:bookmarkStart w:id="534" w:name="_Toc195842904"/>
      <w:r/>
      <w:bookmarkStart w:id="535" w:name="_Toc151193709"/>
      <w:r/>
      <w:bookmarkStart w:id="536" w:name="_Toc265228377"/>
      <w:r/>
      <w:bookmarkStart w:id="537" w:name="_Toc164608653"/>
      <w:r/>
      <w:bookmarkStart w:id="538" w:name="_Toc305158881"/>
      <w:r/>
      <w:bookmarkStart w:id="539" w:name="_Toc127151740"/>
      <w:r/>
      <w:bookmarkStart w:id="540" w:name="_Toc226965729"/>
      <w:r/>
      <w:bookmarkStart w:id="541" w:name="_Toc151193637"/>
      <w:r/>
      <w:bookmarkStart w:id="542" w:name="_Toc164229234"/>
      <w:r/>
      <w:bookmarkStart w:id="543" w:name="_Toc149720832"/>
      <w:r/>
      <w:bookmarkStart w:id="544" w:name="_Toc305158807"/>
      <w:r/>
      <w:bookmarkStart w:id="545" w:name="_Toc164351633"/>
      <w:r/>
      <w:bookmarkStart w:id="546" w:name="_Toc127161453"/>
      <w:r/>
      <w:bookmarkStart w:id="547" w:name="_Toc520356164"/>
      <w:r/>
      <w:bookmarkStart w:id="548" w:name="_Toc226337235"/>
      <w:r/>
      <w:bookmarkStart w:id="549" w:name="_Toc127151539"/>
      <w:r/>
      <w:bookmarkStart w:id="550" w:name="_Toc151190166"/>
      <w:r/>
      <w:bookmarkStart w:id="551" w:name="_Toc264969229"/>
      <w:r/>
      <w:bookmarkStart w:id="552" w:name="_Toc151193781"/>
      <w:r/>
      <w:bookmarkStart w:id="553" w:name="_Toc150774639"/>
      <w:r/>
      <w:bookmarkStart w:id="554" w:name="_Toc226309783"/>
      <w:r/>
      <w:bookmarkStart w:id="555" w:name="_Toc150480777"/>
      <w:r/>
      <w:bookmarkStart w:id="556" w:name="_Toc150509290"/>
      <w:r/>
      <w:bookmarkStart w:id="557" w:name="_Toc226965812"/>
      <w:r/>
      <w:bookmarkStart w:id="558" w:name="_Toc164608808"/>
      <w:r/>
      <w:bookmarkStart w:id="559" w:name="_Toc164229380"/>
      <w:r/>
      <w:bookmarkStart w:id="560" w:name="_Toc142311041"/>
      <w:r/>
      <w:bookmarkStart w:id="561" w:name="_Toc150774744"/>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8"/>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8"/>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49720833"/>
      <w:r/>
      <w:bookmarkStart w:id="564" w:name="_Toc195842905"/>
      <w:r/>
      <w:bookmarkStart w:id="565" w:name="_Toc226965730"/>
      <w:r/>
      <w:bookmarkStart w:id="566" w:name="_Toc142311042"/>
      <w:r/>
      <w:bookmarkStart w:id="567" w:name="_Toc127161454"/>
      <w:r/>
      <w:bookmarkStart w:id="568" w:name="_Toc150774640"/>
      <w:r/>
      <w:bookmarkStart w:id="569" w:name="_Toc150480778"/>
      <w:r/>
      <w:bookmarkStart w:id="570" w:name="_Toc151193854"/>
      <w:r/>
      <w:bookmarkStart w:id="571" w:name="_Toc127151540"/>
      <w:r/>
      <w:bookmarkStart w:id="572" w:name="_Toc226337236"/>
      <w:r/>
      <w:bookmarkStart w:id="573" w:name="_Toc265228378"/>
      <w:r/>
      <w:bookmarkStart w:id="574" w:name="_Toc164229381"/>
      <w:r/>
      <w:bookmarkStart w:id="575" w:name="_Toc151193638"/>
      <w:r/>
      <w:bookmarkStart w:id="576" w:name="_Toc150509291"/>
      <w:r/>
      <w:bookmarkStart w:id="577" w:name="_Toc305158808"/>
      <w:r/>
      <w:bookmarkStart w:id="578" w:name="_Toc164229235"/>
      <w:r/>
      <w:bookmarkStart w:id="579" w:name="_Toc305158882"/>
      <w:r/>
      <w:bookmarkStart w:id="580" w:name="_Toc151193928"/>
      <w:r/>
      <w:bookmarkStart w:id="581" w:name="_Toc164351634"/>
      <w:r/>
      <w:bookmarkStart w:id="582" w:name="_Toc164608654"/>
      <w:r/>
      <w:bookmarkStart w:id="583" w:name="_Toc151193710"/>
      <w:r/>
      <w:bookmarkStart w:id="584" w:name="_Toc164608809"/>
      <w:r/>
      <w:bookmarkStart w:id="585" w:name="_Toc226309784"/>
      <w:r/>
      <w:bookmarkStart w:id="586" w:name="_Toc127151741"/>
      <w:r/>
      <w:bookmarkStart w:id="587" w:name="_Toc264969230"/>
      <w:r/>
      <w:bookmarkStart w:id="588" w:name="_Toc226965813"/>
      <w:r/>
      <w:bookmarkStart w:id="589" w:name="_Toc151190167"/>
      <w:r/>
      <w:bookmarkStart w:id="590" w:name="_Toc151193782"/>
      <w:r/>
      <w:bookmarkStart w:id="591" w:name="_Toc150774745"/>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8"/>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0"/>
        <w:ind w:firstLine="562"/>
        <w:spacing w:before="0" w:line="360" w:lineRule="auto"/>
        <w:rPr>
          <w:rFonts w:hint="eastAsia" w:ascii="宋体" w:hAnsi="宋体" w:eastAsia="宋体" w:cs="宋体"/>
          <w:color w:val="000000"/>
          <w:sz w:val="28"/>
          <w:highlight w:val="none"/>
        </w:rPr>
      </w:pPr>
      <w:r/>
      <w:bookmarkStart w:id="594" w:name="_Toc127151545"/>
      <w:r/>
      <w:bookmarkStart w:id="595" w:name="_Toc305158813"/>
      <w:r/>
      <w:bookmarkStart w:id="596" w:name="_Toc142311047"/>
      <w:r/>
      <w:bookmarkStart w:id="597" w:name="_Toc150480783"/>
      <w:r/>
      <w:bookmarkStart w:id="598" w:name="_Toc151193787"/>
      <w:r/>
      <w:bookmarkStart w:id="599" w:name="_Toc226309789"/>
      <w:r/>
      <w:bookmarkStart w:id="600" w:name="_Toc151193643"/>
      <w:r/>
      <w:bookmarkStart w:id="601" w:name="_Toc151190172"/>
      <w:r/>
      <w:bookmarkStart w:id="602" w:name="_Toc151193933"/>
      <w:r/>
      <w:bookmarkStart w:id="603" w:name="_Toc264969235"/>
      <w:r/>
      <w:bookmarkStart w:id="604" w:name="_Toc265228383"/>
      <w:r/>
      <w:bookmarkStart w:id="605" w:name="_Toc150774750"/>
      <w:r/>
      <w:bookmarkStart w:id="606" w:name="_Toc226965735"/>
      <w:r/>
      <w:bookmarkStart w:id="607" w:name="_Toc151193715"/>
      <w:r/>
      <w:bookmarkStart w:id="608" w:name="_Toc226965818"/>
      <w:r/>
      <w:bookmarkStart w:id="609" w:name="_Toc151193859"/>
      <w:r/>
      <w:bookmarkStart w:id="610" w:name="_Toc305158887"/>
      <w:r/>
      <w:bookmarkStart w:id="611" w:name="_Toc150774645"/>
      <w:r/>
      <w:bookmarkStart w:id="612" w:name="_Toc195842910"/>
      <w:r/>
      <w:bookmarkStart w:id="613" w:name="_Toc150509296"/>
      <w:r/>
      <w:bookmarkStart w:id="614" w:name="_Toc226337241"/>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164229242"/>
      <w:r/>
      <w:bookmarkStart w:id="617" w:name="_Toc151193935"/>
      <w:r/>
      <w:bookmarkStart w:id="618" w:name="_Toc226965737"/>
      <w:r/>
      <w:bookmarkStart w:id="619" w:name="_Toc151193645"/>
      <w:r/>
      <w:bookmarkStart w:id="620" w:name="_Toc226337243"/>
      <w:r/>
      <w:bookmarkStart w:id="621" w:name="_Toc127161461"/>
      <w:r/>
      <w:bookmarkStart w:id="622" w:name="_Toc150774752"/>
      <w:r/>
      <w:bookmarkStart w:id="623" w:name="_Toc164608661"/>
      <w:r/>
      <w:bookmarkStart w:id="624" w:name="_Toc195842912"/>
      <w:r/>
      <w:bookmarkStart w:id="625" w:name="_Toc265228385"/>
      <w:r/>
      <w:bookmarkStart w:id="626" w:name="_Toc151193861"/>
      <w:r/>
      <w:bookmarkStart w:id="627" w:name="_Toc151193717"/>
      <w:r/>
      <w:bookmarkStart w:id="628" w:name="_Toc127151547"/>
      <w:r/>
      <w:bookmarkStart w:id="629" w:name="_Toc164229388"/>
      <w:r/>
      <w:bookmarkStart w:id="630" w:name="_Toc264969237"/>
      <w:r/>
      <w:bookmarkStart w:id="631" w:name="_Toc150480785"/>
      <w:r/>
      <w:bookmarkStart w:id="632" w:name="_Toc164608816"/>
      <w:r/>
      <w:bookmarkStart w:id="633" w:name="_Toc305158815"/>
      <w:r/>
      <w:bookmarkStart w:id="634" w:name="_Toc226965820"/>
      <w:r/>
      <w:bookmarkStart w:id="635" w:name="_Toc226309791"/>
      <w:r/>
      <w:bookmarkStart w:id="636" w:name="_Toc151190174"/>
      <w:r/>
      <w:bookmarkStart w:id="637" w:name="_Toc151193789"/>
      <w:r/>
      <w:bookmarkStart w:id="638" w:name="_Toc164351641"/>
      <w:r/>
      <w:bookmarkStart w:id="639" w:name="_Toc150774647"/>
      <w:r/>
      <w:bookmarkStart w:id="640" w:name="_Toc142311049"/>
      <w:r/>
      <w:bookmarkStart w:id="641" w:name="_Toc150509298"/>
      <w:r/>
      <w:bookmarkStart w:id="642" w:name="_Toc149720840"/>
      <w:r/>
      <w:bookmarkStart w:id="643" w:name="_Toc127151748"/>
      <w:r>
        <w:rPr>
          <w:rFonts w:hint="eastAsia" w:ascii="宋体" w:hAnsi="宋体" w:eastAsia="宋体" w:cs="宋体"/>
          <w:color w:val="000000"/>
          <w:sz w:val="28"/>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1193863"/>
      <w:r/>
      <w:bookmarkStart w:id="645" w:name="_Toc265228387"/>
      <w:r/>
      <w:bookmarkStart w:id="646" w:name="_Toc164608818"/>
      <w:r/>
      <w:bookmarkStart w:id="647" w:name="_Toc305158817"/>
      <w:r/>
      <w:bookmarkStart w:id="648" w:name="_Toc151190176"/>
      <w:r/>
      <w:bookmarkStart w:id="649" w:name="_Toc264969239"/>
      <w:r/>
      <w:bookmarkStart w:id="650" w:name="_Toc226965739"/>
      <w:r/>
      <w:bookmarkStart w:id="651" w:name="_Toc142311051"/>
      <w:r/>
      <w:bookmarkStart w:id="652" w:name="_Toc520356176"/>
      <w:r/>
      <w:bookmarkStart w:id="653" w:name="_Ref467306425"/>
      <w:r/>
      <w:bookmarkStart w:id="654" w:name="_Ref467307090"/>
      <w:r/>
      <w:bookmarkStart w:id="655" w:name="_Toc164351643"/>
      <w:r/>
      <w:bookmarkStart w:id="656" w:name="_Toc164608663"/>
      <w:r/>
      <w:bookmarkStart w:id="657" w:name="_Toc151193791"/>
      <w:r/>
      <w:bookmarkStart w:id="658" w:name="_Toc150774649"/>
      <w:r/>
      <w:bookmarkStart w:id="659" w:name="_Toc195842914"/>
      <w:r/>
      <w:bookmarkStart w:id="660" w:name="_Toc127151549"/>
      <w:r/>
      <w:bookmarkStart w:id="661" w:name="_Toc305158891"/>
      <w:r/>
      <w:bookmarkStart w:id="662" w:name="_Toc164229244"/>
      <w:r/>
      <w:bookmarkStart w:id="663" w:name="_Toc226965822"/>
      <w:r/>
      <w:bookmarkStart w:id="664" w:name="_Toc127161463"/>
      <w:r/>
      <w:bookmarkStart w:id="665" w:name="_Toc151193647"/>
      <w:r/>
      <w:bookmarkStart w:id="666" w:name="_Toc149720842"/>
      <w:r/>
      <w:bookmarkStart w:id="667" w:name="_Toc151193719"/>
      <w:r/>
      <w:bookmarkStart w:id="668" w:name="_Toc150480787"/>
      <w:r/>
      <w:bookmarkStart w:id="669" w:name="_Toc151193937"/>
      <w:r/>
      <w:bookmarkStart w:id="670" w:name="_Toc164229390"/>
      <w:r/>
      <w:bookmarkStart w:id="671" w:name="_Toc127151750"/>
      <w:r/>
      <w:bookmarkStart w:id="672" w:name="_Toc226309793"/>
      <w:r/>
      <w:bookmarkStart w:id="673" w:name="_Toc150509300"/>
      <w:r/>
      <w:bookmarkStart w:id="674" w:name="_Toc150774754"/>
      <w:r/>
      <w:bookmarkStart w:id="675" w:name="_Toc226337245"/>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8"/>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49720843"/>
      <w:r/>
      <w:bookmarkStart w:id="677" w:name="_Toc164229391"/>
      <w:r/>
      <w:bookmarkStart w:id="678" w:name="_Ref467306978"/>
      <w:r/>
      <w:bookmarkStart w:id="679" w:name="_Toc164608664"/>
      <w:r/>
      <w:bookmarkStart w:id="680" w:name="_Toc142311052"/>
      <w:r/>
      <w:bookmarkStart w:id="681" w:name="_Toc150509301"/>
      <w:r/>
      <w:bookmarkStart w:id="682" w:name="_Toc127151751"/>
      <w:r/>
      <w:bookmarkStart w:id="683" w:name="_Toc127161464"/>
      <w:r/>
      <w:bookmarkStart w:id="684" w:name="_Toc151193938"/>
      <w:r/>
      <w:bookmarkStart w:id="685" w:name="_Toc127151550"/>
      <w:r/>
      <w:bookmarkStart w:id="686" w:name="_Ref467307062"/>
      <w:r/>
      <w:bookmarkStart w:id="687" w:name="_Toc151190177"/>
      <w:r/>
      <w:bookmarkStart w:id="688" w:name="_Toc151193648"/>
      <w:r/>
      <w:bookmarkStart w:id="689" w:name="_Toc195842915"/>
      <w:r/>
      <w:bookmarkStart w:id="690" w:name="_Toc305158818"/>
      <w:r/>
      <w:bookmarkStart w:id="691" w:name="_Toc150774755"/>
      <w:r/>
      <w:bookmarkStart w:id="692" w:name="_Toc150774650"/>
      <w:r/>
      <w:bookmarkStart w:id="693" w:name="_Toc520356175"/>
      <w:r/>
      <w:bookmarkStart w:id="694" w:name="_Toc305158892"/>
      <w:r/>
      <w:bookmarkStart w:id="695" w:name="_Toc264969240"/>
      <w:r/>
      <w:bookmarkStart w:id="696" w:name="_Toc151193864"/>
      <w:r/>
      <w:bookmarkStart w:id="697" w:name="_Ref467306377"/>
      <w:r/>
      <w:bookmarkStart w:id="698" w:name="_Toc226337246"/>
      <w:r/>
      <w:bookmarkStart w:id="699" w:name="_Toc226965823"/>
      <w:r/>
      <w:bookmarkStart w:id="700" w:name="_Toc164229245"/>
      <w:r/>
      <w:bookmarkStart w:id="701" w:name="_Toc164351644"/>
      <w:r/>
      <w:bookmarkStart w:id="702" w:name="_Toc151193792"/>
      <w:r/>
      <w:bookmarkStart w:id="703" w:name="_Toc265228388"/>
      <w:r/>
      <w:bookmarkStart w:id="704" w:name="_Toc151193720"/>
      <w:r/>
      <w:bookmarkStart w:id="705" w:name="_Toc164608819"/>
      <w:r/>
      <w:bookmarkStart w:id="706" w:name="_Toc226309794"/>
      <w:r/>
      <w:bookmarkStart w:id="707" w:name="_Toc150480788"/>
      <w:r/>
      <w:bookmarkStart w:id="708" w:name="_Toc226965740"/>
      <w:r/>
      <w:bookmarkStart w:id="709" w:name="_Ref467307204"/>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8"/>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53"/>
          <w:rFonts w:hint="eastAsia" w:ascii="宋体" w:hAnsi="宋体" w:cs="宋体"/>
          <w:color w:val="000000"/>
          <w:highlight w:val="none"/>
        </w:rPr>
        <w:t xml:space="preserve">http://gk</w:t>
      </w:r>
      <w:bookmarkStart w:id="710" w:name="_Hlt100654014"/>
      <w:r>
        <w:rPr>
          <w:rStyle w:val="1153"/>
          <w:rFonts w:hint="eastAsia" w:ascii="宋体" w:hAnsi="宋体" w:cs="宋体"/>
          <w:color w:val="000000"/>
          <w:highlight w:val="none"/>
        </w:rPr>
        <w:t xml:space="preserve">s</w:t>
      </w:r>
      <w:bookmarkEnd w:id="710"/>
      <w:r>
        <w:rPr>
          <w:rStyle w:val="1153"/>
          <w:rFonts w:hint="eastAsia" w:ascii="宋体" w:hAnsi="宋体" w:cs="宋体"/>
          <w:color w:val="000000"/>
          <w:highlight w:val="none"/>
        </w:rPr>
        <w:t xml:space="preserve">.m</w:t>
      </w:r>
      <w:bookmarkStart w:id="711" w:name="_Hlt100653993"/>
      <w:r/>
      <w:bookmarkStart w:id="712" w:name="_Hlt100653994"/>
      <w:r>
        <w:rPr>
          <w:rStyle w:val="1153"/>
          <w:rFonts w:hint="eastAsia" w:ascii="宋体" w:hAnsi="宋体" w:cs="宋体"/>
          <w:color w:val="000000"/>
          <w:highlight w:val="none"/>
        </w:rPr>
        <w:t xml:space="preserve">o</w:t>
      </w:r>
      <w:bookmarkEnd w:id="711"/>
      <w:r/>
      <w:bookmarkEnd w:id="712"/>
      <w:r>
        <w:rPr>
          <w:rStyle w:val="1153"/>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8"/>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8"/>
        <w:jc w:val="center"/>
        <w:spacing w:line="360" w:lineRule="auto"/>
        <w:rPr>
          <w:rFonts w:hint="eastAsia" w:ascii="宋体" w:hAnsi="宋体" w:cs="宋体"/>
          <w:b/>
          <w:color w:val="000000"/>
          <w:sz w:val="36"/>
          <w:szCs w:val="36"/>
          <w:highlight w:val="none"/>
        </w:rPr>
        <w:outlineLvl w:val="0"/>
      </w:pPr>
      <w:r/>
      <w:bookmarkStart w:id="713" w:name="_Toc353873934"/>
      <w:r/>
      <w:bookmarkStart w:id="714" w:name="_Toc265228392"/>
      <w:r/>
      <w:bookmarkStart w:id="715" w:name="_Toc353873664"/>
      <w:r/>
      <w:bookmarkStart w:id="716" w:name="_Toc226337250"/>
      <w:r/>
      <w:bookmarkStart w:id="717" w:name="_Toc150774759"/>
      <w:r/>
      <w:bookmarkStart w:id="718" w:name="_Toc142311056"/>
      <w:r/>
      <w:bookmarkStart w:id="719" w:name="_Toc226965827"/>
      <w:r/>
      <w:bookmarkStart w:id="720" w:name="_Toc264969244"/>
      <w:r/>
      <w:bookmarkStart w:id="721" w:name="_Toc353825544"/>
      <w:r/>
      <w:bookmarkStart w:id="722" w:name="_Toc150480792"/>
      <w:r/>
      <w:bookmarkStart w:id="723" w:name="_Toc305158896"/>
      <w:r/>
      <w:bookmarkStart w:id="724" w:name="_Toc127151554"/>
      <w:r/>
      <w:bookmarkStart w:id="725" w:name="_Toc30515882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8"/>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8"/>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8"/>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2595"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 w:val="24"/>
                <w:highlight w:val="none"/>
              </w:rPr>
            </w:r>
            <w:r/>
          </w:p>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 w:val="24"/>
                <w:highlight w:val="none"/>
              </w:rPr>
            </w:r>
            <w:r/>
          </w:p>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 w:val="24"/>
                <w:highlight w:val="none"/>
              </w:rPr>
            </w:r>
            <w:r/>
          </w:p>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注2：残疾人福利性单位须按招标文件要求提供《残疾人福利性单位声明函》。</w:t>
            </w:r>
            <w:r>
              <w:rPr>
                <w:rFonts w:hint="eastAsia" w:ascii="宋体" w:hAnsi="宋体" w:cs="宋体"/>
                <w:color w:val="000000"/>
                <w:sz w:val="24"/>
                <w:highlight w:val="none"/>
              </w:rPr>
            </w:r>
            <w:r/>
          </w:p>
        </w:tc>
        <w:tc>
          <w:tcPr>
            <w:tcW w:w="881"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8"/>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127161490"/>
      <w:r/>
      <w:bookmarkStart w:id="732" w:name="_Toc353825550"/>
      <w:r/>
      <w:bookmarkStart w:id="733" w:name="_Toc353873940"/>
      <w:r/>
      <w:bookmarkStart w:id="734"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8"/>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8"/>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8"/>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27151742"/>
      <w:r/>
      <w:bookmarkStart w:id="738" w:name="_Toc150774641"/>
      <w:r/>
      <w:bookmarkStart w:id="739" w:name="_Toc264969231"/>
      <w:r/>
      <w:bookmarkStart w:id="740" w:name="_Toc151193711"/>
      <w:r/>
      <w:bookmarkStart w:id="741" w:name="_Toc164229236"/>
      <w:r/>
      <w:bookmarkStart w:id="742" w:name="_Toc164608810"/>
      <w:r/>
      <w:bookmarkStart w:id="743" w:name="_Toc149720834"/>
      <w:r/>
      <w:bookmarkStart w:id="744" w:name="_Toc226965814"/>
      <w:r/>
      <w:bookmarkStart w:id="745" w:name="_Toc151190168"/>
      <w:r/>
      <w:bookmarkStart w:id="746" w:name="_Toc305158883"/>
      <w:r/>
      <w:bookmarkStart w:id="747" w:name="_Toc305158809"/>
      <w:r/>
      <w:bookmarkStart w:id="748" w:name="_Toc164229382"/>
      <w:r/>
      <w:bookmarkStart w:id="749" w:name="_Toc164608655"/>
      <w:r/>
      <w:bookmarkStart w:id="750" w:name="_Toc226337237"/>
      <w:r/>
      <w:bookmarkStart w:id="751" w:name="_Toc226965731"/>
      <w:r/>
      <w:bookmarkStart w:id="752" w:name="_Toc151193639"/>
      <w:r/>
      <w:bookmarkStart w:id="753" w:name="_Toc127161455"/>
      <w:r/>
      <w:bookmarkStart w:id="754" w:name="_Toc151193855"/>
      <w:r/>
      <w:bookmarkStart w:id="755" w:name="_Toc150509292"/>
      <w:r/>
      <w:bookmarkStart w:id="756" w:name="_Toc265228379"/>
      <w:r/>
      <w:bookmarkStart w:id="757" w:name="_Toc142311043"/>
      <w:r/>
      <w:bookmarkStart w:id="758" w:name="_Toc127151541"/>
      <w:r/>
      <w:bookmarkStart w:id="759" w:name="_Toc151193783"/>
      <w:r/>
      <w:bookmarkStart w:id="760" w:name="_Toc150774746"/>
      <w:r/>
      <w:bookmarkStart w:id="761" w:name="_Toc150480779"/>
      <w:r/>
      <w:bookmarkStart w:id="762" w:name="_Toc226309785"/>
      <w:r/>
      <w:bookmarkStart w:id="763" w:name="_Toc151193929"/>
      <w:r/>
      <w:bookmarkStart w:id="764" w:name="_Toc195842906"/>
      <w:r/>
      <w:bookmarkStart w:id="765" w:name="_Toc164351635"/>
      <w:r/>
      <w:bookmarkStart w:id="766" w:name="_Toc353825551"/>
      <w:r/>
      <w:bookmarkStart w:id="767" w:name="_Toc353873941"/>
      <w:r/>
      <w:bookmarkStart w:id="768" w:name="_Toc127151555"/>
      <w:r/>
      <w:bookmarkStart w:id="769" w:name="_Toc264969245"/>
      <w:r/>
      <w:bookmarkStart w:id="770" w:name="_Toc150480793"/>
      <w:r/>
      <w:bookmarkStart w:id="771" w:name="_Toc353873935"/>
      <w:r/>
      <w:bookmarkStart w:id="772" w:name="_Toc226965828"/>
      <w:r/>
      <w:bookmarkStart w:id="773" w:name="_Toc150774760"/>
      <w:r/>
      <w:bookmarkStart w:id="774" w:name="_Toc353873665"/>
      <w:r/>
      <w:bookmarkStart w:id="775" w:name="_Toc265228393"/>
      <w:r/>
      <w:bookmarkStart w:id="776" w:name="_Toc353825545"/>
      <w:r/>
      <w:bookmarkStart w:id="777" w:name="_Toc226337251"/>
      <w:r/>
      <w:bookmarkStart w:id="778" w:name="_Toc305158897"/>
      <w:r/>
      <w:bookmarkStart w:id="779" w:name="_Toc142311057"/>
      <w:r/>
      <w:bookmarkStart w:id="780" w:name="_Toc305158823"/>
      <w:r/>
      <w:bookmarkStart w:id="781" w:name="_Toc195842920"/>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8"/>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8"/>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8"/>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w:t>
      </w:r>
      <w:r>
        <w:rPr>
          <w:rFonts w:hint="eastAsia" w:ascii="宋体" w:hAnsi="宋体" w:cs="宋体"/>
          <w:color w:val="000000"/>
          <w:sz w:val="24"/>
          <w:highlight w:val="none"/>
        </w:rPr>
        <w:t xml:space="preserve">单独递交的开标一览表（报价表）为准；</w:t>
      </w:r>
      <w:r>
        <w:rPr>
          <w:rFonts w:hint="eastAsia" w:ascii="宋体" w:hAnsi="宋体" w:cs="宋体"/>
          <w:color w:val="000000"/>
          <w:sz w:val="24"/>
          <w:highlight w:val="none"/>
        </w:rPr>
      </w:r>
      <w:r/>
    </w:p>
    <w:p>
      <w:pPr>
        <w:pStyle w:val="107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w:t>
      </w:r>
      <w:r>
        <w:rPr>
          <w:rFonts w:hint="eastAsia" w:ascii="宋体" w:hAnsi="宋体" w:cs="宋体"/>
          <w:color w:val="000000"/>
          <w:sz w:val="24"/>
          <w:highlight w:val="none"/>
        </w:rPr>
        <w:t xml:space="preserve">标方法为：</w:t>
      </w:r>
      <w:r>
        <w:rPr>
          <w:rFonts w:hint="eastAsia" w:ascii="宋体" w:hAnsi="宋体" w:cs="宋体"/>
          <w:color w:val="000000"/>
          <w:sz w:val="24"/>
          <w:highlight w:val="none"/>
        </w:rPr>
      </w:r>
      <w:r/>
    </w:p>
    <w:p>
      <w:pPr>
        <w:pStyle w:val="107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Ref467307010"/>
      <w:r/>
      <w:bookmarkStart w:id="784" w:name="_Toc127151747"/>
      <w:r/>
      <w:bookmarkStart w:id="785" w:name="_Toc149720839"/>
      <w:r/>
      <w:bookmarkStart w:id="786" w:name="_Toc150480784"/>
      <w:r/>
      <w:bookmarkStart w:id="787" w:name="_Toc164608815"/>
      <w:r/>
      <w:bookmarkStart w:id="788" w:name="_Toc226309790"/>
      <w:r/>
      <w:bookmarkStart w:id="789" w:name="_Toc151190173"/>
      <w:r/>
      <w:bookmarkStart w:id="790" w:name="_Toc164351640"/>
      <w:r/>
      <w:bookmarkStart w:id="791" w:name="_Toc226965819"/>
      <w:r/>
      <w:bookmarkStart w:id="792" w:name="_Toc151193934"/>
      <w:r/>
      <w:bookmarkStart w:id="793" w:name="_Toc195842911"/>
      <w:r/>
      <w:bookmarkStart w:id="794" w:name="_Toc164608660"/>
      <w:r/>
      <w:bookmarkStart w:id="795" w:name="_Toc150774646"/>
      <w:r/>
      <w:bookmarkStart w:id="796" w:name="_Toc151193644"/>
      <w:r/>
      <w:bookmarkStart w:id="797" w:name="_Toc151193788"/>
      <w:r/>
      <w:bookmarkStart w:id="798" w:name="_Toc142311048"/>
      <w:r/>
      <w:bookmarkStart w:id="799" w:name="_Toc164229387"/>
      <w:r/>
      <w:bookmarkStart w:id="800" w:name="_Toc264969236"/>
      <w:r/>
      <w:bookmarkStart w:id="801" w:name="_Toc127161460"/>
      <w:r/>
      <w:bookmarkStart w:id="802" w:name="_Toc150774751"/>
      <w:r/>
      <w:bookmarkStart w:id="803" w:name="_Toc520356170"/>
      <w:r/>
      <w:bookmarkStart w:id="804" w:name="_Toc226337242"/>
      <w:r/>
      <w:bookmarkStart w:id="805" w:name="_Toc305158814"/>
      <w:r/>
      <w:bookmarkStart w:id="806" w:name="_Toc151193860"/>
      <w:r/>
      <w:bookmarkStart w:id="807" w:name="_Toc265228384"/>
      <w:r/>
      <w:bookmarkStart w:id="808" w:name="_Toc305158888"/>
      <w:r/>
      <w:bookmarkStart w:id="809" w:name="_Toc226965736"/>
      <w:r/>
      <w:bookmarkStart w:id="810" w:name="_Toc151193716"/>
      <w:r/>
      <w:bookmarkStart w:id="811" w:name="_Toc127151546"/>
      <w:r/>
      <w:bookmarkStart w:id="812" w:name="_Toc150509297"/>
      <w:r/>
      <w:bookmarkStart w:id="813" w:name="_Toc164229241"/>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8"/>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8"/>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8"/>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448"/>
        <w:gridCol w:w="745"/>
        <w:gridCol w:w="3799"/>
        <w:gridCol w:w="2593"/>
      </w:tblGrid>
      <w:tr>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序号</w:t>
            </w:r>
            <w:r>
              <w:rPr>
                <w:rFonts w:ascii="宋体" w:hAnsi="宋体"/>
                <w:bCs/>
                <w:color w:val="000000"/>
                <w:sz w:val="24"/>
                <w:szCs w:val="24"/>
                <w:highlight w:val="none"/>
              </w:rPr>
            </w:r>
            <w:r/>
          </w:p>
        </w:tc>
        <w:tc>
          <w:tcPr>
            <w:tcW w:w="780"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评分因素</w:t>
            </w:r>
            <w:r>
              <w:rPr>
                <w:rFonts w:ascii="宋体" w:hAnsi="宋体"/>
                <w:bCs/>
                <w:color w:val="000000"/>
                <w:sz w:val="24"/>
                <w:szCs w:val="24"/>
                <w:highlight w:val="none"/>
              </w:rPr>
            </w:r>
            <w:r/>
          </w:p>
        </w:tc>
        <w:tc>
          <w:tcPr>
            <w:tcW w:w="401"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分值</w:t>
            </w:r>
            <w:r>
              <w:rPr>
                <w:rFonts w:ascii="宋体" w:hAnsi="宋体"/>
                <w:bCs/>
                <w:color w:val="000000"/>
                <w:sz w:val="24"/>
                <w:szCs w:val="24"/>
                <w:highlight w:val="none"/>
              </w:rPr>
            </w:r>
            <w:r/>
          </w:p>
        </w:tc>
        <w:tc>
          <w:tcPr>
            <w:tcW w:w="204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评分标准</w:t>
            </w:r>
            <w:r>
              <w:rPr>
                <w:rFonts w:ascii="宋体" w:hAnsi="宋体"/>
                <w:bCs/>
                <w:color w:val="000000"/>
                <w:sz w:val="24"/>
                <w:szCs w:val="24"/>
                <w:highlight w:val="none"/>
              </w:rPr>
            </w:r>
            <w:r/>
          </w:p>
        </w:tc>
        <w:tc>
          <w:tcPr>
            <w:tcW w:w="1396" w:type="dxa"/>
            <w:vAlign w:val="center"/>
            <w:textDirection w:val="lrTb"/>
            <w:noWrap w:val="false"/>
          </w:tcPr>
          <w:p>
            <w:pPr>
              <w:pStyle w:val="1322"/>
              <w:keepLines w:val="0"/>
              <w:keepNext w:val="0"/>
              <w:pageBreakBefore w:val="0"/>
              <w:spacing w:before="0" w:after="0" w:line="400" w:lineRule="exact"/>
              <w:rPr>
                <w:rFonts w:ascii="宋体" w:hAnsi="宋体" w:eastAsia="宋体"/>
                <w:b w:val="0"/>
                <w:bCs/>
                <w:color w:val="000000"/>
                <w:szCs w:val="24"/>
                <w:highlight w:val="none"/>
              </w:rPr>
            </w:pPr>
            <w:r>
              <w:rPr>
                <w:rFonts w:ascii="宋体" w:hAnsi="宋体" w:eastAsia="宋体"/>
                <w:b w:val="0"/>
                <w:bCs/>
                <w:color w:val="000000"/>
                <w:szCs w:val="24"/>
                <w:highlight w:val="none"/>
              </w:rPr>
              <w:t xml:space="preserve">说明</w:t>
            </w:r>
            <w:r>
              <w:rPr>
                <w:rFonts w:ascii="宋体" w:hAnsi="宋体" w:eastAsia="宋体"/>
                <w:b w:val="0"/>
                <w:bCs/>
                <w:color w:val="000000"/>
                <w:szCs w:val="24"/>
                <w:highlight w:val="none"/>
              </w:rPr>
            </w:r>
            <w:r/>
          </w:p>
        </w:tc>
      </w:tr>
      <w:tr>
        <w:trPr>
          <w:trHeight w:val="631"/>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r>
            <w:r/>
          </w:p>
        </w:tc>
        <w:tc>
          <w:tcPr>
            <w:tcW w:w="780"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价格分</w:t>
            </w:r>
            <w:r>
              <w:rPr>
                <w:rFonts w:ascii="宋体" w:hAnsi="宋体"/>
                <w:bCs/>
                <w:color w:val="000000"/>
                <w:sz w:val="24"/>
                <w:szCs w:val="24"/>
                <w:highlight w:val="none"/>
              </w:rPr>
            </w:r>
            <w:r/>
          </w:p>
        </w:tc>
        <w:tc>
          <w:tcPr>
            <w:tcW w:w="401"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0</w:t>
            </w:r>
            <w:r>
              <w:rPr>
                <w:rFonts w:ascii="宋体" w:hAnsi="宋体"/>
                <w:bCs/>
                <w:color w:val="000000"/>
                <w:sz w:val="24"/>
                <w:szCs w:val="24"/>
                <w:highlight w:val="none"/>
              </w:rPr>
            </w:r>
            <w:r/>
          </w:p>
        </w:tc>
        <w:tc>
          <w:tcPr>
            <w:tcW w:w="2046" w:type="dxa"/>
            <w:vAlign w:val="center"/>
            <w:textDirection w:val="lrTb"/>
            <w:noWrap w:val="false"/>
          </w:tcPr>
          <w:p>
            <w:pPr>
              <w:pStyle w:val="1078"/>
              <w:ind w:firstLine="480"/>
              <w:jc w:val="left"/>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投标报价得分＝（评标基准价/投标报价）×分值。</w:t>
            </w:r>
            <w:r>
              <w:rPr>
                <w:rFonts w:hint="eastAsia" w:ascii="宋体" w:hAnsi="宋体" w:eastAsia="宋体" w:cs="宋体"/>
                <w:bCs/>
                <w:color w:val="000000"/>
                <w:sz w:val="24"/>
                <w:szCs w:val="24"/>
                <w:highlight w:val="none"/>
              </w:rPr>
            </w:r>
            <w:r/>
          </w:p>
        </w:tc>
        <w:tc>
          <w:tcPr>
            <w:tcW w:w="1396" w:type="dxa"/>
            <w:vAlign w:val="center"/>
            <w:textDirection w:val="lrTb"/>
            <w:noWrap w:val="false"/>
          </w:tcPr>
          <w:p>
            <w:pPr>
              <w:pStyle w:val="1078"/>
              <w:jc w:val="left"/>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此处投标报价指经过报价修正，及因落实政府采购政策进行价格调整后的报价，详见第三章《评标方法和评标标准》2.4及2.5。</w:t>
            </w:r>
            <w:r>
              <w:rPr>
                <w:rFonts w:hint="eastAsia" w:ascii="宋体" w:hAnsi="宋体" w:eastAsia="宋体" w:cs="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r>
            <w:r/>
          </w:p>
        </w:tc>
        <w:tc>
          <w:tcPr>
            <w:tcW w:w="780"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技术</w:t>
            </w:r>
            <w:r>
              <w:rPr>
                <w:rFonts w:hint="eastAsia" w:ascii="宋体" w:hAnsi="宋体"/>
                <w:bCs/>
                <w:color w:val="000000"/>
                <w:sz w:val="24"/>
                <w:szCs w:val="24"/>
                <w:highlight w:val="none"/>
              </w:rPr>
              <w:t xml:space="preserve">分</w:t>
            </w:r>
            <w:r>
              <w:rPr>
                <w:rFonts w:ascii="宋体" w:hAnsi="宋体"/>
                <w:bCs/>
                <w:color w:val="000000"/>
                <w:sz w:val="24"/>
                <w:szCs w:val="24"/>
                <w:highlight w:val="none"/>
              </w:rPr>
            </w:r>
            <w:r/>
          </w:p>
        </w:tc>
        <w:tc>
          <w:tcPr>
            <w:tcW w:w="401" w:type="dxa"/>
            <w:vAlign w:val="center"/>
            <w:textDirection w:val="lrTb"/>
            <w:noWrap w:val="false"/>
          </w:tcPr>
          <w:p>
            <w:pPr>
              <w:pStyle w:val="1078"/>
              <w:ind w:firstLine="28"/>
              <w:jc w:val="center"/>
              <w:keepLines w:val="0"/>
              <w:keepNext w:val="0"/>
              <w:pageBreakBefore w:val="0"/>
              <w:spacing w:line="400" w:lineRule="exact"/>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32</w:t>
            </w:r>
            <w:r>
              <w:rPr>
                <w:rFonts w:ascii="宋体" w:hAnsi="宋体" w:eastAsia="宋体"/>
                <w:bCs/>
                <w:color w:val="000000"/>
                <w:sz w:val="24"/>
                <w:szCs w:val="24"/>
                <w:highlight w:val="none"/>
                <w:lang w:val="en-US" w:eastAsia="zh-CN"/>
              </w:rPr>
            </w:r>
            <w:r/>
          </w:p>
        </w:tc>
        <w:tc>
          <w:tcPr>
            <w:tcW w:w="204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2.1</w:t>
            </w:r>
            <w:r>
              <w:rPr>
                <w:rFonts w:ascii="宋体" w:hAnsi="宋体"/>
                <w:bCs/>
                <w:color w:val="000000"/>
                <w:sz w:val="24"/>
                <w:szCs w:val="24"/>
                <w:highlight w:val="none"/>
              </w:rPr>
            </w:r>
            <w:r/>
          </w:p>
        </w:tc>
        <w:tc>
          <w:tcPr>
            <w:tcW w:w="780" w:type="dxa"/>
            <w:vAlign w:val="center"/>
            <w:vMerge w:val="restart"/>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cs="宋体"/>
                <w:bCs/>
                <w:color w:val="000000"/>
                <w:sz w:val="24"/>
                <w:szCs w:val="24"/>
                <w:highlight w:val="none"/>
              </w:rPr>
              <w:t xml:space="preserve">服务方案</w:t>
            </w:r>
            <w:r>
              <w:rPr>
                <w:rFonts w:ascii="宋体" w:hAnsi="宋体"/>
                <w:bCs/>
                <w:color w:val="000000"/>
                <w:sz w:val="24"/>
                <w:szCs w:val="24"/>
                <w:highlight w:val="none"/>
              </w:rPr>
            </w:r>
            <w:r/>
          </w:p>
        </w:tc>
        <w:tc>
          <w:tcPr>
            <w:tcW w:w="401" w:type="dxa"/>
            <w:vAlign w:val="center"/>
            <w:textDirection w:val="lrTb"/>
            <w:noWrap w:val="false"/>
          </w:tcPr>
          <w:p>
            <w:pPr>
              <w:pStyle w:val="1078"/>
              <w:ind w:firstLine="28"/>
              <w:jc w:val="center"/>
              <w:keepLines w:val="0"/>
              <w:keepNext w:val="0"/>
              <w:pageBreakBefore w:val="0"/>
              <w:spacing w:line="400" w:lineRule="exact"/>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w:t>
            </w:r>
            <w:r>
              <w:rPr>
                <w:rFonts w:ascii="宋体" w:hAnsi="宋体" w:eastAsia="宋体"/>
                <w:bCs/>
                <w:color w:val="000000"/>
                <w:sz w:val="24"/>
                <w:szCs w:val="24"/>
                <w:highlight w:val="none"/>
                <w:lang w:val="en-US" w:eastAsia="zh-CN"/>
              </w:rPr>
            </w:r>
            <w:r/>
          </w:p>
        </w:tc>
        <w:tc>
          <w:tcPr>
            <w:tcW w:w="2046" w:type="dxa"/>
            <w:vAlign w:val="center"/>
            <w:textDirection w:val="lrTb"/>
            <w:noWrap w:val="false"/>
          </w:tcPr>
          <w:p>
            <w:pPr>
              <w:pStyle w:val="1078"/>
              <w:ind w:firstLine="480"/>
              <w:jc w:val="left"/>
              <w:keepLines w:val="0"/>
              <w:keepNext w:val="0"/>
              <w:pageBreakBefore w:val="0"/>
              <w:spacing w:line="400" w:lineRule="exact"/>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提供对图书馆服务运营</w:t>
            </w:r>
            <w:r>
              <w:rPr>
                <w:rFonts w:hint="eastAsia" w:ascii="宋体" w:hAnsi="宋体"/>
                <w:bCs/>
                <w:color w:val="000000"/>
                <w:sz w:val="24"/>
                <w:szCs w:val="24"/>
                <w:highlight w:val="none"/>
                <w:lang w:val="en-US" w:eastAsia="zh-CN"/>
              </w:rPr>
              <w:t xml:space="preserve">整体</w:t>
            </w:r>
            <w:r>
              <w:rPr>
                <w:rFonts w:hint="eastAsia" w:ascii="宋体" w:hAnsi="宋体"/>
                <w:bCs/>
                <w:color w:val="000000"/>
                <w:sz w:val="24"/>
                <w:szCs w:val="24"/>
                <w:highlight w:val="none"/>
              </w:rPr>
              <w:t xml:space="preserve">方案，对此进行打分。</w:t>
            </w:r>
            <w:r>
              <w:rPr>
                <w:rFonts w:hint="eastAsia" w:ascii="宋体" w:hAnsi="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各项描述</w:t>
            </w:r>
            <w:r>
              <w:rPr>
                <w:rFonts w:hint="eastAsia" w:ascii="宋体" w:hAnsi="宋体"/>
                <w:bCs/>
                <w:color w:val="000000"/>
                <w:sz w:val="24"/>
                <w:szCs w:val="24"/>
                <w:highlight w:val="none"/>
                <w:lang w:val="en-US" w:eastAsia="zh-CN"/>
              </w:rPr>
              <w:t xml:space="preserve">科学</w:t>
            </w:r>
            <w:r>
              <w:rPr>
                <w:rFonts w:hint="eastAsia" w:ascii="宋体" w:hAnsi="宋体"/>
                <w:bCs/>
                <w:color w:val="000000"/>
                <w:sz w:val="24"/>
                <w:szCs w:val="24"/>
                <w:highlight w:val="none"/>
              </w:rPr>
              <w:t xml:space="preserve">合理的，得5分；</w:t>
            </w:r>
            <w:r>
              <w:rPr>
                <w:rFonts w:hint="eastAsia" w:ascii="宋体" w:hAnsi="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描述基本完整可行的，得3分；</w:t>
            </w:r>
            <w:r>
              <w:rPr>
                <w:rFonts w:hint="eastAsia" w:ascii="宋体" w:hAnsi="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针对性欠缺、描述简单的，得1分；</w:t>
            </w:r>
            <w:r>
              <w:rPr>
                <w:rFonts w:hint="eastAsia" w:ascii="宋体" w:hAnsi="宋体"/>
                <w:bCs/>
                <w:color w:val="000000"/>
                <w:sz w:val="24"/>
                <w:szCs w:val="24"/>
                <w:highlight w:val="none"/>
              </w:rPr>
            </w:r>
            <w:r/>
          </w:p>
          <w:p>
            <w:pPr>
              <w:pStyle w:val="1078"/>
              <w:ind w:firstLine="480"/>
              <w:jc w:val="left"/>
              <w:keepLines w:val="0"/>
              <w:keepNext w:val="0"/>
              <w:pageBreakBefore w:val="0"/>
              <w:spacing w:line="400" w:lineRule="exact"/>
              <w:widowControl/>
              <w:rPr>
                <w:rFonts w:ascii="宋体" w:hAnsi="宋体"/>
                <w:bCs/>
                <w:color w:val="000000"/>
                <w:sz w:val="24"/>
                <w:szCs w:val="24"/>
                <w:highlight w:val="none"/>
              </w:rPr>
            </w:pPr>
            <w:r>
              <w:rPr>
                <w:rFonts w:hint="eastAsia" w:ascii="宋体" w:hAnsi="宋体"/>
                <w:bCs/>
                <w:color w:val="000000"/>
                <w:sz w:val="24"/>
                <w:szCs w:val="24"/>
                <w:highlight w:val="none"/>
              </w:rPr>
              <w:t xml:space="preserve">未提供不得分。</w:t>
            </w:r>
            <w:r>
              <w:rPr>
                <w:rFonts w:ascii="宋体" w:hAnsi="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2.2</w:t>
            </w:r>
            <w:r>
              <w:rPr>
                <w:rFonts w:ascii="宋体" w:hAnsi="宋体"/>
                <w:bCs/>
                <w:color w:val="000000"/>
                <w:sz w:val="24"/>
                <w:szCs w:val="24"/>
                <w:highlight w:val="none"/>
              </w:rPr>
            </w:r>
            <w:r/>
          </w:p>
        </w:tc>
        <w:tc>
          <w:tcPr>
            <w:tcW w:w="780" w:type="dxa"/>
            <w:vAlign w:val="center"/>
            <w:vMerge w:val="continue"/>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401" w:type="dxa"/>
            <w:vAlign w:val="center"/>
            <w:textDirection w:val="lrTb"/>
            <w:noWrap w:val="false"/>
          </w:tcPr>
          <w:p>
            <w:pPr>
              <w:pStyle w:val="1078"/>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r>
            <w:r/>
          </w:p>
        </w:tc>
        <w:tc>
          <w:tcPr>
            <w:tcW w:w="2046" w:type="dxa"/>
            <w:vAlign w:val="center"/>
            <w:textDirection w:val="lrTb"/>
            <w:noWrap w:val="false"/>
          </w:tcPr>
          <w:p>
            <w:pPr>
              <w:pStyle w:val="1078"/>
              <w:ind w:firstLine="480"/>
              <w:jc w:val="left"/>
              <w:keepLines w:val="0"/>
              <w:keepNext w:val="0"/>
              <w:pageBreakBefore w:val="0"/>
              <w:spacing w:line="400" w:lineRule="exact"/>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提供</w:t>
            </w:r>
            <w:r>
              <w:rPr>
                <w:rFonts w:ascii="宋体" w:hAnsi="宋体" w:cs="宋体"/>
                <w:bCs/>
                <w:color w:val="000000"/>
                <w:sz w:val="24"/>
                <w:szCs w:val="24"/>
                <w:highlight w:val="none"/>
              </w:rPr>
              <w:t xml:space="preserve">对图书馆所有工作制度、工作内容、工作区域划分及服务标准，</w:t>
            </w:r>
            <w:r>
              <w:rPr>
                <w:rFonts w:hint="eastAsia" w:ascii="宋体" w:hAnsi="宋体" w:cs="宋体"/>
                <w:bCs/>
                <w:color w:val="000000"/>
                <w:sz w:val="24"/>
                <w:szCs w:val="24"/>
                <w:highlight w:val="none"/>
              </w:rPr>
              <w:t xml:space="preserve">对此</w:t>
            </w:r>
            <w:r>
              <w:rPr>
                <w:rFonts w:ascii="宋体" w:hAnsi="宋体" w:cs="宋体"/>
                <w:bCs/>
                <w:color w:val="000000"/>
                <w:sz w:val="24"/>
                <w:szCs w:val="24"/>
                <w:highlight w:val="none"/>
              </w:rPr>
              <w:t xml:space="preserve">进行</w:t>
            </w:r>
            <w:r>
              <w:rPr>
                <w:rFonts w:hint="eastAsia" w:ascii="宋体" w:hAnsi="宋体" w:cs="宋体"/>
                <w:bCs/>
                <w:color w:val="000000"/>
                <w:sz w:val="24"/>
                <w:szCs w:val="24"/>
                <w:highlight w:val="none"/>
              </w:rPr>
              <w:t xml:space="preserve">打分</w:t>
            </w:r>
            <w:r>
              <w:rPr>
                <w:rFonts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各项描述科学合理的，得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描述基本完整可行的，得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针对性欠缺、描述简单的，得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未提供不得分。</w:t>
            </w:r>
            <w:r>
              <w:rPr>
                <w:rFonts w:hint="eastAsia" w:ascii="宋体" w:hAnsi="宋体" w:cs="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2.3</w:t>
            </w:r>
            <w:r>
              <w:rPr>
                <w:rFonts w:ascii="宋体" w:hAnsi="宋体"/>
                <w:bCs/>
                <w:color w:val="000000"/>
                <w:sz w:val="24"/>
                <w:szCs w:val="24"/>
                <w:highlight w:val="none"/>
              </w:rPr>
            </w:r>
            <w:r/>
          </w:p>
        </w:tc>
        <w:tc>
          <w:tcPr>
            <w:tcW w:w="780" w:type="dxa"/>
            <w:vAlign w:val="center"/>
            <w:textDirection w:val="lrTb"/>
            <w:noWrap w:val="false"/>
          </w:tcPr>
          <w:p>
            <w:pPr>
              <w:pStyle w:val="1078"/>
              <w:jc w:val="center"/>
              <w:keepLines w:val="0"/>
              <w:keepNext w:val="0"/>
              <w:pageBreakBefore w:val="0"/>
              <w:spacing w:line="400" w:lineRule="exact"/>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应急预案</w:t>
            </w:r>
            <w:r>
              <w:rPr>
                <w:rFonts w:ascii="宋体" w:hAnsi="宋体" w:cs="宋体"/>
                <w:bCs/>
                <w:color w:val="000000"/>
                <w:sz w:val="24"/>
                <w:szCs w:val="24"/>
                <w:highlight w:val="none"/>
              </w:rPr>
            </w:r>
            <w:r/>
          </w:p>
        </w:tc>
        <w:tc>
          <w:tcPr>
            <w:tcW w:w="401" w:type="dxa"/>
            <w:vAlign w:val="center"/>
            <w:textDirection w:val="lrTb"/>
            <w:noWrap w:val="false"/>
          </w:tcPr>
          <w:p>
            <w:pPr>
              <w:pStyle w:val="1078"/>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r>
            <w:r/>
          </w:p>
        </w:tc>
        <w:tc>
          <w:tcPr>
            <w:tcW w:w="2046" w:type="dxa"/>
            <w:vAlign w:val="center"/>
            <w:textDirection w:val="lrTb"/>
            <w:noWrap w:val="false"/>
          </w:tcPr>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提供安全运营保障措施及各项突发事件应急预案，对此进行打分。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各项描述</w:t>
            </w:r>
            <w:r>
              <w:rPr>
                <w:rFonts w:hint="eastAsia" w:ascii="宋体" w:hAnsi="宋体" w:cs="宋体"/>
                <w:bCs/>
                <w:color w:val="000000"/>
                <w:sz w:val="24"/>
                <w:szCs w:val="24"/>
                <w:highlight w:val="none"/>
                <w:lang w:val="en-US" w:eastAsia="zh-CN"/>
              </w:rPr>
              <w:t xml:space="preserve">科学</w:t>
            </w:r>
            <w:r>
              <w:rPr>
                <w:rFonts w:hint="eastAsia" w:ascii="宋体" w:hAnsi="宋体" w:cs="宋体"/>
                <w:bCs/>
                <w:color w:val="000000"/>
                <w:sz w:val="24"/>
                <w:szCs w:val="24"/>
                <w:highlight w:val="none"/>
              </w:rPr>
              <w:t xml:space="preserve">合理的，得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描述基本完整可行的，得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针对性欠缺、描述简单的，得1分；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未提供不得分。</w:t>
            </w:r>
            <w:r>
              <w:rPr>
                <w:rFonts w:hint="eastAsia" w:ascii="宋体" w:hAnsi="宋体" w:cs="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2.4</w:t>
            </w:r>
            <w:r>
              <w:rPr>
                <w:rFonts w:ascii="宋体" w:hAnsi="宋体"/>
                <w:bCs/>
                <w:color w:val="000000"/>
                <w:sz w:val="24"/>
                <w:szCs w:val="24"/>
                <w:highlight w:val="none"/>
              </w:rPr>
            </w:r>
            <w:r/>
          </w:p>
        </w:tc>
        <w:tc>
          <w:tcPr>
            <w:tcW w:w="780" w:type="dxa"/>
            <w:vAlign w:val="center"/>
            <w:vMerge w:val="restart"/>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cs="宋体"/>
                <w:bCs/>
                <w:color w:val="000000"/>
                <w:sz w:val="24"/>
                <w:szCs w:val="24"/>
                <w:highlight w:val="none"/>
              </w:rPr>
              <w:t xml:space="preserve">特色、重点服务方案</w:t>
            </w:r>
            <w:r>
              <w:rPr>
                <w:rFonts w:ascii="宋体" w:hAnsi="宋体"/>
                <w:bCs/>
                <w:color w:val="000000"/>
                <w:sz w:val="24"/>
                <w:szCs w:val="24"/>
                <w:highlight w:val="none"/>
              </w:rPr>
            </w:r>
            <w:r/>
          </w:p>
        </w:tc>
        <w:tc>
          <w:tcPr>
            <w:tcW w:w="401" w:type="dxa"/>
            <w:vAlign w:val="center"/>
            <w:textDirection w:val="lrTb"/>
            <w:noWrap w:val="false"/>
          </w:tcPr>
          <w:p>
            <w:pPr>
              <w:pStyle w:val="1078"/>
              <w:jc w:val="center"/>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rPr>
            </w:r>
            <w:r/>
          </w:p>
        </w:tc>
        <w:tc>
          <w:tcPr>
            <w:tcW w:w="2046" w:type="dxa"/>
            <w:vAlign w:val="center"/>
            <w:textDirection w:val="lrTb"/>
            <w:noWrap w:val="false"/>
          </w:tcPr>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能够提供策划和引入业内具有影响力和较高层次水平的文化活动，含展览、培训、讲座等。包含但不限于邀请国家级专家学者、教授、专业领域领军人等知名人士，提高经开区公共文化事业建设影响力和专业形象。供应商对此作出相关的计划方案及计划时间表。</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各项描述</w:t>
            </w:r>
            <w:r>
              <w:rPr>
                <w:rFonts w:hint="eastAsia" w:ascii="宋体" w:hAnsi="宋体" w:cs="宋体"/>
                <w:bCs/>
                <w:color w:val="000000"/>
                <w:sz w:val="24"/>
                <w:szCs w:val="24"/>
                <w:highlight w:val="none"/>
                <w:lang w:val="en-US" w:eastAsia="zh-CN"/>
              </w:rPr>
              <w:t xml:space="preserve">科学</w:t>
            </w:r>
            <w:r>
              <w:rPr>
                <w:rFonts w:hint="eastAsia" w:ascii="宋体" w:hAnsi="宋体" w:cs="宋体"/>
                <w:bCs/>
                <w:color w:val="000000"/>
                <w:sz w:val="24"/>
                <w:szCs w:val="24"/>
                <w:highlight w:val="none"/>
              </w:rPr>
              <w:t xml:space="preserve">合理的，得8分；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描述基本完整可行的，得6分；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针对性欠缺、描述简单的，得4分；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未提供不得分。</w:t>
            </w:r>
            <w:r>
              <w:rPr>
                <w:rFonts w:hint="eastAsia" w:ascii="宋体" w:hAnsi="宋体" w:cs="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eastAsia="宋体"/>
                <w:bCs/>
                <w:color w:val="000000"/>
                <w:sz w:val="24"/>
                <w:szCs w:val="24"/>
                <w:highlight w:val="none"/>
                <w:lang w:val="en-US" w:eastAsia="zh-CN"/>
              </w:rPr>
            </w:r>
            <w:r/>
          </w:p>
        </w:tc>
        <w:tc>
          <w:tcPr>
            <w:tcW w:w="780" w:type="dxa"/>
            <w:vAlign w:val="center"/>
            <w:vMerge w:val="continue"/>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401" w:type="dxa"/>
            <w:vAlign w:val="center"/>
            <w:textDirection w:val="lrTb"/>
            <w:noWrap w:val="false"/>
          </w:tcPr>
          <w:p>
            <w:pPr>
              <w:pStyle w:val="1078"/>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8</w:t>
            </w:r>
            <w:r>
              <w:rPr>
                <w:rFonts w:ascii="宋体" w:hAnsi="宋体" w:eastAsia="宋体" w:cs="宋体"/>
                <w:bCs/>
                <w:color w:val="000000"/>
                <w:sz w:val="24"/>
                <w:szCs w:val="24"/>
                <w:highlight w:val="none"/>
                <w:lang w:val="en-US" w:eastAsia="zh-CN"/>
              </w:rPr>
            </w:r>
            <w:r/>
          </w:p>
        </w:tc>
        <w:tc>
          <w:tcPr>
            <w:tcW w:w="2046" w:type="dxa"/>
            <w:vAlign w:val="center"/>
            <w:textDirection w:val="lrTb"/>
            <w:noWrap w:val="false"/>
          </w:tcPr>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根据常州经开区</w:t>
            </w:r>
            <w:r>
              <w:rPr>
                <w:rFonts w:hint="eastAsia" w:ascii="宋体" w:hAnsi="宋体" w:cs="宋体"/>
                <w:bCs/>
                <w:color w:val="000000"/>
                <w:sz w:val="24"/>
                <w:szCs w:val="24"/>
                <w:highlight w:val="none"/>
                <w:lang w:val="en-US" w:eastAsia="zh-CN"/>
              </w:rPr>
              <w:t xml:space="preserve">图书馆内部场馆空间及地理</w:t>
            </w:r>
            <w:r>
              <w:rPr>
                <w:rFonts w:hint="eastAsia" w:ascii="宋体" w:hAnsi="宋体" w:cs="宋体"/>
                <w:bCs/>
                <w:color w:val="000000"/>
                <w:sz w:val="24"/>
                <w:szCs w:val="24"/>
                <w:highlight w:val="none"/>
              </w:rPr>
              <w:t xml:space="preserve">位置</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供应商</w:t>
            </w:r>
            <w:r>
              <w:rPr>
                <w:rFonts w:hint="eastAsia" w:ascii="宋体" w:hAnsi="宋体" w:cs="宋体"/>
                <w:bCs/>
                <w:color w:val="000000"/>
                <w:sz w:val="24"/>
                <w:szCs w:val="24"/>
                <w:highlight w:val="none"/>
                <w:lang w:val="en-US" w:eastAsia="zh-CN"/>
              </w:rPr>
              <w:t xml:space="preserve">结合</w:t>
            </w:r>
            <w:r>
              <w:rPr>
                <w:rFonts w:hint="eastAsia" w:ascii="宋体" w:hAnsi="宋体" w:cs="宋体"/>
                <w:bCs/>
                <w:color w:val="000000"/>
                <w:sz w:val="24"/>
                <w:szCs w:val="24"/>
                <w:highlight w:val="none"/>
              </w:rPr>
              <w:t xml:space="preserve">周边环境</w:t>
            </w:r>
            <w:r>
              <w:rPr>
                <w:rFonts w:hint="eastAsia" w:ascii="宋体" w:hAnsi="宋体" w:cs="宋体"/>
                <w:bCs/>
                <w:color w:val="000000"/>
                <w:sz w:val="24"/>
                <w:szCs w:val="24"/>
                <w:highlight w:val="none"/>
                <w:lang w:val="en-US" w:eastAsia="zh-CN"/>
              </w:rPr>
              <w:t xml:space="preserve">策划文旅融合项目或特色的馆外服务项目方案。</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各项描述</w:t>
            </w:r>
            <w:r>
              <w:rPr>
                <w:rFonts w:hint="eastAsia" w:ascii="宋体" w:hAnsi="宋体" w:cs="宋体"/>
                <w:bCs/>
                <w:color w:val="000000"/>
                <w:sz w:val="24"/>
                <w:szCs w:val="24"/>
                <w:highlight w:val="none"/>
                <w:lang w:val="en-US" w:eastAsia="zh-CN"/>
              </w:rPr>
              <w:t xml:space="preserve">科学</w:t>
            </w:r>
            <w:r>
              <w:rPr>
                <w:rFonts w:hint="eastAsia" w:ascii="宋体" w:hAnsi="宋体" w:cs="宋体"/>
                <w:bCs/>
                <w:color w:val="000000"/>
                <w:sz w:val="24"/>
                <w:szCs w:val="24"/>
                <w:highlight w:val="none"/>
              </w:rPr>
              <w:t xml:space="preserve">合理的，得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描述基本完整可行的，得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针对性欠缺、描述简单的，得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未提供不得分。</w:t>
            </w:r>
            <w:r>
              <w:rPr>
                <w:rFonts w:hint="eastAsia" w:ascii="宋体" w:hAnsi="宋体" w:cs="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6</w:t>
            </w:r>
            <w:r>
              <w:rPr>
                <w:rFonts w:hint="eastAsia" w:ascii="宋体" w:hAnsi="宋体" w:eastAsia="宋体"/>
                <w:bCs/>
                <w:color w:val="000000"/>
                <w:sz w:val="24"/>
                <w:szCs w:val="24"/>
                <w:highlight w:val="none"/>
                <w:lang w:val="en-US" w:eastAsia="zh-CN"/>
              </w:rPr>
            </w:r>
            <w:r/>
          </w:p>
        </w:tc>
        <w:tc>
          <w:tcPr>
            <w:tcW w:w="780" w:type="dxa"/>
            <w:vAlign w:val="center"/>
            <w:textDirection w:val="lrTb"/>
            <w:noWrap w:val="false"/>
          </w:tcPr>
          <w:p>
            <w:pPr>
              <w:pStyle w:val="1078"/>
              <w:jc w:val="center"/>
              <w:keepLines w:val="0"/>
              <w:keepNext w:val="0"/>
              <w:pageBreakBefore w:val="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质量保证及服务承诺</w:t>
            </w:r>
            <w:r>
              <w:rPr>
                <w:rFonts w:hint="eastAsia" w:ascii="宋体" w:hAnsi="宋体" w:cs="宋体"/>
                <w:bCs/>
                <w:color w:val="000000"/>
                <w:sz w:val="24"/>
                <w:szCs w:val="24"/>
                <w:highlight w:val="none"/>
              </w:rPr>
            </w:r>
            <w:r/>
          </w:p>
        </w:tc>
        <w:tc>
          <w:tcPr>
            <w:tcW w:w="401" w:type="dxa"/>
            <w:vAlign w:val="center"/>
            <w:textDirection w:val="lrTb"/>
            <w:noWrap w:val="false"/>
          </w:tcPr>
          <w:p>
            <w:pPr>
              <w:pStyle w:val="1078"/>
              <w:jc w:val="center"/>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2046" w:type="dxa"/>
            <w:vAlign w:val="center"/>
            <w:textDirection w:val="lrTb"/>
            <w:noWrap w:val="false"/>
          </w:tcPr>
          <w:p>
            <w:pPr>
              <w:pStyle w:val="1078"/>
              <w:ind w:firstLine="480"/>
              <w:jc w:val="left"/>
              <w:keepLines w:val="0"/>
              <w:keepNext w:val="0"/>
              <w:pageBreakBefore w:val="0"/>
              <w:spacing w:line="4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针对供应商的质量保证及服务承诺（包含与客户之间的协调机制的完善性，</w:t>
            </w:r>
            <w:r>
              <w:rPr>
                <w:rFonts w:ascii="宋体" w:hAnsi="宋体"/>
                <w:bCs/>
                <w:color w:val="000000"/>
                <w:sz w:val="24"/>
                <w:szCs w:val="24"/>
                <w:highlight w:val="none"/>
              </w:rPr>
              <w:t xml:space="preserve">提供专业的</w:t>
            </w:r>
            <w:r>
              <w:rPr>
                <w:rFonts w:hint="eastAsia" w:ascii="宋体" w:hAnsi="宋体"/>
                <w:bCs/>
                <w:color w:val="000000"/>
                <w:sz w:val="24"/>
                <w:szCs w:val="24"/>
                <w:highlight w:val="none"/>
              </w:rPr>
              <w:t xml:space="preserve">读者管理、</w:t>
            </w:r>
            <w:r>
              <w:rPr>
                <w:rFonts w:ascii="宋体" w:hAnsi="宋体"/>
                <w:bCs/>
                <w:color w:val="000000"/>
                <w:sz w:val="24"/>
                <w:szCs w:val="24"/>
                <w:highlight w:val="none"/>
              </w:rPr>
              <w:t xml:space="preserve">客</w:t>
            </w:r>
            <w:r>
              <w:rPr>
                <w:rFonts w:hint="eastAsia" w:ascii="宋体" w:hAnsi="宋体"/>
                <w:bCs/>
                <w:color w:val="000000"/>
                <w:sz w:val="24"/>
                <w:szCs w:val="24"/>
                <w:highlight w:val="none"/>
              </w:rPr>
              <w:t xml:space="preserve">户投</w:t>
            </w:r>
            <w:r>
              <w:rPr>
                <w:rFonts w:ascii="宋体" w:hAnsi="宋体"/>
                <w:bCs/>
                <w:color w:val="000000"/>
                <w:sz w:val="24"/>
                <w:szCs w:val="24"/>
                <w:highlight w:val="none"/>
              </w:rPr>
              <w:t xml:space="preserve">诉处理等</w:t>
            </w:r>
            <w:r>
              <w:rPr>
                <w:rFonts w:hint="eastAsia" w:ascii="宋体" w:hAnsi="宋体"/>
                <w:bCs/>
                <w:color w:val="000000"/>
                <w:sz w:val="24"/>
                <w:szCs w:val="24"/>
                <w:highlight w:val="none"/>
              </w:rPr>
              <w:t xml:space="preserve">方案内容）进行评分：</w:t>
            </w:r>
            <w:r>
              <w:rPr>
                <w:rFonts w:ascii="宋体" w:hAnsi="宋体" w:cs="宋体"/>
                <w:bCs/>
                <w:color w:val="000000"/>
                <w:sz w:val="24"/>
                <w:szCs w:val="24"/>
                <w:highlight w:val="none"/>
              </w:rPr>
            </w:r>
            <w:r/>
          </w:p>
          <w:p>
            <w:pPr>
              <w:pStyle w:val="1078"/>
              <w:ind w:firstLine="480"/>
              <w:jc w:val="left"/>
              <w:keepLines w:val="0"/>
              <w:keepNext w:val="0"/>
              <w:pageBreakBefore w:val="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各项描述</w:t>
            </w:r>
            <w:r>
              <w:rPr>
                <w:rFonts w:hint="eastAsia" w:ascii="宋体" w:hAnsi="宋体" w:cs="宋体"/>
                <w:bCs/>
                <w:color w:val="000000"/>
                <w:sz w:val="24"/>
                <w:szCs w:val="24"/>
                <w:highlight w:val="none"/>
                <w:lang w:val="en-US" w:eastAsia="zh-CN"/>
              </w:rPr>
              <w:t xml:space="preserve">科学</w:t>
            </w:r>
            <w:r>
              <w:rPr>
                <w:rFonts w:hint="eastAsia" w:ascii="宋体" w:hAnsi="宋体" w:cs="宋体"/>
                <w:bCs/>
                <w:color w:val="000000"/>
                <w:sz w:val="24"/>
                <w:szCs w:val="24"/>
                <w:highlight w:val="none"/>
              </w:rPr>
              <w:t xml:space="preserve">合理、保障性强的，得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描述基本完整可行、具有基本保障的，得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针对性欠缺、描述一般、保障欠缺的，得1分；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未提供不得分。</w:t>
            </w:r>
            <w:r>
              <w:rPr>
                <w:rFonts w:hint="eastAsia" w:ascii="宋体" w:hAnsi="宋体" w:cs="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r>
            <w:r/>
          </w:p>
        </w:tc>
        <w:tc>
          <w:tcPr>
            <w:tcW w:w="780"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商务</w:t>
            </w:r>
            <w:r>
              <w:rPr>
                <w:rFonts w:hint="eastAsia" w:ascii="宋体" w:hAnsi="宋体"/>
                <w:bCs/>
                <w:color w:val="000000"/>
                <w:sz w:val="24"/>
                <w:szCs w:val="24"/>
                <w:highlight w:val="none"/>
              </w:rPr>
              <w:t xml:space="preserve">分</w:t>
            </w:r>
            <w:r>
              <w:rPr>
                <w:rFonts w:ascii="宋体" w:hAnsi="宋体"/>
                <w:bCs/>
                <w:color w:val="000000"/>
                <w:sz w:val="24"/>
                <w:szCs w:val="24"/>
                <w:highlight w:val="none"/>
              </w:rPr>
            </w:r>
            <w:r/>
          </w:p>
        </w:tc>
        <w:tc>
          <w:tcPr>
            <w:tcW w:w="401" w:type="dxa"/>
            <w:vAlign w:val="center"/>
            <w:textDirection w:val="lrTb"/>
            <w:noWrap w:val="false"/>
          </w:tcPr>
          <w:p>
            <w:pPr>
              <w:pStyle w:val="1078"/>
              <w:ind w:firstLine="28"/>
              <w:jc w:val="center"/>
              <w:keepLines w:val="0"/>
              <w:keepNext w:val="0"/>
              <w:pageBreakBefore w:val="0"/>
              <w:spacing w:line="400" w:lineRule="exact"/>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18</w:t>
            </w:r>
            <w:r>
              <w:rPr>
                <w:rFonts w:ascii="宋体" w:hAnsi="宋体" w:eastAsia="宋体"/>
                <w:bCs/>
                <w:color w:val="000000"/>
                <w:sz w:val="24"/>
                <w:szCs w:val="24"/>
                <w:highlight w:val="none"/>
                <w:lang w:val="en-US" w:eastAsia="zh-CN"/>
              </w:rPr>
            </w:r>
            <w:r/>
          </w:p>
        </w:tc>
        <w:tc>
          <w:tcPr>
            <w:tcW w:w="204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3.1</w:t>
            </w:r>
            <w:r>
              <w:rPr>
                <w:rFonts w:ascii="宋体" w:hAnsi="宋体"/>
                <w:bCs/>
                <w:color w:val="000000"/>
                <w:sz w:val="24"/>
                <w:szCs w:val="24"/>
                <w:highlight w:val="none"/>
              </w:rPr>
            </w:r>
            <w:r/>
          </w:p>
        </w:tc>
        <w:tc>
          <w:tcPr>
            <w:tcW w:w="780" w:type="dxa"/>
            <w:vAlign w:val="center"/>
            <w:textDirection w:val="lrTb"/>
            <w:noWrap w:val="false"/>
          </w:tcPr>
          <w:p>
            <w:pPr>
              <w:pStyle w:val="1078"/>
              <w:jc w:val="center"/>
              <w:keepLines w:val="0"/>
              <w:keepNext w:val="0"/>
              <w:pageBreakBefore w:val="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项目业绩</w:t>
            </w:r>
            <w:r>
              <w:rPr>
                <w:rFonts w:hint="eastAsia" w:ascii="宋体" w:hAnsi="宋体" w:cs="宋体"/>
                <w:bCs/>
                <w:color w:val="000000"/>
                <w:sz w:val="24"/>
                <w:szCs w:val="24"/>
                <w:highlight w:val="none"/>
              </w:rPr>
            </w:r>
            <w:r/>
          </w:p>
        </w:tc>
        <w:tc>
          <w:tcPr>
            <w:tcW w:w="401" w:type="dxa"/>
            <w:vAlign w:val="center"/>
            <w:textDirection w:val="lrTb"/>
            <w:noWrap w:val="false"/>
          </w:tcPr>
          <w:p>
            <w:pPr>
              <w:pStyle w:val="1078"/>
              <w:jc w:val="center"/>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2046" w:type="dxa"/>
            <w:vAlign w:val="center"/>
            <w:textDirection w:val="lrTb"/>
            <w:noWrap w:val="false"/>
          </w:tcPr>
          <w:p>
            <w:pPr>
              <w:pStyle w:val="1078"/>
              <w:ind w:firstLine="480"/>
              <w:keepLines w:val="0"/>
              <w:keepNext w:val="0"/>
              <w:pageBreakBefore w:val="0"/>
              <w:spacing w:line="4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供应商提供202</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年1月1日以来完成的类似公共图书馆</w:t>
            </w:r>
            <w:r>
              <w:rPr>
                <w:rFonts w:hint="eastAsia" w:ascii="宋体" w:hAnsi="宋体" w:cs="宋体"/>
                <w:bCs/>
                <w:color w:val="000000"/>
                <w:sz w:val="24"/>
                <w:szCs w:val="24"/>
                <w:highlight w:val="none"/>
                <w:lang w:val="en-US" w:eastAsia="zh-CN"/>
              </w:rPr>
              <w:t xml:space="preserve">营运</w:t>
            </w:r>
            <w:r>
              <w:rPr>
                <w:rFonts w:hint="eastAsia" w:ascii="宋体" w:hAnsi="宋体" w:cs="宋体"/>
                <w:bCs/>
                <w:color w:val="000000"/>
                <w:sz w:val="24"/>
                <w:szCs w:val="24"/>
                <w:highlight w:val="none"/>
              </w:rPr>
              <w:t xml:space="preserve">项目业绩证明材料，每提供</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份合同得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分，最高得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rPr>
                <w:rFonts w:ascii="宋体" w:hAnsi="宋体" w:cs="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hint="eastAsia" w:ascii="宋体" w:hAnsi="宋体" w:cs="宋体"/>
                <w:bCs/>
                <w:color w:val="000000"/>
                <w:sz w:val="24"/>
                <w:szCs w:val="24"/>
                <w:highlight w:val="none"/>
              </w:rPr>
              <w:t xml:space="preserve">提供完整业绩合同</w:t>
            </w:r>
            <w:r>
              <w:rPr>
                <w:rFonts w:hint="eastAsia" w:ascii="宋体" w:hAnsi="宋体" w:cs="宋体"/>
                <w:bCs/>
                <w:color w:val="000000"/>
                <w:sz w:val="24"/>
                <w:szCs w:val="24"/>
                <w:highlight w:val="none"/>
                <w:lang w:eastAsia="zh-CN"/>
              </w:rPr>
              <w:t xml:space="preserve">扫描件</w:t>
            </w:r>
            <w:r>
              <w:rPr>
                <w:rFonts w:hint="eastAsia" w:ascii="宋体" w:hAnsi="宋体" w:cs="宋体"/>
                <w:bCs/>
                <w:color w:val="000000"/>
                <w:sz w:val="24"/>
                <w:szCs w:val="24"/>
                <w:highlight w:val="none"/>
              </w:rPr>
              <w:t xml:space="preserve">并加盖供应商公章，合同应能清晰载明包含业绩内容。</w:t>
            </w:r>
            <w:r>
              <w:rPr>
                <w:rFonts w:ascii="宋体" w:hAnsi="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3.2</w:t>
            </w:r>
            <w:r>
              <w:rPr>
                <w:rFonts w:ascii="宋体" w:hAnsi="宋体"/>
                <w:bCs/>
                <w:color w:val="000000"/>
                <w:sz w:val="24"/>
                <w:szCs w:val="24"/>
                <w:highlight w:val="none"/>
              </w:rPr>
            </w:r>
            <w:r/>
          </w:p>
        </w:tc>
        <w:tc>
          <w:tcPr>
            <w:tcW w:w="780" w:type="dxa"/>
            <w:vAlign w:val="center"/>
            <w:textDirection w:val="lrTb"/>
            <w:noWrap w:val="false"/>
          </w:tcPr>
          <w:p>
            <w:pPr>
              <w:pStyle w:val="1078"/>
              <w:jc w:val="center"/>
              <w:keepLines w:val="0"/>
              <w:keepNext w:val="0"/>
              <w:pageBreakBefore w:val="0"/>
              <w:spacing w:line="4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企业荣誉</w:t>
            </w:r>
            <w:r>
              <w:rPr>
                <w:rFonts w:ascii="宋体" w:hAnsi="宋体" w:cs="宋体"/>
                <w:bCs/>
                <w:color w:val="000000"/>
                <w:sz w:val="24"/>
                <w:szCs w:val="24"/>
                <w:highlight w:val="none"/>
              </w:rPr>
            </w:r>
            <w:r/>
          </w:p>
        </w:tc>
        <w:tc>
          <w:tcPr>
            <w:tcW w:w="401" w:type="dxa"/>
            <w:vAlign w:val="center"/>
            <w:textDirection w:val="lrTb"/>
            <w:noWrap w:val="false"/>
          </w:tcPr>
          <w:p>
            <w:pPr>
              <w:pStyle w:val="1078"/>
              <w:jc w:val="center"/>
              <w:keepLines w:val="0"/>
              <w:keepNext w:val="0"/>
              <w:pageBreakBefore w:val="0"/>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ascii="宋体" w:hAnsi="宋体" w:eastAsia="宋体" w:cs="宋体"/>
                <w:bCs/>
                <w:color w:val="000000"/>
                <w:sz w:val="24"/>
                <w:szCs w:val="24"/>
                <w:highlight w:val="none"/>
                <w:lang w:val="en-US" w:eastAsia="zh-CN"/>
              </w:rPr>
            </w:r>
            <w:r/>
          </w:p>
        </w:tc>
        <w:tc>
          <w:tcPr>
            <w:tcW w:w="2046" w:type="dxa"/>
            <w:vAlign w:val="center"/>
            <w:textDirection w:val="lrTb"/>
            <w:noWrap w:val="false"/>
          </w:tcPr>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供应商自</w:t>
            </w:r>
            <w:r>
              <w:rPr>
                <w:rFonts w:hint="eastAsia" w:ascii="宋体" w:hAnsi="宋体" w:cs="宋体"/>
                <w:bCs/>
                <w:color w:val="000000"/>
                <w:sz w:val="24"/>
                <w:szCs w:val="24"/>
                <w:highlight w:val="none"/>
              </w:rPr>
              <w:t xml:space="preserve">202</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年1月1日以来</w:t>
            </w:r>
            <w:r>
              <w:rPr>
                <w:rFonts w:hint="eastAsia" w:ascii="宋体" w:hAnsi="宋体" w:cs="宋体"/>
                <w:bCs/>
                <w:color w:val="000000"/>
                <w:sz w:val="24"/>
                <w:szCs w:val="24"/>
                <w:highlight w:val="none"/>
              </w:rPr>
              <w:t xml:space="preserve">获得</w:t>
            </w:r>
            <w:r>
              <w:rPr>
                <w:rFonts w:hint="eastAsia" w:ascii="宋体" w:hAnsi="宋体" w:cs="宋体"/>
                <w:bCs/>
                <w:color w:val="000000"/>
                <w:sz w:val="24"/>
                <w:szCs w:val="24"/>
                <w:highlight w:val="none"/>
                <w:lang w:val="en-US" w:eastAsia="zh-CN"/>
              </w:rPr>
              <w:t xml:space="preserve">市级</w:t>
            </w:r>
            <w:r>
              <w:rPr>
                <w:rFonts w:hint="eastAsia" w:ascii="宋体" w:hAnsi="宋体" w:cs="宋体"/>
                <w:bCs/>
                <w:color w:val="000000"/>
                <w:sz w:val="24"/>
                <w:szCs w:val="24"/>
                <w:highlight w:val="none"/>
              </w:rPr>
              <w:t xml:space="preserve">及以上相关荣誉或奖项，</w:t>
            </w:r>
            <w:r>
              <w:rPr>
                <w:rFonts w:hint="eastAsia" w:ascii="宋体" w:hAnsi="宋体" w:cs="宋体"/>
                <w:bCs/>
                <w:color w:val="000000"/>
                <w:sz w:val="24"/>
                <w:szCs w:val="24"/>
                <w:highlight w:val="none"/>
              </w:rPr>
              <w:t xml:space="preserve">每提供</w:t>
            </w:r>
            <w:r>
              <w:rPr>
                <w:rFonts w:hint="eastAsia" w:ascii="宋体" w:hAnsi="宋体" w:cs="宋体"/>
                <w:bCs/>
                <w:color w:val="000000"/>
                <w:sz w:val="24"/>
                <w:szCs w:val="24"/>
                <w:highlight w:val="none"/>
                <w:lang w:val="en-US" w:eastAsia="zh-CN"/>
              </w:rPr>
              <w:t xml:space="preserve">1个</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分，最高得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hint="eastAsia" w:ascii="宋体" w:hAnsi="宋体" w:cs="宋体"/>
                <w:bCs/>
                <w:color w:val="000000"/>
                <w:sz w:val="24"/>
                <w:szCs w:val="24"/>
                <w:highlight w:val="none"/>
              </w:rPr>
              <w:t xml:space="preserve">提供省及以上、市级主管部门颁发的荣誉或奖项等证明材料</w:t>
            </w:r>
            <w:r>
              <w:rPr>
                <w:rFonts w:hint="eastAsia" w:ascii="宋体" w:hAnsi="宋体" w:cs="宋体"/>
                <w:bCs/>
                <w:color w:val="000000"/>
                <w:sz w:val="24"/>
                <w:szCs w:val="24"/>
                <w:highlight w:val="none"/>
                <w:lang w:eastAsia="zh-CN"/>
              </w:rPr>
              <w:t xml:space="preserve">扫描件</w:t>
            </w:r>
            <w:r>
              <w:rPr>
                <w:rFonts w:hint="eastAsia" w:ascii="宋体" w:hAnsi="宋体" w:cs="宋体"/>
                <w:bCs/>
                <w:color w:val="000000"/>
                <w:sz w:val="24"/>
                <w:szCs w:val="24"/>
                <w:highlight w:val="none"/>
              </w:rPr>
              <w:t xml:space="preserve">并加盖供应商公章</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未提供不得分。</w:t>
            </w:r>
            <w:r>
              <w:rPr>
                <w:rFonts w:ascii="宋体" w:hAnsi="宋体"/>
                <w:bCs/>
                <w:color w:val="000000"/>
                <w:sz w:val="24"/>
                <w:szCs w:val="24"/>
                <w:highlight w:val="none"/>
              </w:rPr>
            </w:r>
            <w:r/>
          </w:p>
        </w:tc>
      </w:tr>
      <w:tr>
        <w:trPr/>
        <w:tc>
          <w:tcPr>
            <w:tcW w:w="376" w:type="dxa"/>
            <w:vAlign w:val="center"/>
            <w:textDirection w:val="lrTb"/>
            <w:noWrap w:val="false"/>
          </w:tcPr>
          <w:p>
            <w:pPr>
              <w:pStyle w:val="1078"/>
              <w:ind w:firstLine="28"/>
              <w:jc w:val="center"/>
              <w:keepLines w:val="0"/>
              <w:keepNext w:val="0"/>
              <w:pageBreakBefore w:val="0"/>
              <w:spacing w:line="400" w:lineRule="exac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en-US" w:eastAsia="zh-CN"/>
              </w:rPr>
              <w:t xml:space="preserve">3</w:t>
            </w:r>
            <w:r>
              <w:rPr>
                <w:rFonts w:hint="eastAsia" w:ascii="宋体" w:hAnsi="宋体" w:eastAsia="宋体"/>
                <w:bCs/>
                <w:color w:val="000000"/>
                <w:sz w:val="24"/>
                <w:szCs w:val="24"/>
                <w:highlight w:val="none"/>
                <w:lang w:val="en-US" w:eastAsia="zh-CN"/>
              </w:rPr>
            </w:r>
            <w:r/>
          </w:p>
        </w:tc>
        <w:tc>
          <w:tcPr>
            <w:tcW w:w="780" w:type="dxa"/>
            <w:vAlign w:val="center"/>
            <w:textDirection w:val="lrTb"/>
            <w:noWrap w:val="false"/>
          </w:tcPr>
          <w:p>
            <w:pPr>
              <w:pStyle w:val="1078"/>
              <w:jc w:val="center"/>
              <w:keepLines w:val="0"/>
              <w:keepNext w:val="0"/>
              <w:pageBreakBefore w:val="0"/>
              <w:spacing w:line="4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体系认证</w:t>
            </w:r>
            <w:r>
              <w:rPr>
                <w:rFonts w:ascii="宋体" w:hAnsi="宋体" w:cs="宋体"/>
                <w:bCs/>
                <w:color w:val="000000"/>
                <w:sz w:val="24"/>
                <w:szCs w:val="24"/>
                <w:highlight w:val="none"/>
              </w:rPr>
            </w:r>
            <w:r/>
          </w:p>
        </w:tc>
        <w:tc>
          <w:tcPr>
            <w:tcW w:w="401" w:type="dxa"/>
            <w:vAlign w:val="center"/>
            <w:textDirection w:val="lrTb"/>
            <w:noWrap w:val="false"/>
          </w:tcPr>
          <w:p>
            <w:pPr>
              <w:pStyle w:val="1078"/>
              <w:jc w:val="center"/>
              <w:keepLines w:val="0"/>
              <w:keepNext w:val="0"/>
              <w:pageBreakBefore w:val="0"/>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r>
            <w:r/>
          </w:p>
        </w:tc>
        <w:tc>
          <w:tcPr>
            <w:tcW w:w="2046" w:type="dxa"/>
            <w:vAlign w:val="center"/>
            <w:textDirection w:val="lrTb"/>
            <w:noWrap w:val="false"/>
          </w:tcPr>
          <w:p>
            <w:pPr>
              <w:pStyle w:val="1078"/>
              <w:ind w:firstLine="480"/>
              <w:jc w:val="left"/>
              <w:keepLines w:val="0"/>
              <w:keepNext w:val="0"/>
              <w:pageBreakBefore w:val="0"/>
              <w:spacing w:line="400" w:lineRule="exact"/>
              <w:widowControl/>
              <w:rPr>
                <w:rFonts w:ascii="宋体" w:hAnsi="宋体"/>
                <w:bCs/>
                <w:color w:val="000000"/>
                <w:sz w:val="24"/>
                <w:szCs w:val="24"/>
                <w:highlight w:val="none"/>
              </w:rPr>
            </w:pP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lang w:val="en-US" w:eastAsia="zh-CN"/>
              </w:rPr>
              <w:t xml:space="preserve">通过</w:t>
            </w:r>
            <w:r>
              <w:rPr>
                <w:rFonts w:hint="eastAsia" w:ascii="宋体" w:hAnsi="宋体" w:eastAsia="宋体" w:cs="宋体"/>
                <w:bCs/>
                <w:color w:val="000000"/>
                <w:sz w:val="24"/>
                <w:szCs w:val="24"/>
                <w:highlight w:val="none"/>
              </w:rPr>
              <w:t xml:space="preserve">ISO质量管理体系认证、ISO环境管理管理体系认证、ISO职业健康安全管理体系认证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ISO</w:t>
            </w:r>
            <w:r>
              <w:rPr>
                <w:rFonts w:hint="eastAsia" w:ascii="宋体" w:hAnsi="宋体" w:eastAsia="宋体" w:cs="宋体"/>
                <w:bCs/>
                <w:color w:val="000000"/>
                <w:sz w:val="24"/>
                <w:szCs w:val="24"/>
                <w:highlight w:val="none"/>
                <w:lang w:val="en-US" w:eastAsia="zh-CN"/>
              </w:rPr>
              <w:t xml:space="preserve">信息</w:t>
            </w:r>
            <w:r>
              <w:rPr>
                <w:rFonts w:hint="eastAsia" w:ascii="宋体" w:hAnsi="宋体" w:eastAsia="宋体" w:cs="宋体"/>
                <w:bCs/>
                <w:color w:val="000000"/>
                <w:sz w:val="24"/>
                <w:szCs w:val="24"/>
                <w:highlight w:val="none"/>
              </w:rPr>
              <w:t xml:space="preserve">安全管理体系认证</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每提供</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个得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分，本项最高为</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ascii="宋体" w:hAnsi="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hint="eastAsia" w:ascii="宋体" w:hAnsi="宋体" w:eastAsia="宋体"/>
                <w:bCs/>
                <w:color w:val="000000"/>
                <w:sz w:val="24"/>
                <w:szCs w:val="24"/>
                <w:highlight w:val="none"/>
                <w:lang w:eastAsia="zh-CN"/>
              </w:rPr>
            </w:pPr>
            <w:r>
              <w:rPr>
                <w:rFonts w:hint="eastAsia" w:ascii="宋体" w:hAnsi="宋体" w:cs="宋体"/>
                <w:bCs/>
                <w:color w:val="000000"/>
                <w:sz w:val="24"/>
                <w:szCs w:val="24"/>
                <w:highlight w:val="none"/>
              </w:rPr>
              <w:t xml:space="preserve">以上证书需提供证书</w:t>
            </w:r>
            <w:r>
              <w:rPr>
                <w:rFonts w:hint="eastAsia" w:ascii="宋体" w:hAnsi="宋体" w:cs="宋体"/>
                <w:bCs/>
                <w:color w:val="000000"/>
                <w:sz w:val="24"/>
                <w:szCs w:val="24"/>
                <w:highlight w:val="none"/>
                <w:lang w:eastAsia="zh-CN"/>
              </w:rPr>
              <w:t xml:space="preserve">扫描件</w:t>
            </w:r>
            <w:r>
              <w:rPr>
                <w:rFonts w:hint="eastAsia" w:ascii="宋体" w:hAnsi="宋体" w:cs="宋体"/>
                <w:bCs/>
                <w:color w:val="000000"/>
                <w:sz w:val="24"/>
                <w:szCs w:val="24"/>
                <w:highlight w:val="none"/>
              </w:rPr>
              <w:t xml:space="preserve">及全国认证认可信息公共服务平台http://cx.cnca.cn/查询页面截图</w:t>
            </w:r>
            <w:r>
              <w:rPr>
                <w:rFonts w:hint="eastAsia" w:ascii="宋体" w:hAnsi="宋体" w:cs="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tc>
      </w:tr>
      <w:tr>
        <w:trPr>
          <w:trHeight w:val="1116"/>
        </w:trPr>
        <w:tc>
          <w:tcPr>
            <w:tcW w:w="376" w:type="dxa"/>
            <w:vAlign w:val="center"/>
            <w:textDirection w:val="lrTb"/>
            <w:noWrap w:val="false"/>
          </w:tcPr>
          <w:p>
            <w:pPr>
              <w:pStyle w:val="1078"/>
              <w:ind w:firstLine="28"/>
              <w:jc w:val="center"/>
              <w:keepLines w:val="0"/>
              <w:keepNext w:val="0"/>
              <w:pageBreakBefore w:val="0"/>
              <w:spacing w:line="400" w:lineRule="exact"/>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3.4</w:t>
            </w:r>
            <w:r>
              <w:rPr>
                <w:rFonts w:ascii="宋体" w:hAnsi="宋体" w:eastAsia="宋体"/>
                <w:bCs/>
                <w:color w:val="000000"/>
                <w:sz w:val="24"/>
                <w:szCs w:val="24"/>
                <w:highlight w:val="none"/>
                <w:lang w:val="en-US" w:eastAsia="zh-CN"/>
              </w:rPr>
            </w:r>
            <w:r/>
          </w:p>
        </w:tc>
        <w:tc>
          <w:tcPr>
            <w:tcW w:w="780" w:type="dxa"/>
            <w:vAlign w:val="center"/>
            <w:textDirection w:val="lrTb"/>
            <w:noWrap w:val="false"/>
          </w:tcPr>
          <w:p>
            <w:pPr>
              <w:pStyle w:val="1078"/>
              <w:jc w:val="center"/>
              <w:keepLines w:val="0"/>
              <w:keepNext w:val="0"/>
              <w:pageBreakBefore w:val="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项目组人员</w:t>
            </w:r>
            <w:r>
              <w:rPr>
                <w:rFonts w:hint="eastAsia" w:ascii="宋体" w:hAnsi="宋体" w:cs="宋体"/>
                <w:bCs/>
                <w:color w:val="000000"/>
                <w:sz w:val="24"/>
                <w:szCs w:val="24"/>
                <w:highlight w:val="none"/>
              </w:rPr>
            </w:r>
            <w:r/>
          </w:p>
        </w:tc>
        <w:tc>
          <w:tcPr>
            <w:tcW w:w="401" w:type="dxa"/>
            <w:vAlign w:val="center"/>
            <w:textDirection w:val="lrTb"/>
            <w:noWrap w:val="false"/>
          </w:tcPr>
          <w:p>
            <w:pPr>
              <w:pStyle w:val="1078"/>
              <w:jc w:val="center"/>
              <w:keepLines w:val="0"/>
              <w:keepNext w:val="0"/>
              <w:pageBreakBefore w:val="0"/>
              <w:spacing w:line="400" w:lineRule="exact"/>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ascii="宋体" w:hAnsi="宋体" w:cs="宋体"/>
                <w:bCs/>
                <w:color w:val="000000"/>
                <w:sz w:val="24"/>
                <w:szCs w:val="24"/>
                <w:highlight w:val="none"/>
                <w:lang w:val="en-US" w:eastAsia="zh-CN"/>
              </w:rPr>
            </w:r>
            <w:r/>
          </w:p>
        </w:tc>
        <w:tc>
          <w:tcPr>
            <w:tcW w:w="2046" w:type="dxa"/>
            <w:vAlign w:val="center"/>
            <w:textDirection w:val="lrTb"/>
            <w:noWrap w:val="false"/>
          </w:tcPr>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1.项目负责人（1人）：</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具有大专学历得1分；</w:t>
            </w:r>
            <w:r>
              <w:rPr>
                <w:rFonts w:hint="eastAsia" w:ascii="宋体" w:hAnsi="宋体" w:cs="宋体"/>
                <w:bCs/>
                <w:color w:val="000000"/>
                <w:sz w:val="24"/>
                <w:szCs w:val="24"/>
                <w:highlight w:val="none"/>
                <w:lang w:val="en-US" w:eastAsia="zh-CN"/>
              </w:rPr>
              <w:t xml:space="preserve">本科及以上学历的</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t xml:space="preserve">本项</w:t>
            </w:r>
            <w:r>
              <w:rPr>
                <w:rFonts w:hint="eastAsia" w:ascii="宋体" w:hAnsi="宋体" w:cs="宋体"/>
                <w:bCs/>
                <w:color w:val="000000"/>
                <w:sz w:val="24"/>
                <w:szCs w:val="24"/>
                <w:highlight w:val="none"/>
              </w:rPr>
              <w:t xml:space="preserve">最高得2分。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2.项目组成员：</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具有图书馆专业系统培训证书得1分，本项最高得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78"/>
              <w:ind w:firstLine="480"/>
              <w:jc w:val="left"/>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上述人员不可重复得分，此项最高得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c>
          <w:tcPr>
            <w:tcW w:w="1396" w:type="dxa"/>
            <w:vAlign w:val="center"/>
            <w:textDirection w:val="lrTb"/>
            <w:noWrap w:val="false"/>
          </w:tcPr>
          <w:p>
            <w:pPr>
              <w:pStyle w:val="1078"/>
              <w:keepLines w:val="0"/>
              <w:keepNext w:val="0"/>
              <w:pageBreakBefore w:val="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提供对应相关人员有效学历证书扫描件，并同时提供近三个月以来任意一个月供应商为对应人员缴纳社保证明扫描件，并均加盖供应商公章</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未提供的不得分。</w:t>
            </w:r>
            <w:r>
              <w:rPr>
                <w:rFonts w:hint="eastAsia" w:ascii="宋体" w:hAnsi="宋体" w:cs="宋体"/>
                <w:bCs/>
                <w:color w:val="000000"/>
                <w:sz w:val="24"/>
                <w:szCs w:val="24"/>
                <w:highlight w:val="none"/>
              </w:rPr>
            </w:r>
            <w:r/>
          </w:p>
        </w:tc>
      </w:tr>
      <w:tr>
        <w:trPr/>
        <w:tc>
          <w:tcPr>
            <w:gridSpan w:val="2"/>
            <w:tcW w:w="2147"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合计</w:t>
            </w:r>
            <w:r>
              <w:rPr>
                <w:rFonts w:ascii="宋体" w:hAnsi="宋体"/>
                <w:bCs/>
                <w:color w:val="000000"/>
                <w:sz w:val="24"/>
                <w:szCs w:val="24"/>
                <w:highlight w:val="none"/>
              </w:rPr>
            </w:r>
            <w:r/>
          </w:p>
        </w:tc>
        <w:tc>
          <w:tcPr>
            <w:tcW w:w="401" w:type="dxa"/>
            <w:vAlign w:val="center"/>
            <w:textDirection w:val="lrTb"/>
            <w:noWrap w:val="false"/>
          </w:tcPr>
          <w:p>
            <w:pPr>
              <w:pStyle w:val="1078"/>
              <w:ind w:firstLine="28"/>
              <w:jc w:val="center"/>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100</w:t>
            </w:r>
            <w:r>
              <w:rPr>
                <w:rFonts w:ascii="宋体" w:hAnsi="宋体"/>
                <w:bCs/>
                <w:color w:val="000000"/>
                <w:sz w:val="24"/>
                <w:szCs w:val="24"/>
                <w:highlight w:val="none"/>
              </w:rPr>
            </w:r>
            <w:r/>
          </w:p>
        </w:tc>
        <w:tc>
          <w:tcPr>
            <w:gridSpan w:val="2"/>
            <w:tcW w:w="6392" w:type="dxa"/>
            <w:vAlign w:val="center"/>
            <w:textDirection w:val="lrTb"/>
            <w:noWrap w:val="false"/>
          </w:tcPr>
          <w:p>
            <w:pPr>
              <w:pStyle w:val="1078"/>
              <w:keepLines w:val="0"/>
              <w:keepNext w:val="0"/>
              <w:pageBreakBefore w:val="0"/>
              <w:spacing w:line="400" w:lineRule="exact"/>
              <w:rPr>
                <w:rFonts w:ascii="宋体" w:hAnsi="宋体"/>
                <w:bCs/>
                <w:color w:val="000000"/>
                <w:sz w:val="24"/>
                <w:szCs w:val="24"/>
                <w:highlight w:val="none"/>
              </w:rPr>
            </w:pPr>
            <w:r>
              <w:rPr>
                <w:rFonts w:ascii="宋体" w:hAnsi="宋体"/>
                <w:bCs/>
                <w:color w:val="000000"/>
                <w:sz w:val="24"/>
                <w:szCs w:val="24"/>
                <w:highlight w:val="none"/>
              </w:rPr>
            </w:r>
            <w:r/>
          </w:p>
        </w:tc>
      </w:tr>
    </w:tbl>
    <w:p>
      <w:pPr>
        <w:pStyle w:val="107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8"/>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一、项目概况</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常州经开区图书馆综合运营服务项目，是依据常州经开区对于图书馆发展的工作目标和管理要求，以《中华人民共和国公共图书馆法》《第七次全国公共图书馆评估定级》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江苏省公共图书馆条例》</w:t>
      </w:r>
      <w:r>
        <w:rPr>
          <w:rFonts w:hint="eastAsia" w:ascii="宋体" w:hAnsi="宋体" w:cs="宋体"/>
          <w:color w:val="000000"/>
          <w:sz w:val="24"/>
          <w:szCs w:val="24"/>
          <w:highlight w:val="none"/>
        </w:rPr>
        <w:t xml:space="preserve">为指导，发挥公共图书馆的文化传播、科学普及、社会教育、传递文献信息、开发智力资源等社会职能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打造全民阅读中心，实现服务效能的</w:t>
      </w:r>
      <w:r>
        <w:rPr>
          <w:rFonts w:hint="eastAsia" w:ascii="宋体" w:hAnsi="宋体" w:cs="宋体"/>
          <w:color w:val="000000"/>
          <w:sz w:val="24"/>
          <w:szCs w:val="24"/>
          <w:highlight w:val="none"/>
          <w:lang w:val="en-US" w:eastAsia="zh-CN"/>
        </w:rPr>
        <w:t xml:space="preserve">提升</w:t>
      </w:r>
      <w:r>
        <w:rPr>
          <w:rFonts w:hint="eastAsia" w:ascii="宋体" w:hAnsi="宋体" w:cs="宋体"/>
          <w:color w:val="000000"/>
          <w:sz w:val="24"/>
          <w:szCs w:val="24"/>
          <w:highlight w:val="none"/>
        </w:rPr>
        <w:t xml:space="preserve">，构建服务多元化，保障图书馆健康有效运营。</w:t>
      </w:r>
      <w:r>
        <w:rPr>
          <w:rFonts w:hint="eastAsia" w:ascii="宋体" w:hAnsi="宋体" w:cs="宋体"/>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二、服务期限</w:t>
      </w:r>
      <w:r>
        <w:rPr>
          <w:rFonts w:hint="eastAsia" w:ascii="宋体" w:hAnsi="宋体" w:cs="宋体"/>
          <w:b/>
          <w:bCs/>
          <w:color w:val="000000"/>
          <w:sz w:val="24"/>
          <w:szCs w:val="24"/>
          <w:highlight w:val="none"/>
        </w:rPr>
      </w:r>
      <w:r/>
    </w:p>
    <w:p>
      <w:pPr>
        <w:pStyle w:val="1145"/>
        <w:ind w:left="0" w:firstLine="482"/>
        <w:keepLines w:val="0"/>
        <w:keepNext w:val="0"/>
        <w:pageBreakBefore w:val="0"/>
        <w:spacing w:after="0" w:line="360" w:lineRule="auto"/>
        <w:widowControl w:val="off"/>
        <w:tabs>
          <w:tab w:val="left" w:pos="63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服务期限为一年（2026年10月13日至2027年10月12日）。</w:t>
      </w:r>
      <w:r>
        <w:rPr>
          <w:rFonts w:hint="eastAsia" w:ascii="宋体" w:hAnsi="宋体" w:cs="宋体"/>
          <w:b/>
          <w:bCs/>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三、服务具体内容及要求</w:t>
      </w:r>
      <w:r>
        <w:rPr>
          <w:rFonts w:hint="eastAsia" w:ascii="宋体" w:hAnsi="宋体" w:cs="宋体"/>
          <w:b/>
          <w:bCs/>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（一）基本任务要求</w:t>
      </w:r>
      <w:r>
        <w:rPr>
          <w:rFonts w:hint="eastAsia" w:ascii="宋体" w:hAnsi="宋体" w:cs="宋体"/>
          <w:b/>
          <w:bCs/>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日常管理和运行服务；</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图书馆服务宣传推广；</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策划组织开展特色服务活动、精品活动；</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基层服务与空间拓展；</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lang w:val="en-US" w:eastAsia="zh-CN"/>
        </w:rPr>
        <w:t xml:space="preserve">公共</w:t>
      </w:r>
      <w:r>
        <w:rPr>
          <w:rFonts w:hint="eastAsia" w:ascii="宋体" w:hAnsi="宋体" w:cs="宋体"/>
          <w:color w:val="000000"/>
          <w:sz w:val="24"/>
          <w:szCs w:val="24"/>
          <w:highlight w:val="none"/>
        </w:rPr>
        <w:t xml:space="preserve">图书馆相关任务。</w:t>
      </w:r>
      <w:r>
        <w:rPr>
          <w:rFonts w:hint="eastAsia" w:ascii="宋体" w:hAnsi="宋体" w:cs="宋体"/>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（二）运营服务商基本职责</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应定期对图书馆设施设备进行检查维护，确保正常运行。</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制订图书馆具体发展目标和年度工作计划以及工作总结，落实上级下达的工作目标和工作任务。</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落实财务管理、国有资产管理、档案管理等各项制度。</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制定安全管理应急预案，确保消防、保卫、数据及网络、监控系统安全。</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做好环境整洁、标识标准、设施维护、节能减排工作。</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加强员工岗位管理和能力建设，组织全馆员工接受岗位培训和继续教育。</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制定馆藏发展政策，工作程序规范、严格，合理布局共建共享，按比列结构配置各类文献资源，落实地方文献入藏和管理建设工作。</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按标准进行文献编目、加工整理与排架、剔旧、文献保护等相关工作，探索新技术应用。</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参与联盟或参与跨地区、跨系统的图书馆协作协调工作，有效整合社会资源开展业务活动。</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0.落实总分馆制，</w:t>
      </w:r>
      <w:r>
        <w:rPr>
          <w:rFonts w:hint="eastAsia" w:ascii="宋体" w:hAnsi="宋体" w:cs="宋体"/>
          <w:color w:val="000000"/>
          <w:sz w:val="24"/>
          <w:szCs w:val="24"/>
          <w:highlight w:val="none"/>
        </w:rPr>
        <w:t xml:space="preserve">对基层开展业务辅导与培训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参加</w:t>
      </w:r>
      <w:r>
        <w:rPr>
          <w:rFonts w:hint="eastAsia" w:ascii="宋体" w:hAnsi="宋体" w:cs="宋体"/>
          <w:color w:val="000000"/>
          <w:sz w:val="24"/>
          <w:szCs w:val="24"/>
          <w:highlight w:val="none"/>
          <w:lang w:val="en-US" w:eastAsia="zh-CN"/>
        </w:rPr>
        <w:t xml:space="preserve">各级</w:t>
      </w:r>
      <w:r>
        <w:rPr>
          <w:rFonts w:hint="eastAsia" w:ascii="宋体" w:hAnsi="宋体" w:cs="宋体"/>
          <w:color w:val="000000"/>
          <w:sz w:val="24"/>
          <w:szCs w:val="24"/>
          <w:highlight w:val="none"/>
        </w:rPr>
        <w:t xml:space="preserve">图书馆学会（协会）相关工作。</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做好图书馆业务研究的组织管理，开展馆内业务研究活动，参加馆外学术和业务活动。</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3.发动社会力量</w:t>
      </w:r>
      <w:r>
        <w:rPr>
          <w:rFonts w:hint="eastAsia" w:ascii="宋体" w:hAnsi="宋体" w:cs="宋体"/>
          <w:color w:val="000000"/>
          <w:sz w:val="24"/>
          <w:szCs w:val="24"/>
          <w:highlight w:val="none"/>
        </w:rPr>
        <w:t xml:space="preserve">参与</w:t>
      </w:r>
      <w:r>
        <w:rPr>
          <w:rFonts w:hint="eastAsia" w:ascii="宋体" w:hAnsi="宋体" w:cs="宋体"/>
          <w:color w:val="000000"/>
          <w:sz w:val="24"/>
          <w:szCs w:val="24"/>
          <w:highlight w:val="none"/>
          <w:lang w:val="en-US" w:eastAsia="zh-CN"/>
        </w:rPr>
        <w:t xml:space="preserve">图书馆事业</w:t>
      </w:r>
      <w:r>
        <w:rPr>
          <w:rFonts w:hint="eastAsia" w:ascii="宋体" w:hAnsi="宋体" w:cs="宋体"/>
          <w:color w:val="000000"/>
          <w:sz w:val="24"/>
          <w:szCs w:val="24"/>
          <w:highlight w:val="none"/>
        </w:rPr>
        <w:t xml:space="preserve">，做好志愿者服务工作。</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严格贯彻落实图书馆的各项规章制度、工作部署。</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严格按照合同约定的任务和目标按时保质保量完成。</w:t>
      </w:r>
      <w:r>
        <w:rPr>
          <w:rFonts w:hint="eastAsia" w:ascii="宋体" w:hAnsi="宋体" w:cs="宋体"/>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（三）服务范围及内容</w:t>
      </w:r>
      <w:r>
        <w:rPr>
          <w:rFonts w:hint="eastAsia" w:ascii="宋体" w:hAnsi="宋体" w:cs="宋体"/>
          <w:b/>
          <w:bCs/>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运营时间要求</w:t>
      </w:r>
      <w:r>
        <w:rPr>
          <w:rFonts w:hint="eastAsia" w:ascii="宋体" w:hAnsi="宋体" w:cs="宋体"/>
          <w:b/>
          <w:bCs/>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 xml:space="preserve">日常开放时间：每周二至周日，上午8:30—下午5:30，每周一闭馆。</w:t>
      </w:r>
      <w:r>
        <w:rPr>
          <w:rFonts w:hint="eastAsia" w:ascii="宋体" w:hAnsi="宋体" w:cs="宋体"/>
          <w:b w:val="0"/>
          <w:bCs w:val="0"/>
          <w:color w:val="000000"/>
          <w:sz w:val="24"/>
          <w:szCs w:val="24"/>
          <w:highlight w:val="none"/>
          <w:lang w:val="en-US" w:eastAsia="zh-CN"/>
        </w:rPr>
        <w:t xml:space="preserve">延时服务区域开放至夜间8:00。</w:t>
      </w:r>
      <w:r>
        <w:rPr>
          <w:rFonts w:hint="eastAsia" w:ascii="宋体" w:hAnsi="宋体" w:cs="宋体"/>
          <w:b w:val="0"/>
          <w:bCs w:val="0"/>
          <w:color w:val="000000"/>
          <w:sz w:val="24"/>
          <w:szCs w:val="24"/>
          <w:highlight w:val="none"/>
          <w:lang w:val="en-US" w:eastAsia="zh-CN"/>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开放期间，中午</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11:30—13:00</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实行轮岗值班制度，服务台必须有值班服务人员。如遇</w:t>
      </w:r>
      <w:r>
        <w:rPr>
          <w:rFonts w:hint="eastAsia" w:ascii="宋体" w:hAnsi="宋体" w:cs="宋体"/>
          <w:b w:val="0"/>
          <w:bCs w:val="0"/>
          <w:color w:val="000000"/>
          <w:sz w:val="24"/>
          <w:szCs w:val="24"/>
          <w:highlight w:val="none"/>
          <w:lang w:val="en-US" w:eastAsia="zh-CN"/>
        </w:rPr>
        <w:t xml:space="preserve">不可抗力因素、</w:t>
      </w:r>
      <w:r>
        <w:rPr>
          <w:rFonts w:hint="eastAsia" w:ascii="宋体" w:hAnsi="宋体" w:cs="宋体"/>
          <w:b w:val="0"/>
          <w:bCs w:val="0"/>
          <w:color w:val="000000"/>
          <w:sz w:val="24"/>
          <w:szCs w:val="24"/>
          <w:highlight w:val="none"/>
        </w:rPr>
        <w:t xml:space="preserve">重大节日</w:t>
      </w:r>
      <w:r>
        <w:rPr>
          <w:rFonts w:hint="eastAsia" w:ascii="宋体" w:hAnsi="宋体" w:cs="宋体"/>
          <w:b w:val="0"/>
          <w:bCs w:val="0"/>
          <w:color w:val="000000"/>
          <w:sz w:val="24"/>
          <w:szCs w:val="24"/>
          <w:highlight w:val="none"/>
          <w:lang w:val="en-US" w:eastAsia="zh-CN"/>
        </w:rPr>
        <w:t xml:space="preserve">和</w:t>
      </w:r>
      <w:r>
        <w:rPr>
          <w:rFonts w:hint="eastAsia" w:ascii="宋体" w:hAnsi="宋体" w:cs="宋体"/>
          <w:b w:val="0"/>
          <w:bCs w:val="0"/>
          <w:color w:val="000000"/>
          <w:sz w:val="24"/>
          <w:szCs w:val="24"/>
          <w:highlight w:val="none"/>
        </w:rPr>
        <w:t xml:space="preserve">活动等情况根据实际情况进行临时调整。</w:t>
      </w:r>
      <w:r>
        <w:rPr>
          <w:rFonts w:hint="eastAsia" w:ascii="宋体" w:hAnsi="宋体" w:cs="宋体"/>
          <w:b w:val="0"/>
          <w:bCs w:val="0"/>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rPr>
        <w:t xml:space="preserve">基本服务要求 </w:t>
      </w:r>
      <w:r>
        <w:rPr>
          <w:rFonts w:hint="eastAsia" w:ascii="宋体" w:hAnsi="宋体" w:cs="宋体"/>
          <w:b/>
          <w:bCs/>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障场馆每周开放不少于54小时、法定节假日按需开放；做好馆藏整理、环境保洁、设施设备每日巡检，规范建立各类运营台账。落实意识形态、消防、网络信息、舆情全维度安全管控，定期开展安全培训与演练，故障、投诉限时响应，严防重特大安全事故。规范场馆功能区域管理，建立固定资产台账，每年完成资产盘点、报修报损归档；运营新媒体平台及时发布服务、活动信息，汇总上报业务数据，统一归档运营档案。</w:t>
      </w:r>
      <w:r>
        <w:rPr>
          <w:rFonts w:hint="eastAsia" w:ascii="宋体" w:hAnsi="宋体" w:cs="宋体"/>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3.活动组织与品牌打造</w:t>
      </w:r>
      <w:r>
        <w:rPr>
          <w:rFonts w:hint="eastAsia" w:ascii="宋体" w:hAnsi="宋体" w:eastAsia="宋体" w:cs="宋体"/>
          <w:b/>
          <w:bCs/>
          <w:color w:val="000000"/>
          <w:sz w:val="24"/>
          <w:szCs w:val="24"/>
          <w:highlight w:val="none"/>
          <w:lang w:val="en-US" w:eastAsia="zh-CN"/>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展阅读推广活动不少于160场，涵盖：讲座类、展览类、培训类以及其他，其中：单场人次达到200以上的讲座类活动不少于5场、培训类和其他类活动单场次人数不得少于30人次；结合节日、读书日开展主题活动，全流程负责策划、落地、宣传、总结。承接市、区级全民阅读、作家讲座、非遗融合、总分馆联动等大型文化活动，配合完成迎检、示范创建工作；全新打造1个特色阅读品牌。</w:t>
      </w:r>
      <w:r>
        <w:rPr>
          <w:rFonts w:hint="eastAsia" w:ascii="宋体" w:hAnsi="宋体" w:eastAsia="宋体" w:cs="宋体"/>
          <w:color w:val="000000"/>
          <w:sz w:val="24"/>
          <w:szCs w:val="24"/>
          <w:highlight w:val="none"/>
          <w:lang w:val="en-US" w:eastAsia="zh-CN"/>
        </w:rPr>
      </w:r>
      <w:r/>
    </w:p>
    <w:p>
      <w:pPr>
        <w:pStyle w:val="1078"/>
        <w:ind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4.基层服务与空间拓展</w:t>
      </w:r>
      <w:r>
        <w:rPr>
          <w:rFonts w:hint="eastAsia" w:ascii="宋体" w:hAnsi="宋体" w:eastAsia="宋体" w:cs="宋体"/>
          <w:b/>
          <w:bCs/>
          <w:color w:val="000000"/>
          <w:sz w:val="24"/>
          <w:szCs w:val="24"/>
          <w:highlight w:val="none"/>
          <w:lang w:val="en-US" w:eastAsia="zh-CN"/>
        </w:rPr>
      </w:r>
      <w:r/>
    </w:p>
    <w:p>
      <w:pPr>
        <w:pStyle w:val="1078"/>
        <w:numPr>
          <w:ilvl w:val="0"/>
          <w:numId w:val="0"/>
        </w:numPr>
        <w:ind w:firstLine="480"/>
        <w:keepLines w:val="0"/>
        <w:keepNext w:val="0"/>
        <w:pageBreakBefore w:val="0"/>
        <w:spacing w:line="360" w:lineRule="auto"/>
        <w:widowControl w:val="off"/>
        <w:rPr>
          <w:rFonts w:hint="eastAsia"/>
          <w:color w:val="000000"/>
          <w:sz w:val="24"/>
          <w:szCs w:val="24"/>
          <w:highlight w:val="none"/>
          <w:lang w:val="en-US" w:eastAsia="zh-CN"/>
        </w:rPr>
      </w:pPr>
      <w:r>
        <w:rPr>
          <w:rFonts w:hint="eastAsia"/>
          <w:color w:val="000000"/>
          <w:sz w:val="24"/>
          <w:szCs w:val="24"/>
          <w:highlight w:val="none"/>
          <w:lang w:val="en-US" w:eastAsia="zh-CN"/>
        </w:rPr>
        <w:t xml:space="preserve">常态化开展流动书车、送书上门、图书漂流等下沉服务，覆盖社区、校园、企业、养老及特殊群体；利用闲置低效资源打造区图书馆青少年分馆。统筹总分馆制一体化运营，</w:t>
      </w:r>
      <w:r>
        <w:rPr>
          <w:rFonts w:hint="eastAsia"/>
          <w:color w:val="000000"/>
          <w:sz w:val="24"/>
          <w:szCs w:val="24"/>
          <w:highlight w:val="none"/>
          <w:lang w:val="en-US" w:eastAsia="zh-CN"/>
        </w:rPr>
        <w:t xml:space="preserve">基层分馆图书借阅量较上年度增幅不低于5%。</w:t>
      </w:r>
      <w:r>
        <w:rPr>
          <w:rFonts w:hint="eastAsia"/>
          <w:color w:val="000000"/>
          <w:sz w:val="24"/>
          <w:szCs w:val="24"/>
          <w:highlight w:val="none"/>
          <w:lang w:val="en-US" w:eastAsia="zh-CN"/>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5.每年组织不少于2次总分馆制专项业务培训。稳步拓展持证读者，年度新增1%有效持证读者。</w:t>
      </w:r>
      <w:r>
        <w:rPr>
          <w:rFonts w:hint="eastAsia" w:ascii="宋体" w:hAnsi="宋体" w:eastAsia="宋体" w:cs="宋体"/>
          <w:b w:val="0"/>
          <w:bCs w:val="0"/>
          <w:color w:val="000000"/>
          <w:sz w:val="24"/>
          <w:szCs w:val="24"/>
          <w:highlight w:val="none"/>
          <w:lang w:val="en-US" w:eastAsia="zh-CN"/>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w:t>
      </w:r>
      <w:r>
        <w:rPr>
          <w:rFonts w:hint="eastAsia"/>
          <w:b w:val="0"/>
          <w:bCs w:val="0"/>
          <w:color w:val="000000"/>
          <w:sz w:val="24"/>
          <w:szCs w:val="24"/>
          <w:highlight w:val="none"/>
          <w:lang w:val="en-US" w:eastAsia="zh-CN"/>
        </w:rPr>
        <w:t xml:space="preserve">保障年度图书外借量不低于13万册次，</w:t>
      </w:r>
      <w:r>
        <w:rPr>
          <w:rFonts w:hint="eastAsia" w:ascii="宋体" w:hAnsi="宋体" w:cs="宋体"/>
          <w:b w:val="0"/>
          <w:bCs w:val="0"/>
          <w:color w:val="000000"/>
          <w:sz w:val="24"/>
          <w:szCs w:val="24"/>
          <w:highlight w:val="none"/>
        </w:rPr>
        <w:t xml:space="preserve">读者满意率调查达85%。</w:t>
      </w:r>
      <w:r>
        <w:rPr>
          <w:rFonts w:hint="eastAsia" w:ascii="宋体" w:hAnsi="宋体" w:cs="宋体"/>
          <w:b w:val="0"/>
          <w:bCs w:val="0"/>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rPr>
        <w:t xml:space="preserve">开展图书馆服务宣传推广，包括：服务宣传周的媒体宣传推广工作，</w:t>
      </w:r>
      <w:r>
        <w:rPr>
          <w:rFonts w:hint="eastAsia" w:ascii="宋体" w:hAnsi="宋体" w:cs="宋体"/>
          <w:b w:val="0"/>
          <w:bCs w:val="0"/>
          <w:color w:val="000000"/>
          <w:sz w:val="24"/>
          <w:szCs w:val="24"/>
          <w:highlight w:val="none"/>
          <w:lang w:val="en-US" w:eastAsia="zh-CN"/>
        </w:rPr>
        <w:t xml:space="preserve">全民阅读活动周</w:t>
      </w:r>
      <w:r>
        <w:rPr>
          <w:rFonts w:hint="eastAsia" w:ascii="宋体" w:hAnsi="宋体" w:cs="宋体"/>
          <w:b w:val="0"/>
          <w:bCs w:val="0"/>
          <w:color w:val="000000"/>
          <w:sz w:val="24"/>
          <w:szCs w:val="24"/>
          <w:highlight w:val="none"/>
        </w:rPr>
        <w:t xml:space="preserve">媒体宣传推广工作，世界图书与版权日的媒体宣传推广工作对其他相关活动的媒体宣传推广工作，馆内、馆外利用各种方式开展的宣传推广活动。</w:t>
      </w:r>
      <w:r>
        <w:rPr>
          <w:rFonts w:hint="eastAsia" w:ascii="宋体" w:hAnsi="宋体" w:cs="宋体"/>
          <w:b w:val="0"/>
          <w:bCs w:val="0"/>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8.</w:t>
      </w:r>
      <w:r>
        <w:rPr>
          <w:rFonts w:hint="eastAsia" w:ascii="宋体" w:hAnsi="宋体" w:cs="宋体"/>
          <w:b w:val="0"/>
          <w:bCs w:val="0"/>
          <w:color w:val="000000"/>
          <w:sz w:val="24"/>
          <w:szCs w:val="24"/>
          <w:highlight w:val="none"/>
        </w:rPr>
        <w:t xml:space="preserve">提供信息咨询服务。包括：政府信息服务，其他决策信息服务，咨询台服务，文献提供，提供网上咨询和回复服务的，设立专职人员进行实时咨询回复。</w:t>
      </w:r>
      <w:r>
        <w:rPr>
          <w:rFonts w:hint="eastAsia" w:ascii="宋体" w:hAnsi="宋体" w:cs="宋体"/>
          <w:b w:val="0"/>
          <w:bCs w:val="0"/>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rPr>
        <w:t xml:space="preserve">提供未成年人及其他特殊群体服务。</w:t>
      </w:r>
      <w:r>
        <w:rPr>
          <w:rFonts w:hint="eastAsia" w:ascii="宋体" w:hAnsi="宋体" w:cs="宋体"/>
          <w:b w:val="0"/>
          <w:bCs w:val="0"/>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（四）人员安排</w:t>
      </w:r>
      <w:r>
        <w:rPr>
          <w:rFonts w:hint="eastAsia" w:ascii="宋体" w:hAnsi="宋体" w:cs="宋体"/>
          <w:b/>
          <w:bCs/>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图书馆法人由采购人安排人员担任，根据《常州经开区图书馆法人岗位职责》等相关文件完成相应工作任务，对于运营服务商在馆藏规划、对图书馆布局调整方面给出指导性意见，拥有决策权。</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项目负责人应当具备相应的文化水平、专业知识和组织管理能力。工作人员应当具备相应的专业知识与技能，专业技术人员应按照国家有关规定积极参与评定专业技术职称。</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3</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rPr>
        <w:t xml:space="preserve">运营服务商需自行组织提供服务运营团队，根据常州经开区图书馆的功能、馆藏规模、馆舍面积、服务范围及服务人口等因素至少需配备2</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名相应的工作人员。</w:t>
      </w:r>
      <w:r>
        <w:rPr>
          <w:rFonts w:hint="eastAsia" w:ascii="宋体" w:hAnsi="宋体" w:cs="宋体"/>
          <w:b w:val="0"/>
          <w:bCs w:val="0"/>
          <w:color w:val="000000"/>
          <w:sz w:val="24"/>
          <w:szCs w:val="24"/>
          <w:highlight w:val="none"/>
        </w:rPr>
      </w:r>
      <w:r/>
    </w:p>
    <w:p>
      <w:pPr>
        <w:pStyle w:val="1145"/>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（1）任职条件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①　</w:t>
      </w:r>
      <w:r>
        <w:rPr>
          <w:rFonts w:hint="eastAsia" w:ascii="宋体" w:hAnsi="宋体" w:cs="宋体"/>
          <w:color w:val="000000"/>
          <w:sz w:val="24"/>
          <w:szCs w:val="24"/>
          <w:highlight w:val="none"/>
        </w:rPr>
        <w:t xml:space="preserve">年龄均20—50周岁，性别比例适中；高职专科以上学历。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②　</w:t>
      </w:r>
      <w:r>
        <w:rPr>
          <w:rFonts w:hint="eastAsia" w:ascii="宋体" w:hAnsi="宋体" w:cs="宋体"/>
          <w:color w:val="000000"/>
          <w:sz w:val="24"/>
          <w:szCs w:val="24"/>
          <w:highlight w:val="none"/>
        </w:rPr>
        <w:t xml:space="preserve">具有爱岗敬业、团结协作精神；好学向上，服从分配。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③　</w:t>
      </w:r>
      <w:r>
        <w:rPr>
          <w:rFonts w:hint="eastAsia" w:ascii="宋体" w:hAnsi="宋体" w:cs="宋体"/>
          <w:color w:val="000000"/>
          <w:sz w:val="24"/>
          <w:szCs w:val="24"/>
          <w:highlight w:val="none"/>
        </w:rPr>
        <w:t xml:space="preserve">身体健康，精力充沛。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④　</w:t>
      </w:r>
      <w:r>
        <w:rPr>
          <w:rFonts w:hint="eastAsia" w:ascii="宋体" w:hAnsi="宋体" w:cs="宋体"/>
          <w:color w:val="000000"/>
          <w:sz w:val="24"/>
          <w:szCs w:val="24"/>
          <w:highlight w:val="none"/>
        </w:rPr>
        <w:t xml:space="preserve">具有一定的计算机操作能力和简单维护能力，经培训能掌握TCSOFT软件服务系统的功能和使用。</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⑤　</w:t>
      </w:r>
      <w:r>
        <w:rPr>
          <w:rFonts w:hint="eastAsia" w:ascii="宋体" w:hAnsi="宋体" w:cs="宋体"/>
          <w:color w:val="000000"/>
          <w:sz w:val="24"/>
          <w:szCs w:val="24"/>
          <w:highlight w:val="none"/>
        </w:rPr>
        <w:t xml:space="preserve">能够承担晚班、节假日的值班工作；能够承担临时安排的加班工作。 </w:t>
      </w:r>
      <w:r>
        <w:rPr>
          <w:rFonts w:hint="eastAsia" w:ascii="宋体" w:hAnsi="宋体" w:cs="宋体"/>
          <w:color w:val="000000"/>
          <w:sz w:val="24"/>
          <w:szCs w:val="24"/>
          <w:highlight w:val="none"/>
        </w:rPr>
      </w:r>
      <w:r/>
    </w:p>
    <w:p>
      <w:pPr>
        <w:pStyle w:val="1145"/>
        <w:numPr>
          <w:ilvl w:val="0"/>
          <w:numId w:val="15"/>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岗位职责：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①　</w:t>
      </w:r>
      <w:r>
        <w:rPr>
          <w:rFonts w:hint="eastAsia" w:ascii="宋体" w:hAnsi="宋体" w:cs="宋体"/>
          <w:color w:val="000000"/>
          <w:sz w:val="24"/>
          <w:szCs w:val="24"/>
          <w:highlight w:val="none"/>
        </w:rPr>
        <w:t xml:space="preserve">爱岗敬业，服务热情；自尊自爱，言行得体，顾全大局，有协作精神。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②　</w:t>
      </w:r>
      <w:r>
        <w:rPr>
          <w:rFonts w:hint="eastAsia" w:ascii="宋体" w:hAnsi="宋体" w:cs="宋体"/>
          <w:color w:val="000000"/>
          <w:sz w:val="24"/>
          <w:szCs w:val="24"/>
          <w:highlight w:val="none"/>
        </w:rPr>
        <w:t xml:space="preserve">熟悉本部门的工作流程、工作内容和规章制度，能独立完成工作任务，能独自完整地向读者介绍本部门的总体情况，了解图书馆相关服务内容。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③　</w:t>
      </w:r>
      <w:r>
        <w:rPr>
          <w:rFonts w:hint="eastAsia" w:ascii="宋体" w:hAnsi="宋体" w:cs="宋体"/>
          <w:color w:val="000000"/>
          <w:sz w:val="24"/>
          <w:szCs w:val="24"/>
          <w:highlight w:val="none"/>
        </w:rPr>
        <w:t xml:space="preserve">熟悉责任区各种文献资源的基本内容和排列情况，能向读者提供较细致的服务。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④　</w:t>
      </w:r>
      <w:r>
        <w:rPr>
          <w:rFonts w:hint="eastAsia" w:ascii="宋体" w:hAnsi="宋体" w:cs="宋体"/>
          <w:color w:val="000000"/>
          <w:sz w:val="24"/>
          <w:szCs w:val="24"/>
          <w:highlight w:val="none"/>
        </w:rPr>
        <w:t xml:space="preserve">服务意识强，能耐心细致地解答读者咨询，对于解决不了的问题，应指引读者找图书馆相关人员或部门解决。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⑤　</w:t>
      </w:r>
      <w:r>
        <w:rPr>
          <w:rFonts w:hint="eastAsia" w:ascii="宋体" w:hAnsi="宋体" w:cs="宋体"/>
          <w:color w:val="000000"/>
          <w:sz w:val="24"/>
          <w:szCs w:val="24"/>
          <w:highlight w:val="none"/>
        </w:rPr>
        <w:t xml:space="preserve">工作期间不做与工作无关的事情。不得大声喧哗，工作时间手机调成静音，保持工作区内安静。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⑥　</w:t>
      </w:r>
      <w:r>
        <w:rPr>
          <w:rFonts w:hint="eastAsia" w:ascii="宋体" w:hAnsi="宋体" w:cs="宋体"/>
          <w:color w:val="000000"/>
          <w:sz w:val="24"/>
          <w:szCs w:val="24"/>
          <w:highlight w:val="none"/>
        </w:rPr>
        <w:t xml:space="preserve">随时纠正各种不文明行为，做到以理服人，不与读者发生冲突。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⑦　</w:t>
      </w:r>
      <w:r>
        <w:rPr>
          <w:rFonts w:hint="eastAsia" w:ascii="宋体" w:hAnsi="宋体" w:cs="宋体"/>
          <w:color w:val="000000"/>
          <w:sz w:val="24"/>
          <w:szCs w:val="24"/>
          <w:highlight w:val="none"/>
        </w:rPr>
        <w:t xml:space="preserve">保质保量完成领导交给的各项临时性工作。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⑧　</w:t>
      </w:r>
      <w:r>
        <w:rPr>
          <w:rFonts w:hint="eastAsia" w:ascii="宋体" w:hAnsi="宋体" w:cs="宋体"/>
          <w:color w:val="000000"/>
          <w:sz w:val="24"/>
          <w:szCs w:val="24"/>
          <w:highlight w:val="none"/>
        </w:rPr>
        <w:t xml:space="preserve">具有处理突发性事件的意识和能力（电话报警，灭火器使用、引导疏散等）。积极 进行防火、防盗安全检查，维护室内环境卫生。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⑨　</w:t>
      </w:r>
      <w:r>
        <w:rPr>
          <w:rFonts w:hint="eastAsia" w:ascii="宋体" w:hAnsi="宋体" w:cs="宋体"/>
          <w:color w:val="000000"/>
          <w:sz w:val="24"/>
          <w:szCs w:val="24"/>
          <w:highlight w:val="none"/>
        </w:rPr>
        <w:t xml:space="preserve">保持书库和阅览室天天通风干燥，空气新鲜，做好书库内防湿、防虫、防鼠等工作。 </w:t>
      </w:r>
      <w:r>
        <w:rPr>
          <w:rFonts w:hint="eastAsia" w:ascii="宋体" w:hAnsi="宋体" w:cs="宋体"/>
          <w:color w:val="000000"/>
          <w:sz w:val="24"/>
          <w:szCs w:val="24"/>
          <w:highlight w:val="none"/>
        </w:rPr>
      </w:r>
      <w:r/>
    </w:p>
    <w:p>
      <w:pPr>
        <w:pStyle w:val="1145"/>
        <w:numPr>
          <w:ilvl w:val="0"/>
          <w:numId w:val="0"/>
        </w:numPr>
        <w:ind w:left="0" w:firstLine="480"/>
        <w:keepLines w:val="0"/>
        <w:keepNext w:val="0"/>
        <w:pageBreakBefore w:val="0"/>
        <w:spacing w:after="0"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⑩　</w:t>
      </w:r>
      <w:r>
        <w:rPr>
          <w:rFonts w:hint="eastAsia" w:ascii="宋体" w:hAnsi="宋体" w:cs="宋体"/>
          <w:color w:val="000000"/>
          <w:sz w:val="24"/>
          <w:szCs w:val="24"/>
          <w:highlight w:val="none"/>
        </w:rPr>
        <w:t xml:space="preserve">闭馆前确认室内无读者，切断电源，关好门窗。</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4、在服务期限内，中标供应商应确保岗位人员的数量达到磋商文件规定或双方商定的数量，且应能保障图书馆正常运营，对于由于任何原因造成的减员，运营服务商应及时补足。</w:t>
      </w:r>
      <w:r>
        <w:rPr>
          <w:rFonts w:hint="eastAsia" w:ascii="宋体" w:hAnsi="宋体" w:cs="宋体"/>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（五）全年运营管理费内容</w:t>
      </w:r>
      <w:r>
        <w:rPr>
          <w:rFonts w:hint="eastAsia" w:ascii="宋体" w:hAnsi="宋体" w:cs="宋体"/>
          <w:b/>
          <w:bCs/>
          <w:color w:val="000000"/>
          <w:sz w:val="24"/>
          <w:szCs w:val="24"/>
          <w:highlight w:val="none"/>
        </w:rPr>
      </w:r>
      <w:r/>
    </w:p>
    <w:tbl>
      <w:tblPr>
        <w:tblW w:w="8522" w:type="dxa"/>
        <w:tblInd w:w="-108" w:type="dxa"/>
        <w:tblLayout w:type="autofit"/>
        <w:tblCellMar>
          <w:left w:w="108" w:type="dxa"/>
          <w:top w:w="0" w:type="dxa"/>
          <w:right w:w="108" w:type="dxa"/>
          <w:bottom w:w="0" w:type="dxa"/>
        </w:tblCellMar>
        <w:tblLook w:val="04A0" w:firstRow="1" w:lastRow="0" w:firstColumn="1" w:lastColumn="0" w:noHBand="0" w:noVBand="1"/>
      </w:tblPr>
      <w:tblGrid>
        <w:gridCol w:w="1641"/>
        <w:gridCol w:w="6881"/>
      </w:tblGrid>
      <w:tr>
        <w:trPr>
          <w:trHeight w:val="567"/>
        </w:trPr>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项目</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说明</w:t>
            </w:r>
            <w:r>
              <w:rPr>
                <w:rFonts w:hint="eastAsia" w:ascii="宋体" w:hAnsi="宋体" w:eastAsia="宋体" w:cs="宋体"/>
                <w:b/>
                <w:bCs/>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运营管理费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根据经开区图书馆的功能、馆藏规模，馆舍面积、服务范围及服务人群等要素，配置人数为23人的营运团队，包括:人工基本工资、五险一金、招聘培训、年终绩效、交通补贴、午餐补贴、体检等各项福利。</w:t>
            </w:r>
            <w:r>
              <w:rPr>
                <w:rFonts w:hint="eastAsia" w:ascii="宋体" w:hAnsi="宋体" w:eastAsia="宋体" w:cs="宋体"/>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读者</w:t>
            </w:r>
            <w:r>
              <w:rPr>
                <w:rFonts w:hint="eastAsia" w:ascii="宋体" w:hAnsi="宋体" w:eastAsia="宋体" w:cs="宋体"/>
                <w:color w:val="000000"/>
                <w:sz w:val="24"/>
                <w:szCs w:val="24"/>
                <w:highlight w:val="none"/>
                <w:lang w:bidi="ar"/>
              </w:rPr>
              <w:t xml:space="preserve">活动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按照国家一级馆要求和文化高质量</w:t>
            </w:r>
            <w:r>
              <w:rPr>
                <w:rFonts w:hint="eastAsia" w:ascii="宋体" w:hAnsi="宋体" w:eastAsia="宋体" w:cs="宋体"/>
                <w:color w:val="000000"/>
                <w:sz w:val="24"/>
                <w:szCs w:val="24"/>
                <w:highlight w:val="none"/>
                <w:lang w:val="en-US" w:eastAsia="zh-CN" w:bidi="ar"/>
              </w:rPr>
              <w:t xml:space="preserve">监测指标</w:t>
            </w:r>
            <w:r>
              <w:rPr>
                <w:rFonts w:hint="eastAsia" w:ascii="宋体" w:hAnsi="宋体" w:eastAsia="宋体" w:cs="宋体"/>
                <w:color w:val="000000"/>
                <w:sz w:val="24"/>
                <w:szCs w:val="24"/>
                <w:highlight w:val="none"/>
                <w:lang w:bidi="ar"/>
              </w:rPr>
              <w:t xml:space="preserve">要求，举办讲座、展览、培训、各类阅读推广活动。</w:t>
            </w:r>
            <w:r>
              <w:rPr>
                <w:rFonts w:hint="eastAsia" w:ascii="宋体" w:hAnsi="宋体" w:eastAsia="宋体" w:cs="宋体"/>
                <w:color w:val="000000"/>
                <w:sz w:val="24"/>
                <w:szCs w:val="24"/>
                <w:highlight w:val="none"/>
              </w:rPr>
            </w:r>
            <w:r/>
          </w:p>
        </w:tc>
      </w:tr>
      <w:tr>
        <w:trPr>
          <w:trHeight w:val="435"/>
        </w:trPr>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文化推广活动</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根据全民阅读</w:t>
            </w:r>
            <w:r>
              <w:rPr>
                <w:rFonts w:hint="eastAsia" w:ascii="宋体" w:hAnsi="宋体" w:eastAsia="宋体" w:cs="宋体"/>
                <w:color w:val="000000"/>
                <w:sz w:val="24"/>
                <w:szCs w:val="24"/>
                <w:highlight w:val="none"/>
                <w:lang w:val="en-US" w:eastAsia="zh-CN" w:bidi="ar"/>
              </w:rPr>
              <w:t xml:space="preserve">活动周</w:t>
            </w:r>
            <w:r>
              <w:rPr>
                <w:rFonts w:hint="eastAsia" w:ascii="宋体" w:hAnsi="宋体" w:eastAsia="宋体" w:cs="宋体"/>
                <w:color w:val="000000"/>
                <w:sz w:val="24"/>
                <w:szCs w:val="24"/>
                <w:highlight w:val="none"/>
                <w:lang w:bidi="ar"/>
              </w:rPr>
              <w:t xml:space="preserve">和图书馆服务周的相关要求，开展以宣传图书馆服务为主大型活动,提高图书馆的影响力和社会关注度。</w:t>
            </w:r>
            <w:r>
              <w:rPr>
                <w:rFonts w:hint="eastAsia" w:ascii="宋体" w:hAnsi="宋体" w:eastAsia="宋体" w:cs="宋体"/>
                <w:color w:val="000000"/>
                <w:sz w:val="24"/>
                <w:szCs w:val="24"/>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行政办公费</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购买打印纸、劳保用品、工装、物料制作</w:t>
            </w:r>
            <w:r>
              <w:rPr>
                <w:rFonts w:hint="eastAsia" w:ascii="宋体" w:hAnsi="宋体" w:eastAsia="宋体" w:cs="宋体"/>
                <w:color w:val="000000"/>
                <w:sz w:val="24"/>
                <w:szCs w:val="24"/>
                <w:highlight w:val="none"/>
                <w:lang w:val="en-US" w:eastAsia="zh-CN"/>
              </w:rPr>
              <w:t xml:space="preserve">等费用。</w:t>
            </w:r>
            <w:r>
              <w:rPr>
                <w:rFonts w:hint="eastAsia" w:ascii="宋体" w:hAnsi="宋体" w:eastAsia="宋体" w:cs="宋体"/>
                <w:color w:val="000000"/>
                <w:sz w:val="24"/>
                <w:szCs w:val="24"/>
                <w:highlight w:val="none"/>
                <w:lang w:val="en-US" w:eastAsia="zh-CN"/>
              </w:rPr>
            </w:r>
            <w:r/>
          </w:p>
        </w:tc>
      </w:tr>
    </w:tbl>
    <w:p>
      <w:pPr>
        <w:pStyle w:val="1078"/>
        <w:ind w:firstLine="482"/>
        <w:keepLines w:val="0"/>
        <w:keepNext w:val="0"/>
        <w:pageBreakBefore w:val="0"/>
        <w:spacing w:before="313" w:line="360" w:lineRule="auto"/>
        <w:widowControl w:val="off"/>
        <w:tabs>
          <w:tab w:val="left" w:pos="63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四、综合使用要求和维修责任</w:t>
      </w:r>
      <w:r>
        <w:rPr>
          <w:rFonts w:hint="eastAsia" w:ascii="宋体" w:hAnsi="宋体" w:eastAsia="宋体" w:cs="宋体"/>
          <w:b/>
          <w:bCs/>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运营期间，中标供应商发现该房屋及其附属设施和设备有损坏或故障时（非中标供应商原因导致的），由采购人负责修复，费用由采购人承担。</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运营期间，中标供应商应合理使用并爱护该房屋及其附属设施和设备。因中标供应商使用不当或不合理使用，致使该房屋及其附属设施和设备损坏或发生故障的，中标供应商应负责维修。中标供应商拒不维修，采购人可代为维修，费用由中标供应商承担，并承担由此导致的相关的其他责任。</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运营期间，中标供应商保证该房屋及其附属设施和设备处于正常的可使用和安全的状态。如采购人对该房屋进行检查，中标供应商应予以配合。采购人应减少对中标供应商使用该房屋的影响。</w:t>
      </w:r>
      <w:r>
        <w:rPr>
          <w:rFonts w:hint="eastAsia" w:ascii="宋体" w:hAnsi="宋体" w:eastAsia="宋体" w:cs="宋体"/>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五、房屋返还及有关事项的处理</w:t>
      </w:r>
      <w:r>
        <w:rPr>
          <w:rFonts w:hint="eastAsia" w:ascii="宋体" w:hAnsi="宋体" w:eastAsia="宋体" w:cs="宋体"/>
          <w:b/>
          <w:bCs/>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中标供应商应在合同期满后的10日内返还该房屋，未经采购人同意，如逾期返还房屋的, 则中标供应商应向采购人支付该房屋占用期间的使用费。</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中标供应商返还该房屋应当符合正常使用后的状态。返还时，应经采购人验收认可，并相互结清各自应当承担的费用。</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合同期满，中标供应商应在规定时间内搬出。中标供应商返还该房屋时，中标供应商前期所投入的所有装饰装修改造、软硬件设备设施，如属不可移动附属设备设施，将无偿归采购人所有。</w:t>
      </w:r>
      <w:r>
        <w:rPr>
          <w:rFonts w:hint="eastAsia" w:ascii="宋体" w:hAnsi="宋体" w:eastAsia="宋体" w:cs="宋体"/>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六、重点、特色服务要求</w:t>
      </w:r>
      <w:r>
        <w:rPr>
          <w:rFonts w:hint="eastAsia" w:ascii="宋体" w:hAnsi="宋体" w:eastAsia="宋体" w:cs="宋体"/>
          <w:b/>
          <w:bCs/>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加大辖区</w:t>
      </w:r>
      <w:r>
        <w:rPr>
          <w:rFonts w:hint="eastAsia" w:ascii="宋体" w:hAnsi="宋体" w:eastAsia="宋体" w:cs="宋体"/>
          <w:color w:val="000000"/>
          <w:sz w:val="24"/>
          <w:szCs w:val="24"/>
          <w:highlight w:val="none"/>
          <w:lang w:val="en-US" w:eastAsia="zh-CN"/>
        </w:rPr>
        <w:t xml:space="preserve">基层</w:t>
      </w:r>
      <w:r>
        <w:rPr>
          <w:rFonts w:hint="eastAsia" w:ascii="宋体" w:hAnsi="宋体" w:eastAsia="宋体" w:cs="宋体"/>
          <w:color w:val="000000"/>
          <w:sz w:val="24"/>
          <w:szCs w:val="24"/>
          <w:highlight w:val="none"/>
        </w:rPr>
        <w:t xml:space="preserve">分馆的宣传推广和服务力度，针对各分馆实际开展个性化服务；同时加强对分馆管理员的辅导和辅助管理工作，提升街镇的阅读服务水平和工作能力。</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建立开发图书馆读者互动平台，探索微信等运营通讯互动手段，透过在线交流平台的推广，不断提高图书馆的宣传影响力，提升读者互动的参与度，并积极支持配合图书馆网站建设工作，及上线后的读者推广工作。</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策划开展针对区总馆、</w:t>
      </w:r>
      <w:r>
        <w:rPr>
          <w:rFonts w:hint="eastAsia" w:ascii="宋体" w:hAnsi="宋体" w:eastAsia="宋体" w:cs="宋体"/>
          <w:color w:val="000000"/>
          <w:sz w:val="24"/>
          <w:szCs w:val="24"/>
          <w:highlight w:val="none"/>
          <w:lang w:val="en-US" w:eastAsia="zh-CN"/>
        </w:rPr>
        <w:t xml:space="preserve">基层</w:t>
      </w:r>
      <w:r>
        <w:rPr>
          <w:rFonts w:hint="eastAsia" w:ascii="宋体" w:hAnsi="宋体" w:eastAsia="宋体" w:cs="宋体"/>
          <w:color w:val="000000"/>
          <w:sz w:val="24"/>
          <w:szCs w:val="24"/>
          <w:highlight w:val="none"/>
        </w:rPr>
        <w:t xml:space="preserve">分馆的品牌活动，持续不断进行活动</w:t>
      </w:r>
      <w:r>
        <w:rPr>
          <w:rFonts w:hint="eastAsia" w:ascii="宋体" w:hAnsi="宋体" w:eastAsia="宋体" w:cs="宋体"/>
          <w:color w:val="000000"/>
          <w:sz w:val="24"/>
          <w:szCs w:val="24"/>
          <w:highlight w:val="none"/>
          <w:lang w:val="en-US" w:eastAsia="zh-CN"/>
        </w:rPr>
        <w:t xml:space="preserve">形式</w:t>
      </w:r>
      <w:r>
        <w:rPr>
          <w:rFonts w:hint="eastAsia" w:ascii="宋体" w:hAnsi="宋体" w:eastAsia="宋体" w:cs="宋体"/>
          <w:color w:val="000000"/>
          <w:sz w:val="24"/>
          <w:szCs w:val="24"/>
          <w:highlight w:val="none"/>
        </w:rPr>
        <w:t xml:space="preserve">创新，有效形成具有经开区特色的读者品牌活动，达到在业内有一定影响的目标。</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加强人才培养，重视人员素质和专业能力、学术研究能力、信息情报收集整理能力，积极开展图书馆专业学术活动，提升人员队伍的图书馆专业化水准。树立管理新理念，探索管理新模式，提高图书馆的内部管理和对外服务水平。</w:t>
      </w:r>
      <w:r>
        <w:rPr>
          <w:rFonts w:hint="eastAsia" w:ascii="宋体" w:hAnsi="宋体" w:eastAsia="宋体" w:cs="宋体"/>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针对项目需求，须提供《服务到期配合承诺函》，主要内容如下：</w:t>
      </w:r>
      <w:r>
        <w:rPr>
          <w:rFonts w:hint="eastAsia" w:ascii="宋体" w:hAnsi="宋体" w:eastAsia="宋体" w:cs="宋体"/>
          <w:b/>
          <w:bCs/>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提供在本项目服务合同到期后，为采购人提供关于本项目的后续服务配合的承诺，其内容必须包括配合采购人规划本项目下一合同期的招标工作及交接工作，承诺与该项目下一合同期运营服务商做好技术交接及相应的衔接工作。</w:t>
      </w:r>
      <w:r>
        <w:rPr>
          <w:rFonts w:hint="eastAsia" w:ascii="宋体" w:hAnsi="宋体" w:eastAsia="宋体" w:cs="宋体"/>
          <w:b/>
          <w:bCs/>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w:t>
      </w:r>
      <w:r>
        <w:rPr>
          <w:rFonts w:hint="eastAsia" w:ascii="宋体" w:hAnsi="宋体" w:eastAsia="宋体" w:cs="宋体"/>
          <w:b/>
          <w:bCs/>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出现运营服务商自身管理或沟通不利使员工通过各类渠道或以其他方式对采购人的声誉造成不利影响，以及因运营服务商服务质量或员工素质等原因有损采购人的社会公众形象、口碑等情况，运营服务商必须第一时间负责将不利影响降到最低并及时妥善处理，同时承担由此造成的声誉损失后果。采购人保留从经济、法律或其他形式向运营服务商追究责任的权利。</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运营服务商擅自将服务合同转包、分包给第三人的或委托其他单位经营管理的，以及运营服务商违反法律法规、规章或其他相关规范性文件的规定，影响合同履行的，采购人有权无条件终止本项目合同而无须向运营服务商支付任何费用或承担其他任何责任，由此产生的经济损失和法律责任均由运营服务商承担。</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运营服务商保证图书馆运营服务有效持续性。履约期间，如出现重大综合管理缺陷，采购人有权自缺陷出现之日起直至缺陷更正，进行处惩，如运营服务商对综合管理缺陷不予更正，采购人有权另请其他单位更正，所发生的费用在应付运营管理费用结算中扣除。</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图书馆总分馆之间为实现通借通还功能，产生的所有费用由江苏常州经济开发区公共文化服务中心负责投入，运营服务商负责</w:t>
      </w:r>
      <w:r>
        <w:rPr>
          <w:rFonts w:hint="eastAsia" w:ascii="宋体" w:hAnsi="宋体" w:eastAsia="宋体" w:cs="宋体"/>
          <w:color w:val="000000"/>
          <w:sz w:val="24"/>
          <w:szCs w:val="24"/>
          <w:highlight w:val="none"/>
          <w:lang w:val="en-US" w:eastAsia="zh-CN"/>
        </w:rPr>
        <w:t xml:space="preserve">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因委托运行管理业务而导致图书馆责任或损失，运营服务商负责并赔偿。</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运营服务商以图书馆名义对外签订合同时，必须经采购人审查、同意、备案后方可签订。</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服务期间运营服务商所产生的与读者或其他第三者之间的责任，由运营服务商自行承担。</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运营服务商在项目承包服务过程中，必须严格按国家各项安全法规及图书馆的规章制度执行，如发生安全及其他意外事故，所造成损失和责任由运营服务商负责。 </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若依托图书馆场地和资源开展有偿服务，须经图书馆审查同意备案后方可实施。如未得图书馆认可，运营服务商擅自对外开展的有偿服务，视作运营服务商违约，运营服务商承担违约责任，造成损失或者影响图书馆对外形象的，由双方协商处理，由运营服务商给予赔偿，并由运营服务商尽最大努力消除不良影响。</w:t>
      </w:r>
      <w:r>
        <w:rPr>
          <w:rFonts w:hint="eastAsia" w:ascii="宋体" w:hAnsi="宋体" w:eastAsia="宋体" w:cs="宋体"/>
          <w:color w:val="000000"/>
          <w:sz w:val="24"/>
          <w:szCs w:val="24"/>
          <w:highlight w:val="none"/>
        </w:rPr>
      </w:r>
      <w:r/>
    </w:p>
    <w:p>
      <w:pPr>
        <w:pStyle w:val="1078"/>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八、报价方式</w:t>
      </w:r>
      <w:r>
        <w:rPr>
          <w:rFonts w:hint="eastAsia" w:ascii="宋体" w:hAnsi="宋体" w:eastAsia="宋体" w:cs="宋体"/>
          <w:b/>
          <w:color w:val="000000"/>
          <w:sz w:val="24"/>
          <w:szCs w:val="24"/>
          <w:highlight w:val="none"/>
        </w:rPr>
      </w:r>
      <w:r/>
    </w:p>
    <w:p>
      <w:pPr>
        <w:pStyle w:val="1078"/>
        <w:ind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本项目报价为</w:t>
      </w:r>
      <w:r>
        <w:rPr>
          <w:rFonts w:hint="eastAsia" w:ascii="宋体" w:hAnsi="宋体" w:eastAsia="宋体" w:cs="宋体"/>
          <w:b/>
          <w:bCs/>
          <w:color w:val="000000"/>
          <w:sz w:val="24"/>
          <w:szCs w:val="24"/>
          <w:highlight w:val="none"/>
          <w:u w:val="single"/>
        </w:rPr>
        <w:t xml:space="preserve">固定总价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highlight w:val="none"/>
        </w:rPr>
      </w:r>
      <w:r/>
    </w:p>
    <w:p>
      <w:pPr>
        <w:pStyle w:val="1078"/>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九、付款方式</w:t>
      </w:r>
      <w:r>
        <w:rPr>
          <w:rFonts w:hint="eastAsia" w:ascii="宋体" w:hAnsi="宋体" w:eastAsia="宋体" w:cs="宋体"/>
          <w:b/>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本项目运营管理费按照江苏常州经济开发区公共文化服务中心经费管理办法等相关政策文件要求进行审核结算。</w:t>
      </w:r>
      <w:r>
        <w:rPr>
          <w:rFonts w:hint="eastAsia" w:ascii="宋体" w:hAnsi="宋体" w:eastAsia="宋体" w:cs="宋体"/>
          <w:b w:val="0"/>
          <w:bCs w:val="0"/>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合同签订之日起30日内,采购人向中标供应商支付合同金额30%；合同签订满6个月后采购人向中标供应商支付合同金额的30%；合同签订满9个月后采购人向中标供应商支付合同金额的30%；剩余10%采购人根据评定考核达标后再支付。</w:t>
      </w:r>
      <w:r>
        <w:rPr>
          <w:rFonts w:hint="eastAsia" w:ascii="宋体" w:hAnsi="宋体" w:eastAsia="宋体" w:cs="宋体"/>
          <w:b w:val="0"/>
          <w:bCs w:val="0"/>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相关考核扣款等款项于当期应付运营管理费用中按实扣除。每次付款前，运营服务商应与采购人确定具体实际运营管理费用，并开具有效的发票，凭票向采购人申请付款。</w:t>
      </w:r>
      <w:r>
        <w:rPr>
          <w:rFonts w:hint="eastAsia" w:ascii="宋体" w:hAnsi="宋体" w:eastAsia="宋体" w:cs="宋体"/>
          <w:b w:val="0"/>
          <w:bCs w:val="0"/>
          <w:color w:val="000000"/>
          <w:sz w:val="24"/>
          <w:szCs w:val="24"/>
          <w:highlight w:val="none"/>
        </w:rPr>
      </w:r>
      <w:r/>
    </w:p>
    <w:p>
      <w:pPr>
        <w:pStyle w:val="1078"/>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十、日常监管和绩效考核评价</w:t>
      </w:r>
      <w:r>
        <w:rPr>
          <w:rFonts w:hint="eastAsia" w:ascii="宋体" w:hAnsi="宋体" w:eastAsia="宋体" w:cs="宋体"/>
          <w:b/>
          <w:bCs/>
          <w:color w:val="000000"/>
          <w:sz w:val="24"/>
          <w:szCs w:val="24"/>
          <w:highlight w:val="none"/>
        </w:rPr>
      </w:r>
      <w:r/>
    </w:p>
    <w:p>
      <w:pPr>
        <w:pStyle w:val="1078"/>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日常监管和绩效考核评价</w:t>
      </w:r>
      <w:r>
        <w:rPr>
          <w:rFonts w:hint="eastAsia" w:ascii="宋体" w:hAnsi="宋体" w:eastAsia="宋体" w:cs="宋体"/>
          <w:b/>
          <w:bCs/>
          <w:color w:val="000000"/>
          <w:sz w:val="24"/>
          <w:szCs w:val="24"/>
          <w:highlight w:val="none"/>
        </w:rPr>
      </w:r>
      <w:r/>
    </w:p>
    <w:p>
      <w:pPr>
        <w:pStyle w:val="107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一、对运营商的日常监管和绩效考核评价</w:t>
      </w:r>
      <w:r>
        <w:rPr>
          <w:rFonts w:hint="eastAsia" w:ascii="宋体" w:hAnsi="宋体" w:eastAsia="宋体" w:cs="宋体"/>
          <w:b/>
          <w:bCs/>
          <w:color w:val="000000"/>
          <w:sz w:val="24"/>
          <w:szCs w:val="24"/>
          <w:highlight w:val="none"/>
        </w:rPr>
      </w:r>
      <w:r/>
    </w:p>
    <w:p>
      <w:pPr>
        <w:pStyle w:val="107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成立考核评价小组，根据绩效考核实施细则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从团队建设、服务效能、业务能力、安全保障等进行综合考核评价，</w:t>
      </w:r>
      <w:r>
        <w:rPr>
          <w:rFonts w:hint="eastAsia" w:ascii="宋体" w:hAnsi="宋体" w:eastAsia="宋体" w:cs="宋体"/>
          <w:color w:val="000000"/>
          <w:sz w:val="24"/>
          <w:szCs w:val="24"/>
          <w:highlight w:val="none"/>
        </w:rPr>
        <w:t xml:space="preserve">按“日常监管、季度考核”和“年度考核”三个步骤具体实施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日常监管占比10%，季度考核占比30%，年度考核占比60%，</w:t>
      </w:r>
      <w:r>
        <w:rPr>
          <w:rFonts w:hint="eastAsia" w:ascii="宋体" w:hAnsi="宋体" w:eastAsia="宋体" w:cs="宋体"/>
          <w:color w:val="000000"/>
          <w:sz w:val="24"/>
          <w:szCs w:val="24"/>
          <w:highlight w:val="none"/>
        </w:rPr>
        <w:t xml:space="preserve">满分为100分。</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实行量化评分，年度考核结果分为三个等级：优秀、达标、不达标三个等级评定。得分85分以上的为优秀，得分85-60（含）分的为达标，得分60分（不含）以下的为不达标。60分以下为不达标，并要求整改，若整改后仍不合格，则终止服务合同。</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图书馆运营服务绩效考核评分表</w:t>
      </w:r>
      <w:r>
        <w:rPr>
          <w:rFonts w:hint="eastAsia" w:ascii="宋体" w:hAnsi="宋体" w:eastAsia="宋体" w:cs="宋体"/>
          <w:color w:val="000000"/>
          <w:sz w:val="24"/>
          <w:szCs w:val="24"/>
          <w:highlight w:val="none"/>
          <w:lang w:eastAsia="zh-CN"/>
        </w:rPr>
      </w:r>
      <w:r/>
    </w:p>
    <w:p>
      <w:pPr>
        <w:pStyle w:val="1139"/>
        <w:jc w:val="center"/>
        <w:keepLines w:val="0"/>
        <w:keepNext w:val="0"/>
        <w:widowControl/>
        <w:rPr>
          <w:rFonts w:ascii="宋体" w:hAnsi="宋体" w:eastAsia="宋体" w:cs="宋体"/>
          <w:b/>
          <w:bCs/>
          <w:color w:val="000000"/>
          <w:sz w:val="30"/>
          <w:szCs w:val="30"/>
          <w:highlight w:val="none"/>
          <w:lang w:val="en-US" w:eastAsia="zh-CN" w:bidi="ar"/>
        </w:rPr>
        <w:suppressLineNumbers w:val="0"/>
      </w:pPr>
      <w:r>
        <w:rPr>
          <w:rFonts w:ascii="宋体" w:hAnsi="宋体" w:eastAsia="宋体" w:cs="宋体"/>
          <w:b/>
          <w:bCs/>
          <w:color w:val="000000"/>
          <w:sz w:val="30"/>
          <w:szCs w:val="30"/>
          <w:highlight w:val="none"/>
          <w:lang w:val="en-US" w:eastAsia="zh-CN" w:bidi="ar"/>
        </w:rPr>
        <w:t xml:space="preserve">图书馆运营服务季度绩效考核表</w:t>
      </w:r>
      <w:r>
        <w:rPr>
          <w:rFonts w:ascii="宋体" w:hAnsi="宋体" w:eastAsia="宋体" w:cs="宋体"/>
          <w:b/>
          <w:bCs/>
          <w:color w:val="000000"/>
          <w:sz w:val="30"/>
          <w:szCs w:val="30"/>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考核日期：__________  考核周期：第____季度   考核得分：__________       </w:t>
      </w:r>
      <w:r>
        <w:rPr>
          <w:rFonts w:hint="eastAsia" w:ascii="宋体" w:hAnsi="宋体" w:eastAsia="宋体" w:cs="宋体"/>
          <w:color w:val="000000"/>
          <w:sz w:val="24"/>
          <w:szCs w:val="24"/>
          <w:highlight w:val="none"/>
          <w:lang w:val="en-US" w:eastAsia="zh-CN" w:bidi="ar"/>
        </w:rPr>
      </w:r>
      <w:r/>
    </w:p>
    <w:tbl>
      <w:tblPr>
        <w:tblStyle w:val="114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3516"/>
        <w:gridCol w:w="485"/>
        <w:gridCol w:w="3393"/>
        <w:gridCol w:w="974"/>
      </w:tblGrid>
      <w:tr>
        <w:trPr/>
        <w:tc>
          <w:tcPr>
            <w:tcW w:w="493"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
                <w:bCs/>
                <w:color w:val="000000"/>
                <w:sz w:val="24"/>
                <w:szCs w:val="24"/>
                <w:highlight w:val="none"/>
                <w:lang w:val="en-US" w:eastAsia="zh-CN" w:bidi="ar"/>
              </w:rPr>
              <w:t xml:space="preserve">考核板块</w:t>
            </w:r>
            <w:r>
              <w:rPr>
                <w:rFonts w:hint="eastAsia" w:ascii="宋体" w:hAnsi="宋体" w:eastAsia="宋体" w:cs="宋体"/>
                <w:b/>
                <w:bCs/>
                <w:color w:val="000000"/>
                <w:sz w:val="24"/>
                <w:szCs w:val="24"/>
                <w:highlight w:val="none"/>
                <w:lang w:val="en-US" w:eastAsia="zh-CN" w:bidi="ar-SA"/>
              </w:rPr>
            </w:r>
            <w:r/>
          </w:p>
        </w:tc>
        <w:tc>
          <w:tcPr>
            <w:tcW w:w="1892"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
                <w:bCs/>
                <w:color w:val="000000"/>
                <w:sz w:val="24"/>
                <w:szCs w:val="24"/>
                <w:highlight w:val="none"/>
                <w:lang w:val="en-US" w:eastAsia="zh-CN" w:bidi="ar"/>
              </w:rPr>
              <w:t xml:space="preserve">考核内容及要求</w:t>
            </w:r>
            <w:r>
              <w:rPr>
                <w:rFonts w:hint="eastAsia" w:ascii="宋体" w:hAnsi="宋体" w:eastAsia="宋体" w:cs="宋体"/>
                <w:b/>
                <w:bCs/>
                <w:color w:val="000000"/>
                <w:sz w:val="24"/>
                <w:szCs w:val="24"/>
                <w:highlight w:val="none"/>
                <w:lang w:val="en-US" w:eastAsia="zh-CN" w:bidi="ar-SA"/>
              </w:rPr>
            </w:r>
            <w:r/>
          </w:p>
        </w:tc>
        <w:tc>
          <w:tcPr>
            <w:tcW w:w="261"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
                <w:bCs/>
                <w:color w:val="000000"/>
                <w:sz w:val="24"/>
                <w:szCs w:val="24"/>
                <w:highlight w:val="none"/>
                <w:lang w:val="en-US" w:eastAsia="zh-CN" w:bidi="ar"/>
              </w:rPr>
              <w:t xml:space="preserve">分值</w:t>
            </w:r>
            <w:r>
              <w:rPr>
                <w:rFonts w:hint="eastAsia" w:ascii="宋体" w:hAnsi="宋体" w:eastAsia="宋体" w:cs="宋体"/>
                <w:b/>
                <w:bCs/>
                <w:color w:val="000000"/>
                <w:sz w:val="24"/>
                <w:szCs w:val="24"/>
                <w:highlight w:val="none"/>
                <w:lang w:val="en-US" w:eastAsia="zh-CN" w:bidi="ar-SA"/>
              </w:rPr>
            </w:r>
            <w:r/>
          </w:p>
        </w:tc>
        <w:tc>
          <w:tcPr>
            <w:tcW w:w="1826"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
                <w:bCs/>
                <w:color w:val="000000"/>
                <w:sz w:val="24"/>
                <w:szCs w:val="24"/>
                <w:highlight w:val="none"/>
                <w:lang w:val="en-US" w:eastAsia="zh-CN" w:bidi="ar"/>
              </w:rPr>
              <w:t xml:space="preserve">考核办法</w:t>
            </w:r>
            <w:r>
              <w:rPr>
                <w:rFonts w:hint="eastAsia" w:ascii="宋体" w:hAnsi="宋体" w:eastAsia="宋体" w:cs="宋体"/>
                <w:b/>
                <w:bCs/>
                <w:color w:val="000000"/>
                <w:sz w:val="24"/>
                <w:szCs w:val="24"/>
                <w:highlight w:val="none"/>
                <w:lang w:val="en-US" w:eastAsia="zh-CN" w:bidi="ar-SA"/>
              </w:rPr>
            </w:r>
            <w:r/>
          </w:p>
        </w:tc>
        <w:tc>
          <w:tcPr>
            <w:tcW w:w="524"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
                <w:bCs/>
                <w:color w:val="000000"/>
                <w:sz w:val="24"/>
                <w:szCs w:val="24"/>
                <w:highlight w:val="none"/>
                <w:lang w:val="en-US" w:eastAsia="zh-CN" w:bidi="ar"/>
              </w:rPr>
              <w:t xml:space="preserve">情节及扣分（实际扣分记录）</w:t>
            </w:r>
            <w:r>
              <w:rPr>
                <w:rFonts w:hint="eastAsia" w:ascii="宋体" w:hAnsi="宋体" w:eastAsia="宋体" w:cs="宋体"/>
                <w:b/>
                <w:bCs/>
                <w:color w:val="000000"/>
                <w:sz w:val="24"/>
                <w:szCs w:val="24"/>
                <w:highlight w:val="none"/>
                <w:lang w:val="en-US" w:eastAsia="zh-CN" w:bidi="ar-SA"/>
              </w:rPr>
            </w:r>
            <w:r/>
          </w:p>
        </w:tc>
      </w:tr>
      <w:tr>
        <w:trPr/>
        <w:tc>
          <w:tcPr>
            <w:tcW w:w="493"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团队建设（23 分）</w:t>
            </w:r>
            <w:r>
              <w:rPr>
                <w:rFonts w:hint="eastAsia" w:ascii="宋体" w:hAnsi="宋体" w:eastAsia="宋体" w:cs="宋体"/>
                <w:color w:val="000000"/>
                <w:sz w:val="24"/>
                <w:szCs w:val="24"/>
                <w:highlight w:val="none"/>
                <w:lang w:val="en-US" w:eastAsia="zh-CN" w:bidi="ar-SA"/>
              </w:rPr>
            </w:r>
            <w:r/>
          </w:p>
        </w:tc>
        <w:tc>
          <w:tcPr>
            <w:tcW w:w="1892" w:type="dxa"/>
            <w:vAlign w:val="center"/>
            <w:textDirection w:val="lrTb"/>
            <w:noWrap w:val="false"/>
          </w:tcPr>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11 服务规范：严格执行员工手册规章制度与行为规范；馆员统一工装、仪表大方；服务态度、礼仪规范。</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12 执行能力：制定季度工作目标、运营计划，目标分解到位，及时沟通汇报；团队分工清晰，落实晨会、周会、月会制度；配合主管部门工作，维护图书馆良好形象。</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13 学习能力：制定全员学习成长计划；参加行业线上线下培训；组织图书馆行业外出学习交流。</w:t>
            </w:r>
            <w:r>
              <w:rPr>
                <w:rFonts w:hint="eastAsia" w:ascii="宋体" w:hAnsi="宋体" w:eastAsia="宋体" w:cs="宋体"/>
                <w:color w:val="000000"/>
                <w:sz w:val="24"/>
                <w:szCs w:val="24"/>
                <w:highlight w:val="none"/>
                <w:lang w:val="en-US" w:eastAsia="zh-CN" w:bidi="ar-SA"/>
              </w:rPr>
            </w:r>
            <w:r/>
          </w:p>
        </w:tc>
        <w:tc>
          <w:tcPr>
            <w:tcW w:w="261"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23</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未执行员工手册制度扣 2 分；工装仪表不规范扣 1 分；服务礼仪不到位扣 2 分；工作计划缺失、目标未分解扣 5 分；会议制度不落实扣 3 分；配合主管部门工作不力扣 2 分；无学习计划扣 2 分；未参加行业培训扣 3 分；未组织外出交流扣 3 分，扣完本板块分值为止。</w:t>
            </w:r>
            <w:r>
              <w:rPr>
                <w:rFonts w:hint="eastAsia" w:ascii="宋体" w:hAnsi="宋体" w:eastAsia="宋体" w:cs="宋体"/>
                <w:color w:val="000000"/>
                <w:sz w:val="24"/>
                <w:szCs w:val="24"/>
                <w:highlight w:val="none"/>
                <w:lang w:val="en-US" w:eastAsia="zh-CN" w:bidi="ar-SA"/>
              </w:rPr>
            </w:r>
            <w:r/>
          </w:p>
        </w:tc>
        <w:tc>
          <w:tcPr>
            <w:tcW w:w="524" w:type="dxa"/>
            <w:vAlign w:val="center"/>
            <w:textDirection w:val="lrTb"/>
            <w:noWrap w:val="false"/>
          </w:tcPr>
          <w:p>
            <w:pPr>
              <w:pStyle w:val="107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493"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服务效能（43 分）</w:t>
            </w:r>
            <w:r>
              <w:rPr>
                <w:rFonts w:hint="eastAsia" w:ascii="宋体" w:hAnsi="宋体" w:eastAsia="宋体" w:cs="宋体"/>
                <w:color w:val="000000"/>
                <w:sz w:val="24"/>
                <w:szCs w:val="24"/>
                <w:highlight w:val="none"/>
                <w:lang w:val="en-US" w:eastAsia="zh-CN" w:bidi="ar-SA"/>
              </w:rPr>
            </w:r>
            <w:r/>
          </w:p>
        </w:tc>
        <w:tc>
          <w:tcPr>
            <w:tcW w:w="1892" w:type="dxa"/>
            <w:vAlign w:val="center"/>
            <w:textDirection w:val="lrTb"/>
            <w:noWrap w:val="false"/>
          </w:tcPr>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21 场馆秩序：场馆内外保洁整洁；借阅、电器设备运行正常，设施摆放有序；维持良好场馆秩序与阅读氛围。</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22 服务指标：完成本季度分解的文献外借量、流通人次、持证读者人数指标。</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23 读者活动：完成季度活动场次任务，每场活动建立完整规范台账资料。</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24 宣传管理：自媒体及时更新推送；积极争取区级、市级、省级及以上媒体宣传报道。</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25 咨询服务：落实日常参考咨询服务，建立完整咨询台账。</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 便民服务：落实手机充电、雨伞、急救箱、老花镜、放大镜、轮椅等便民服务。</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27 特殊群体服务：做好未成年人基础服务；节日及常态化开展老年人、残疾人等特殊群体针对性服务。</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28 读者评价：开展季度读者满意度调查，形成调查表，读者满意率达到 90%。</w:t>
            </w:r>
            <w:r>
              <w:rPr>
                <w:rFonts w:hint="eastAsia" w:ascii="宋体" w:hAnsi="宋体" w:eastAsia="宋体" w:cs="宋体"/>
                <w:color w:val="000000"/>
                <w:sz w:val="24"/>
                <w:szCs w:val="24"/>
                <w:highlight w:val="none"/>
                <w:lang w:val="en-US" w:eastAsia="zh-CN" w:bidi="ar-SA"/>
              </w:rPr>
            </w:r>
            <w:r/>
          </w:p>
        </w:tc>
        <w:tc>
          <w:tcPr>
            <w:tcW w:w="261"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43</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场馆保洁、设备、秩序每一处不达标扣 12 分；季度分解服务指标未达成酌情扣 110 分；活动场次不达标、台账缺失每一项扣 19 分；自媒体更新不及时扣 2 分；无咨询台账扣 1 分；便民服务设施缺失酌情扣 0.53 分；特殊群体服务未落实扣 25 分；未开展季度满意度调查扣 2 分，满意率未达 90% 扣 3 分，扣完本板块分值为止。</w:t>
            </w:r>
            <w:r>
              <w:rPr>
                <w:rFonts w:hint="eastAsia" w:ascii="宋体" w:hAnsi="宋体" w:eastAsia="宋体" w:cs="宋体"/>
                <w:color w:val="000000"/>
                <w:sz w:val="24"/>
                <w:szCs w:val="24"/>
                <w:highlight w:val="none"/>
                <w:lang w:val="en-US" w:eastAsia="zh-CN" w:bidi="ar-SA"/>
              </w:rPr>
            </w:r>
            <w:r/>
          </w:p>
        </w:tc>
        <w:tc>
          <w:tcPr>
            <w:tcW w:w="524" w:type="dxa"/>
            <w:vAlign w:val="center"/>
            <w:textDirection w:val="lrTb"/>
            <w:noWrap w:val="false"/>
          </w:tcPr>
          <w:p>
            <w:pPr>
              <w:pStyle w:val="107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493"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业务能力（21 分）</w:t>
            </w:r>
            <w:r>
              <w:rPr>
                <w:rFonts w:hint="eastAsia" w:ascii="宋体" w:hAnsi="宋体" w:eastAsia="宋体" w:cs="宋体"/>
                <w:color w:val="000000"/>
                <w:sz w:val="24"/>
                <w:szCs w:val="24"/>
                <w:highlight w:val="none"/>
                <w:lang w:val="en-US" w:eastAsia="zh-CN" w:bidi="ar-SA"/>
              </w:rPr>
            </w:r>
            <w:r/>
          </w:p>
        </w:tc>
        <w:tc>
          <w:tcPr>
            <w:tcW w:w="1892" w:type="dxa"/>
            <w:vAlign w:val="center"/>
            <w:textDirection w:val="lrTb"/>
            <w:noWrap w:val="false"/>
          </w:tcPr>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31 文献资源：报刊图书及时上架；馆藏排架准确率达到 90%；开展地方文献采集、接收捐书；按时出具月度文献采购需求目录。</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32 总分馆制：常态化开展分馆业务辅导协作；季度组织总分馆管理会议或业务培训；出具分馆借阅分析报告。</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33 志愿服务：建立志愿者招募、培训、管理制度；志愿者规模达标，常态化服务人员满足要求；建立完整志愿服务台账。</w:t>
            </w:r>
            <w:r>
              <w:rPr>
                <w:rFonts w:hint="eastAsia" w:ascii="宋体" w:hAnsi="宋体" w:eastAsia="宋体" w:cs="宋体"/>
                <w:color w:val="000000"/>
                <w:sz w:val="24"/>
                <w:szCs w:val="24"/>
                <w:highlight w:val="none"/>
                <w:lang w:val="en-US" w:eastAsia="zh-CN" w:bidi="ar-SA"/>
              </w:rPr>
            </w:r>
            <w:r/>
          </w:p>
        </w:tc>
        <w:tc>
          <w:tcPr>
            <w:tcW w:w="261"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21</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图书上架不及时扣 1 分；排架准确率不达标扣 2 分；地方文献采集、捐书工作未开展扣 2 分；未按时出具采购目录扣 3 分；分馆业务辅导不到位扣 2 分；季度未开展总分馆会议 / 培训扣 2 分；无借阅分析报告扣 1 分；志愿者制度缺失扣 2 分；人员规模不达标扣 3 分；志愿服务台账不全扣 3 分，扣完本板块分值为止。</w:t>
            </w:r>
            <w:r>
              <w:rPr>
                <w:rFonts w:hint="eastAsia" w:ascii="宋体" w:hAnsi="宋体" w:eastAsia="宋体" w:cs="宋体"/>
                <w:color w:val="000000"/>
                <w:sz w:val="24"/>
                <w:szCs w:val="24"/>
                <w:highlight w:val="none"/>
                <w:lang w:val="en-US" w:eastAsia="zh-CN" w:bidi="ar-SA"/>
              </w:rPr>
            </w:r>
            <w:r/>
          </w:p>
        </w:tc>
        <w:tc>
          <w:tcPr>
            <w:tcW w:w="524" w:type="dxa"/>
            <w:vAlign w:val="center"/>
            <w:textDirection w:val="lrTb"/>
            <w:noWrap w:val="false"/>
          </w:tcPr>
          <w:p>
            <w:pPr>
              <w:pStyle w:val="107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493"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安全保障（13 分）</w:t>
            </w:r>
            <w:r>
              <w:rPr>
                <w:rFonts w:hint="eastAsia" w:ascii="宋体" w:hAnsi="宋体" w:eastAsia="宋体" w:cs="宋体"/>
                <w:color w:val="000000"/>
                <w:sz w:val="24"/>
                <w:szCs w:val="24"/>
                <w:highlight w:val="none"/>
                <w:lang w:val="en-US" w:eastAsia="zh-CN" w:bidi="ar-SA"/>
              </w:rPr>
            </w:r>
            <w:r/>
          </w:p>
        </w:tc>
        <w:tc>
          <w:tcPr>
            <w:tcW w:w="1892" w:type="dxa"/>
            <w:vAlign w:val="center"/>
            <w:textDirection w:val="lrTb"/>
            <w:noWrap w:val="false"/>
          </w:tcPr>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41 安全生产：按标准配齐消防器材、标识醒目；设施设备日常检查并建立安全台账；制定突发事件应急预案；季度开展安全生产学习及现场演练。</w:t>
            </w:r>
            <w:r>
              <w:rPr>
                <w:rFonts w:hint="eastAsia" w:ascii="宋体" w:hAnsi="宋体" w:eastAsia="宋体" w:cs="宋体"/>
                <w:color w:val="000000"/>
                <w:sz w:val="24"/>
                <w:szCs w:val="24"/>
                <w:highlight w:val="none"/>
                <w:lang w:val="en-US" w:eastAsia="zh-CN" w:bidi="ar"/>
              </w:rPr>
            </w:r>
            <w:r/>
          </w:p>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42 意识形态管理：建立意识形态管理制度；按月出具意识形态管理报告。</w:t>
            </w:r>
            <w:r>
              <w:rPr>
                <w:rFonts w:hint="eastAsia" w:ascii="宋体" w:hAnsi="宋体" w:eastAsia="宋体" w:cs="宋体"/>
                <w:color w:val="000000"/>
                <w:sz w:val="24"/>
                <w:szCs w:val="24"/>
                <w:highlight w:val="none"/>
                <w:lang w:val="en-US" w:eastAsia="zh-CN" w:bidi="ar-SA"/>
              </w:rPr>
            </w:r>
            <w:r/>
          </w:p>
        </w:tc>
        <w:tc>
          <w:tcPr>
            <w:tcW w:w="261"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消防器材、标识不到位扣 1 分；安全检查台账缺失扣 3 分；无应急预案扣 3 分；季度未开展安全学习演练扣 3 分；无意识形态管理制度扣 1 分；未按月提交管理报告扣 2 分，扣完本板块分值为止。</w:t>
            </w:r>
            <w:r>
              <w:rPr>
                <w:rFonts w:hint="eastAsia" w:ascii="宋体" w:hAnsi="宋体" w:eastAsia="宋体" w:cs="宋体"/>
                <w:color w:val="000000"/>
                <w:sz w:val="24"/>
                <w:szCs w:val="24"/>
                <w:highlight w:val="none"/>
                <w:lang w:val="en-US" w:eastAsia="zh-CN" w:bidi="ar-SA"/>
              </w:rPr>
            </w:r>
            <w:r/>
          </w:p>
        </w:tc>
        <w:tc>
          <w:tcPr>
            <w:tcW w:w="524" w:type="dxa"/>
            <w:vAlign w:val="center"/>
            <w:textDirection w:val="lrTb"/>
            <w:noWrap w:val="false"/>
          </w:tcPr>
          <w:p>
            <w:pPr>
              <w:pStyle w:val="107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493"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加分项</w:t>
            </w:r>
            <w:r>
              <w:rPr>
                <w:rFonts w:hint="eastAsia" w:ascii="宋体" w:hAnsi="宋体" w:eastAsia="宋体" w:cs="宋体"/>
                <w:color w:val="000000"/>
                <w:sz w:val="24"/>
                <w:szCs w:val="24"/>
                <w:highlight w:val="none"/>
                <w:lang w:val="en-US" w:eastAsia="zh-CN" w:bidi="ar"/>
              </w:rPr>
            </w:r>
            <w:r/>
          </w:p>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（不计入基础分）</w:t>
            </w:r>
            <w:r>
              <w:rPr>
                <w:rFonts w:hint="eastAsia" w:ascii="宋体" w:hAnsi="宋体" w:eastAsia="宋体" w:cs="宋体"/>
                <w:color w:val="000000"/>
                <w:sz w:val="24"/>
                <w:szCs w:val="24"/>
                <w:highlight w:val="none"/>
                <w:lang w:val="en-US" w:eastAsia="zh-CN" w:bidi="ar-SA"/>
              </w:rPr>
            </w:r>
            <w:r/>
          </w:p>
        </w:tc>
        <w:tc>
          <w:tcPr>
            <w:tcW w:w="1892" w:type="dxa"/>
            <w:vAlign w:val="center"/>
            <w:textDirection w:val="lrTb"/>
            <w:noWrap w:val="false"/>
          </w:tcPr>
          <w:p>
            <w:pPr>
              <w:pStyle w:val="1078"/>
              <w:numPr>
                <w:ilvl w:val="0"/>
                <w:numId w:val="0"/>
              </w:num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1.表扬表彰：获上级主管书面表彰 + 3 分；收到读者书面表扬 + 2 分，本项最高 + 5 分。</w:t>
            </w:r>
            <w:r>
              <w:rPr>
                <w:rFonts w:hint="eastAsia" w:ascii="宋体" w:hAnsi="宋体" w:eastAsia="宋体" w:cs="宋体"/>
                <w:color w:val="000000"/>
                <w:sz w:val="24"/>
                <w:szCs w:val="24"/>
                <w:highlight w:val="none"/>
                <w:lang w:val="en-US" w:eastAsia="zh-CN" w:bidi="ar"/>
              </w:rPr>
            </w:r>
            <w:r/>
          </w:p>
          <w:p>
            <w:pPr>
              <w:pStyle w:val="1078"/>
              <w:numPr>
                <w:ilvl w:val="0"/>
                <w:numId w:val="0"/>
              </w:num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2. 建议实施：图书馆运营创新方案被采纳落地 + 5 分，本项最高 + 5 分。</w:t>
            </w:r>
            <w:r>
              <w:rPr>
                <w:rFonts w:hint="eastAsia" w:ascii="宋体" w:hAnsi="宋体" w:eastAsia="宋体" w:cs="宋体"/>
                <w:color w:val="000000"/>
                <w:sz w:val="24"/>
                <w:szCs w:val="24"/>
                <w:highlight w:val="none"/>
                <w:lang w:val="en-US" w:eastAsia="zh-CN" w:bidi="ar-SA"/>
              </w:rPr>
            </w:r>
            <w:r/>
          </w:p>
          <w:p>
            <w:pPr>
              <w:pStyle w:val="1078"/>
              <w:numPr>
                <w:ilvl w:val="0"/>
                <w:numId w:val="0"/>
              </w:num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3. 重要荣誉：区级荣誉 + 1 分，市级荣誉 + 2 分，省级荣誉 + 3 分，国家级荣誉 + 5 分，本项最高 + 10 分。</w:t>
            </w:r>
            <w:r>
              <w:rPr>
                <w:rFonts w:hint="eastAsia" w:ascii="宋体" w:hAnsi="宋体" w:eastAsia="宋体" w:cs="宋体"/>
                <w:color w:val="000000"/>
                <w:sz w:val="24"/>
                <w:szCs w:val="24"/>
                <w:highlight w:val="none"/>
                <w:lang w:val="en-US" w:eastAsia="zh-CN" w:bidi="ar-SA"/>
              </w:rPr>
            </w:r>
            <w:r/>
          </w:p>
        </w:tc>
        <w:tc>
          <w:tcPr>
            <w:tcW w:w="261" w:type="dxa"/>
            <w:vAlign w:val="center"/>
            <w:textDirection w:val="lrTb"/>
            <w:noWrap w:val="false"/>
          </w:tcPr>
          <w:p>
            <w:pPr>
              <w:pStyle w:val="1078"/>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20</w:t>
            </w:r>
            <w:r>
              <w:rPr>
                <w:rFonts w:hint="eastAsia" w:ascii="宋体" w:hAnsi="宋体" w:eastAsia="宋体" w:cs="宋体"/>
                <w:color w:val="000000"/>
                <w:sz w:val="24"/>
                <w:szCs w:val="24"/>
                <w:highlight w:val="none"/>
                <w:lang w:val="en-US" w:eastAsia="zh-CN" w:bidi="ar-SA"/>
              </w:rPr>
            </w:r>
            <w:r/>
          </w:p>
        </w:tc>
        <w:tc>
          <w:tcPr>
            <w:tcW w:w="1826" w:type="dxa"/>
            <w:vAlign w:val="center"/>
            <w:textDirection w:val="lrTb"/>
            <w:noWrap w:val="false"/>
          </w:tcPr>
          <w:p>
            <w:pPr>
              <w:pStyle w:val="1078"/>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本项最高可加 20 分，得分直接计入总得分。</w:t>
            </w:r>
            <w:r>
              <w:rPr>
                <w:rFonts w:hint="eastAsia" w:ascii="宋体" w:hAnsi="宋体" w:eastAsia="宋体" w:cs="宋体"/>
                <w:color w:val="000000"/>
                <w:sz w:val="24"/>
                <w:szCs w:val="24"/>
                <w:highlight w:val="none"/>
                <w:lang w:val="en-US" w:eastAsia="zh-CN" w:bidi="ar-SA"/>
              </w:rPr>
            </w:r>
            <w:r/>
          </w:p>
        </w:tc>
        <w:tc>
          <w:tcPr>
            <w:tcW w:w="524" w:type="dxa"/>
            <w:vAlign w:val="center"/>
            <w:textDirection w:val="lrTb"/>
            <w:noWrap w:val="false"/>
          </w:tcPr>
          <w:p>
            <w:pPr>
              <w:pStyle w:val="107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1081"/>
        <w:numPr>
          <w:ilvl w:val="0"/>
          <w:numId w:val="0"/>
        </w:numPr>
        <w:keepLines w:val="0"/>
        <w:keepNext w:val="0"/>
        <w:pageBreakBefore w:val="0"/>
        <w:spacing w:before="0" w:after="0" w:line="400" w:lineRule="exact"/>
        <w:widowControl/>
        <w:rPr>
          <w:rFonts w:hint="eastAsia" w:ascii="宋体" w:hAnsi="宋体" w:eastAsia="宋体" w:cs="宋体"/>
          <w:b w:val="0"/>
          <w:bCs w:val="0"/>
          <w:color w:val="000000"/>
          <w:sz w:val="24"/>
          <w:szCs w:val="24"/>
          <w:highlight w:val="none"/>
          <w:lang w:val="en-US" w:eastAsia="zh-CN" w:bidi="ar"/>
        </w:rPr>
        <w:outlineLvl w:val="2"/>
        <w:suppressLineNumbers w:val="0"/>
      </w:pPr>
      <w:r>
        <w:rPr>
          <w:rFonts w:hint="eastAsia" w:ascii="宋体" w:hAnsi="宋体" w:eastAsia="宋体" w:cs="宋体"/>
          <w:b w:val="0"/>
          <w:bCs w:val="0"/>
          <w:color w:val="000000"/>
          <w:sz w:val="24"/>
          <w:szCs w:val="24"/>
          <w:highlight w:val="none"/>
          <w:lang w:val="en-US" w:eastAsia="zh-CN" w:bidi="ar"/>
        </w:rPr>
        <w:t xml:space="preserve">1.本考核为季度考核，年度指标按季度进度进行折算考核；考核权重：日常监管占 10%，季度考核占 30%，年度考核占 60%。2.考核结果等级：85 分及以上为优秀；60 分（含）84 分为达标；60 分以下为不达标。季度考核结果作为年度综合评价重要依据；季度考核不达标需提交整改方案，整改仍不合格按服务合同约定处置。3.运营方针对考核扣分问题，须落实内部追责，将考核结果传导至岗位责任人。</w:t>
      </w:r>
      <w:r>
        <w:rPr>
          <w:rFonts w:hint="eastAsia" w:ascii="宋体" w:hAnsi="宋体" w:eastAsia="宋体" w:cs="宋体"/>
          <w:b w:val="0"/>
          <w:bCs w:val="0"/>
          <w:color w:val="000000"/>
          <w:sz w:val="24"/>
          <w:szCs w:val="24"/>
          <w:highlight w:val="none"/>
          <w:lang w:val="en-US" w:eastAsia="zh-CN" w:bidi="ar"/>
        </w:rPr>
      </w:r>
      <w:r/>
    </w:p>
    <w:p>
      <w:pPr>
        <w:pStyle w:val="1081"/>
        <w:numPr>
          <w:ilvl w:val="0"/>
          <w:numId w:val="0"/>
        </w:numPr>
        <w:keepLines w:val="0"/>
        <w:keepNext w:val="0"/>
        <w:widowControl/>
        <w:rPr>
          <w:rFonts w:hint="eastAsia" w:ascii="宋体" w:hAnsi="宋体" w:eastAsia="宋体" w:cs="宋体"/>
          <w:color w:val="000000"/>
          <w:sz w:val="28"/>
          <w:szCs w:val="28"/>
          <w:highlight w:val="none"/>
          <w:lang w:val="en-US" w:eastAsia="zh-CN" w:bidi="ar"/>
        </w:rPr>
        <w:outlineLvl w:val="2"/>
        <w:suppressLineNumbers w:val="0"/>
      </w:pPr>
      <w:r>
        <w:rPr>
          <w:rFonts w:hint="eastAsia" w:ascii="宋体" w:hAnsi="宋体" w:eastAsia="宋体" w:cs="宋体"/>
          <w:color w:val="000000"/>
          <w:sz w:val="28"/>
          <w:szCs w:val="28"/>
          <w:highlight w:val="none"/>
          <w:lang w:val="en-US" w:eastAsia="zh-CN" w:bidi="ar"/>
        </w:rPr>
        <w:t xml:space="preserve">被考核单位负责人：</w:t>
      </w:r>
      <w:r>
        <w:rPr>
          <w:rFonts w:hint="eastAsia" w:ascii="宋体" w:hAnsi="宋体" w:eastAsia="宋体" w:cs="宋体"/>
          <w:b w:val="0"/>
          <w:bCs w:val="0"/>
          <w:color w:val="000000"/>
          <w:sz w:val="28"/>
          <w:szCs w:val="28"/>
          <w:highlight w:val="none"/>
          <w:lang w:val="en-US" w:eastAsia="zh-CN" w:bidi="ar"/>
        </w:rPr>
        <w:t xml:space="preserve">                      </w:t>
      </w:r>
      <w:r>
        <w:rPr>
          <w:rFonts w:ascii="宋体" w:hAnsi="宋体" w:eastAsia="宋体" w:cs="宋体"/>
          <w:color w:val="000000"/>
          <w:sz w:val="28"/>
          <w:szCs w:val="28"/>
          <w:highlight w:val="none"/>
          <w:lang w:val="en-US" w:eastAsia="zh-CN" w:bidi="ar"/>
        </w:rPr>
        <w:t xml:space="preserve">考核人</w:t>
      </w:r>
      <w:r>
        <w:rPr>
          <w:rFonts w:hint="eastAsia" w:ascii="宋体" w:hAnsi="宋体" w:eastAsia="宋体" w:cs="宋体"/>
          <w:color w:val="000000"/>
          <w:sz w:val="28"/>
          <w:szCs w:val="28"/>
          <w:highlight w:val="none"/>
          <w:lang w:val="en-US" w:eastAsia="zh-CN" w:bidi="ar"/>
        </w:rPr>
        <w:t xml:space="preserve">：</w:t>
      </w:r>
      <w:r>
        <w:rPr>
          <w:rFonts w:hint="eastAsia" w:ascii="宋体" w:hAnsi="宋体" w:eastAsia="宋体" w:cs="宋体"/>
          <w:color w:val="000000"/>
          <w:sz w:val="28"/>
          <w:szCs w:val="28"/>
          <w:highlight w:val="none"/>
          <w:lang w:val="en-US" w:eastAsia="zh-CN" w:bidi="ar"/>
        </w:rPr>
      </w:r>
      <w:r/>
    </w:p>
    <w:p>
      <w:pPr>
        <w:pStyle w:val="1139"/>
        <w:jc w:val="center"/>
        <w:keepLines w:val="0"/>
        <w:keepNext w:val="0"/>
        <w:pageBreakBefore w:val="0"/>
        <w:spacing w:after="157" w:afterAutospacing="0"/>
        <w:widowControl/>
        <w:rPr>
          <w:rFonts w:ascii="宋体" w:hAnsi="宋体" w:eastAsia="宋体" w:cs="宋体"/>
          <w:b/>
          <w:bCs/>
          <w:color w:val="000000"/>
          <w:sz w:val="30"/>
          <w:szCs w:val="30"/>
          <w:highlight w:val="none"/>
          <w:lang w:val="en-US" w:eastAsia="zh-CN" w:bidi="ar"/>
        </w:rPr>
        <w:suppressLineNumbers w:val="0"/>
      </w:pPr>
      <w:r>
        <w:rPr>
          <w:rFonts w:ascii="宋体" w:hAnsi="宋体" w:eastAsia="宋体" w:cs="宋体"/>
          <w:b/>
          <w:bCs/>
          <w:color w:val="000000"/>
          <w:sz w:val="30"/>
          <w:szCs w:val="30"/>
          <w:highlight w:val="none"/>
          <w:lang w:val="en-US" w:eastAsia="zh-CN" w:bidi="ar"/>
        </w:rPr>
      </w:r>
      <w:r/>
    </w:p>
    <w:p>
      <w:pPr>
        <w:pStyle w:val="1139"/>
        <w:jc w:val="center"/>
        <w:keepLines w:val="0"/>
        <w:keepNext w:val="0"/>
        <w:pageBreakBefore w:val="0"/>
        <w:spacing w:after="157" w:afterAutospacing="0"/>
        <w:widowControl/>
        <w:rPr>
          <w:rFonts w:ascii="宋体" w:hAnsi="宋体" w:eastAsia="宋体" w:cs="宋体"/>
          <w:b/>
          <w:bCs/>
          <w:color w:val="000000"/>
          <w:sz w:val="30"/>
          <w:szCs w:val="30"/>
          <w:highlight w:val="none"/>
          <w:lang w:val="en-US" w:eastAsia="zh-CN" w:bidi="ar"/>
        </w:rPr>
        <w:suppressLineNumbers w:val="0"/>
      </w:pPr>
      <w:r>
        <w:rPr>
          <w:rFonts w:ascii="宋体" w:hAnsi="宋体" w:eastAsia="宋体" w:cs="宋体"/>
          <w:b/>
          <w:bCs/>
          <w:color w:val="000000"/>
          <w:sz w:val="30"/>
          <w:szCs w:val="30"/>
          <w:highlight w:val="none"/>
          <w:lang w:val="en-US" w:eastAsia="zh-CN" w:bidi="ar"/>
        </w:rPr>
        <w:t xml:space="preserve">图书馆运营服务年度绩效考核表</w:t>
      </w:r>
      <w:r>
        <w:rPr>
          <w:rFonts w:ascii="宋体" w:hAnsi="宋体" w:eastAsia="宋体" w:cs="宋体"/>
          <w:b/>
          <w:bCs/>
          <w:color w:val="000000"/>
          <w:sz w:val="30"/>
          <w:szCs w:val="30"/>
          <w:highlight w:val="none"/>
          <w:lang w:val="en-US" w:eastAsia="zh-CN" w:bidi="ar"/>
        </w:rPr>
      </w:r>
      <w:r/>
    </w:p>
    <w:p>
      <w:pPr>
        <w:pStyle w:val="1139"/>
        <w:ind w:right="0"/>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highlight w:val="none"/>
          <w:u w:val="single"/>
          <w:lang w:val="en-US" w:eastAsia="zh-CN" w:bidi="ar"/>
        </w:rPr>
        <w:suppressLineNumbers w:val="0"/>
      </w:pPr>
      <w:r>
        <w:rPr>
          <w:rFonts w:ascii="宋体" w:hAnsi="宋体" w:eastAsia="宋体" w:cs="宋体"/>
          <w:color w:val="000000"/>
          <w:sz w:val="28"/>
          <w:szCs w:val="28"/>
          <w:highlight w:val="none"/>
          <w:lang w:val="en-US" w:eastAsia="zh-CN" w:bidi="ar"/>
        </w:rPr>
        <w:t xml:space="preserve">考核日期：__________</w:t>
      </w:r>
      <w:r>
        <w:rPr>
          <w:rFonts w:hint="eastAsia" w:ascii="宋体" w:hAnsi="宋体" w:eastAsia="宋体" w:cs="宋体"/>
          <w:color w:val="000000"/>
          <w:sz w:val="28"/>
          <w:szCs w:val="28"/>
          <w:highlight w:val="none"/>
          <w:lang w:val="en-US" w:eastAsia="zh-CN" w:bidi="ar"/>
        </w:rPr>
        <w:t xml:space="preserve"> </w:t>
      </w:r>
      <w:r>
        <w:rPr>
          <w:rFonts w:ascii="宋体" w:hAnsi="宋体" w:eastAsia="宋体" w:cs="宋体"/>
          <w:color w:val="000000"/>
          <w:sz w:val="28"/>
          <w:szCs w:val="28"/>
          <w:highlight w:val="none"/>
          <w:lang w:val="en-US" w:eastAsia="zh-CN" w:bidi="ar"/>
        </w:rPr>
        <w:t xml:space="preserve">考核周期：年度</w:t>
      </w:r>
      <w:r>
        <w:rPr>
          <w:rFonts w:hint="eastAsia" w:ascii="宋体" w:hAnsi="宋体" w:eastAsia="宋体" w:cs="宋体"/>
          <w:color w:val="000000"/>
          <w:sz w:val="28"/>
          <w:szCs w:val="28"/>
          <w:highlight w:val="none"/>
          <w:u w:val="single"/>
          <w:lang w:val="en-US" w:eastAsia="zh-CN" w:bidi="ar"/>
        </w:rPr>
        <w:t xml:space="preserve">       </w:t>
      </w:r>
      <w:r>
        <w:rPr>
          <w:rFonts w:ascii="宋体" w:hAnsi="宋体" w:eastAsia="宋体" w:cs="宋体"/>
          <w:color w:val="000000"/>
          <w:sz w:val="28"/>
          <w:szCs w:val="28"/>
          <w:highlight w:val="none"/>
          <w:lang w:val="en-US" w:eastAsia="zh-CN" w:bidi="ar"/>
        </w:rPr>
        <w:t xml:space="preserve">考核得分：</w:t>
      </w:r>
      <w:r>
        <w:rPr>
          <w:rFonts w:hint="eastAsia" w:ascii="宋体" w:hAnsi="宋体" w:eastAsia="宋体" w:cs="宋体"/>
          <w:color w:val="000000"/>
          <w:sz w:val="28"/>
          <w:szCs w:val="28"/>
          <w:highlight w:val="none"/>
          <w:u w:val="single"/>
          <w:lang w:val="en-US" w:eastAsia="zh-CN" w:bidi="ar"/>
        </w:rPr>
        <w:t xml:space="preserve">         </w:t>
      </w:r>
      <w:r>
        <w:rPr>
          <w:rFonts w:hint="eastAsia" w:ascii="宋体" w:hAnsi="宋体" w:eastAsia="宋体" w:cs="宋体"/>
          <w:color w:val="000000"/>
          <w:sz w:val="28"/>
          <w:szCs w:val="28"/>
          <w:highlight w:val="none"/>
          <w:u w:val="single"/>
          <w:lang w:val="en-US" w:eastAsia="zh-CN" w:bidi="ar"/>
        </w:rPr>
      </w:r>
      <w:r/>
    </w:p>
    <w:tbl>
      <w:tblPr>
        <w:tblStyle w:val="11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3545"/>
        <w:gridCol w:w="668"/>
        <w:gridCol w:w="2987"/>
        <w:gridCol w:w="1110"/>
      </w:tblGrid>
      <w:tr>
        <w:trPr/>
        <w:tc>
          <w:tcPr>
            <w:tcW w:w="932" w:type="dxa"/>
            <w:vAlign w:val="center"/>
            <w:textDirection w:val="lrTb"/>
            <w:noWrap w:val="false"/>
          </w:tcPr>
          <w:p>
            <w:pPr>
              <w:pStyle w:val="1078"/>
              <w:ind w:right="0"/>
              <w:jc w:val="center"/>
              <w:keepLines w:val="0"/>
              <w:keepNext w:val="0"/>
              <w:pageBreakBefore w:val="0"/>
              <w:spacing w:beforeAutospacing="0" w:afterAutospacing="0" w:line="400" w:lineRule="exact"/>
              <w:widowControl/>
              <w:rPr>
                <w:rFonts w:hint="eastAsia" w:ascii="Calibri" w:hAnsi="Calibri" w:eastAsia="宋体" w:cs="Times New Roman"/>
                <w:b/>
                <w:bCs/>
                <w:color w:val="000000"/>
                <w:sz w:val="21"/>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考核板块</w:t>
            </w:r>
            <w:r>
              <w:rPr>
                <w:rFonts w:hint="eastAsia" w:ascii="Calibri" w:hAnsi="Calibri" w:eastAsia="宋体" w:cs="Times New Roman"/>
                <w:b/>
                <w:bCs/>
                <w:color w:val="000000"/>
                <w:sz w:val="21"/>
                <w:szCs w:val="24"/>
                <w:highlight w:val="none"/>
                <w:lang w:val="en-US" w:eastAsia="zh-CN" w:bidi="ar-SA"/>
              </w:rPr>
            </w:r>
            <w:r/>
          </w:p>
        </w:tc>
        <w:tc>
          <w:tcPr>
            <w:tcW w:w="3545" w:type="dxa"/>
            <w:vAlign w:val="center"/>
            <w:textDirection w:val="lrTb"/>
            <w:noWrap w:val="false"/>
          </w:tcPr>
          <w:p>
            <w:pPr>
              <w:pStyle w:val="1078"/>
              <w:ind w:right="0"/>
              <w:jc w:val="center"/>
              <w:keepLines w:val="0"/>
              <w:keepNext w:val="0"/>
              <w:pageBreakBefore w:val="0"/>
              <w:spacing w:beforeAutospacing="0" w:afterAutospacing="0" w:line="400" w:lineRule="exact"/>
              <w:widowControl/>
              <w:rPr>
                <w:rFonts w:hint="eastAsia" w:ascii="Calibri" w:hAnsi="Calibri" w:eastAsia="宋体" w:cs="Times New Roman"/>
                <w:b/>
                <w:bCs/>
                <w:color w:val="000000"/>
                <w:sz w:val="21"/>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考核内容及要求</w:t>
            </w:r>
            <w:r>
              <w:rPr>
                <w:rFonts w:hint="eastAsia" w:ascii="Calibri" w:hAnsi="Calibri" w:eastAsia="宋体" w:cs="Times New Roman"/>
                <w:b/>
                <w:bCs/>
                <w:color w:val="000000"/>
                <w:sz w:val="21"/>
                <w:szCs w:val="24"/>
                <w:highlight w:val="none"/>
                <w:lang w:val="en-US" w:eastAsia="zh-CN" w:bidi="ar-SA"/>
              </w:rPr>
            </w:r>
            <w:r/>
          </w:p>
        </w:tc>
        <w:tc>
          <w:tcPr>
            <w:tcW w:w="668" w:type="dxa"/>
            <w:vAlign w:val="center"/>
            <w:textDirection w:val="lrTb"/>
            <w:noWrap w:val="false"/>
          </w:tcPr>
          <w:p>
            <w:pPr>
              <w:pStyle w:val="1078"/>
              <w:ind w:right="0"/>
              <w:jc w:val="center"/>
              <w:keepLines w:val="0"/>
              <w:keepNext w:val="0"/>
              <w:pageBreakBefore w:val="0"/>
              <w:spacing w:beforeAutospacing="0" w:afterAutospacing="0" w:line="400" w:lineRule="exact"/>
              <w:widowControl/>
              <w:rPr>
                <w:rFonts w:hint="eastAsia" w:ascii="Calibri" w:hAnsi="Calibri" w:eastAsia="宋体" w:cs="Times New Roman"/>
                <w:b/>
                <w:bCs/>
                <w:color w:val="000000"/>
                <w:sz w:val="21"/>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分值</w:t>
            </w:r>
            <w:r>
              <w:rPr>
                <w:rFonts w:hint="eastAsia" w:ascii="Calibri" w:hAnsi="Calibri" w:eastAsia="宋体" w:cs="Times New Roman"/>
                <w:b/>
                <w:bCs/>
                <w:color w:val="000000"/>
                <w:sz w:val="21"/>
                <w:szCs w:val="24"/>
                <w:highlight w:val="none"/>
                <w:lang w:val="en-US" w:eastAsia="zh-CN" w:bidi="ar-SA"/>
              </w:rPr>
            </w:r>
            <w:r/>
          </w:p>
        </w:tc>
        <w:tc>
          <w:tcPr>
            <w:tcW w:w="2987" w:type="dxa"/>
            <w:vAlign w:val="center"/>
            <w:textDirection w:val="lrTb"/>
            <w:noWrap w:val="false"/>
          </w:tcPr>
          <w:p>
            <w:pPr>
              <w:pStyle w:val="1078"/>
              <w:ind w:right="0"/>
              <w:jc w:val="center"/>
              <w:keepLines w:val="0"/>
              <w:keepNext w:val="0"/>
              <w:pageBreakBefore w:val="0"/>
              <w:spacing w:beforeAutospacing="0" w:afterAutospacing="0" w:line="400" w:lineRule="exact"/>
              <w:widowControl/>
              <w:rPr>
                <w:rFonts w:hint="eastAsia" w:ascii="Calibri" w:hAnsi="Calibri" w:eastAsia="宋体" w:cs="Times New Roman"/>
                <w:b/>
                <w:bCs/>
                <w:color w:val="000000"/>
                <w:sz w:val="21"/>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考核办法</w:t>
            </w:r>
            <w:r>
              <w:rPr>
                <w:rFonts w:hint="eastAsia" w:ascii="Calibri" w:hAnsi="Calibri" w:eastAsia="宋体" w:cs="Times New Roman"/>
                <w:b/>
                <w:bCs/>
                <w:color w:val="000000"/>
                <w:sz w:val="21"/>
                <w:szCs w:val="24"/>
                <w:highlight w:val="none"/>
                <w:lang w:val="en-US" w:eastAsia="zh-CN" w:bidi="ar-SA"/>
              </w:rPr>
            </w:r>
            <w:r/>
          </w:p>
        </w:tc>
        <w:tc>
          <w:tcPr>
            <w:tcW w:w="1110" w:type="dxa"/>
            <w:vAlign w:val="center"/>
            <w:textDirection w:val="lrTb"/>
            <w:noWrap w:val="false"/>
          </w:tcPr>
          <w:p>
            <w:pPr>
              <w:pStyle w:val="1078"/>
              <w:ind w:right="0"/>
              <w:jc w:val="center"/>
              <w:keepLines w:val="0"/>
              <w:keepNext w:val="0"/>
              <w:pageBreakBefore w:val="0"/>
              <w:spacing w:beforeAutospacing="0" w:afterAutospacing="0" w:line="400" w:lineRule="exact"/>
              <w:widowControl/>
              <w:rPr>
                <w:rFonts w:hint="eastAsia" w:ascii="Calibri" w:hAnsi="Calibri" w:eastAsia="宋体" w:cs="Times New Roman"/>
                <w:b/>
                <w:bCs/>
                <w:color w:val="000000"/>
                <w:sz w:val="21"/>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情节及扣分（实际扣分记录）</w:t>
            </w:r>
            <w:r>
              <w:rPr>
                <w:rFonts w:hint="eastAsia" w:ascii="Calibri" w:hAnsi="Calibri" w:eastAsia="宋体" w:cs="Times New Roman"/>
                <w:b/>
                <w:bCs/>
                <w:color w:val="000000"/>
                <w:sz w:val="21"/>
                <w:szCs w:val="24"/>
                <w:highlight w:val="none"/>
                <w:lang w:val="en-US" w:eastAsia="zh-CN" w:bidi="ar-SA"/>
              </w:rPr>
            </w:r>
            <w:r/>
          </w:p>
        </w:tc>
      </w:tr>
      <w:tr>
        <w:trPr/>
        <w:tc>
          <w:tcPr>
            <w:tcW w:w="932"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团队建设（23 分）</w:t>
            </w:r>
            <w:r>
              <w:rPr>
                <w:rFonts w:hint="eastAsia" w:ascii="Calibri" w:hAnsi="Calibri" w:eastAsia="宋体" w:cs="Times New Roman"/>
                <w:color w:val="000000"/>
                <w:sz w:val="21"/>
                <w:szCs w:val="24"/>
                <w:highlight w:val="none"/>
                <w:lang w:val="en-US" w:eastAsia="zh-CN" w:bidi="ar-SA"/>
              </w:rPr>
            </w:r>
            <w:r/>
          </w:p>
        </w:tc>
        <w:tc>
          <w:tcPr>
            <w:tcW w:w="3545"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11 服务规范：全年严格执行员工手册规章制度与行为规范；馆员统一工装、仪表大方；服务态度、礼仪规范。12 执行能力：制定全年工作目标与年度运营工作计划，分解至各季度，定期沟通汇报；团队分工清晰，常态化落实晨会、周会、月会；积极配合主管部门，树立良好图书馆对外形象；对历次季度考核问题完成闭环整改。</w:t>
            </w:r>
            <w:r>
              <w:rPr>
                <w:rFonts w:ascii="宋体" w:hAnsi="宋体" w:eastAsia="宋体" w:cs="宋体"/>
                <w:color w:val="000000"/>
                <w:sz w:val="24"/>
                <w:szCs w:val="24"/>
                <w:highlight w:val="none"/>
                <w:lang w:val="en-US" w:eastAsia="zh-CN" w:bidi="ar"/>
              </w:rPr>
            </w:r>
            <w:r/>
          </w:p>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13 学习能力：制定年度全员学习成长计划；组织 / 参加图书馆行业线上线下培训；组织外出行业学习交流。</w:t>
            </w:r>
            <w:r>
              <w:rPr>
                <w:rFonts w:hint="eastAsia" w:ascii="Calibri" w:hAnsi="Calibri" w:eastAsia="宋体" w:cs="Times New Roman"/>
                <w:color w:val="000000"/>
                <w:sz w:val="21"/>
                <w:szCs w:val="24"/>
                <w:highlight w:val="none"/>
                <w:lang w:val="en-US" w:eastAsia="zh-CN" w:bidi="ar-SA"/>
              </w:rPr>
            </w:r>
            <w:r/>
          </w:p>
        </w:tc>
        <w:tc>
          <w:tcPr>
            <w:tcW w:w="668" w:type="dxa"/>
            <w:vAlign w:val="center"/>
            <w:textDirection w:val="lrTb"/>
            <w:noWrap w:val="false"/>
          </w:tcPr>
          <w:p>
            <w:pPr>
              <w:pStyle w:val="1078"/>
              <w:ind w:right="0"/>
              <w:jc w:val="center"/>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23</w:t>
            </w:r>
            <w:r>
              <w:rPr>
                <w:rFonts w:hint="eastAsia" w:ascii="Calibri" w:hAnsi="Calibri" w:eastAsia="宋体" w:cs="Times New Roman"/>
                <w:color w:val="000000"/>
                <w:sz w:val="21"/>
                <w:szCs w:val="24"/>
                <w:highlight w:val="none"/>
                <w:lang w:val="en-US" w:eastAsia="zh-CN" w:bidi="ar-SA"/>
              </w:rPr>
            </w:r>
            <w:r/>
          </w:p>
        </w:tc>
        <w:tc>
          <w:tcPr>
            <w:tcW w:w="2987"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服务规范出现违规每例扣 12 分；年度计划缺失、目标未分解扣 5 分；会议制度执行不到位扣 3 分；主管部门配合不力扣 2 分；上季度考核问题未整改每项扣 2 分；无年度学习计划扣 2 分；年度培训参与不足扣 3 分；未组织外出交流扣 3 分，扣完本板块分值为止。</w:t>
            </w:r>
            <w:r>
              <w:rPr>
                <w:rFonts w:hint="eastAsia" w:ascii="Calibri" w:hAnsi="Calibri" w:eastAsia="宋体" w:cs="Times New Roman"/>
                <w:color w:val="000000"/>
                <w:sz w:val="21"/>
                <w:szCs w:val="24"/>
                <w:highlight w:val="none"/>
                <w:lang w:val="en-US" w:eastAsia="zh-CN" w:bidi="ar-SA"/>
              </w:rPr>
            </w:r>
            <w:r/>
          </w:p>
        </w:tc>
        <w:tc>
          <w:tcPr>
            <w:tcW w:w="1110" w:type="dxa"/>
            <w:vAlign w:val="top"/>
            <w:textDirection w:val="lrTb"/>
            <w:noWrap w:val="false"/>
          </w:tcPr>
          <w:p>
            <w:pPr>
              <w:pStyle w:val="1139"/>
              <w:ind w:right="0"/>
              <w:keepLines w:val="0"/>
              <w:keepNext w:val="0"/>
              <w:pageBreakBefore w:val="0"/>
              <w:spacing w:before="0" w:beforeAutospacing="0" w:after="0" w:afterAutospacing="0" w:line="400" w:lineRule="exact"/>
              <w:widowControl/>
              <w:rPr>
                <w:rStyle w:val="1149"/>
                <w:rFonts w:hint="eastAsia" w:ascii="宋体" w:hAnsi="宋体" w:eastAsia="宋体" w:cs="宋体"/>
                <w:color w:val="000000"/>
                <w:sz w:val="24"/>
                <w:szCs w:val="24"/>
                <w:highlight w:val="none"/>
                <w:vertAlign w:val="baseline"/>
              </w:rPr>
              <w:suppressLineNumbers w:val="0"/>
            </w:pPr>
            <w:r>
              <w:rPr>
                <w:rStyle w:val="1149"/>
                <w:rFonts w:hint="eastAsia" w:ascii="宋体" w:hAnsi="宋体" w:eastAsia="宋体" w:cs="宋体"/>
                <w:color w:val="000000"/>
                <w:sz w:val="24"/>
                <w:szCs w:val="24"/>
                <w:highlight w:val="none"/>
                <w:vertAlign w:val="baseline"/>
              </w:rPr>
            </w:r>
            <w:r/>
          </w:p>
        </w:tc>
      </w:tr>
      <w:tr>
        <w:trPr/>
        <w:tc>
          <w:tcPr>
            <w:tcW w:w="932"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服务效能（43 分）</w:t>
            </w:r>
            <w:r>
              <w:rPr>
                <w:rFonts w:hint="eastAsia" w:ascii="Calibri" w:hAnsi="Calibri" w:eastAsia="宋体" w:cs="Times New Roman"/>
                <w:color w:val="000000"/>
                <w:sz w:val="21"/>
                <w:szCs w:val="24"/>
                <w:highlight w:val="none"/>
                <w:lang w:val="en-US" w:eastAsia="zh-CN" w:bidi="ar-SA"/>
              </w:rPr>
            </w:r>
            <w:r/>
          </w:p>
        </w:tc>
        <w:tc>
          <w:tcPr>
            <w:tcW w:w="3545"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21 场馆秩序：全年场馆内外保洁整洁；借阅、电器设备运行正常，设施摆放有序；维持良好场馆秩序与阅读氛围。</w:t>
            </w:r>
            <w:r>
              <w:rPr>
                <w:rFonts w:ascii="宋体" w:hAnsi="宋体" w:eastAsia="宋体" w:cs="宋体"/>
                <w:color w:val="000000"/>
                <w:sz w:val="24"/>
                <w:szCs w:val="24"/>
                <w:highlight w:val="none"/>
                <w:lang w:val="en-US" w:eastAsia="zh-CN" w:bidi="ar"/>
              </w:rPr>
            </w:r>
            <w:r/>
          </w:p>
          <w:p>
            <w:pPr>
              <w:pStyle w:val="1078"/>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22 服务指标：完成</w:t>
            </w:r>
            <w:r>
              <w:rPr>
                <w:rStyle w:val="1149"/>
                <w:rFonts w:ascii="宋体" w:hAnsi="宋体" w:eastAsia="宋体" w:cs="宋体"/>
                <w:color w:val="000000"/>
                <w:sz w:val="24"/>
                <w:szCs w:val="24"/>
                <w:highlight w:val="none"/>
                <w:lang w:val="en-US" w:eastAsia="zh-CN" w:bidi="ar"/>
              </w:rPr>
              <w:t xml:space="preserve">年度</w:t>
            </w:r>
            <w:r>
              <w:rPr>
                <w:rFonts w:ascii="宋体" w:hAnsi="宋体" w:eastAsia="宋体" w:cs="宋体"/>
                <w:color w:val="000000"/>
                <w:sz w:val="24"/>
                <w:szCs w:val="24"/>
                <w:highlight w:val="none"/>
                <w:lang w:val="en-US" w:eastAsia="zh-CN" w:bidi="ar"/>
              </w:rPr>
              <w:t xml:space="preserve">文献外借量、年总流通人次、年持证读者总人数指标。</w:t>
            </w:r>
            <w:r>
              <w:rPr>
                <w:rFonts w:ascii="宋体" w:hAnsi="宋体" w:eastAsia="宋体" w:cs="宋体"/>
                <w:color w:val="000000"/>
                <w:sz w:val="24"/>
                <w:szCs w:val="24"/>
                <w:highlight w:val="none"/>
                <w:lang w:val="en-US" w:eastAsia="zh-CN" w:bidi="ar"/>
              </w:rPr>
            </w:r>
            <w:r/>
          </w:p>
          <w:p>
            <w:pPr>
              <w:pStyle w:val="1078"/>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23 读者活动：完成年度活动总场次指标，所有活动台账完整规范。</w:t>
            </w:r>
            <w:r>
              <w:rPr>
                <w:rFonts w:ascii="宋体" w:hAnsi="宋体" w:eastAsia="宋体" w:cs="宋体"/>
                <w:color w:val="000000"/>
                <w:sz w:val="24"/>
                <w:szCs w:val="24"/>
                <w:highlight w:val="none"/>
                <w:lang w:val="en-US" w:eastAsia="zh-CN" w:bidi="ar"/>
              </w:rPr>
            </w:r>
            <w:r/>
          </w:p>
          <w:p>
            <w:pPr>
              <w:pStyle w:val="1078"/>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24 宣传管理：自媒体常态化更新推送；积极争取区、市、省及以上媒体宣传报道。</w:t>
            </w:r>
            <w:r>
              <w:rPr>
                <w:rFonts w:ascii="宋体" w:hAnsi="宋体" w:eastAsia="宋体" w:cs="宋体"/>
                <w:color w:val="000000"/>
                <w:sz w:val="24"/>
                <w:szCs w:val="24"/>
                <w:highlight w:val="none"/>
                <w:lang w:val="en-US" w:eastAsia="zh-CN" w:bidi="ar"/>
              </w:rPr>
            </w:r>
            <w:r/>
          </w:p>
          <w:p>
            <w:pPr>
              <w:pStyle w:val="1078"/>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25 咨询服务：常态化做好参考咨询服务，全年咨询台账完整规范。</w:t>
            </w:r>
            <w:r>
              <w:rPr>
                <w:rFonts w:ascii="宋体" w:hAnsi="宋体" w:eastAsia="宋体" w:cs="宋体"/>
                <w:color w:val="000000"/>
                <w:sz w:val="24"/>
                <w:szCs w:val="24"/>
                <w:highlight w:val="none"/>
                <w:lang w:val="en-US" w:eastAsia="zh-CN" w:bidi="ar"/>
              </w:rPr>
            </w:r>
            <w:r/>
          </w:p>
          <w:p>
            <w:pPr>
              <w:pStyle w:val="1078"/>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26 便民服务：持续提供手机充电、雨伞、急救箱、老花镜、放大镜、轮椅等便民服务。27 特殊群体服务：常态化做好未成年人基础服务；重要节日及日常开展老年人、残疾人等特殊群体创新服务。</w:t>
            </w:r>
            <w:r>
              <w:rPr>
                <w:rFonts w:ascii="宋体" w:hAnsi="宋体" w:eastAsia="宋体" w:cs="宋体"/>
                <w:color w:val="000000"/>
                <w:sz w:val="24"/>
                <w:szCs w:val="24"/>
                <w:highlight w:val="none"/>
                <w:lang w:val="en-US" w:eastAsia="zh-CN" w:bidi="ar"/>
              </w:rPr>
            </w:r>
            <w:r/>
          </w:p>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28 读者评价：每季度开展读者满意度调查，年度综合读者满意率≥90%。</w:t>
            </w:r>
            <w:r>
              <w:rPr>
                <w:rFonts w:hint="eastAsia" w:ascii="Calibri" w:hAnsi="Calibri" w:eastAsia="宋体" w:cs="Times New Roman"/>
                <w:color w:val="000000"/>
                <w:sz w:val="21"/>
                <w:szCs w:val="24"/>
                <w:highlight w:val="none"/>
                <w:lang w:val="en-US" w:eastAsia="zh-CN" w:bidi="ar-SA"/>
              </w:rPr>
            </w:r>
            <w:r/>
          </w:p>
        </w:tc>
        <w:tc>
          <w:tcPr>
            <w:tcW w:w="668" w:type="dxa"/>
            <w:vAlign w:val="center"/>
            <w:textDirection w:val="lrTb"/>
            <w:noWrap w:val="false"/>
          </w:tcPr>
          <w:p>
            <w:pPr>
              <w:pStyle w:val="1078"/>
              <w:ind w:right="0"/>
              <w:jc w:val="center"/>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43</w:t>
            </w:r>
            <w:r>
              <w:rPr>
                <w:rFonts w:hint="eastAsia" w:ascii="Calibri" w:hAnsi="Calibri" w:eastAsia="宋体" w:cs="Times New Roman"/>
                <w:color w:val="000000"/>
                <w:sz w:val="21"/>
                <w:szCs w:val="24"/>
                <w:highlight w:val="none"/>
                <w:lang w:val="en-US" w:eastAsia="zh-CN" w:bidi="ar-SA"/>
              </w:rPr>
            </w:r>
            <w:r/>
          </w:p>
        </w:tc>
        <w:tc>
          <w:tcPr>
            <w:tcW w:w="2987"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场馆秩序保洁、设备问题每处扣 12 分；年度服务指标未完成酌情扣 110 分；年度活动未达标、台账缺失扣 19 分；自媒体更新滞后扣 2 分；咨询台账不全扣 1 分；便民服务缺失酌情扣 0.53 分；特殊群体服务落实不到位扣 25 分；未按季度开展满意度调查、年度综合满意率不足 90% 扣 3 分，扣完本板块分值为止。</w:t>
            </w:r>
            <w:r>
              <w:rPr>
                <w:rFonts w:hint="eastAsia" w:ascii="Calibri" w:hAnsi="Calibri" w:eastAsia="宋体" w:cs="Times New Roman"/>
                <w:color w:val="000000"/>
                <w:sz w:val="21"/>
                <w:szCs w:val="24"/>
                <w:highlight w:val="none"/>
                <w:lang w:val="en-US" w:eastAsia="zh-CN" w:bidi="ar-SA"/>
              </w:rPr>
            </w:r>
            <w:r/>
          </w:p>
        </w:tc>
        <w:tc>
          <w:tcPr>
            <w:tcW w:w="1110" w:type="dxa"/>
            <w:vAlign w:val="top"/>
            <w:textDirection w:val="lrTb"/>
            <w:noWrap w:val="false"/>
          </w:tcPr>
          <w:p>
            <w:pPr>
              <w:pStyle w:val="1139"/>
              <w:ind w:right="0"/>
              <w:keepLines w:val="0"/>
              <w:keepNext w:val="0"/>
              <w:pageBreakBefore w:val="0"/>
              <w:spacing w:before="0" w:beforeAutospacing="0" w:after="0" w:afterAutospacing="0" w:line="400" w:lineRule="exact"/>
              <w:widowControl/>
              <w:rPr>
                <w:rStyle w:val="1149"/>
                <w:rFonts w:hint="eastAsia" w:ascii="宋体" w:hAnsi="宋体" w:eastAsia="宋体" w:cs="宋体"/>
                <w:color w:val="000000"/>
                <w:sz w:val="24"/>
                <w:szCs w:val="24"/>
                <w:highlight w:val="none"/>
                <w:vertAlign w:val="baseline"/>
              </w:rPr>
              <w:suppressLineNumbers w:val="0"/>
            </w:pPr>
            <w:r>
              <w:rPr>
                <w:rStyle w:val="1149"/>
                <w:rFonts w:hint="eastAsia" w:ascii="宋体" w:hAnsi="宋体" w:eastAsia="宋体" w:cs="宋体"/>
                <w:color w:val="000000"/>
                <w:sz w:val="24"/>
                <w:szCs w:val="24"/>
                <w:highlight w:val="none"/>
                <w:vertAlign w:val="baseline"/>
              </w:rPr>
            </w:r>
            <w:r/>
          </w:p>
        </w:tc>
      </w:tr>
      <w:tr>
        <w:trPr/>
        <w:tc>
          <w:tcPr>
            <w:tcW w:w="932"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业务能力（21 分）</w:t>
            </w:r>
            <w:r>
              <w:rPr>
                <w:rFonts w:hint="eastAsia" w:ascii="Calibri" w:hAnsi="Calibri" w:eastAsia="宋体" w:cs="Times New Roman"/>
                <w:color w:val="000000"/>
                <w:sz w:val="21"/>
                <w:szCs w:val="24"/>
                <w:highlight w:val="none"/>
                <w:lang w:val="en-US" w:eastAsia="zh-CN" w:bidi="ar-SA"/>
              </w:rPr>
            </w:r>
            <w:r/>
          </w:p>
        </w:tc>
        <w:tc>
          <w:tcPr>
            <w:tcW w:w="3545"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31 文献资源：图书报刊及时上架；馆藏排架准确率≥90%；完成年度地方文献采集、社会捐书接收；按月提交文献资源采购需求目录。</w:t>
            </w:r>
            <w:r>
              <w:rPr>
                <w:rFonts w:ascii="宋体" w:hAnsi="宋体" w:eastAsia="宋体" w:cs="宋体"/>
                <w:color w:val="000000"/>
                <w:sz w:val="24"/>
                <w:szCs w:val="24"/>
                <w:highlight w:val="none"/>
                <w:lang w:val="en-US" w:eastAsia="zh-CN" w:bidi="ar"/>
              </w:rPr>
            </w:r>
            <w:r/>
          </w:p>
          <w:p>
            <w:pPr>
              <w:pStyle w:val="1078"/>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32 总分馆制：全年常态化开展分馆业务辅导协作；每季度开展总分馆管理会议或业务培训；按时出具分馆借阅分析报告。</w:t>
            </w:r>
            <w:r>
              <w:rPr>
                <w:rFonts w:ascii="宋体" w:hAnsi="宋体" w:eastAsia="宋体" w:cs="宋体"/>
                <w:color w:val="000000"/>
                <w:sz w:val="24"/>
                <w:szCs w:val="24"/>
                <w:highlight w:val="none"/>
                <w:lang w:val="en-US" w:eastAsia="zh-CN" w:bidi="ar"/>
              </w:rPr>
            </w:r>
            <w:r/>
          </w:p>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33 志愿服务：完善志愿者招募、培训、管理制度；全年志愿者规模达 50 人以上，常态化服务≥10 人；全年志愿服务台账标准化完整归档。</w:t>
            </w:r>
            <w:r>
              <w:rPr>
                <w:rFonts w:hint="eastAsia" w:ascii="Calibri" w:hAnsi="Calibri" w:eastAsia="宋体" w:cs="Times New Roman"/>
                <w:color w:val="000000"/>
                <w:sz w:val="21"/>
                <w:szCs w:val="24"/>
                <w:highlight w:val="none"/>
                <w:lang w:val="en-US" w:eastAsia="zh-CN" w:bidi="ar-SA"/>
              </w:rPr>
            </w:r>
            <w:r/>
          </w:p>
        </w:tc>
        <w:tc>
          <w:tcPr>
            <w:tcW w:w="668" w:type="dxa"/>
            <w:vAlign w:val="center"/>
            <w:textDirection w:val="lrTb"/>
            <w:noWrap w:val="false"/>
          </w:tcPr>
          <w:p>
            <w:pPr>
              <w:pStyle w:val="1078"/>
              <w:ind w:right="0"/>
              <w:jc w:val="center"/>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21</w:t>
            </w:r>
            <w:r>
              <w:rPr>
                <w:rFonts w:hint="eastAsia" w:ascii="Calibri" w:hAnsi="Calibri" w:eastAsia="宋体" w:cs="Times New Roman"/>
                <w:color w:val="000000"/>
                <w:sz w:val="21"/>
                <w:szCs w:val="24"/>
                <w:highlight w:val="none"/>
                <w:lang w:val="en-US" w:eastAsia="zh-CN" w:bidi="ar-SA"/>
              </w:rPr>
            </w:r>
            <w:r/>
          </w:p>
        </w:tc>
        <w:tc>
          <w:tcPr>
            <w:tcW w:w="2987"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图书上架不及时扣 1 分；排架准确率不达标扣 2 分；地方文献采集、捐书未开展扣 2 分；月度采购目录缺失扣 3 分；分馆业务辅导缺位扣 2 分；年度总分馆培训会议不足扣 2 分；借阅分析报告缺失扣 1 分；志愿者制度不完善扣 2 分；人员规模不达标扣 3 分；志愿服务台账不全扣 3 分，扣完本板块分值为止。</w:t>
            </w:r>
            <w:r>
              <w:rPr>
                <w:rFonts w:hint="eastAsia" w:ascii="Calibri" w:hAnsi="Calibri" w:eastAsia="宋体" w:cs="Times New Roman"/>
                <w:color w:val="000000"/>
                <w:sz w:val="21"/>
                <w:szCs w:val="24"/>
                <w:highlight w:val="none"/>
                <w:lang w:val="en-US" w:eastAsia="zh-CN" w:bidi="ar-SA"/>
              </w:rPr>
            </w:r>
            <w:r/>
          </w:p>
        </w:tc>
        <w:tc>
          <w:tcPr>
            <w:tcW w:w="1110" w:type="dxa"/>
            <w:vAlign w:val="top"/>
            <w:textDirection w:val="lrTb"/>
            <w:noWrap w:val="false"/>
          </w:tcPr>
          <w:p>
            <w:pPr>
              <w:pStyle w:val="1139"/>
              <w:ind w:right="0"/>
              <w:keepLines w:val="0"/>
              <w:keepNext w:val="0"/>
              <w:pageBreakBefore w:val="0"/>
              <w:spacing w:before="0" w:beforeAutospacing="0" w:after="0" w:afterAutospacing="0" w:line="400" w:lineRule="exact"/>
              <w:widowControl/>
              <w:rPr>
                <w:rStyle w:val="1149"/>
                <w:rFonts w:hint="eastAsia" w:ascii="宋体" w:hAnsi="宋体" w:eastAsia="宋体" w:cs="宋体"/>
                <w:color w:val="000000"/>
                <w:sz w:val="24"/>
                <w:szCs w:val="24"/>
                <w:highlight w:val="none"/>
                <w:vertAlign w:val="baseline"/>
              </w:rPr>
              <w:suppressLineNumbers w:val="0"/>
            </w:pPr>
            <w:r>
              <w:rPr>
                <w:rStyle w:val="1149"/>
                <w:rFonts w:hint="eastAsia" w:ascii="宋体" w:hAnsi="宋体" w:eastAsia="宋体" w:cs="宋体"/>
                <w:color w:val="000000"/>
                <w:sz w:val="24"/>
                <w:szCs w:val="24"/>
                <w:highlight w:val="none"/>
                <w:vertAlign w:val="baseline"/>
              </w:rPr>
            </w:r>
            <w:r/>
          </w:p>
        </w:tc>
      </w:tr>
      <w:tr>
        <w:trPr/>
        <w:tc>
          <w:tcPr>
            <w:tcW w:w="932"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安全保障（13 分）</w:t>
            </w:r>
            <w:r>
              <w:rPr>
                <w:rFonts w:hint="eastAsia" w:ascii="Calibri" w:hAnsi="Calibri" w:eastAsia="宋体" w:cs="Times New Roman"/>
                <w:color w:val="000000"/>
                <w:sz w:val="21"/>
                <w:szCs w:val="24"/>
                <w:highlight w:val="none"/>
                <w:lang w:val="en-US" w:eastAsia="zh-CN" w:bidi="ar-SA"/>
              </w:rPr>
            </w:r>
            <w:r/>
          </w:p>
        </w:tc>
        <w:tc>
          <w:tcPr>
            <w:tcW w:w="3545"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41 安全生产：消防器材、安全标识齐全到位；全年设施设备定期安全检查，安全台账完整；完善突发事件应急预案；每季度组织安全生产学习及现场演练；全年无因管理责任引发安全责任事故。</w:t>
            </w:r>
            <w:r>
              <w:rPr>
                <w:rFonts w:ascii="宋体" w:hAnsi="宋体" w:eastAsia="宋体" w:cs="宋体"/>
                <w:color w:val="000000"/>
                <w:sz w:val="24"/>
                <w:szCs w:val="24"/>
                <w:highlight w:val="none"/>
                <w:lang w:val="en-US" w:eastAsia="zh-CN" w:bidi="ar"/>
              </w:rPr>
            </w:r>
            <w:r/>
          </w:p>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42 意识形态管理：落实意识形态管理制度；按月报送意识形态管理报告，全年台账归档完整。</w:t>
            </w:r>
            <w:r>
              <w:rPr>
                <w:rFonts w:hint="eastAsia" w:ascii="Calibri" w:hAnsi="Calibri" w:eastAsia="宋体" w:cs="Times New Roman"/>
                <w:color w:val="000000"/>
                <w:sz w:val="21"/>
                <w:szCs w:val="24"/>
                <w:highlight w:val="none"/>
                <w:lang w:val="en-US" w:eastAsia="zh-CN" w:bidi="ar-SA"/>
              </w:rPr>
            </w:r>
            <w:r/>
          </w:p>
        </w:tc>
        <w:tc>
          <w:tcPr>
            <w:tcW w:w="668" w:type="dxa"/>
            <w:vAlign w:val="center"/>
            <w:textDirection w:val="lrTb"/>
            <w:noWrap w:val="false"/>
          </w:tcPr>
          <w:p>
            <w:pPr>
              <w:pStyle w:val="1078"/>
              <w:ind w:right="0"/>
              <w:jc w:val="center"/>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13</w:t>
            </w:r>
            <w:r>
              <w:rPr>
                <w:rFonts w:hint="eastAsia" w:ascii="Calibri" w:hAnsi="Calibri" w:eastAsia="宋体" w:cs="Times New Roman"/>
                <w:color w:val="000000"/>
                <w:sz w:val="21"/>
                <w:szCs w:val="24"/>
                <w:highlight w:val="none"/>
                <w:lang w:val="en-US" w:eastAsia="zh-CN" w:bidi="ar-SA"/>
              </w:rPr>
            </w:r>
            <w:r/>
          </w:p>
        </w:tc>
        <w:tc>
          <w:tcPr>
            <w:tcW w:w="2987"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消防器材标识不到位扣 1 分；安全巡检台账缺失扣 3 分；无应急预案扣 3 分；季度安全演练缺一次扣 3 分；发生管理责任安全事故本项不得分；无意识形态管理制度扣 1 分；月度报告漏报每次扣 2 分，扣完本板块分值为止。</w:t>
            </w:r>
            <w:r>
              <w:rPr>
                <w:rFonts w:hint="eastAsia" w:ascii="Calibri" w:hAnsi="Calibri" w:eastAsia="宋体" w:cs="Times New Roman"/>
                <w:color w:val="000000"/>
                <w:sz w:val="21"/>
                <w:szCs w:val="24"/>
                <w:highlight w:val="none"/>
                <w:lang w:val="en-US" w:eastAsia="zh-CN" w:bidi="ar-SA"/>
              </w:rPr>
            </w:r>
            <w:r/>
          </w:p>
        </w:tc>
        <w:tc>
          <w:tcPr>
            <w:tcW w:w="1110" w:type="dxa"/>
            <w:vAlign w:val="top"/>
            <w:textDirection w:val="lrTb"/>
            <w:noWrap w:val="false"/>
          </w:tcPr>
          <w:p>
            <w:pPr>
              <w:pStyle w:val="1139"/>
              <w:ind w:right="0"/>
              <w:keepLines w:val="0"/>
              <w:keepNext w:val="0"/>
              <w:pageBreakBefore w:val="0"/>
              <w:spacing w:before="0" w:beforeAutospacing="0" w:after="0" w:afterAutospacing="0" w:line="400" w:lineRule="exact"/>
              <w:widowControl/>
              <w:rPr>
                <w:rStyle w:val="1149"/>
                <w:rFonts w:hint="eastAsia" w:ascii="宋体" w:hAnsi="宋体" w:eastAsia="宋体" w:cs="宋体"/>
                <w:color w:val="000000"/>
                <w:sz w:val="24"/>
                <w:szCs w:val="24"/>
                <w:highlight w:val="none"/>
                <w:vertAlign w:val="baseline"/>
              </w:rPr>
              <w:suppressLineNumbers w:val="0"/>
            </w:pPr>
            <w:r>
              <w:rPr>
                <w:rStyle w:val="1149"/>
                <w:rFonts w:hint="eastAsia" w:ascii="宋体" w:hAnsi="宋体" w:eastAsia="宋体" w:cs="宋体"/>
                <w:color w:val="000000"/>
                <w:sz w:val="24"/>
                <w:szCs w:val="24"/>
                <w:highlight w:val="none"/>
                <w:vertAlign w:val="baseline"/>
              </w:rPr>
            </w:r>
            <w:r/>
          </w:p>
        </w:tc>
      </w:tr>
      <w:tr>
        <w:trPr/>
        <w:tc>
          <w:tcPr>
            <w:tcW w:w="932"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加分项（不计入基础分）</w:t>
            </w:r>
            <w:r>
              <w:rPr>
                <w:rFonts w:hint="eastAsia" w:ascii="Calibri" w:hAnsi="Calibri" w:eastAsia="宋体" w:cs="Times New Roman"/>
                <w:color w:val="000000"/>
                <w:sz w:val="21"/>
                <w:szCs w:val="24"/>
                <w:highlight w:val="none"/>
                <w:lang w:val="en-US" w:eastAsia="zh-CN" w:bidi="ar-SA"/>
              </w:rPr>
            </w:r>
            <w:r/>
          </w:p>
        </w:tc>
        <w:tc>
          <w:tcPr>
            <w:tcW w:w="3545" w:type="dxa"/>
            <w:vAlign w:val="center"/>
            <w:textDirection w:val="lrTb"/>
            <w:noWrap w:val="false"/>
          </w:tcPr>
          <w:p>
            <w:pPr>
              <w:pStyle w:val="1078"/>
              <w:numPr>
                <w:ilvl w:val="0"/>
                <w:numId w:val="0"/>
              </w:numPr>
              <w:ind w:right="0"/>
              <w:jc w:val="left"/>
              <w:keepLines w:val="0"/>
              <w:keepNext w:val="0"/>
              <w:pageBreakBefore w:val="0"/>
              <w:spacing w:beforeAutospacing="0" w:afterAutospacing="0" w:line="400" w:lineRule="exact"/>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1.表扬表彰：获上级主管书面表彰 + 3 分；收到读者书面表扬 + 2 分，本项最高 + 5 分。2. 建议实施：图书馆运营创新方案被采纳落地 + 5 分，本项最高 + 5 分。</w:t>
            </w:r>
            <w:r>
              <w:rPr>
                <w:rFonts w:ascii="宋体" w:hAnsi="宋体" w:eastAsia="宋体" w:cs="宋体"/>
                <w:color w:val="000000"/>
                <w:sz w:val="24"/>
                <w:szCs w:val="24"/>
                <w:highlight w:val="none"/>
                <w:lang w:val="en-US" w:eastAsia="zh-CN" w:bidi="ar"/>
              </w:rPr>
            </w:r>
            <w:r/>
          </w:p>
          <w:p>
            <w:pPr>
              <w:pStyle w:val="1078"/>
              <w:numPr>
                <w:ilvl w:val="0"/>
                <w:numId w:val="0"/>
              </w:numPr>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3. 重要荣誉：区级荣誉 + 1 分，市级荣誉 + 2 分，省级荣誉 + 3 分，国家级荣誉 + 5 分，本项最高 + 10 分。</w:t>
            </w:r>
            <w:r>
              <w:rPr>
                <w:rFonts w:hint="eastAsia" w:ascii="Calibri" w:hAnsi="Calibri" w:eastAsia="宋体" w:cs="Times New Roman"/>
                <w:color w:val="000000"/>
                <w:sz w:val="21"/>
                <w:szCs w:val="24"/>
                <w:highlight w:val="none"/>
                <w:lang w:val="en-US" w:eastAsia="zh-CN" w:bidi="ar-SA"/>
              </w:rPr>
            </w:r>
            <w:r/>
          </w:p>
        </w:tc>
        <w:tc>
          <w:tcPr>
            <w:tcW w:w="668" w:type="dxa"/>
            <w:vAlign w:val="center"/>
            <w:textDirection w:val="lrTb"/>
            <w:noWrap w:val="false"/>
          </w:tcPr>
          <w:p>
            <w:pPr>
              <w:pStyle w:val="1078"/>
              <w:ind w:right="0"/>
              <w:jc w:val="center"/>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20</w:t>
            </w:r>
            <w:r>
              <w:rPr>
                <w:rFonts w:hint="eastAsia" w:ascii="Calibri" w:hAnsi="Calibri" w:eastAsia="宋体" w:cs="Times New Roman"/>
                <w:color w:val="000000"/>
                <w:sz w:val="21"/>
                <w:szCs w:val="24"/>
                <w:highlight w:val="none"/>
                <w:lang w:val="en-US" w:eastAsia="zh-CN" w:bidi="ar-SA"/>
              </w:rPr>
            </w:r>
            <w:r/>
          </w:p>
        </w:tc>
        <w:tc>
          <w:tcPr>
            <w:tcW w:w="2987" w:type="dxa"/>
            <w:vAlign w:val="center"/>
            <w:textDirection w:val="lrTb"/>
            <w:noWrap w:val="false"/>
          </w:tcPr>
          <w:p>
            <w:pPr>
              <w:pStyle w:val="1078"/>
              <w:ind w:right="0"/>
              <w:jc w:val="left"/>
              <w:keepLines w:val="0"/>
              <w:keepNext w:val="0"/>
              <w:pageBreakBefore w:val="0"/>
              <w:spacing w:beforeAutospacing="0" w:afterAutospacing="0" w:line="400" w:lineRule="exact"/>
              <w:widowControl/>
              <w:rPr>
                <w:rFonts w:hint="eastAsia" w:ascii="Calibri" w:hAnsi="Calibri" w:eastAsia="宋体" w:cs="Times New Roman"/>
                <w:color w:val="000000"/>
                <w:sz w:val="21"/>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本项最高可加 20 分，得分直接计入总得分。</w:t>
            </w:r>
            <w:r>
              <w:rPr>
                <w:rFonts w:hint="eastAsia" w:ascii="Calibri" w:hAnsi="Calibri" w:eastAsia="宋体" w:cs="Times New Roman"/>
                <w:color w:val="000000"/>
                <w:sz w:val="21"/>
                <w:szCs w:val="24"/>
                <w:highlight w:val="none"/>
                <w:lang w:val="en-US" w:eastAsia="zh-CN" w:bidi="ar-SA"/>
              </w:rPr>
            </w:r>
            <w:r/>
          </w:p>
        </w:tc>
        <w:tc>
          <w:tcPr>
            <w:tcW w:w="1110" w:type="dxa"/>
            <w:vAlign w:val="top"/>
            <w:textDirection w:val="lrTb"/>
            <w:noWrap w:val="false"/>
          </w:tcPr>
          <w:p>
            <w:pPr>
              <w:pStyle w:val="1139"/>
              <w:ind w:right="0"/>
              <w:keepLines w:val="0"/>
              <w:keepNext w:val="0"/>
              <w:pageBreakBefore w:val="0"/>
              <w:spacing w:before="0" w:beforeAutospacing="0" w:after="0" w:afterAutospacing="0" w:line="400" w:lineRule="exact"/>
              <w:widowControl/>
              <w:rPr>
                <w:rStyle w:val="1149"/>
                <w:rFonts w:hint="eastAsia" w:ascii="宋体" w:hAnsi="宋体" w:eastAsia="宋体" w:cs="宋体"/>
                <w:color w:val="000000"/>
                <w:sz w:val="24"/>
                <w:szCs w:val="24"/>
                <w:highlight w:val="none"/>
                <w:vertAlign w:val="baseline"/>
              </w:rPr>
              <w:suppressLineNumbers w:val="0"/>
            </w:pPr>
            <w:r>
              <w:rPr>
                <w:rStyle w:val="1149"/>
                <w:rFonts w:hint="eastAsia" w:ascii="宋体" w:hAnsi="宋体" w:eastAsia="宋体" w:cs="宋体"/>
                <w:color w:val="000000"/>
                <w:sz w:val="24"/>
                <w:szCs w:val="24"/>
                <w:highlight w:val="none"/>
                <w:vertAlign w:val="baseline"/>
              </w:rPr>
            </w:r>
            <w:r/>
          </w:p>
        </w:tc>
      </w:tr>
    </w:tbl>
    <w:p>
      <w:pPr>
        <w:pStyle w:val="1078"/>
        <w:ind w:right="0" w:firstLine="482"/>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考核备注说明</w:t>
      </w:r>
      <w:r>
        <w:rPr>
          <w:rFonts w:hint="eastAsia" w:ascii="宋体" w:hAnsi="宋体" w:eastAsia="宋体" w:cs="宋体"/>
          <w:b/>
          <w:bCs/>
          <w:color w:val="000000"/>
          <w:sz w:val="24"/>
          <w:szCs w:val="24"/>
          <w:highlight w:val="none"/>
        </w:rPr>
      </w:r>
      <w:r/>
    </w:p>
    <w:p>
      <w:pPr>
        <w:pStyle w:val="1078"/>
        <w:ind w:right="0" w:firstLine="480"/>
        <w:keepLines w:val="0"/>
        <w:keepNext w:val="0"/>
        <w:pageBreakBefore w:val="0"/>
        <w:spacing w:beforeAutospacing="0" w:afterAutospacing="0" w:line="40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1.年度综合得分计算：综合得分 = 日常监管得分 ×10% + 四个季度考核平均分 ×30% + 本次年度现场考核得分 ×60%。</w:t>
      </w:r>
      <w:r>
        <w:rPr>
          <w:rFonts w:ascii="宋体" w:hAnsi="宋体" w:eastAsia="宋体" w:cs="宋体"/>
          <w:color w:val="000000"/>
          <w:sz w:val="24"/>
          <w:szCs w:val="24"/>
          <w:highlight w:val="none"/>
          <w:lang w:val="en-US" w:eastAsia="zh-CN"/>
        </w:rPr>
      </w:r>
      <w:r/>
    </w:p>
    <w:p>
      <w:pPr>
        <w:pStyle w:val="1078"/>
        <w:ind w:right="0" w:firstLine="480"/>
        <w:keepLines w:val="0"/>
        <w:keepNext w:val="0"/>
        <w:pageBreakBefore w:val="0"/>
        <w:spacing w:beforeAutospacing="0" w:afterAutospacing="0" w:line="40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2.年度结果等级：85 分及以上为优秀；60 分（含）84 分为达标；60 分以下为不达标。年度考核不达标，须制定全面整改方案；整改后仍不合格，按合同约定终止服务。</w:t>
      </w:r>
      <w:r>
        <w:rPr>
          <w:rFonts w:ascii="宋体" w:hAnsi="宋体" w:eastAsia="宋体" w:cs="宋体"/>
          <w:color w:val="000000"/>
          <w:sz w:val="24"/>
          <w:szCs w:val="24"/>
          <w:highlight w:val="none"/>
          <w:lang w:val="en-US" w:eastAsia="zh-CN"/>
        </w:rPr>
      </w:r>
      <w:r/>
    </w:p>
    <w:p>
      <w:pPr>
        <w:pStyle w:val="1078"/>
        <w:ind w:right="0" w:firstLine="480"/>
        <w:keepLines w:val="0"/>
        <w:keepNext w:val="0"/>
        <w:pageBreakBefore w:val="0"/>
        <w:spacing w:beforeAutospacing="0" w:afterAutospacing="0" w:line="40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3.运营方对年度考核扣分问题落实内部考核追责，责任传导至岗位人员。</w:t>
      </w:r>
      <w:r>
        <w:rPr>
          <w:rFonts w:ascii="宋体" w:hAnsi="宋体" w:eastAsia="宋体" w:cs="宋体"/>
          <w:color w:val="000000"/>
          <w:sz w:val="24"/>
          <w:szCs w:val="24"/>
          <w:highlight w:val="none"/>
          <w:lang w:val="en-US" w:eastAsia="zh-CN"/>
        </w:rPr>
      </w:r>
      <w:r/>
    </w:p>
    <w:p>
      <w:pPr>
        <w:pStyle w:val="1078"/>
        <w:ind w:right="0" w:firstLine="480"/>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历次季度考核发现问题的整改情况，纳入年度考核重点核查内容。</w:t>
      </w:r>
      <w:r>
        <w:rPr>
          <w:rFonts w:hint="eastAsia" w:ascii="宋体" w:hAnsi="宋体" w:eastAsia="宋体" w:cs="宋体"/>
          <w:color w:val="000000"/>
          <w:sz w:val="24"/>
          <w:szCs w:val="24"/>
          <w:highlight w:val="none"/>
          <w:lang w:val="en-US" w:eastAsia="zh-CN"/>
        </w:rPr>
      </w:r>
      <w:r/>
    </w:p>
    <w:p>
      <w:pPr>
        <w:pStyle w:val="1081"/>
        <w:numPr>
          <w:ilvl w:val="0"/>
          <w:numId w:val="0"/>
        </w:numPr>
        <w:ind w:right="0"/>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highlight w:val="none"/>
          <w:lang w:val="en-US" w:eastAsia="zh-CN" w:bidi="ar"/>
        </w:rPr>
        <w:outlineLvl w:val="2"/>
        <w:suppressLineNumbers w:val="0"/>
      </w:pPr>
      <w:r>
        <w:rPr>
          <w:rFonts w:hint="eastAsia" w:ascii="宋体" w:hAnsi="宋体" w:eastAsia="宋体" w:cs="宋体"/>
          <w:color w:val="000000"/>
          <w:sz w:val="28"/>
          <w:szCs w:val="28"/>
          <w:highlight w:val="none"/>
          <w:lang w:val="en-US" w:eastAsia="zh-CN" w:bidi="ar"/>
        </w:rPr>
        <w:t xml:space="preserve">被考核单位负责人：</w:t>
      </w:r>
      <w:r>
        <w:rPr>
          <w:rFonts w:hint="eastAsia" w:ascii="宋体" w:hAnsi="宋体" w:eastAsia="宋体" w:cs="宋体"/>
          <w:b w:val="0"/>
          <w:bCs w:val="0"/>
          <w:color w:val="000000"/>
          <w:sz w:val="28"/>
          <w:szCs w:val="28"/>
          <w:highlight w:val="none"/>
          <w:lang w:val="en-US" w:eastAsia="zh-CN" w:bidi="ar"/>
        </w:rPr>
        <w:t xml:space="preserve">                      </w:t>
      </w:r>
      <w:r>
        <w:rPr>
          <w:rFonts w:ascii="宋体" w:hAnsi="宋体" w:eastAsia="宋体" w:cs="宋体"/>
          <w:color w:val="000000"/>
          <w:sz w:val="28"/>
          <w:szCs w:val="28"/>
          <w:highlight w:val="none"/>
          <w:lang w:val="en-US" w:eastAsia="zh-CN" w:bidi="ar"/>
        </w:rPr>
        <w:t xml:space="preserve">考核人</w:t>
      </w:r>
      <w:r>
        <w:rPr>
          <w:rFonts w:hint="eastAsia" w:ascii="宋体" w:hAnsi="宋体" w:eastAsia="宋体" w:cs="宋体"/>
          <w:color w:val="000000"/>
          <w:sz w:val="28"/>
          <w:szCs w:val="28"/>
          <w:highlight w:val="none"/>
          <w:lang w:val="en-US" w:eastAsia="zh-CN" w:bidi="ar"/>
        </w:rPr>
        <w:t xml:space="preserve">：</w:t>
      </w:r>
      <w:r>
        <w:rPr>
          <w:rFonts w:hint="eastAsia" w:ascii="宋体" w:hAnsi="宋体" w:eastAsia="宋体" w:cs="宋体"/>
          <w:color w:val="000000"/>
          <w:sz w:val="28"/>
          <w:szCs w:val="28"/>
          <w:highlight w:val="none"/>
          <w:lang w:val="en-US" w:eastAsia="zh-CN" w:bidi="ar"/>
        </w:rPr>
      </w:r>
      <w:r/>
    </w:p>
    <w:p>
      <w:pPr>
        <w:pStyle w:val="1078"/>
        <w:rPr>
          <w:color w:val="000000"/>
          <w:highlight w:val="none"/>
        </w:rPr>
      </w:pPr>
      <w:r>
        <w:rPr>
          <w:color w:val="000000"/>
          <w:highlight w:val="none"/>
        </w:rPr>
      </w:r>
      <w:r/>
    </w:p>
    <w:p>
      <w:pPr>
        <w:pStyle w:val="1078"/>
        <w:ind w:firstLine="482"/>
        <w:keepLines w:val="0"/>
        <w:keepNext w:val="0"/>
        <w:pageBreakBefore w:val="0"/>
        <w:spacing w:before="313"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二、配套服务要求</w:t>
      </w:r>
      <w:r>
        <w:rPr>
          <w:rFonts w:hint="eastAsia" w:ascii="宋体" w:hAnsi="宋体" w:cs="宋体"/>
          <w:b/>
          <w:bCs/>
          <w:color w:val="000000"/>
          <w:sz w:val="24"/>
          <w:szCs w:val="24"/>
          <w:highlight w:val="none"/>
        </w:rPr>
      </w:r>
      <w:r/>
    </w:p>
    <w:p>
      <w:pPr>
        <w:pStyle w:val="1078"/>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采购人定期针对运营服务商的运营服务效果进行评估，若达不到相应的目标，则提出相应的整改意见，运营服务商需及时制订改善方案，报采购人批准后予以迅速改善。</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具体的运营服务效果与运营管理费用相挂钩，若达不到预期的效果，将从运营管理费用中进行一定比例的扣除。</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运营服务商需定期整理、收集在运营过程中存在的目标考核以外的问题和情况，定期向采购人进行汇报，协商改善办法，后期落实。</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运营服务商需成立自查小组，针对服务运营中存在的问题进行及时整改和调整，第一时间发现问题，第一时间解决问题。</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运营服务商有义务定期开展针对图书馆运营服务人员技能提升和服务水平提高的相应培训工作。并提供详细的培训方案。</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培训内容覆盖：图书馆基础、图书馆馆务、图书馆系统、数据库知识、实践操作、管理学、活动策划、礼仪教育等。内容不固定，但须涵盖以上各个方面。</w:t>
      </w:r>
      <w:r>
        <w:rPr>
          <w:rFonts w:hint="eastAsia" w:ascii="宋体" w:hAnsi="宋体" w:cs="宋体"/>
          <w:color w:val="000000"/>
          <w:sz w:val="24"/>
          <w:szCs w:val="24"/>
          <w:highlight w:val="none"/>
        </w:rPr>
      </w:r>
      <w:r/>
    </w:p>
    <w:p>
      <w:pPr>
        <w:pStyle w:val="107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8"/>
        <w:jc w:val="center"/>
        <w:spacing w:line="360" w:lineRule="auto"/>
        <w:rPr>
          <w:rFonts w:ascii="宋体" w:hAnsi="宋体"/>
          <w:b/>
          <w:color w:val="000000"/>
          <w:sz w:val="36"/>
          <w:szCs w:val="36"/>
          <w:highlight w:val="none"/>
        </w:rPr>
        <w:outlineLvl w:val="0"/>
      </w:pPr>
      <w:r/>
      <w:bookmarkStart w:id="815" w:name="_Toc99301425"/>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117"/>
        <w:keepLines w:val="0"/>
        <w:keepNext w:val="0"/>
        <w:pageBreakBefore w:val="0"/>
        <w:spacing w:line="360" w:lineRule="auto"/>
        <w:widowControl w:val="off"/>
        <w:rPr>
          <w:rFonts w:eastAsia="宋体" w:cs="宋体"/>
          <w:color w:val="000000"/>
          <w:sz w:val="24"/>
          <w:szCs w:val="24"/>
          <w:highlight w:val="none"/>
        </w:rPr>
      </w:pPr>
      <w:r>
        <w:rPr>
          <w:rFonts w:hint="eastAsia" w:eastAsia="宋体" w:cs="宋体"/>
          <w:b/>
          <w:color w:val="000000"/>
          <w:sz w:val="24"/>
          <w:szCs w:val="24"/>
          <w:highlight w:val="none"/>
          <w:lang w:val="zh-CN"/>
        </w:rPr>
        <w:t xml:space="preserve">采购人（以下称甲</w:t>
      </w:r>
      <w:r>
        <w:rPr>
          <w:rFonts w:hint="eastAsia" w:eastAsia="宋体" w:cs="宋体"/>
          <w:b/>
          <w:color w:val="000000"/>
          <w:sz w:val="24"/>
          <w:szCs w:val="24"/>
          <w:highlight w:val="none"/>
        </w:rPr>
        <w:t xml:space="preserve">方）:                       </w:t>
      </w:r>
      <w:r>
        <w:rPr>
          <w:rFonts w:hint="eastAsia" w:eastAsia="宋体" w:cs="宋体"/>
          <w:color w:val="000000"/>
          <w:sz w:val="24"/>
          <w:szCs w:val="24"/>
          <w:highlight w:val="none"/>
        </w:rPr>
        <w:t xml:space="preserve">合同编号：</w:t>
      </w:r>
      <w:r>
        <w:rPr>
          <w:rFonts w:eastAsia="宋体" w:cs="宋体"/>
          <w:color w:val="000000"/>
          <w:sz w:val="24"/>
          <w:szCs w:val="24"/>
          <w:highlight w:val="none"/>
        </w:rPr>
      </w:r>
      <w:r/>
    </w:p>
    <w:p>
      <w:pPr>
        <w:pStyle w:val="1117"/>
        <w:keepLines w:val="0"/>
        <w:keepNext w:val="0"/>
        <w:pageBreakBefore w:val="0"/>
        <w:spacing w:line="360" w:lineRule="auto"/>
        <w:widowControl w:val="off"/>
        <w:rPr>
          <w:rFonts w:eastAsia="宋体" w:cs="宋体"/>
          <w:color w:val="000000"/>
          <w:sz w:val="24"/>
          <w:szCs w:val="24"/>
          <w:highlight w:val="none"/>
          <w:u w:val="single"/>
        </w:rPr>
      </w:pPr>
      <w:r>
        <w:rPr>
          <w:rFonts w:hint="eastAsia" w:eastAsia="宋体" w:cs="宋体"/>
          <w:b/>
          <w:color w:val="000000"/>
          <w:sz w:val="24"/>
          <w:szCs w:val="24"/>
          <w:highlight w:val="none"/>
        </w:rPr>
        <w:t xml:space="preserve">供应商（</w:t>
      </w:r>
      <w:r>
        <w:rPr>
          <w:rFonts w:hint="eastAsia" w:eastAsia="宋体" w:cs="宋体"/>
          <w:b/>
          <w:color w:val="000000"/>
          <w:sz w:val="24"/>
          <w:szCs w:val="24"/>
          <w:highlight w:val="none"/>
          <w:lang w:val="zh-CN"/>
        </w:rPr>
        <w:t xml:space="preserve">以下称</w:t>
      </w:r>
      <w:r>
        <w:rPr>
          <w:rFonts w:hint="eastAsia" w:eastAsia="宋体" w:cs="宋体"/>
          <w:b/>
          <w:color w:val="000000"/>
          <w:sz w:val="24"/>
          <w:szCs w:val="24"/>
          <w:highlight w:val="none"/>
        </w:rPr>
        <w:t xml:space="preserve">乙方）:                       </w:t>
      </w:r>
      <w:r>
        <w:rPr>
          <w:rFonts w:hint="eastAsia" w:eastAsia="宋体" w:cs="宋体"/>
          <w:color w:val="000000"/>
          <w:sz w:val="24"/>
          <w:szCs w:val="24"/>
          <w:highlight w:val="none"/>
        </w:rPr>
        <w:t xml:space="preserve">签订地点：</w:t>
      </w:r>
      <w:r>
        <w:rPr>
          <w:rFonts w:eastAsia="宋体" w:cs="宋体"/>
          <w:color w:val="000000"/>
          <w:sz w:val="24"/>
          <w:szCs w:val="24"/>
          <w:highlight w:val="none"/>
          <w:u w:val="single"/>
        </w:rPr>
      </w:r>
      <w:r/>
    </w:p>
    <w:p>
      <w:pPr>
        <w:pStyle w:val="1092"/>
        <w:ind w:firstLine="5280"/>
        <w:keepLines w:val="0"/>
        <w:keepNext w:val="0"/>
        <w:pageBreakBefore w:val="0"/>
        <w:spacing w:line="360" w:lineRule="auto"/>
        <w:widowControl w:val="off"/>
        <w:rPr>
          <w:rFonts w:hAnsi="宋体" w:cs="宋体"/>
          <w:b/>
          <w:color w:val="000000"/>
          <w:sz w:val="24"/>
          <w:szCs w:val="24"/>
          <w:highlight w:val="none"/>
        </w:rPr>
      </w:pPr>
      <w:r>
        <w:rPr>
          <w:rFonts w:hint="eastAsia" w:hAnsi="宋体" w:cs="宋体"/>
          <w:color w:val="000000"/>
          <w:sz w:val="24"/>
          <w:szCs w:val="24"/>
          <w:highlight w:val="none"/>
        </w:rPr>
        <w:t xml:space="preserve">合同时间: </w:t>
      </w:r>
      <w:r>
        <w:rPr>
          <w:rFonts w:hint="eastAsia" w:hAnsi="宋体" w:cs="宋体"/>
          <w:color w:val="000000"/>
          <w:sz w:val="24"/>
          <w:szCs w:val="24"/>
          <w:highlight w:val="none"/>
          <w:u w:val="single"/>
        </w:rPr>
        <w:t xml:space="preserve">    年   月   日</w:t>
      </w:r>
      <w:r>
        <w:rPr>
          <w:rFonts w:hAnsi="宋体" w:cs="宋体"/>
          <w:b/>
          <w:color w:val="000000"/>
          <w:sz w:val="24"/>
          <w:szCs w:val="24"/>
          <w:highlight w:val="none"/>
        </w:rPr>
      </w:r>
      <w:r/>
    </w:p>
    <w:p>
      <w:pPr>
        <w:pStyle w:val="1117"/>
        <w:ind w:left="0"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highlight w:val="none"/>
        </w:rPr>
      </w:r>
      <w:r/>
    </w:p>
    <w:p>
      <w:pPr>
        <w:pStyle w:val="1117"/>
        <w:ind w:left="0"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1078"/>
        <w:ind w:left="0" w:firstLine="484"/>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乙方根据甲方需求提供下列服务：</w:t>
      </w:r>
      <w:r>
        <w:rPr>
          <w:rFonts w:hint="eastAsia" w:ascii="宋体" w:hAnsi="宋体" w:eastAsia="宋体" w:cs="宋体"/>
          <w:b/>
          <w:bCs/>
          <w:color w:val="000000"/>
          <w:sz w:val="24"/>
          <w:szCs w:val="24"/>
          <w:highlight w:val="none"/>
          <w:lang w:val="zh-CN"/>
        </w:rPr>
        <w:t xml:space="preserve">常州经开区图书馆综合运营服务项目</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17"/>
        <w:ind w:left="0"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117"/>
        <w:ind w:left="0" w:firstLine="487"/>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（小写</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45"/>
        <w:gridCol w:w="1887"/>
        <w:gridCol w:w="5550"/>
      </w:tblGrid>
      <w:tr>
        <w:trPr>
          <w:trHeight w:val="310"/>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78"/>
              <w:ind w:left="0"/>
              <w:jc w:val="center"/>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项目</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1078"/>
              <w:ind w:left="0"/>
              <w:jc w:val="center"/>
              <w:keepLines w:val="0"/>
              <w:keepNext w:val="0"/>
              <w:pageBreakBefore w:val="0"/>
              <w:spacing w:line="500" w:lineRule="exact"/>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合同价</w:t>
            </w:r>
            <w:r>
              <w:rPr>
                <w:rFonts w:hint="eastAsia" w:ascii="宋体" w:hAnsi="宋体" w:eastAsia="宋体" w:cs="宋体"/>
                <w:b/>
                <w:bCs/>
                <w:color w:val="000000"/>
                <w:sz w:val="24"/>
                <w:szCs w:val="24"/>
                <w:highlight w:val="none"/>
                <w:lang w:bidi="ar"/>
              </w:rPr>
              <w:t xml:space="preserve">（万元）</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1078"/>
              <w:ind w:left="0"/>
              <w:jc w:val="center"/>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说明</w:t>
            </w:r>
            <w:r>
              <w:rPr>
                <w:rFonts w:hint="eastAsia" w:ascii="宋体" w:hAnsi="宋体" w:eastAsia="宋体" w:cs="宋体"/>
                <w:b/>
                <w:bCs/>
                <w:color w:val="000000"/>
                <w:sz w:val="24"/>
                <w:szCs w:val="24"/>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78"/>
              <w:ind w:left="0"/>
              <w:jc w:val="center"/>
              <w:keepLines w:val="0"/>
              <w:keepNext w:val="0"/>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运营服务费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1078"/>
              <w:ind w:left="0"/>
              <w:jc w:val="center"/>
              <w:keepLines w:val="0"/>
              <w:keepNext w:val="0"/>
              <w:pageBreakBefore w:val="0"/>
              <w:spacing w:line="500" w:lineRule="exact"/>
              <w:widowControl/>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1078"/>
              <w:ind w:left="0"/>
              <w:jc w:val="left"/>
              <w:keepLines w:val="0"/>
              <w:keepNext w:val="0"/>
              <w:pageBreakBefore w:val="0"/>
              <w:spacing w:line="5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根据经开区图书馆的功能、馆藏规模，馆舍面积、服务范围及服务人群等要素，配置人数为23人的营运团队，包括:人工基本工资、五险一金、招聘培训、年终绩效、交通补贴、午餐补贴、体检等各项福利。</w:t>
            </w:r>
            <w:r>
              <w:rPr>
                <w:rFonts w:hint="eastAsia" w:ascii="宋体" w:hAnsi="宋体" w:eastAsia="宋体" w:cs="宋体"/>
                <w:color w:val="000000"/>
                <w:sz w:val="24"/>
                <w:szCs w:val="24"/>
                <w:highlight w:val="none"/>
                <w:lang w:eastAsia="zh-CN"/>
              </w:rPr>
            </w:r>
            <w:r/>
          </w:p>
        </w:tc>
      </w:tr>
      <w:tr>
        <w:trPr>
          <w:trHeight w:val="347"/>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读者活动</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按照</w:t>
            </w:r>
            <w:r>
              <w:rPr>
                <w:rFonts w:hint="eastAsia" w:ascii="宋体" w:hAnsi="宋体" w:cs="宋体"/>
                <w:color w:val="000000"/>
                <w:sz w:val="24"/>
                <w:szCs w:val="24"/>
                <w:highlight w:val="none"/>
                <w:lang w:val="en-US" w:eastAsia="zh-CN" w:bidi="ar"/>
              </w:rPr>
              <w:t xml:space="preserve">国家</w:t>
            </w:r>
            <w:r>
              <w:rPr>
                <w:rFonts w:hint="eastAsia" w:ascii="宋体" w:hAnsi="宋体" w:eastAsia="宋体" w:cs="宋体"/>
                <w:color w:val="000000"/>
                <w:sz w:val="24"/>
                <w:szCs w:val="24"/>
                <w:highlight w:val="none"/>
                <w:lang w:bidi="ar"/>
              </w:rPr>
              <w:t xml:space="preserve">一级馆要求和</w:t>
            </w:r>
            <w:r>
              <w:rPr>
                <w:rFonts w:hint="eastAsia" w:ascii="宋体" w:hAnsi="宋体" w:cs="宋体"/>
                <w:color w:val="000000"/>
                <w:sz w:val="24"/>
                <w:szCs w:val="24"/>
                <w:highlight w:val="none"/>
                <w:lang w:val="en-US" w:eastAsia="zh-CN" w:bidi="ar"/>
              </w:rPr>
              <w:t xml:space="preserve">文化</w:t>
            </w:r>
            <w:r>
              <w:rPr>
                <w:rFonts w:hint="eastAsia" w:ascii="宋体" w:hAnsi="宋体" w:eastAsia="宋体" w:cs="宋体"/>
                <w:color w:val="000000"/>
                <w:sz w:val="24"/>
                <w:szCs w:val="24"/>
                <w:highlight w:val="none"/>
                <w:lang w:bidi="ar"/>
              </w:rPr>
              <w:t xml:space="preserve">高质量</w:t>
            </w:r>
            <w:r>
              <w:rPr>
                <w:rFonts w:hint="eastAsia" w:ascii="宋体" w:hAnsi="宋体" w:eastAsia="宋体" w:cs="宋体"/>
                <w:color w:val="000000"/>
                <w:sz w:val="24"/>
                <w:szCs w:val="24"/>
                <w:highlight w:val="none"/>
                <w:lang w:val="en-US" w:eastAsia="zh-CN" w:bidi="ar"/>
              </w:rPr>
              <w:t xml:space="preserve">监测</w:t>
            </w:r>
            <w:r>
              <w:rPr>
                <w:rFonts w:hint="eastAsia" w:ascii="宋体" w:hAnsi="宋体" w:eastAsia="宋体" w:cs="宋体"/>
                <w:color w:val="000000"/>
                <w:sz w:val="24"/>
                <w:szCs w:val="24"/>
                <w:highlight w:val="none"/>
                <w:lang w:bidi="ar"/>
              </w:rPr>
              <w:t xml:space="preserve">要求，举办讲座、展览、培训</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各类</w:t>
            </w:r>
            <w:r>
              <w:rPr>
                <w:rFonts w:hint="eastAsia" w:ascii="宋体" w:hAnsi="宋体" w:eastAsia="宋体" w:cs="宋体"/>
                <w:color w:val="000000"/>
                <w:sz w:val="24"/>
                <w:szCs w:val="24"/>
                <w:highlight w:val="none"/>
                <w:lang w:bidi="ar"/>
              </w:rPr>
              <w:t xml:space="preserve">阅读推广</w:t>
            </w:r>
            <w:r>
              <w:rPr>
                <w:rFonts w:hint="eastAsia" w:ascii="宋体" w:hAnsi="宋体" w:cs="宋体"/>
                <w:color w:val="000000"/>
                <w:sz w:val="24"/>
                <w:szCs w:val="24"/>
                <w:highlight w:val="none"/>
                <w:lang w:val="en-US" w:eastAsia="zh-CN" w:bidi="ar"/>
              </w:rPr>
              <w:t xml:space="preserve">活动</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SA"/>
              </w:rPr>
            </w:r>
            <w:r/>
          </w:p>
        </w:tc>
      </w:tr>
      <w:tr>
        <w:trPr>
          <w:trHeight w:val="347"/>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文化推广活动</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根据全民阅读月和图书馆服务周的相关要求，开展以宣传图书馆服务为主大型活动,提高图书馆的影响力和社会关注度。</w:t>
            </w:r>
            <w:r>
              <w:rPr>
                <w:rFonts w:hint="eastAsia" w:ascii="宋体" w:hAnsi="宋体" w:eastAsia="宋体" w:cs="宋体"/>
                <w:color w:val="000000"/>
                <w:sz w:val="24"/>
                <w:szCs w:val="24"/>
                <w:highlight w:val="none"/>
                <w:lang w:val="en-US" w:eastAsia="zh-CN" w:bidi="ar"/>
              </w:rPr>
            </w:r>
            <w:r/>
          </w:p>
        </w:tc>
      </w:tr>
      <w:tr>
        <w:trPr>
          <w:trHeight w:val="347"/>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行政办公费</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馆际图书流通运费、读者证实体卡制作、办公耗材、宣传物料制作费、劳保用品、工装等费用。</w:t>
            </w:r>
            <w:r>
              <w:rPr>
                <w:rFonts w:hint="eastAsia" w:ascii="宋体" w:hAnsi="宋体" w:eastAsia="宋体" w:cs="宋体"/>
                <w:color w:val="000000"/>
                <w:sz w:val="24"/>
                <w:szCs w:val="24"/>
                <w:highlight w:val="none"/>
                <w:lang w:val="en-US" w:eastAsia="zh-CN" w:bidi="ar-SA"/>
              </w:rPr>
            </w:r>
            <w:r/>
          </w:p>
        </w:tc>
      </w:tr>
      <w:tr>
        <w:trPr>
          <w:trHeight w:val="347"/>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78"/>
              <w:ind w:left="0"/>
              <w:jc w:val="center"/>
              <w:keepLines w:val="0"/>
              <w:keepNext w:val="0"/>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全年费用合计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1078"/>
              <w:ind w:left="0"/>
              <w:jc w:val="center"/>
              <w:keepLines w:val="0"/>
              <w:keepNext w:val="0"/>
              <w:pageBreakBefore w:val="0"/>
              <w:spacing w:line="500" w:lineRule="exact"/>
              <w:widowControl/>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1078"/>
              <w:ind w:left="0"/>
              <w:jc w:val="left"/>
              <w:keepLines w:val="0"/>
              <w:keepNext w:val="0"/>
              <w:pageBreakBefore w:val="0"/>
              <w:spacing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17"/>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highlight w:val="none"/>
        </w:rPr>
      </w:r>
      <w:r/>
    </w:p>
    <w:p>
      <w:pPr>
        <w:pStyle w:val="1117"/>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11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816" w:name="_Toc14300_WPSOffice_Level1"/>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rPr>
        <w:t xml:space="preserve">三</w:t>
      </w:r>
      <w:r>
        <w:rPr>
          <w:rFonts w:hint="eastAsia" w:ascii="宋体" w:hAnsi="宋体" w:eastAsia="宋体" w:cs="宋体"/>
          <w:b/>
          <w:color w:val="000000"/>
          <w:sz w:val="24"/>
          <w:szCs w:val="24"/>
          <w:highlight w:val="none"/>
        </w:rPr>
        <w:t xml:space="preserve">条  合作原则和内容</w:t>
      </w:r>
      <w:bookmarkEnd w:id="816"/>
      <w:r>
        <w:rPr>
          <w:rFonts w:hint="eastAsia" w:ascii="宋体" w:hAnsi="宋体" w:eastAsia="宋体" w:cs="宋体"/>
          <w:b/>
          <w:color w:val="000000"/>
          <w:sz w:val="24"/>
          <w:szCs w:val="24"/>
          <w:highlight w:val="none"/>
        </w:rPr>
      </w:r>
      <w:r/>
    </w:p>
    <w:p>
      <w:pPr>
        <w:pStyle w:val="1117"/>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合作开展原则</w:t>
      </w:r>
      <w:r>
        <w:rPr>
          <w:rFonts w:hint="eastAsia" w:ascii="宋体" w:hAnsi="宋体" w:eastAsia="宋体" w:cs="宋体"/>
          <w:color w:val="000000"/>
          <w:sz w:val="24"/>
          <w:szCs w:val="24"/>
          <w:highlight w:val="none"/>
        </w:rPr>
      </w:r>
      <w:r/>
    </w:p>
    <w:p>
      <w:pPr>
        <w:pStyle w:val="1117"/>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严格遵守《中华人民共和国公共图书馆法》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江苏省公共图书馆条例》</w:t>
      </w:r>
      <w:r>
        <w:rPr>
          <w:rFonts w:hint="eastAsia" w:ascii="宋体" w:hAnsi="宋体" w:eastAsia="宋体" w:cs="宋体"/>
          <w:color w:val="000000"/>
          <w:sz w:val="24"/>
          <w:szCs w:val="24"/>
          <w:highlight w:val="none"/>
        </w:rPr>
        <w:t xml:space="preserve">，本着“合作共享、共同发展、创新驱动、多元快捷”的基本原则，在构建文化资源共创、共建服务体系框架下，共同建设</w:t>
      </w:r>
      <w:r>
        <w:rPr>
          <w:rFonts w:hint="eastAsia" w:eastAsia="宋体" w:cs="宋体"/>
          <w:color w:val="000000"/>
          <w:sz w:val="24"/>
          <w:szCs w:val="24"/>
          <w:highlight w:val="none"/>
          <w:lang w:val="en-US" w:eastAsia="zh-CN"/>
        </w:rPr>
        <w:t xml:space="preserve">常州经开</w:t>
      </w:r>
      <w:r>
        <w:rPr>
          <w:rFonts w:hint="eastAsia" w:ascii="宋体" w:hAnsi="宋体" w:eastAsia="宋体" w:cs="宋体"/>
          <w:color w:val="000000"/>
          <w:sz w:val="24"/>
          <w:szCs w:val="24"/>
          <w:highlight w:val="none"/>
        </w:rPr>
        <w:t xml:space="preserve">区图书馆，充分发挥图书馆的综合效能，为建立</w:t>
      </w:r>
      <w:r>
        <w:rPr>
          <w:rFonts w:hint="eastAsia" w:eastAsia="宋体" w:cs="宋体"/>
          <w:color w:val="000000"/>
          <w:sz w:val="24"/>
          <w:szCs w:val="24"/>
          <w:highlight w:val="none"/>
          <w:lang w:val="en-US" w:eastAsia="zh-CN"/>
        </w:rPr>
        <w:t xml:space="preserve">全</w:t>
      </w:r>
      <w:r>
        <w:rPr>
          <w:rFonts w:hint="eastAsia" w:ascii="宋体" w:hAnsi="宋体" w:eastAsia="宋体" w:cs="宋体"/>
          <w:color w:val="000000"/>
          <w:sz w:val="24"/>
          <w:szCs w:val="24"/>
          <w:highlight w:val="none"/>
        </w:rPr>
        <w:t xml:space="preserve">区新型公共文化资源服务体系贡献力量。</w:t>
      </w:r>
      <w:r>
        <w:rPr>
          <w:rFonts w:hint="eastAsia" w:ascii="宋体" w:hAnsi="宋体" w:eastAsia="宋体" w:cs="宋体"/>
          <w:color w:val="000000"/>
          <w:sz w:val="24"/>
          <w:szCs w:val="24"/>
          <w:highlight w:val="none"/>
        </w:rPr>
      </w:r>
      <w:r/>
    </w:p>
    <w:p>
      <w:pPr>
        <w:pStyle w:val="1117"/>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合作内容</w:t>
      </w:r>
      <w:r>
        <w:rPr>
          <w:rFonts w:hint="eastAsia" w:ascii="宋体" w:hAnsi="宋体" w:eastAsia="宋体" w:cs="宋体"/>
          <w:color w:val="000000"/>
          <w:sz w:val="24"/>
          <w:szCs w:val="24"/>
          <w:highlight w:val="none"/>
        </w:rPr>
      </w:r>
      <w:r/>
    </w:p>
    <w:p>
      <w:pPr>
        <w:pStyle w:val="1117"/>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乙方承担图书馆的运营和管理，打造全民阅读中心，实现服务效能的创新，构建服务多元化，体现业务建设的专业，保障图书馆健康有效运营。甲方负责对图书馆工作开展的指导、检查与扶持，提供资源促进图书馆良性发展。</w:t>
      </w:r>
      <w:r>
        <w:rPr>
          <w:rFonts w:hint="eastAsia" w:ascii="宋体" w:hAnsi="宋体" w:eastAsia="宋体" w:cs="宋体"/>
          <w:color w:val="000000"/>
          <w:sz w:val="24"/>
          <w:szCs w:val="24"/>
          <w:highlight w:val="none"/>
        </w:rPr>
      </w:r>
      <w:r/>
    </w:p>
    <w:p>
      <w:pPr>
        <w:pStyle w:val="111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条 合同履行期限</w:t>
      </w:r>
      <w:r>
        <w:rPr>
          <w:rFonts w:hint="eastAsia" w:ascii="宋体" w:hAnsi="宋体" w:eastAsia="宋体" w:cs="宋体"/>
          <w:b/>
          <w:color w:val="000000"/>
          <w:sz w:val="24"/>
          <w:szCs w:val="24"/>
          <w:highlight w:val="none"/>
        </w:rPr>
      </w:r>
      <w:r/>
    </w:p>
    <w:p>
      <w:pPr>
        <w:pStyle w:val="107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本项目服务期限为</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   年  月   日-   年  月  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1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条 组成本合同的有关文件</w:t>
      </w:r>
      <w:r>
        <w:rPr>
          <w:rFonts w:hint="eastAsia" w:ascii="宋体" w:hAnsi="宋体" w:eastAsia="宋体" w:cs="宋体"/>
          <w:b/>
          <w:color w:val="000000"/>
          <w:sz w:val="24"/>
          <w:szCs w:val="24"/>
          <w:highlight w:val="none"/>
        </w:rPr>
      </w:r>
      <w:r/>
    </w:p>
    <w:p>
      <w:pPr>
        <w:pStyle w:val="1117"/>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117"/>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（1）竞争性磋商文件（编号：   ）          （2）乙方提供的磋商响应文件； </w:t>
      </w:r>
      <w:r>
        <w:rPr>
          <w:rFonts w:hint="eastAsia" w:ascii="宋体" w:hAnsi="宋体" w:eastAsia="宋体" w:cs="宋体"/>
          <w:color w:val="000000"/>
          <w:sz w:val="24"/>
          <w:szCs w:val="24"/>
          <w:highlight w:val="none"/>
        </w:rPr>
      </w:r>
      <w:r/>
    </w:p>
    <w:p>
      <w:pPr>
        <w:pStyle w:val="1117"/>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（3）成交通知书；                         （4）甲乙双方商定的其他文件等。</w:t>
      </w:r>
      <w:r>
        <w:rPr>
          <w:rFonts w:hint="eastAsia" w:ascii="宋体" w:hAnsi="宋体" w:eastAsia="宋体" w:cs="宋体"/>
          <w:color w:val="000000"/>
          <w:sz w:val="24"/>
          <w:szCs w:val="24"/>
          <w:highlight w:val="none"/>
        </w:rPr>
      </w:r>
      <w:r/>
    </w:p>
    <w:p>
      <w:pPr>
        <w:pStyle w:val="1078"/>
        <w:ind w:left="0" w:firstLine="487"/>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 合同款结算及支付</w:t>
      </w:r>
      <w:r>
        <w:rPr>
          <w:rFonts w:hint="eastAsia" w:ascii="宋体" w:hAnsi="宋体" w:eastAsia="宋体" w:cs="宋体"/>
          <w:b/>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078"/>
        <w:ind w:left="0" w:firstLine="487"/>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3.结算原则：固定总价。</w:t>
      </w:r>
      <w:r>
        <w:rPr>
          <w:rFonts w:hint="eastAsia" w:ascii="宋体" w:hAnsi="宋体" w:eastAsia="宋体" w:cs="宋体"/>
          <w:b/>
          <w:bCs/>
          <w:color w:val="000000"/>
          <w:sz w:val="24"/>
          <w:szCs w:val="24"/>
          <w:highlight w:val="none"/>
        </w:rPr>
      </w:r>
      <w:r/>
    </w:p>
    <w:p>
      <w:pPr>
        <w:pStyle w:val="1078"/>
        <w:numPr>
          <w:ilvl w:val="0"/>
          <w:numId w:val="0"/>
        </w:numPr>
        <w:ind w:left="0"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4.付款方式：</w:t>
      </w:r>
      <w:r>
        <w:rPr>
          <w:rFonts w:hint="eastAsia" w:ascii="宋体" w:hAnsi="宋体" w:eastAsia="宋体" w:cs="宋体"/>
          <w:b/>
          <w:bCs/>
          <w:color w:val="000000"/>
          <w:sz w:val="24"/>
          <w:szCs w:val="24"/>
          <w:highlight w:val="none"/>
          <w:lang w:val="en-US" w:eastAsia="zh-CN"/>
        </w:rPr>
        <w:t xml:space="preserve">1）本项目运营管理费按照江苏常州经济开发区公共文化服务中心经费管理办法等相关政策文件要求进行审核结算。</w:t>
      </w:r>
      <w:r>
        <w:rPr>
          <w:rFonts w:hint="eastAsia" w:ascii="宋体" w:hAnsi="宋体" w:eastAsia="宋体" w:cs="宋体"/>
          <w:b/>
          <w:bCs/>
          <w:color w:val="000000"/>
          <w:sz w:val="24"/>
          <w:szCs w:val="24"/>
          <w:highlight w:val="none"/>
          <w:lang w:val="en-US" w:eastAsia="zh-CN"/>
        </w:rPr>
      </w:r>
      <w:r/>
    </w:p>
    <w:p>
      <w:pPr>
        <w:pStyle w:val="1078"/>
        <w:numPr>
          <w:ilvl w:val="0"/>
          <w:numId w:val="0"/>
        </w:numPr>
        <w:ind w:left="0" w:right="0"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2）合同签订之日起30日内,甲方向乙方支付合同金额30%；合同签订满6个月后甲方向乙方支付合同金额的30%；合同签订满</w:t>
      </w:r>
      <w:r>
        <w:rPr>
          <w:rFonts w:hint="eastAsia" w:ascii="宋体" w:hAnsi="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en-US" w:eastAsia="zh-CN"/>
        </w:rPr>
        <w:t xml:space="preserve">个月后甲方向乙方支付合同金额的30%；剩余</w:t>
      </w: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0%甲方根据评定考核达标后再支付。</w:t>
      </w:r>
      <w:r>
        <w:rPr>
          <w:rFonts w:hint="eastAsia" w:ascii="宋体" w:hAnsi="宋体" w:eastAsia="宋体" w:cs="宋体"/>
          <w:b/>
          <w:bCs/>
          <w:color w:val="000000"/>
          <w:sz w:val="24"/>
          <w:szCs w:val="24"/>
          <w:highlight w:val="none"/>
          <w:lang w:val="en-US" w:eastAsia="zh-CN"/>
        </w:rPr>
      </w:r>
      <w:r/>
    </w:p>
    <w:p>
      <w:pPr>
        <w:pStyle w:val="1078"/>
        <w:numPr>
          <w:ilvl w:val="0"/>
          <w:numId w:val="0"/>
        </w:numPr>
        <w:ind w:left="0"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3）相关考核扣款等款项于当期应付运营管理费用中按实扣除。每次付款前，乙方应与甲方确定具体实际运营管理费用，并开具有效的发票，凭票向甲方申请付款。</w:t>
      </w:r>
      <w:r>
        <w:rPr>
          <w:rFonts w:hint="eastAsia" w:ascii="宋体" w:hAnsi="宋体" w:eastAsia="宋体" w:cs="宋体"/>
          <w:b/>
          <w:bCs/>
          <w:color w:val="000000"/>
          <w:sz w:val="24"/>
          <w:szCs w:val="24"/>
          <w:highlight w:val="none"/>
        </w:rPr>
      </w:r>
      <w:r/>
    </w:p>
    <w:p>
      <w:pPr>
        <w:pStyle w:val="1078"/>
        <w:ind w:left="0" w:firstLine="487"/>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第七条 双方权利与义务</w:t>
      </w:r>
      <w:r>
        <w:rPr>
          <w:rFonts w:hint="eastAsia" w:ascii="宋体" w:hAnsi="宋体" w:eastAsia="宋体" w:cs="宋体"/>
          <w:b/>
          <w:color w:val="000000"/>
          <w:sz w:val="24"/>
          <w:szCs w:val="24"/>
          <w:highlight w:val="none"/>
          <w:lang w:val="en-US" w:eastAsia="zh-CN"/>
        </w:rPr>
      </w:r>
      <w:r/>
    </w:p>
    <w:p>
      <w:pPr>
        <w:pStyle w:val="107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双方权利与义务</w:t>
      </w:r>
      <w:r>
        <w:rPr>
          <w:rFonts w:hint="eastAsia" w:ascii="宋体" w:hAnsi="宋体" w:eastAsia="宋体" w:cs="宋体"/>
          <w:b/>
          <w:bCs/>
          <w:color w:val="000000"/>
          <w:sz w:val="24"/>
          <w:szCs w:val="24"/>
          <w:highlight w:val="none"/>
        </w:rPr>
      </w:r>
      <w:r/>
    </w:p>
    <w:p>
      <w:pPr>
        <w:pStyle w:val="1078"/>
        <w:numPr>
          <w:ilvl w:val="0"/>
          <w:numId w:val="16"/>
        </w:numPr>
        <w:ind w:left="0" w:firstLine="41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甲乙双方共同制订《</w:t>
      </w:r>
      <w:r>
        <w:rPr>
          <w:rFonts w:hint="eastAsia" w:ascii="宋体" w:hAnsi="宋体" w:cs="宋体"/>
          <w:color w:val="000000"/>
          <w:sz w:val="24"/>
          <w:szCs w:val="24"/>
          <w:highlight w:val="none"/>
          <w:lang w:val="en-US" w:eastAsia="zh-CN"/>
        </w:rPr>
        <w:t xml:space="preserve">常州经开</w:t>
      </w:r>
      <w:r>
        <w:rPr>
          <w:rFonts w:hint="eastAsia" w:ascii="宋体" w:hAnsi="宋体" w:eastAsia="宋体" w:cs="宋体"/>
          <w:color w:val="000000"/>
          <w:sz w:val="24"/>
          <w:szCs w:val="24"/>
          <w:highlight w:val="none"/>
        </w:rPr>
        <w:t xml:space="preserve">区图书馆运营要求与相关规定》（附件1），共同遵守，相互监督规定中的各项制度和要求；</w:t>
      </w:r>
      <w:r>
        <w:rPr>
          <w:rFonts w:hint="eastAsia" w:ascii="宋体" w:hAnsi="宋体" w:eastAsia="宋体" w:cs="宋体"/>
          <w:color w:val="000000"/>
          <w:sz w:val="24"/>
          <w:szCs w:val="24"/>
          <w:highlight w:val="none"/>
        </w:rPr>
      </w:r>
      <w:r/>
    </w:p>
    <w:p>
      <w:pPr>
        <w:pStyle w:val="1078"/>
        <w:numPr>
          <w:ilvl w:val="0"/>
          <w:numId w:val="16"/>
        </w:numPr>
        <w:ind w:left="0" w:firstLine="41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双方有义务做好本项目合作的宣传工作，加强区域影响力。积极构建交流平台，实行协作化、长期化，办精品活动；</w:t>
      </w:r>
      <w:r>
        <w:rPr>
          <w:rFonts w:hint="eastAsia" w:ascii="宋体" w:hAnsi="宋体" w:eastAsia="宋体" w:cs="宋体"/>
          <w:color w:val="000000"/>
          <w:sz w:val="24"/>
          <w:szCs w:val="24"/>
          <w:highlight w:val="none"/>
        </w:rPr>
      </w:r>
      <w:r/>
    </w:p>
    <w:p>
      <w:pPr>
        <w:pStyle w:val="1078"/>
        <w:numPr>
          <w:ilvl w:val="0"/>
          <w:numId w:val="16"/>
        </w:numPr>
        <w:ind w:left="0" w:firstLine="41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管理期满，甲乙双方有意向继续的，应提前3个月向甲方书面提出续管要求，经甲方书面同意，双方重新签订合同，相同条件下，乙方具有优先续签权。</w:t>
      </w:r>
      <w:r>
        <w:rPr>
          <w:rFonts w:hint="eastAsia" w:ascii="宋体" w:hAnsi="宋体" w:eastAsia="宋体" w:cs="宋体"/>
          <w:color w:val="000000"/>
          <w:sz w:val="24"/>
          <w:szCs w:val="24"/>
          <w:highlight w:val="none"/>
        </w:rPr>
      </w:r>
      <w:r/>
    </w:p>
    <w:p>
      <w:pPr>
        <w:pStyle w:val="1078"/>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甲方权利与义务</w:t>
      </w:r>
      <w:r>
        <w:rPr>
          <w:rFonts w:hint="eastAsia" w:ascii="宋体" w:hAnsi="宋体" w:eastAsia="宋体" w:cs="宋体"/>
          <w:color w:val="000000"/>
          <w:sz w:val="24"/>
          <w:szCs w:val="24"/>
          <w:highlight w:val="none"/>
        </w:rPr>
      </w:r>
      <w:r/>
    </w:p>
    <w:p>
      <w:pPr>
        <w:pStyle w:val="1078"/>
        <w:numPr>
          <w:ilvl w:val="0"/>
          <w:numId w:val="17"/>
        </w:num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甲方每年支付乙方运营管理费</w:t>
      </w:r>
      <w:r>
        <w:rPr>
          <w:rFonts w:hint="eastAsia" w:ascii="宋体" w:hAnsi="宋体" w:eastAsia="宋体" w:cs="宋体"/>
          <w:color w:val="000000"/>
          <w:sz w:val="24"/>
          <w:szCs w:val="24"/>
          <w:highlight w:val="none"/>
          <w:lang w:eastAsia="zh-CN"/>
        </w:rPr>
        <w:t xml:space="preserve">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8"/>
        <w:numPr>
          <w:ilvl w:val="0"/>
          <w:numId w:val="17"/>
        </w:num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甲方在图书馆交付乙方时保证房屋及附属设施、消防设备及各类设施均能可靠运行；</w:t>
      </w:r>
      <w:r>
        <w:rPr>
          <w:rFonts w:hint="eastAsia" w:ascii="宋体" w:hAnsi="宋体" w:eastAsia="宋体" w:cs="宋体"/>
          <w:color w:val="000000"/>
          <w:sz w:val="24"/>
          <w:szCs w:val="24"/>
          <w:highlight w:val="none"/>
        </w:rPr>
      </w:r>
      <w:r/>
    </w:p>
    <w:p>
      <w:pPr>
        <w:pStyle w:val="1078"/>
        <w:numPr>
          <w:ilvl w:val="0"/>
          <w:numId w:val="17"/>
        </w:num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甲方保证乙方在签约管理期间对图书馆资产没有产权和工程款矛盾和纠纷，如因矛盾和纠纷导致影响乙方正常使用时，由甲方承担全部责任，由此给乙方造成的经济损失，由甲方负责；</w:t>
      </w:r>
      <w:r>
        <w:rPr>
          <w:rFonts w:hint="eastAsia" w:ascii="宋体" w:hAnsi="宋体" w:eastAsia="宋体" w:cs="宋体"/>
          <w:color w:val="000000"/>
          <w:sz w:val="24"/>
          <w:szCs w:val="24"/>
          <w:highlight w:val="none"/>
        </w:rPr>
      </w:r>
      <w:r/>
    </w:p>
    <w:p>
      <w:pPr>
        <w:pStyle w:val="1078"/>
        <w:numPr>
          <w:ilvl w:val="0"/>
          <w:numId w:val="17"/>
        </w:num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图书馆的用电、用水甲方需满足乙方要求，甲方应向相关部门申请收费标准按公益水电费收取，甲方应当提供必要的协助。</w:t>
      </w:r>
      <w:r>
        <w:rPr>
          <w:rFonts w:hint="eastAsia" w:ascii="宋体" w:hAnsi="宋体" w:eastAsia="宋体" w:cs="宋体"/>
          <w:color w:val="000000"/>
          <w:sz w:val="24"/>
          <w:szCs w:val="24"/>
          <w:highlight w:val="none"/>
        </w:rPr>
      </w:r>
      <w:r/>
    </w:p>
    <w:p>
      <w:pPr>
        <w:pStyle w:val="1078"/>
        <w:numPr>
          <w:ilvl w:val="0"/>
          <w:numId w:val="17"/>
        </w:numPr>
        <w:ind w:lef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图书馆法人由甲方安排人员担任，根据《</w:t>
      </w:r>
      <w:r>
        <w:rPr>
          <w:rFonts w:hint="eastAsia" w:ascii="宋体" w:hAnsi="宋体" w:cs="宋体"/>
          <w:color w:val="000000"/>
          <w:sz w:val="24"/>
          <w:szCs w:val="24"/>
          <w:highlight w:val="none"/>
          <w:lang w:val="en-US" w:eastAsia="zh-CN"/>
        </w:rPr>
        <w:t xml:space="preserve">常州经开</w:t>
      </w:r>
      <w:r>
        <w:rPr>
          <w:rFonts w:hint="eastAsia" w:ascii="宋体" w:hAnsi="宋体" w:eastAsia="宋体" w:cs="宋体"/>
          <w:color w:val="000000"/>
          <w:sz w:val="24"/>
          <w:szCs w:val="24"/>
          <w:highlight w:val="none"/>
        </w:rPr>
        <w:t xml:space="preserve">区图书馆法人岗位职责》（附件2）完成相应工作任务，对于乙方在</w:t>
      </w:r>
      <w:r>
        <w:rPr>
          <w:rFonts w:hint="eastAsia" w:ascii="宋体" w:hAnsi="宋体" w:cs="宋体"/>
          <w:color w:val="000000"/>
          <w:sz w:val="24"/>
          <w:szCs w:val="24"/>
          <w:highlight w:val="none"/>
          <w:lang w:val="en-US" w:eastAsia="zh-CN"/>
        </w:rPr>
        <w:t xml:space="preserve">馆藏规划</w:t>
      </w:r>
      <w:r>
        <w:rPr>
          <w:rFonts w:hint="eastAsia" w:ascii="宋体" w:hAnsi="宋体" w:eastAsia="宋体" w:cs="宋体"/>
          <w:color w:val="000000"/>
          <w:sz w:val="24"/>
          <w:szCs w:val="24"/>
          <w:highlight w:val="none"/>
        </w:rPr>
        <w:t xml:space="preserve">、对图书馆布局调整方面给出指导性意见，拥有决策权。</w:t>
      </w:r>
      <w:r>
        <w:rPr>
          <w:rFonts w:hint="eastAsia" w:ascii="宋体" w:hAnsi="宋体" w:eastAsia="宋体" w:cs="宋体"/>
          <w:color w:val="000000"/>
          <w:sz w:val="24"/>
          <w:szCs w:val="24"/>
          <w:highlight w:val="none"/>
        </w:rPr>
      </w:r>
      <w:r/>
    </w:p>
    <w:p>
      <w:pPr>
        <w:pStyle w:val="1078"/>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乙方权利与义务</w:t>
      </w:r>
      <w:r>
        <w:rPr>
          <w:rFonts w:hint="eastAsia" w:ascii="宋体" w:hAnsi="宋体" w:eastAsia="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每周</w:t>
      </w:r>
      <w:r>
        <w:rPr>
          <w:rFonts w:hint="eastAsia" w:ascii="宋体" w:hAnsi="宋体" w:eastAsia="宋体" w:cs="宋体"/>
          <w:color w:val="000000"/>
          <w:sz w:val="24"/>
          <w:szCs w:val="24"/>
          <w:highlight w:val="none"/>
        </w:rPr>
        <w:t xml:space="preserve">开放时间：</w:t>
      </w:r>
      <w:r>
        <w:rPr>
          <w:rFonts w:hint="eastAsia" w:ascii="宋体" w:hAnsi="宋体" w:cs="宋体"/>
          <w:b w:val="0"/>
          <w:bCs w:val="0"/>
          <w:color w:val="000000"/>
          <w:sz w:val="24"/>
          <w:szCs w:val="24"/>
          <w:highlight w:val="none"/>
        </w:rPr>
        <w:t xml:space="preserve">每周二至周日，上午8:30—下午5:30，每周一闭馆。</w:t>
      </w:r>
      <w:r>
        <w:rPr>
          <w:rFonts w:hint="eastAsia" w:ascii="宋体" w:hAnsi="宋体" w:cs="宋体"/>
          <w:b w:val="0"/>
          <w:bCs w:val="0"/>
          <w:color w:val="000000"/>
          <w:sz w:val="24"/>
          <w:szCs w:val="24"/>
          <w:highlight w:val="none"/>
          <w:lang w:val="en-US" w:eastAsia="zh-CN"/>
        </w:rPr>
        <w:t xml:space="preserve">延时服务区域开放至夜间8:00。</w:t>
      </w:r>
      <w:r>
        <w:rPr>
          <w:rFonts w:hint="eastAsia" w:ascii="宋体" w:hAnsi="宋体" w:cs="宋体"/>
          <w:b w:val="0"/>
          <w:bCs w:val="0"/>
          <w:color w:val="000000"/>
          <w:sz w:val="24"/>
          <w:szCs w:val="24"/>
          <w:highlight w:val="none"/>
        </w:rPr>
        <w:t xml:space="preserve">开放期间，中午</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11:30—13:00</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实行轮岗值班制度，服务台必须有值班服务人员。如遇</w:t>
      </w:r>
      <w:r>
        <w:rPr>
          <w:rFonts w:hint="eastAsia" w:ascii="宋体" w:hAnsi="宋体" w:cs="宋体"/>
          <w:b w:val="0"/>
          <w:bCs w:val="0"/>
          <w:color w:val="000000"/>
          <w:sz w:val="24"/>
          <w:szCs w:val="24"/>
          <w:highlight w:val="none"/>
          <w:lang w:val="en-US" w:eastAsia="zh-CN"/>
        </w:rPr>
        <w:t xml:space="preserve">不可抗力因素、</w:t>
      </w:r>
      <w:r>
        <w:rPr>
          <w:rFonts w:hint="eastAsia" w:ascii="宋体" w:hAnsi="宋体" w:cs="宋体"/>
          <w:b w:val="0"/>
          <w:bCs w:val="0"/>
          <w:color w:val="000000"/>
          <w:sz w:val="24"/>
          <w:szCs w:val="24"/>
          <w:highlight w:val="none"/>
        </w:rPr>
        <w:t xml:space="preserve">重大节日</w:t>
      </w:r>
      <w:r>
        <w:rPr>
          <w:rFonts w:hint="eastAsia" w:ascii="宋体" w:hAnsi="宋体" w:cs="宋体"/>
          <w:b w:val="0"/>
          <w:bCs w:val="0"/>
          <w:color w:val="000000"/>
          <w:sz w:val="24"/>
          <w:szCs w:val="24"/>
          <w:highlight w:val="none"/>
          <w:lang w:val="en-US" w:eastAsia="zh-CN"/>
        </w:rPr>
        <w:t xml:space="preserve">和</w:t>
      </w:r>
      <w:r>
        <w:rPr>
          <w:rFonts w:hint="eastAsia" w:ascii="宋体" w:hAnsi="宋体" w:cs="宋体"/>
          <w:b w:val="0"/>
          <w:bCs w:val="0"/>
          <w:color w:val="000000"/>
          <w:sz w:val="24"/>
          <w:szCs w:val="24"/>
          <w:highlight w:val="none"/>
        </w:rPr>
        <w:t xml:space="preserve">活动等情况根据实际情况进行临时调整。</w:t>
      </w:r>
      <w:r>
        <w:rPr>
          <w:rFonts w:hint="eastAsia" w:ascii="宋体" w:hAnsi="宋体" w:cs="宋体"/>
          <w:b w:val="0"/>
          <w:bCs w:val="0"/>
          <w:color w:val="000000"/>
          <w:sz w:val="24"/>
          <w:szCs w:val="24"/>
          <w:highlight w:val="none"/>
        </w:rPr>
      </w:r>
      <w:r/>
    </w:p>
    <w:p>
      <w:pPr>
        <w:pStyle w:val="1078"/>
        <w:numPr>
          <w:ilvl w:val="0"/>
          <w:numId w:val="18"/>
        </w:numPr>
        <w:ind w:left="0" w:firstLine="41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全权负责图书馆的日常运营、人员聘用、活动开展、教育培训等具体事务。乙方应保证图书馆固定资产的安全及处于正常使用状态（固定资产包括但不限于房屋、装修装潢、消防设施、办公设备、图书等）。如因乙方的原因（正常损耗除外）造成图书馆固定资产毁损的，由乙方承担赔偿责任。</w:t>
      </w:r>
      <w:r>
        <w:rPr>
          <w:rFonts w:hint="eastAsia" w:ascii="宋体" w:hAnsi="宋体" w:eastAsia="宋体" w:cs="宋体"/>
          <w:color w:val="000000"/>
          <w:sz w:val="24"/>
          <w:szCs w:val="24"/>
          <w:highlight w:val="none"/>
        </w:rPr>
      </w:r>
      <w:r/>
    </w:p>
    <w:p>
      <w:pPr>
        <w:pStyle w:val="1078"/>
        <w:numPr>
          <w:ilvl w:val="0"/>
          <w:numId w:val="18"/>
        </w:numPr>
        <w:ind w:left="0" w:firstLine="41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乙方应尽到安全保障义务，如发生第三人人身或财产损害的（包括乙方工作人员）一切责任由乙方承担。</w:t>
      </w:r>
      <w:r>
        <w:rPr>
          <w:rFonts w:hint="eastAsia" w:ascii="宋体" w:hAnsi="宋体" w:eastAsia="宋体" w:cs="宋体"/>
          <w:color w:val="000000"/>
          <w:sz w:val="24"/>
          <w:szCs w:val="24"/>
          <w:highlight w:val="none"/>
        </w:rPr>
      </w:r>
      <w:r/>
    </w:p>
    <w:p>
      <w:pPr>
        <w:pStyle w:val="1078"/>
        <w:numPr>
          <w:ilvl w:val="0"/>
          <w:numId w:val="18"/>
        </w:numPr>
        <w:ind w:left="0" w:firstLine="41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cs="宋体"/>
          <w:color w:val="000000"/>
          <w:sz w:val="24"/>
          <w:szCs w:val="24"/>
          <w:highlight w:val="none"/>
          <w:lang w:val="en-US" w:eastAsia="zh-CN"/>
        </w:rPr>
        <w:t xml:space="preserve">常州经开</w:t>
      </w:r>
      <w:r>
        <w:rPr>
          <w:rFonts w:hint="eastAsia" w:ascii="宋体" w:hAnsi="宋体" w:eastAsia="宋体" w:cs="宋体"/>
          <w:color w:val="000000"/>
          <w:sz w:val="24"/>
          <w:szCs w:val="24"/>
          <w:highlight w:val="none"/>
        </w:rPr>
        <w:t xml:space="preserve">区图书馆的功能、馆藏规模，馆舍面积、服务范围及服务人群等因素，聘用具备相应文化水平、专业知识与技能、组织管理能力的专业人员组建</w:t>
      </w:r>
      <w:r>
        <w:rPr>
          <w:rFonts w:hint="eastAsia" w:ascii="宋体" w:hAnsi="宋体" w:eastAsia="宋体" w:cs="宋体"/>
          <w:color w:val="000000"/>
          <w:sz w:val="24"/>
          <w:szCs w:val="24"/>
          <w:highlight w:val="none"/>
          <w:lang w:eastAsia="zh-CN"/>
        </w:rPr>
        <w:t xml:space="preserve">不低于</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t xml:space="preserve">人的</w:t>
      </w:r>
      <w:r>
        <w:rPr>
          <w:rFonts w:hint="eastAsia" w:ascii="宋体" w:hAnsi="宋体" w:eastAsia="宋体" w:cs="宋体"/>
          <w:color w:val="000000"/>
          <w:sz w:val="24"/>
          <w:szCs w:val="24"/>
          <w:highlight w:val="none"/>
        </w:rPr>
        <w:t xml:space="preserve">管理团队；乙方工作人员应具有较高的职业道德及良好的服务意识。</w:t>
      </w:r>
      <w:r>
        <w:rPr>
          <w:rFonts w:hint="eastAsia" w:ascii="宋体" w:hAnsi="宋体" w:eastAsia="宋体" w:cs="宋体"/>
          <w:color w:val="000000"/>
          <w:sz w:val="24"/>
          <w:szCs w:val="24"/>
          <w:highlight w:val="none"/>
        </w:rPr>
      </w:r>
      <w:r/>
    </w:p>
    <w:p>
      <w:pPr>
        <w:pStyle w:val="1078"/>
        <w:numPr>
          <w:ilvl w:val="0"/>
          <w:numId w:val="18"/>
        </w:numPr>
        <w:ind w:left="0" w:firstLine="41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乙方有权对图书馆建筑外立面和内部进行装饰与装修，以达到美观性、宣传性作用；所有内外装饰装修需接受甲方指导性意见和检查。</w:t>
      </w:r>
      <w:r>
        <w:rPr>
          <w:rFonts w:hint="eastAsia" w:ascii="宋体" w:hAnsi="宋体" w:eastAsia="宋体" w:cs="宋体"/>
          <w:color w:val="000000"/>
          <w:sz w:val="24"/>
          <w:szCs w:val="24"/>
          <w:highlight w:val="none"/>
        </w:rPr>
      </w:r>
      <w:r/>
    </w:p>
    <w:p>
      <w:pPr>
        <w:pStyle w:val="1078"/>
        <w:numPr>
          <w:ilvl w:val="0"/>
          <w:numId w:val="18"/>
        </w:numPr>
        <w:ind w:left="0" w:firstLine="41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乙方应定期对图书馆设施设备进行检查维修，确保正常运行。</w:t>
      </w:r>
      <w:r>
        <w:rPr>
          <w:rFonts w:hint="eastAsia" w:ascii="宋体" w:hAnsi="宋体" w:eastAsia="宋体" w:cs="宋体"/>
          <w:color w:val="000000"/>
          <w:sz w:val="24"/>
          <w:szCs w:val="24"/>
          <w:highlight w:val="none"/>
        </w:rPr>
      </w:r>
      <w:r/>
    </w:p>
    <w:p>
      <w:pPr>
        <w:pStyle w:val="1078"/>
        <w:numPr>
          <w:ilvl w:val="0"/>
          <w:numId w:val="18"/>
        </w:numPr>
        <w:ind w:left="0" w:firstLine="41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乙方工作人员需按甲方要求定期参加省、市图书馆的专业培训，提升图书馆运行专业知识与技能。</w:t>
      </w:r>
      <w:r>
        <w:rPr>
          <w:rFonts w:hint="eastAsia" w:ascii="宋体" w:hAnsi="宋体" w:eastAsia="宋体" w:cs="宋体"/>
          <w:color w:val="000000"/>
          <w:sz w:val="24"/>
          <w:szCs w:val="24"/>
          <w:highlight w:val="none"/>
        </w:rPr>
      </w:r>
      <w:r/>
    </w:p>
    <w:p>
      <w:pPr>
        <w:pStyle w:val="1078"/>
        <w:ind w:left="0" w:firstLine="487"/>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违约责任</w:t>
      </w:r>
      <w:r>
        <w:rPr>
          <w:rFonts w:hint="eastAsia" w:ascii="宋体" w:hAnsi="宋体" w:eastAsia="宋体" w:cs="宋体"/>
          <w:b/>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甲方应保证在房屋管理期间水、电的正常供应使用。如出现因甲方原因断水、断电影响乙方正常</w:t>
      </w:r>
      <w:r>
        <w:rPr>
          <w:rFonts w:hint="eastAsia" w:ascii="宋体" w:hAnsi="宋体" w:eastAsia="宋体" w:cs="宋体"/>
          <w:color w:val="000000"/>
          <w:sz w:val="24"/>
          <w:szCs w:val="24"/>
          <w:highlight w:val="none"/>
          <w:lang w:val="en-US" w:eastAsia="zh-CN"/>
        </w:rPr>
        <w:t xml:space="preserve">营运</w:t>
      </w:r>
      <w:r>
        <w:rPr>
          <w:rFonts w:hint="eastAsia" w:ascii="宋体" w:hAnsi="宋体" w:eastAsia="宋体" w:cs="宋体"/>
          <w:color w:val="000000"/>
          <w:sz w:val="24"/>
          <w:szCs w:val="24"/>
          <w:highlight w:val="none"/>
        </w:rPr>
        <w:t xml:space="preserve">，则甲方应承担全部责任并进行经济赔偿，（非甲方原因造成的停水、停电除外）；</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因甲方房屋建筑质量造成乙方使用中给第三方带来人身或财产伤害的，由甲方负责并进行经济赔偿。凡属乙方改造所增加的设备、装饰、附属材料等乙方给第三方造成损失的，由乙方全部赔偿。</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乙方在未经甲方同意前提下，在原建筑基础上进行添建或破坏建筑的结构，破坏整体建筑设施造成的经济损失及责任由乙方承担全部责任；且甲方有权解除本合同，乙方应承担违约金1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乙方应守法经营，有违法行为的责任自负。且甲方有权解除本合同，乙方应承担违约金5万元。</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乙方未能按照</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对于图书馆发展的工作目标和管理要求及本合同附件1的具体要求进行管理运营，且经甲方提出整改意见后仍无法整改到位的，甲方有权解除本合同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甲方未按合同规定的期限向乙方支付款</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rPr>
        <w:t xml:space="preserve">的，每逾期1天甲方向乙方偿付欠款总额的5‰滞纳金，但累计滞纳金总额不超过欠款总额5%。</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乙方未按本合同的规定和“服务承诺”提供伴随服务的，甲方有权提前解除本合同，同时乙方应按合同总价款的5%向甲方承担违约责任。</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乙方属虚假承诺，或是由于乙方的过错造成合同无法继续履行的，应向甲方支付不少于合同总价30%违约金，若该违约金不足以弥补甲方损失，则应当赔偿甲方所有损失。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其他未尽事宜，以《民法典》等有关法律法规规定为准，无相关规定的，双方协商解决。</w:t>
      </w:r>
      <w:r>
        <w:rPr>
          <w:rFonts w:hint="eastAsia" w:ascii="宋体" w:hAnsi="宋体" w:eastAsia="宋体" w:cs="宋体"/>
          <w:color w:val="000000"/>
          <w:sz w:val="24"/>
          <w:szCs w:val="24"/>
          <w:highlight w:val="none"/>
        </w:rPr>
      </w:r>
      <w:r/>
    </w:p>
    <w:p>
      <w:pPr>
        <w:pStyle w:val="1078"/>
        <w:ind w:left="0" w:firstLine="487"/>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第九条 合同的变更和终止</w:t>
      </w:r>
      <w:r>
        <w:rPr>
          <w:rFonts w:hint="eastAsia" w:ascii="宋体" w:hAnsi="宋体" w:eastAsia="宋体" w:cs="宋体"/>
          <w:b/>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078"/>
        <w:ind w:left="0" w:firstLine="487"/>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第十条 合同的转让</w:t>
      </w:r>
      <w:r>
        <w:rPr>
          <w:rFonts w:hint="eastAsia" w:ascii="宋体" w:hAnsi="宋体" w:eastAsia="宋体" w:cs="宋体"/>
          <w:b/>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078"/>
        <w:ind w:left="0" w:firstLine="487"/>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078"/>
        <w:ind w:left="0" w:firstLine="487"/>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条 争议的解决</w:t>
      </w:r>
      <w:r>
        <w:rPr>
          <w:rFonts w:hint="eastAsia" w:ascii="宋体" w:hAnsi="宋体" w:eastAsia="宋体" w:cs="宋体"/>
          <w:b/>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1078"/>
        <w:ind w:left="0" w:firstLine="487"/>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 诚实信用 </w:t>
      </w:r>
      <w:r>
        <w:rPr>
          <w:rFonts w:hint="eastAsia" w:ascii="宋体" w:hAnsi="宋体" w:eastAsia="宋体" w:cs="宋体"/>
          <w:b/>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乙方应诚实信用，严格按照竞争性磋商文件要求和磋商承诺履行合同，不向甲方进行商业贿赂或者提供不正当利益。</w:t>
      </w:r>
      <w:r>
        <w:rPr>
          <w:rFonts w:hint="eastAsia" w:ascii="宋体" w:hAnsi="宋体" w:eastAsia="宋体" w:cs="宋体"/>
          <w:color w:val="000000"/>
          <w:sz w:val="24"/>
          <w:szCs w:val="24"/>
          <w:highlight w:val="none"/>
        </w:rPr>
      </w:r>
      <w:r/>
    </w:p>
    <w:p>
      <w:pPr>
        <w:pStyle w:val="1078"/>
        <w:ind w:left="0" w:firstLine="487"/>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条 合同生效及其他</w:t>
      </w:r>
      <w:r>
        <w:rPr>
          <w:rFonts w:hint="eastAsia" w:ascii="宋体" w:hAnsi="宋体" w:eastAsia="宋体" w:cs="宋体"/>
          <w:b/>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2.本合同一式伍份，甲乙双方各执贰份，代理机构执壹份存档。</w:t>
      </w:r>
      <w:r>
        <w:rPr>
          <w:rFonts w:hint="eastAsia" w:ascii="宋体" w:hAnsi="宋体" w:eastAsia="宋体" w:cs="宋体"/>
          <w:color w:val="000000"/>
          <w:sz w:val="24"/>
          <w:szCs w:val="24"/>
          <w:highlight w:val="none"/>
        </w:rPr>
      </w:r>
      <w:r/>
    </w:p>
    <w:p>
      <w:pPr>
        <w:pStyle w:val="1078"/>
        <w:ind w:left="0" w:firstLine="48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078"/>
        <w:jc w:val="left"/>
        <w:keepLines w:val="0"/>
        <w:keepNext w:val="0"/>
        <w:pageBreakBefore w:val="0"/>
        <w:spacing w:line="360" w:lineRule="auto"/>
        <w:widowControl w:val="off"/>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1078"/>
        <w:jc w:val="left"/>
        <w:keepLines w:val="0"/>
        <w:keepNext w:val="0"/>
        <w:pageBreakBefore w:val="0"/>
        <w:spacing w:line="360" w:lineRule="auto"/>
        <w:widowControl w:val="off"/>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1078"/>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甲    方</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乙    方</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78"/>
        <w:keepLines w:val="0"/>
        <w:keepNext w:val="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单位名称（章）：                         单位名称（章）：</w:t>
      </w:r>
      <w:r>
        <w:rPr>
          <w:rFonts w:ascii="宋体" w:hAnsi="宋体" w:cs="宋体"/>
          <w:color w:val="000000"/>
          <w:sz w:val="24"/>
          <w:szCs w:val="24"/>
          <w:highlight w:val="none"/>
          <w:u w:val="single"/>
        </w:rPr>
      </w:r>
      <w:r/>
    </w:p>
    <w:p>
      <w:pPr>
        <w:pStyle w:val="1078"/>
        <w:keepLines w:val="0"/>
        <w:keepNext w:val="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单位地址：                               单位地址：</w:t>
      </w:r>
      <w:r>
        <w:rPr>
          <w:rFonts w:ascii="宋体" w:hAnsi="宋体" w:cs="宋体"/>
          <w:color w:val="000000"/>
          <w:sz w:val="24"/>
          <w:szCs w:val="24"/>
          <w:highlight w:val="none"/>
          <w:u w:val="single"/>
        </w:rPr>
      </w:r>
      <w:r/>
    </w:p>
    <w:p>
      <w:pPr>
        <w:pStyle w:val="1078"/>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       委托代理人：          法定代表人：     委托代理人：                            </w:t>
      </w:r>
      <w:r>
        <w:rPr>
          <w:rFonts w:ascii="宋体" w:hAnsi="宋体" w:cs="宋体"/>
          <w:color w:val="000000"/>
          <w:sz w:val="24"/>
          <w:szCs w:val="24"/>
          <w:highlight w:val="none"/>
        </w:rPr>
      </w:r>
      <w:r/>
    </w:p>
    <w:p>
      <w:pPr>
        <w:pStyle w:val="1078"/>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                                   电话：            传真：</w:t>
      </w:r>
      <w:r>
        <w:rPr>
          <w:rFonts w:ascii="宋体" w:hAnsi="宋体" w:cs="宋体"/>
          <w:color w:val="000000"/>
          <w:sz w:val="24"/>
          <w:szCs w:val="24"/>
          <w:highlight w:val="none"/>
        </w:rPr>
      </w:r>
      <w:r/>
    </w:p>
    <w:p>
      <w:pPr>
        <w:pStyle w:val="1078"/>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传真：                                   开户银行：        账号：                                                                                 </w:t>
      </w:r>
      <w:r>
        <w:rPr>
          <w:rFonts w:ascii="宋体" w:hAnsi="宋体" w:cs="宋体"/>
          <w:color w:val="000000"/>
          <w:sz w:val="24"/>
          <w:szCs w:val="24"/>
          <w:highlight w:val="none"/>
        </w:rPr>
      </w:r>
      <w:r/>
    </w:p>
    <w:p>
      <w:pPr>
        <w:pStyle w:val="107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107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107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107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107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107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107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107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107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1078"/>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1078"/>
        <w:jc w:val="lef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78"/>
        <w:jc w:val="lef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78"/>
        <w:jc w:val="lef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78"/>
        <w:jc w:val="lef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78"/>
        <w:jc w:val="lef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78"/>
        <w:rPr>
          <w:rFonts w:hint="eastAsia" w:ascii="宋体" w:hAnsi="宋体" w:cs="宋体"/>
          <w:b/>
          <w:bCs/>
          <w:color w:val="000000"/>
          <w:sz w:val="24"/>
          <w:szCs w:val="24"/>
          <w:highlight w:val="none"/>
        </w:rPr>
      </w:pPr>
      <w:r>
        <w:rPr>
          <w:rFonts w:hint="eastAsia" w:ascii="宋体" w:hAnsi="宋体" w:cs="宋体"/>
          <w:color w:val="000000"/>
          <w:highlight w:val="none"/>
          <w:lang w:eastAsia="zh-CN"/>
        </w:rPr>
        <w:br w:type="page" w:clear="all"/>
      </w:r>
      <w:r>
        <w:rPr>
          <w:rFonts w:hint="eastAsia" w:ascii="宋体" w:hAnsi="宋体" w:cs="宋体"/>
          <w:b/>
          <w:bCs/>
          <w:color w:val="000000"/>
          <w:sz w:val="24"/>
          <w:szCs w:val="24"/>
          <w:highlight w:val="none"/>
          <w:lang w:eastAsia="zh-CN"/>
        </w:rPr>
        <w:t xml:space="preserve">合同附件</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r>
      <w:r/>
    </w:p>
    <w:p>
      <w:pPr>
        <w:pStyle w:val="1079"/>
        <w:keepLines w:val="0"/>
        <w:keepNext/>
        <w:pageBreakBefore w:val="0"/>
        <w:spacing w:line="48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常州经开</w:t>
      </w:r>
      <w:r>
        <w:rPr>
          <w:rFonts w:hint="eastAsia" w:ascii="宋体" w:hAnsi="宋体" w:cs="宋体"/>
          <w:color w:val="000000"/>
          <w:highlight w:val="none"/>
        </w:rPr>
        <w:t xml:space="preserve">区图书馆开放运营相关要求</w:t>
      </w:r>
      <w:r>
        <w:rPr>
          <w:rFonts w:hint="eastAsia" w:ascii="宋体" w:hAnsi="宋体" w:cs="宋体"/>
          <w:color w:val="000000"/>
          <w:highlight w:val="none"/>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一、</w:t>
      </w:r>
      <w:r>
        <w:rPr>
          <w:rFonts w:hint="eastAsia" w:ascii="宋体" w:hAnsi="宋体" w:cs="宋体"/>
          <w:color w:val="000000"/>
          <w:sz w:val="24"/>
          <w:szCs w:val="24"/>
          <w:highlight w:val="none"/>
        </w:rPr>
        <w:t xml:space="preserve">开放时间</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 xml:space="preserve">日常开放时间：每周二至周日，上午8:30—下午5:30，每周一闭馆。</w:t>
      </w:r>
      <w:r>
        <w:rPr>
          <w:rFonts w:hint="eastAsia" w:ascii="宋体" w:hAnsi="宋体" w:cs="宋体"/>
          <w:b w:val="0"/>
          <w:bCs w:val="0"/>
          <w:color w:val="000000"/>
          <w:sz w:val="24"/>
          <w:szCs w:val="24"/>
          <w:highlight w:val="none"/>
          <w:lang w:val="en-US" w:eastAsia="zh-CN"/>
        </w:rPr>
        <w:t xml:space="preserve">延时服务区域开放至夜间8:00。</w:t>
      </w:r>
      <w:r>
        <w:rPr>
          <w:rFonts w:hint="eastAsia" w:ascii="宋体" w:hAnsi="宋体" w:cs="宋体"/>
          <w:b w:val="0"/>
          <w:bCs w:val="0"/>
          <w:color w:val="000000"/>
          <w:sz w:val="24"/>
          <w:szCs w:val="24"/>
          <w:highlight w:val="none"/>
          <w:lang w:val="en-US" w:eastAsia="zh-CN"/>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开放期间，中午</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11:30—13:00</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实行轮岗值班制度，服务台必须有值班服务人员。如遇</w:t>
      </w:r>
      <w:r>
        <w:rPr>
          <w:rFonts w:hint="eastAsia" w:ascii="宋体" w:hAnsi="宋体" w:cs="宋体"/>
          <w:b w:val="0"/>
          <w:bCs w:val="0"/>
          <w:color w:val="000000"/>
          <w:sz w:val="24"/>
          <w:szCs w:val="24"/>
          <w:highlight w:val="none"/>
          <w:lang w:val="en-US" w:eastAsia="zh-CN"/>
        </w:rPr>
        <w:t xml:space="preserve">不可抗力因素、</w:t>
      </w:r>
      <w:r>
        <w:rPr>
          <w:rFonts w:hint="eastAsia" w:ascii="宋体" w:hAnsi="宋体" w:cs="宋体"/>
          <w:b w:val="0"/>
          <w:bCs w:val="0"/>
          <w:color w:val="000000"/>
          <w:sz w:val="24"/>
          <w:szCs w:val="24"/>
          <w:highlight w:val="none"/>
        </w:rPr>
        <w:t xml:space="preserve">重大节日</w:t>
      </w:r>
      <w:r>
        <w:rPr>
          <w:rFonts w:hint="eastAsia" w:ascii="宋体" w:hAnsi="宋体" w:cs="宋体"/>
          <w:b w:val="0"/>
          <w:bCs w:val="0"/>
          <w:color w:val="000000"/>
          <w:sz w:val="24"/>
          <w:szCs w:val="24"/>
          <w:highlight w:val="none"/>
          <w:lang w:val="en-US" w:eastAsia="zh-CN"/>
        </w:rPr>
        <w:t xml:space="preserve">和</w:t>
      </w:r>
      <w:r>
        <w:rPr>
          <w:rFonts w:hint="eastAsia" w:ascii="宋体" w:hAnsi="宋体" w:cs="宋体"/>
          <w:b w:val="0"/>
          <w:bCs w:val="0"/>
          <w:color w:val="000000"/>
          <w:sz w:val="24"/>
          <w:szCs w:val="24"/>
          <w:highlight w:val="none"/>
        </w:rPr>
        <w:t xml:space="preserve">活动等情况根据实际情况进行临时调整。</w:t>
      </w:r>
      <w:r>
        <w:rPr>
          <w:rFonts w:hint="eastAsia" w:ascii="宋体" w:hAnsi="宋体" w:cs="宋体"/>
          <w:b w:val="0"/>
          <w:bCs w:val="0"/>
          <w:color w:val="000000"/>
          <w:sz w:val="24"/>
          <w:szCs w:val="24"/>
          <w:highlight w:val="none"/>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rPr>
        <w:t xml:space="preserve">运营要求</w:t>
      </w:r>
      <w:r>
        <w:rPr>
          <w:rFonts w:hint="eastAsia" w:ascii="宋体" w:hAnsi="宋体" w:cs="宋体"/>
          <w:color w:val="000000"/>
          <w:sz w:val="24"/>
          <w:szCs w:val="24"/>
          <w:highlight w:val="none"/>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严格遵守《中华人民共和国公共图书馆法》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江苏省公共图书馆条例》</w:t>
      </w:r>
      <w:r>
        <w:rPr>
          <w:rFonts w:hint="eastAsia" w:ascii="宋体" w:hAnsi="宋体" w:cs="宋体"/>
          <w:color w:val="000000"/>
          <w:sz w:val="24"/>
          <w:szCs w:val="24"/>
          <w:highlight w:val="none"/>
        </w:rPr>
        <w:t xml:space="preserve">，按</w:t>
      </w:r>
      <w:r>
        <w:rPr>
          <w:rFonts w:hint="eastAsia" w:ascii="宋体" w:hAnsi="宋体" w:cs="宋体"/>
          <w:color w:val="000000"/>
          <w:sz w:val="24"/>
          <w:szCs w:val="24"/>
          <w:highlight w:val="none"/>
          <w:lang w:val="en-US" w:eastAsia="zh-CN"/>
        </w:rPr>
        <w:t xml:space="preserve">国家</w:t>
      </w:r>
      <w:r>
        <w:rPr>
          <w:rFonts w:hint="eastAsia" w:ascii="宋体" w:hAnsi="宋体" w:cs="宋体"/>
          <w:color w:val="000000"/>
          <w:sz w:val="24"/>
          <w:szCs w:val="24"/>
          <w:highlight w:val="none"/>
        </w:rPr>
        <w:t xml:space="preserve">一级图书馆要求进行运营。特别强调关注的要求如下：</w:t>
      </w:r>
      <w:r>
        <w:rPr>
          <w:rFonts w:hint="eastAsia" w:ascii="宋体" w:hAnsi="宋体" w:cs="宋体"/>
          <w:color w:val="000000"/>
          <w:sz w:val="24"/>
          <w:szCs w:val="24"/>
          <w:highlight w:val="none"/>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（一）工作人员要求</w:t>
      </w:r>
      <w:r>
        <w:rPr>
          <w:rFonts w:hint="eastAsia" w:ascii="宋体" w:hAnsi="宋体" w:cs="宋体"/>
          <w:color w:val="000000"/>
          <w:sz w:val="24"/>
          <w:szCs w:val="24"/>
          <w:highlight w:val="none"/>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hint="eastAsia" w:ascii="宋体" w:hAnsi="宋体" w:cs="宋体"/>
          <w:color w:val="000000"/>
          <w:sz w:val="24"/>
          <w:szCs w:val="24"/>
          <w:highlight w:val="none"/>
          <w:lang w:val="en-US" w:eastAsia="zh-CN"/>
        </w:rPr>
        <w:t xml:space="preserve">常州经开区</w:t>
      </w:r>
      <w:r>
        <w:rPr>
          <w:rFonts w:hint="eastAsia" w:ascii="宋体" w:hAnsi="宋体" w:cs="宋体"/>
          <w:color w:val="000000"/>
          <w:sz w:val="24"/>
          <w:szCs w:val="24"/>
          <w:highlight w:val="none"/>
        </w:rPr>
        <w:t xml:space="preserve">图书馆的功能、馆藏规模、馆舍面积、服务范围及服务人口等因素至少需配备</w:t>
      </w:r>
      <w:r>
        <w:rPr>
          <w:rFonts w:hint="eastAsia" w:ascii="宋体" w:hAnsi="宋体" w:cs="宋体"/>
          <w:color w:val="000000"/>
          <w:sz w:val="24"/>
          <w:szCs w:val="24"/>
          <w:highlight w:val="none"/>
          <w:lang w:val="en-US" w:eastAsia="zh-CN"/>
        </w:rPr>
        <w:t xml:space="preserve">23</w:t>
      </w:r>
      <w:r>
        <w:rPr>
          <w:rFonts w:hint="eastAsia" w:ascii="宋体" w:hAnsi="宋体" w:cs="宋体"/>
          <w:color w:val="000000"/>
          <w:sz w:val="24"/>
          <w:szCs w:val="24"/>
          <w:highlight w:val="none"/>
        </w:rPr>
        <w:t xml:space="preserve">名相应的工作人员。</w:t>
      </w:r>
      <w:r>
        <w:rPr>
          <w:rFonts w:hint="eastAsia" w:ascii="宋体" w:hAnsi="宋体" w:cs="宋体"/>
          <w:color w:val="000000"/>
          <w:sz w:val="24"/>
          <w:szCs w:val="24"/>
          <w:highlight w:val="none"/>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val="en-US" w:eastAsia="zh-CN"/>
        </w:rPr>
        <w:t xml:space="preserve">基本服务</w:t>
      </w:r>
      <w:r>
        <w:rPr>
          <w:rFonts w:hint="eastAsia" w:ascii="宋体" w:hAnsi="宋体" w:cs="宋体"/>
          <w:color w:val="000000"/>
          <w:sz w:val="24"/>
          <w:szCs w:val="24"/>
          <w:highlight w:val="none"/>
        </w:rPr>
        <w:t xml:space="preserve">要求</w:t>
      </w:r>
      <w:r>
        <w:rPr>
          <w:rFonts w:hint="eastAsia" w:ascii="宋体" w:hAnsi="宋体" w:cs="宋体"/>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障场馆每周开放不少于54小时、法定节假日按需开放；做好馆藏整理、环境保洁、设施设备每日巡检，规范建立各类运营台账。落实意识形态、消防、网络信息、舆情全维度安全管控，定期开展安全培训与演练，故障、投诉限时响应，严防重特大安全事故。规范场馆功能区域管理，建立固定资产台账，每年完成资产盘点、报修报损归档；运营新媒体平台及时发布服务、活动信息，汇总上报业务数据，统一归档运营档案。</w:t>
      </w:r>
      <w:r>
        <w:rPr>
          <w:rFonts w:hint="eastAsia" w:ascii="宋体" w:hAnsi="宋体" w:cs="宋体"/>
          <w:color w:val="000000"/>
          <w:sz w:val="24"/>
          <w:szCs w:val="24"/>
          <w:highlight w:val="none"/>
        </w:rPr>
      </w:r>
      <w:r/>
    </w:p>
    <w:p>
      <w:pPr>
        <w:pStyle w:val="1078"/>
        <w:ind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（三）活动组织与品牌打造</w:t>
      </w:r>
      <w:r>
        <w:rPr>
          <w:rFonts w:hint="eastAsia" w:ascii="宋体" w:hAnsi="宋体" w:eastAsia="宋体" w:cs="宋体"/>
          <w:b/>
          <w:bCs/>
          <w:color w:val="000000"/>
          <w:sz w:val="24"/>
          <w:szCs w:val="24"/>
          <w:highlight w:val="none"/>
          <w:lang w:val="en-US" w:eastAsia="zh-CN"/>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展阅读推广活动不少于160场，涵盖：讲座类、展览类、培训类以及其他，其中：单场人次达到200以上的讲座类活动不少于5场、培训类和其他类活动单场次人数不得少于30人次；结合节日、读书日开展主题活动，全流程负责策划、落地、宣传、总结。承接市、区级全民阅读、作家讲座、非遗融合、总分馆联动等大型文化活动，配合完成迎检、示范创建工作；全新打造1个特色阅读品牌。</w:t>
      </w:r>
      <w:r>
        <w:rPr>
          <w:rFonts w:hint="eastAsia" w:ascii="宋体" w:hAnsi="宋体" w:eastAsia="宋体" w:cs="宋体"/>
          <w:color w:val="000000"/>
          <w:sz w:val="24"/>
          <w:szCs w:val="24"/>
          <w:highlight w:val="none"/>
          <w:lang w:val="en-US" w:eastAsia="zh-CN"/>
        </w:rPr>
      </w:r>
      <w:r/>
    </w:p>
    <w:p>
      <w:pPr>
        <w:pStyle w:val="1078"/>
        <w:ind w:firstLine="482"/>
        <w:keepLines w:val="0"/>
        <w:keepNext w:val="0"/>
        <w:pageBreakBefore w:val="0"/>
        <w:spacing w:line="360" w:lineRule="auto"/>
        <w:widowControl w:val="off"/>
        <w:tabs>
          <w:tab w:val="left" w:pos="63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（四）基层服务与空间拓展</w:t>
      </w:r>
      <w:r>
        <w:rPr>
          <w:rFonts w:hint="eastAsia" w:ascii="宋体" w:hAnsi="宋体" w:eastAsia="宋体" w:cs="宋体"/>
          <w:b/>
          <w:bCs/>
          <w:color w:val="000000"/>
          <w:sz w:val="24"/>
          <w:szCs w:val="24"/>
          <w:highlight w:val="none"/>
          <w:lang w:val="en-US" w:eastAsia="zh-CN"/>
        </w:rPr>
      </w:r>
      <w:r/>
    </w:p>
    <w:p>
      <w:pPr>
        <w:pStyle w:val="1078"/>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1.常态化开展流动书车、送书上门、图书漂流等下沉服务，覆盖社区、校园、企业、养老及特殊群体；利用闲置低效资源打造区图书馆青少年分馆。统筹总分馆制一体化运营，</w:t>
      </w:r>
      <w:r>
        <w:rPr>
          <w:rFonts w:hint="eastAsia" w:ascii="宋体" w:hAnsi="宋体" w:eastAsia="宋体" w:cs="宋体"/>
          <w:color w:val="000000"/>
          <w:sz w:val="24"/>
          <w:szCs w:val="24"/>
          <w:highlight w:val="none"/>
          <w:lang w:val="en-US" w:eastAsia="zh-CN"/>
        </w:rPr>
        <w:t xml:space="preserve">基层分馆图书借阅量较上年度增幅不低于5%。</w:t>
      </w:r>
      <w:r>
        <w:rPr>
          <w:rFonts w:hint="eastAsia" w:ascii="宋体" w:hAnsi="宋体" w:eastAsia="宋体" w:cs="宋体"/>
          <w:color w:val="000000"/>
          <w:sz w:val="24"/>
          <w:szCs w:val="24"/>
          <w:highlight w:val="none"/>
          <w:lang w:val="en-US" w:eastAsia="zh-CN"/>
        </w:rPr>
      </w:r>
      <w:r/>
    </w:p>
    <w:p>
      <w:pPr>
        <w:pStyle w:val="1078"/>
        <w:ind w:firstLine="480"/>
        <w:keepLines w:val="0"/>
        <w:keepNext w:val="0"/>
        <w:pageBreakBefore w:val="0"/>
        <w:spacing w:line="360" w:lineRule="auto"/>
        <w:widowControl w:val="off"/>
        <w:tabs>
          <w:tab w:val="left" w:pos="63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2.每年组织不少于2次总分馆制专项业务培训。稳步拓展持证读者，年度新增1%有效持证读者。</w:t>
      </w:r>
      <w:r>
        <w:rPr>
          <w:rFonts w:hint="eastAsia" w:ascii="宋体" w:hAnsi="宋体" w:eastAsia="宋体" w:cs="宋体"/>
          <w:b w:val="0"/>
          <w:bCs w:val="0"/>
          <w:color w:val="000000"/>
          <w:sz w:val="24"/>
          <w:szCs w:val="24"/>
          <w:highlight w:val="none"/>
          <w:lang w:val="en-US" w:eastAsia="zh-CN"/>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w:t>
      </w:r>
      <w:r>
        <w:rPr>
          <w:rFonts w:hint="eastAsia"/>
          <w:b w:val="0"/>
          <w:bCs w:val="0"/>
          <w:color w:val="000000"/>
          <w:sz w:val="24"/>
          <w:szCs w:val="24"/>
          <w:highlight w:val="none"/>
          <w:lang w:val="en-US" w:eastAsia="zh-CN"/>
        </w:rPr>
        <w:t xml:space="preserve">保障年度图书外借量不低于13万册次，</w:t>
      </w:r>
      <w:r>
        <w:rPr>
          <w:rFonts w:hint="eastAsia" w:ascii="宋体" w:hAnsi="宋体" w:cs="宋体"/>
          <w:b w:val="0"/>
          <w:bCs w:val="0"/>
          <w:color w:val="000000"/>
          <w:sz w:val="24"/>
          <w:szCs w:val="24"/>
          <w:highlight w:val="none"/>
        </w:rPr>
        <w:t xml:space="preserve">读者满意率调查达85%。</w:t>
      </w:r>
      <w:r>
        <w:rPr>
          <w:rFonts w:hint="eastAsia" w:ascii="宋体" w:hAnsi="宋体" w:cs="宋体"/>
          <w:b w:val="0"/>
          <w:bCs w:val="0"/>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开展图书馆服务宣传推广，包括：服务宣传周的媒体宣传推广工作，</w:t>
      </w:r>
      <w:r>
        <w:rPr>
          <w:rFonts w:hint="eastAsia" w:ascii="宋体" w:hAnsi="宋体" w:cs="宋体"/>
          <w:b w:val="0"/>
          <w:bCs w:val="0"/>
          <w:color w:val="000000"/>
          <w:sz w:val="24"/>
          <w:szCs w:val="24"/>
          <w:highlight w:val="none"/>
          <w:lang w:val="en-US" w:eastAsia="zh-CN"/>
        </w:rPr>
        <w:t xml:space="preserve">全民阅读活动周</w:t>
      </w:r>
      <w:r>
        <w:rPr>
          <w:rFonts w:hint="eastAsia" w:ascii="宋体" w:hAnsi="宋体" w:cs="宋体"/>
          <w:b w:val="0"/>
          <w:bCs w:val="0"/>
          <w:color w:val="000000"/>
          <w:sz w:val="24"/>
          <w:szCs w:val="24"/>
          <w:highlight w:val="none"/>
        </w:rPr>
        <w:t xml:space="preserve">媒体宣传推广工作，世界图书与版权日的媒体宣传推广工作对其他相关活动的媒体宣传推广工作，馆内、馆外利用各种方式开展的宣传推广活动。</w:t>
      </w:r>
      <w:r>
        <w:rPr>
          <w:rFonts w:hint="eastAsia" w:ascii="宋体" w:hAnsi="宋体" w:cs="宋体"/>
          <w:b w:val="0"/>
          <w:bCs w:val="0"/>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rPr>
        <w:t xml:space="preserve">提供信息咨询服务。包括：政府信息服务，其他决策信息服务，咨询台服务，文献提供，提供网上咨询和回复服务的，设立专职人员进行实时咨询回复。</w:t>
      </w:r>
      <w:r>
        <w:rPr>
          <w:rFonts w:hint="eastAsia" w:ascii="宋体" w:hAnsi="宋体" w:cs="宋体"/>
          <w:b w:val="0"/>
          <w:bCs w:val="0"/>
          <w:color w:val="000000"/>
          <w:sz w:val="24"/>
          <w:szCs w:val="24"/>
          <w:highlight w:val="none"/>
        </w:rPr>
      </w:r>
      <w:r/>
    </w:p>
    <w:p>
      <w:pPr>
        <w:pStyle w:val="1078"/>
        <w:ind w:firstLine="480"/>
        <w:keepLines w:val="0"/>
        <w:keepNext w:val="0"/>
        <w:pageBreakBefore w:val="0"/>
        <w:spacing w:line="360" w:lineRule="auto"/>
        <w:widowControl w:val="off"/>
        <w:tabs>
          <w:tab w:val="left" w:pos="630"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提供未成年人及其他特殊群体服务。</w:t>
      </w:r>
      <w:r>
        <w:rPr>
          <w:rFonts w:hint="eastAsia" w:ascii="宋体" w:hAnsi="宋体" w:cs="宋体"/>
          <w:b w:val="0"/>
          <w:bCs w:val="0"/>
          <w:color w:val="000000"/>
          <w:sz w:val="24"/>
          <w:szCs w:val="24"/>
          <w:highlight w:val="none"/>
        </w:rPr>
      </w:r>
      <w:r/>
    </w:p>
    <w:p>
      <w:pPr>
        <w:pStyle w:val="1078"/>
        <w:ind w:firstLine="0"/>
        <w:jc w:val="center"/>
        <w:keepLines w:val="0"/>
        <w:keepNext w:val="0"/>
        <w:pageBreakBefore w:val="0"/>
        <w:spacing w:beforeAutospacing="0" w:afterAutospacing="0" w:line="400" w:lineRule="exact"/>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p>
      <w:pPr>
        <w:pStyle w:val="1078"/>
        <w:rPr>
          <w:rFonts w:hint="eastAsia" w:ascii="宋体" w:hAnsi="宋体" w:cs="宋体"/>
          <w:b/>
          <w:bCs/>
          <w:color w:val="000000"/>
          <w:sz w:val="24"/>
          <w:szCs w:val="24"/>
          <w:highlight w:val="none"/>
          <w:lang w:val="en-US" w:eastAsia="zh-CN"/>
        </w:rPr>
      </w:pPr>
      <w:r>
        <w:rPr>
          <w:rFonts w:hint="eastAsia" w:ascii="宋体" w:hAnsi="宋体" w:eastAsia="宋体" w:cs="宋体"/>
          <w:b/>
          <w:color w:val="000000"/>
          <w:sz w:val="30"/>
          <w:szCs w:val="30"/>
          <w:highlight w:val="none"/>
          <w:lang w:eastAsia="zh-CN"/>
        </w:rPr>
        <w:br w:type="page" w:clear="all"/>
      </w:r>
      <w:r>
        <w:rPr>
          <w:rFonts w:hint="eastAsia" w:ascii="宋体" w:hAnsi="宋体" w:cs="宋体"/>
          <w:b/>
          <w:bCs/>
          <w:color w:val="000000"/>
          <w:sz w:val="24"/>
          <w:szCs w:val="24"/>
          <w:highlight w:val="none"/>
          <w:lang w:eastAsia="zh-CN"/>
        </w:rPr>
        <w:t xml:space="preserve">合同附件</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r>
      <w:r/>
    </w:p>
    <w:p>
      <w:pPr>
        <w:pStyle w:val="1079"/>
        <w:jc w:val="center"/>
        <w:keepLines w:val="0"/>
        <w:keepNext/>
        <w:pageBreakBefore w:val="0"/>
        <w:spacing w:line="480" w:lineRule="auto"/>
        <w:widowControl/>
        <w:rPr>
          <w:rFonts w:hint="eastAsia" w:ascii="宋体" w:hAnsi="宋体" w:cs="宋体"/>
          <w:color w:val="000000"/>
          <w:highlight w:val="none"/>
          <w:lang w:eastAsia="zh-CN"/>
        </w:rPr>
      </w:pPr>
      <w:r>
        <w:rPr>
          <w:rFonts w:hint="eastAsia" w:ascii="宋体" w:hAnsi="宋体" w:cs="宋体"/>
          <w:color w:val="000000"/>
          <w:highlight w:val="none"/>
          <w:lang w:val="en-US" w:eastAsia="zh-CN"/>
        </w:rPr>
        <w:t xml:space="preserve">常州经开</w:t>
      </w:r>
      <w:r>
        <w:rPr>
          <w:rFonts w:hint="eastAsia" w:ascii="宋体" w:hAnsi="宋体" w:cs="宋体"/>
          <w:color w:val="000000"/>
          <w:highlight w:val="none"/>
          <w:lang w:eastAsia="zh-CN"/>
        </w:rPr>
        <w:t xml:space="preserve">区图书馆法人岗位职责</w:t>
      </w:r>
      <w:r>
        <w:rPr>
          <w:rFonts w:hint="eastAsia" w:ascii="宋体" w:hAnsi="宋体" w:cs="宋体"/>
          <w:color w:val="000000"/>
          <w:highlight w:val="none"/>
          <w:lang w:eastAsia="zh-CN"/>
        </w:rPr>
      </w:r>
      <w:r/>
    </w:p>
    <w:p>
      <w:pPr>
        <w:pStyle w:val="1078"/>
        <w:jc w:val="left"/>
        <w:spacing w:line="700" w:lineRule="exact"/>
        <w:widowControl/>
        <w:rPr>
          <w:rFonts w:hint="eastAsia" w:ascii="仿宋" w:hAnsi="仿宋" w:eastAsia="仿宋" w:cs="Arial"/>
          <w:vanish/>
          <w:color w:val="000000"/>
          <w:sz w:val="21"/>
          <w:szCs w:val="21"/>
          <w:highlight w:val="none"/>
        </w:rPr>
      </w:pPr>
      <w:r>
        <w:rPr>
          <w:rFonts w:hint="eastAsia" w:ascii="仿宋" w:hAnsi="仿宋" w:eastAsia="仿宋" w:cs="Arial"/>
          <w:vanish/>
          <w:color w:val="000000"/>
          <w:sz w:val="21"/>
          <w:szCs w:val="21"/>
          <w:highlight w:val="none"/>
        </w:rPr>
      </w:r>
      <w:r/>
    </w:p>
    <w:p>
      <w:pPr>
        <w:pStyle w:val="1078"/>
        <w:jc w:val="left"/>
        <w:spacing w:line="700" w:lineRule="exact"/>
        <w:widowControl/>
        <w:rPr>
          <w:rFonts w:hint="eastAsia" w:ascii="仿宋" w:hAnsi="仿宋" w:eastAsia="仿宋" w:cs="Arial"/>
          <w:vanish/>
          <w:color w:val="000000"/>
          <w:sz w:val="21"/>
          <w:szCs w:val="21"/>
          <w:highlight w:val="none"/>
        </w:rPr>
      </w:pPr>
      <w:r>
        <w:rPr>
          <w:rFonts w:hint="eastAsia" w:ascii="仿宋" w:hAnsi="仿宋" w:eastAsia="仿宋" w:cs="Arial"/>
          <w:vanish/>
          <w:color w:val="000000"/>
          <w:sz w:val="21"/>
          <w:szCs w:val="21"/>
          <w:highlight w:val="none"/>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贯彻落实上级部门的各项决定，贯彻执行《中华人民共和国公共图书馆法》《江苏省公共图书馆条例》等法规制度；建立各项规章管理制度和考评机制，协助经费和财产管理，做好业务、人事的监督和指导工作。 </w:t>
      </w:r>
      <w:r>
        <w:rPr>
          <w:rFonts w:hint="eastAsia" w:ascii="宋体" w:hAnsi="宋体" w:cs="宋体"/>
          <w:color w:val="000000"/>
          <w:sz w:val="24"/>
          <w:szCs w:val="24"/>
          <w:highlight w:val="none"/>
          <w:lang w:val="en-US" w:eastAsia="zh-CN"/>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2、监督区公共图书馆总分馆制业务建设，指导制定区公共图书馆统一的业务标准和服务规范。</w:t>
      </w:r>
      <w:r>
        <w:rPr>
          <w:rFonts w:hint="eastAsia" w:ascii="宋体" w:hAnsi="宋体" w:cs="宋体"/>
          <w:color w:val="000000"/>
          <w:sz w:val="24"/>
          <w:szCs w:val="24"/>
          <w:highlight w:val="none"/>
          <w:lang w:val="en-US" w:eastAsia="zh-CN"/>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3、负责审核全区公共图书馆的具体发展目标、年度工作计划和工作总结，落实上级下达的工作目标和工作任务。</w:t>
      </w:r>
      <w:r>
        <w:rPr>
          <w:rFonts w:hint="eastAsia" w:ascii="宋体" w:hAnsi="宋体" w:cs="宋体"/>
          <w:color w:val="000000"/>
          <w:sz w:val="24"/>
          <w:szCs w:val="24"/>
          <w:highlight w:val="none"/>
          <w:lang w:val="en-US" w:eastAsia="zh-CN"/>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4、监督区公共图书馆通借通还服务网络、信息化管理系统和数字图书馆建设，督促实现全区的信息资源共享。 </w:t>
      </w:r>
      <w:r>
        <w:rPr>
          <w:rFonts w:hint="eastAsia" w:ascii="宋体" w:hAnsi="宋体" w:cs="宋体"/>
          <w:color w:val="000000"/>
          <w:sz w:val="24"/>
          <w:szCs w:val="24"/>
          <w:highlight w:val="none"/>
          <w:lang w:val="en-US" w:eastAsia="zh-CN"/>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5、监督区公共图书馆工作人员专业培训工作和绩效考评；指导推动新设备、新媒体、新技术在总分馆的服务应用。</w:t>
      </w:r>
      <w:r>
        <w:rPr>
          <w:rFonts w:hint="eastAsia" w:ascii="宋体" w:hAnsi="宋体" w:cs="宋体"/>
          <w:color w:val="000000"/>
          <w:sz w:val="24"/>
          <w:szCs w:val="24"/>
          <w:highlight w:val="none"/>
          <w:lang w:val="en-US" w:eastAsia="zh-CN"/>
        </w:rPr>
      </w:r>
      <w:r/>
    </w:p>
    <w:p>
      <w:pPr>
        <w:pStyle w:val="1078"/>
        <w:ind w:firstLine="484"/>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6、指导开展公共图书馆领域的馆际协作活动，促进资源共享；积极争取社会力量的支持，以促进图书馆社会地位的提高和发展。 </w:t>
      </w:r>
      <w:r>
        <w:rPr>
          <w:rFonts w:hint="eastAsia" w:ascii="宋体" w:hAnsi="宋体" w:cs="宋体"/>
          <w:color w:val="000000"/>
          <w:sz w:val="24"/>
          <w:szCs w:val="24"/>
          <w:highlight w:val="none"/>
          <w:lang w:val="en-US" w:eastAsia="zh-CN"/>
        </w:rPr>
      </w:r>
      <w:r/>
    </w:p>
    <w:p>
      <w:pPr>
        <w:pStyle w:val="1078"/>
        <w:ind w:firstLine="484"/>
        <w:keepLines w:val="0"/>
        <w:keepNext w:val="0"/>
        <w:pageBreakBefore w:val="0"/>
        <w:spacing w:line="360" w:lineRule="auto"/>
        <w:widowControl w:val="off"/>
        <w:rPr>
          <w:rFonts w:hint="eastAsia" w:ascii="宋体" w:hAnsi="宋体" w:cs="宋体"/>
          <w:color w:val="000000"/>
          <w:szCs w:val="21"/>
          <w:highlight w:val="none"/>
          <w:lang w:val="en-US" w:eastAsia="zh-CN"/>
        </w:rPr>
      </w:pPr>
      <w:r>
        <w:rPr>
          <w:rFonts w:hint="eastAsia" w:ascii="宋体" w:hAnsi="宋体" w:cs="宋体"/>
          <w:color w:val="000000"/>
          <w:sz w:val="24"/>
          <w:szCs w:val="24"/>
          <w:highlight w:val="none"/>
          <w:lang w:val="en-US" w:eastAsia="zh-CN"/>
        </w:rPr>
        <w:t xml:space="preserve">7、向上级部门请示、汇报工作，定期组织召开馆内有关业务决策（业务包括馆藏规划、对图书馆布局调整方面给出指导性意见）、行政管理的民主讨论会，做到决策科学合理，自觉接受监督。</w:t>
      </w:r>
      <w:r>
        <w:rPr>
          <w:rFonts w:hint="eastAsia" w:ascii="宋体" w:hAnsi="宋体" w:cs="宋体"/>
          <w:color w:val="000000"/>
          <w:szCs w:val="21"/>
          <w:highlight w:val="none"/>
          <w:lang w:val="en-US" w:eastAsia="zh-CN"/>
        </w:rPr>
      </w:r>
      <w:r/>
    </w:p>
    <w:p>
      <w:pPr>
        <w:pStyle w:val="1078"/>
        <w:ind w:firstLine="0"/>
        <w:jc w:val="both"/>
        <w:keepLines w:val="0"/>
        <w:keepNext w:val="0"/>
        <w:pageBreakBefore w:val="0"/>
        <w:spacing w:beforeAutospacing="0" w:afterAutospacing="0" w:line="400" w:lineRule="exact"/>
        <w:rPr>
          <w:rFonts w:hint="eastAsia" w:ascii="宋体" w:hAnsi="宋体" w:eastAsia="宋体" w:cs="宋体"/>
          <w:b/>
          <w:color w:val="000000"/>
          <w:sz w:val="30"/>
          <w:szCs w:val="30"/>
          <w:highlight w:val="none"/>
        </w:rPr>
        <w:outlineLvl w:val="9"/>
      </w:pPr>
      <w:r>
        <w:rPr>
          <w:rFonts w:hint="eastAsia" w:ascii="宋体" w:hAnsi="宋体" w:eastAsia="宋体" w:cs="宋体"/>
          <w:b/>
          <w:color w:val="000000"/>
          <w:sz w:val="30"/>
          <w:szCs w:val="30"/>
          <w:highlight w:val="none"/>
        </w:rPr>
      </w:r>
      <w:r/>
    </w:p>
    <w:p>
      <w:pPr>
        <w:pStyle w:val="107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8"/>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7" w:name="_Toc99301426"/>
      <w:r>
        <w:rPr>
          <w:rFonts w:ascii="宋体" w:hAnsi="宋体"/>
          <w:b/>
          <w:color w:val="000000"/>
          <w:sz w:val="36"/>
          <w:szCs w:val="36"/>
          <w:highlight w:val="none"/>
        </w:rPr>
        <w:t xml:space="preserve">第七章   投标文件格式</w:t>
      </w:r>
      <w:bookmarkEnd w:id="817"/>
      <w:r>
        <w:rPr>
          <w:rFonts w:ascii="宋体" w:hAnsi="宋体"/>
          <w:b/>
          <w:color w:val="000000"/>
          <w:sz w:val="36"/>
          <w:szCs w:val="36"/>
          <w:highlight w:val="none"/>
        </w:rPr>
      </w:r>
      <w:r/>
    </w:p>
    <w:p>
      <w:pPr>
        <w:pStyle w:val="107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8"/>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8"/>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8"/>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8"/>
        <w:jc w:val="left"/>
        <w:widowControl/>
        <w:rPr>
          <w:rFonts w:ascii="宋体" w:hAnsi="宋体"/>
          <w:b/>
          <w:color w:val="000000"/>
          <w:sz w:val="30"/>
          <w:szCs w:val="20"/>
          <w:highlight w:val="none"/>
        </w:rPr>
      </w:pPr>
      <w:r>
        <w:rPr>
          <w:rFonts w:ascii="宋体" w:hAnsi="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8"/>
        <w:rPr>
          <w:rFonts w:ascii="宋体" w:hAnsi="宋体"/>
          <w:b/>
          <w:color w:val="000000"/>
          <w:spacing w:val="20"/>
          <w:szCs w:val="21"/>
          <w:highlight w:val="none"/>
        </w:rPr>
      </w:pPr>
      <w:r>
        <w:rPr>
          <w:rFonts w:ascii="宋体" w:hAnsi="宋体"/>
          <w:b/>
          <w:color w:val="000000"/>
          <w:spacing w:val="20"/>
          <w:szCs w:val="21"/>
          <w:highlight w:val="none"/>
        </w:rPr>
      </w:r>
      <w:r/>
    </w:p>
    <w:p>
      <w:pPr>
        <w:pStyle w:val="1078"/>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8"/>
        <w:jc w:val="center"/>
        <w:rPr>
          <w:rFonts w:ascii="宋体" w:hAnsi="宋体"/>
          <w:color w:val="000000"/>
          <w:szCs w:val="21"/>
          <w:highlight w:val="none"/>
        </w:rPr>
      </w:pPr>
      <w:r>
        <w:rPr>
          <w:rFonts w:ascii="宋体" w:hAnsi="宋体"/>
          <w:color w:val="000000"/>
          <w:szCs w:val="21"/>
          <w:highlight w:val="none"/>
        </w:rPr>
      </w:r>
      <w:r/>
    </w:p>
    <w:p>
      <w:pPr>
        <w:pStyle w:val="1078"/>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8"/>
        <w:jc w:val="center"/>
        <w:rPr>
          <w:rFonts w:ascii="宋体" w:hAnsi="宋体"/>
          <w:b/>
          <w:color w:val="000000"/>
          <w:sz w:val="32"/>
          <w:szCs w:val="32"/>
          <w:highlight w:val="none"/>
        </w:rPr>
      </w:pPr>
      <w:r>
        <w:rPr>
          <w:rFonts w:ascii="宋体" w:hAnsi="宋体"/>
          <w:b/>
          <w:color w:val="000000"/>
          <w:sz w:val="32"/>
          <w:szCs w:val="32"/>
          <w:highlight w:val="none"/>
        </w:rPr>
      </w:r>
      <w:r/>
    </w:p>
    <w:p>
      <w:pPr>
        <w:pStyle w:val="1078"/>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8"/>
        <w:rPr>
          <w:rFonts w:ascii="宋体" w:hAnsi="宋体"/>
          <w:b/>
          <w:color w:val="000000"/>
          <w:highlight w:val="none"/>
        </w:rPr>
      </w:pPr>
      <w:r>
        <w:rPr>
          <w:rFonts w:ascii="宋体" w:hAnsi="宋体"/>
          <w:b/>
          <w:color w:val="000000"/>
          <w:highlight w:val="none"/>
        </w:rPr>
      </w:r>
      <w:r/>
    </w:p>
    <w:p>
      <w:pPr>
        <w:pStyle w:val="1078"/>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81"/>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9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92"/>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92"/>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8"/>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8"/>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8"/>
        <w:spacing w:line="360" w:lineRule="auto"/>
        <w:rPr>
          <w:rFonts w:ascii="宋体" w:hAnsi="宋体"/>
          <w:color w:val="000000"/>
          <w:sz w:val="24"/>
          <w:szCs w:val="20"/>
          <w:highlight w:val="none"/>
        </w:rPr>
        <w:outlineLvl w:val="2"/>
      </w:pPr>
      <w:r>
        <w:rPr>
          <w:rFonts w:ascii="宋体" w:hAnsi="宋体"/>
          <w:b/>
          <w:color w:val="000000"/>
          <w:sz w:val="24"/>
          <w:szCs w:val="20"/>
          <w:highlight w:val="none"/>
        </w:rPr>
        <w:t xml:space="preserve">2-1中小企业声明函</w:t>
      </w:r>
      <w:r>
        <w:rPr>
          <w:rFonts w:ascii="宋体" w:hAnsi="宋体"/>
          <w:color w:val="000000"/>
          <w:sz w:val="24"/>
          <w:szCs w:val="20"/>
          <w:highlight w:val="none"/>
        </w:rPr>
      </w:r>
      <w:r/>
    </w:p>
    <w:p>
      <w:pPr>
        <w:pStyle w:val="107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p>
      <w:pPr>
        <w:pStyle w:val="107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（1）如本项目（包）不专门面向中小企业预留采购份额，</w:t>
      </w:r>
      <w:r>
        <w:rPr>
          <w:rFonts w:hint="eastAsia" w:ascii="宋体" w:hAnsi="宋体"/>
          <w:color w:val="000000"/>
          <w:sz w:val="24"/>
          <w:highlight w:val="none"/>
        </w:rPr>
        <w:t xml:space="preserve">资格证明文件部分</w:t>
      </w:r>
      <w:r>
        <w:rPr>
          <w:rFonts w:ascii="宋体" w:hAnsi="宋体"/>
          <w:color w:val="000000"/>
          <w:sz w:val="24"/>
          <w:highlight w:val="none"/>
        </w:rPr>
        <w:t xml:space="preserve">无需提供《中小企业声明函》。</w:t>
      </w:r>
      <w:r>
        <w:rPr>
          <w:rFonts w:ascii="宋体" w:hAnsi="宋体"/>
          <w:color w:val="000000"/>
          <w:sz w:val="24"/>
          <w:highlight w:val="none"/>
        </w:rPr>
      </w:r>
      <w:r/>
    </w:p>
    <w:p>
      <w:pPr>
        <w:pStyle w:val="107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（2）如本项目（包）专门面向中小/小微企业采购，须提供《中小企业声明函》</w:t>
      </w:r>
      <w:r>
        <w:rPr>
          <w:rFonts w:ascii="宋体" w:hAnsi="宋体"/>
          <w:color w:val="000000"/>
          <w:sz w:val="24"/>
          <w:szCs w:val="20"/>
          <w:highlight w:val="none"/>
        </w:rPr>
        <w:t xml:space="preserve">（实质性格式）</w:t>
      </w:r>
      <w:r>
        <w:rPr>
          <w:rFonts w:ascii="宋体" w:hAnsi="宋体"/>
          <w:color w:val="000000"/>
          <w:sz w:val="24"/>
          <w:highlight w:val="none"/>
        </w:rPr>
        <w:t xml:space="preserve">。</w:t>
      </w:r>
      <w:r>
        <w:rPr>
          <w:rFonts w:ascii="宋体" w:hAnsi="宋体"/>
          <w:color w:val="000000"/>
          <w:sz w:val="24"/>
          <w:highlight w:val="none"/>
        </w:rPr>
      </w:r>
      <w:r/>
    </w:p>
    <w:p>
      <w:pPr>
        <w:pStyle w:val="107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highlight w:val="none"/>
        </w:rPr>
      </w:r>
      <w:r/>
    </w:p>
    <w:p>
      <w:pPr>
        <w:pStyle w:val="107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（4）其他</w:t>
      </w:r>
      <w:r>
        <w:rPr>
          <w:rFonts w:ascii="宋体" w:hAnsi="宋体"/>
          <w:color w:val="000000"/>
          <w:sz w:val="24"/>
          <w:highlight w:val="none"/>
        </w:rPr>
      </w:r>
      <w:r/>
    </w:p>
    <w:p>
      <w:pPr>
        <w:pStyle w:val="107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highlight w:val="none"/>
        </w:rPr>
      </w:r>
      <w:r/>
    </w:p>
    <w:p>
      <w:pPr>
        <w:pStyle w:val="107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ascii="宋体" w:hAnsi="宋体"/>
          <w:color w:val="000000"/>
          <w:sz w:val="24"/>
          <w:highlight w:val="none"/>
        </w:rPr>
      </w:r>
      <w:r/>
    </w:p>
    <w:p>
      <w:pPr>
        <w:pStyle w:val="107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highlight w:val="none"/>
        </w:rPr>
      </w:r>
      <w:r/>
    </w:p>
    <w:p>
      <w:pPr>
        <w:pStyle w:val="107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8"/>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8"/>
        <w:jc w:val="center"/>
        <w:spacing w:before="240" w:after="240"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7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107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07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07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8"/>
        <w:jc w:val="left"/>
        <w:rPr>
          <w:rFonts w:ascii="宋体" w:hAnsi="宋体"/>
          <w:color w:val="000000"/>
          <w:sz w:val="24"/>
          <w:szCs w:val="21"/>
          <w:highlight w:val="none"/>
        </w:rPr>
      </w:pPr>
      <w:r>
        <w:rPr>
          <w:rFonts w:ascii="宋体" w:hAnsi="宋体"/>
          <w:color w:val="000000"/>
          <w:sz w:val="24"/>
          <w:szCs w:val="21"/>
          <w:highlight w:val="none"/>
        </w:rPr>
      </w:r>
      <w:r/>
    </w:p>
    <w:p>
      <w:pPr>
        <w:pStyle w:val="1078"/>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8"/>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8"/>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7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8"/>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8"/>
        <w:jc w:val="center"/>
        <w:spacing w:before="240" w:after="240" w:line="360" w:lineRule="auto"/>
        <w:rPr>
          <w:rFonts w:ascii="宋体" w:hAnsi="宋体"/>
          <w:b/>
          <w:color w:val="000000"/>
          <w:sz w:val="36"/>
          <w:szCs w:val="36"/>
          <w:highlight w:val="none"/>
        </w:rPr>
      </w:pPr>
      <w:r>
        <w:rPr>
          <w:rFonts w:hint="eastAsia" w:ascii="宋体" w:hAnsi="宋体"/>
          <w:b/>
          <w:bCs/>
          <w:color w:val="000000"/>
          <w:sz w:val="36"/>
          <w:szCs w:val="36"/>
          <w:highlight w:val="none"/>
        </w:rPr>
        <w:t xml:space="preserve">残疾人福利性单位声明函格式</w:t>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8"/>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8"/>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8"/>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8"/>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8"/>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日  期：</w:t>
      </w:r>
      <w:r>
        <w:rPr>
          <w:rFonts w:hint="eastAsia" w:ascii="宋体" w:hAnsi="宋体"/>
          <w:color w:val="000000"/>
          <w:spacing w:val="6"/>
          <w:sz w:val="24"/>
          <w:highlight w:val="none"/>
        </w:rPr>
      </w:r>
      <w:r/>
    </w:p>
    <w:p>
      <w:pPr>
        <w:pStyle w:val="107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7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7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7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r>
      <w:r/>
    </w:p>
    <w:p>
      <w:pPr>
        <w:pStyle w:val="1078"/>
        <w:spacing w:line="360" w:lineRule="auto"/>
        <w:tabs>
          <w:tab w:val="left" w:pos="8280" w:leader="none"/>
        </w:tabs>
        <w:rPr>
          <w:rFonts w:ascii="宋体" w:hAnsi="宋体"/>
          <w:b/>
          <w:color w:val="000000"/>
          <w:sz w:val="24"/>
          <w:szCs w:val="20"/>
          <w:highlight w:val="none"/>
        </w:rPr>
      </w:pPr>
      <w:r>
        <w:rPr>
          <w:rFonts w:ascii="宋体" w:hAnsi="宋体"/>
          <w:color w:val="000000"/>
          <w:sz w:val="24"/>
          <w:szCs w:val="20"/>
          <w:highlight w:val="none"/>
        </w:rPr>
        <w:br w:type="page" w:clear="all"/>
      </w: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8"/>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8"/>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8"/>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8" w:name="_Toc150774761"/>
      <w:r/>
      <w:bookmarkStart w:id="819" w:name="_Toc226965746"/>
      <w:r/>
      <w:bookmarkStart w:id="820" w:name="_Toc226337252"/>
      <w:r/>
      <w:bookmarkStart w:id="821" w:name="_Toc226309800"/>
      <w:r/>
      <w:bookmarkStart w:id="822" w:name="_Toc195842921"/>
      <w:r/>
      <w:bookmarkStart w:id="823" w:name="_Toc480942349"/>
      <w:r/>
      <w:bookmarkStart w:id="824" w:name="_Ref467988698"/>
      <w:r/>
      <w:bookmarkStart w:id="825" w:name="_Toc226965829"/>
      <w:r/>
      <w:bookmarkStart w:id="826" w:name="_Toc142311058"/>
      <w:r/>
      <w:bookmarkStart w:id="827" w:name="_Toc520356217"/>
      <w:r/>
      <w:bookmarkStart w:id="828" w:name="_Toc150480794"/>
      <w:r/>
      <w:bookmarkStart w:id="829" w:name="_Toc127151556"/>
      <w:r>
        <w:rPr>
          <w:rFonts w:hint="eastAsia" w:ascii="宋体" w:hAnsi="宋体"/>
          <w:b/>
          <w:color w:val="000000"/>
          <w:sz w:val="32"/>
          <w:szCs w:val="32"/>
          <w:highlight w:val="none"/>
        </w:rPr>
      </w:r>
      <w:r/>
    </w:p>
    <w:p>
      <w:pPr>
        <w:pStyle w:val="107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8"/>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8"/>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8"/>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8"/>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8"/>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8"/>
        <w:jc w:val="left"/>
        <w:widowControl/>
        <w:rPr>
          <w:rFonts w:hint="eastAsia" w:ascii="宋体" w:hAnsi="宋体"/>
          <w:b/>
          <w:color w:val="000000"/>
          <w:sz w:val="24"/>
          <w:highlight w:val="none"/>
        </w:rPr>
      </w:pPr>
      <w:r/>
      <w:bookmarkStart w:id="830" w:name="_Hlt520356243"/>
      <w:r/>
      <w:bookmarkEnd w:id="830"/>
      <w:r/>
      <w:bookmarkStart w:id="831" w:name="_Hlt520355938"/>
      <w:r/>
      <w:bookmarkEnd w:id="831"/>
      <w:r>
        <w:rPr>
          <w:rFonts w:ascii="宋体" w:hAnsi="宋体"/>
          <w:color w:val="000000"/>
          <w:sz w:val="24"/>
          <w:highlight w:val="none"/>
        </w:rPr>
        <w:br w:type="page" w:clear="all"/>
      </w: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8"/>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8"/>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8"/>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8"/>
        <w:spacing w:line="560" w:lineRule="exact"/>
        <w:rPr>
          <w:rFonts w:ascii="宋体" w:hAnsi="宋体"/>
          <w:color w:val="000000"/>
          <w:sz w:val="24"/>
          <w:highlight w:val="none"/>
        </w:rPr>
      </w:pPr>
      <w:r>
        <w:rPr>
          <w:rFonts w:ascii="宋体" w:hAnsi="宋体"/>
          <w:color w:val="000000"/>
          <w:sz w:val="24"/>
          <w:highlight w:val="none"/>
        </w:rPr>
      </w:r>
      <w:r/>
    </w:p>
    <w:p>
      <w:pPr>
        <w:pStyle w:val="1109"/>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8"/>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8"/>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8"/>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30"/>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7"/>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8"/>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9"/>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9"/>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30"/>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8"/>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8"/>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8"/>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8"/>
        <w:ind w:firstLine="640"/>
        <w:rPr>
          <w:rFonts w:ascii="宋体" w:hAnsi="宋体"/>
          <w:color w:val="000000"/>
          <w:highlight w:val="none"/>
        </w:rPr>
      </w:pPr>
      <w:r>
        <w:rPr>
          <w:rFonts w:ascii="宋体" w:hAnsi="宋体"/>
          <w:color w:val="000000"/>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8"/>
        <w:spacing w:line="360" w:lineRule="auto"/>
        <w:rPr>
          <w:rFonts w:ascii="宋体" w:hAnsi="宋体"/>
          <w:b/>
          <w:color w:val="000000"/>
          <w:sz w:val="24"/>
          <w:szCs w:val="20"/>
          <w:highlight w:val="none"/>
        </w:rPr>
        <w:outlineLvl w:val="2"/>
      </w:pPr>
      <w:r/>
      <w:bookmarkStart w:id="832" w:name="_Hlt520274393"/>
      <w:r/>
      <w:bookmarkEnd w:id="832"/>
      <w:r/>
      <w:bookmarkStart w:id="833" w:name="_Hlt520343000"/>
      <w:r/>
      <w:bookmarkEnd w:id="833"/>
      <w:r/>
      <w:bookmarkStart w:id="834" w:name="_Hlt520343392"/>
      <w:r/>
      <w:bookmarkEnd w:id="834"/>
      <w:r/>
      <w:bookmarkStart w:id="835" w:name="_Hlt520274407"/>
      <w:r/>
      <w:bookmarkEnd w:id="835"/>
      <w:r/>
      <w:bookmarkStart w:id="836" w:name="_Hlt520271212"/>
      <w:r/>
      <w:bookmarkEnd w:id="836"/>
      <w:r/>
      <w:bookmarkStart w:id="837" w:name="_Hlt520350918"/>
      <w:r/>
      <w:bookmarkEnd w:id="837"/>
      <w:r/>
      <w:bookmarkStart w:id="838" w:name="_Hlt520273711"/>
      <w:r/>
      <w:bookmarkEnd w:id="838"/>
      <w:r/>
      <w:bookmarkStart w:id="839" w:name="_Hlt520355504"/>
      <w:r/>
      <w:bookmarkEnd w:id="839"/>
      <w:r/>
      <w:bookmarkStart w:id="840" w:name="_Hlt520274065"/>
      <w:r/>
      <w:bookmarkEnd w:id="840"/>
      <w:r/>
      <w:bookmarkStart w:id="841" w:name="_Hlt520274121"/>
      <w:r/>
      <w:bookmarkEnd w:id="841"/>
      <w:r/>
      <w:bookmarkStart w:id="842" w:name="_Toc264969247"/>
      <w:r/>
      <w:bookmarkStart w:id="843" w:name="_Toc520356218"/>
      <w:r/>
      <w:bookmarkStart w:id="844" w:name="_Toc480942350"/>
      <w:r/>
      <w:bookmarkStart w:id="845" w:name="_Toc305158825"/>
      <w:r/>
      <w:bookmarkStart w:id="846" w:name="_Ref467988705"/>
      <w:r/>
      <w:bookmarkStart w:id="847" w:name="_Toc265228395"/>
      <w:r/>
      <w:bookmarkStart w:id="848" w:name="_Toc226337253"/>
      <w:r/>
      <w:bookmarkStart w:id="849" w:name="_Toc127151557"/>
      <w:r/>
      <w:bookmarkStart w:id="850" w:name="_Toc195842922"/>
      <w:r/>
      <w:bookmarkStart w:id="851" w:name="_Toc305158899"/>
      <w:r/>
      <w:bookmarkStart w:id="852" w:name="_Toc142311059"/>
      <w:r/>
      <w:bookmarkStart w:id="853" w:name="_Toc150774762"/>
      <w:r/>
      <w:bookmarkStart w:id="854" w:name="_Toc226965747"/>
      <w:r/>
      <w:bookmarkStart w:id="855" w:name="_Toc226309801"/>
      <w:r/>
      <w:bookmarkStart w:id="856" w:name="_Toc150480795"/>
      <w:r/>
      <w:bookmarkStart w:id="857" w:name="_Toc22696583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8"/>
        <w:jc w:val="center"/>
        <w:spacing w:line="360" w:lineRule="exact"/>
        <w:rPr>
          <w:rFonts w:hint="eastAsia" w:ascii="宋体" w:hAnsi="宋体"/>
          <w:b/>
          <w:color w:val="000000"/>
          <w:sz w:val="36"/>
          <w:szCs w:val="36"/>
          <w:highlight w:val="none"/>
        </w:rPr>
      </w:pPr>
      <w:r/>
      <w:bookmarkStart w:id="858" w:name="_Toc305158900"/>
      <w:r/>
      <w:bookmarkStart w:id="859" w:name="_Toc305158826"/>
      <w:r/>
      <w:bookmarkStart w:id="860" w:name="_Toc264969248"/>
      <w:r/>
      <w:bookmarkStart w:id="861" w:name="_Toc226965831"/>
      <w:r/>
      <w:bookmarkStart w:id="862" w:name="_Toc195842923"/>
      <w:r/>
      <w:bookmarkStart w:id="863" w:name="_Toc164608672"/>
      <w:r/>
      <w:bookmarkStart w:id="864" w:name="_Toc226965748"/>
      <w:r/>
      <w:bookmarkStart w:id="865" w:name="_Toc226337254"/>
      <w:r/>
      <w:bookmarkStart w:id="866" w:name="_Toc226309802"/>
      <w:r/>
      <w:bookmarkStart w:id="867" w:name="_Toc265228396"/>
      <w:r/>
      <w:bookmarkStart w:id="868" w:name="_Toc164608827"/>
      <w:r>
        <w:rPr>
          <w:rFonts w:hint="eastAsia" w:ascii="宋体" w:hAnsi="宋体"/>
          <w:b/>
          <w:color w:val="000000"/>
          <w:sz w:val="36"/>
          <w:szCs w:val="36"/>
          <w:highlight w:val="none"/>
        </w:rPr>
      </w:r>
      <w:r/>
    </w:p>
    <w:p>
      <w:pPr>
        <w:pStyle w:val="1078"/>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hint="eastAsia" w:ascii="宋体" w:hAnsi="宋体"/>
          <w:b/>
          <w:color w:val="000000"/>
          <w:sz w:val="36"/>
          <w:szCs w:val="36"/>
          <w:highlight w:val="none"/>
        </w:rPr>
      </w:r>
      <w:r/>
    </w:p>
    <w:p>
      <w:pPr>
        <w:pStyle w:val="1078"/>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8"/>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8"/>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8"/>
        <w:jc w:val="left"/>
        <w:rPr>
          <w:rFonts w:ascii="宋体" w:hAnsi="宋体"/>
          <w:color w:val="000000"/>
          <w:sz w:val="24"/>
          <w:highlight w:val="none"/>
        </w:rPr>
      </w:pPr>
      <w:r>
        <w:rPr>
          <w:rFonts w:ascii="宋体" w:hAnsi="宋体"/>
          <w:color w:val="000000"/>
          <w:sz w:val="24"/>
          <w:highlight w:val="none"/>
        </w:rPr>
      </w:r>
      <w:r/>
    </w:p>
    <w:p>
      <w:pPr>
        <w:pStyle w:val="1078"/>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8"/>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8"/>
        <w:spacing w:line="360" w:lineRule="auto"/>
        <w:rPr>
          <w:rFonts w:ascii="宋体" w:hAnsi="宋体"/>
          <w:b/>
          <w:color w:val="000000"/>
          <w:sz w:val="24"/>
          <w:szCs w:val="20"/>
          <w:highlight w:val="none"/>
        </w:rPr>
        <w:outlineLvl w:val="2"/>
      </w:pPr>
      <w:r/>
      <w:bookmarkStart w:id="869" w:name="_Toc305158827"/>
      <w:r/>
      <w:bookmarkStart w:id="870" w:name="_Toc142311060"/>
      <w:r/>
      <w:bookmarkStart w:id="871" w:name="_Toc265228397"/>
      <w:r/>
      <w:bookmarkStart w:id="872" w:name="_Toc127151558"/>
      <w:r/>
      <w:bookmarkStart w:id="873" w:name="_Toc305158901"/>
      <w:r/>
      <w:bookmarkStart w:id="874" w:name="_Toc226965749"/>
      <w:r/>
      <w:bookmarkStart w:id="875" w:name="_Toc226309803"/>
      <w:r/>
      <w:bookmarkStart w:id="876" w:name="_Toc150480796"/>
      <w:r/>
      <w:bookmarkStart w:id="877" w:name="_Toc150774763"/>
      <w:r/>
      <w:bookmarkStart w:id="878" w:name="_Toc264969249"/>
      <w:r/>
      <w:bookmarkStart w:id="879" w:name="_Toc195842924"/>
      <w:r/>
      <w:bookmarkStart w:id="880" w:name="_Toc226337255"/>
      <w:r/>
      <w:bookmarkStart w:id="881" w:name="_Toc226965832"/>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8"/>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8"/>
        <w:jc w:val="center"/>
        <w:spacing w:line="360" w:lineRule="auto"/>
        <w:rPr>
          <w:rFonts w:ascii="宋体" w:hAnsi="宋体"/>
          <w:color w:val="000000"/>
          <w:sz w:val="24"/>
          <w:highlight w:val="none"/>
        </w:rPr>
      </w:pPr>
      <w:r>
        <w:rPr>
          <w:rFonts w:hint="eastAsia" w:ascii="宋体" w:hAnsi="宋体"/>
          <w:b/>
          <w:color w:val="000000"/>
          <w:sz w:val="36"/>
          <w:szCs w:val="36"/>
          <w:highlight w:val="none"/>
        </w:rPr>
        <w:t xml:space="preserve">投标分项报价表</w:t>
      </w:r>
      <w:r>
        <w:rPr>
          <w:rFonts w:ascii="宋体" w:hAnsi="宋体"/>
          <w:color w:val="000000"/>
          <w:sz w:val="24"/>
          <w:highlight w:val="none"/>
        </w:rPr>
      </w:r>
      <w:r/>
    </w:p>
    <w:p>
      <w:pPr>
        <w:pStyle w:val="1078"/>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8"/>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26"/>
        <w:gridCol w:w="2720"/>
        <w:gridCol w:w="1118"/>
        <w:gridCol w:w="1064"/>
        <w:gridCol w:w="986"/>
        <w:gridCol w:w="1151"/>
      </w:tblGrid>
      <w:tr>
        <w:trPr>
          <w:cantSplit/>
          <w:trHeight w:val="285"/>
        </w:trPr>
        <w:tc>
          <w:tcPr>
            <w:tcW w:w="386" w:type="dxa"/>
            <w:vAlign w:val="center"/>
            <w:vMerge w:val="restart"/>
            <w:textDirection w:val="lrTb"/>
            <w:noWrap w:val="false"/>
          </w:tcPr>
          <w:p>
            <w:pPr>
              <w:pStyle w:val="1078"/>
              <w:jc w:val="center"/>
              <w:spacing w:line="360" w:lineRule="auto"/>
              <w:widowControl/>
              <w:rPr>
                <w:rFonts w:ascii="宋体" w:hAnsi="宋体" w:cs="Arial"/>
                <w:color w:val="000000"/>
                <w:sz w:val="24"/>
                <w:highlight w:val="none"/>
              </w:rPr>
            </w:pPr>
            <w:r/>
            <w:bookmarkStart w:id="882" w:name="_Toc226965752"/>
            <w:r/>
            <w:bookmarkStart w:id="883" w:name="_Toc226965835"/>
            <w:r/>
            <w:bookmarkStart w:id="884" w:name="_Toc305158830"/>
            <w:r/>
            <w:bookmarkStart w:id="885" w:name="_Toc150774765"/>
            <w:r/>
            <w:bookmarkStart w:id="886" w:name="_Toc226337258"/>
            <w:r/>
            <w:bookmarkStart w:id="887" w:name="_Toc142311062"/>
            <w:r/>
            <w:bookmarkStart w:id="888" w:name="_Toc265228400"/>
            <w:r/>
            <w:bookmarkStart w:id="889" w:name="_Toc305158904"/>
            <w:r/>
            <w:bookmarkStart w:id="890" w:name="_Toc150480798"/>
            <w:r/>
            <w:bookmarkStart w:id="891" w:name="_Toc127151562"/>
            <w:r/>
            <w:bookmarkStart w:id="892" w:name="_Toc195842927"/>
            <w:r/>
            <w:bookmarkStart w:id="893" w:name="_Toc226309806"/>
            <w:r/>
            <w:bookmarkStart w:id="894" w:name="_Toc264969252"/>
            <w:r/>
            <w:bookmarkStart w:id="895" w:name="_Toc265228399"/>
            <w:r/>
            <w:bookmarkStart w:id="896" w:name="_Toc195842926"/>
            <w:r/>
            <w:bookmarkStart w:id="897" w:name="_Toc226965834"/>
            <w:r/>
            <w:bookmarkStart w:id="898" w:name="_Toc226337257"/>
            <w:r/>
            <w:bookmarkStart w:id="899" w:name="_Toc150774764"/>
            <w:r/>
            <w:bookmarkStart w:id="900" w:name="_Toc264969251"/>
            <w:r/>
            <w:bookmarkStart w:id="901" w:name="_Toc226309805"/>
            <w:r/>
            <w:bookmarkStart w:id="902" w:name="_Toc127151561"/>
            <w:r/>
            <w:bookmarkStart w:id="903" w:name="_Toc305158903"/>
            <w:r/>
            <w:bookmarkStart w:id="904" w:name="_Toc305158829"/>
            <w:r/>
            <w:bookmarkStart w:id="905" w:name="_Toc150480797"/>
            <w:r/>
            <w:bookmarkStart w:id="906" w:name="_Toc142311061"/>
            <w:r/>
            <w:bookmarkStart w:id="907" w:name="_Toc226965751"/>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22" w:type="dxa"/>
            <w:vAlign w:val="center"/>
            <w:vMerge w:val="restart"/>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1464" w:type="dxa"/>
            <w:vAlign w:val="center"/>
            <w:vMerge w:val="restart"/>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602" w:type="dxa"/>
            <w:vAlign w:val="center"/>
            <w:vMerge w:val="restart"/>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573" w:type="dxa"/>
            <w:vAlign w:val="center"/>
            <w:vMerge w:val="restart"/>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2137"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386" w:type="dxa"/>
            <w:vAlign w:val="center"/>
            <w:vMerge w:val="continue"/>
            <w:textDirection w:val="lrTb"/>
            <w:noWrap w:val="false"/>
          </w:tcPr>
          <w:p>
            <w:pPr>
              <w:pStyle w:val="1078"/>
              <w:jc w:val="left"/>
              <w:widowControl/>
              <w:rPr>
                <w:rFonts w:ascii="宋体" w:hAnsi="宋体" w:cs="Arial"/>
                <w:color w:val="000000"/>
                <w:sz w:val="24"/>
                <w:highlight w:val="none"/>
              </w:rPr>
            </w:pPr>
            <w:r>
              <w:rPr>
                <w:rFonts w:ascii="宋体" w:hAnsi="宋体" w:cs="Arial"/>
                <w:color w:val="000000"/>
                <w:sz w:val="24"/>
                <w:highlight w:val="none"/>
              </w:rPr>
            </w:r>
            <w:r/>
          </w:p>
        </w:tc>
        <w:tc>
          <w:tcPr>
            <w:tcW w:w="822" w:type="dxa"/>
            <w:vAlign w:val="center"/>
            <w:vMerge w:val="continue"/>
            <w:textDirection w:val="lrTb"/>
            <w:noWrap w:val="false"/>
          </w:tcPr>
          <w:p>
            <w:pPr>
              <w:pStyle w:val="1078"/>
              <w:jc w:val="left"/>
              <w:widowControl/>
              <w:rPr>
                <w:rFonts w:ascii="宋体" w:hAnsi="宋体" w:cs="Arial"/>
                <w:color w:val="000000"/>
                <w:sz w:val="24"/>
                <w:highlight w:val="none"/>
              </w:rPr>
            </w:pPr>
            <w:r>
              <w:rPr>
                <w:rFonts w:ascii="宋体" w:hAnsi="宋体" w:cs="Arial"/>
                <w:color w:val="000000"/>
                <w:sz w:val="24"/>
                <w:highlight w:val="none"/>
              </w:rPr>
            </w:r>
            <w:r/>
          </w:p>
        </w:tc>
        <w:tc>
          <w:tcPr>
            <w:tcW w:w="1464" w:type="dxa"/>
            <w:vAlign w:val="center"/>
            <w:vMerge w:val="continue"/>
            <w:textDirection w:val="lrTb"/>
            <w:noWrap w:val="false"/>
          </w:tcPr>
          <w:p>
            <w:pPr>
              <w:pStyle w:val="1078"/>
              <w:jc w:val="left"/>
              <w:widowControl/>
              <w:rPr>
                <w:rFonts w:ascii="宋体" w:hAnsi="宋体" w:cs="Arial"/>
                <w:color w:val="000000"/>
                <w:sz w:val="24"/>
                <w:highlight w:val="none"/>
              </w:rPr>
            </w:pPr>
            <w:r>
              <w:rPr>
                <w:rFonts w:ascii="宋体" w:hAnsi="宋体" w:cs="Arial"/>
                <w:color w:val="000000"/>
                <w:sz w:val="24"/>
                <w:highlight w:val="none"/>
              </w:rPr>
            </w:r>
            <w:r/>
          </w:p>
        </w:tc>
        <w:tc>
          <w:tcPr>
            <w:tcW w:w="602" w:type="dxa"/>
            <w:vAlign w:val="center"/>
            <w:vMerge w:val="continue"/>
            <w:textDirection w:val="lrTb"/>
            <w:noWrap w:val="false"/>
          </w:tcPr>
          <w:p>
            <w:pPr>
              <w:pStyle w:val="1078"/>
              <w:jc w:val="left"/>
              <w:widowControl/>
              <w:rPr>
                <w:rFonts w:ascii="宋体" w:hAnsi="宋体" w:cs="Arial"/>
                <w:color w:val="000000"/>
                <w:sz w:val="24"/>
                <w:highlight w:val="none"/>
              </w:rPr>
            </w:pPr>
            <w:r>
              <w:rPr>
                <w:rFonts w:ascii="宋体" w:hAnsi="宋体" w:cs="Arial"/>
                <w:color w:val="000000"/>
                <w:sz w:val="24"/>
                <w:highlight w:val="none"/>
              </w:rPr>
            </w:r>
            <w:r/>
          </w:p>
        </w:tc>
        <w:tc>
          <w:tcPr>
            <w:tcW w:w="573" w:type="dxa"/>
            <w:vAlign w:val="center"/>
            <w:vMerge w:val="continue"/>
            <w:textDirection w:val="lrTb"/>
            <w:noWrap w:val="false"/>
          </w:tcPr>
          <w:p>
            <w:pPr>
              <w:pStyle w:val="1078"/>
              <w:jc w:val="left"/>
              <w:widowControl/>
              <w:rPr>
                <w:rFonts w:ascii="宋体" w:hAnsi="宋体" w:cs="Arial"/>
                <w:color w:val="000000"/>
                <w:sz w:val="24"/>
                <w:highlight w:val="none"/>
              </w:rPr>
            </w:pPr>
            <w:r>
              <w:rPr>
                <w:rFonts w:ascii="宋体" w:hAnsi="宋体" w:cs="Arial"/>
                <w:color w:val="000000"/>
                <w:sz w:val="24"/>
                <w:highlight w:val="none"/>
              </w:rPr>
            </w:r>
            <w:r/>
          </w:p>
        </w:tc>
        <w:tc>
          <w:tcPr>
            <w:tcW w:w="531"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619"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386"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22"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运营</w:t>
            </w:r>
            <w:r>
              <w:rPr>
                <w:rFonts w:hint="eastAsia" w:ascii="宋体" w:hAnsi="宋体" w:eastAsia="宋体" w:cs="宋体"/>
                <w:color w:val="000000"/>
                <w:sz w:val="24"/>
                <w:szCs w:val="24"/>
                <w:highlight w:val="none"/>
                <w:lang w:val="en-US" w:eastAsia="zh-CN" w:bidi="ar"/>
              </w:rPr>
              <w:t xml:space="preserve">服务</w:t>
            </w:r>
            <w:r>
              <w:rPr>
                <w:rFonts w:hint="eastAsia" w:ascii="宋体" w:hAnsi="宋体" w:eastAsia="宋体" w:cs="宋体"/>
                <w:color w:val="000000"/>
                <w:sz w:val="24"/>
                <w:szCs w:val="24"/>
                <w:highlight w:val="none"/>
                <w:lang w:bidi="ar"/>
              </w:rPr>
              <w:t xml:space="preserve">费</w:t>
            </w:r>
            <w:r>
              <w:rPr>
                <w:rFonts w:hint="eastAsia" w:ascii="宋体" w:hAnsi="宋体" w:eastAsia="宋体" w:cs="宋体"/>
                <w:color w:val="000000"/>
                <w:sz w:val="24"/>
                <w:szCs w:val="24"/>
                <w:highlight w:val="none"/>
                <w:lang w:val="en-US" w:eastAsia="zh-CN" w:bidi="ar-SA"/>
              </w:rPr>
            </w:r>
            <w:r/>
          </w:p>
        </w:tc>
        <w:tc>
          <w:tcPr>
            <w:tcW w:w="1464"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根据</w:t>
            </w:r>
            <w:r>
              <w:rPr>
                <w:rFonts w:hint="eastAsia" w:ascii="宋体" w:hAnsi="宋体" w:cs="宋体"/>
                <w:color w:val="000000"/>
                <w:sz w:val="24"/>
                <w:szCs w:val="24"/>
                <w:highlight w:val="none"/>
                <w:lang w:val="en-US" w:eastAsia="zh-CN" w:bidi="ar"/>
              </w:rPr>
              <w:t xml:space="preserve">常州经开区</w:t>
            </w:r>
            <w:r>
              <w:rPr>
                <w:rFonts w:hint="eastAsia" w:ascii="宋体" w:hAnsi="宋体" w:eastAsia="宋体" w:cs="宋体"/>
                <w:color w:val="000000"/>
                <w:sz w:val="24"/>
                <w:szCs w:val="24"/>
                <w:highlight w:val="none"/>
                <w:lang w:bidi="ar"/>
              </w:rPr>
              <w:t xml:space="preserve">图书馆的功能、馆藏规模、服务范围及服务人口因素，按照图书馆一级馆评估标准配备与提升</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SA"/>
              </w:rPr>
            </w:r>
            <w:r/>
          </w:p>
        </w:tc>
        <w:tc>
          <w:tcPr>
            <w:tcW w:w="602"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73"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31"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9"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386"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22"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读者活动</w:t>
            </w:r>
            <w:r>
              <w:rPr>
                <w:rFonts w:ascii="宋体" w:hAnsi="宋体" w:eastAsia="宋体" w:cs="宋体"/>
                <w:color w:val="000000"/>
                <w:sz w:val="24"/>
                <w:szCs w:val="24"/>
                <w:highlight w:val="none"/>
                <w:lang w:val="en-US" w:eastAsia="zh-CN" w:bidi="ar-SA"/>
              </w:rPr>
            </w:r>
            <w:r/>
          </w:p>
        </w:tc>
        <w:tc>
          <w:tcPr>
            <w:tcW w:w="1464"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按照</w:t>
            </w:r>
            <w:r>
              <w:rPr>
                <w:rFonts w:hint="eastAsia" w:ascii="宋体" w:hAnsi="宋体" w:cs="宋体"/>
                <w:color w:val="000000"/>
                <w:sz w:val="24"/>
                <w:szCs w:val="24"/>
                <w:highlight w:val="none"/>
                <w:lang w:val="en-US" w:eastAsia="zh-CN" w:bidi="ar"/>
              </w:rPr>
              <w:t xml:space="preserve">国家</w:t>
            </w:r>
            <w:r>
              <w:rPr>
                <w:rFonts w:hint="eastAsia" w:ascii="宋体" w:hAnsi="宋体" w:eastAsia="宋体" w:cs="宋体"/>
                <w:color w:val="000000"/>
                <w:sz w:val="24"/>
                <w:szCs w:val="24"/>
                <w:highlight w:val="none"/>
                <w:lang w:bidi="ar"/>
              </w:rPr>
              <w:t xml:space="preserve">一级馆要求和</w:t>
            </w:r>
            <w:r>
              <w:rPr>
                <w:rFonts w:hint="eastAsia" w:ascii="宋体" w:hAnsi="宋体" w:cs="宋体"/>
                <w:color w:val="000000"/>
                <w:sz w:val="24"/>
                <w:szCs w:val="24"/>
                <w:highlight w:val="none"/>
                <w:lang w:val="en-US" w:eastAsia="zh-CN" w:bidi="ar"/>
              </w:rPr>
              <w:t xml:space="preserve">文化</w:t>
            </w:r>
            <w:r>
              <w:rPr>
                <w:rFonts w:hint="eastAsia" w:ascii="宋体" w:hAnsi="宋体" w:eastAsia="宋体" w:cs="宋体"/>
                <w:color w:val="000000"/>
                <w:sz w:val="24"/>
                <w:szCs w:val="24"/>
                <w:highlight w:val="none"/>
                <w:lang w:bidi="ar"/>
              </w:rPr>
              <w:t xml:space="preserve">高质量</w:t>
            </w:r>
            <w:r>
              <w:rPr>
                <w:rFonts w:hint="eastAsia" w:ascii="宋体" w:hAnsi="宋体" w:eastAsia="宋体" w:cs="宋体"/>
                <w:color w:val="000000"/>
                <w:sz w:val="24"/>
                <w:szCs w:val="24"/>
                <w:highlight w:val="none"/>
                <w:lang w:val="en-US" w:eastAsia="zh-CN" w:bidi="ar"/>
              </w:rPr>
              <w:t xml:space="preserve">监测</w:t>
            </w:r>
            <w:r>
              <w:rPr>
                <w:rFonts w:hint="eastAsia" w:ascii="宋体" w:hAnsi="宋体" w:eastAsia="宋体" w:cs="宋体"/>
                <w:color w:val="000000"/>
                <w:sz w:val="24"/>
                <w:szCs w:val="24"/>
                <w:highlight w:val="none"/>
                <w:lang w:bidi="ar"/>
              </w:rPr>
              <w:t xml:space="preserve">要求，举办讲座、展览、培训</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各类</w:t>
            </w:r>
            <w:r>
              <w:rPr>
                <w:rFonts w:hint="eastAsia" w:ascii="宋体" w:hAnsi="宋体" w:eastAsia="宋体" w:cs="宋体"/>
                <w:color w:val="000000"/>
                <w:sz w:val="24"/>
                <w:szCs w:val="24"/>
                <w:highlight w:val="none"/>
                <w:lang w:bidi="ar"/>
              </w:rPr>
              <w:t xml:space="preserve">阅读推广</w:t>
            </w:r>
            <w:r>
              <w:rPr>
                <w:rFonts w:hint="eastAsia" w:ascii="宋体" w:hAnsi="宋体" w:cs="宋体"/>
                <w:color w:val="000000"/>
                <w:sz w:val="24"/>
                <w:szCs w:val="24"/>
                <w:highlight w:val="none"/>
                <w:lang w:val="en-US" w:eastAsia="zh-CN" w:bidi="ar"/>
              </w:rPr>
              <w:t xml:space="preserve">活动</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SA"/>
              </w:rPr>
            </w:r>
            <w:r/>
          </w:p>
        </w:tc>
        <w:tc>
          <w:tcPr>
            <w:tcW w:w="602"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73"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31"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9"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386"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22"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文化推广活动</w:t>
            </w:r>
            <w:r>
              <w:rPr>
                <w:rFonts w:ascii="宋体" w:hAnsi="宋体" w:eastAsia="宋体" w:cs="宋体"/>
                <w:color w:val="000000"/>
                <w:sz w:val="24"/>
                <w:szCs w:val="24"/>
                <w:highlight w:val="none"/>
                <w:lang w:val="en-US" w:eastAsia="zh-CN" w:bidi="ar"/>
              </w:rPr>
            </w:r>
            <w:r/>
          </w:p>
        </w:tc>
        <w:tc>
          <w:tcPr>
            <w:tcW w:w="1464"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根据全民阅读</w:t>
            </w:r>
            <w:r>
              <w:rPr>
                <w:rFonts w:hint="eastAsia" w:ascii="宋体" w:hAnsi="宋体" w:eastAsia="宋体" w:cs="宋体"/>
                <w:color w:val="000000"/>
                <w:sz w:val="24"/>
                <w:szCs w:val="24"/>
                <w:highlight w:val="none"/>
                <w:lang w:val="en-US" w:eastAsia="zh-CN" w:bidi="ar"/>
              </w:rPr>
              <w:t xml:space="preserve">活动周</w:t>
            </w:r>
            <w:r>
              <w:rPr>
                <w:rFonts w:hint="eastAsia" w:ascii="宋体" w:hAnsi="宋体" w:eastAsia="宋体" w:cs="宋体"/>
                <w:color w:val="000000"/>
                <w:sz w:val="24"/>
                <w:szCs w:val="24"/>
                <w:highlight w:val="none"/>
                <w:lang w:bidi="ar"/>
              </w:rPr>
              <w:t xml:space="preserve">和图书馆服务周的相关要求，开展以宣传图书馆服务为主大型活动,提高图书馆的影响力和社会关注度。</w:t>
            </w:r>
            <w:r>
              <w:rPr>
                <w:rFonts w:ascii="宋体" w:hAnsi="宋体" w:eastAsia="宋体" w:cs="宋体"/>
                <w:color w:val="000000"/>
                <w:sz w:val="24"/>
                <w:szCs w:val="24"/>
                <w:highlight w:val="none"/>
                <w:lang w:val="en-US" w:eastAsia="zh-CN" w:bidi="ar"/>
              </w:rPr>
            </w:r>
            <w:r/>
          </w:p>
        </w:tc>
        <w:tc>
          <w:tcPr>
            <w:tcW w:w="602"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73"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31"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9"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386"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22" w:type="dxa"/>
            <w:vAlign w:val="center"/>
            <w:textDirection w:val="lrTb"/>
            <w:noWrap w:val="false"/>
          </w:tcPr>
          <w:p>
            <w:pPr>
              <w:pStyle w:val="1078"/>
              <w:ind w:left="0" w:right="0" w:firstLine="0"/>
              <w:jc w:val="center"/>
              <w:keepLines w:val="0"/>
              <w:keepNext w:val="0"/>
              <w:pageBreakBefore w:val="0"/>
              <w:spacing w:line="500" w:lineRule="exact"/>
              <w:widowControl/>
              <w:tabs>
                <w:tab w:val="left" w:pos="63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行政办公费</w:t>
            </w:r>
            <w:r>
              <w:rPr>
                <w:rFonts w:ascii="宋体" w:hAnsi="宋体" w:eastAsia="宋体" w:cs="宋体"/>
                <w:color w:val="000000"/>
                <w:sz w:val="24"/>
                <w:szCs w:val="24"/>
                <w:highlight w:val="none"/>
                <w:lang w:val="en-US" w:eastAsia="zh-CN" w:bidi="ar-SA"/>
              </w:rPr>
            </w:r>
            <w:r/>
          </w:p>
        </w:tc>
        <w:tc>
          <w:tcPr>
            <w:tcW w:w="1464" w:type="dxa"/>
            <w:vAlign w:val="center"/>
            <w:textDirection w:val="lrTb"/>
            <w:noWrap w:val="false"/>
          </w:tcPr>
          <w:p>
            <w:pPr>
              <w:pStyle w:val="1078"/>
              <w:ind w:left="0" w:right="0" w:firstLine="0"/>
              <w:jc w:val="left"/>
              <w:keepLines w:val="0"/>
              <w:keepNext w:val="0"/>
              <w:pageBreakBefore w:val="0"/>
              <w:spacing w:line="500" w:lineRule="exact"/>
              <w:widowControl/>
              <w:tabs>
                <w:tab w:val="left" w:pos="63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馆际图书流通运费、读者证实体卡制作、办公耗材、宣传物料制作费、劳保用品、工装等费用。</w:t>
            </w:r>
            <w:r>
              <w:rPr>
                <w:rFonts w:ascii="宋体" w:hAnsi="宋体" w:eastAsia="宋体" w:cs="宋体"/>
                <w:color w:val="000000"/>
                <w:sz w:val="24"/>
                <w:szCs w:val="24"/>
                <w:highlight w:val="none"/>
                <w:lang w:val="en-US" w:eastAsia="zh-CN" w:bidi="ar-SA"/>
              </w:rPr>
            </w:r>
            <w:r/>
          </w:p>
        </w:tc>
        <w:tc>
          <w:tcPr>
            <w:tcW w:w="602"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73"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31"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9"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386"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22" w:type="dxa"/>
            <w:vAlign w:val="center"/>
            <w:textDirection w:val="lrTb"/>
            <w:noWrap w:val="false"/>
          </w:tcPr>
          <w:p>
            <w:pPr>
              <w:pStyle w:val="107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1464"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02"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73"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31"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9"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386"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22" w:type="dxa"/>
            <w:vAlign w:val="center"/>
            <w:textDirection w:val="lrTb"/>
            <w:noWrap w:val="false"/>
          </w:tcPr>
          <w:p>
            <w:pPr>
              <w:pStyle w:val="107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1464"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02"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73"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531"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9"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963"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4319" w:type="dxa"/>
            <w:vAlign w:val="center"/>
            <w:textDirection w:val="lrTb"/>
            <w:noWrap w:val="false"/>
          </w:tcPr>
          <w:p>
            <w:pPr>
              <w:pStyle w:val="107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8"/>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8"/>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8"/>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8"/>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8"/>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8"/>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8"/>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8"/>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r>
    </w:tbl>
    <w:p>
      <w:pPr>
        <w:pStyle w:val="107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8"/>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8"/>
              <w:jc w:val="center"/>
              <w:rPr>
                <w:rFonts w:ascii="宋体" w:hAnsi="宋体"/>
                <w:color w:val="000000"/>
                <w:sz w:val="24"/>
                <w:highlight w:val="none"/>
              </w:rPr>
            </w:pPr>
            <w:r>
              <w:rPr>
                <w:rFonts w:ascii="宋体" w:hAnsi="宋体"/>
                <w:color w:val="000000"/>
                <w:sz w:val="24"/>
                <w:highlight w:val="none"/>
              </w:rPr>
            </w:r>
            <w:r/>
          </w:p>
        </w:tc>
      </w:tr>
    </w:tbl>
    <w:p>
      <w:pPr>
        <w:pStyle w:val="107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8"/>
        <w:rPr>
          <w:rFonts w:ascii="宋体" w:hAnsi="宋体"/>
          <w:color w:val="000000"/>
          <w:sz w:val="24"/>
          <w:szCs w:val="20"/>
          <w:highlight w:val="none"/>
        </w:rPr>
      </w:pPr>
      <w:r>
        <w:rPr>
          <w:rFonts w:ascii="宋体" w:hAnsi="宋体"/>
          <w:color w:val="000000"/>
          <w:sz w:val="24"/>
          <w:szCs w:val="20"/>
          <w:highlight w:val="none"/>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8"/>
        <w:rPr>
          <w:rFonts w:ascii="宋体" w:hAnsi="宋体"/>
          <w:b/>
          <w:color w:val="000000"/>
          <w:sz w:val="24"/>
          <w:szCs w:val="20"/>
          <w:highlight w:val="none"/>
        </w:rPr>
      </w:pPr>
      <w:r>
        <w:rPr>
          <w:rFonts w:ascii="宋体" w:hAnsi="宋体"/>
          <w:color w:val="000000"/>
          <w:sz w:val="24"/>
          <w:szCs w:val="20"/>
          <w:highlight w:val="none"/>
        </w:rPr>
        <w:br w:type="page" w:clear="all"/>
      </w:r>
      <w:r>
        <w:rPr>
          <w:rFonts w:hint="eastAsia" w:ascii="宋体" w:hAnsi="宋体"/>
          <w:b/>
          <w:color w:val="000000"/>
          <w:sz w:val="24"/>
          <w:highlight w:val="none"/>
          <w:lang w:val="en-US" w:eastAsia="zh-CN"/>
        </w:rPr>
        <w:t xml:space="preserve">9</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8"/>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8"/>
        <w:spacing w:line="360" w:lineRule="auto"/>
        <w:rPr>
          <w:rFonts w:ascii="宋体" w:hAnsi="宋体"/>
          <w:b/>
          <w:color w:val="000000"/>
          <w:sz w:val="24"/>
          <w:highlight w:val="none"/>
        </w:rPr>
        <w:outlineLvl w:val="2"/>
      </w:pPr>
      <w:r>
        <w:rPr>
          <w:rFonts w:hint="eastAsia" w:ascii="宋体" w:hAnsi="宋体"/>
          <w:b/>
          <w:color w:val="000000"/>
          <w:sz w:val="24"/>
          <w:highlight w:val="none"/>
          <w:lang w:val="en-US" w:eastAsia="zh-CN"/>
        </w:rPr>
        <w:br w:type="page" w:clear="all"/>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0</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8"/>
        <w:spacing w:line="360" w:lineRule="auto"/>
        <w:rPr>
          <w:rFonts w:ascii="宋体" w:hAnsi="宋体"/>
          <w:color w:val="000000"/>
          <w:sz w:val="22"/>
          <w:highlight w:val="none"/>
        </w:rPr>
      </w:pPr>
      <w:r>
        <w:rPr>
          <w:rFonts w:ascii="宋体" w:hAnsi="宋体"/>
          <w:color w:val="000000"/>
          <w:sz w:val="22"/>
          <w:highlight w:val="none"/>
        </w:rPr>
      </w:r>
      <w:r/>
    </w:p>
    <w:p>
      <w:pPr>
        <w:pStyle w:val="107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8"/>
        <w:spacing w:line="360" w:lineRule="auto"/>
        <w:rPr>
          <w:rFonts w:ascii="宋体" w:hAnsi="宋体"/>
          <w:color w:val="000000"/>
          <w:sz w:val="24"/>
          <w:highlight w:val="none"/>
        </w:rPr>
      </w:pPr>
      <w:r>
        <w:rPr>
          <w:rFonts w:ascii="宋体" w:hAnsi="宋体"/>
          <w:color w:val="000000"/>
          <w:sz w:val="24"/>
          <w:highlight w:val="none"/>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8"/>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8" w:name="_Toc288738397"/>
      <w:r/>
      <w:bookmarkStart w:id="909" w:name="_Toc288738839"/>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8"/>
        <w:rPr>
          <w:rFonts w:ascii="宋体" w:hAnsi="宋体"/>
          <w:color w:val="000000"/>
          <w:sz w:val="24"/>
          <w:szCs w:val="20"/>
          <w:highlight w:val="none"/>
        </w:rPr>
      </w:pPr>
      <w:r>
        <w:rPr>
          <w:rFonts w:ascii="宋体" w:hAnsi="宋体"/>
          <w:color w:val="000000"/>
          <w:sz w:val="24"/>
          <w:szCs w:val="20"/>
          <w:highlight w:val="none"/>
        </w:rPr>
      </w:r>
      <w:r/>
    </w:p>
    <w:p>
      <w:pPr>
        <w:pStyle w:val="107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8"/>
      <w:r/>
      <w:bookmarkEnd w:id="909"/>
      <w:r>
        <w:rPr>
          <w:rFonts w:ascii="宋体" w:hAnsi="宋体"/>
          <w:b/>
          <w:color w:val="000000"/>
          <w:sz w:val="32"/>
          <w:szCs w:val="32"/>
          <w:highlight w:val="none"/>
        </w:rPr>
      </w:r>
      <w:r/>
    </w:p>
    <w:p>
      <w:pPr>
        <w:pStyle w:val="107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8"/>
        <w:spacing w:line="360" w:lineRule="auto"/>
        <w:rPr>
          <w:rFonts w:ascii="宋体" w:hAnsi="宋体" w:cs="宋体"/>
          <w:color w:val="000000"/>
          <w:sz w:val="24"/>
          <w:highlight w:val="none"/>
        </w:rPr>
      </w:pPr>
      <w:r>
        <w:rPr>
          <w:rFonts w:ascii="宋体" w:hAnsi="宋体" w:cs="宋体"/>
          <w:color w:val="000000"/>
          <w:sz w:val="24"/>
          <w:highlight w:val="none"/>
        </w:rPr>
      </w:r>
      <w:r/>
    </w:p>
    <w:p>
      <w:pPr>
        <w:pStyle w:val="107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8"/>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rPr>
          <w:rFonts w:ascii="宋体" w:hAnsi="宋体"/>
          <w:color w:val="000000"/>
          <w:sz w:val="36"/>
          <w:szCs w:val="36"/>
          <w:highlight w:val="none"/>
        </w:rPr>
      </w:pPr>
      <w:r>
        <w:rPr>
          <w:rFonts w:ascii="宋体" w:hAnsi="宋体"/>
          <w:color w:val="000000"/>
          <w:sz w:val="36"/>
          <w:szCs w:val="36"/>
          <w:highlight w:val="none"/>
        </w:rPr>
      </w:r>
      <w:r/>
    </w:p>
    <w:p>
      <w:pPr>
        <w:pStyle w:val="1078"/>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1078"/>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1078"/>
        <w:jc w:val="center"/>
        <w:spacing w:line="360" w:lineRule="auto"/>
        <w:rPr>
          <w:rFonts w:hint="eastAsia" w:ascii="微软雅黑" w:hAnsi="微软雅黑" w:eastAsia="微软雅黑" w:cs="微软雅黑"/>
          <w:bCs/>
          <w:color w:val="000000"/>
          <w:sz w:val="24"/>
          <w:highlight w:val="none"/>
        </w:rPr>
      </w:pPr>
      <w:r>
        <w:rPr>
          <w:rFonts w:hint="eastAsia" w:ascii="微软雅黑" w:hAnsi="微软雅黑" w:eastAsia="微软雅黑" w:cs="微软雅黑"/>
          <w:b/>
          <w:color w:val="000000"/>
          <w:sz w:val="28"/>
          <w:szCs w:val="28"/>
          <w:highlight w:val="none"/>
        </w:rPr>
        <w:t xml:space="preserve">本招标文件的最终解释权归常州市城投建设工程招标有限公司所有</w:t>
      </w:r>
      <w:r>
        <w:rPr>
          <w:rFonts w:hint="eastAsia" w:ascii="微软雅黑" w:hAnsi="微软雅黑" w:eastAsia="微软雅黑" w:cs="微软雅黑"/>
          <w:bCs/>
          <w:color w:val="000000"/>
          <w:sz w:val="24"/>
          <w:highlight w:val="none"/>
        </w:rPr>
        <w:t xml:space="preserve">。</w:t>
      </w:r>
      <w:r>
        <w:rPr>
          <w:rFonts w:hint="eastAsia" w:ascii="微软雅黑" w:hAnsi="微软雅黑" w:eastAsia="微软雅黑" w:cs="微软雅黑"/>
          <w:bCs/>
          <w:color w:val="000000"/>
          <w:sz w:val="24"/>
          <w:highlight w:val="none"/>
        </w:rPr>
      </w:r>
      <w:r/>
    </w:p>
    <w:p>
      <w:pPr>
        <w:pStyle w:val="1078"/>
        <w:jc w:val="center"/>
        <w:rPr>
          <w:rFonts w:hint="eastAsia" w:ascii="微软雅黑" w:hAnsi="微软雅黑" w:eastAsia="微软雅黑" w:cs="微软雅黑"/>
          <w:b/>
          <w:color w:val="000000"/>
          <w:sz w:val="32"/>
          <w:highlight w:val="none"/>
        </w:rPr>
      </w:pPr>
      <w:r>
        <w:rPr>
          <w:rFonts w:hint="eastAsia" w:ascii="微软雅黑" w:hAnsi="微软雅黑" w:eastAsia="微软雅黑" w:cs="微软雅黑"/>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right="360"/>
      <w:tabs>
        <w:tab w:val="center" w:pos="4153" w:leader="none"/>
        <w:tab w:val="right" w:pos="8306" w:leader="none"/>
      </w:tabs>
      <w:rPr>
        <w:rStyle w:val="1150"/>
      </w:rPr>
      <w:framePr w:wrap="around" w:vAnchor="text" w:hAnchor="margin" w:y="1"/>
    </w:pPr>
    <w:r>
      <w:rPr>
        <w:rStyle w:val="1150"/>
      </w:rPr>
    </w:r>
    <w:r/>
  </w:p>
  <w:p>
    <w:pPr>
      <w:pStyle w:val="112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rPr>
        <w:rStyle w:val="1150"/>
      </w:rPr>
      <w:framePr w:wrap="around" w:vAnchor="text" w:hAnchor="margin" w:xAlign="center" w:y="1"/>
    </w:pPr>
    <w:r>
      <w:fldChar w:fldCharType="begin"/>
    </w:r>
    <w:r>
      <w:rPr>
        <w:rStyle w:val="1150"/>
      </w:rPr>
      <w:instrText xml:space="preserve">PAGE  </w:instrText>
    </w:r>
    <w:r>
      <w:fldChar w:fldCharType="end"/>
    </w:r>
    <w:r>
      <w:rPr>
        <w:rStyle w:val="1150"/>
      </w:rPr>
    </w:r>
    <w:r/>
  </w:p>
  <w:p>
    <w:pPr>
      <w:pStyle w:val="112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rPr>
        <w:rStyle w:val="1150"/>
      </w:rPr>
      <w:framePr w:wrap="around" w:vAnchor="text" w:hAnchor="margin" w:xAlign="right" w:y="1"/>
    </w:pPr>
    <w:r>
      <w:rPr>
        <w:rStyle w:val="1150"/>
      </w:rPr>
    </w:r>
    <w:r/>
  </w:p>
  <w:p>
    <w:pPr>
      <w:pStyle w:val="112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rPr>
        <w:rStyle w:val="1150"/>
      </w:rPr>
      <w:framePr w:wrap="around" w:vAnchor="text" w:hAnchor="margin" w:xAlign="right" w:y="1"/>
    </w:pPr>
    <w:r>
      <w:rPr>
        <w:rStyle w:val="1150"/>
      </w:rPr>
      <w:fldChar w:fldCharType="begin"/>
    </w:r>
    <w:r>
      <w:rPr>
        <w:rStyle w:val="1150"/>
      </w:rPr>
      <w:instrText xml:space="preserve">PAGE  </w:instrText>
    </w:r>
    <w:r>
      <w:rPr>
        <w:rStyle w:val="1150"/>
      </w:rPr>
      <w:fldChar w:fldCharType="end"/>
    </w:r>
    <w:r>
      <w:rPr>
        <w:rStyle w:val="1150"/>
      </w:rPr>
    </w:r>
    <w:r/>
  </w:p>
  <w:p>
    <w:pPr>
      <w:pStyle w:val="1126"/>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rPr>
        <w:rStyle w:val="1150"/>
      </w:rPr>
      <w:framePr w:wrap="around" w:vAnchor="text" w:hAnchor="margin" w:xAlign="right" w:y="1"/>
    </w:pPr>
    <w:r>
      <w:rPr>
        <w:rStyle w:val="1150"/>
      </w:rPr>
      <w:fldChar w:fldCharType="begin"/>
    </w:r>
    <w:r>
      <w:rPr>
        <w:rStyle w:val="1150"/>
      </w:rPr>
      <w:instrText xml:space="preserve">PAGE  </w:instrText>
    </w:r>
    <w:r>
      <w:rPr>
        <w:rStyle w:val="1150"/>
      </w:rPr>
      <w:fldChar w:fldCharType="end"/>
    </w:r>
    <w:r>
      <w:rPr>
        <w:rStyle w:val="1150"/>
      </w:rPr>
    </w:r>
    <w:r/>
  </w:p>
  <w:p>
    <w:pPr>
      <w:pStyle w:val="1126"/>
      <w:ind w:right="360"/>
      <w:tabs>
        <w:tab w:val="center" w:pos="4153" w:leader="none"/>
        <w:tab w:val="right" w:pos="8306" w:leader="none"/>
      </w:tabs>
    </w:pPr>
    <w:r/>
    <w:r/>
  </w:p>
  <w:p>
    <w:pPr>
      <w:pStyle w:val="107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w:r/>
  </w:p>
  <w:p>
    <w:pPr>
      <w:pStyle w:val="107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7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7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7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1078"/>
        <w:ind w:left="4941" w:hanging="1140"/>
        <w:tabs>
          <w:tab w:val="num" w:pos="4941" w:leader="none"/>
        </w:tabs>
      </w:pPr>
      <w:rPr>
        <w:rFonts w:hint="eastAsia"/>
      </w:rPr>
    </w:lvl>
    <w:lvl w:ilvl="1">
      <w:start w:val="1"/>
      <w:numFmt w:val="lowerLetter"/>
      <w:isLgl w:val="false"/>
      <w:suff w:val="tab"/>
      <w:lvlText w:val="%2)"/>
      <w:lvlJc w:val="left"/>
      <w:pPr>
        <w:pStyle w:val="1078"/>
        <w:ind w:left="4641" w:hanging="420"/>
        <w:tabs>
          <w:tab w:val="num" w:pos="4641" w:leader="none"/>
        </w:tabs>
      </w:pPr>
    </w:lvl>
    <w:lvl w:ilvl="2">
      <w:start w:val="1"/>
      <w:numFmt w:val="lowerRoman"/>
      <w:isLgl w:val="false"/>
      <w:suff w:val="tab"/>
      <w:lvlText w:val="%3."/>
      <w:lvlJc w:val="right"/>
      <w:pPr>
        <w:pStyle w:val="1078"/>
        <w:ind w:left="5061" w:hanging="420"/>
        <w:tabs>
          <w:tab w:val="num" w:pos="5061" w:leader="none"/>
        </w:tabs>
      </w:pPr>
    </w:lvl>
    <w:lvl w:ilvl="3">
      <w:start w:val="1"/>
      <w:numFmt w:val="decimal"/>
      <w:isLgl w:val="false"/>
      <w:suff w:val="tab"/>
      <w:lvlText w:val="%4."/>
      <w:lvlJc w:val="left"/>
      <w:pPr>
        <w:pStyle w:val="1078"/>
        <w:ind w:left="5481" w:hanging="420"/>
        <w:tabs>
          <w:tab w:val="num" w:pos="5481" w:leader="none"/>
        </w:tabs>
      </w:pPr>
    </w:lvl>
    <w:lvl w:ilvl="4">
      <w:start w:val="1"/>
      <w:numFmt w:val="lowerLetter"/>
      <w:isLgl w:val="false"/>
      <w:suff w:val="tab"/>
      <w:lvlText w:val="%5)"/>
      <w:lvlJc w:val="left"/>
      <w:pPr>
        <w:pStyle w:val="1078"/>
        <w:ind w:left="5901" w:hanging="420"/>
        <w:tabs>
          <w:tab w:val="num" w:pos="5901" w:leader="none"/>
        </w:tabs>
      </w:pPr>
    </w:lvl>
    <w:lvl w:ilvl="5">
      <w:start w:val="1"/>
      <w:numFmt w:val="lowerRoman"/>
      <w:isLgl w:val="false"/>
      <w:suff w:val="tab"/>
      <w:lvlText w:val="%6."/>
      <w:lvlJc w:val="right"/>
      <w:pPr>
        <w:pStyle w:val="1078"/>
        <w:ind w:left="6321" w:hanging="420"/>
        <w:tabs>
          <w:tab w:val="num" w:pos="6321" w:leader="none"/>
        </w:tabs>
      </w:pPr>
    </w:lvl>
    <w:lvl w:ilvl="6">
      <w:start w:val="1"/>
      <w:numFmt w:val="decimal"/>
      <w:isLgl w:val="false"/>
      <w:suff w:val="tab"/>
      <w:lvlText w:val="%7."/>
      <w:lvlJc w:val="left"/>
      <w:pPr>
        <w:pStyle w:val="1078"/>
        <w:ind w:left="6741" w:hanging="420"/>
        <w:tabs>
          <w:tab w:val="num" w:pos="6741" w:leader="none"/>
        </w:tabs>
      </w:pPr>
    </w:lvl>
    <w:lvl w:ilvl="7">
      <w:start w:val="1"/>
      <w:numFmt w:val="lowerLetter"/>
      <w:isLgl w:val="false"/>
      <w:suff w:val="tab"/>
      <w:lvlText w:val="%8)"/>
      <w:lvlJc w:val="left"/>
      <w:pPr>
        <w:pStyle w:val="1078"/>
        <w:ind w:left="7161" w:hanging="420"/>
        <w:tabs>
          <w:tab w:val="num" w:pos="7161" w:leader="none"/>
        </w:tabs>
      </w:pPr>
    </w:lvl>
    <w:lvl w:ilvl="8">
      <w:start w:val="1"/>
      <w:numFmt w:val="lowerRoman"/>
      <w:isLgl w:val="false"/>
      <w:suff w:val="tab"/>
      <w:lvlText w:val="%9."/>
      <w:lvlJc w:val="right"/>
      <w:pPr>
        <w:pStyle w:val="1078"/>
        <w:ind w:left="7581" w:hanging="420"/>
        <w:tabs>
          <w:tab w:val="num" w:pos="7581" w:leader="none"/>
        </w:tabs>
      </w:pPr>
    </w:lvl>
  </w:abstractNum>
  <w:abstractNum w:abstractNumId="5">
    <w:multiLevelType w:val="hybridMultilevel"/>
    <w:lvl w:ilvl="0">
      <w:start w:val="1"/>
      <w:numFmt w:val="decimal"/>
      <w:pStyle w:val="1187"/>
      <w:isLgl w:val="false"/>
      <w:suff w:val="tab"/>
      <w:lvlText w:val="%1."/>
      <w:lvlJc w:val="left"/>
      <w:pPr>
        <w:pStyle w:val="1078"/>
        <w:ind w:left="420" w:hanging="420"/>
      </w:pPr>
    </w:lvl>
    <w:lvl w:ilvl="1">
      <w:start w:val="1"/>
      <w:numFmt w:val="decimal"/>
      <w:isLgl w:val="false"/>
      <w:suff w:val="tab"/>
      <w:lvlText w:val="（%2）"/>
      <w:lvlJc w:val="left"/>
      <w:pPr>
        <w:pStyle w:val="1078"/>
        <w:ind w:left="1140" w:hanging="720"/>
        <w:tabs>
          <w:tab w:val="num" w:pos="1140" w:leader="none"/>
        </w:tabs>
      </w:pPr>
      <w:rPr>
        <w:rFonts w:hint="eastAsia"/>
      </w:r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6">
    <w:multiLevelType w:val="hybridMultilevel"/>
    <w:lvl w:ilvl="0">
      <w:start w:val="1"/>
      <w:numFmt w:val="lowerLetter"/>
      <w:pStyle w:val="1262"/>
      <w:isLgl w:val="false"/>
      <w:suff w:val="tab"/>
      <w:lvlText w:val="%1)"/>
      <w:lvlJc w:val="left"/>
      <w:pPr>
        <w:pStyle w:val="1078"/>
        <w:ind w:left="902" w:hanging="420"/>
      </w:pPr>
      <w:rPr>
        <w:color w:val="000000"/>
      </w:rPr>
    </w:lvl>
    <w:lvl w:ilvl="1">
      <w:start w:val="1"/>
      <w:numFmt w:val="lowerLetter"/>
      <w:isLgl w:val="false"/>
      <w:suff w:val="tab"/>
      <w:lvlText w:val="%2)"/>
      <w:lvlJc w:val="left"/>
      <w:pPr>
        <w:pStyle w:val="1078"/>
        <w:ind w:left="1322" w:hanging="420"/>
      </w:pPr>
    </w:lvl>
    <w:lvl w:ilvl="2">
      <w:start w:val="1"/>
      <w:numFmt w:val="lowerRoman"/>
      <w:isLgl w:val="false"/>
      <w:suff w:val="tab"/>
      <w:lvlText w:val="%3."/>
      <w:lvlJc w:val="right"/>
      <w:pPr>
        <w:pStyle w:val="1078"/>
        <w:ind w:left="1742" w:hanging="420"/>
      </w:pPr>
    </w:lvl>
    <w:lvl w:ilvl="3">
      <w:start w:val="1"/>
      <w:numFmt w:val="decimal"/>
      <w:isLgl w:val="false"/>
      <w:suff w:val="tab"/>
      <w:lvlText w:val="%4."/>
      <w:lvlJc w:val="left"/>
      <w:pPr>
        <w:pStyle w:val="1078"/>
        <w:ind w:left="2162" w:hanging="420"/>
      </w:pPr>
    </w:lvl>
    <w:lvl w:ilvl="4">
      <w:start w:val="1"/>
      <w:numFmt w:val="lowerLetter"/>
      <w:isLgl w:val="false"/>
      <w:suff w:val="tab"/>
      <w:lvlText w:val="%5)"/>
      <w:lvlJc w:val="left"/>
      <w:pPr>
        <w:pStyle w:val="1078"/>
        <w:ind w:left="2582" w:hanging="420"/>
      </w:pPr>
    </w:lvl>
    <w:lvl w:ilvl="5">
      <w:start w:val="1"/>
      <w:numFmt w:val="lowerRoman"/>
      <w:isLgl w:val="false"/>
      <w:suff w:val="tab"/>
      <w:lvlText w:val="%6."/>
      <w:lvlJc w:val="right"/>
      <w:pPr>
        <w:pStyle w:val="1078"/>
        <w:ind w:left="3002" w:hanging="420"/>
      </w:pPr>
    </w:lvl>
    <w:lvl w:ilvl="6">
      <w:start w:val="1"/>
      <w:numFmt w:val="decimal"/>
      <w:isLgl w:val="false"/>
      <w:suff w:val="tab"/>
      <w:lvlText w:val="%7."/>
      <w:lvlJc w:val="left"/>
      <w:pPr>
        <w:pStyle w:val="1078"/>
        <w:ind w:left="3422" w:hanging="420"/>
      </w:pPr>
    </w:lvl>
    <w:lvl w:ilvl="7">
      <w:start w:val="1"/>
      <w:numFmt w:val="lowerLetter"/>
      <w:isLgl w:val="false"/>
      <w:suff w:val="tab"/>
      <w:lvlText w:val="%8)"/>
      <w:lvlJc w:val="left"/>
      <w:pPr>
        <w:pStyle w:val="1078"/>
        <w:ind w:left="3842" w:hanging="420"/>
      </w:pPr>
    </w:lvl>
    <w:lvl w:ilvl="8">
      <w:start w:val="1"/>
      <w:numFmt w:val="lowerRoman"/>
      <w:isLgl w:val="false"/>
      <w:suff w:val="tab"/>
      <w:lvlText w:val="%9."/>
      <w:lvlJc w:val="right"/>
      <w:pPr>
        <w:pStyle w:val="1078"/>
        <w:ind w:left="4262" w:hanging="420"/>
      </w:pPr>
    </w:lvl>
  </w:abstractNum>
  <w:abstractNum w:abstractNumId="7">
    <w:multiLevelType w:val="hybridMultilevel"/>
    <w:lvl w:ilvl="0">
      <w:start w:val="1"/>
      <w:numFmt w:val="decimal"/>
      <w:pStyle w:val="1232"/>
      <w:isLgl w:val="false"/>
      <w:suff w:val="tab"/>
      <w:lvlText w:val="%1."/>
      <w:lvlJc w:val="left"/>
      <w:pPr>
        <w:pStyle w:val="107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81"/>
      <w:isLgl w:val="false"/>
      <w:suff w:val="nothing"/>
      <w:lvlText w:val="%1　"/>
      <w:lvlJc w:val="left"/>
      <w:pPr>
        <w:pStyle w:val="107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8"/>
        <w:ind w:left="-25" w:firstLine="0"/>
      </w:pPr>
      <w:rPr>
        <w:rFonts w:ascii="Times New Roman" w:hAnsi="Times New Roman" w:eastAsia="黑体"/>
        <w:b/>
        <w:i w:val="0"/>
        <w:sz w:val="28"/>
      </w:rPr>
    </w:lvl>
    <w:lvl w:ilvl="3">
      <w:start w:val="1"/>
      <w:numFmt w:val="decimal"/>
      <w:pStyle w:val="1217"/>
      <w:isLgl w:val="false"/>
      <w:suff w:val="nothing"/>
      <w:lvlText w:val="%1.%2.%3.%4　"/>
      <w:lvlJc w:val="left"/>
      <w:pPr>
        <w:pStyle w:val="107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8"/>
        <w:ind w:left="-25" w:firstLine="0"/>
      </w:pPr>
      <w:rPr>
        <w:rFonts w:ascii="Times New Roman" w:hAnsi="Times New Roman" w:eastAsia="宋体"/>
        <w:b/>
        <w:i w:val="0"/>
        <w:sz w:val="28"/>
      </w:rPr>
    </w:lvl>
    <w:lvl w:ilvl="6">
      <w:start w:val="1"/>
      <w:numFmt w:val="lowerLetter"/>
      <w:pStyle w:val="1238"/>
      <w:isLgl w:val="false"/>
      <w:suff w:val="tab"/>
      <w:lvlText w:val="%7) "/>
      <w:lvlJc w:val="left"/>
      <w:pPr>
        <w:pStyle w:val="1078"/>
        <w:ind w:left="-125" w:firstLine="400"/>
        <w:tabs>
          <w:tab w:val="num" w:pos="635" w:leader="none"/>
        </w:tabs>
      </w:pPr>
      <w:rPr>
        <w:rFonts w:ascii="Times New Roman" w:hAnsi="Times New Roman" w:eastAsia="宋体"/>
        <w:b/>
        <w:i w:val="0"/>
        <w:color w:val="000000"/>
        <w:sz w:val="28"/>
        <w:u w:val="none"/>
      </w:rPr>
    </w:lvl>
    <w:lvl w:ilvl="7">
      <w:start w:val="1"/>
      <w:numFmt w:val="decimal"/>
      <w:pStyle w:val="1201"/>
      <w:isLgl w:val="false"/>
      <w:suff w:val="tab"/>
      <w:lvlText w:val="%8) "/>
      <w:lvlJc w:val="left"/>
      <w:pPr>
        <w:pStyle w:val="107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8"/>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pStyle w:val="1078"/>
        <w:ind w:left="768" w:hanging="360"/>
        <w:tabs>
          <w:tab w:val="num" w:pos="768" w:leader="none"/>
        </w:tabs>
      </w:pPr>
      <w:rPr>
        <w:rFonts w:hint="eastAsia"/>
      </w:rPr>
    </w:lvl>
    <w:lvl w:ilvl="1">
      <w:start w:val="1"/>
      <w:numFmt w:val="decimal"/>
      <w:pStyle w:val="1219"/>
      <w:isLgl w:val="false"/>
      <w:suff w:val="tab"/>
      <w:lvlText w:val="%2、"/>
      <w:lvlJc w:val="left"/>
      <w:pPr>
        <w:pStyle w:val="1078"/>
        <w:ind w:left="1188" w:hanging="360"/>
        <w:tabs>
          <w:tab w:val="num" w:pos="1188" w:leader="none"/>
        </w:tabs>
      </w:pPr>
      <w:rPr>
        <w:rFonts w:hint="eastAsia"/>
      </w:rPr>
    </w:lvl>
    <w:lvl w:ilvl="2">
      <w:start w:val="1"/>
      <w:numFmt w:val="decimal"/>
      <w:isLgl w:val="false"/>
      <w:suff w:val="tab"/>
      <w:lvlText w:val="（%3）"/>
      <w:lvlJc w:val="left"/>
      <w:pPr>
        <w:pStyle w:val="1078"/>
        <w:ind w:left="1968" w:hanging="720"/>
        <w:tabs>
          <w:tab w:val="num" w:pos="1968" w:leader="none"/>
        </w:tabs>
      </w:pPr>
      <w:rPr>
        <w:rFonts w:hint="eastAsia"/>
        <w:u w:val="none"/>
      </w:rPr>
    </w:lvl>
    <w:lvl w:ilvl="3">
      <w:start w:val="1"/>
      <w:numFmt w:val="decimal"/>
      <w:isLgl w:val="false"/>
      <w:suff w:val="tab"/>
      <w:lvlText w:val="%4."/>
      <w:lvlJc w:val="left"/>
      <w:pPr>
        <w:pStyle w:val="1078"/>
        <w:ind w:left="2088" w:hanging="420"/>
        <w:tabs>
          <w:tab w:val="num" w:pos="2088" w:leader="none"/>
        </w:tabs>
      </w:pPr>
    </w:lvl>
    <w:lvl w:ilvl="4">
      <w:start w:val="1"/>
      <w:numFmt w:val="lowerLetter"/>
      <w:isLgl w:val="false"/>
      <w:suff w:val="tab"/>
      <w:lvlText w:val="%5)"/>
      <w:lvlJc w:val="left"/>
      <w:pPr>
        <w:pStyle w:val="1078"/>
        <w:ind w:left="2508" w:hanging="420"/>
        <w:tabs>
          <w:tab w:val="num" w:pos="2508" w:leader="none"/>
        </w:tabs>
      </w:pPr>
    </w:lvl>
    <w:lvl w:ilvl="5">
      <w:start w:val="1"/>
      <w:numFmt w:val="lowerRoman"/>
      <w:isLgl w:val="false"/>
      <w:suff w:val="tab"/>
      <w:lvlText w:val="%6."/>
      <w:lvlJc w:val="right"/>
      <w:pPr>
        <w:pStyle w:val="1078"/>
        <w:ind w:left="2928" w:hanging="420"/>
        <w:tabs>
          <w:tab w:val="num" w:pos="2928" w:leader="none"/>
        </w:tabs>
      </w:pPr>
    </w:lvl>
    <w:lvl w:ilvl="6">
      <w:start w:val="1"/>
      <w:numFmt w:val="decimal"/>
      <w:isLgl w:val="false"/>
      <w:suff w:val="tab"/>
      <w:lvlText w:val="%7."/>
      <w:lvlJc w:val="left"/>
      <w:pPr>
        <w:pStyle w:val="1078"/>
        <w:ind w:left="3348" w:hanging="420"/>
        <w:tabs>
          <w:tab w:val="num" w:pos="3348" w:leader="none"/>
        </w:tabs>
      </w:pPr>
    </w:lvl>
    <w:lvl w:ilvl="7">
      <w:start w:val="1"/>
      <w:numFmt w:val="lowerLetter"/>
      <w:isLgl w:val="false"/>
      <w:suff w:val="tab"/>
      <w:lvlText w:val="%8)"/>
      <w:lvlJc w:val="left"/>
      <w:pPr>
        <w:pStyle w:val="1078"/>
        <w:ind w:left="3768" w:hanging="420"/>
        <w:tabs>
          <w:tab w:val="num" w:pos="3768" w:leader="none"/>
        </w:tabs>
      </w:pPr>
    </w:lvl>
    <w:lvl w:ilvl="8">
      <w:start w:val="1"/>
      <w:numFmt w:val="lowerRoman"/>
      <w:isLgl w:val="false"/>
      <w:suff w:val="tab"/>
      <w:lvlText w:val="%9."/>
      <w:lvlJc w:val="right"/>
      <w:pPr>
        <w:pStyle w:val="1078"/>
        <w:ind w:left="4188" w:hanging="420"/>
        <w:tabs>
          <w:tab w:val="num" w:pos="4188" w:leader="none"/>
        </w:tabs>
      </w:pPr>
    </w:lvl>
  </w:abstractNum>
  <w:abstractNum w:abstractNumId="10">
    <w:multiLevelType w:val="hybridMultilevel"/>
    <w:lvl w:ilvl="0">
      <w:start w:val="1"/>
      <w:numFmt w:val="decimal"/>
      <w:isLgl w:val="false"/>
      <w:suff w:val="tab"/>
      <w:lvlText w:val="%1."/>
      <w:lvlJc w:val="left"/>
      <w:pPr>
        <w:pStyle w:val="1078"/>
        <w:ind w:left="900" w:hanging="900"/>
        <w:tabs>
          <w:tab w:val="num" w:pos="900" w:leader="none"/>
        </w:tabs>
      </w:pPr>
      <w:rPr>
        <w:rFonts w:hint="eastAsia"/>
        <w:b/>
      </w:rPr>
    </w:lvl>
    <w:lvl w:ilvl="1">
      <w:start w:val="1"/>
      <w:numFmt w:val="decimal"/>
      <w:isLgl w:val="false"/>
      <w:suff w:val="tab"/>
      <w:lvlText w:val="%1.%2"/>
      <w:lvlJc w:val="left"/>
      <w:pPr>
        <w:pStyle w:val="10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1">
    <w:multiLevelType w:val="hybridMultilevel"/>
    <w:lvl w:ilvl="0">
      <w:start w:val="1"/>
      <w:numFmt w:val="decimal"/>
      <w:pStyle w:val="1186"/>
      <w:isLgl w:val="false"/>
      <w:suff w:val="tab"/>
      <w:lvlText w:val="%1)"/>
      <w:lvlJc w:val="left"/>
      <w:pPr>
        <w:pStyle w:val="1078"/>
        <w:ind w:left="420" w:hanging="420"/>
      </w:pPr>
    </w:lvl>
    <w:lvl w:ilvl="1">
      <w:start w:val="1"/>
      <w:numFmt w:val="lowerLetter"/>
      <w:isLgl w:val="false"/>
      <w:suff w:val="tab"/>
      <w:lvlText w:val="%2)"/>
      <w:lvlJc w:val="left"/>
      <w:pPr>
        <w:pStyle w:val="1078"/>
        <w:ind w:left="840" w:hanging="420"/>
      </w:p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12">
    <w:multiLevelType w:val="hybridMultilevel"/>
    <w:lvl w:ilvl="0">
      <w:start w:val="1"/>
      <w:numFmt w:val="decimal"/>
      <w:pStyle w:val="1287"/>
      <w:isLgl w:val="false"/>
      <w:suff w:val="tab"/>
      <w:lvlText w:val="%1"/>
      <w:lvlJc w:val="left"/>
      <w:pPr>
        <w:pStyle w:val="1078"/>
        <w:ind w:left="680" w:hanging="680"/>
      </w:pPr>
      <w:rPr>
        <w:rFonts w:hint="eastAsia" w:ascii="宋体" w:hAnsi="宋体" w:eastAsia="宋体"/>
      </w:rPr>
    </w:lvl>
    <w:lvl w:ilvl="1">
      <w:start w:val="1"/>
      <w:numFmt w:val="decimal"/>
      <w:pStyle w:val="1288"/>
      <w:isLgl w:val="false"/>
      <w:suff w:val="tab"/>
      <w:lvlText w:val="%1.%2"/>
      <w:lvlJc w:val="left"/>
      <w:pPr>
        <w:pStyle w:val="1078"/>
        <w:ind w:left="851" w:hanging="851"/>
      </w:pPr>
      <w:rPr>
        <w:rFonts w:hint="eastAsia" w:ascii="宋体" w:hAnsi="宋体" w:eastAsia="宋体"/>
        <w:color w:val="000000"/>
      </w:rPr>
    </w:lvl>
    <w:lvl w:ilvl="2">
      <w:start w:val="1"/>
      <w:numFmt w:val="decimal"/>
      <w:pStyle w:val="1289"/>
      <w:isLgl w:val="false"/>
      <w:suff w:val="tab"/>
      <w:lvlText w:val="%1.%2.%3"/>
      <w:lvlJc w:val="left"/>
      <w:pPr>
        <w:pStyle w:val="1078"/>
        <w:ind w:left="851" w:hanging="851"/>
      </w:pPr>
      <w:rPr>
        <w:rFonts w:hint="eastAsia"/>
      </w:rPr>
    </w:lvl>
    <w:lvl w:ilvl="3">
      <w:start w:val="1"/>
      <w:numFmt w:val="decimal"/>
      <w:isLgl w:val="false"/>
      <w:suff w:val="tab"/>
      <w:lvlText w:val="%1.%2.%3.%4"/>
      <w:lvlJc w:val="left"/>
      <w:pPr>
        <w:pStyle w:val="1078"/>
        <w:ind w:left="680" w:hanging="680"/>
      </w:pPr>
      <w:rPr>
        <w:rFonts w:hint="eastAsia"/>
      </w:rPr>
    </w:lvl>
    <w:lvl w:ilvl="4">
      <w:start w:val="1"/>
      <w:numFmt w:val="decimal"/>
      <w:isLgl w:val="false"/>
      <w:suff w:val="tab"/>
      <w:lvlText w:val="%1.%2.%3.%4.%5"/>
      <w:lvlJc w:val="left"/>
      <w:pPr>
        <w:pStyle w:val="1078"/>
        <w:ind w:left="680" w:hanging="680"/>
      </w:pPr>
      <w:rPr>
        <w:rFonts w:hint="eastAsia"/>
      </w:rPr>
    </w:lvl>
    <w:lvl w:ilvl="5">
      <w:start w:val="1"/>
      <w:numFmt w:val="decimal"/>
      <w:isLgl w:val="false"/>
      <w:suff w:val="tab"/>
      <w:lvlText w:val="%1.%2.%3.%4.%5.%6"/>
      <w:lvlJc w:val="left"/>
      <w:pPr>
        <w:pStyle w:val="1078"/>
        <w:ind w:left="680" w:hanging="680"/>
      </w:pPr>
      <w:rPr>
        <w:rFonts w:hint="eastAsia"/>
      </w:rPr>
    </w:lvl>
    <w:lvl w:ilvl="6">
      <w:start w:val="1"/>
      <w:numFmt w:val="decimal"/>
      <w:isLgl w:val="false"/>
      <w:suff w:val="tab"/>
      <w:lvlText w:val="%1.%2.%3.%4.%5.%6.%7"/>
      <w:lvlJc w:val="left"/>
      <w:pPr>
        <w:pStyle w:val="1078"/>
        <w:ind w:left="680" w:hanging="680"/>
      </w:pPr>
      <w:rPr>
        <w:rFonts w:hint="eastAsia"/>
      </w:rPr>
    </w:lvl>
    <w:lvl w:ilvl="7">
      <w:start w:val="1"/>
      <w:numFmt w:val="decimal"/>
      <w:isLgl w:val="false"/>
      <w:suff w:val="tab"/>
      <w:lvlText w:val="%1.%2.%3.%4.%5.%6.%7.%8"/>
      <w:lvlJc w:val="left"/>
      <w:pPr>
        <w:pStyle w:val="1078"/>
        <w:ind w:left="680" w:hanging="680"/>
      </w:pPr>
      <w:rPr>
        <w:rFonts w:hint="eastAsia"/>
      </w:rPr>
    </w:lvl>
    <w:lvl w:ilvl="8">
      <w:start w:val="1"/>
      <w:numFmt w:val="decimal"/>
      <w:isLgl w:val="false"/>
      <w:suff w:val="tab"/>
      <w:lvlText w:val="%1.%2.%3.%4.%5.%6.%7.%8.%9"/>
      <w:lvlJc w:val="left"/>
      <w:pPr>
        <w:pStyle w:val="1078"/>
        <w:ind w:left="680" w:hanging="680"/>
      </w:pPr>
      <w:rPr>
        <w:rFonts w:hint="eastAsia"/>
      </w:rPr>
    </w:lvl>
  </w:abstractNum>
  <w:abstractNum w:abstractNumId="13">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6">
    <w:multiLevelType w:val="hybridMultilevel"/>
    <w:lvl w:ilvl="0">
      <w:start w:val="2"/>
      <w:numFmt w:val="decimal"/>
      <w:isLgl w:val="false"/>
      <w:suff w:val="nothing"/>
      <w:lvlText w:val="（%1）"/>
      <w:lvlJc w:val="left"/>
      <w:pPr>
        <w:pStyle w:val="10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num w:numId="1">
    <w:abstractNumId w:val="8"/>
  </w:num>
  <w:num w:numId="2">
    <w:abstractNumId w:val="5"/>
  </w:num>
  <w:num w:numId="3">
    <w:abstractNumId w:val="11"/>
  </w:num>
  <w:num w:numId="4">
    <w:abstractNumId w:val="9"/>
  </w:num>
  <w:num w:numId="5">
    <w:abstractNumId w:val="7"/>
  </w:num>
  <w:num w:numId="6">
    <w:abstractNumId w:val="6"/>
  </w:num>
  <w:num w:numId="7">
    <w:abstractNumId w:val="12"/>
  </w:num>
  <w:num w:numId="8">
    <w:abstractNumId w:val="1"/>
  </w:num>
  <w:num w:numId="9">
    <w:abstractNumId w:val="10"/>
  </w:num>
  <w:num w:numId="10">
    <w:abstractNumId w:val="14"/>
  </w:num>
  <w:num w:numId="11">
    <w:abstractNumId w:val="4"/>
  </w:num>
  <w:num w:numId="12">
    <w:abstractNumId w:val="15"/>
  </w:num>
  <w:num w:numId="13">
    <w:abstractNumId w:val="13"/>
  </w:num>
  <w:num w:numId="14">
    <w:abstractNumId w:val="17"/>
  </w:num>
  <w:num w:numId="15">
    <w:abstractNumId w:val="16"/>
  </w:num>
  <w:num w:numId="16">
    <w:abstractNumId w:val="0"/>
  </w:num>
  <w:num w:numId="17">
    <w:abstractNumId w:val="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name w:val="Heading 1"/>
    <w:basedOn w:val="1078"/>
    <w:next w:val="1078"/>
    <w:link w:val="901"/>
    <w:uiPriority w:val="9"/>
    <w:qFormat/>
    <w:pPr>
      <w:keepLines/>
      <w:keepNext/>
      <w:spacing w:before="480" w:after="200"/>
      <w:outlineLvl w:val="0"/>
    </w:pPr>
    <w:rPr>
      <w:rFonts w:ascii="Arial" w:hAnsi="Arial" w:eastAsia="Arial" w:cs="Arial"/>
      <w:sz w:val="40"/>
      <w:szCs w:val="40"/>
    </w:rPr>
  </w:style>
  <w:style w:type="character" w:styleId="901">
    <w:name w:val="Heading 1 Char"/>
    <w:link w:val="900"/>
    <w:uiPriority w:val="9"/>
    <w:rPr>
      <w:rFonts w:ascii="Arial" w:hAnsi="Arial" w:eastAsia="Arial" w:cs="Arial"/>
      <w:sz w:val="40"/>
      <w:szCs w:val="40"/>
    </w:rPr>
  </w:style>
  <w:style w:type="paragraph" w:styleId="902">
    <w:name w:val="Heading 2"/>
    <w:basedOn w:val="1078"/>
    <w:next w:val="1078"/>
    <w:link w:val="903"/>
    <w:uiPriority w:val="9"/>
    <w:unhideWhenUsed/>
    <w:qFormat/>
    <w:pPr>
      <w:keepLines/>
      <w:keepNext/>
      <w:spacing w:before="360" w:after="200"/>
      <w:outlineLvl w:val="1"/>
    </w:pPr>
    <w:rPr>
      <w:rFonts w:ascii="Arial" w:hAnsi="Arial" w:eastAsia="Arial" w:cs="Arial"/>
      <w:sz w:val="34"/>
    </w:rPr>
  </w:style>
  <w:style w:type="character" w:styleId="903">
    <w:name w:val="Heading 2 Char"/>
    <w:link w:val="902"/>
    <w:uiPriority w:val="9"/>
    <w:rPr>
      <w:rFonts w:ascii="Arial" w:hAnsi="Arial" w:eastAsia="Arial" w:cs="Arial"/>
      <w:sz w:val="34"/>
    </w:rPr>
  </w:style>
  <w:style w:type="paragraph" w:styleId="904">
    <w:name w:val="Heading 3"/>
    <w:basedOn w:val="1078"/>
    <w:next w:val="1078"/>
    <w:link w:val="905"/>
    <w:uiPriority w:val="9"/>
    <w:unhideWhenUsed/>
    <w:qFormat/>
    <w:pPr>
      <w:keepLines/>
      <w:keepNext/>
      <w:spacing w:before="320" w:after="200"/>
      <w:outlineLvl w:val="2"/>
    </w:pPr>
    <w:rPr>
      <w:rFonts w:ascii="Arial" w:hAnsi="Arial" w:eastAsia="Arial" w:cs="Arial"/>
      <w:sz w:val="30"/>
      <w:szCs w:val="30"/>
    </w:rPr>
  </w:style>
  <w:style w:type="character" w:styleId="905">
    <w:name w:val="Heading 3 Char"/>
    <w:link w:val="904"/>
    <w:uiPriority w:val="9"/>
    <w:rPr>
      <w:rFonts w:ascii="Arial" w:hAnsi="Arial" w:eastAsia="Arial" w:cs="Arial"/>
      <w:sz w:val="30"/>
      <w:szCs w:val="30"/>
    </w:rPr>
  </w:style>
  <w:style w:type="paragraph" w:styleId="906">
    <w:name w:val="Heading 4"/>
    <w:basedOn w:val="1078"/>
    <w:next w:val="1078"/>
    <w:link w:val="907"/>
    <w:uiPriority w:val="9"/>
    <w:unhideWhenUsed/>
    <w:qFormat/>
    <w:pPr>
      <w:keepLines/>
      <w:keepNext/>
      <w:spacing w:before="320" w:after="200"/>
      <w:outlineLvl w:val="3"/>
    </w:pPr>
    <w:rPr>
      <w:rFonts w:ascii="Arial" w:hAnsi="Arial" w:eastAsia="Arial" w:cs="Arial"/>
      <w:b/>
      <w:bCs/>
      <w:sz w:val="26"/>
      <w:szCs w:val="26"/>
    </w:rPr>
  </w:style>
  <w:style w:type="character" w:styleId="907">
    <w:name w:val="Heading 4 Char"/>
    <w:link w:val="906"/>
    <w:uiPriority w:val="9"/>
    <w:rPr>
      <w:rFonts w:ascii="Arial" w:hAnsi="Arial" w:eastAsia="Arial" w:cs="Arial"/>
      <w:b/>
      <w:bCs/>
      <w:sz w:val="26"/>
      <w:szCs w:val="26"/>
    </w:rPr>
  </w:style>
  <w:style w:type="paragraph" w:styleId="908">
    <w:name w:val="Heading 5"/>
    <w:basedOn w:val="1078"/>
    <w:next w:val="1078"/>
    <w:link w:val="909"/>
    <w:uiPriority w:val="9"/>
    <w:unhideWhenUsed/>
    <w:qFormat/>
    <w:pPr>
      <w:keepLines/>
      <w:keepNext/>
      <w:spacing w:before="320" w:after="200"/>
      <w:outlineLvl w:val="4"/>
    </w:pPr>
    <w:rPr>
      <w:rFonts w:ascii="Arial" w:hAnsi="Arial" w:eastAsia="Arial" w:cs="Arial"/>
      <w:b/>
      <w:bCs/>
      <w:sz w:val="24"/>
      <w:szCs w:val="24"/>
    </w:rPr>
  </w:style>
  <w:style w:type="character" w:styleId="909">
    <w:name w:val="Heading 5 Char"/>
    <w:link w:val="908"/>
    <w:uiPriority w:val="9"/>
    <w:rPr>
      <w:rFonts w:ascii="Arial" w:hAnsi="Arial" w:eastAsia="Arial" w:cs="Arial"/>
      <w:b/>
      <w:bCs/>
      <w:sz w:val="24"/>
      <w:szCs w:val="24"/>
    </w:rPr>
  </w:style>
  <w:style w:type="paragraph" w:styleId="910">
    <w:name w:val="Heading 6"/>
    <w:basedOn w:val="1078"/>
    <w:next w:val="1078"/>
    <w:link w:val="911"/>
    <w:uiPriority w:val="9"/>
    <w:unhideWhenUsed/>
    <w:qFormat/>
    <w:pPr>
      <w:keepLines/>
      <w:keepNext/>
      <w:spacing w:before="320" w:after="200"/>
      <w:outlineLvl w:val="5"/>
    </w:pPr>
    <w:rPr>
      <w:rFonts w:ascii="Arial" w:hAnsi="Arial" w:eastAsia="Arial" w:cs="Arial"/>
      <w:b/>
      <w:bCs/>
      <w:sz w:val="22"/>
      <w:szCs w:val="22"/>
    </w:rPr>
  </w:style>
  <w:style w:type="character" w:styleId="911">
    <w:name w:val="Heading 6 Char"/>
    <w:link w:val="910"/>
    <w:uiPriority w:val="9"/>
    <w:rPr>
      <w:rFonts w:ascii="Arial" w:hAnsi="Arial" w:eastAsia="Arial" w:cs="Arial"/>
      <w:b/>
      <w:bCs/>
      <w:sz w:val="22"/>
      <w:szCs w:val="22"/>
    </w:rPr>
  </w:style>
  <w:style w:type="paragraph" w:styleId="912">
    <w:name w:val="Heading 7"/>
    <w:basedOn w:val="1078"/>
    <w:next w:val="1078"/>
    <w:link w:val="913"/>
    <w:uiPriority w:val="9"/>
    <w:unhideWhenUsed/>
    <w:qFormat/>
    <w:pPr>
      <w:keepLines/>
      <w:keepNext/>
      <w:spacing w:before="320" w:after="200"/>
      <w:outlineLvl w:val="6"/>
    </w:pPr>
    <w:rPr>
      <w:rFonts w:ascii="Arial" w:hAnsi="Arial" w:eastAsia="Arial" w:cs="Arial"/>
      <w:b/>
      <w:bCs/>
      <w:i/>
      <w:iCs/>
      <w:sz w:val="22"/>
      <w:szCs w:val="22"/>
    </w:rPr>
  </w:style>
  <w:style w:type="character" w:styleId="913">
    <w:name w:val="Heading 7 Char"/>
    <w:link w:val="912"/>
    <w:uiPriority w:val="9"/>
    <w:rPr>
      <w:rFonts w:ascii="Arial" w:hAnsi="Arial" w:eastAsia="Arial" w:cs="Arial"/>
      <w:b/>
      <w:bCs/>
      <w:i/>
      <w:iCs/>
      <w:sz w:val="22"/>
      <w:szCs w:val="22"/>
    </w:rPr>
  </w:style>
  <w:style w:type="paragraph" w:styleId="914">
    <w:name w:val="Heading 8"/>
    <w:basedOn w:val="1078"/>
    <w:next w:val="1078"/>
    <w:link w:val="915"/>
    <w:uiPriority w:val="9"/>
    <w:unhideWhenUsed/>
    <w:qFormat/>
    <w:pPr>
      <w:keepLines/>
      <w:keepNext/>
      <w:spacing w:before="320" w:after="200"/>
      <w:outlineLvl w:val="7"/>
    </w:pPr>
    <w:rPr>
      <w:rFonts w:ascii="Arial" w:hAnsi="Arial" w:eastAsia="Arial" w:cs="Arial"/>
      <w:i/>
      <w:iCs/>
      <w:sz w:val="22"/>
      <w:szCs w:val="22"/>
    </w:rPr>
  </w:style>
  <w:style w:type="character" w:styleId="915">
    <w:name w:val="Heading 8 Char"/>
    <w:link w:val="914"/>
    <w:uiPriority w:val="9"/>
    <w:rPr>
      <w:rFonts w:ascii="Arial" w:hAnsi="Arial" w:eastAsia="Arial" w:cs="Arial"/>
      <w:i/>
      <w:iCs/>
      <w:sz w:val="22"/>
      <w:szCs w:val="22"/>
    </w:rPr>
  </w:style>
  <w:style w:type="paragraph" w:styleId="916">
    <w:name w:val="Heading 9"/>
    <w:basedOn w:val="1078"/>
    <w:next w:val="1078"/>
    <w:link w:val="917"/>
    <w:uiPriority w:val="9"/>
    <w:unhideWhenUsed/>
    <w:qFormat/>
    <w:pPr>
      <w:keepLines/>
      <w:keepNext/>
      <w:spacing w:before="320" w:after="200"/>
      <w:outlineLvl w:val="8"/>
    </w:pPr>
    <w:rPr>
      <w:rFonts w:ascii="Arial" w:hAnsi="Arial" w:eastAsia="Arial" w:cs="Arial"/>
      <w:i/>
      <w:iCs/>
      <w:sz w:val="21"/>
      <w:szCs w:val="21"/>
    </w:rPr>
  </w:style>
  <w:style w:type="character" w:styleId="917">
    <w:name w:val="Heading 9 Char"/>
    <w:link w:val="916"/>
    <w:uiPriority w:val="9"/>
    <w:rPr>
      <w:rFonts w:ascii="Arial" w:hAnsi="Arial" w:eastAsia="Arial" w:cs="Arial"/>
      <w:i/>
      <w:iCs/>
      <w:sz w:val="21"/>
      <w:szCs w:val="21"/>
    </w:rPr>
  </w:style>
  <w:style w:type="paragraph" w:styleId="918">
    <w:name w:val="List Paragraph"/>
    <w:basedOn w:val="1078"/>
    <w:uiPriority w:val="34"/>
    <w:qFormat/>
    <w:pPr>
      <w:contextualSpacing/>
      <w:ind w:left="720"/>
    </w:pPr>
  </w:style>
  <w:style w:type="paragraph" w:styleId="919">
    <w:name w:val="No Spacing"/>
    <w:uiPriority w:val="1"/>
    <w:qFormat/>
    <w:pPr>
      <w:spacing w:before="0" w:after="0" w:line="240" w:lineRule="auto"/>
    </w:pPr>
  </w:style>
  <w:style w:type="paragraph" w:styleId="920">
    <w:name w:val="Title"/>
    <w:basedOn w:val="1078"/>
    <w:next w:val="1078"/>
    <w:link w:val="921"/>
    <w:uiPriority w:val="10"/>
    <w:qFormat/>
    <w:pPr>
      <w:contextualSpacing/>
      <w:spacing w:before="300" w:after="200"/>
    </w:pPr>
    <w:rPr>
      <w:sz w:val="48"/>
      <w:szCs w:val="48"/>
    </w:rPr>
  </w:style>
  <w:style w:type="character" w:styleId="921">
    <w:name w:val="Title Char"/>
    <w:link w:val="920"/>
    <w:uiPriority w:val="10"/>
    <w:rPr>
      <w:sz w:val="48"/>
      <w:szCs w:val="48"/>
    </w:rPr>
  </w:style>
  <w:style w:type="paragraph" w:styleId="922">
    <w:name w:val="Subtitle"/>
    <w:basedOn w:val="1078"/>
    <w:next w:val="1078"/>
    <w:link w:val="923"/>
    <w:uiPriority w:val="11"/>
    <w:qFormat/>
    <w:pPr>
      <w:spacing w:before="200" w:after="200"/>
    </w:pPr>
    <w:rPr>
      <w:sz w:val="24"/>
      <w:szCs w:val="24"/>
    </w:rPr>
  </w:style>
  <w:style w:type="character" w:styleId="923">
    <w:name w:val="Subtitle Char"/>
    <w:link w:val="922"/>
    <w:uiPriority w:val="11"/>
    <w:rPr>
      <w:sz w:val="24"/>
      <w:szCs w:val="24"/>
    </w:rPr>
  </w:style>
  <w:style w:type="paragraph" w:styleId="924">
    <w:name w:val="Quote"/>
    <w:basedOn w:val="1078"/>
    <w:next w:val="1078"/>
    <w:link w:val="925"/>
    <w:uiPriority w:val="29"/>
    <w:qFormat/>
    <w:pPr>
      <w:ind w:left="720" w:right="720"/>
    </w:pPr>
    <w:rPr>
      <w:i/>
    </w:rPr>
  </w:style>
  <w:style w:type="character" w:styleId="925">
    <w:name w:val="Quote Char"/>
    <w:link w:val="924"/>
    <w:uiPriority w:val="29"/>
    <w:rPr>
      <w:i/>
    </w:rPr>
  </w:style>
  <w:style w:type="paragraph" w:styleId="926">
    <w:name w:val="Intense Quote"/>
    <w:basedOn w:val="1078"/>
    <w:next w:val="107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name w:val="Intense Quote Char"/>
    <w:link w:val="926"/>
    <w:uiPriority w:val="30"/>
    <w:rPr>
      <w:i/>
    </w:rPr>
  </w:style>
  <w:style w:type="paragraph" w:styleId="928">
    <w:name w:val="Header"/>
    <w:basedOn w:val="1078"/>
    <w:link w:val="929"/>
    <w:uiPriority w:val="99"/>
    <w:unhideWhenUsed/>
    <w:pPr>
      <w:spacing w:after="0" w:line="240" w:lineRule="auto"/>
      <w:tabs>
        <w:tab w:val="center" w:pos="7143" w:leader="none"/>
        <w:tab w:val="right" w:pos="14287" w:leader="none"/>
      </w:tabs>
    </w:pPr>
  </w:style>
  <w:style w:type="character" w:styleId="929">
    <w:name w:val="Header Char"/>
    <w:link w:val="928"/>
    <w:uiPriority w:val="99"/>
  </w:style>
  <w:style w:type="paragraph" w:styleId="930">
    <w:name w:val="Footer"/>
    <w:basedOn w:val="1078"/>
    <w:link w:val="933"/>
    <w:uiPriority w:val="99"/>
    <w:unhideWhenUsed/>
    <w:pPr>
      <w:spacing w:after="0" w:line="240" w:lineRule="auto"/>
      <w:tabs>
        <w:tab w:val="center" w:pos="7143" w:leader="none"/>
        <w:tab w:val="right" w:pos="14287" w:leader="none"/>
      </w:tabs>
    </w:pPr>
  </w:style>
  <w:style w:type="character" w:styleId="931">
    <w:name w:val="Footer Char"/>
    <w:link w:val="930"/>
    <w:uiPriority w:val="99"/>
  </w:style>
  <w:style w:type="paragraph" w:styleId="932">
    <w:name w:val="Caption"/>
    <w:basedOn w:val="1078"/>
    <w:next w:val="1078"/>
    <w:uiPriority w:val="35"/>
    <w:semiHidden/>
    <w:unhideWhenUsed/>
    <w:qFormat/>
    <w:pPr>
      <w:spacing w:line="276" w:lineRule="auto"/>
    </w:pPr>
    <w:rPr>
      <w:b/>
      <w:bCs/>
      <w:color w:val="4f81bd" w:themeColor="accent1"/>
      <w:sz w:val="18"/>
      <w:szCs w:val="18"/>
    </w:rPr>
  </w:style>
  <w:style w:type="character" w:styleId="933">
    <w:name w:val="Caption Char"/>
    <w:basedOn w:val="932"/>
    <w:link w:val="930"/>
    <w:uiPriority w:val="99"/>
  </w:style>
  <w:style w:type="table" w:styleId="9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0">
    <w:name w:val="Hyperlink"/>
    <w:uiPriority w:val="99"/>
    <w:unhideWhenUsed/>
    <w:rPr>
      <w:color w:val="0000ff" w:themeColor="hyperlink"/>
      <w:u w:val="single"/>
    </w:rPr>
  </w:style>
  <w:style w:type="paragraph" w:styleId="1061">
    <w:name w:val="footnote text"/>
    <w:basedOn w:val="1078"/>
    <w:link w:val="1062"/>
    <w:uiPriority w:val="99"/>
    <w:semiHidden/>
    <w:unhideWhenUsed/>
    <w:pPr>
      <w:spacing w:after="40" w:line="240" w:lineRule="auto"/>
    </w:pPr>
    <w:rPr>
      <w:sz w:val="18"/>
    </w:rPr>
  </w:style>
  <w:style w:type="character" w:styleId="1062">
    <w:name w:val="Footnote Text Char"/>
    <w:link w:val="1061"/>
    <w:uiPriority w:val="99"/>
    <w:rPr>
      <w:sz w:val="18"/>
    </w:rPr>
  </w:style>
  <w:style w:type="character" w:styleId="1063">
    <w:name w:val="footnote reference"/>
    <w:uiPriority w:val="99"/>
    <w:unhideWhenUsed/>
    <w:rPr>
      <w:vertAlign w:val="superscript"/>
    </w:rPr>
  </w:style>
  <w:style w:type="paragraph" w:styleId="1064">
    <w:name w:val="endnote text"/>
    <w:basedOn w:val="1078"/>
    <w:link w:val="1065"/>
    <w:uiPriority w:val="99"/>
    <w:semiHidden/>
    <w:unhideWhenUsed/>
    <w:pPr>
      <w:spacing w:after="0" w:line="240" w:lineRule="auto"/>
    </w:pPr>
    <w:rPr>
      <w:sz w:val="20"/>
    </w:rPr>
  </w:style>
  <w:style w:type="character" w:styleId="1065">
    <w:name w:val="Endnote Text Char"/>
    <w:link w:val="1064"/>
    <w:uiPriority w:val="99"/>
    <w:rPr>
      <w:sz w:val="20"/>
    </w:rPr>
  </w:style>
  <w:style w:type="character" w:styleId="1066">
    <w:name w:val="endnote reference"/>
    <w:uiPriority w:val="99"/>
    <w:semiHidden/>
    <w:unhideWhenUsed/>
    <w:rPr>
      <w:vertAlign w:val="superscript"/>
    </w:rPr>
  </w:style>
  <w:style w:type="paragraph" w:styleId="1067">
    <w:name w:val="toc 1"/>
    <w:basedOn w:val="1078"/>
    <w:next w:val="1078"/>
    <w:uiPriority w:val="39"/>
    <w:unhideWhenUsed/>
    <w:pPr>
      <w:ind w:left="0" w:right="0" w:firstLine="0"/>
      <w:spacing w:after="57"/>
    </w:pPr>
  </w:style>
  <w:style w:type="paragraph" w:styleId="1068">
    <w:name w:val="toc 2"/>
    <w:basedOn w:val="1078"/>
    <w:next w:val="1078"/>
    <w:uiPriority w:val="39"/>
    <w:unhideWhenUsed/>
    <w:pPr>
      <w:ind w:left="283" w:right="0" w:firstLine="0"/>
      <w:spacing w:after="57"/>
    </w:pPr>
  </w:style>
  <w:style w:type="paragraph" w:styleId="1069">
    <w:name w:val="toc 3"/>
    <w:basedOn w:val="1078"/>
    <w:next w:val="1078"/>
    <w:uiPriority w:val="39"/>
    <w:unhideWhenUsed/>
    <w:pPr>
      <w:ind w:left="567" w:right="0" w:firstLine="0"/>
      <w:spacing w:after="57"/>
    </w:pPr>
  </w:style>
  <w:style w:type="paragraph" w:styleId="1070">
    <w:name w:val="toc 4"/>
    <w:basedOn w:val="1078"/>
    <w:next w:val="1078"/>
    <w:uiPriority w:val="39"/>
    <w:unhideWhenUsed/>
    <w:pPr>
      <w:ind w:left="850" w:right="0" w:firstLine="0"/>
      <w:spacing w:after="57"/>
    </w:pPr>
  </w:style>
  <w:style w:type="paragraph" w:styleId="1071">
    <w:name w:val="toc 5"/>
    <w:basedOn w:val="1078"/>
    <w:next w:val="1078"/>
    <w:uiPriority w:val="39"/>
    <w:unhideWhenUsed/>
    <w:pPr>
      <w:ind w:left="1134" w:right="0" w:firstLine="0"/>
      <w:spacing w:after="57"/>
    </w:pPr>
  </w:style>
  <w:style w:type="paragraph" w:styleId="1072">
    <w:name w:val="toc 6"/>
    <w:basedOn w:val="1078"/>
    <w:next w:val="1078"/>
    <w:uiPriority w:val="39"/>
    <w:unhideWhenUsed/>
    <w:pPr>
      <w:ind w:left="1417" w:right="0" w:firstLine="0"/>
      <w:spacing w:after="57"/>
    </w:pPr>
  </w:style>
  <w:style w:type="paragraph" w:styleId="1073">
    <w:name w:val="toc 7"/>
    <w:basedOn w:val="1078"/>
    <w:next w:val="1078"/>
    <w:uiPriority w:val="39"/>
    <w:unhideWhenUsed/>
    <w:pPr>
      <w:ind w:left="1701" w:right="0" w:firstLine="0"/>
      <w:spacing w:after="57"/>
    </w:pPr>
  </w:style>
  <w:style w:type="paragraph" w:styleId="1074">
    <w:name w:val="toc 8"/>
    <w:basedOn w:val="1078"/>
    <w:next w:val="1078"/>
    <w:uiPriority w:val="39"/>
    <w:unhideWhenUsed/>
    <w:pPr>
      <w:ind w:left="1984" w:right="0" w:firstLine="0"/>
      <w:spacing w:after="57"/>
    </w:pPr>
  </w:style>
  <w:style w:type="paragraph" w:styleId="1075">
    <w:name w:val="toc 9"/>
    <w:basedOn w:val="1078"/>
    <w:next w:val="1078"/>
    <w:uiPriority w:val="39"/>
    <w:unhideWhenUsed/>
    <w:pPr>
      <w:ind w:left="2268" w:right="0" w:firstLine="0"/>
      <w:spacing w:after="57"/>
    </w:pPr>
  </w:style>
  <w:style w:type="paragraph" w:styleId="1076">
    <w:name w:val="TOC Heading"/>
    <w:uiPriority w:val="39"/>
    <w:unhideWhenUsed/>
  </w:style>
  <w:style w:type="paragraph" w:styleId="1077">
    <w:name w:val="table of figures"/>
    <w:basedOn w:val="1078"/>
    <w:next w:val="1078"/>
    <w:uiPriority w:val="99"/>
    <w:unhideWhenUsed/>
    <w:pPr>
      <w:spacing w:after="0" w:afterAutospacing="0"/>
    </w:pPr>
  </w:style>
  <w:style w:type="paragraph" w:styleId="1078" w:default="1">
    <w:name w:val="Normal"/>
    <w:next w:val="1078"/>
    <w:link w:val="1078"/>
    <w:qFormat/>
    <w:pPr>
      <w:jc w:val="both"/>
      <w:widowControl w:val="off"/>
    </w:pPr>
    <w:rPr>
      <w:sz w:val="21"/>
      <w:szCs w:val="24"/>
      <w:lang w:val="en-US" w:eastAsia="zh-CN" w:bidi="ar-SA"/>
    </w:rPr>
  </w:style>
  <w:style w:type="paragraph" w:styleId="1079">
    <w:name w:val="标题 1"/>
    <w:basedOn w:val="1078"/>
    <w:next w:val="1078"/>
    <w:link w:val="1090"/>
    <w:qFormat/>
    <w:pPr>
      <w:jc w:val="center"/>
      <w:keepLines/>
      <w:keepNext/>
      <w:spacing w:before="240" w:after="120" w:line="300" w:lineRule="auto"/>
      <w:outlineLvl w:val="0"/>
    </w:pPr>
    <w:rPr>
      <w:rFonts w:ascii="宋体"/>
      <w:b/>
      <w:sz w:val="32"/>
      <w:szCs w:val="20"/>
    </w:rPr>
  </w:style>
  <w:style w:type="paragraph" w:styleId="1080">
    <w:name w:val="标题 2"/>
    <w:basedOn w:val="1078"/>
    <w:next w:val="1092"/>
    <w:link w:val="1091"/>
    <w:qFormat/>
    <w:pPr>
      <w:jc w:val="center"/>
      <w:keepLines/>
      <w:keepNext/>
      <w:spacing w:before="120" w:line="300" w:lineRule="auto"/>
      <w:outlineLvl w:val="1"/>
    </w:pPr>
    <w:rPr>
      <w:rFonts w:ascii="Arial" w:hAnsi="Arial" w:eastAsia="黑体"/>
      <w:b/>
      <w:sz w:val="30"/>
      <w:szCs w:val="20"/>
    </w:rPr>
  </w:style>
  <w:style w:type="paragraph" w:styleId="1081">
    <w:name w:val="标题 3"/>
    <w:basedOn w:val="1078"/>
    <w:next w:val="1078"/>
    <w:link w:val="1094"/>
    <w:qFormat/>
    <w:pPr>
      <w:jc w:val="left"/>
      <w:keepLines/>
      <w:keepNext/>
      <w:spacing w:before="360" w:after="120"/>
      <w:outlineLvl w:val="2"/>
    </w:pPr>
    <w:rPr>
      <w:rFonts w:ascii="宋体"/>
      <w:b/>
      <w:sz w:val="24"/>
      <w:szCs w:val="20"/>
      <w:u w:val="single"/>
    </w:rPr>
  </w:style>
  <w:style w:type="paragraph" w:styleId="1082">
    <w:name w:val="标题 4"/>
    <w:basedOn w:val="1078"/>
    <w:next w:val="1078"/>
    <w:link w:val="1095"/>
    <w:qFormat/>
    <w:pPr>
      <w:keepLines/>
      <w:keepNext/>
      <w:spacing w:before="280" w:after="290" w:line="376" w:lineRule="atLeast"/>
      <w:outlineLvl w:val="3"/>
    </w:pPr>
    <w:rPr>
      <w:rFonts w:ascii="Arial" w:hAnsi="Arial" w:eastAsia="黑体"/>
      <w:b/>
      <w:sz w:val="28"/>
      <w:szCs w:val="20"/>
    </w:rPr>
  </w:style>
  <w:style w:type="paragraph" w:styleId="1083">
    <w:name w:val="标题 5"/>
    <w:basedOn w:val="1078"/>
    <w:next w:val="1078"/>
    <w:link w:val="1096"/>
    <w:qFormat/>
    <w:pPr>
      <w:keepLines/>
      <w:keepNext/>
      <w:spacing w:before="280" w:after="290" w:line="376" w:lineRule="atLeast"/>
      <w:outlineLvl w:val="4"/>
    </w:pPr>
    <w:rPr>
      <w:b/>
      <w:sz w:val="28"/>
      <w:szCs w:val="20"/>
    </w:rPr>
  </w:style>
  <w:style w:type="paragraph" w:styleId="1084">
    <w:name w:val="标题 6"/>
    <w:basedOn w:val="1078"/>
    <w:next w:val="1078"/>
    <w:link w:val="1097"/>
    <w:qFormat/>
    <w:pPr>
      <w:keepLines/>
      <w:keepNext/>
      <w:spacing w:before="240" w:after="64" w:line="320" w:lineRule="atLeast"/>
      <w:outlineLvl w:val="5"/>
    </w:pPr>
    <w:rPr>
      <w:rFonts w:ascii="Arial" w:hAnsi="Arial" w:eastAsia="黑体"/>
      <w:b/>
      <w:sz w:val="24"/>
      <w:szCs w:val="20"/>
    </w:rPr>
  </w:style>
  <w:style w:type="paragraph" w:styleId="1085">
    <w:name w:val="标题 7"/>
    <w:basedOn w:val="1078"/>
    <w:next w:val="1078"/>
    <w:link w:val="1098"/>
    <w:qFormat/>
    <w:pPr>
      <w:keepLines/>
      <w:keepNext/>
      <w:spacing w:before="240" w:after="64" w:line="320" w:lineRule="atLeast"/>
      <w:outlineLvl w:val="6"/>
    </w:pPr>
    <w:rPr>
      <w:b/>
      <w:sz w:val="24"/>
      <w:szCs w:val="20"/>
    </w:rPr>
  </w:style>
  <w:style w:type="paragraph" w:styleId="1086">
    <w:name w:val="标题 8"/>
    <w:basedOn w:val="1078"/>
    <w:next w:val="1078"/>
    <w:link w:val="1099"/>
    <w:qFormat/>
    <w:pPr>
      <w:keepLines/>
      <w:keepNext/>
      <w:spacing w:before="240" w:after="64" w:line="320" w:lineRule="atLeast"/>
      <w:outlineLvl w:val="7"/>
    </w:pPr>
    <w:rPr>
      <w:rFonts w:ascii="Arial" w:hAnsi="Arial" w:eastAsia="黑体"/>
      <w:sz w:val="24"/>
      <w:szCs w:val="20"/>
    </w:rPr>
  </w:style>
  <w:style w:type="paragraph" w:styleId="1087">
    <w:name w:val="标题 9"/>
    <w:basedOn w:val="1078"/>
    <w:next w:val="1078"/>
    <w:link w:val="1100"/>
    <w:qFormat/>
    <w:pPr>
      <w:keepLines/>
      <w:keepNext/>
      <w:spacing w:before="240" w:after="64" w:line="320" w:lineRule="atLeast"/>
      <w:outlineLvl w:val="8"/>
    </w:pPr>
    <w:rPr>
      <w:rFonts w:ascii="Arial" w:hAnsi="Arial" w:eastAsia="黑体"/>
      <w:szCs w:val="20"/>
    </w:rPr>
  </w:style>
  <w:style w:type="character" w:styleId="1088">
    <w:name w:val="默认段落字体"/>
    <w:next w:val="1088"/>
    <w:link w:val="1078"/>
    <w:uiPriority w:val="1"/>
    <w:unhideWhenUsed/>
    <w:qFormat/>
  </w:style>
  <w:style w:type="table" w:styleId="1089">
    <w:name w:val="普通表格"/>
    <w:next w:val="1089"/>
    <w:link w:val="1078"/>
    <w:uiPriority w:val="99"/>
    <w:unhideWhenUsed/>
    <w:qFormat/>
    <w:tblPr/>
  </w:style>
  <w:style w:type="character" w:styleId="1090">
    <w:name w:val="标题 1 字符"/>
    <w:next w:val="1090"/>
    <w:link w:val="1079"/>
    <w:qFormat/>
    <w:rPr>
      <w:rFonts w:ascii="宋体"/>
      <w:b/>
      <w:sz w:val="32"/>
    </w:rPr>
  </w:style>
  <w:style w:type="character" w:styleId="1091">
    <w:name w:val="标题 2 字符"/>
    <w:next w:val="1091"/>
    <w:link w:val="1080"/>
    <w:qFormat/>
    <w:rPr>
      <w:rFonts w:ascii="Arial" w:hAnsi="Arial" w:eastAsia="黑体"/>
      <w:b/>
      <w:sz w:val="30"/>
      <w:lang w:val="en-US" w:eastAsia="zh-CN" w:bidi="ar-SA"/>
    </w:rPr>
  </w:style>
  <w:style w:type="paragraph" w:styleId="1092">
    <w:name w:val="正文缩进"/>
    <w:basedOn w:val="1078"/>
    <w:next w:val="1078"/>
    <w:link w:val="1093"/>
    <w:uiPriority w:val="99"/>
    <w:qFormat/>
    <w:pPr>
      <w:ind w:firstLine="420"/>
      <w:jc w:val="left"/>
    </w:pPr>
    <w:rPr>
      <w:rFonts w:ascii="宋体"/>
      <w:sz w:val="24"/>
    </w:rPr>
  </w:style>
  <w:style w:type="character" w:styleId="1093">
    <w:name w:val="正文缩进 字符1"/>
    <w:next w:val="1093"/>
    <w:link w:val="1092"/>
    <w:qFormat/>
    <w:rPr>
      <w:rFonts w:ascii="宋体" w:eastAsia="宋体"/>
      <w:sz w:val="24"/>
      <w:szCs w:val="24"/>
      <w:lang w:val="en-US" w:eastAsia="zh-CN" w:bidi="ar-SA"/>
    </w:rPr>
  </w:style>
  <w:style w:type="character" w:styleId="1094">
    <w:name w:val="标题 3 字符"/>
    <w:next w:val="1094"/>
    <w:link w:val="1081"/>
    <w:qFormat/>
    <w:rPr>
      <w:rFonts w:ascii="宋体" w:eastAsia="宋体"/>
      <w:b/>
      <w:sz w:val="24"/>
      <w:u w:val="single"/>
      <w:lang w:val="en-US" w:eastAsia="zh-CN" w:bidi="ar-SA"/>
    </w:rPr>
  </w:style>
  <w:style w:type="character" w:styleId="1095">
    <w:name w:val="标题 4 字符"/>
    <w:next w:val="1095"/>
    <w:link w:val="1082"/>
    <w:qFormat/>
    <w:rPr>
      <w:rFonts w:ascii="Arial" w:hAnsi="Arial" w:eastAsia="黑体"/>
      <w:b/>
      <w:sz w:val="28"/>
    </w:rPr>
  </w:style>
  <w:style w:type="character" w:styleId="1096">
    <w:name w:val="标题 5 字符"/>
    <w:next w:val="1096"/>
    <w:link w:val="1083"/>
    <w:qFormat/>
    <w:rPr>
      <w:b/>
      <w:sz w:val="28"/>
    </w:rPr>
  </w:style>
  <w:style w:type="character" w:styleId="1097">
    <w:name w:val="标题 6 字符"/>
    <w:next w:val="1097"/>
    <w:link w:val="1084"/>
    <w:qFormat/>
    <w:rPr>
      <w:rFonts w:ascii="Arial" w:hAnsi="Arial" w:eastAsia="黑体"/>
      <w:b/>
      <w:sz w:val="24"/>
    </w:rPr>
  </w:style>
  <w:style w:type="character" w:styleId="1098">
    <w:name w:val="标题 7 字符"/>
    <w:next w:val="1098"/>
    <w:link w:val="1085"/>
    <w:qFormat/>
    <w:rPr>
      <w:b/>
      <w:sz w:val="24"/>
    </w:rPr>
  </w:style>
  <w:style w:type="character" w:styleId="1099">
    <w:name w:val="标题 8 字符"/>
    <w:next w:val="1099"/>
    <w:link w:val="1086"/>
    <w:qFormat/>
    <w:rPr>
      <w:rFonts w:ascii="Arial" w:hAnsi="Arial" w:eastAsia="黑体"/>
      <w:sz w:val="24"/>
    </w:rPr>
  </w:style>
  <w:style w:type="character" w:styleId="1100">
    <w:name w:val="标题 9 字符"/>
    <w:next w:val="1100"/>
    <w:link w:val="1087"/>
    <w:qFormat/>
    <w:rPr>
      <w:rFonts w:ascii="Arial" w:hAnsi="Arial" w:eastAsia="黑体"/>
      <w:sz w:val="21"/>
    </w:rPr>
  </w:style>
  <w:style w:type="paragraph" w:styleId="1101">
    <w:name w:val="目录 7"/>
    <w:basedOn w:val="1078"/>
    <w:next w:val="1078"/>
    <w:link w:val="1078"/>
    <w:qFormat/>
    <w:pPr>
      <w:ind w:left="2520"/>
    </w:pPr>
  </w:style>
  <w:style w:type="paragraph" w:styleId="1102">
    <w:name w:val="题注"/>
    <w:basedOn w:val="1078"/>
    <w:next w:val="1078"/>
    <w:link w:val="1078"/>
    <w:qFormat/>
    <w:pPr>
      <w:spacing w:line="480" w:lineRule="auto"/>
    </w:pPr>
    <w:rPr>
      <w:rFonts w:ascii="华文中宋" w:hAnsi="华文中宋" w:eastAsia="华文中宋"/>
      <w:sz w:val="36"/>
      <w:szCs w:val="20"/>
    </w:rPr>
  </w:style>
  <w:style w:type="paragraph" w:styleId="1103">
    <w:name w:val="文档结构图"/>
    <w:basedOn w:val="1078"/>
    <w:next w:val="1103"/>
    <w:link w:val="1104"/>
    <w:qFormat/>
    <w:pPr>
      <w:shd w:val="clear" w:color="auto" w:fill="000080"/>
    </w:pPr>
  </w:style>
  <w:style w:type="character" w:styleId="1104">
    <w:name w:val="文档结构图 字符"/>
    <w:next w:val="1104"/>
    <w:link w:val="1103"/>
    <w:qFormat/>
    <w:rPr>
      <w:sz w:val="21"/>
      <w:szCs w:val="24"/>
      <w:shd w:val="clear" w:color="auto" w:fill="000080"/>
    </w:rPr>
  </w:style>
  <w:style w:type="paragraph" w:styleId="1105">
    <w:name w:val="批注文字"/>
    <w:basedOn w:val="1078"/>
    <w:next w:val="1105"/>
    <w:link w:val="1106"/>
    <w:uiPriority w:val="99"/>
    <w:qFormat/>
    <w:pPr>
      <w:jc w:val="left"/>
    </w:pPr>
  </w:style>
  <w:style w:type="character" w:styleId="1106">
    <w:name w:val="批注文字 字符1"/>
    <w:next w:val="1106"/>
    <w:link w:val="1105"/>
    <w:uiPriority w:val="99"/>
    <w:qFormat/>
    <w:rPr>
      <w:sz w:val="21"/>
      <w:szCs w:val="24"/>
    </w:rPr>
  </w:style>
  <w:style w:type="paragraph" w:styleId="1107">
    <w:name w:val="正文文本 3"/>
    <w:basedOn w:val="1078"/>
    <w:next w:val="1107"/>
    <w:link w:val="1108"/>
    <w:qFormat/>
    <w:pPr>
      <w:spacing w:after="120"/>
    </w:pPr>
    <w:rPr>
      <w:sz w:val="16"/>
      <w:szCs w:val="16"/>
    </w:rPr>
  </w:style>
  <w:style w:type="character" w:styleId="1108">
    <w:name w:val="正文文本 3 字符"/>
    <w:next w:val="1108"/>
    <w:link w:val="1107"/>
    <w:qFormat/>
    <w:rPr>
      <w:sz w:val="16"/>
      <w:szCs w:val="16"/>
    </w:rPr>
  </w:style>
  <w:style w:type="paragraph" w:styleId="1109">
    <w:name w:val="正文文本"/>
    <w:basedOn w:val="1078"/>
    <w:next w:val="1078"/>
    <w:link w:val="1110"/>
    <w:qFormat/>
    <w:pPr>
      <w:spacing w:before="120" w:line="22" w:lineRule="atLeast"/>
      <w:tabs>
        <w:tab w:val="left" w:pos="567" w:leader="none"/>
      </w:tabs>
    </w:pPr>
    <w:rPr>
      <w:rFonts w:ascii="宋体" w:hAnsi="宋体"/>
      <w:sz w:val="24"/>
    </w:rPr>
  </w:style>
  <w:style w:type="character" w:styleId="1110">
    <w:name w:val="正文文本 字符1"/>
    <w:next w:val="1110"/>
    <w:link w:val="1109"/>
    <w:qFormat/>
    <w:rPr>
      <w:rFonts w:ascii="宋体" w:hAnsi="宋体"/>
      <w:sz w:val="24"/>
      <w:szCs w:val="24"/>
    </w:rPr>
  </w:style>
  <w:style w:type="paragraph" w:styleId="1111">
    <w:name w:val="正文文本缩进"/>
    <w:basedOn w:val="1078"/>
    <w:next w:val="1111"/>
    <w:link w:val="1112"/>
    <w:qFormat/>
    <w:pPr>
      <w:ind w:firstLine="570"/>
      <w:spacing w:line="360" w:lineRule="auto"/>
    </w:pPr>
    <w:rPr>
      <w:sz w:val="24"/>
    </w:rPr>
  </w:style>
  <w:style w:type="character" w:styleId="1112">
    <w:name w:val="正文文本缩进 字符"/>
    <w:next w:val="1112"/>
    <w:link w:val="1111"/>
    <w:qFormat/>
    <w:rPr>
      <w:rFonts w:eastAsia="宋体"/>
      <w:sz w:val="24"/>
      <w:szCs w:val="24"/>
      <w:lang w:val="en-US" w:eastAsia="zh-CN" w:bidi="ar-SA"/>
    </w:rPr>
  </w:style>
  <w:style w:type="paragraph" w:styleId="1113">
    <w:name w:val="列表 2"/>
    <w:basedOn w:val="1078"/>
    <w:next w:val="1113"/>
    <w:link w:val="1078"/>
    <w:qFormat/>
    <w:pPr>
      <w:ind w:left="100" w:hanging="200"/>
    </w:pPr>
  </w:style>
  <w:style w:type="paragraph" w:styleId="1114">
    <w:name w:val="文本块"/>
    <w:basedOn w:val="1078"/>
    <w:next w:val="1114"/>
    <w:link w:val="1078"/>
    <w:qFormat/>
    <w:pPr>
      <w:ind w:left="480" w:right="-341" w:firstLine="513"/>
      <w:widowControl/>
    </w:pPr>
    <w:rPr>
      <w:sz w:val="24"/>
      <w:szCs w:val="20"/>
    </w:rPr>
  </w:style>
  <w:style w:type="paragraph" w:styleId="1115">
    <w:name w:val="目录 5"/>
    <w:basedOn w:val="1078"/>
    <w:next w:val="1078"/>
    <w:link w:val="1078"/>
    <w:qFormat/>
    <w:pPr>
      <w:ind w:left="1680"/>
    </w:pPr>
  </w:style>
  <w:style w:type="paragraph" w:styleId="1116">
    <w:name w:val="目录 3"/>
    <w:basedOn w:val="1078"/>
    <w:next w:val="1078"/>
    <w:link w:val="1078"/>
    <w:uiPriority w:val="39"/>
    <w:qFormat/>
    <w:pPr>
      <w:ind w:left="840"/>
    </w:pPr>
  </w:style>
  <w:style w:type="paragraph" w:styleId="1117">
    <w:name w:val="纯文本"/>
    <w:basedOn w:val="1078"/>
    <w:next w:val="1092"/>
    <w:link w:val="1118"/>
    <w:uiPriority w:val="99"/>
    <w:qFormat/>
    <w:rPr>
      <w:rFonts w:hint="eastAsia" w:ascii="宋体" w:hAnsi="Courier New"/>
      <w:szCs w:val="20"/>
    </w:rPr>
  </w:style>
  <w:style w:type="character" w:styleId="1118">
    <w:name w:val="纯文本 字符2"/>
    <w:next w:val="1118"/>
    <w:link w:val="1117"/>
    <w:qFormat/>
    <w:rPr>
      <w:rFonts w:hint="eastAsia" w:ascii="宋体" w:hAnsi="Courier New" w:eastAsia="宋体" w:cs="宋体"/>
      <w:sz w:val="21"/>
    </w:rPr>
  </w:style>
  <w:style w:type="paragraph" w:styleId="1119">
    <w:name w:val="目录 8"/>
    <w:basedOn w:val="1078"/>
    <w:next w:val="1078"/>
    <w:link w:val="1078"/>
    <w:qFormat/>
    <w:pPr>
      <w:ind w:left="2940"/>
    </w:pPr>
  </w:style>
  <w:style w:type="paragraph" w:styleId="1120">
    <w:name w:val="日期"/>
    <w:basedOn w:val="1078"/>
    <w:next w:val="1078"/>
    <w:link w:val="1121"/>
    <w:qFormat/>
    <w:pPr>
      <w:ind w:left="100"/>
    </w:pPr>
    <w:rPr>
      <w:rFonts w:ascii="仿宋_GB2312" w:hAnsi="宋体" w:eastAsia="仿宋_GB2312"/>
      <w:color w:val="000000"/>
      <w:sz w:val="24"/>
    </w:rPr>
  </w:style>
  <w:style w:type="character" w:styleId="1121">
    <w:name w:val="日期 字符"/>
    <w:next w:val="1121"/>
    <w:link w:val="1120"/>
    <w:qFormat/>
    <w:rPr>
      <w:rFonts w:ascii="仿宋_GB2312" w:hAnsi="宋体" w:eastAsia="仿宋_GB2312"/>
      <w:color w:val="000000"/>
      <w:sz w:val="24"/>
      <w:szCs w:val="24"/>
    </w:rPr>
  </w:style>
  <w:style w:type="paragraph" w:styleId="1122">
    <w:name w:val="正文文本缩进 2"/>
    <w:basedOn w:val="1078"/>
    <w:next w:val="1122"/>
    <w:link w:val="1123"/>
    <w:qFormat/>
    <w:pPr>
      <w:ind w:firstLine="480"/>
    </w:pPr>
    <w:rPr>
      <w:rFonts w:ascii="仿宋_GB2312" w:eastAsia="仿宋_GB2312"/>
      <w:sz w:val="24"/>
    </w:rPr>
  </w:style>
  <w:style w:type="character" w:styleId="1123">
    <w:name w:val="正文文本缩进 2 字符"/>
    <w:next w:val="1123"/>
    <w:link w:val="1122"/>
    <w:qFormat/>
    <w:rPr>
      <w:rFonts w:ascii="仿宋_GB2312" w:eastAsia="仿宋_GB2312"/>
      <w:sz w:val="24"/>
      <w:szCs w:val="24"/>
    </w:rPr>
  </w:style>
  <w:style w:type="paragraph" w:styleId="1124">
    <w:name w:val="批注框文本"/>
    <w:basedOn w:val="1078"/>
    <w:next w:val="1124"/>
    <w:link w:val="1125"/>
    <w:qFormat/>
    <w:rPr>
      <w:sz w:val="18"/>
      <w:szCs w:val="18"/>
    </w:rPr>
  </w:style>
  <w:style w:type="character" w:styleId="1125">
    <w:name w:val="批注框文本 字符"/>
    <w:next w:val="1125"/>
    <w:link w:val="1124"/>
    <w:qFormat/>
    <w:rPr>
      <w:sz w:val="18"/>
      <w:szCs w:val="18"/>
    </w:rPr>
  </w:style>
  <w:style w:type="paragraph" w:styleId="1126">
    <w:name w:val="页脚"/>
    <w:basedOn w:val="1078"/>
    <w:next w:val="1126"/>
    <w:link w:val="1127"/>
    <w:uiPriority w:val="99"/>
    <w:qFormat/>
    <w:pPr>
      <w:jc w:val="left"/>
      <w:tabs>
        <w:tab w:val="center" w:pos="4153" w:leader="none"/>
        <w:tab w:val="right" w:pos="8306" w:leader="none"/>
      </w:tabs>
    </w:pPr>
    <w:rPr>
      <w:rFonts w:ascii="宋体"/>
      <w:sz w:val="18"/>
      <w:szCs w:val="20"/>
    </w:rPr>
  </w:style>
  <w:style w:type="character" w:styleId="1127">
    <w:name w:val="页脚 字符"/>
    <w:next w:val="1127"/>
    <w:link w:val="1126"/>
    <w:uiPriority w:val="99"/>
    <w:qFormat/>
    <w:rPr>
      <w:rFonts w:ascii="宋体" w:eastAsia="宋体"/>
      <w:sz w:val="18"/>
      <w:lang w:val="en-US" w:eastAsia="zh-CN" w:bidi="ar-SA"/>
    </w:rPr>
  </w:style>
  <w:style w:type="paragraph" w:styleId="1128">
    <w:name w:val="页眉"/>
    <w:basedOn w:val="1078"/>
    <w:next w:val="1128"/>
    <w:link w:val="1129"/>
    <w:qFormat/>
    <w:pPr>
      <w:jc w:val="center"/>
      <w:tabs>
        <w:tab w:val="center" w:pos="4153" w:leader="none"/>
        <w:tab w:val="right" w:pos="8306" w:leader="none"/>
      </w:tabs>
      <w:pBdr>
        <w:bottom w:val="single" w:color="000000" w:sz="6" w:space="1"/>
      </w:pBdr>
    </w:pPr>
    <w:rPr>
      <w:sz w:val="18"/>
      <w:szCs w:val="18"/>
    </w:rPr>
  </w:style>
  <w:style w:type="character" w:styleId="1129">
    <w:name w:val="页眉 字符"/>
    <w:next w:val="1129"/>
    <w:link w:val="1128"/>
    <w:qFormat/>
    <w:rPr>
      <w:rFonts w:eastAsia="宋体"/>
      <w:sz w:val="18"/>
      <w:szCs w:val="18"/>
      <w:lang w:val="en-US" w:eastAsia="zh-CN" w:bidi="ar-SA"/>
    </w:rPr>
  </w:style>
  <w:style w:type="paragraph" w:styleId="1130">
    <w:name w:val="目录 1"/>
    <w:basedOn w:val="1078"/>
    <w:next w:val="1078"/>
    <w:link w:val="1078"/>
    <w:uiPriority w:val="39"/>
    <w:qFormat/>
    <w:pPr>
      <w:spacing w:line="300" w:lineRule="auto"/>
      <w:tabs>
        <w:tab w:val="left" w:pos="1050" w:leader="none"/>
        <w:tab w:val="right" w:pos="8937" w:leader="dot"/>
      </w:tabs>
    </w:pPr>
    <w:rPr>
      <w:rFonts w:ascii="宋体" w:hAnsi="宋体"/>
      <w:b/>
      <w:sz w:val="24"/>
    </w:rPr>
  </w:style>
  <w:style w:type="paragraph" w:styleId="1131">
    <w:name w:val="目录 4"/>
    <w:basedOn w:val="1078"/>
    <w:next w:val="1078"/>
    <w:link w:val="1078"/>
    <w:qFormat/>
    <w:pPr>
      <w:ind w:left="1260"/>
    </w:pPr>
  </w:style>
  <w:style w:type="paragraph" w:styleId="1132">
    <w:name w:val="目录 6"/>
    <w:basedOn w:val="1078"/>
    <w:next w:val="1078"/>
    <w:link w:val="1078"/>
    <w:qFormat/>
    <w:pPr>
      <w:ind w:left="2100"/>
    </w:pPr>
  </w:style>
  <w:style w:type="paragraph" w:styleId="1133">
    <w:name w:val="正文文本缩进 3"/>
    <w:basedOn w:val="1078"/>
    <w:next w:val="1133"/>
    <w:link w:val="1134"/>
    <w:qFormat/>
    <w:pPr>
      <w:ind w:left="720" w:firstLine="480"/>
      <w:jc w:val="left"/>
      <w:spacing w:before="120" w:line="22" w:lineRule="atLeast"/>
    </w:pPr>
    <w:rPr>
      <w:rFonts w:ascii="宋体"/>
      <w:sz w:val="24"/>
      <w:szCs w:val="20"/>
    </w:rPr>
  </w:style>
  <w:style w:type="character" w:styleId="1134">
    <w:name w:val="正文文本缩进 3 字符"/>
    <w:next w:val="1134"/>
    <w:link w:val="1133"/>
    <w:qFormat/>
    <w:rPr>
      <w:rFonts w:ascii="宋体"/>
      <w:sz w:val="24"/>
    </w:rPr>
  </w:style>
  <w:style w:type="paragraph" w:styleId="1135">
    <w:name w:val="目录 2"/>
    <w:basedOn w:val="1078"/>
    <w:next w:val="1078"/>
    <w:link w:val="1078"/>
    <w:uiPriority w:val="39"/>
    <w:qFormat/>
    <w:pPr>
      <w:ind w:left="420"/>
      <w:spacing w:line="312" w:lineRule="auto"/>
      <w:tabs>
        <w:tab w:val="right" w:pos="8937" w:leader="dot"/>
      </w:tabs>
    </w:pPr>
  </w:style>
  <w:style w:type="paragraph" w:styleId="1136">
    <w:name w:val="目录 9"/>
    <w:basedOn w:val="1078"/>
    <w:next w:val="1078"/>
    <w:link w:val="1078"/>
    <w:qFormat/>
    <w:pPr>
      <w:ind w:left="3360"/>
    </w:pPr>
  </w:style>
  <w:style w:type="paragraph" w:styleId="1137">
    <w:name w:val="HTML 预设格式"/>
    <w:basedOn w:val="1078"/>
    <w:next w:val="1137"/>
    <w:link w:val="113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8">
    <w:name w:val="HTML 预设格式 字符"/>
    <w:next w:val="1138"/>
    <w:link w:val="1137"/>
    <w:qFormat/>
    <w:rPr>
      <w:rFonts w:ascii="宋体" w:hAnsi="宋体" w:cs="宋体"/>
      <w:sz w:val="24"/>
      <w:szCs w:val="24"/>
    </w:rPr>
  </w:style>
  <w:style w:type="paragraph" w:styleId="1139">
    <w:name w:val="普通(网站)"/>
    <w:basedOn w:val="1078"/>
    <w:next w:val="1139"/>
    <w:link w:val="1078"/>
    <w:uiPriority w:val="99"/>
    <w:unhideWhenUsed/>
    <w:qFormat/>
    <w:pPr>
      <w:jc w:val="left"/>
      <w:spacing w:before="100" w:beforeAutospacing="1" w:after="100" w:afterAutospacing="1"/>
      <w:widowControl/>
    </w:pPr>
    <w:rPr>
      <w:rFonts w:ascii="宋体" w:hAnsi="宋体" w:cs="宋体"/>
      <w:sz w:val="24"/>
    </w:rPr>
  </w:style>
  <w:style w:type="paragraph" w:styleId="1140">
    <w:name w:val="索引 1"/>
    <w:basedOn w:val="1078"/>
    <w:next w:val="1078"/>
    <w:link w:val="1078"/>
    <w:qFormat/>
    <w:rPr>
      <w:szCs w:val="20"/>
    </w:rPr>
  </w:style>
  <w:style w:type="paragraph" w:styleId="1141">
    <w:name w:val="标题"/>
    <w:basedOn w:val="1078"/>
    <w:next w:val="1141"/>
    <w:link w:val="1142"/>
    <w:qFormat/>
    <w:pPr>
      <w:jc w:val="center"/>
      <w:outlineLvl w:val="0"/>
    </w:pPr>
    <w:rPr>
      <w:b/>
      <w:sz w:val="32"/>
      <w:szCs w:val="20"/>
    </w:rPr>
  </w:style>
  <w:style w:type="character" w:styleId="1142">
    <w:name w:val="标题 字符"/>
    <w:next w:val="1142"/>
    <w:link w:val="1141"/>
    <w:qFormat/>
    <w:rPr>
      <w:b/>
      <w:sz w:val="32"/>
    </w:rPr>
  </w:style>
  <w:style w:type="paragraph" w:styleId="1143">
    <w:name w:val="批注主题"/>
    <w:basedOn w:val="1105"/>
    <w:next w:val="1105"/>
    <w:link w:val="1144"/>
    <w:qFormat/>
    <w:rPr>
      <w:b/>
      <w:bCs/>
    </w:rPr>
  </w:style>
  <w:style w:type="character" w:styleId="1144">
    <w:name w:val="批注主题 字符"/>
    <w:next w:val="1144"/>
    <w:link w:val="1143"/>
    <w:qFormat/>
    <w:rPr>
      <w:rFonts w:ascii="Times New Roman" w:hAnsi="Times New Roman" w:eastAsia="宋体" w:cs="Times New Roman"/>
      <w:b/>
      <w:bCs/>
      <w:sz w:val="21"/>
      <w:szCs w:val="24"/>
      <w:lang w:val="en-US" w:eastAsia="zh-CN" w:bidi="ar-SA"/>
    </w:rPr>
  </w:style>
  <w:style w:type="paragraph" w:styleId="1145">
    <w:name w:val="正文首行缩进 2"/>
    <w:basedOn w:val="1078"/>
    <w:next w:val="1078"/>
    <w:link w:val="1146"/>
    <w:qFormat/>
    <w:pPr>
      <w:ind w:left="420" w:firstLine="420"/>
      <w:spacing w:after="120" w:line="480" w:lineRule="exact"/>
    </w:pPr>
    <w:rPr>
      <w:szCs w:val="20"/>
    </w:rPr>
  </w:style>
  <w:style w:type="character" w:styleId="1146">
    <w:name w:val="正文文本首行缩进 2 字符"/>
    <w:next w:val="1146"/>
    <w:link w:val="1145"/>
    <w:qFormat/>
    <w:rPr>
      <w:rFonts w:eastAsia="宋体"/>
      <w:sz w:val="24"/>
      <w:szCs w:val="24"/>
      <w:lang w:val="en-US" w:eastAsia="zh-CN" w:bidi="ar-SA"/>
    </w:rPr>
  </w:style>
  <w:style w:type="table" w:styleId="1147">
    <w:name w:val="网格型"/>
    <w:basedOn w:val="1089"/>
    <w:next w:val="1147"/>
    <w:link w:val="1078"/>
    <w:uiPriority w:val="39"/>
    <w:qFormat/>
    <w:tblPr/>
  </w:style>
  <w:style w:type="table" w:styleId="1148">
    <w:name w:val="中等深浅网格 1 - 强调文字颜色 2"/>
    <w:basedOn w:val="1089"/>
    <w:next w:val="1148"/>
    <w:link w:val="1078"/>
    <w:qFormat/>
    <w:rPr>
      <w:sz w:val="21"/>
      <w:szCs w:val="24"/>
    </w:rPr>
    <w:tblPr/>
  </w:style>
  <w:style w:type="character" w:styleId="1149">
    <w:name w:val="要点"/>
    <w:basedOn w:val="1088"/>
    <w:next w:val="1149"/>
    <w:link w:val="1078"/>
    <w:qFormat/>
    <w:rPr>
      <w:b/>
      <w:bCs/>
    </w:rPr>
  </w:style>
  <w:style w:type="character" w:styleId="1150">
    <w:name w:val="页码"/>
    <w:next w:val="1150"/>
    <w:link w:val="1078"/>
    <w:qFormat/>
  </w:style>
  <w:style w:type="character" w:styleId="1151">
    <w:name w:val="已访问的超链接"/>
    <w:next w:val="1151"/>
    <w:link w:val="1078"/>
    <w:qFormat/>
    <w:rPr>
      <w:color w:val="800080"/>
      <w:u w:val="single"/>
    </w:rPr>
  </w:style>
  <w:style w:type="character" w:styleId="1152">
    <w:name w:val="强调"/>
    <w:next w:val="1152"/>
    <w:link w:val="1078"/>
    <w:qFormat/>
    <w:rPr>
      <w:color w:val="cc0033"/>
    </w:rPr>
  </w:style>
  <w:style w:type="character" w:styleId="1153">
    <w:name w:val="超链接"/>
    <w:next w:val="1153"/>
    <w:link w:val="1078"/>
    <w:uiPriority w:val="99"/>
    <w:qFormat/>
    <w:rPr>
      <w:color w:val="0000ff"/>
      <w:u w:val="single"/>
    </w:rPr>
  </w:style>
  <w:style w:type="character" w:styleId="1154">
    <w:name w:val="批注引用"/>
    <w:next w:val="1154"/>
    <w:link w:val="1078"/>
    <w:uiPriority w:val="99"/>
    <w:qFormat/>
    <w:rPr>
      <w:sz w:val="21"/>
      <w:szCs w:val="21"/>
    </w:rPr>
  </w:style>
  <w:style w:type="character" w:styleId="1155">
    <w:name w:val="HTML 引文"/>
    <w:next w:val="1155"/>
    <w:link w:val="1078"/>
    <w:qFormat/>
    <w:rPr>
      <w:i/>
      <w:iCs/>
    </w:rPr>
  </w:style>
  <w:style w:type="character" w:styleId="1156">
    <w:name w:val="标题 3 Char"/>
    <w:next w:val="1156"/>
    <w:link w:val="1078"/>
    <w:qFormat/>
    <w:rPr>
      <w:rFonts w:ascii="宋体" w:eastAsia="宋体"/>
      <w:b/>
      <w:sz w:val="24"/>
      <w:u w:val="single"/>
      <w:lang w:val="en-US" w:eastAsia="zh-CN" w:bidi="ar-SA"/>
    </w:rPr>
  </w:style>
  <w:style w:type="character" w:styleId="1157">
    <w:name w:val="批注文字 字符"/>
    <w:next w:val="1157"/>
    <w:link w:val="1078"/>
    <w:uiPriority w:val="99"/>
    <w:qFormat/>
    <w:rPr>
      <w:rFonts w:ascii="Times New Roman" w:hAnsi="Times New Roman" w:eastAsia="宋体" w:cs="Times New Roman"/>
      <w:sz w:val="24"/>
      <w:lang w:val="en-US" w:eastAsia="zh-CN" w:bidi="ar-SA"/>
    </w:rPr>
  </w:style>
  <w:style w:type="character" w:styleId="1158">
    <w:name w:val="c21"/>
    <w:next w:val="1158"/>
    <w:link w:val="1078"/>
    <w:qFormat/>
    <w:rPr>
      <w:rFonts w:ascii="ˎ̥" w:hAnsi="ˎ̥"/>
      <w:color w:val="000000"/>
      <w:sz w:val="20"/>
      <w:szCs w:val="20"/>
      <w:u w:val="none"/>
    </w:rPr>
  </w:style>
  <w:style w:type="character" w:styleId="1159">
    <w:name w:val="title4"/>
    <w:next w:val="1159"/>
    <w:link w:val="1078"/>
    <w:qFormat/>
    <w:rPr>
      <w:b/>
      <w:bCs/>
      <w:color w:val="1d87b3"/>
      <w:sz w:val="15"/>
      <w:szCs w:val="15"/>
    </w:rPr>
  </w:style>
  <w:style w:type="character" w:styleId="1160">
    <w:name w:val="标题 2 Char Char"/>
    <w:next w:val="1160"/>
    <w:link w:val="1078"/>
    <w:qFormat/>
    <w:rPr>
      <w:rFonts w:ascii="Arial" w:hAnsi="Arial" w:eastAsia="黑体"/>
      <w:b/>
      <w:bCs/>
      <w:sz w:val="32"/>
      <w:szCs w:val="32"/>
      <w:lang w:val="en-US" w:eastAsia="zh-CN" w:bidi="ar-SA"/>
    </w:rPr>
  </w:style>
  <w:style w:type="character" w:styleId="1161">
    <w:name w:val="black1"/>
    <w:next w:val="1161"/>
    <w:link w:val="1078"/>
    <w:qFormat/>
    <w:rPr>
      <w:color w:val="000000"/>
    </w:rPr>
  </w:style>
  <w:style w:type="character" w:styleId="1162">
    <w:name w:val="street-address"/>
    <w:next w:val="1162"/>
    <w:link w:val="1078"/>
    <w:qFormat/>
  </w:style>
  <w:style w:type="character" w:styleId="1163">
    <w:name w:val="locality"/>
    <w:next w:val="1163"/>
    <w:link w:val="1078"/>
    <w:qFormat/>
  </w:style>
  <w:style w:type="character" w:styleId="1164">
    <w:name w:val="正文文本缩进 Char1"/>
    <w:next w:val="1164"/>
    <w:link w:val="1165"/>
    <w:qFormat/>
    <w:rPr>
      <w:rFonts w:ascii="宋体" w:hAnsi="宋体" w:eastAsia="宋体"/>
      <w:sz w:val="24"/>
      <w:szCs w:val="24"/>
      <w:lang w:bidi="ar-SA"/>
    </w:rPr>
  </w:style>
  <w:style w:type="paragraph" w:styleId="1165">
    <w:name w:val="正文文本缩进1"/>
    <w:basedOn w:val="1078"/>
    <w:next w:val="1165"/>
    <w:link w:val="1164"/>
    <w:qFormat/>
    <w:pPr>
      <w:ind w:firstLine="480"/>
      <w:spacing w:line="480" w:lineRule="exact"/>
    </w:pPr>
    <w:rPr>
      <w:rFonts w:ascii="宋体" w:hAnsi="宋体"/>
      <w:sz w:val="24"/>
    </w:rPr>
  </w:style>
  <w:style w:type="character" w:styleId="1166">
    <w:name w:val="Char Char11"/>
    <w:next w:val="1166"/>
    <w:link w:val="1078"/>
    <w:qFormat/>
    <w:rPr>
      <w:rFonts w:ascii="宋体" w:eastAsia="宋体"/>
      <w:b/>
      <w:sz w:val="24"/>
      <w:u w:val="single"/>
      <w:lang w:val="en-US" w:eastAsia="zh-CN" w:bidi="ar-SA"/>
    </w:rPr>
  </w:style>
  <w:style w:type="character" w:styleId="1167">
    <w:name w:val="txt"/>
    <w:next w:val="1167"/>
    <w:link w:val="1078"/>
    <w:qFormat/>
  </w:style>
  <w:style w:type="character" w:styleId="1168">
    <w:name w:val="正文缩进 Char Char"/>
    <w:next w:val="1168"/>
    <w:link w:val="1169"/>
    <w:qFormat/>
    <w:rPr>
      <w:rFonts w:ascii="宋体" w:eastAsia="宋体"/>
      <w:color w:val="000000"/>
      <w:sz w:val="28"/>
      <w:lang w:bidi="ar-SA"/>
    </w:rPr>
  </w:style>
  <w:style w:type="paragraph" w:styleId="1169">
    <w:name w:val="正文缩进1"/>
    <w:basedOn w:val="1078"/>
    <w:next w:val="1169"/>
    <w:link w:val="1168"/>
    <w:qFormat/>
    <w:pPr>
      <w:ind w:firstLine="567"/>
      <w:spacing w:line="480" w:lineRule="exact"/>
      <w:widowControl/>
    </w:pPr>
    <w:rPr>
      <w:rFonts w:ascii="宋体"/>
      <w:color w:val="000000"/>
      <w:sz w:val="28"/>
      <w:szCs w:val="20"/>
    </w:rPr>
  </w:style>
  <w:style w:type="character" w:styleId="1170">
    <w:name w:val="普通文字1 Char1"/>
    <w:next w:val="1170"/>
    <w:link w:val="1078"/>
    <w:qFormat/>
    <w:rPr>
      <w:rFonts w:ascii="宋体" w:hAnsi="Courier New" w:eastAsia="宋体"/>
      <w:sz w:val="21"/>
      <w:lang w:val="en-US" w:eastAsia="zh-CN" w:bidi="ar-SA"/>
    </w:rPr>
  </w:style>
  <w:style w:type="character" w:styleId="1171">
    <w:name w:val="chanpin1"/>
    <w:next w:val="1171"/>
    <w:link w:val="1078"/>
    <w:qFormat/>
    <w:rPr>
      <w:rFonts w:ascii="ˎ̥" w:hAnsi="ˎ̥"/>
      <w:color w:val="000000"/>
      <w:sz w:val="20"/>
      <w:szCs w:val="20"/>
      <w:u w:val="none"/>
    </w:rPr>
  </w:style>
  <w:style w:type="character" w:styleId="1172">
    <w:name w:val="列表段落 字符"/>
    <w:next w:val="1172"/>
    <w:link w:val="1173"/>
    <w:uiPriority w:val="34"/>
    <w:qFormat/>
    <w:rPr>
      <w:rFonts w:ascii="Calibri" w:hAnsi="Calibri" w:eastAsia="宋体"/>
      <w:sz w:val="21"/>
      <w:szCs w:val="22"/>
      <w:lang w:val="en-US" w:eastAsia="zh-CN" w:bidi="ar-SA"/>
    </w:rPr>
  </w:style>
  <w:style w:type="paragraph" w:styleId="1173">
    <w:name w:val="列表段落"/>
    <w:basedOn w:val="1078"/>
    <w:next w:val="1173"/>
    <w:link w:val="1172"/>
    <w:uiPriority w:val="34"/>
    <w:qFormat/>
    <w:pPr>
      <w:ind w:firstLine="420"/>
    </w:pPr>
    <w:rPr>
      <w:rFonts w:ascii="Calibri" w:hAnsi="Calibri"/>
      <w:szCs w:val="22"/>
    </w:rPr>
  </w:style>
  <w:style w:type="character" w:styleId="1174">
    <w:name w:val="标题 3 Char Char"/>
    <w:next w:val="1174"/>
    <w:link w:val="1078"/>
    <w:qFormat/>
    <w:rPr>
      <w:rFonts w:eastAsia="宋体"/>
      <w:b/>
      <w:bCs/>
      <w:sz w:val="32"/>
      <w:szCs w:val="32"/>
      <w:lang w:val="en-US" w:eastAsia="zh-CN" w:bidi="ar-SA"/>
    </w:rPr>
  </w:style>
  <w:style w:type="character" w:styleId="1175">
    <w:name w:val="段1 Char"/>
    <w:next w:val="1175"/>
    <w:link w:val="1078"/>
    <w:qFormat/>
    <w:rPr>
      <w:rFonts w:ascii="宋体" w:eastAsia="宋体"/>
      <w:sz w:val="24"/>
      <w:lang w:val="en-US" w:eastAsia="zh-CN" w:bidi="ar-SA"/>
    </w:rPr>
  </w:style>
  <w:style w:type="character" w:styleId="1176">
    <w:name w:val="chanpin拷贝"/>
    <w:next w:val="1176"/>
    <w:link w:val="1078"/>
    <w:qFormat/>
  </w:style>
  <w:style w:type="character" w:styleId="1177">
    <w:name w:val="纯文本 Char1"/>
    <w:next w:val="1177"/>
    <w:link w:val="1078"/>
    <w:uiPriority w:val="99"/>
    <w:qFormat/>
    <w:rPr>
      <w:rFonts w:ascii="宋体" w:hAnsi="Courier New" w:eastAsia="宋体"/>
      <w:sz w:val="21"/>
      <w:lang w:val="en-US" w:eastAsia="zh-CN" w:bidi="ar-SA"/>
    </w:rPr>
  </w:style>
  <w:style w:type="character" w:styleId="1178">
    <w:name w:val="apple-style-span"/>
    <w:next w:val="1178"/>
    <w:link w:val="1078"/>
    <w:qFormat/>
    <w:rPr>
      <w:rFonts w:cs="Times New Roman"/>
    </w:rPr>
  </w:style>
  <w:style w:type="paragraph" w:styleId="1179">
    <w:name w:val="二级条标题"/>
    <w:basedOn w:val="1180"/>
    <w:next w:val="1078"/>
    <w:link w:val="1078"/>
    <w:qFormat/>
    <w:pPr>
      <w:numPr>
        <w:ilvl w:val="0"/>
        <w:numId w:val="0"/>
      </w:numPr>
      <w:ind w:hanging="840"/>
      <w:tabs>
        <w:tab w:val="left" w:pos="360" w:leader="none"/>
        <w:tab w:val="left" w:pos="840" w:leader="none"/>
      </w:tabs>
      <w:outlineLvl w:val="2"/>
    </w:pPr>
    <w:rPr>
      <w:rFonts w:ascii="宋体" w:eastAsia="宋体"/>
      <w:b w:val="0"/>
    </w:rPr>
  </w:style>
  <w:style w:type="paragraph" w:styleId="1180">
    <w:name w:val="一级条标题"/>
    <w:basedOn w:val="1181"/>
    <w:next w:val="1078"/>
    <w:link w:val="1078"/>
    <w:qFormat/>
    <w:pPr>
      <w:numPr>
        <w:ilvl w:val="1"/>
      </w:numPr>
      <w:ind w:left="0" w:hanging="840"/>
      <w:tabs>
        <w:tab w:val="left" w:pos="360" w:leader="none"/>
        <w:tab w:val="left" w:pos="840" w:leader="none"/>
      </w:tabs>
      <w:outlineLvl w:val="1"/>
    </w:pPr>
  </w:style>
  <w:style w:type="paragraph" w:styleId="1181">
    <w:name w:val="章标题"/>
    <w:next w:val="1078"/>
    <w:link w:val="107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2">
    <w:name w:val="font7"/>
    <w:basedOn w:val="1078"/>
    <w:next w:val="1182"/>
    <w:link w:val="1078"/>
    <w:qFormat/>
    <w:pPr>
      <w:jc w:val="left"/>
      <w:spacing w:before="100" w:beforeAutospacing="1" w:after="100" w:afterAutospacing="1"/>
      <w:widowControl/>
    </w:pPr>
    <w:rPr>
      <w:rFonts w:eastAsia="Arial Unicode MS"/>
      <w:b/>
      <w:bCs/>
      <w:color w:val="000000"/>
      <w:sz w:val="20"/>
      <w:szCs w:val="20"/>
    </w:rPr>
  </w:style>
  <w:style w:type="paragraph" w:styleId="1183">
    <w:name w:val="字元 字元"/>
    <w:basedOn w:val="1078"/>
    <w:next w:val="1183"/>
    <w:link w:val="1078"/>
    <w:qFormat/>
    <w:rPr>
      <w:rFonts w:ascii="Tahoma" w:hAnsi="Tahoma"/>
      <w:sz w:val="24"/>
      <w:szCs w:val="20"/>
    </w:rPr>
  </w:style>
  <w:style w:type="paragraph" w:styleId="1184">
    <w:name w:val="Char3 Char Char Char"/>
    <w:basedOn w:val="1078"/>
    <w:next w:val="1184"/>
    <w:link w:val="1078"/>
    <w:qFormat/>
    <w:rPr>
      <w:rFonts w:ascii="Tahoma" w:hAnsi="Tahoma"/>
      <w:sz w:val="24"/>
      <w:szCs w:val="20"/>
    </w:rPr>
  </w:style>
  <w:style w:type="paragraph" w:styleId="1185">
    <w:name w:val="font6"/>
    <w:basedOn w:val="1078"/>
    <w:next w:val="1185"/>
    <w:link w:val="1078"/>
    <w:qFormat/>
    <w:pPr>
      <w:jc w:val="left"/>
      <w:spacing w:before="100" w:beforeAutospacing="1" w:after="100" w:afterAutospacing="1"/>
      <w:widowControl/>
    </w:pPr>
    <w:rPr>
      <w:rFonts w:ascii="宋体" w:hAnsi="宋体" w:cs="宋体"/>
      <w:sz w:val="20"/>
      <w:szCs w:val="20"/>
    </w:rPr>
  </w:style>
  <w:style w:type="paragraph" w:styleId="1186">
    <w:name w:val="项目编号2"/>
    <w:basedOn w:val="1187"/>
    <w:next w:val="1186"/>
    <w:link w:val="1078"/>
    <w:qFormat/>
    <w:pPr>
      <w:numPr>
        <w:numId w:val="3"/>
      </w:numPr>
    </w:pPr>
  </w:style>
  <w:style w:type="paragraph" w:styleId="1187">
    <w:name w:val="项目编号1"/>
    <w:basedOn w:val="1078"/>
    <w:next w:val="1187"/>
    <w:link w:val="1078"/>
    <w:qFormat/>
    <w:pPr>
      <w:numPr>
        <w:ilvl w:val="0"/>
        <w:numId w:val="2"/>
      </w:numPr>
      <w:spacing w:before="100" w:beforeAutospacing="1" w:after="100" w:afterAutospacing="1" w:line="360" w:lineRule="auto"/>
    </w:pPr>
    <w:rPr>
      <w:sz w:val="24"/>
    </w:rPr>
  </w:style>
  <w:style w:type="paragraph" w:styleId="1188">
    <w:name w:val="图中文字"/>
    <w:basedOn w:val="1078"/>
    <w:next w:val="1188"/>
    <w:link w:val="1078"/>
    <w:qFormat/>
    <w:pPr>
      <w:jc w:val="center"/>
      <w:spacing w:line="0" w:lineRule="atLeast"/>
    </w:pPr>
    <w:rPr>
      <w:sz w:val="24"/>
      <w:szCs w:val="20"/>
    </w:rPr>
  </w:style>
  <w:style w:type="paragraph" w:styleId="1189">
    <w:name w:val="xl46"/>
    <w:basedOn w:val="1078"/>
    <w:next w:val="1189"/>
    <w:link w:val="107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0">
    <w:name w:val="xl25"/>
    <w:basedOn w:val="1078"/>
    <w:next w:val="1190"/>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name w:val="Char2"/>
    <w:basedOn w:val="1078"/>
    <w:next w:val="1191"/>
    <w:link w:val="1078"/>
    <w:qFormat/>
    <w:rPr>
      <w:rFonts w:ascii="Tahoma" w:hAnsi="Tahoma"/>
      <w:sz w:val="24"/>
      <w:szCs w:val="20"/>
    </w:rPr>
  </w:style>
  <w:style w:type="paragraph" w:styleId="1192">
    <w:name w:val="xl35"/>
    <w:basedOn w:val="1078"/>
    <w:next w:val="1192"/>
    <w:link w:val="10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xl40"/>
    <w:basedOn w:val="1078"/>
    <w:next w:val="1193"/>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52"/>
    <w:basedOn w:val="1078"/>
    <w:next w:val="1194"/>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5">
    <w:name w:val="xl43"/>
    <w:basedOn w:val="1078"/>
    <w:next w:val="1195"/>
    <w:link w:val="10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6">
    <w:name w:val="background1"/>
    <w:basedOn w:val="1078"/>
    <w:next w:val="1196"/>
    <w:link w:val="1078"/>
    <w:qFormat/>
    <w:pPr>
      <w:jc w:val="left"/>
      <w:spacing w:before="100" w:beforeAutospacing="1" w:after="100" w:afterAutospacing="1"/>
      <w:widowControl/>
    </w:pPr>
    <w:rPr>
      <w:rFonts w:ascii="宋体" w:hAnsi="宋体" w:cs="宋体"/>
      <w:sz w:val="24"/>
    </w:rPr>
  </w:style>
  <w:style w:type="paragraph" w:styleId="1197">
    <w:name w:val="Char Char Char Char Char Char Char"/>
    <w:basedOn w:val="1078"/>
    <w:next w:val="1197"/>
    <w:link w:val="1078"/>
    <w:qFormat/>
    <w:pPr>
      <w:ind w:firstLine="200"/>
      <w:spacing w:line="360" w:lineRule="auto"/>
    </w:pPr>
    <w:rPr>
      <w:rFonts w:eastAsia="仿宋_GB2312"/>
      <w:sz w:val="24"/>
    </w:rPr>
  </w:style>
  <w:style w:type="paragraph" w:styleId="1198">
    <w:name w:val="xl38"/>
    <w:basedOn w:val="1078"/>
    <w:next w:val="1198"/>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9">
    <w:name w:val="xl36"/>
    <w:basedOn w:val="1078"/>
    <w:next w:val="1199"/>
    <w:link w:val="10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正文 + 宋体"/>
    <w:basedOn w:val="1078"/>
    <w:next w:val="1200"/>
    <w:link w:val="1078"/>
    <w:qFormat/>
    <w:pPr>
      <w:ind w:left="360" w:hanging="360"/>
      <w:jc w:val="left"/>
      <w:widowControl/>
    </w:pPr>
    <w:rPr>
      <w:rFonts w:ascii="宋体" w:hAnsi="宋体" w:cs="宋体"/>
      <w:b/>
      <w:bCs/>
      <w:color w:val="000000"/>
      <w:sz w:val="18"/>
      <w:szCs w:val="18"/>
    </w:rPr>
  </w:style>
  <w:style w:type="paragraph" w:styleId="1201">
    <w:name w:val="正文列项_数字"/>
    <w:basedOn w:val="1078"/>
    <w:next w:val="1201"/>
    <w:link w:val="1078"/>
    <w:qFormat/>
    <w:pPr>
      <w:numPr>
        <w:ilvl w:val="7"/>
        <w:numId w:val="1"/>
      </w:numPr>
      <w:ind w:left="680" w:hanging="150"/>
      <w:spacing w:line="460" w:lineRule="exact"/>
      <w:tabs>
        <w:tab w:val="clear" w:pos="860" w:leader="none"/>
      </w:tabs>
      <w:outlineLvl w:val="7"/>
    </w:pPr>
    <w:rPr>
      <w:rFonts w:ascii="宋体"/>
      <w:sz w:val="28"/>
      <w:szCs w:val="20"/>
    </w:rPr>
  </w:style>
  <w:style w:type="paragraph" w:styleId="1202">
    <w:name w:val="xl39"/>
    <w:basedOn w:val="1078"/>
    <w:next w:val="1202"/>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37"/>
    <w:basedOn w:val="1078"/>
    <w:next w:val="1203"/>
    <w:link w:val="10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4">
    <w:name w:val="xl32"/>
    <w:basedOn w:val="1078"/>
    <w:next w:val="1204"/>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font8"/>
    <w:basedOn w:val="1078"/>
    <w:next w:val="1205"/>
    <w:link w:val="1078"/>
    <w:qFormat/>
    <w:pPr>
      <w:jc w:val="left"/>
      <w:spacing w:before="100" w:beforeAutospacing="1" w:after="100" w:afterAutospacing="1"/>
      <w:widowControl/>
    </w:pPr>
    <w:rPr>
      <w:sz w:val="36"/>
      <w:szCs w:val="36"/>
    </w:rPr>
  </w:style>
  <w:style w:type="paragraph" w:styleId="1206">
    <w:name w:val="Char"/>
    <w:basedOn w:val="1078"/>
    <w:next w:val="1206"/>
    <w:link w:val="1078"/>
    <w:qFormat/>
    <w:pPr>
      <w:tabs>
        <w:tab w:val="left" w:pos="360" w:leader="none"/>
      </w:tabs>
    </w:pPr>
    <w:rPr>
      <w:sz w:val="24"/>
    </w:rPr>
  </w:style>
  <w:style w:type="paragraph" w:styleId="1207">
    <w:name w:val="Char Char Char Char Char Char Char Char Char Char Char Char Char Char Char Char"/>
    <w:basedOn w:val="1078"/>
    <w:next w:val="1207"/>
    <w:link w:val="1078"/>
    <w:qFormat/>
    <w:pPr>
      <w:jc w:val="center"/>
      <w:spacing w:after="160" w:line="240" w:lineRule="exact"/>
      <w:widowControl/>
    </w:pPr>
    <w:rPr>
      <w:rFonts w:ascii="宋体" w:hAnsi="宋体"/>
      <w:b/>
      <w:sz w:val="30"/>
      <w:szCs w:val="30"/>
      <w:lang w:eastAsia="en-US"/>
    </w:rPr>
  </w:style>
  <w:style w:type="paragraph" w:styleId="1208">
    <w:name w:val="xl45"/>
    <w:basedOn w:val="1078"/>
    <w:next w:val="1208"/>
    <w:link w:val="10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9">
    <w:name w:val="Char Char1 Char Char Char Char Char Char"/>
    <w:basedOn w:val="1078"/>
    <w:next w:val="1209"/>
    <w:link w:val="1078"/>
    <w:qFormat/>
    <w:pPr>
      <w:jc w:val="left"/>
      <w:spacing w:after="160" w:line="240" w:lineRule="exact"/>
      <w:widowControl/>
    </w:pPr>
    <w:rPr>
      <w:rFonts w:ascii="Verdana" w:hAnsi="Verdana" w:eastAsia="仿宋_GB2312"/>
      <w:sz w:val="24"/>
      <w:szCs w:val="20"/>
      <w:lang w:eastAsia="en-US"/>
    </w:rPr>
  </w:style>
  <w:style w:type="paragraph" w:styleId="1210">
    <w:name w:val="Char Char1"/>
    <w:basedOn w:val="1103"/>
    <w:next w:val="1210"/>
    <w:link w:val="1078"/>
    <w:qFormat/>
    <w:rPr>
      <w:rFonts w:ascii="Tahoma" w:hAnsi="Tahoma"/>
      <w:sz w:val="24"/>
    </w:rPr>
  </w:style>
  <w:style w:type="paragraph" w:styleId="1211">
    <w:name w:val="xl26"/>
    <w:basedOn w:val="1078"/>
    <w:next w:val="1211"/>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2">
    <w:name w:val="xl30"/>
    <w:basedOn w:val="1078"/>
    <w:next w:val="1212"/>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3">
    <w:name w:val="xl41"/>
    <w:basedOn w:val="1078"/>
    <w:next w:val="1213"/>
    <w:link w:val="10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4">
    <w:name w:val="样式 宋体 五号 行距: 单倍行距"/>
    <w:basedOn w:val="1078"/>
    <w:next w:val="1214"/>
    <w:link w:val="1078"/>
    <w:qFormat/>
    <w:pPr>
      <w:jc w:val="left"/>
    </w:pPr>
    <w:rPr>
      <w:rFonts w:ascii="宋体" w:hAnsi="宋体"/>
      <w:szCs w:val="20"/>
    </w:rPr>
  </w:style>
  <w:style w:type="paragraph" w:styleId="1215">
    <w:name w:val="Char1 Char Char Char1"/>
    <w:basedOn w:val="1078"/>
    <w:next w:val="1215"/>
    <w:link w:val="1078"/>
    <w:qFormat/>
    <w:rPr>
      <w:rFonts w:ascii="Tahoma" w:hAnsi="Tahoma" w:cs="仿宋_GB2312"/>
      <w:sz w:val="24"/>
      <w:szCs w:val="28"/>
    </w:rPr>
  </w:style>
  <w:style w:type="paragraph" w:styleId="1216">
    <w:name w:val="四级条标题"/>
    <w:basedOn w:val="1217"/>
    <w:next w:val="1078"/>
    <w:link w:val="1078"/>
    <w:qFormat/>
    <w:pPr>
      <w:numPr>
        <w:ilvl w:val="4"/>
      </w:numPr>
      <w:ind w:left="0" w:hanging="840"/>
      <w:tabs>
        <w:tab w:val="left" w:pos="360" w:leader="none"/>
        <w:tab w:val="left" w:pos="840" w:leader="none"/>
      </w:tabs>
      <w:outlineLvl w:val="4"/>
    </w:pPr>
  </w:style>
  <w:style w:type="paragraph" w:styleId="1217">
    <w:name w:val="三级条标题"/>
    <w:basedOn w:val="1179"/>
    <w:next w:val="1078"/>
    <w:link w:val="1078"/>
    <w:qFormat/>
    <w:pPr>
      <w:numPr>
        <w:ilvl w:val="3"/>
        <w:numId w:val="1"/>
      </w:numPr>
      <w:ind w:left="0" w:hanging="840"/>
      <w:tabs>
        <w:tab w:val="left" w:pos="360" w:leader="none"/>
        <w:tab w:val="left" w:pos="840" w:leader="none"/>
      </w:tabs>
      <w:outlineLvl w:val="3"/>
    </w:pPr>
  </w:style>
  <w:style w:type="paragraph" w:styleId="1218">
    <w:name w:val="??"/>
    <w:next w:val="1218"/>
    <w:link w:val="1078"/>
    <w:qFormat/>
    <w:pPr>
      <w:jc w:val="both"/>
      <w:widowControl w:val="off"/>
    </w:pPr>
    <w:rPr>
      <w:sz w:val="21"/>
      <w:lang w:val="en-US" w:eastAsia="en-US" w:bidi="ar-SA"/>
    </w:rPr>
  </w:style>
  <w:style w:type="paragraph" w:styleId="1219">
    <w:name w:val="样式 标题 2 + 宋体 五号 行距: 单倍行距"/>
    <w:basedOn w:val="1080"/>
    <w:next w:val="1219"/>
    <w:link w:val="107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0">
    <w:name w:val="List Paragraph1"/>
    <w:basedOn w:val="1078"/>
    <w:next w:val="1220"/>
    <w:link w:val="1078"/>
    <w:qFormat/>
    <w:pPr>
      <w:ind w:firstLine="420"/>
    </w:pPr>
    <w:rPr>
      <w:rFonts w:ascii="Calibri" w:hAnsi="Calibri"/>
      <w:szCs w:val="22"/>
    </w:rPr>
  </w:style>
  <w:style w:type="paragraph" w:styleId="1221">
    <w:name w:val="项目符号1"/>
    <w:basedOn w:val="1222"/>
    <w:next w:val="1221"/>
    <w:link w:val="1078"/>
    <w:qFormat/>
    <w:pPr>
      <w:ind w:left="-25" w:firstLine="0"/>
    </w:pPr>
  </w:style>
  <w:style w:type="paragraph" w:styleId="1222">
    <w:name w:val="正文文本样式"/>
    <w:basedOn w:val="1078"/>
    <w:next w:val="1222"/>
    <w:link w:val="1078"/>
    <w:qFormat/>
    <w:pPr>
      <w:ind w:firstLine="482"/>
      <w:spacing w:line="360" w:lineRule="auto"/>
    </w:pPr>
    <w:rPr>
      <w:rFonts w:cs="宋体"/>
      <w:sz w:val="24"/>
      <w:szCs w:val="20"/>
    </w:rPr>
  </w:style>
  <w:style w:type="paragraph" w:styleId="1223">
    <w:name w:val="xl27"/>
    <w:basedOn w:val="1078"/>
    <w:next w:val="1223"/>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font5"/>
    <w:basedOn w:val="1078"/>
    <w:next w:val="1224"/>
    <w:link w:val="1078"/>
    <w:qFormat/>
    <w:pPr>
      <w:jc w:val="left"/>
      <w:spacing w:before="100" w:beforeAutospacing="1" w:after="100" w:afterAutospacing="1"/>
      <w:widowControl/>
    </w:pPr>
    <w:rPr>
      <w:rFonts w:ascii="宋体" w:hAnsi="宋体" w:cs="宋体"/>
      <w:sz w:val="18"/>
      <w:szCs w:val="18"/>
    </w:rPr>
  </w:style>
  <w:style w:type="paragraph" w:styleId="1225">
    <w:name w:val="五级条标题"/>
    <w:basedOn w:val="1216"/>
    <w:next w:val="1078"/>
    <w:link w:val="1078"/>
    <w:qFormat/>
    <w:pPr>
      <w:numPr>
        <w:ilvl w:val="5"/>
      </w:numPr>
      <w:ind w:left="0" w:hanging="840"/>
      <w:tabs>
        <w:tab w:val="left" w:pos="360" w:leader="none"/>
        <w:tab w:val="left" w:pos="840" w:leader="none"/>
      </w:tabs>
      <w:outlineLvl w:val="5"/>
    </w:pPr>
  </w:style>
  <w:style w:type="paragraph" w:styleId="1226">
    <w:name w:val="xl49"/>
    <w:basedOn w:val="1078"/>
    <w:next w:val="1226"/>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7">
    <w:name w:val="文档正文"/>
    <w:basedOn w:val="1078"/>
    <w:next w:val="1227"/>
    <w:link w:val="1078"/>
    <w:qFormat/>
    <w:pPr>
      <w:spacing w:before="120" w:after="120" w:line="180" w:lineRule="auto"/>
    </w:pPr>
    <w:rPr>
      <w:rFonts w:ascii="Arial" w:hAnsi="Arial"/>
      <w:szCs w:val="20"/>
    </w:rPr>
  </w:style>
  <w:style w:type="paragraph" w:styleId="1228">
    <w:name w:val="xl33"/>
    <w:basedOn w:val="1078"/>
    <w:next w:val="1228"/>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9">
    <w:name w:val="xl42"/>
    <w:basedOn w:val="1078"/>
    <w:next w:val="1229"/>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0">
    <w:name w:val="Char Char Char1 Char"/>
    <w:basedOn w:val="1078"/>
    <w:next w:val="1230"/>
    <w:link w:val="1078"/>
    <w:qFormat/>
    <w:rPr>
      <w:rFonts w:ascii="Tahoma" w:hAnsi="Tahoma"/>
      <w:sz w:val="24"/>
      <w:szCs w:val="20"/>
    </w:rPr>
  </w:style>
  <w:style w:type="paragraph" w:styleId="1231">
    <w:name w:val="xl44"/>
    <w:basedOn w:val="1078"/>
    <w:next w:val="1231"/>
    <w:link w:val="10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2">
    <w:name w:val="1名"/>
    <w:basedOn w:val="1078"/>
    <w:next w:val="1232"/>
    <w:link w:val="1078"/>
    <w:qFormat/>
    <w:pPr>
      <w:numPr>
        <w:ilvl w:val="0"/>
        <w:numId w:val="5"/>
      </w:numPr>
      <w:spacing w:before="120"/>
      <w:tabs>
        <w:tab w:val="left" w:pos="360" w:leader="none"/>
      </w:tabs>
    </w:pPr>
    <w:rPr>
      <w:rFonts w:ascii="宋体"/>
      <w:sz w:val="28"/>
      <w:szCs w:val="20"/>
    </w:rPr>
  </w:style>
  <w:style w:type="paragraph" w:styleId="1233">
    <w:name w:val="font9"/>
    <w:basedOn w:val="1078"/>
    <w:next w:val="1233"/>
    <w:link w:val="1078"/>
    <w:qFormat/>
    <w:pPr>
      <w:jc w:val="left"/>
      <w:spacing w:before="100" w:beforeAutospacing="1" w:after="100" w:afterAutospacing="1"/>
      <w:widowControl/>
    </w:pPr>
    <w:rPr>
      <w:rFonts w:hint="eastAsia" w:ascii="宋体" w:hAnsi="宋体" w:cs="Arial Unicode MS"/>
      <w:color w:val="000000"/>
      <w:sz w:val="20"/>
      <w:szCs w:val="20"/>
    </w:rPr>
  </w:style>
  <w:style w:type="paragraph" w:styleId="1234">
    <w:name w:val="Char Char Char1 Char1"/>
    <w:basedOn w:val="1078"/>
    <w:next w:val="1234"/>
    <w:link w:val="1078"/>
    <w:qFormat/>
    <w:rPr>
      <w:rFonts w:ascii="Tahoma" w:hAnsi="Tahoma"/>
      <w:sz w:val="24"/>
      <w:szCs w:val="20"/>
    </w:rPr>
  </w:style>
  <w:style w:type="paragraph" w:styleId="1235">
    <w:name w:val="Char Char Char Char Char Char Char Char Char Char"/>
    <w:basedOn w:val="1078"/>
    <w:next w:val="1235"/>
    <w:link w:val="1078"/>
    <w:qFormat/>
  </w:style>
  <w:style w:type="paragraph" w:styleId="1236">
    <w:name w:val="Char Char1 Char Char Char Char Char Char Char Char"/>
    <w:basedOn w:val="1078"/>
    <w:next w:val="1236"/>
    <w:link w:val="1078"/>
    <w:qFormat/>
    <w:pPr>
      <w:jc w:val="left"/>
      <w:spacing w:after="160" w:line="240" w:lineRule="exact"/>
      <w:widowControl/>
    </w:pPr>
    <w:rPr>
      <w:rFonts w:ascii="Verdana" w:hAnsi="Verdana"/>
      <w:sz w:val="20"/>
      <w:szCs w:val="20"/>
      <w:lang w:eastAsia="en-US"/>
    </w:rPr>
  </w:style>
  <w:style w:type="paragraph" w:styleId="1237">
    <w:name w:val="Char1"/>
    <w:basedOn w:val="1078"/>
    <w:next w:val="1237"/>
    <w:link w:val="1078"/>
    <w:qFormat/>
    <w:pPr>
      <w:tabs>
        <w:tab w:val="left" w:pos="360" w:leader="none"/>
      </w:tabs>
    </w:pPr>
    <w:rPr>
      <w:sz w:val="24"/>
    </w:rPr>
  </w:style>
  <w:style w:type="paragraph" w:styleId="1238">
    <w:name w:val="正文列项_字母"/>
    <w:basedOn w:val="1078"/>
    <w:next w:val="1238"/>
    <w:link w:val="1078"/>
    <w:qFormat/>
    <w:pPr>
      <w:numPr>
        <w:ilvl w:val="6"/>
        <w:numId w:val="1"/>
      </w:numPr>
      <w:ind w:left="480" w:hanging="180"/>
      <w:spacing w:line="460" w:lineRule="exact"/>
      <w:tabs>
        <w:tab w:val="clear" w:pos="635" w:leader="none"/>
      </w:tabs>
      <w:outlineLvl w:val="6"/>
    </w:pPr>
    <w:rPr>
      <w:rFonts w:ascii="宋体"/>
      <w:sz w:val="28"/>
      <w:szCs w:val="20"/>
    </w:rPr>
  </w:style>
  <w:style w:type="paragraph" w:styleId="1239">
    <w:name w:val="xl28"/>
    <w:basedOn w:val="1078"/>
    <w:next w:val="1239"/>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0">
    <w:name w:val="xl47"/>
    <w:basedOn w:val="1078"/>
    <w:next w:val="1240"/>
    <w:link w:val="10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默认段落字体 Para Char Char Char Char"/>
    <w:basedOn w:val="1078"/>
    <w:next w:val="1241"/>
    <w:link w:val="1078"/>
    <w:qFormat/>
    <w:rPr>
      <w:rFonts w:ascii="Arial" w:hAnsi="Arial" w:cs="Arial"/>
      <w:szCs w:val="21"/>
    </w:rPr>
  </w:style>
  <w:style w:type="paragraph" w:styleId="1242">
    <w:name w:val="xl48"/>
    <w:basedOn w:val="1078"/>
    <w:next w:val="1242"/>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3">
    <w:name w:val="xl31"/>
    <w:basedOn w:val="1078"/>
    <w:next w:val="1243"/>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4">
    <w:name w:val="xl53"/>
    <w:basedOn w:val="1078"/>
    <w:next w:val="1244"/>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Char Char Char"/>
    <w:basedOn w:val="1078"/>
    <w:next w:val="1245"/>
    <w:link w:val="1078"/>
    <w:qFormat/>
    <w:rPr>
      <w:rFonts w:ascii="Tahoma" w:hAnsi="Tahoma"/>
      <w:sz w:val="24"/>
      <w:szCs w:val="20"/>
    </w:rPr>
  </w:style>
  <w:style w:type="paragraph" w:styleId="1246">
    <w:name w:val="xl50"/>
    <w:basedOn w:val="1078"/>
    <w:next w:val="1246"/>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7">
    <w:name w:val="缺省文本"/>
    <w:basedOn w:val="1078"/>
    <w:next w:val="1247"/>
    <w:link w:val="1078"/>
    <w:qFormat/>
    <w:pPr>
      <w:jc w:val="left"/>
    </w:pPr>
    <w:rPr>
      <w:sz w:val="24"/>
    </w:rPr>
  </w:style>
  <w:style w:type="paragraph" w:styleId="1248">
    <w:name w:val="Char Char Char1"/>
    <w:basedOn w:val="1078"/>
    <w:next w:val="1248"/>
    <w:link w:val="1078"/>
    <w:qFormat/>
    <w:rPr>
      <w:rFonts w:ascii="Tahoma" w:hAnsi="Tahoma"/>
      <w:sz w:val="24"/>
      <w:szCs w:val="20"/>
    </w:rPr>
  </w:style>
  <w:style w:type="paragraph" w:styleId="1249">
    <w:name w:val="Char Char Char Char Char Char Char1"/>
    <w:basedOn w:val="1078"/>
    <w:next w:val="1249"/>
    <w:link w:val="1078"/>
    <w:qFormat/>
    <w:pPr>
      <w:ind w:firstLine="200"/>
      <w:spacing w:line="360" w:lineRule="auto"/>
    </w:pPr>
    <w:rPr>
      <w:rFonts w:eastAsia="仿宋_GB2312"/>
      <w:sz w:val="24"/>
    </w:rPr>
  </w:style>
  <w:style w:type="paragraph" w:styleId="1250">
    <w:name w:val="xl51"/>
    <w:basedOn w:val="1078"/>
    <w:next w:val="1250"/>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1">
    <w:name w:val="样式2"/>
    <w:basedOn w:val="1140"/>
    <w:next w:val="1251"/>
    <w:link w:val="1078"/>
    <w:qFormat/>
    <w:pPr>
      <w:jc w:val="center"/>
      <w:spacing w:line="360" w:lineRule="auto"/>
    </w:pPr>
    <w:rPr>
      <w:sz w:val="24"/>
    </w:rPr>
  </w:style>
  <w:style w:type="paragraph" w:styleId="1252">
    <w:name w:val="xl24"/>
    <w:basedOn w:val="1078"/>
    <w:next w:val="1252"/>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3">
    <w:name w:val="xl29"/>
    <w:basedOn w:val="1078"/>
    <w:next w:val="1253"/>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4">
    <w:name w:val="正文 + 楷体_GB2312"/>
    <w:basedOn w:val="1078"/>
    <w:next w:val="1254"/>
    <w:link w:val="1078"/>
    <w:qFormat/>
    <w:pPr>
      <w:jc w:val="left"/>
      <w:widowControl/>
    </w:pPr>
    <w:rPr>
      <w:rFonts w:ascii="楷体_GB2312" w:eastAsia="楷体_GB2312" w:cs="Arial"/>
      <w:sz w:val="24"/>
    </w:rPr>
  </w:style>
  <w:style w:type="paragraph" w:styleId="1255">
    <w:name w:val="xl34"/>
    <w:basedOn w:val="1078"/>
    <w:next w:val="1255"/>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6">
    <w:name w:val="1 Char Char Char Char"/>
    <w:basedOn w:val="1078"/>
    <w:next w:val="1256"/>
    <w:link w:val="1078"/>
    <w:qFormat/>
    <w:rPr>
      <w:rFonts w:ascii="Tahoma" w:hAnsi="Tahoma"/>
      <w:sz w:val="24"/>
      <w:szCs w:val="20"/>
    </w:rPr>
  </w:style>
  <w:style w:type="paragraph" w:styleId="1257">
    <w:name w:val="Default"/>
    <w:next w:val="1257"/>
    <w:link w:val="1078"/>
    <w:qFormat/>
    <w:pPr>
      <w:widowControl w:val="off"/>
    </w:pPr>
    <w:rPr>
      <w:rFonts w:ascii="Symbol" w:hAnsi="Symbol" w:cs="Symbol"/>
      <w:color w:val="000000"/>
      <w:sz w:val="24"/>
      <w:szCs w:val="24"/>
      <w:lang w:val="en-US" w:eastAsia="zh-CN" w:bidi="ar-SA"/>
    </w:rPr>
  </w:style>
  <w:style w:type="paragraph" w:styleId="1258">
    <w:name w:val="列出段落1"/>
    <w:basedOn w:val="1078"/>
    <w:next w:val="1258"/>
    <w:link w:val="1078"/>
    <w:qFormat/>
    <w:pPr>
      <w:ind w:firstLine="420"/>
    </w:pPr>
    <w:rPr>
      <w:rFonts w:ascii="Calibri" w:hAnsi="Calibri"/>
      <w:szCs w:val="22"/>
    </w:rPr>
  </w:style>
  <w:style w:type="paragraph" w:styleId="1259">
    <w:name w:val="default"/>
    <w:basedOn w:val="1078"/>
    <w:next w:val="1259"/>
    <w:link w:val="1078"/>
    <w:qFormat/>
    <w:pPr>
      <w:jc w:val="left"/>
      <w:spacing w:before="100" w:beforeAutospacing="1" w:after="100" w:afterAutospacing="1"/>
      <w:widowControl/>
    </w:pPr>
    <w:rPr>
      <w:rFonts w:ascii="宋体" w:hAnsi="宋体" w:cs="宋体"/>
      <w:sz w:val="24"/>
    </w:rPr>
  </w:style>
  <w:style w:type="paragraph" w:styleId="1260">
    <w:name w:val="字元 字元1"/>
    <w:basedOn w:val="1078"/>
    <w:next w:val="1260"/>
    <w:link w:val="1078"/>
    <w:qFormat/>
    <w:rPr>
      <w:rFonts w:ascii="Tahoma" w:hAnsi="Tahoma"/>
      <w:sz w:val="24"/>
      <w:szCs w:val="20"/>
    </w:rPr>
  </w:style>
  <w:style w:type="paragraph" w:styleId="1261">
    <w:name w:val="_Style 160"/>
    <w:next w:val="1261"/>
    <w:link w:val="1078"/>
    <w:qFormat/>
    <w:rPr>
      <w:sz w:val="21"/>
      <w:szCs w:val="24"/>
      <w:lang w:val="en-US" w:eastAsia="zh-CN" w:bidi="ar-SA"/>
    </w:rPr>
  </w:style>
  <w:style w:type="paragraph" w:styleId="1262">
    <w:name w:val="项目编号3"/>
    <w:basedOn w:val="1222"/>
    <w:next w:val="1262"/>
    <w:link w:val="1078"/>
    <w:qFormat/>
    <w:pPr>
      <w:numPr>
        <w:ilvl w:val="0"/>
        <w:numId w:val="6"/>
      </w:numPr>
    </w:pPr>
  </w:style>
  <w:style w:type="paragraph" w:styleId="1263">
    <w:name w:val="Char21"/>
    <w:basedOn w:val="1078"/>
    <w:next w:val="1263"/>
    <w:link w:val="1078"/>
    <w:qFormat/>
    <w:rPr>
      <w:rFonts w:ascii="Tahoma" w:hAnsi="Tahoma"/>
      <w:sz w:val="24"/>
      <w:szCs w:val="20"/>
    </w:rPr>
  </w:style>
  <w:style w:type="paragraph" w:styleId="1264">
    <w:name w:val="表格文字"/>
    <w:basedOn w:val="1111"/>
    <w:next w:val="1264"/>
    <w:link w:val="1078"/>
    <w:qFormat/>
    <w:pPr>
      <w:ind w:firstLine="0"/>
      <w:spacing w:before="20" w:after="20" w:line="240" w:lineRule="auto"/>
    </w:pPr>
    <w:rPr>
      <w:rFonts w:ascii="Century Gothic" w:hAnsi="Century Gothic"/>
      <w:sz w:val="20"/>
      <w:szCs w:val="20"/>
    </w:rPr>
  </w:style>
  <w:style w:type="paragraph" w:styleId="1265">
    <w:name w:val="Char Char Char Char Char Char Char Char Char Char1"/>
    <w:basedOn w:val="1078"/>
    <w:next w:val="1265"/>
    <w:link w:val="1078"/>
    <w:qFormat/>
    <w:rPr>
      <w:rFonts w:ascii="宋体" w:hAnsi="宋体" w:cs="Courier New"/>
      <w:sz w:val="32"/>
      <w:szCs w:val="32"/>
    </w:rPr>
  </w:style>
  <w:style w:type="paragraph" w:styleId="1266">
    <w:name w:val="正文文本样式 加粗"/>
    <w:basedOn w:val="1222"/>
    <w:next w:val="1266"/>
    <w:link w:val="1078"/>
    <w:qFormat/>
    <w:rPr>
      <w:b/>
    </w:rPr>
  </w:style>
  <w:style w:type="paragraph" w:styleId="1267">
    <w:name w:val="Char2 Char Char Char Char Char Char"/>
    <w:basedOn w:val="1078"/>
    <w:next w:val="1267"/>
    <w:link w:val="1078"/>
    <w:qFormat/>
    <w:pPr>
      <w:jc w:val="center"/>
      <w:spacing w:line="400" w:lineRule="exact"/>
      <w:widowControl/>
    </w:pPr>
  </w:style>
  <w:style w:type="paragraph" w:styleId="1268">
    <w:name w:val="Char Char4"/>
    <w:basedOn w:val="1078"/>
    <w:next w:val="1268"/>
    <w:link w:val="1078"/>
    <w:qFormat/>
    <w:pPr>
      <w:jc w:val="center"/>
      <w:spacing w:line="400" w:lineRule="exact"/>
      <w:widowControl/>
    </w:pPr>
  </w:style>
  <w:style w:type="paragraph" w:styleId="1269">
    <w:name w:val="Char3 Char Char Char1"/>
    <w:basedOn w:val="1078"/>
    <w:next w:val="1269"/>
    <w:link w:val="1078"/>
    <w:qFormat/>
    <w:rPr>
      <w:rFonts w:ascii="Tahoma" w:hAnsi="Tahoma"/>
      <w:sz w:val="24"/>
      <w:szCs w:val="20"/>
    </w:rPr>
  </w:style>
  <w:style w:type="paragraph" w:styleId="1270">
    <w:name w:val="无间隔"/>
    <w:next w:val="1270"/>
    <w:link w:val="1078"/>
    <w:qFormat/>
    <w:pPr>
      <w:jc w:val="both"/>
      <w:widowControl w:val="off"/>
    </w:pPr>
    <w:rPr>
      <w:sz w:val="21"/>
      <w:szCs w:val="24"/>
      <w:lang w:val="en-US" w:eastAsia="zh-CN" w:bidi="ar-SA"/>
    </w:rPr>
  </w:style>
  <w:style w:type="paragraph" w:styleId="1271">
    <w:name w:val="22222222222222"/>
    <w:basedOn w:val="1078"/>
    <w:next w:val="1271"/>
    <w:link w:val="1078"/>
    <w:qFormat/>
    <w:pPr>
      <w:ind w:firstLine="480"/>
      <w:jc w:val="left"/>
      <w:spacing w:line="360" w:lineRule="auto"/>
      <w:widowControl/>
    </w:pPr>
    <w:rPr>
      <w:color w:val="ff0000"/>
      <w:sz w:val="24"/>
      <w:szCs w:val="20"/>
    </w:rPr>
  </w:style>
  <w:style w:type="character" w:styleId="1272">
    <w:name w:val="中等深浅网格 1 - 强调文字颜色 2 Char"/>
    <w:next w:val="1272"/>
    <w:link w:val="1273"/>
    <w:qFormat/>
    <w:rPr>
      <w:sz w:val="21"/>
      <w:szCs w:val="24"/>
      <w:lang w:val="zh-CN" w:eastAsia="zh-CN" w:bidi="ar-SA"/>
    </w:rPr>
  </w:style>
  <w:style w:type="paragraph" w:styleId="1273">
    <w:name w:val="1"/>
    <w:next w:val="1273"/>
    <w:link w:val="1272"/>
    <w:qFormat/>
    <w:rPr>
      <w:sz w:val="21"/>
      <w:szCs w:val="24"/>
      <w:lang w:val="zh-CN" w:eastAsia="zh-CN" w:bidi="ar-SA"/>
    </w:rPr>
  </w:style>
  <w:style w:type="paragraph" w:styleId="1274">
    <w:name w:val="图文"/>
    <w:basedOn w:val="1078"/>
    <w:next w:val="1274"/>
    <w:link w:val="1078"/>
    <w:qFormat/>
    <w:pPr>
      <w:spacing w:after="50" w:line="360" w:lineRule="auto"/>
    </w:pPr>
    <w:rPr>
      <w:sz w:val="24"/>
    </w:rPr>
  </w:style>
  <w:style w:type="paragraph" w:styleId="1275">
    <w:name w:val="xl23"/>
    <w:basedOn w:val="1078"/>
    <w:next w:val="1275"/>
    <w:link w:val="1078"/>
    <w:qFormat/>
    <w:pPr>
      <w:spacing w:before="100" w:beforeAutospacing="1" w:after="100" w:afterAutospacing="1" w:line="360" w:lineRule="auto"/>
      <w:widowControl/>
    </w:pPr>
    <w:rPr>
      <w:sz w:val="24"/>
      <w:szCs w:val="20"/>
    </w:rPr>
  </w:style>
  <w:style w:type="paragraph" w:styleId="1276">
    <w:name w:val="正文表格"/>
    <w:basedOn w:val="1078"/>
    <w:next w:val="1276"/>
    <w:link w:val="1277"/>
    <w:qFormat/>
    <w:pPr>
      <w:jc w:val="left"/>
    </w:pPr>
    <w:rPr>
      <w:rFonts w:ascii="宋体" w:hAnsi="宋体"/>
      <w:color w:val="000000"/>
      <w:szCs w:val="21"/>
    </w:rPr>
  </w:style>
  <w:style w:type="character" w:styleId="1277">
    <w:name w:val="正文表格 Char"/>
    <w:next w:val="1277"/>
    <w:link w:val="1276"/>
    <w:qFormat/>
    <w:rPr>
      <w:rFonts w:ascii="宋体" w:hAnsi="宋体"/>
      <w:color w:val="000000"/>
      <w:sz w:val="21"/>
      <w:szCs w:val="21"/>
    </w:rPr>
  </w:style>
  <w:style w:type="paragraph" w:styleId="1278">
    <w:name w:val="正文重点"/>
    <w:basedOn w:val="1078"/>
    <w:next w:val="1278"/>
    <w:link w:val="1279"/>
    <w:qFormat/>
    <w:pPr>
      <w:ind w:firstLine="482"/>
      <w:jc w:val="left"/>
      <w:spacing w:line="360" w:lineRule="auto"/>
    </w:pPr>
    <w:rPr>
      <w:b/>
      <w:sz w:val="24"/>
      <w:szCs w:val="20"/>
    </w:rPr>
  </w:style>
  <w:style w:type="character" w:styleId="1279">
    <w:name w:val="正文重点 Char"/>
    <w:next w:val="1279"/>
    <w:link w:val="1278"/>
    <w:qFormat/>
    <w:rPr>
      <w:b/>
      <w:sz w:val="24"/>
    </w:rPr>
  </w:style>
  <w:style w:type="paragraph" w:styleId="1280">
    <w:name w:val="标题1-附件"/>
    <w:basedOn w:val="1079"/>
    <w:next w:val="1280"/>
    <w:link w:val="1078"/>
    <w:qFormat/>
    <w:pPr>
      <w:jc w:val="left"/>
    </w:pPr>
    <w:rPr>
      <w:sz w:val="24"/>
      <w:szCs w:val="24"/>
    </w:rPr>
  </w:style>
  <w:style w:type="paragraph" w:styleId="1281">
    <w:name w:val="正文小标题"/>
    <w:basedOn w:val="1078"/>
    <w:next w:val="1092"/>
    <w:link w:val="1282"/>
    <w:qFormat/>
    <w:pPr>
      <w:ind w:firstLine="482"/>
      <w:jc w:val="left"/>
      <w:spacing w:before="312" w:after="312"/>
    </w:pPr>
    <w:rPr>
      <w:rFonts w:ascii="宋体" w:hAnsi="宋体"/>
      <w:b/>
      <w:i/>
      <w:color w:val="ff0000"/>
      <w:sz w:val="24"/>
      <w:szCs w:val="20"/>
    </w:rPr>
  </w:style>
  <w:style w:type="character" w:styleId="1282">
    <w:name w:val="正文小标题 Char"/>
    <w:next w:val="1282"/>
    <w:link w:val="1281"/>
    <w:qFormat/>
    <w:rPr>
      <w:rFonts w:ascii="宋体" w:hAnsi="宋体"/>
      <w:b/>
      <w:i/>
      <w:color w:val="ff0000"/>
      <w:sz w:val="24"/>
    </w:rPr>
  </w:style>
  <w:style w:type="paragraph" w:styleId="1283">
    <w:name w:val="正文大标题"/>
    <w:basedOn w:val="1281"/>
    <w:next w:val="1092"/>
    <w:link w:val="1284"/>
    <w:qFormat/>
    <w:pPr>
      <w:jc w:val="center"/>
    </w:pPr>
    <w:rPr>
      <w:i w:val="0"/>
      <w:color w:val="000000"/>
      <w:sz w:val="28"/>
      <w:szCs w:val="21"/>
    </w:rPr>
  </w:style>
  <w:style w:type="character" w:styleId="1284">
    <w:name w:val="正文大标题 Char"/>
    <w:next w:val="1284"/>
    <w:link w:val="1283"/>
    <w:qFormat/>
    <w:rPr>
      <w:rFonts w:ascii="宋体" w:hAnsi="宋体"/>
      <w:b/>
      <w:color w:val="000000"/>
      <w:sz w:val="28"/>
      <w:szCs w:val="21"/>
    </w:rPr>
  </w:style>
  <w:style w:type="paragraph" w:styleId="1285">
    <w:name w:val="注释"/>
    <w:basedOn w:val="1078"/>
    <w:next w:val="1285"/>
    <w:link w:val="1286"/>
    <w:qFormat/>
    <w:pPr>
      <w:ind w:left="420" w:hanging="420"/>
      <w:jc w:val="left"/>
    </w:pPr>
    <w:rPr>
      <w:rFonts w:ascii="宋体" w:hAnsi="宋体"/>
      <w:szCs w:val="21"/>
    </w:rPr>
  </w:style>
  <w:style w:type="character" w:styleId="1286">
    <w:name w:val="注释 Char"/>
    <w:next w:val="1286"/>
    <w:link w:val="1285"/>
    <w:qFormat/>
    <w:rPr>
      <w:rFonts w:ascii="宋体" w:hAnsi="宋体"/>
      <w:sz w:val="21"/>
      <w:szCs w:val="21"/>
    </w:rPr>
  </w:style>
  <w:style w:type="paragraph" w:styleId="1287">
    <w:name w:val="正文须知-1级"/>
    <w:basedOn w:val="1078"/>
    <w:next w:val="1078"/>
    <w:link w:val="1078"/>
    <w:qFormat/>
    <w:pPr>
      <w:numPr>
        <w:ilvl w:val="0"/>
        <w:numId w:val="7"/>
      </w:numPr>
      <w:spacing w:line="300" w:lineRule="auto"/>
    </w:pPr>
    <w:rPr>
      <w:rFonts w:ascii="宋体" w:hAnsi="Calibri"/>
      <w:sz w:val="24"/>
      <w:szCs w:val="21"/>
    </w:rPr>
  </w:style>
  <w:style w:type="paragraph" w:styleId="1288">
    <w:name w:val="正文须知-2级"/>
    <w:basedOn w:val="1078"/>
    <w:next w:val="1288"/>
    <w:link w:val="1078"/>
    <w:qFormat/>
    <w:pPr>
      <w:numPr>
        <w:ilvl w:val="1"/>
        <w:numId w:val="7"/>
      </w:numPr>
      <w:spacing w:line="300" w:lineRule="auto"/>
    </w:pPr>
    <w:rPr>
      <w:rFonts w:ascii="宋体" w:hAnsi="Calibri"/>
      <w:sz w:val="24"/>
      <w:szCs w:val="21"/>
    </w:rPr>
  </w:style>
  <w:style w:type="paragraph" w:styleId="1289">
    <w:name w:val="正文须知-3级"/>
    <w:basedOn w:val="1078"/>
    <w:next w:val="1289"/>
    <w:link w:val="1078"/>
    <w:qFormat/>
    <w:pPr>
      <w:numPr>
        <w:ilvl w:val="2"/>
        <w:numId w:val="7"/>
      </w:numPr>
      <w:ind w:hanging="355"/>
      <w:spacing w:line="300" w:lineRule="auto"/>
    </w:pPr>
    <w:rPr>
      <w:rFonts w:ascii="宋体" w:hAnsi="Calibri"/>
      <w:sz w:val="24"/>
      <w:szCs w:val="21"/>
    </w:rPr>
  </w:style>
  <w:style w:type="character" w:styleId="1290">
    <w:name w:val="纯文本 字符"/>
    <w:next w:val="1290"/>
    <w:link w:val="1078"/>
    <w:uiPriority w:val="99"/>
    <w:qFormat/>
    <w:rPr>
      <w:rFonts w:ascii="宋体" w:hAnsi="Courier New" w:eastAsia="宋体" w:cs="Times New Roman"/>
      <w:sz w:val="21"/>
      <w:szCs w:val="21"/>
      <w:lang w:val="en-US" w:eastAsia="zh-CN" w:bidi="ar-SA"/>
    </w:rPr>
  </w:style>
  <w:style w:type="paragraph" w:styleId="1291">
    <w:name w:val="表格1"/>
    <w:basedOn w:val="1078"/>
    <w:next w:val="1291"/>
    <w:link w:val="1078"/>
    <w:qFormat/>
    <w:pPr>
      <w:ind w:firstLine="480"/>
      <w:jc w:val="center"/>
    </w:pPr>
    <w:rPr>
      <w:sz w:val="24"/>
      <w:szCs w:val="20"/>
    </w:rPr>
  </w:style>
  <w:style w:type="character" w:styleId="1292">
    <w:name w:val="纯文本 字符1"/>
    <w:next w:val="1292"/>
    <w:link w:val="1078"/>
    <w:qFormat/>
    <w:rPr>
      <w:rFonts w:ascii="宋体" w:hAnsi="Courier New"/>
    </w:rPr>
  </w:style>
  <w:style w:type="character" w:styleId="1293">
    <w:name w:val="bjh-p"/>
    <w:next w:val="1293"/>
    <w:link w:val="1078"/>
    <w:qFormat/>
  </w:style>
  <w:style w:type="paragraph" w:styleId="1294">
    <w:name w:val="无标题条"/>
    <w:next w:val="1078"/>
    <w:link w:val="1078"/>
    <w:qFormat/>
    <w:pPr>
      <w:jc w:val="both"/>
    </w:pPr>
    <w:rPr>
      <w:sz w:val="21"/>
      <w:lang w:val="en-US" w:eastAsia="zh-CN" w:bidi="ar-SA"/>
    </w:rPr>
  </w:style>
  <w:style w:type="character" w:styleId="1295">
    <w:name w:val="正文格式 Char"/>
    <w:next w:val="1295"/>
    <w:link w:val="1296"/>
    <w:qFormat/>
    <w:rPr>
      <w:rFonts w:ascii="宋体" w:hAnsi="宋体"/>
      <w:sz w:val="24"/>
      <w:szCs w:val="24"/>
      <w:lang w:val="en-GB"/>
    </w:rPr>
  </w:style>
  <w:style w:type="paragraph" w:styleId="1296">
    <w:name w:val="正文格式"/>
    <w:basedOn w:val="1078"/>
    <w:next w:val="1296"/>
    <w:link w:val="1295"/>
    <w:qFormat/>
    <w:pPr>
      <w:ind w:firstLine="480"/>
      <w:spacing w:line="360" w:lineRule="auto"/>
    </w:pPr>
    <w:rPr>
      <w:rFonts w:ascii="宋体" w:hAnsi="宋体"/>
      <w:sz w:val="24"/>
      <w:lang w:val="en-GB"/>
    </w:rPr>
  </w:style>
  <w:style w:type="character" w:styleId="1297">
    <w:name w:val="正文缩进 Char"/>
    <w:next w:val="1297"/>
    <w:link w:val="1078"/>
    <w:qFormat/>
    <w:rPr>
      <w:rFonts w:ascii="宋体" w:eastAsia="宋体"/>
      <w:sz w:val="24"/>
      <w:szCs w:val="24"/>
      <w:lang w:val="en-US" w:eastAsia="zh-CN" w:bidi="ar-SA"/>
    </w:rPr>
  </w:style>
  <w:style w:type="character" w:styleId="1298">
    <w:name w:val="Char Char111"/>
    <w:next w:val="1298"/>
    <w:link w:val="1078"/>
    <w:qFormat/>
    <w:rPr>
      <w:rFonts w:ascii="宋体" w:eastAsia="宋体"/>
      <w:b/>
      <w:sz w:val="24"/>
      <w:u w:val="single"/>
      <w:lang w:val="en-US" w:eastAsia="zh-CN" w:bidi="ar-SA"/>
    </w:rPr>
  </w:style>
  <w:style w:type="character" w:styleId="1299">
    <w:name w:val="正文文本缩进 Char"/>
    <w:next w:val="1299"/>
    <w:link w:val="1078"/>
    <w:qFormat/>
    <w:rPr>
      <w:rFonts w:eastAsia="宋体"/>
      <w:sz w:val="24"/>
      <w:szCs w:val="24"/>
      <w:lang w:val="en-US" w:eastAsia="zh-CN" w:bidi="ar-SA"/>
    </w:rPr>
  </w:style>
  <w:style w:type="character" w:styleId="1300">
    <w:name w:val="列出段落 Char"/>
    <w:next w:val="1300"/>
    <w:link w:val="1078"/>
    <w:qFormat/>
    <w:rPr>
      <w:rFonts w:ascii="Calibri" w:hAnsi="Calibri" w:eastAsia="宋体"/>
      <w:sz w:val="21"/>
      <w:szCs w:val="22"/>
      <w:lang w:val="en-US" w:eastAsia="zh-CN" w:bidi="ar-SA"/>
    </w:rPr>
  </w:style>
  <w:style w:type="character" w:styleId="1301">
    <w:name w:val="页眉 Char"/>
    <w:next w:val="1301"/>
    <w:link w:val="1078"/>
    <w:qFormat/>
    <w:rPr>
      <w:rFonts w:eastAsia="宋体"/>
      <w:sz w:val="18"/>
      <w:szCs w:val="18"/>
      <w:lang w:val="en-US" w:eastAsia="zh-CN" w:bidi="ar-SA"/>
    </w:rPr>
  </w:style>
  <w:style w:type="character" w:styleId="1302">
    <w:name w:val="标题 2 Char"/>
    <w:next w:val="1302"/>
    <w:link w:val="1078"/>
    <w:qFormat/>
    <w:rPr>
      <w:rFonts w:ascii="Arial" w:hAnsi="Arial" w:eastAsia="黑体"/>
      <w:b/>
      <w:sz w:val="30"/>
      <w:lang w:val="en-US" w:eastAsia="zh-CN" w:bidi="ar-SA"/>
    </w:rPr>
  </w:style>
  <w:style w:type="paragraph" w:styleId="1303">
    <w:name w:val="字元 字元2"/>
    <w:basedOn w:val="1078"/>
    <w:next w:val="1303"/>
    <w:link w:val="1078"/>
    <w:qFormat/>
    <w:rPr>
      <w:rFonts w:ascii="Tahoma" w:hAnsi="Tahoma"/>
      <w:sz w:val="24"/>
      <w:szCs w:val="20"/>
    </w:rPr>
  </w:style>
  <w:style w:type="paragraph" w:styleId="1304">
    <w:name w:val="Char3 Char Char Char2"/>
    <w:basedOn w:val="1078"/>
    <w:next w:val="1304"/>
    <w:link w:val="1078"/>
    <w:qFormat/>
    <w:rPr>
      <w:rFonts w:ascii="Tahoma" w:hAnsi="Tahoma"/>
      <w:sz w:val="24"/>
      <w:szCs w:val="20"/>
    </w:rPr>
  </w:style>
  <w:style w:type="paragraph" w:styleId="1305">
    <w:name w:val="正文文本缩进2"/>
    <w:basedOn w:val="1078"/>
    <w:next w:val="1305"/>
    <w:link w:val="1078"/>
    <w:qFormat/>
    <w:pPr>
      <w:ind w:firstLine="480"/>
      <w:spacing w:line="480" w:lineRule="exact"/>
    </w:pPr>
    <w:rPr>
      <w:rFonts w:ascii="宋体" w:hAnsi="宋体"/>
      <w:sz w:val="24"/>
      <w:lang w:val="zh-CN" w:eastAsia="zh-CN"/>
    </w:rPr>
  </w:style>
  <w:style w:type="paragraph" w:styleId="1306">
    <w:name w:val="Char3"/>
    <w:basedOn w:val="1078"/>
    <w:next w:val="1306"/>
    <w:link w:val="1078"/>
    <w:qFormat/>
    <w:pPr>
      <w:tabs>
        <w:tab w:val="left" w:pos="360" w:leader="none"/>
      </w:tabs>
    </w:pPr>
    <w:rPr>
      <w:sz w:val="24"/>
    </w:rPr>
  </w:style>
  <w:style w:type="paragraph" w:styleId="1307">
    <w:name w:val="Char Char Char Char Char Char Char Char Char Char Char Char Char Char Char Char1"/>
    <w:basedOn w:val="1078"/>
    <w:next w:val="1307"/>
    <w:link w:val="1078"/>
    <w:qFormat/>
    <w:pPr>
      <w:jc w:val="center"/>
      <w:spacing w:after="160" w:line="240" w:lineRule="exact"/>
      <w:widowControl/>
    </w:pPr>
    <w:rPr>
      <w:rFonts w:ascii="宋体" w:hAnsi="宋体"/>
      <w:b/>
      <w:sz w:val="30"/>
      <w:szCs w:val="30"/>
      <w:lang w:eastAsia="en-US"/>
    </w:rPr>
  </w:style>
  <w:style w:type="paragraph" w:styleId="1308">
    <w:name w:val="Char Char1 Char Char Char Char Char Char1"/>
    <w:basedOn w:val="1078"/>
    <w:next w:val="1308"/>
    <w:link w:val="1078"/>
    <w:qFormat/>
    <w:pPr>
      <w:jc w:val="left"/>
      <w:spacing w:after="160" w:line="240" w:lineRule="exact"/>
      <w:widowControl/>
    </w:pPr>
    <w:rPr>
      <w:rFonts w:ascii="Verdana" w:hAnsi="Verdana" w:eastAsia="仿宋_GB2312"/>
      <w:sz w:val="24"/>
      <w:szCs w:val="20"/>
      <w:lang w:eastAsia="en-US"/>
    </w:rPr>
  </w:style>
  <w:style w:type="paragraph" w:styleId="1309">
    <w:name w:val="列出段落2"/>
    <w:basedOn w:val="1078"/>
    <w:next w:val="1309"/>
    <w:link w:val="1078"/>
    <w:qFormat/>
    <w:pPr>
      <w:ind w:firstLine="420"/>
    </w:pPr>
    <w:rPr>
      <w:rFonts w:ascii="Calibri" w:hAnsi="Calibri"/>
      <w:szCs w:val="22"/>
    </w:rPr>
  </w:style>
  <w:style w:type="paragraph" w:styleId="1310">
    <w:name w:val="Char Char Char1 Char2"/>
    <w:basedOn w:val="1078"/>
    <w:next w:val="1310"/>
    <w:link w:val="1078"/>
    <w:qFormat/>
    <w:rPr>
      <w:rFonts w:ascii="Tahoma" w:hAnsi="Tahoma"/>
      <w:sz w:val="24"/>
      <w:szCs w:val="20"/>
    </w:rPr>
  </w:style>
  <w:style w:type="paragraph" w:styleId="1311">
    <w:name w:val="Char Char Char2"/>
    <w:basedOn w:val="1078"/>
    <w:next w:val="1311"/>
    <w:link w:val="1078"/>
    <w:qFormat/>
    <w:rPr>
      <w:rFonts w:ascii="Tahoma" w:hAnsi="Tahoma"/>
      <w:sz w:val="24"/>
      <w:szCs w:val="20"/>
    </w:rPr>
  </w:style>
  <w:style w:type="paragraph" w:styleId="1312">
    <w:name w:val="Char Char Char Char Char Char Char2"/>
    <w:basedOn w:val="1078"/>
    <w:next w:val="1312"/>
    <w:link w:val="1078"/>
    <w:qFormat/>
    <w:pPr>
      <w:ind w:firstLine="200"/>
      <w:spacing w:line="360" w:lineRule="auto"/>
    </w:pPr>
    <w:rPr>
      <w:rFonts w:eastAsia="仿宋_GB2312"/>
      <w:sz w:val="24"/>
    </w:rPr>
  </w:style>
  <w:style w:type="paragraph" w:styleId="1313">
    <w:name w:val="正文缩进2"/>
    <w:basedOn w:val="1078"/>
    <w:next w:val="1313"/>
    <w:link w:val="1078"/>
    <w:qFormat/>
    <w:pPr>
      <w:ind w:firstLine="567"/>
      <w:spacing w:line="480" w:lineRule="exact"/>
      <w:widowControl/>
    </w:pPr>
    <w:rPr>
      <w:rFonts w:ascii="宋体"/>
      <w:color w:val="000000"/>
      <w:sz w:val="28"/>
      <w:szCs w:val="20"/>
      <w:lang w:val="zh-CN" w:eastAsia="zh-CN"/>
    </w:rPr>
  </w:style>
  <w:style w:type="paragraph" w:styleId="1314">
    <w:name w:val="Revision"/>
    <w:next w:val="1314"/>
    <w:link w:val="1078"/>
    <w:qFormat/>
    <w:rPr>
      <w:sz w:val="21"/>
      <w:szCs w:val="24"/>
      <w:lang w:val="en-US" w:eastAsia="zh-CN" w:bidi="ar-SA"/>
    </w:rPr>
  </w:style>
  <w:style w:type="paragraph" w:styleId="1315">
    <w:name w:val="Char22"/>
    <w:basedOn w:val="1078"/>
    <w:next w:val="1315"/>
    <w:link w:val="1078"/>
    <w:qFormat/>
    <w:rPr>
      <w:rFonts w:ascii="Tahoma" w:hAnsi="Tahoma"/>
      <w:sz w:val="24"/>
      <w:szCs w:val="20"/>
    </w:rPr>
  </w:style>
  <w:style w:type="paragraph" w:styleId="1316">
    <w:name w:val="Char Char Char Char Char Char Char Char Char Char2"/>
    <w:basedOn w:val="1078"/>
    <w:next w:val="1316"/>
    <w:link w:val="1078"/>
    <w:qFormat/>
    <w:rPr>
      <w:rFonts w:ascii="宋体" w:hAnsi="宋体" w:cs="Courier New"/>
      <w:sz w:val="32"/>
      <w:szCs w:val="32"/>
    </w:rPr>
  </w:style>
  <w:style w:type="paragraph" w:styleId="1317">
    <w:name w:val="Char2 Char Char Char Char Char Char1"/>
    <w:basedOn w:val="1078"/>
    <w:next w:val="1317"/>
    <w:link w:val="1078"/>
    <w:qFormat/>
    <w:pPr>
      <w:jc w:val="center"/>
      <w:spacing w:line="400" w:lineRule="exact"/>
      <w:widowControl/>
    </w:pPr>
  </w:style>
  <w:style w:type="character" w:styleId="1318">
    <w:name w:val="页脚 Char"/>
    <w:next w:val="1318"/>
    <w:link w:val="1078"/>
    <w:qFormat/>
    <w:rPr>
      <w:rFonts w:ascii="宋体" w:eastAsia="宋体"/>
      <w:sz w:val="18"/>
      <w:lang w:val="en-US" w:eastAsia="zh-CN" w:bidi="ar-SA"/>
    </w:rPr>
  </w:style>
  <w:style w:type="paragraph" w:styleId="1319">
    <w:name w:val="Char Char41"/>
    <w:basedOn w:val="1078"/>
    <w:next w:val="1319"/>
    <w:link w:val="1078"/>
    <w:qFormat/>
    <w:pPr>
      <w:jc w:val="center"/>
      <w:spacing w:line="400" w:lineRule="exact"/>
      <w:widowControl/>
    </w:pPr>
  </w:style>
  <w:style w:type="character" w:styleId="1320">
    <w:name w:val="批注文字 Char"/>
    <w:next w:val="1320"/>
    <w:link w:val="1078"/>
    <w:uiPriority w:val="99"/>
    <w:qFormat/>
    <w:rPr>
      <w:sz w:val="21"/>
      <w:szCs w:val="24"/>
    </w:rPr>
  </w:style>
  <w:style w:type="character" w:styleId="1321">
    <w:name w:val="标题 Char"/>
    <w:next w:val="1321"/>
    <w:link w:val="1078"/>
    <w:qFormat/>
    <w:rPr>
      <w:b/>
      <w:sz w:val="32"/>
    </w:rPr>
  </w:style>
  <w:style w:type="paragraph" w:styleId="1322">
    <w:name w:val="图例"/>
    <w:basedOn w:val="1078"/>
    <w:next w:val="1322"/>
    <w:link w:val="1078"/>
    <w:qFormat/>
    <w:pPr>
      <w:jc w:val="center"/>
      <w:spacing w:before="120" w:after="120" w:line="360" w:lineRule="auto"/>
    </w:pPr>
    <w:rPr>
      <w:rFonts w:eastAsia="仿宋_GB2312"/>
      <w:b/>
      <w:sz w:val="24"/>
      <w:szCs w:val="20"/>
    </w:rPr>
  </w:style>
  <w:style w:type="table" w:styleId="1323">
    <w:name w:val="Table Normal"/>
    <w:next w:val="1323"/>
    <w:link w:val="1078"/>
    <w:uiPriority w:val="2"/>
    <w:unhideWhenUsed/>
    <w:qFormat/>
    <w:pPr>
      <w:widowControl w:val="off"/>
    </w:pPr>
    <w:rPr>
      <w:rFonts w:ascii="Calibri" w:hAnsi="Calibri"/>
      <w:sz w:val="22"/>
      <w:szCs w:val="22"/>
      <w:lang w:val="en-US" w:eastAsia="en-US" w:bidi="ar-SA"/>
    </w:rPr>
    <w:tblPr/>
  </w:style>
  <w:style w:type="paragraph" w:styleId="1324">
    <w:name w:val="Table Paragraph"/>
    <w:basedOn w:val="1078"/>
    <w:next w:val="1324"/>
    <w:link w:val="1078"/>
    <w:uiPriority w:val="1"/>
    <w:qFormat/>
    <w:pPr>
      <w:jc w:val="left"/>
    </w:pPr>
    <w:rPr>
      <w:rFonts w:ascii="宋体" w:hAnsi="宋体" w:cs="宋体"/>
      <w:sz w:val="22"/>
      <w:szCs w:val="22"/>
      <w:lang w:eastAsia="en-US"/>
    </w:rPr>
  </w:style>
  <w:style w:type="paragraph" w:styleId="1325">
    <w:name w:val="成文日期"/>
    <w:basedOn w:val="1078"/>
    <w:next w:val="1325"/>
    <w:link w:val="1326"/>
    <w:qFormat/>
    <w:pPr>
      <w:ind w:right="400" w:firstLine="200"/>
      <w:jc w:val="right"/>
      <w:spacing w:line="570" w:lineRule="exact"/>
    </w:pPr>
    <w:rPr>
      <w:rFonts w:ascii="仿宋_GB2312" w:eastAsia="仿宋_GB2312"/>
      <w:sz w:val="32"/>
      <w:szCs w:val="20"/>
    </w:rPr>
  </w:style>
  <w:style w:type="character" w:styleId="1326">
    <w:name w:val="成文日期 Char"/>
    <w:next w:val="1326"/>
    <w:link w:val="1325"/>
    <w:rPr>
      <w:rFonts w:ascii="仿宋_GB2312" w:eastAsia="仿宋_GB2312"/>
      <w:sz w:val="32"/>
    </w:rPr>
  </w:style>
  <w:style w:type="paragraph" w:styleId="1327">
    <w:name w:val="修订"/>
    <w:next w:val="1327"/>
    <w:link w:val="1078"/>
    <w:uiPriority w:val="99"/>
    <w:unhideWhenUsed/>
    <w:rPr>
      <w:sz w:val="21"/>
      <w:szCs w:val="24"/>
      <w:lang w:val="en-US" w:eastAsia="zh-CN" w:bidi="ar-SA"/>
    </w:rPr>
  </w:style>
  <w:style w:type="character" w:styleId="1328">
    <w:name w:val="正文缩进 字符"/>
    <w:next w:val="1328"/>
    <w:link w:val="1078"/>
    <w:uiPriority w:val="99"/>
    <w:qFormat/>
    <w:rPr>
      <w:rFonts w:ascii="宋体" w:hAnsi="Times New Roman" w:eastAsia="宋体" w:cs="Times New Roman"/>
      <w:sz w:val="24"/>
    </w:rPr>
  </w:style>
  <w:style w:type="character" w:styleId="1329">
    <w:name w:val="正文文本 字符"/>
    <w:next w:val="1329"/>
    <w:link w:val="1078"/>
    <w:qFormat/>
    <w:rPr>
      <w:rFonts w:ascii="宋体" w:hAnsi="宋体"/>
      <w:sz w:val="24"/>
      <w:szCs w:val="24"/>
    </w:rPr>
  </w:style>
  <w:style w:type="paragraph" w:styleId="1330">
    <w:name w:val="纯文本1"/>
    <w:next w:val="1131"/>
    <w:link w:val="1078"/>
    <w:qFormat/>
    <w:pPr>
      <w:jc w:val="both"/>
      <w:widowControl w:val="off"/>
    </w:pPr>
    <w:rPr>
      <w:rFonts w:ascii="宋体" w:hAnsi="宋体"/>
      <w:sz w:val="26"/>
      <w:szCs w:val="24"/>
      <w:lang w:val="en-US" w:eastAsia="zh-CN" w:bidi="ar-SA"/>
    </w:rPr>
  </w:style>
  <w:style w:type="paragraph" w:styleId="1331">
    <w:name w:val="AONormal"/>
    <w:next w:val="1331"/>
    <w:link w:val="1078"/>
    <w:qFormat/>
    <w:pPr>
      <w:ind w:firstLine="440"/>
      <w:spacing w:line="400" w:lineRule="exact"/>
    </w:pPr>
    <w:rPr>
      <w:rFonts w:ascii="华文楷体" w:hAnsi="华文楷体" w:eastAsia="华文楷体" w:cs="华文楷体"/>
      <w:sz w:val="22"/>
      <w:szCs w:val="21"/>
      <w:lang w:val="en-US" w:eastAsia="zh-CN" w:bidi="ar-SA"/>
    </w:rPr>
  </w:style>
  <w:style w:type="character" w:styleId="1332" w:default="1">
    <w:name w:val="Default Paragraph Font"/>
    <w:uiPriority w:val="1"/>
    <w:semiHidden/>
    <w:unhideWhenUsed/>
  </w:style>
  <w:style w:type="numbering" w:styleId="1333" w:default="1">
    <w:name w:val="No List"/>
    <w:uiPriority w:val="99"/>
    <w:semiHidden/>
    <w:unhideWhenUsed/>
  </w:style>
  <w:style w:type="table" w:styleId="13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袁婷</cp:lastModifiedBy>
  <cp:revision>6</cp:revision>
  <dcterms:created xsi:type="dcterms:W3CDTF">2022-05-30T08:08:00Z</dcterms:created>
  <dcterms:modified xsi:type="dcterms:W3CDTF">2026-09-07T09:37:47Z</dcterms:modified>
</cp:coreProperties>
</file>