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ind w:firstLine="0"/>
        <w:rPr>
          <w:rFonts w:hint="eastAsia" w:eastAsia="黑体"/>
          <w:b/>
          <w:bCs/>
          <w:sz w:val="84"/>
        </w:rPr>
      </w:pPr>
      <w:r>
        <w:rPr>
          <w:rFonts w:hint="eastAsia" w:eastAsia="黑体"/>
          <w:b/>
          <w:bCs/>
          <w:sz w:val="84"/>
        </w:rPr>
      </w:r>
      <w:r/>
    </w:p>
    <w:p>
      <w:pPr>
        <w:pStyle w:val="825"/>
        <w:ind w:firstLine="0"/>
        <w:jc w:val="center"/>
        <w:rPr>
          <w:rFonts w:hint="eastAsia" w:ascii="方正小标宋_GBK" w:hAnsi="方正小标宋_GBK" w:eastAsia="方正小标宋_GBK" w:cs="方正小标宋_GBK"/>
          <w:sz w:val="60"/>
          <w:szCs w:val="60"/>
        </w:rPr>
      </w:pPr>
      <w:r>
        <w:rPr>
          <w:rFonts w:hint="eastAsia" w:ascii="方正小标宋_GBK" w:hAnsi="方正小标宋_GBK" w:eastAsia="方正小标宋_GBK" w:cs="方正小标宋_GBK"/>
          <w:sz w:val="60"/>
          <w:szCs w:val="60"/>
        </w:rPr>
        <w:t xml:space="preserve">招　标　文　件</w:t>
      </w:r>
      <w:r>
        <w:rPr>
          <w:rFonts w:hint="eastAsia" w:ascii="方正小标宋_GBK" w:hAnsi="方正小标宋_GBK" w:eastAsia="方正小标宋_GBK" w:cs="方正小标宋_GBK"/>
          <w:sz w:val="60"/>
          <w:szCs w:val="60"/>
        </w:rPr>
      </w:r>
      <w:r/>
    </w:p>
    <w:p>
      <w:pPr>
        <w:pStyle w:val="825"/>
        <w:ind w:firstLine="1968"/>
        <w:spacing w:line="400" w:lineRule="exact"/>
        <w:rPr>
          <w:rFonts w:hint="eastAsia"/>
          <w:b/>
          <w:bCs/>
          <w:sz w:val="28"/>
          <w:szCs w:val="28"/>
        </w:rPr>
      </w:pPr>
      <w:r>
        <w:rPr>
          <w:rFonts w:hint="eastAsia"/>
          <w:b/>
          <w:bCs/>
          <w:sz w:val="28"/>
          <w:szCs w:val="28"/>
        </w:rPr>
      </w:r>
      <w:r/>
    </w:p>
    <w:p>
      <w:pPr>
        <w:pStyle w:val="738"/>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项目名称：预算管理一体化平台预算执行板块升级改造</w:t>
      </w:r>
      <w:r>
        <w:rPr>
          <w:rFonts w:hint="eastAsia" w:ascii="方正黑体_GBK" w:hAnsi="方正黑体_GBK" w:eastAsia="方正黑体_GBK" w:cs="方正黑体_GBK"/>
          <w:color w:val="000000"/>
          <w:sz w:val="28"/>
          <w:szCs w:val="28"/>
        </w:rPr>
      </w:r>
      <w:r/>
    </w:p>
    <w:p>
      <w:pPr>
        <w:pStyle w:val="738"/>
        <w:ind w:firstLine="560"/>
        <w:jc w:val="left"/>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JSZC-320000-SCZX-G2026-0370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825"/>
        <w:ind w:firstLine="0"/>
        <w:spacing w:before="0" w:after="0"/>
        <w:rPr>
          <w:rFonts w:hint="eastAsia" w:ascii="宋体" w:hAnsi="宋体"/>
          <w:sz w:val="28"/>
          <w:szCs w:val="28"/>
        </w:rPr>
      </w:pPr>
      <w:r>
        <w:rPr>
          <w:rFonts w:hint="eastAsia" w:ascii="宋体" w:hAnsi="宋体"/>
          <w:sz w:val="28"/>
          <w:szCs w:val="28"/>
        </w:rPr>
      </w:r>
      <w:r/>
    </w:p>
    <w:p>
      <w:pPr>
        <w:pStyle w:val="825"/>
        <w:ind w:firstLine="0"/>
        <w:spacing w:before="0" w:after="0"/>
        <w:rPr>
          <w:rFonts w:hint="eastAsia" w:ascii="宋体" w:hAnsi="宋体"/>
          <w:sz w:val="28"/>
          <w:szCs w:val="28"/>
        </w:rPr>
      </w:pPr>
      <w:r>
        <w:rPr>
          <w:rFonts w:hint="eastAsia" w:ascii="宋体" w:hAnsi="宋体"/>
          <w:sz w:val="28"/>
          <w:szCs w:val="28"/>
        </w:rPr>
      </w:r>
      <w:r/>
    </w:p>
    <w:p>
      <w:pPr>
        <w:pStyle w:val="825"/>
        <w:ind w:firstLine="0"/>
        <w:spacing w:before="0" w:after="0"/>
        <w:rPr>
          <w:rFonts w:hint="eastAsia" w:ascii="宋体" w:hAnsi="宋体"/>
          <w:sz w:val="28"/>
          <w:szCs w:val="28"/>
        </w:rPr>
      </w:pPr>
      <w:r>
        <w:rPr>
          <w:rFonts w:hint="eastAsia" w:ascii="宋体" w:hAnsi="宋体"/>
          <w:sz w:val="28"/>
          <w:szCs w:val="28"/>
        </w:rPr>
      </w:r>
      <w:r/>
    </w:p>
    <w:p>
      <w:pPr>
        <w:pStyle w:val="825"/>
        <w:ind w:firstLine="0"/>
        <w:spacing w:before="0" w:after="0"/>
        <w:rPr>
          <w:rFonts w:hint="eastAsia" w:ascii="宋体" w:hAnsi="宋体"/>
          <w:sz w:val="28"/>
          <w:szCs w:val="28"/>
        </w:rPr>
      </w:pPr>
      <w:r>
        <w:rPr>
          <w:rFonts w:hint="eastAsia" w:ascii="宋体" w:hAnsi="宋体"/>
          <w:sz w:val="28"/>
          <w:szCs w:val="28"/>
        </w:rPr>
      </w:r>
      <w:r/>
    </w:p>
    <w:p>
      <w:pPr>
        <w:pStyle w:val="825"/>
        <w:ind w:firstLine="0"/>
        <w:spacing w:before="0" w:after="0"/>
        <w:rPr>
          <w:rFonts w:hint="eastAsia" w:ascii="宋体" w:hAnsi="宋体"/>
          <w:sz w:val="28"/>
          <w:szCs w:val="28"/>
        </w:rPr>
      </w:pPr>
      <w:r>
        <w:rPr>
          <w:rFonts w:hint="eastAsia" w:ascii="宋体" w:hAnsi="宋体"/>
          <w:sz w:val="28"/>
          <w:szCs w:val="28"/>
        </w:rPr>
      </w:r>
      <w:r/>
    </w:p>
    <w:p>
      <w:pPr>
        <w:pStyle w:val="825"/>
        <w:ind w:firstLine="0"/>
        <w:spacing w:before="0" w:after="0"/>
        <w:rPr>
          <w:rFonts w:hint="eastAsia" w:ascii="宋体" w:hAnsi="宋体"/>
          <w:sz w:val="28"/>
          <w:szCs w:val="28"/>
        </w:rPr>
      </w:pPr>
      <w:r>
        <w:rPr>
          <w:rFonts w:hint="eastAsia" w:ascii="宋体" w:hAnsi="宋体"/>
          <w:sz w:val="28"/>
          <w:szCs w:val="28"/>
        </w:rPr>
      </w:r>
      <w:r/>
    </w:p>
    <w:p>
      <w:pPr>
        <w:pStyle w:val="825"/>
        <w:ind w:firstLine="0"/>
        <w:spacing w:before="0" w:after="0"/>
        <w:rPr>
          <w:rFonts w:hint="eastAsia" w:ascii="宋体" w:hAnsi="宋体"/>
          <w:sz w:val="28"/>
          <w:szCs w:val="28"/>
        </w:rPr>
      </w:pPr>
      <w:r>
        <w:rPr>
          <w:rFonts w:hint="eastAsia" w:ascii="宋体" w:hAnsi="宋体"/>
          <w:sz w:val="28"/>
          <w:szCs w:val="28"/>
        </w:rPr>
      </w:r>
      <w:r/>
    </w:p>
    <w:p>
      <w:pPr>
        <w:pStyle w:val="73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738"/>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2026年8月</w:t>
      </w:r>
      <w:r>
        <w:rPr>
          <w:rFonts w:hint="eastAsia" w:ascii="方正黑体_GBK" w:hAnsi="方正黑体_GBK" w:eastAsia="方正黑体_GBK" w:cs="方正黑体_GBK"/>
          <w:color w:val="000000"/>
          <w:sz w:val="28"/>
          <w:szCs w:val="28"/>
        </w:rPr>
      </w:r>
      <w:r/>
    </w:p>
    <w:p>
      <w:pPr>
        <w:pStyle w:val="825"/>
        <w:ind w:firstLine="0"/>
        <w:rPr>
          <w:rFonts w:hint="eastAsia"/>
          <w:u w:val="single"/>
        </w:rPr>
      </w:pPr>
      <w:r>
        <w:rPr>
          <w:rFonts w:hint="eastAsia"/>
        </w:rPr>
        <w:t xml:space="preserve">                        </w:t>
      </w:r>
      <w:r>
        <w:rPr>
          <w:rFonts w:hint="eastAsia"/>
          <w:u w:val="single"/>
        </w:rPr>
      </w:r>
      <w:r/>
    </w:p>
    <w:p>
      <w:pPr>
        <w:pStyle w:val="825"/>
        <w:ind w:firstLine="0"/>
        <w:jc w:val="center"/>
        <w:rPr>
          <w:rFonts w:hint="eastAsia"/>
        </w:rPr>
      </w:pPr>
      <w:r>
        <w:rPr>
          <w:rFonts w:hint="eastAsia"/>
        </w:rPr>
      </w:r>
      <w:r/>
    </w:p>
    <w:p>
      <w:pPr>
        <w:pStyle w:val="738"/>
        <w:jc w:val="center"/>
        <w:spacing w:line="400" w:lineRule="exact"/>
        <w:rPr>
          <w:rFonts w:hint="eastAsia" w:ascii="黑体" w:hAnsi="Arial" w:eastAsia="黑体"/>
          <w:b/>
          <w:sz w:val="28"/>
          <w:szCs w:val="28"/>
        </w:rPr>
        <w:outlineLvl w:val="0"/>
      </w:pPr>
      <w:r>
        <w:br w:type="page" w:clear="all"/>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738"/>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738"/>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rPr>
          <w:rFonts w:hint="eastAsia" w:ascii="方正黑体_GBK" w:hAnsi="方正黑体_GBK" w:eastAsia="方正黑体_GBK" w:cs="方正黑体_GBK"/>
          <w:color w:val="000000"/>
          <w:sz w:val="28"/>
          <w:szCs w:val="28"/>
        </w:rPr>
      </w:r>
      <w:r/>
    </w:p>
    <w:p>
      <w:pPr>
        <w:pStyle w:val="738"/>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第二章 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738"/>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738"/>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lang w:val="en-US" w:eastAsia="zh-CN"/>
        </w:rPr>
        <w:t xml:space="preserve">20</w:t>
      </w:r>
      <w:r>
        <w:rPr>
          <w:rFonts w:ascii="方正黑体_GBK" w:hAnsi="方正黑体_GBK" w:eastAsia="方正黑体_GBK" w:cs="方正黑体_GBK"/>
          <w:color w:val="000000"/>
          <w:sz w:val="28"/>
          <w:szCs w:val="28"/>
          <w:lang w:val="en-US" w:eastAsia="zh-CN"/>
        </w:rPr>
      </w:r>
      <w:r/>
    </w:p>
    <w:p>
      <w:pPr>
        <w:pStyle w:val="738"/>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第五章 评标方法与评标标准………………………</w:t>
      </w:r>
      <w:r>
        <w:rPr>
          <w:rFonts w:hint="eastAsia" w:ascii="方正黑体_GBK" w:hAnsi="方正黑体_GBK" w:eastAsia="方正黑体_GBK" w:cs="方正黑体_GBK"/>
          <w:color w:val="000000"/>
          <w:sz w:val="28"/>
          <w:szCs w:val="28"/>
          <w:lang w:val="en-US" w:eastAsia="zh-CN"/>
        </w:rPr>
        <w:t xml:space="preserve">34</w:t>
      </w:r>
      <w:r>
        <w:rPr>
          <w:rFonts w:ascii="方正黑体_GBK" w:hAnsi="方正黑体_GBK" w:eastAsia="方正黑体_GBK" w:cs="方正黑体_GBK"/>
          <w:color w:val="000000"/>
          <w:sz w:val="28"/>
          <w:szCs w:val="28"/>
          <w:lang w:val="en-US" w:eastAsia="zh-CN"/>
        </w:rPr>
      </w:r>
      <w:r/>
    </w:p>
    <w:p>
      <w:pPr>
        <w:pStyle w:val="738"/>
        <w:jc w:val="center"/>
        <w:spacing w:line="400" w:lineRule="exact"/>
        <w:rPr>
          <w:rFonts w:eastAsia="方正黑体_GBK"/>
          <w:lang w:val="en-US" w:eastAsia="zh-CN"/>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lang w:val="en-US" w:eastAsia="zh-CN"/>
        </w:rPr>
        <w:t xml:space="preserve">40</w:t>
      </w:r>
      <w:r>
        <w:rPr>
          <w:rFonts w:eastAsia="方正黑体_GBK"/>
          <w:lang w:val="en-US" w:eastAsia="zh-CN"/>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42"/>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rPr>
          <w:rFonts w:hint="eastAsia"/>
        </w:rPr>
      </w:pPr>
      <w:r>
        <w:rPr>
          <w:rFonts w:hint="eastAsia"/>
        </w:rPr>
      </w:r>
      <w:r/>
    </w:p>
    <w:p>
      <w:pPr>
        <w:pStyle w:val="738"/>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受〔江苏省财政厅财政信息管理中心〕的委托，江苏省政府采购中心就〔预算管理一体化平台预算执行板块升级改造〕(</w:t>
      </w:r>
      <w:r>
        <w:rPr>
          <w:rFonts w:eastAsia="方正黑体_GBK"/>
          <w:color w:val="000000"/>
          <w:sz w:val="28"/>
          <w:szCs w:val="28"/>
        </w:rPr>
        <w:t xml:space="preserve">JSZC-320000-SCZX-G2026-0370 </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738"/>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(预算管理一体化平台预算执行板块升级改造)</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10</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eastAsia="方正黑体_GBK"/>
          <w:color w:val="000000"/>
          <w:sz w:val="28"/>
          <w:szCs w:val="28"/>
        </w:rPr>
        <w:t xml:space="preserve">JSZC-320000-SCZX-G2026-0370  </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2.项目名称：预算管理一体化平台预算执行板块升级改造</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rHeight w:val="353"/>
        </w:trPr>
        <w:tc>
          <w:tcPr>
            <w:tcW w:w="1092" w:type="dxa"/>
            <w:vAlign w:val="top"/>
            <w:textDirection w:val="lrTb"/>
            <w:noWrap w:val="false"/>
          </w:tcPr>
          <w:p>
            <w:pPr>
              <w:pStyle w:val="738"/>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8"/>
              <w:ind w:firstLine="112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43.65</w:t>
            </w:r>
            <w:r>
              <w:rPr>
                <w:rFonts w:ascii="方正仿宋_GBK" w:hAnsi="方正仿宋_GBK" w:eastAsia="方正仿宋_GBK" w:cs="方正仿宋_GBK"/>
                <w:sz w:val="28"/>
                <w:szCs w:val="28"/>
              </w:rPr>
            </w:r>
            <w:r/>
          </w:p>
        </w:tc>
      </w:tr>
    </w:tbl>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738"/>
              <w:jc w:val="center"/>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43.65</w:t>
            </w:r>
            <w:r>
              <w:rPr>
                <w:rFonts w:ascii="方正仿宋_GBK" w:hAnsi="方正仿宋_GBK" w:eastAsia="方正仿宋_GBK" w:cs="方正仿宋_GBK"/>
                <w:sz w:val="28"/>
                <w:szCs w:val="28"/>
              </w:rPr>
            </w:r>
            <w:r/>
          </w:p>
        </w:tc>
      </w:tr>
    </w:tbl>
    <w:p>
      <w:pPr>
        <w:pStyle w:val="738"/>
        <w:ind w:firstLine="560"/>
        <w:spacing w:line="400" w:lineRule="exact"/>
        <w:rPr>
          <w:rFonts w:hint="eastAsia" w:ascii="方正仿宋_GBK" w:hAnsi="方正仿宋_GBK" w:eastAsia="方正仿宋_GBK" w:cs="方正仿宋_GBK"/>
          <w:sz w:val="28"/>
          <w:szCs w:val="28"/>
          <w:u w:val="single"/>
        </w:rPr>
      </w:pPr>
      <w:r/>
      <w:bookmarkStart w:id="12" w:name="_Toc28359003"/>
      <w:r/>
      <w:bookmarkStart w:id="13" w:name="_Toc38985264"/>
      <w:r/>
      <w:bookmarkStart w:id="14" w:name="_Toc35393791"/>
      <w:r/>
      <w:bookmarkStart w:id="15" w:name="_Toc35393622"/>
      <w:r/>
      <w:bookmarkStart w:id="16" w:name="_Toc28359080"/>
      <w:r>
        <w:rPr>
          <w:rFonts w:hint="eastAsia" w:ascii="方正仿宋_GBK" w:hAnsi="方正仿宋_GBK" w:eastAsia="方正仿宋_GBK" w:cs="方正仿宋_GBK"/>
          <w:sz w:val="28"/>
          <w:szCs w:val="28"/>
        </w:rPr>
        <w:t xml:space="preserve">5.采购需求(简介)：</w:t>
      </w:r>
      <w:r>
        <w:rPr>
          <w:rFonts w:hint="eastAsia" w:eastAsia="方正仿宋_GBK"/>
          <w:color w:val="000000"/>
          <w:sz w:val="28"/>
          <w:szCs w:val="28"/>
        </w:rPr>
        <w:t xml:space="preserve">为强化预算执行常态化监督的系列部署要求，全面提升财政管理数字化智能化水平，根据江苏省财政厅《关于开展“人工智能+”财政科学管理行动的实施方案》相关要求，本项目将构建人工智能辅助预算执行常态化监督体系，实现对财政资金支付事前、事中、事后的全流程智能辅助与主动风险识别，切实保障我省财政资金使用的安全性、规范性和有效性。</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738"/>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6.合同履行期限：合同签订之日起</w:t>
      </w:r>
      <w:r>
        <w:rPr>
          <w:rFonts w:hint="eastAsia" w:eastAsia="方正仿宋_GBK"/>
          <w:color w:val="000000"/>
          <w:sz w:val="28"/>
          <w:szCs w:val="28"/>
        </w:rPr>
        <w:t xml:space="preserve">4个月内。</w:t>
      </w:r>
      <w:r>
        <w:rPr>
          <w:rFonts w:hint="eastAsia" w:ascii="方正仿宋_GBK" w:hAnsi="方正仿宋_GBK" w:eastAsia="方正仿宋_GBK" w:cs="方正仿宋_GBK"/>
          <w:color w:val="000000"/>
          <w:sz w:val="28"/>
          <w:szCs w:val="28"/>
          <w:u w:val="single"/>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738"/>
        <w:ind w:firstLine="560"/>
        <w:spacing w:line="400" w:lineRule="exact"/>
        <w:rPr>
          <w:rFonts w:hint="eastAsia" w:ascii="方正楷体_GBK" w:hAnsi="方正楷体_GBK" w:eastAsia="方正楷体_GBK" w:cs="方正楷体_GBK"/>
          <w:color w:val="000000"/>
          <w:sz w:val="28"/>
          <w:szCs w:val="28"/>
        </w:rPr>
      </w:pPr>
      <w:r/>
      <w:bookmarkStart w:id="17" w:name="_Toc38985265"/>
      <w:r/>
      <w:bookmarkStart w:id="18" w:name="_Toc35393792"/>
      <w:r/>
      <w:bookmarkStart w:id="19" w:name="_Toc35393623"/>
      <w:r/>
      <w:bookmarkStart w:id="20" w:name="_Toc28359004"/>
      <w:r/>
      <w:bookmarkStart w:id="21" w:name="_Toc28359081"/>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8"/>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r>
            <w:r/>
          </w:p>
        </w:tc>
      </w:tr>
    </w:tbl>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07"/>
      <w:r/>
      <w:bookmarkStart w:id="23" w:name="_Toc35393794"/>
      <w:r/>
      <w:bookmarkStart w:id="24" w:name="_Toc35393625"/>
      <w:r/>
      <w:bookmarkStart w:id="25" w:name="_Toc28359084"/>
      <w:r/>
      <w:bookmarkStart w:id="26" w:name="_Toc38985267"/>
      <w:r/>
      <w:bookmarkStart w:id="27" w:name="_Toc28359082"/>
      <w:r/>
      <w:bookmarkStart w:id="28" w:name="_Toc28359005"/>
      <w:r/>
      <w:bookmarkStart w:id="29" w:name="_Toc38985266"/>
      <w:r/>
      <w:bookmarkStart w:id="30" w:name="_Toc35393793"/>
      <w:r/>
      <w:bookmarkStart w:id="31" w:name="_Toc35393624"/>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738"/>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9</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10</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8985269"/>
      <w:r/>
      <w:bookmarkStart w:id="36" w:name="_Toc35393627"/>
      <w:r/>
      <w:bookmarkStart w:id="37" w:name="_Toc35393796"/>
      <w:r/>
      <w:bookmarkStart w:id="38" w:name="_Toc28359008"/>
      <w:r/>
      <w:bookmarkStart w:id="39" w:name="_Toc28359085"/>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738"/>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38"/>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江苏省财政厅财政信息管理中心</w:t>
      </w:r>
      <w:r>
        <w:rPr>
          <w:rFonts w:hint="eastAsia" w:ascii="方正仿宋_GBK" w:hAnsi="方正仿宋_GBK" w:eastAsia="方正仿宋_GBK" w:cs="方正仿宋_GBK"/>
          <w:color w:val="000000"/>
          <w:sz w:val="28"/>
          <w:szCs w:val="28"/>
        </w:rPr>
      </w:r>
      <w:r/>
    </w:p>
    <w:p>
      <w:pPr>
        <w:pStyle w:val="738"/>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南京市北京西路63号天目大厦</w:t>
      </w:r>
      <w:r>
        <w:rPr>
          <w:rFonts w:hint="eastAsia" w:ascii="方正仿宋_GBK" w:hAnsi="方正仿宋_GBK" w:eastAsia="方正仿宋_GBK" w:cs="方正仿宋_GBK"/>
          <w:color w:val="000000"/>
          <w:sz w:val="28"/>
          <w:szCs w:val="28"/>
        </w:rPr>
      </w:r>
      <w:r/>
    </w:p>
    <w:p>
      <w:pPr>
        <w:pStyle w:val="738"/>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张昱昊                 </w:t>
      </w:r>
      <w:r>
        <w:rPr>
          <w:rFonts w:hint="eastAsia" w:ascii="方正仿宋_GBK" w:hAnsi="方正仿宋_GBK" w:eastAsia="方正仿宋_GBK" w:cs="方正仿宋_GBK"/>
          <w:color w:val="000000"/>
          <w:sz w:val="28"/>
          <w:szCs w:val="28"/>
        </w:rPr>
      </w:r>
      <w:r/>
    </w:p>
    <w:p>
      <w:pPr>
        <w:pStyle w:val="738"/>
        <w:ind w:firstLine="560"/>
        <w:jc w:val="left"/>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025-83633364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738"/>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738"/>
        <w:ind w:firstLine="720"/>
        <w:spacing w:line="400" w:lineRule="exact"/>
        <w:rPr>
          <w:rFonts w:hint="eastAsia" w:ascii="方正仿宋_GB2312" w:hAnsi="方正仿宋_GB2312" w:eastAsia="方正仿宋_GB2312" w:cs="方正仿宋_GB2312"/>
          <w:color w:val="000000"/>
          <w:sz w:val="28"/>
          <w:szCs w:val="28"/>
        </w:rPr>
      </w:pPr>
      <w:r/>
      <w:bookmarkStart w:id="42" w:name="OLE_LINK10"/>
      <w:r>
        <w:rPr>
          <w:rFonts w:hint="eastAsia" w:ascii="方正仿宋_GB2312" w:hAnsi="方正仿宋_GB2312" w:eastAsia="方正仿宋_GB2312" w:cs="方正仿宋_GB2312"/>
          <w:color w:val="000000"/>
          <w:sz w:val="28"/>
          <w:szCs w:val="28"/>
        </w:rPr>
        <w:t xml:space="preserve">地址：  </w:t>
      </w:r>
      <w:r>
        <w:rPr>
          <w:rFonts w:hint="eastAsia" w:ascii="方正仿宋_GB2312" w:hAnsi="方正仿宋_GB2312" w:eastAsia="方正仿宋_GB2312" w:cs="方正仿宋_GB2312"/>
          <w:sz w:val="28"/>
          <w:szCs w:val="28"/>
          <w:u w:val="single"/>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738"/>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sz w:val="28"/>
          <w:szCs w:val="28"/>
          <w:u w:val="single"/>
        </w:rPr>
        <w:t xml:space="preserve">     唐雪菲 徐小聪        </w:t>
      </w:r>
      <w:r>
        <w:rPr>
          <w:rFonts w:hint="eastAsia" w:ascii="方正仿宋_GB2312" w:hAnsi="方正仿宋_GB2312" w:eastAsia="方正仿宋_GB2312" w:cs="方正仿宋_GB2312"/>
          <w:color w:val="000000"/>
          <w:sz w:val="28"/>
          <w:szCs w:val="28"/>
        </w:rPr>
      </w:r>
      <w:r/>
    </w:p>
    <w:p>
      <w:pPr>
        <w:pStyle w:val="738"/>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sz w:val="28"/>
          <w:szCs w:val="28"/>
          <w:u w:val="single"/>
        </w:rPr>
        <w:t xml:space="preserve">　　025-83668562 83668516   </w:t>
      </w:r>
      <w:bookmarkEnd w:id="42"/>
      <w:r>
        <w:rPr>
          <w:rFonts w:hint="eastAsia" w:ascii="方正仿宋_GB2312" w:hAnsi="方正仿宋_GB2312" w:eastAsia="方正仿宋_GB2312" w:cs="方正仿宋_GB2312"/>
          <w:color w:val="000000"/>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38"/>
        <w:ind w:right="840"/>
        <w:rPr>
          <w:rFonts w:hint="eastAsia" w:ascii="宋体" w:hAnsi="宋体"/>
          <w:color w:val="000000"/>
          <w:sz w:val="24"/>
          <w:szCs w:val="24"/>
        </w:rPr>
      </w:pPr>
      <w:r>
        <w:rPr>
          <w:rFonts w:hint="eastAsia" w:ascii="宋体" w:hAnsi="宋体"/>
          <w:color w:val="000000"/>
          <w:sz w:val="24"/>
          <w:szCs w:val="24"/>
        </w:rPr>
      </w:r>
      <w:r/>
    </w:p>
    <w:p>
      <w:pPr>
        <w:pStyle w:val="738"/>
        <w:ind w:right="839"/>
        <w:jc w:val="center"/>
        <w:spacing w:line="400" w:lineRule="exact"/>
        <w:rPr>
          <w:rFonts w:hint="eastAsia" w:ascii="宋体" w:hAnsi="宋体"/>
          <w:sz w:val="28"/>
          <w:szCs w:val="28"/>
        </w:rPr>
      </w:pPr>
      <w:r>
        <w:rPr>
          <w:rFonts w:ascii="宋体" w:hAnsi="宋体"/>
          <w:sz w:val="24"/>
          <w:szCs w:val="24"/>
        </w:rPr>
        <w:br w:type="page" w:clear="all"/>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16938518"/>
      <w:r/>
      <w:bookmarkStart w:id="45" w:name="_Toc513029202"/>
      <w:r/>
      <w:bookmarkStart w:id="46" w:name="_Toc120614213"/>
      <w:r/>
      <w:bookmarkStart w:id="47" w:name="_Toc20823274"/>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宋体" w:hAnsi="宋体"/>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38"/>
        <w:ind w:firstLine="560"/>
        <w:spacing w:line="400" w:lineRule="exact"/>
        <w:rPr>
          <w:rFonts w:hint="eastAsia" w:ascii="宋体" w:hAnsi="宋体"/>
          <w:sz w:val="28"/>
          <w:szCs w:val="28"/>
        </w:rPr>
      </w:pPr>
      <w:r>
        <w:rPr>
          <w:rFonts w:hint="eastAsia" w:ascii="宋体" w:hAnsi="宋体"/>
          <w:sz w:val="28"/>
          <w:szCs w:val="28"/>
        </w:rPr>
      </w:r>
      <w:r/>
    </w:p>
    <w:p>
      <w:pPr>
        <w:pStyle w:val="738"/>
        <w:ind w:firstLine="560"/>
        <w:spacing w:line="400" w:lineRule="exact"/>
        <w:rPr>
          <w:rFonts w:hint="eastAsia" w:ascii="宋体" w:hAnsi="宋体"/>
          <w:sz w:val="28"/>
          <w:szCs w:val="28"/>
        </w:rPr>
      </w:pPr>
      <w:r>
        <w:rPr>
          <w:rFonts w:hint="eastAsia" w:ascii="宋体" w:hAnsi="宋体"/>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3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8" w:name="_Toc20823285"/>
      <w:r/>
      <w:bookmarkStart w:id="49" w:name="_Toc120614216"/>
      <w:r/>
      <w:bookmarkStart w:id="50" w:name="_Toc513029213"/>
      <w:r/>
      <w:bookmarkStart w:id="51" w:name="_Toc462564072"/>
      <w:r/>
      <w:bookmarkStart w:id="52" w:name="_Toc16938529"/>
      <w:r>
        <w:rPr>
          <w:rFonts w:hint="eastAsia" w:ascii="方正黑体_GBK" w:hAnsi="方正黑体_GBK" w:eastAsia="方正黑体_GBK" w:cs="方正黑体_GBK"/>
          <w:color w:val="000000"/>
          <w:sz w:val="28"/>
          <w:szCs w:val="28"/>
        </w:rPr>
        <w:t xml:space="preserve">三、投标文件的编制</w:t>
      </w:r>
      <w:bookmarkEnd w:id="48"/>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742"/>
        <w:ind w:firstLine="560"/>
        <w:spacing w:before="0" w:after="0" w:line="400" w:lineRule="exact"/>
        <w:rPr>
          <w:rFonts w:hint="eastAsia" w:ascii="方正仿宋_GBK" w:hAnsi="方正仿宋_GBK" w:eastAsia="方正仿宋_GBK" w:cs="方正仿宋_GBK"/>
          <w:bCs w:val="0"/>
        </w:rPr>
      </w:pPr>
      <w:r/>
      <w:bookmarkStart w:id="53" w:name="_Toc20823286"/>
      <w:r/>
      <w:bookmarkStart w:id="54" w:name="_Toc16938530"/>
      <w:r/>
      <w:bookmarkStart w:id="55" w:name="_Toc462564073"/>
      <w:r/>
      <w:bookmarkStart w:id="56" w:name="_Toc513029214"/>
      <w:r>
        <w:rPr>
          <w:rFonts w:hint="eastAsia" w:ascii="方正仿宋_GBK" w:hAnsi="方正仿宋_GBK" w:eastAsia="方正仿宋_GBK" w:cs="方正仿宋_GBK"/>
          <w:b w:val="0"/>
          <w:bCs w:val="0"/>
        </w:rPr>
        <w:t xml:space="preserve">8.投标文件的语言及度量衡单位</w:t>
      </w:r>
      <w:bookmarkEnd w:id="53"/>
      <w:r/>
      <w:bookmarkEnd w:id="54"/>
      <w:r/>
      <w:bookmarkEnd w:id="55"/>
      <w:r/>
      <w:bookmarkEnd w:id="56"/>
      <w:r>
        <w:rPr>
          <w:rFonts w:hint="eastAsia" w:ascii="方正仿宋_GBK" w:hAnsi="方正仿宋_GBK" w:eastAsia="方正仿宋_GBK" w:cs="方正仿宋_GBK"/>
          <w:bCs w:val="0"/>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742"/>
        <w:ind w:firstLine="560"/>
        <w:spacing w:before="0" w:after="0" w:line="400" w:lineRule="exact"/>
        <w:rPr>
          <w:rFonts w:hint="eastAsia" w:ascii="方正仿宋_GBK" w:hAnsi="方正仿宋_GBK" w:eastAsia="方正仿宋_GBK" w:cs="方正仿宋_GBK"/>
          <w:b w:val="0"/>
          <w:bCs w:val="0"/>
        </w:rPr>
      </w:pPr>
      <w:r/>
      <w:bookmarkStart w:id="57" w:name="_Toc16938531"/>
      <w:r/>
      <w:bookmarkStart w:id="58" w:name="_Toc513029215"/>
      <w:r/>
      <w:bookmarkStart w:id="59" w:name="_Toc462564074"/>
      <w:r/>
      <w:bookmarkStart w:id="60" w:name="_Toc20823287"/>
      <w:r>
        <w:rPr>
          <w:rFonts w:hint="eastAsia" w:ascii="方正仿宋_GBK" w:hAnsi="方正仿宋_GBK" w:eastAsia="方正仿宋_GBK" w:cs="方正仿宋_GBK"/>
          <w:b w:val="0"/>
          <w:bCs w:val="0"/>
        </w:rPr>
        <w:t xml:space="preserve">9.投标文件构成</w:t>
      </w:r>
      <w:bookmarkEnd w:id="57"/>
      <w:r/>
      <w:bookmarkEnd w:id="58"/>
      <w:r/>
      <w:bookmarkEnd w:id="59"/>
      <w:r/>
      <w:bookmarkEnd w:id="60"/>
      <w:r>
        <w:rPr>
          <w:rFonts w:hint="eastAsia" w:ascii="方正仿宋_GBK" w:hAnsi="方正仿宋_GBK" w:eastAsia="方正仿宋_GBK" w:cs="方正仿宋_GBK"/>
          <w:b w:val="0"/>
          <w:bCs w:val="0"/>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742"/>
        <w:ind w:firstLine="560"/>
        <w:spacing w:before="0" w:after="0" w:line="400" w:lineRule="exact"/>
        <w:rPr>
          <w:rFonts w:hint="eastAsia" w:ascii="方正仿宋_GBK" w:hAnsi="方正仿宋_GBK" w:eastAsia="方正仿宋_GBK" w:cs="方正仿宋_GBK"/>
          <w:b w:val="0"/>
          <w:bCs w:val="0"/>
        </w:rPr>
      </w:pPr>
      <w:r/>
      <w:bookmarkStart w:id="61" w:name="_Hlt26954838"/>
      <w:r/>
      <w:bookmarkEnd w:id="61"/>
      <w:r/>
      <w:bookmarkStart w:id="62" w:name="_Hlt26670360"/>
      <w:r/>
      <w:bookmarkEnd w:id="62"/>
      <w:r/>
      <w:bookmarkStart w:id="63" w:name="_Hlt26668975"/>
      <w:r/>
      <w:bookmarkEnd w:id="63"/>
      <w:r/>
      <w:bookmarkStart w:id="64" w:name="_Toc49090509"/>
      <w:r/>
      <w:bookmarkStart w:id="65" w:name="_Toc14577357"/>
      <w:r/>
      <w:bookmarkStart w:id="66" w:name="_Toc513029219"/>
      <w:r/>
      <w:bookmarkStart w:id="67" w:name="_Toc513029216"/>
      <w:r/>
      <w:bookmarkStart w:id="68" w:name="_Toc49090507"/>
      <w:r/>
      <w:bookmarkStart w:id="69" w:name="_Toc14577354"/>
      <w:r>
        <w:rPr>
          <w:rFonts w:hint="eastAsia" w:ascii="方正仿宋_GBK" w:hAnsi="方正仿宋_GBK" w:eastAsia="方正仿宋_GBK" w:cs="方正仿宋_GBK"/>
          <w:b w:val="0"/>
          <w:bCs w:val="0"/>
        </w:rPr>
        <w:t xml:space="preserve">10.证明投标人及投标标的符合招标文件规定的文件</w:t>
      </w:r>
      <w:bookmarkEnd w:id="64"/>
      <w:r/>
      <w:bookmarkEnd w:id="65"/>
      <w:r/>
      <w:bookmarkEnd w:id="66"/>
      <w:r>
        <w:rPr>
          <w:rFonts w:hint="eastAsia" w:ascii="方正仿宋_GBK" w:hAnsi="方正仿宋_GBK" w:eastAsia="方正仿宋_GBK" w:cs="方正仿宋_GBK"/>
          <w:b w:val="0"/>
          <w:bCs w:val="0"/>
        </w:rPr>
      </w:r>
      <w:r/>
    </w:p>
    <w:p>
      <w:pPr>
        <w:pStyle w:val="738"/>
        <w:ind w:firstLine="560"/>
        <w:spacing w:line="400" w:lineRule="exact"/>
        <w:rPr>
          <w:rFonts w:hint="eastAsia" w:ascii="方正仿宋_GBK" w:hAnsi="方正仿宋_GBK" w:eastAsia="方正仿宋_GBK" w:cs="方正仿宋_GBK"/>
          <w:sz w:val="28"/>
          <w:szCs w:val="28"/>
        </w:rPr>
      </w:pPr>
      <w:r/>
      <w:bookmarkEnd w:id="67"/>
      <w:r/>
      <w:bookmarkEnd w:id="68"/>
      <w:r/>
      <w:bookmarkEnd w:id="69"/>
      <w:r/>
      <w:bookmarkStart w:id="70" w:name="_Toc14577355"/>
      <w:r/>
      <w:bookmarkStart w:id="71"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74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0"/>
      <w:r/>
      <w:bookmarkStart w:id="72" w:name="_Hlt26670373"/>
      <w:r/>
      <w:bookmarkEnd w:id="72"/>
      <w:r>
        <w:rPr>
          <w:rFonts w:hint="eastAsia" w:ascii="方正仿宋_GBK" w:hAnsi="方正仿宋_GBK" w:eastAsia="方正仿宋_GBK" w:cs="方正仿宋_GBK"/>
          <w:b w:val="0"/>
          <w:bCs w:val="0"/>
        </w:rPr>
        <w:t xml:space="preserve">表</w:t>
      </w:r>
      <w:bookmarkEnd w:id="71"/>
      <w:r>
        <w:rPr>
          <w:rFonts w:hint="eastAsia" w:ascii="方正仿宋_GBK" w:hAnsi="方正仿宋_GBK" w:eastAsia="方正仿宋_GBK" w:cs="方正仿宋_GBK"/>
          <w:b w:val="0"/>
          <w:bCs w:val="0"/>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3" w:name="_Hlt26954840"/>
      <w:r/>
      <w:bookmarkEnd w:id="73"/>
      <w:r>
        <w:rPr>
          <w:rFonts w:hint="eastAsia" w:ascii="方正仿宋_GBK" w:hAnsi="方正仿宋_GBK" w:eastAsia="方正仿宋_GBK" w:cs="方正仿宋_GBK"/>
          <w:sz w:val="28"/>
          <w:szCs w:val="28"/>
        </w:rPr>
        <w:t xml:space="preserve">标人按照招标文件规定格式填报投标分项报价表</w:t>
      </w:r>
      <w:bookmarkStart w:id="74" w:name="_Hlt26670399"/>
      <w:r/>
      <w:bookmarkEnd w:id="74"/>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742"/>
        <w:ind w:firstLine="560"/>
        <w:spacing w:before="0" w:after="0" w:line="400" w:lineRule="exact"/>
        <w:rPr>
          <w:rFonts w:hint="eastAsia" w:ascii="方正仿宋_GBK" w:hAnsi="方正仿宋_GBK" w:eastAsia="方正仿宋_GBK" w:cs="方正仿宋_GBK"/>
          <w:b w:val="0"/>
          <w:bCs w:val="0"/>
        </w:rPr>
      </w:pPr>
      <w:r/>
      <w:bookmarkStart w:id="75" w:name="_Hlt26670482"/>
      <w:r/>
      <w:bookmarkEnd w:id="75"/>
      <w:r/>
      <w:bookmarkStart w:id="76" w:name="_Hlt26954844"/>
      <w:r/>
      <w:bookmarkEnd w:id="76"/>
      <w:r/>
      <w:bookmarkStart w:id="77" w:name="_Hlt26670403"/>
      <w:r/>
      <w:bookmarkEnd w:id="77"/>
      <w:r/>
      <w:bookmarkStart w:id="78" w:name="_Hlt26670425"/>
      <w:r/>
      <w:bookmarkEnd w:id="78"/>
      <w:r/>
      <w:bookmarkStart w:id="79" w:name="_Hlt26670486"/>
      <w:r/>
      <w:bookmarkEnd w:id="79"/>
      <w:r/>
      <w:bookmarkStart w:id="80" w:name="_Hlt26954846"/>
      <w:r/>
      <w:bookmarkEnd w:id="80"/>
      <w:r/>
      <w:bookmarkStart w:id="81" w:name="_Hlt26954842"/>
      <w:r/>
      <w:bookmarkEnd w:id="81"/>
      <w:r/>
      <w:bookmarkStart w:id="82" w:name="_Hlt26954848"/>
      <w:r/>
      <w:bookmarkEnd w:id="82"/>
      <w:r/>
      <w:bookmarkStart w:id="83" w:name="_Hlt26668983"/>
      <w:r/>
      <w:bookmarkEnd w:id="83"/>
      <w:r/>
      <w:bookmarkStart w:id="84" w:name="_Hlt26954731"/>
      <w:r/>
      <w:bookmarkEnd w:id="84"/>
      <w:r>
        <w:rPr>
          <w:rFonts w:hint="eastAsia" w:ascii="方正仿宋_GBK" w:hAnsi="方正仿宋_GBK" w:eastAsia="方正仿宋_GBK" w:cs="方正仿宋_GBK"/>
          <w:b w:val="0"/>
          <w:bCs w:val="0"/>
        </w:rPr>
        <w:t xml:space="preserve">12.技术要求响应及偏离表、商务要求响应及偏离表</w:t>
      </w:r>
      <w:r>
        <w:rPr>
          <w:rFonts w:hint="eastAsia" w:ascii="方正仿宋_GBK" w:hAnsi="方正仿宋_GBK" w:eastAsia="方正仿宋_GBK" w:cs="方正仿宋_GBK"/>
          <w:b w:val="0"/>
          <w:bCs w:val="0"/>
        </w:rPr>
      </w:r>
      <w:r/>
    </w:p>
    <w:p>
      <w:pPr>
        <w:pStyle w:val="738"/>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738"/>
        <w:ind w:firstLine="560"/>
        <w:spacing w:line="400" w:lineRule="exact"/>
        <w:rPr>
          <w:rFonts w:hint="eastAsia" w:ascii="方正仿宋_GBK" w:hAnsi="方正仿宋_GBK" w:eastAsia="方正仿宋_GBK" w:cs="方正仿宋_GBK"/>
          <w:sz w:val="28"/>
          <w:szCs w:val="28"/>
          <w:lang w:val="zh-CN"/>
        </w:rPr>
      </w:pPr>
      <w:r/>
      <w:bookmarkStart w:id="85" w:name="_Toc14577359"/>
      <w:r/>
      <w:bookmarkStart w:id="86"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74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rPr>
          <w:rFonts w:hint="eastAsia" w:ascii="方正仿宋_GBK" w:hAnsi="方正仿宋_GBK" w:eastAsia="方正仿宋_GBK" w:cs="方正仿宋_GBK"/>
          <w:b w:val="0"/>
          <w:bCs w:val="0"/>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742"/>
        <w:ind w:firstLine="560"/>
        <w:spacing w:before="0" w:after="0" w:line="400" w:lineRule="exact"/>
        <w:rPr>
          <w:rFonts w:hint="eastAsia" w:ascii="方正仿宋_GBK" w:hAnsi="方正仿宋_GBK" w:eastAsia="方正仿宋_GBK" w:cs="方正仿宋_GBK"/>
          <w:b w:val="0"/>
          <w:bCs w:val="0"/>
        </w:rPr>
      </w:pPr>
      <w:r/>
      <w:bookmarkEnd w:id="85"/>
      <w:r/>
      <w:bookmarkEnd w:id="86"/>
      <w:r/>
      <w:bookmarkStart w:id="87" w:name="_Hlt26670489"/>
      <w:r/>
      <w:bookmarkEnd w:id="87"/>
      <w:r/>
      <w:bookmarkStart w:id="88" w:name="_Hlt26954734"/>
      <w:r/>
      <w:bookmarkEnd w:id="88"/>
      <w:r/>
      <w:bookmarkStart w:id="89" w:name="_Hlt26954850"/>
      <w:r/>
      <w:bookmarkEnd w:id="89"/>
      <w:r/>
      <w:bookmarkStart w:id="90" w:name="_Toc14577360"/>
      <w:r/>
      <w:bookmarkStart w:id="91" w:name="_Toc49090511"/>
      <w:r>
        <w:rPr>
          <w:rFonts w:hint="eastAsia" w:ascii="方正仿宋_GBK" w:hAnsi="方正仿宋_GBK" w:eastAsia="方正仿宋_GBK" w:cs="方正仿宋_GBK"/>
          <w:b w:val="0"/>
          <w:bCs w:val="0"/>
        </w:rPr>
        <w:t xml:space="preserve">14.投标有效期</w:t>
      </w:r>
      <w:bookmarkEnd w:id="90"/>
      <w:r/>
      <w:bookmarkEnd w:id="91"/>
      <w:r>
        <w:rPr>
          <w:rFonts w:hint="eastAsia" w:ascii="方正仿宋_GBK" w:hAnsi="方正仿宋_GBK" w:eastAsia="方正仿宋_GBK" w:cs="方正仿宋_GBK"/>
          <w:b w:val="0"/>
          <w:bCs w:val="0"/>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742"/>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rPr>
          <w:rFonts w:hint="eastAsia" w:ascii="方正仿宋_GBK" w:hAnsi="方正仿宋_GBK" w:eastAsia="方正仿宋_GBK" w:cs="方正仿宋_GBK"/>
          <w:b w:val="0"/>
          <w:bCs w:val="0"/>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2" w:name="_Hlt26954739"/>
      <w:r/>
      <w:bookmarkEnd w:id="92"/>
      <w:r/>
      <w:bookmarkStart w:id="93" w:name="_Hlt26954852"/>
      <w:r/>
      <w:bookmarkEnd w:id="93"/>
      <w:r/>
      <w:bookmarkStart w:id="94" w:name="_Toc513029224"/>
      <w:r/>
      <w:bookmarkStart w:id="95" w:name="_Toc16938540"/>
      <w:r/>
      <w:bookmarkStart w:id="96" w:name="_Toc20823296"/>
      <w:r/>
      <w:bookmarkStart w:id="97" w:name="_Toc120614217"/>
      <w:r>
        <w:rPr>
          <w:rFonts w:hint="eastAsia" w:ascii="方正黑体_GBK" w:hAnsi="方正黑体_GBK" w:eastAsia="方正黑体_GBK" w:cs="方正黑体_GBK"/>
          <w:color w:val="000000"/>
          <w:sz w:val="28"/>
          <w:szCs w:val="28"/>
        </w:rPr>
        <w:t xml:space="preserve">四、投标文件的递交</w:t>
      </w:r>
      <w:bookmarkEnd w:id="94"/>
      <w:r/>
      <w:bookmarkEnd w:id="95"/>
      <w:r/>
      <w:bookmarkEnd w:id="96"/>
      <w:r/>
      <w:bookmarkEnd w:id="97"/>
      <w:r>
        <w:rPr>
          <w:rFonts w:hint="eastAsia" w:ascii="方正黑体_GBK" w:hAnsi="方正黑体_GBK" w:eastAsia="方正黑体_GBK" w:cs="方正黑体_GBK"/>
          <w:color w:val="000000"/>
          <w:sz w:val="28"/>
          <w:szCs w:val="28"/>
        </w:rPr>
      </w:r>
      <w:r/>
    </w:p>
    <w:p>
      <w:pPr>
        <w:pStyle w:val="742"/>
        <w:ind w:firstLine="560"/>
        <w:spacing w:before="0" w:after="0" w:line="400" w:lineRule="exact"/>
        <w:rPr>
          <w:rFonts w:hint="eastAsia" w:ascii="方正仿宋_GBK" w:hAnsi="方正仿宋_GBK" w:eastAsia="方正仿宋_GBK" w:cs="方正仿宋_GBK"/>
          <w:b w:val="0"/>
          <w:bCs w:val="0"/>
        </w:rPr>
      </w:pPr>
      <w:r/>
      <w:bookmarkStart w:id="98" w:name="_Toc20823297"/>
      <w:r/>
      <w:bookmarkStart w:id="99" w:name="_Toc16938541"/>
      <w:r/>
      <w:bookmarkStart w:id="100" w:name="_Toc462564084"/>
      <w:r/>
      <w:bookmarkStart w:id="101" w:name="_Toc513029225"/>
      <w:r>
        <w:rPr>
          <w:rFonts w:hint="eastAsia" w:ascii="方正仿宋_GBK" w:hAnsi="方正仿宋_GBK" w:eastAsia="方正仿宋_GBK" w:cs="方正仿宋_GBK"/>
          <w:b w:val="0"/>
          <w:bCs w:val="0"/>
        </w:rPr>
        <w:t xml:space="preserve">16.投标文件</w:t>
      </w:r>
      <w:bookmarkEnd w:id="98"/>
      <w:r/>
      <w:bookmarkEnd w:id="99"/>
      <w:r/>
      <w:bookmarkEnd w:id="100"/>
      <w:r/>
      <w:bookmarkEnd w:id="101"/>
      <w:r>
        <w:rPr>
          <w:rFonts w:hint="eastAsia" w:ascii="方正仿宋_GBK" w:hAnsi="方正仿宋_GBK" w:eastAsia="方正仿宋_GBK" w:cs="方正仿宋_GBK"/>
          <w:b w:val="0"/>
          <w:bCs w:val="0"/>
        </w:rPr>
        <w:t xml:space="preserve">的递交</w:t>
      </w:r>
      <w:r>
        <w:rPr>
          <w:rFonts w:hint="eastAsia" w:ascii="方正仿宋_GBK" w:hAnsi="方正仿宋_GBK" w:eastAsia="方正仿宋_GBK" w:cs="方正仿宋_GBK"/>
          <w:b w:val="0"/>
          <w:bCs w:val="0"/>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85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2" w:name="_Toc16938542"/>
      <w:r/>
      <w:bookmarkStart w:id="103" w:name="_Toc20823298"/>
      <w:r/>
      <w:bookmarkStart w:id="104" w:name="_Toc513029226"/>
      <w:r>
        <w:rPr>
          <w:rFonts w:hint="eastAsia" w:ascii="方正仿宋_GBK" w:hAnsi="方正仿宋_GBK" w:eastAsia="方正仿宋_GBK" w:cs="方正仿宋_GBK"/>
          <w:bCs/>
          <w:sz w:val="28"/>
          <w:szCs w:val="28"/>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2"/>
      <w:r/>
      <w:bookmarkEnd w:id="103"/>
      <w:r/>
      <w:bookmarkEnd w:id="104"/>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742"/>
        <w:ind w:firstLine="560"/>
        <w:spacing w:before="0" w:after="0" w:line="400" w:lineRule="exact"/>
        <w:rPr>
          <w:rFonts w:hint="eastAsia" w:ascii="方正仿宋_GBK" w:hAnsi="方正仿宋_GBK" w:eastAsia="方正仿宋_GBK" w:cs="方正仿宋_GBK"/>
          <w:b w:val="0"/>
          <w:bCs w:val="0"/>
        </w:rPr>
      </w:pPr>
      <w:r/>
      <w:bookmarkStart w:id="105" w:name="_Toc16938543"/>
      <w:r/>
      <w:bookmarkStart w:id="106" w:name="_Toc513029227"/>
      <w:r/>
      <w:bookmarkStart w:id="107" w:name="_Toc20823299"/>
      <w:r>
        <w:rPr>
          <w:rFonts w:hint="eastAsia" w:ascii="方正仿宋_GBK" w:hAnsi="方正仿宋_GBK" w:eastAsia="方正仿宋_GBK" w:cs="方正仿宋_GBK"/>
          <w:b w:val="0"/>
          <w:bCs w:val="0"/>
        </w:rPr>
        <w:t xml:space="preserve">18.投标文件</w:t>
      </w:r>
      <w:bookmarkEnd w:id="105"/>
      <w:r/>
      <w:bookmarkEnd w:id="106"/>
      <w:r/>
      <w:bookmarkEnd w:id="107"/>
      <w:r>
        <w:rPr>
          <w:rFonts w:hint="eastAsia" w:ascii="方正仿宋_GBK" w:hAnsi="方正仿宋_GBK" w:eastAsia="方正仿宋_GBK" w:cs="方正仿宋_GBK"/>
          <w:b w:val="0"/>
          <w:bCs w:val="0"/>
        </w:rPr>
        <w:t xml:space="preserve">的拒收</w:t>
      </w:r>
      <w:r>
        <w:rPr>
          <w:rFonts w:hint="eastAsia" w:ascii="方正仿宋_GBK" w:hAnsi="方正仿宋_GBK" w:eastAsia="方正仿宋_GBK" w:cs="方正仿宋_GBK"/>
          <w:b w:val="0"/>
          <w:bCs w:val="0"/>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742"/>
        <w:ind w:firstLine="560"/>
        <w:spacing w:before="0" w:after="0" w:line="400" w:lineRule="exact"/>
        <w:rPr>
          <w:rFonts w:hint="eastAsia" w:ascii="方正仿宋_GBK" w:hAnsi="方正仿宋_GBK" w:eastAsia="方正仿宋_GBK" w:cs="方正仿宋_GBK"/>
          <w:b w:val="0"/>
          <w:bCs w:val="0"/>
        </w:rPr>
      </w:pPr>
      <w:r/>
      <w:bookmarkStart w:id="108" w:name="_Toc16938544"/>
      <w:r/>
      <w:bookmarkStart w:id="109" w:name="_Toc20823300"/>
      <w:r/>
      <w:bookmarkStart w:id="110" w:name="_Toc513029228"/>
      <w:r>
        <w:rPr>
          <w:rFonts w:hint="eastAsia" w:ascii="方正仿宋_GBK" w:hAnsi="方正仿宋_GBK" w:eastAsia="方正仿宋_GBK" w:cs="方正仿宋_GBK"/>
          <w:b w:val="0"/>
          <w:bCs w:val="0"/>
        </w:rPr>
        <w:t xml:space="preserve">19.投标文件的撤回和修改</w:t>
      </w:r>
      <w:bookmarkEnd w:id="108"/>
      <w:r/>
      <w:bookmarkEnd w:id="109"/>
      <w:r/>
      <w:bookmarkEnd w:id="110"/>
      <w:r>
        <w:rPr>
          <w:rFonts w:hint="eastAsia" w:ascii="方正仿宋_GBK" w:hAnsi="方正仿宋_GBK" w:eastAsia="方正仿宋_GBK" w:cs="方正仿宋_GBK"/>
          <w:b w:val="0"/>
          <w:bCs w:val="0"/>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1" w:name="_Toc20823301"/>
      <w:r/>
      <w:bookmarkStart w:id="112" w:name="_Toc16938545"/>
      <w:r/>
      <w:bookmarkStart w:id="113" w:name="_Toc513029229"/>
      <w:r/>
      <w:bookmarkStart w:id="114" w:name="_Toc120614218"/>
      <w:r>
        <w:rPr>
          <w:rFonts w:hint="eastAsia" w:ascii="方正黑体_GBK" w:hAnsi="方正黑体_GBK" w:eastAsia="方正黑体_GBK" w:cs="方正黑体_GBK"/>
          <w:color w:val="000000"/>
          <w:sz w:val="28"/>
          <w:szCs w:val="28"/>
        </w:rPr>
        <w:t xml:space="preserve">五、开标与评标</w:t>
      </w:r>
      <w:bookmarkEnd w:id="111"/>
      <w:r/>
      <w:bookmarkEnd w:id="112"/>
      <w:r/>
      <w:bookmarkEnd w:id="113"/>
      <w:r/>
      <w:bookmarkEnd w:id="114"/>
      <w:r>
        <w:rPr>
          <w:rFonts w:hint="eastAsia" w:ascii="方正黑体_GBK" w:hAnsi="方正黑体_GBK" w:eastAsia="方正黑体_GBK" w:cs="方正黑体_GBK"/>
          <w:color w:val="000000"/>
          <w:sz w:val="28"/>
          <w:szCs w:val="28"/>
        </w:rPr>
      </w:r>
      <w:r/>
    </w:p>
    <w:p>
      <w:pPr>
        <w:pStyle w:val="738"/>
        <w:ind w:firstLine="560"/>
        <w:spacing w:line="400" w:lineRule="exact"/>
        <w:rPr>
          <w:rFonts w:hint="eastAsia" w:ascii="方正仿宋_GBK" w:hAnsi="方正仿宋_GBK" w:eastAsia="方正仿宋_GBK" w:cs="方正仿宋_GBK"/>
          <w:sz w:val="28"/>
          <w:szCs w:val="28"/>
        </w:rPr>
      </w:pPr>
      <w:r/>
      <w:bookmarkStart w:id="115" w:name="_Toc513029230"/>
      <w:r/>
      <w:bookmarkStart w:id="116" w:name="_Toc16938546"/>
      <w:r/>
      <w:bookmarkStart w:id="117" w:name="_Toc20823302"/>
      <w:r>
        <w:rPr>
          <w:rFonts w:hint="eastAsia" w:ascii="方正仿宋_GBK" w:hAnsi="方正仿宋_GBK" w:eastAsia="方正仿宋_GBK" w:cs="方正仿宋_GBK"/>
          <w:sz w:val="28"/>
          <w:szCs w:val="28"/>
        </w:rPr>
        <w:t xml:space="preserve">20.开标</w:t>
      </w:r>
      <w:bookmarkEnd w:id="115"/>
      <w:r/>
      <w:bookmarkEnd w:id="116"/>
      <w:r/>
      <w:bookmarkEnd w:id="117"/>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bookmarkStart w:id="118" w:name="_Toc16938547"/>
      <w:r/>
      <w:bookmarkStart w:id="119" w:name="_Toc513029231"/>
      <w:r/>
      <w:bookmarkStart w:id="120" w:name="_Toc20823303"/>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bookmarkEnd w:id="118"/>
      <w:r/>
      <w:bookmarkEnd w:id="119"/>
      <w:r/>
      <w:bookmarkEnd w:id="120"/>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bookmarkStart w:id="121" w:name="_Toc513029232"/>
      <w:r/>
      <w:bookmarkStart w:id="122" w:name="_Toc16938548"/>
      <w:r/>
      <w:bookmarkStart w:id="123" w:name="_Toc20823304"/>
      <w:r>
        <w:rPr>
          <w:rFonts w:hint="eastAsia" w:ascii="方正仿宋_GBK" w:hAnsi="方正仿宋_GBK" w:eastAsia="方正仿宋_GBK" w:cs="方正仿宋_GBK"/>
          <w:sz w:val="28"/>
          <w:szCs w:val="28"/>
        </w:rPr>
        <w:t xml:space="preserve">23.投标文件的澄清</w:t>
      </w:r>
      <w:bookmarkEnd w:id="121"/>
      <w:r/>
      <w:bookmarkEnd w:id="122"/>
      <w:r/>
      <w:bookmarkEnd w:id="123"/>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bookmarkStart w:id="124" w:name="_Toc513029233"/>
      <w:r/>
      <w:bookmarkStart w:id="125" w:name="_Toc16938549"/>
      <w:r/>
      <w:bookmarkStart w:id="126" w:name="_Toc20823305"/>
      <w:r>
        <w:rPr>
          <w:rFonts w:hint="eastAsia" w:ascii="方正仿宋_GBK" w:hAnsi="方正仿宋_GBK" w:eastAsia="方正仿宋_GBK" w:cs="方正仿宋_GBK"/>
          <w:sz w:val="28"/>
          <w:szCs w:val="28"/>
        </w:rPr>
        <w:t xml:space="preserve">24.对投标文件的初审</w:t>
      </w:r>
      <w:bookmarkEnd w:id="124"/>
      <w:r/>
      <w:bookmarkEnd w:id="125"/>
      <w:r/>
      <w:bookmarkEnd w:id="126"/>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bookmarkStart w:id="127" w:name="_Toc513029234"/>
      <w:r/>
      <w:bookmarkStart w:id="128" w:name="_Toc16938550"/>
      <w:r/>
      <w:bookmarkStart w:id="129"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7"/>
      <w:r/>
      <w:bookmarkEnd w:id="128"/>
      <w:r/>
      <w:bookmarkEnd w:id="129"/>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bookmarkStart w:id="130" w:name="_Toc20823307"/>
      <w:r/>
      <w:bookmarkStart w:id="131" w:name="_Toc16938551"/>
      <w:r/>
      <w:bookmarkStart w:id="132" w:name="_Toc513029235"/>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3" w:name="_Toc120614219"/>
      <w:r>
        <w:rPr>
          <w:rFonts w:hint="eastAsia" w:ascii="方正黑体_GBK" w:hAnsi="方正黑体_GBK" w:eastAsia="方正黑体_GBK" w:cs="方正黑体_GBK"/>
          <w:color w:val="000000"/>
          <w:sz w:val="28"/>
          <w:szCs w:val="28"/>
        </w:rPr>
        <w:t xml:space="preserve">六、</w:t>
      </w:r>
      <w:bookmarkEnd w:id="130"/>
      <w:r/>
      <w:bookmarkEnd w:id="131"/>
      <w:r/>
      <w:bookmarkEnd w:id="132"/>
      <w:r>
        <w:rPr>
          <w:rFonts w:hint="eastAsia" w:ascii="方正黑体_GBK" w:hAnsi="方正黑体_GBK" w:eastAsia="方正黑体_GBK" w:cs="方正黑体_GBK"/>
          <w:color w:val="000000"/>
          <w:sz w:val="28"/>
          <w:szCs w:val="28"/>
        </w:rPr>
        <w:t xml:space="preserve">定标</w:t>
      </w:r>
      <w:bookmarkEnd w:id="133"/>
      <w:r>
        <w:rPr>
          <w:rFonts w:hint="eastAsia" w:ascii="方正黑体_GBK" w:hAnsi="方正黑体_GBK" w:eastAsia="方正黑体_GBK" w:cs="方正黑体_GBK"/>
          <w:color w:val="000000"/>
          <w:sz w:val="28"/>
          <w:szCs w:val="28"/>
        </w:rPr>
      </w:r>
      <w:r/>
    </w:p>
    <w:p>
      <w:pPr>
        <w:pStyle w:val="738"/>
        <w:ind w:firstLine="560"/>
        <w:spacing w:line="400" w:lineRule="exact"/>
        <w:rPr>
          <w:rFonts w:hint="eastAsia" w:ascii="方正仿宋_GBK" w:hAnsi="方正仿宋_GBK" w:eastAsia="方正仿宋_GBK" w:cs="方正仿宋_GBK"/>
          <w:sz w:val="28"/>
          <w:szCs w:val="28"/>
        </w:rPr>
      </w:pPr>
      <w:r/>
      <w:bookmarkStart w:id="134" w:name="_Toc513029238"/>
      <w:r/>
      <w:bookmarkStart w:id="135" w:name="_Toc16938554"/>
      <w:r/>
      <w:bookmarkStart w:id="136" w:name="_Toc20823310"/>
      <w:r>
        <w:rPr>
          <w:rFonts w:hint="eastAsia" w:ascii="方正仿宋_GBK" w:hAnsi="方正仿宋_GBK" w:eastAsia="方正仿宋_GBK" w:cs="方正仿宋_GBK"/>
          <w:sz w:val="28"/>
          <w:szCs w:val="28"/>
        </w:rPr>
        <w:t xml:space="preserve">26</w:t>
      </w:r>
      <w:bookmarkEnd w:id="134"/>
      <w:r>
        <w:rPr>
          <w:rFonts w:hint="eastAsia" w:ascii="方正仿宋_GBK" w:hAnsi="方正仿宋_GBK" w:eastAsia="方正仿宋_GBK" w:cs="方正仿宋_GBK"/>
          <w:sz w:val="28"/>
          <w:szCs w:val="28"/>
        </w:rPr>
        <w:t xml:space="preserve">.确定</w:t>
      </w:r>
      <w:bookmarkEnd w:id="135"/>
      <w:r/>
      <w:bookmarkEnd w:id="136"/>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bookmarkStart w:id="137" w:name="_Toc200451960"/>
      <w:r>
        <w:rPr>
          <w:rFonts w:hint="eastAsia" w:ascii="方正仿宋_GBK" w:hAnsi="方正仿宋_GBK" w:eastAsia="方正仿宋_GBK" w:cs="方正仿宋_GBK"/>
          <w:sz w:val="28"/>
          <w:szCs w:val="28"/>
        </w:rPr>
        <w:t xml:space="preserve">26.5有下列情形之一的，视为投标人串通投标，投标无效：</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7"/>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738"/>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8" w:name="_Toc120614220"/>
      <w:r/>
      <w:bookmarkStart w:id="139" w:name="_Toc513029236"/>
      <w:r/>
      <w:bookmarkStart w:id="140" w:name="_Toc20823308"/>
      <w:r/>
      <w:bookmarkStart w:id="141" w:name="_Toc16938552"/>
      <w:r>
        <w:rPr>
          <w:rFonts w:hint="eastAsia" w:ascii="方正黑体_GBK" w:hAnsi="方正黑体_GBK" w:eastAsia="方正黑体_GBK" w:cs="方正黑体_GBK"/>
          <w:color w:val="000000"/>
          <w:sz w:val="28"/>
          <w:szCs w:val="28"/>
        </w:rPr>
        <w:t xml:space="preserve">七、授予合同</w:t>
      </w:r>
      <w:bookmarkEnd w:id="138"/>
      <w:r>
        <w:rPr>
          <w:rFonts w:hint="eastAsia" w:ascii="方正黑体_GBK" w:hAnsi="方正黑体_GBK" w:eastAsia="方正黑体_GBK" w:cs="方正黑体_GBK"/>
          <w:color w:val="000000"/>
          <w:sz w:val="28"/>
          <w:szCs w:val="28"/>
        </w:rPr>
      </w:r>
      <w:r/>
    </w:p>
    <w:p>
      <w:pPr>
        <w:pStyle w:val="738"/>
        <w:ind w:firstLine="560"/>
        <w:spacing w:line="400" w:lineRule="exact"/>
        <w:rPr>
          <w:rFonts w:hint="eastAsia" w:ascii="方正仿宋_GBK" w:hAnsi="方正仿宋_GBK" w:eastAsia="方正仿宋_GBK" w:cs="方正仿宋_GBK"/>
          <w:sz w:val="28"/>
          <w:szCs w:val="28"/>
        </w:rPr>
      </w:pPr>
      <w:r/>
      <w:bookmarkEnd w:id="139"/>
      <w:r/>
      <w:bookmarkEnd w:id="140"/>
      <w:r/>
      <w:bookmarkEnd w:id="141"/>
      <w:r/>
      <w:bookmarkStart w:id="142" w:name="_Toc513029237"/>
      <w:r/>
      <w:bookmarkStart w:id="143" w:name="_Toc16938553"/>
      <w:r/>
      <w:bookmarkStart w:id="144" w:name="_Toc20823309"/>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bookmarkEnd w:id="142"/>
      <w:r/>
      <w:bookmarkEnd w:id="143"/>
      <w:r/>
      <w:bookmarkEnd w:id="144"/>
      <w:r/>
      <w:bookmarkStart w:id="145" w:name="_Toc120614221"/>
      <w:r/>
      <w:bookmarkStart w:id="146" w:name="_Toc479757207"/>
      <w:r/>
      <w:bookmarkStart w:id="147" w:name="_Toc513029242"/>
      <w:r/>
      <w:bookmarkStart w:id="148" w:name="_Toc16938558"/>
      <w:r/>
      <w:bookmarkStart w:id="149" w:name="_Toc20823314"/>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753"/>
        <w:spacing w:line="400" w:lineRule="exact"/>
        <w:rPr>
          <w:rFonts w:hint="eastAsia" w:ascii="宋体" w:hAnsi="宋体"/>
          <w:bCs/>
          <w:sz w:val="24"/>
        </w:rPr>
      </w:pPr>
      <w:r>
        <w:rPr>
          <w:rFonts w:hint="eastAsia" w:ascii="宋体" w:hAnsi="宋体"/>
          <w:bCs/>
          <w:sz w:val="24"/>
        </w:rPr>
      </w:r>
      <w:r/>
    </w:p>
    <w:p>
      <w:pPr>
        <w:pStyle w:val="753"/>
        <w:spacing w:line="400" w:lineRule="exact"/>
        <w:rPr>
          <w:rFonts w:hint="eastAsia" w:ascii="宋体" w:hAnsi="宋体"/>
          <w:bCs/>
          <w:sz w:val="24"/>
        </w:rPr>
      </w:pPr>
      <w:r>
        <w:rPr>
          <w:rFonts w:hint="eastAsia" w:ascii="宋体" w:hAnsi="宋体"/>
          <w:bCs/>
          <w:sz w:val="24"/>
        </w:rPr>
      </w:r>
      <w:r/>
    </w:p>
    <w:p>
      <w:pPr>
        <w:pStyle w:val="753"/>
        <w:spacing w:line="400" w:lineRule="exact"/>
        <w:rPr>
          <w:rFonts w:hint="eastAsia" w:ascii="宋体" w:hAnsi="宋体"/>
          <w:bCs/>
          <w:sz w:val="24"/>
        </w:rPr>
      </w:pPr>
      <w:r>
        <w:rPr>
          <w:rFonts w:hint="eastAsia" w:ascii="宋体" w:hAnsi="宋体"/>
          <w:bCs/>
          <w:sz w:val="24"/>
        </w:rPr>
      </w:r>
      <w:r/>
    </w:p>
    <w:p>
      <w:pPr>
        <w:pStyle w:val="753"/>
        <w:spacing w:line="400" w:lineRule="exact"/>
        <w:rPr>
          <w:rFonts w:hint="eastAsia" w:ascii="宋体" w:hAnsi="宋体"/>
          <w:bCs/>
          <w:sz w:val="24"/>
        </w:rPr>
      </w:pPr>
      <w:r>
        <w:rPr>
          <w:rFonts w:hint="eastAsia" w:ascii="宋体" w:hAnsi="宋体"/>
          <w:bCs/>
          <w:sz w:val="24"/>
        </w:rPr>
      </w:r>
      <w:r/>
    </w:p>
    <w:p>
      <w:pPr>
        <w:pStyle w:val="753"/>
        <w:spacing w:line="400" w:lineRule="exact"/>
        <w:rPr>
          <w:rFonts w:hint="eastAsia" w:ascii="宋体" w:hAnsi="宋体"/>
          <w:bCs/>
          <w:sz w:val="24"/>
        </w:rPr>
      </w:pPr>
      <w:r>
        <w:rPr>
          <w:rFonts w:hint="eastAsia" w:ascii="宋体" w:hAnsi="宋体"/>
          <w:bCs/>
          <w:sz w:val="24"/>
        </w:rPr>
      </w:r>
      <w:r/>
    </w:p>
    <w:p>
      <w:pPr>
        <w:pStyle w:val="753"/>
        <w:spacing w:line="400" w:lineRule="exact"/>
        <w:rPr>
          <w:rFonts w:hint="eastAsia" w:ascii="宋体" w:hAnsi="宋体"/>
          <w:bCs/>
          <w:sz w:val="24"/>
        </w:rPr>
      </w:pPr>
      <w:r>
        <w:rPr>
          <w:rFonts w:hint="eastAsia" w:ascii="宋体" w:hAnsi="宋体"/>
          <w:bCs/>
          <w:sz w:val="24"/>
        </w:rPr>
      </w:r>
      <w:r/>
    </w:p>
    <w:p>
      <w:pPr>
        <w:pStyle w:val="753"/>
        <w:spacing w:line="400" w:lineRule="exact"/>
        <w:rPr>
          <w:rFonts w:hint="eastAsia" w:ascii="宋体" w:hAnsi="宋体"/>
          <w:bCs/>
          <w:sz w:val="24"/>
        </w:rPr>
      </w:pPr>
      <w:r>
        <w:rPr>
          <w:rFonts w:hint="eastAsia" w:ascii="宋体" w:hAnsi="宋体"/>
          <w:bCs/>
          <w:sz w:val="24"/>
        </w:rPr>
      </w:r>
      <w:r/>
    </w:p>
    <w:p>
      <w:pPr>
        <w:pStyle w:val="738"/>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5"/>
      <w:r/>
      <w:bookmarkEnd w:id="146"/>
      <w:r/>
      <w:bookmarkEnd w:id="147"/>
      <w:r/>
      <w:bookmarkEnd w:id="148"/>
      <w:r/>
      <w:bookmarkEnd w:id="149"/>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738"/>
        <w:ind w:firstLine="560"/>
        <w:spacing w:line="400" w:lineRule="exact"/>
        <w:rPr>
          <w:rFonts w:hint="eastAsia" w:ascii="方正仿宋_GBK" w:hAnsi="方正仿宋_GBK" w:eastAsia="方正仿宋_GBK" w:cs="方正仿宋_GBK"/>
          <w:bCs/>
          <w:sz w:val="28"/>
          <w:szCs w:val="28"/>
        </w:rPr>
      </w:pPr>
      <w:r/>
      <w:bookmarkStart w:id="150" w:name="_Toc16938559"/>
      <w:r/>
      <w:bookmarkStart w:id="151" w:name="_Toc513029243"/>
      <w:r/>
      <w:bookmarkStart w:id="152" w:name="_Toc20823315"/>
      <w:r>
        <w:rPr>
          <w:rFonts w:hint="eastAsia" w:ascii="方正仿宋_GBK" w:hAnsi="方正仿宋_GBK" w:eastAsia="方正仿宋_GBK" w:cs="方正仿宋_GBK"/>
          <w:bCs/>
          <w:sz w:val="28"/>
          <w:szCs w:val="28"/>
        </w:rPr>
      </w:r>
      <w:r/>
    </w:p>
    <w:p>
      <w:pPr>
        <w:pStyle w:val="769"/>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769"/>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738"/>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38"/>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73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77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7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7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7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776"/>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776"/>
        <w:jc w:val="center"/>
        <w:spacing w:before="120" w:after="120" w:line="400" w:lineRule="exact"/>
        <w:rPr>
          <w:sz w:val="28"/>
          <w:szCs w:val="28"/>
        </w:rPr>
      </w:pPr>
      <w:r>
        <w:rPr>
          <w:rFonts w:hint="eastAsia"/>
          <w:sz w:val="28"/>
          <w:szCs w:val="28"/>
        </w:rPr>
        <w:t xml:space="preserve">                                         </w:t>
      </w:r>
      <w:r>
        <w:rPr>
          <w:sz w:val="28"/>
          <w:szCs w:val="28"/>
        </w:rPr>
      </w:r>
      <w:r/>
    </w:p>
    <w:p>
      <w:pPr>
        <w:pStyle w:val="776"/>
        <w:jc w:val="right"/>
        <w:spacing w:before="120" w:after="120" w:line="400" w:lineRule="exact"/>
        <w:rPr>
          <w:sz w:val="28"/>
          <w:szCs w:val="28"/>
        </w:rPr>
      </w:pPr>
      <w:r>
        <w:rPr>
          <w:rFonts w:hint="eastAsia"/>
          <w:sz w:val="28"/>
          <w:szCs w:val="28"/>
        </w:rPr>
        <w:t xml:space="preserve"> </w:t>
      </w:r>
      <w:r>
        <w:rPr>
          <w:sz w:val="28"/>
          <w:szCs w:val="28"/>
        </w:rPr>
      </w:r>
      <w:r/>
    </w:p>
    <w:p>
      <w:pPr>
        <w:pStyle w:val="776"/>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0"/>
      <w:r/>
      <w:bookmarkEnd w:id="151"/>
      <w:r/>
      <w:bookmarkEnd w:id="152"/>
      <w:r/>
      <w:bookmarkStart w:id="153" w:name="_Hlt16619369"/>
      <w:r/>
      <w:bookmarkEnd w:id="153"/>
      <w:r/>
      <w:bookmarkStart w:id="154" w:name="_Hlt16619350"/>
      <w:r/>
      <w:bookmarkStart w:id="155" w:name="_Toc120614244"/>
      <w:r/>
      <w:bookmarkStart w:id="156" w:name="_Toc16938590"/>
      <w:r/>
      <w:bookmarkStart w:id="157" w:name="_Toc20823346"/>
      <w:r/>
      <w:bookmarkStart w:id="158" w:name="_Toc479757211"/>
      <w:r/>
      <w:bookmarkStart w:id="159"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4"/>
      <w:r>
        <w:rPr>
          <w:rFonts w:hint="eastAsia" w:ascii="方正黑体_GBK" w:hAnsi="方正黑体_GBK" w:eastAsia="方正黑体_GBK" w:cs="方正黑体_GBK"/>
          <w:color w:val="000000"/>
          <w:sz w:val="28"/>
          <w:szCs w:val="28"/>
        </w:rPr>
        <w:t xml:space="preserve">四章 采购需求</w:t>
      </w:r>
      <w:bookmarkEnd w:id="155"/>
      <w:r/>
      <w:bookmarkEnd w:id="156"/>
      <w:r/>
      <w:bookmarkEnd w:id="157"/>
      <w:r>
        <w:rPr>
          <w:rFonts w:hint="eastAsia" w:ascii="方正黑体_GBK" w:hAnsi="方正黑体_GBK" w:eastAsia="方正黑体_GBK" w:cs="方正黑体_GBK"/>
          <w:bCs/>
          <w:color w:val="000000"/>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bookmarkStart w:id="160" w:name="_Toc49090575"/>
      <w:r/>
      <w:bookmarkStart w:id="161" w:name="_Toc26554093"/>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trHeight w:val="701"/>
        </w:trPr>
        <w:tc>
          <w:tcPr>
            <w:tcW w:w="790"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794"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695"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w:t>
            </w:r>
            <w:r>
              <w:rPr>
                <w:rFonts w:hint="eastAsia" w:ascii="方正仿宋_GBK" w:hAnsi="方正仿宋_GBK" w:eastAsia="方正仿宋_GBK" w:cs="方正仿宋_GBK"/>
                <w:sz w:val="28"/>
                <w:szCs w:val="28"/>
              </w:rPr>
            </w:r>
            <w:r/>
          </w:p>
        </w:tc>
        <w:tc>
          <w:tcPr>
            <w:tcW w:w="2794"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695" w:type="dxa"/>
            <w:vAlign w:val="center"/>
            <w:textDirection w:val="lrTb"/>
            <w:noWrap w:val="false"/>
          </w:tcPr>
          <w:p>
            <w:pPr>
              <w:pStyle w:val="738"/>
              <w:jc w:val="left"/>
              <w:tabs>
                <w:tab w:val="left" w:pos="2020" w:leader="none"/>
              </w:tabs>
              <w:rPr>
                <w:rFonts w:hint="eastAsia" w:ascii="方正仿宋_GBK" w:hAnsi="方正仿宋_GBK" w:eastAsia="方正仿宋_GBK" w:cs="方正仿宋_GBK"/>
                <w:sz w:val="28"/>
                <w:szCs w:val="28"/>
              </w:rPr>
            </w:pPr>
            <w:r>
              <w:rPr>
                <w:rFonts w:hint="eastAsia"/>
                <w:sz w:val="24"/>
              </w:rPr>
              <w:t xml:space="preserve">预算管理一体化平台预算执行板块升级改造</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738"/>
              <w:jc w:val="left"/>
              <w:rPr>
                <w:rFonts w:hint="eastAsia" w:eastAsia="方正仿宋_GBK"/>
                <w:color w:val="000000"/>
                <w:sz w:val="28"/>
                <w:szCs w:val="28"/>
              </w:rPr>
            </w:pPr>
            <w:r>
              <w:rPr>
                <w:color w:val="000000"/>
                <w:sz w:val="24"/>
                <w:szCs w:val="24"/>
              </w:rPr>
              <w:t xml:space="preserve">软件和信息技术服务业</w:t>
            </w:r>
            <w:r>
              <w:rPr>
                <w:rFonts w:hint="eastAsia" w:eastAsia="方正仿宋_GBK"/>
                <w:color w:val="000000"/>
                <w:sz w:val="28"/>
                <w:szCs w:val="28"/>
              </w:rPr>
            </w:r>
            <w:r/>
          </w:p>
        </w:tc>
      </w:tr>
    </w:tbl>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73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73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73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742"/>
        <w:ind w:firstLine="562"/>
        <w:jc w:val="left"/>
      </w:pPr>
      <w:r>
        <w:rPr>
          <w:rFonts w:hint="eastAsia" w:ascii="方正仿宋_GBK" w:hAnsi="方正仿宋_GBK" w:eastAsia="方正仿宋_GBK" w:cs="方正仿宋_GBK"/>
        </w:rPr>
        <w:t xml:space="preserve">注：本项目不涉及本国产品。</w:t>
      </w:r>
      <w:r/>
    </w:p>
    <w:p>
      <w:pPr>
        <w:pStyle w:val="738"/>
        <w:ind w:firstLine="640"/>
        <w:spacing w:before="145" w:after="145" w:line="360" w:lineRule="auto"/>
        <w:rPr>
          <w:rFonts w:eastAsia="黑体"/>
          <w:bCs/>
          <w:color w:val="000000"/>
          <w:sz w:val="32"/>
          <w:szCs w:val="32"/>
        </w:rPr>
      </w:pPr>
      <w:r>
        <w:rPr>
          <w:rFonts w:hint="eastAsia" w:eastAsia="黑体"/>
          <w:bCs/>
          <w:color w:val="000000"/>
          <w:sz w:val="32"/>
          <w:szCs w:val="32"/>
        </w:rPr>
        <w:t xml:space="preserve">三</w:t>
      </w:r>
      <w:r>
        <w:rPr>
          <w:rFonts w:eastAsia="黑体"/>
          <w:bCs/>
          <w:color w:val="000000"/>
          <w:sz w:val="32"/>
          <w:szCs w:val="32"/>
        </w:rPr>
        <w:t xml:space="preserve">、技术要求</w:t>
      </w:r>
      <w:r>
        <w:rPr>
          <w:rFonts w:eastAsia="黑体"/>
          <w:bCs/>
          <w:color w:val="000000"/>
          <w:sz w:val="32"/>
          <w:szCs w:val="32"/>
        </w:rPr>
      </w:r>
      <w:r/>
    </w:p>
    <w:p>
      <w:pPr>
        <w:pStyle w:val="738"/>
        <w:ind w:firstLine="480"/>
        <w:spacing w:line="360" w:lineRule="auto"/>
        <w:rPr>
          <w:b/>
          <w:bCs/>
          <w:sz w:val="24"/>
        </w:rPr>
      </w:pPr>
      <w:r>
        <w:rPr>
          <w:bCs/>
          <w:sz w:val="24"/>
          <w:szCs w:val="24"/>
        </w:rPr>
        <w:t xml:space="preserve">其中</w:t>
      </w:r>
      <w:r>
        <w:rPr>
          <w:b/>
          <w:bCs/>
          <w:i/>
          <w:sz w:val="24"/>
          <w:u w:val="single"/>
        </w:rPr>
        <w:t xml:space="preserve">斜体且有下划线部分</w:t>
      </w:r>
      <w:r>
        <w:rPr>
          <w:b/>
          <w:bCs/>
          <w:sz w:val="24"/>
        </w:rPr>
        <w:t xml:space="preserve">或加*号条款为实质性要求。</w:t>
      </w:r>
      <w:r>
        <w:rPr>
          <w:b/>
          <w:bCs/>
          <w:sz w:val="24"/>
        </w:rPr>
      </w:r>
      <w:r/>
    </w:p>
    <w:p>
      <w:pPr>
        <w:pStyle w:val="738"/>
        <w:ind w:firstLine="480"/>
        <w:spacing w:line="360" w:lineRule="auto"/>
        <w:rPr>
          <w:sz w:val="24"/>
          <w:szCs w:val="22"/>
        </w:rPr>
      </w:pPr>
      <w:r>
        <w:rPr>
          <w:sz w:val="24"/>
          <w:szCs w:val="22"/>
        </w:rPr>
        <w:t xml:space="preserve">为强化预算执行常态化监督的系列部署要求，全面提升财政管理数字化智能化水平，根据江苏省财政厅《关于开展“人工智能+”财政科学管理行动的实施方案》</w:t>
      </w:r>
      <w:r>
        <w:rPr>
          <w:rFonts w:hint="eastAsia"/>
          <w:sz w:val="24"/>
          <w:szCs w:val="22"/>
        </w:rPr>
        <w:t xml:space="preserve">相关要求</w:t>
      </w:r>
      <w:r>
        <w:rPr>
          <w:sz w:val="24"/>
          <w:szCs w:val="22"/>
        </w:rPr>
        <w:t xml:space="preserve">，本项目将构建人工智能辅助预算执行常态化监督体系，实现对财政资金支付事前、事中、事后的全流程智能辅助与主动风险识别，切实保障我省财政资金使用的安全性、规范性和有效性。</w:t>
      </w:r>
      <w:r>
        <w:rPr>
          <w:sz w:val="24"/>
          <w:szCs w:val="22"/>
        </w:rPr>
      </w:r>
      <w:r/>
    </w:p>
    <w:p>
      <w:pPr>
        <w:pStyle w:val="851"/>
        <w:ind w:firstLine="482"/>
        <w:spacing w:before="0" w:after="0" w:line="500" w:lineRule="exact"/>
        <w:rPr>
          <w:rFonts w:ascii="Times New Roman" w:hAnsi="Times New Roman" w:eastAsia="宋体" w:cs="Times New Roman"/>
          <w:bCs w:val="0"/>
          <w:sz w:val="24"/>
          <w:szCs w:val="24"/>
        </w:rPr>
        <w:outlineLvl w:val="2"/>
      </w:pPr>
      <w:r>
        <w:rPr>
          <w:rFonts w:ascii="Times New Roman" w:hAnsi="Times New Roman" w:eastAsia="宋体" w:cs="Times New Roman"/>
          <w:bCs w:val="0"/>
          <w:sz w:val="24"/>
          <w:szCs w:val="24"/>
        </w:rPr>
        <w:t xml:space="preserve">（一）技术要求</w:t>
      </w:r>
      <w:r>
        <w:rPr>
          <w:rFonts w:ascii="Times New Roman" w:hAnsi="Times New Roman" w:eastAsia="宋体" w:cs="Times New Roman"/>
          <w:bCs w:val="0"/>
          <w:sz w:val="24"/>
          <w:szCs w:val="24"/>
        </w:rPr>
      </w:r>
      <w:r/>
    </w:p>
    <w:p>
      <w:pPr>
        <w:pStyle w:val="738"/>
        <w:ind w:firstLine="482"/>
        <w:spacing w:line="500" w:lineRule="exact"/>
        <w:rPr>
          <w:b/>
          <w:color w:val="000000"/>
          <w:sz w:val="24"/>
          <w:szCs w:val="24"/>
        </w:rPr>
        <w:outlineLvl w:val="4"/>
      </w:pPr>
      <w:r>
        <w:rPr>
          <w:b/>
          <w:color w:val="000000"/>
          <w:sz w:val="24"/>
          <w:szCs w:val="24"/>
        </w:rPr>
        <w:t xml:space="preserve">1. 总体要求</w:t>
      </w:r>
      <w:r>
        <w:rPr>
          <w:b/>
          <w:color w:val="000000"/>
          <w:sz w:val="24"/>
          <w:szCs w:val="24"/>
        </w:rPr>
      </w:r>
      <w:r/>
    </w:p>
    <w:p>
      <w:pPr>
        <w:pStyle w:val="738"/>
        <w:ind w:firstLine="482"/>
        <w:spacing w:line="500" w:lineRule="exact"/>
        <w:rPr>
          <w:b/>
          <w:color w:val="000000"/>
          <w:sz w:val="24"/>
          <w:szCs w:val="24"/>
        </w:rPr>
        <w:outlineLvl w:val="5"/>
      </w:pPr>
      <w:r/>
      <w:bookmarkStart w:id="162" w:name="_Hlk180077326"/>
      <w:r>
        <w:rPr>
          <w:b/>
          <w:color w:val="000000"/>
          <w:sz w:val="24"/>
          <w:szCs w:val="24"/>
        </w:rPr>
        <w:t xml:space="preserve">1.</w:t>
      </w:r>
      <w:r>
        <w:rPr>
          <w:rFonts w:hint="eastAsia"/>
          <w:b/>
          <w:color w:val="000000"/>
          <w:sz w:val="24"/>
          <w:szCs w:val="24"/>
        </w:rPr>
        <w:t xml:space="preserve">1</w:t>
      </w:r>
      <w:r>
        <w:rPr>
          <w:b/>
          <w:color w:val="000000"/>
          <w:sz w:val="24"/>
          <w:szCs w:val="24"/>
        </w:rPr>
        <w:t xml:space="preserve"> </w:t>
      </w:r>
      <w:r>
        <w:rPr>
          <w:rFonts w:hint="eastAsia"/>
          <w:b/>
          <w:color w:val="000000"/>
          <w:sz w:val="24"/>
          <w:szCs w:val="24"/>
        </w:rPr>
        <w:t xml:space="preserve">基本</w:t>
      </w:r>
      <w:r>
        <w:rPr>
          <w:b/>
          <w:color w:val="000000"/>
          <w:sz w:val="24"/>
          <w:szCs w:val="24"/>
        </w:rPr>
        <w:t xml:space="preserve">要求</w:t>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系统总体可用率大于 99.9%。提供7</w:t>
      </w:r>
      <w:r>
        <w:rPr>
          <w:rFonts w:hint="eastAsia"/>
          <w:color w:val="000000"/>
          <w:sz w:val="24"/>
          <w:szCs w:val="24"/>
        </w:rPr>
        <w:t xml:space="preserve">×</w:t>
      </w:r>
      <w:r>
        <w:rPr>
          <w:color w:val="000000"/>
          <w:sz w:val="24"/>
          <w:szCs w:val="24"/>
        </w:rPr>
        <w:t xml:space="preserve">24小时连续运行保障，平均年故障时间&lt;1天，平均故障修复时间&lt;30分钟。AI服务具备容错机制，当AI服务不可用时，系统自动切换至人工审核模式。AI服务需具备热插拔能力，核心知识库（正负面清单、案例）的更新应能实时或准实时生效，无需重启系统。支持AI模型的无缝替换和版本管理。需提供详细的AI审核日志，记录每一次模型调用的输入、输出、耗时及置信度，便于问题追踪和优化。实现系统维护权限与业务权限分离。</w:t>
      </w:r>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2</w:t>
      </w:r>
      <w:r>
        <w:rPr>
          <w:b/>
          <w:color w:val="000000"/>
          <w:sz w:val="24"/>
          <w:szCs w:val="24"/>
        </w:rPr>
        <w:t xml:space="preserve"> 应用架构要求</w:t>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本项目需遵循江苏财政信息化顶层设计应用架构。AI能力应作为“业务中台”的一个公共能力组件进行建设，为“一站式前台”（如支付申请、事中审核）提供统一的智能服务接口。系统应采用分层设计，实现表现层、业务逻辑层、数据访问层、AI服务层的解耦。</w:t>
      </w:r>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3</w:t>
      </w:r>
      <w:r>
        <w:rPr>
          <w:b/>
          <w:color w:val="000000"/>
          <w:sz w:val="24"/>
          <w:szCs w:val="24"/>
        </w:rPr>
        <w:t xml:space="preserve"> 技术架构要求</w:t>
      </w:r>
      <w:r>
        <w:rPr>
          <w:b/>
          <w:color w:val="000000"/>
          <w:sz w:val="24"/>
          <w:szCs w:val="24"/>
        </w:rPr>
        <w:tab/>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遵循江苏财政信息化顶层设计技术架构，基于采购人要求的云平台和微服务框架构建。系统应支持容器化部署，具备弹性伸缩能力。</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AI服务：需采用模型即服务架构，将大模型能力（如文本解析、信息提取、逻辑推理）封装为独立的、无状态的RESTful API服务，与业务系统解耦，便于上层业务应用调用。</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知识库：结构化知识（正负面清单、规则）存储在关系型数据库中；非结构化知识（案例文档、政策原文）采用对象存储加向量数据库的方式存储，以支持高效的语义检索。</w:t>
      </w:r>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4</w:t>
      </w:r>
      <w:r>
        <w:rPr>
          <w:b/>
          <w:color w:val="000000"/>
          <w:sz w:val="24"/>
          <w:szCs w:val="24"/>
        </w:rPr>
        <w:t xml:space="preserve"> 知识产权要求</w:t>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1、应保证采购人在使用、接受本项目服务</w:t>
      </w:r>
      <w:r>
        <w:rPr>
          <w:rFonts w:hint="eastAsia"/>
          <w:color w:val="000000"/>
          <w:sz w:val="24"/>
          <w:szCs w:val="24"/>
        </w:rPr>
        <w:t xml:space="preserve">（</w:t>
      </w:r>
      <w:r>
        <w:rPr>
          <w:color w:val="000000"/>
          <w:sz w:val="24"/>
          <w:szCs w:val="24"/>
        </w:rPr>
        <w:t xml:space="preserve">包含与服务相关的产品</w:t>
      </w:r>
      <w:r>
        <w:rPr>
          <w:rFonts w:hint="eastAsia"/>
          <w:color w:val="000000"/>
          <w:sz w:val="24"/>
          <w:szCs w:val="24"/>
        </w:rPr>
        <w:t xml:space="preserve">）</w:t>
      </w:r>
      <w:r>
        <w:rPr>
          <w:color w:val="000000"/>
          <w:sz w:val="24"/>
          <w:szCs w:val="24"/>
        </w:rPr>
        <w:t xml:space="preserve">或其任何一部分时不受第三方提出侵犯其专利权、版权、商标权和工业设计权等知识产权的起诉。一旦出现侵权，由供应商承担全部责任。 </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2、本项目建设过程中产生的全部知识成果的知识产权</w:t>
      </w:r>
      <w:r>
        <w:rPr>
          <w:rFonts w:hint="eastAsia"/>
          <w:color w:val="000000"/>
          <w:sz w:val="24"/>
          <w:szCs w:val="24"/>
        </w:rPr>
        <w:t xml:space="preserve">（</w:t>
      </w:r>
      <w:r>
        <w:rPr>
          <w:color w:val="000000"/>
          <w:sz w:val="24"/>
          <w:szCs w:val="24"/>
        </w:rPr>
        <w:t xml:space="preserve">包括但不限于著作权、专利权、专有技术等权利以及软件源代码和各种技术文档资料所有权</w:t>
      </w:r>
      <w:r>
        <w:rPr>
          <w:rFonts w:hint="eastAsia"/>
          <w:color w:val="000000"/>
          <w:sz w:val="24"/>
          <w:szCs w:val="24"/>
        </w:rPr>
        <w:t xml:space="preserve">）</w:t>
      </w:r>
      <w:r>
        <w:rPr>
          <w:color w:val="000000"/>
          <w:sz w:val="24"/>
          <w:szCs w:val="24"/>
        </w:rPr>
        <w:t xml:space="preserve">归采购人所有，系统验收后供应商应向采购人移交针对本项目自主开发部分的全部源代码。未经采购人书面同意，供应商不得以任何形式将本项目相关技术、产品、源代码等用于其他项目或者向第三方披露、转让和许可。</w:t>
      </w:r>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5</w:t>
      </w:r>
      <w:r>
        <w:rPr>
          <w:b/>
          <w:color w:val="000000"/>
          <w:sz w:val="24"/>
          <w:szCs w:val="24"/>
        </w:rPr>
        <w:t xml:space="preserve"> 保密要求</w:t>
      </w:r>
      <w:r>
        <w:rPr>
          <w:b/>
          <w:color w:val="000000"/>
          <w:sz w:val="24"/>
          <w:szCs w:val="24"/>
        </w:rPr>
      </w:r>
      <w:r/>
    </w:p>
    <w:p>
      <w:pPr>
        <w:pStyle w:val="738"/>
        <w:ind w:firstLine="480"/>
        <w:spacing w:line="500" w:lineRule="exact"/>
        <w:tabs>
          <w:tab w:val="left" w:pos="420" w:leader="none"/>
        </w:tabs>
        <w:rPr>
          <w:i/>
          <w:iCs/>
          <w:color w:val="000000"/>
          <w:sz w:val="24"/>
          <w:szCs w:val="24"/>
          <w:u w:val="single"/>
        </w:rPr>
      </w:pPr>
      <w:r>
        <w:rPr>
          <w:i/>
          <w:iCs/>
          <w:color w:val="000000"/>
          <w:sz w:val="24"/>
          <w:szCs w:val="24"/>
          <w:u w:val="single"/>
        </w:rPr>
        <w:t xml:space="preserve">项目实施过程中产生的政务数据、系统运行数据、收集个人信息等所有数据归采购人所有。供应商应明确网络安全责任与义务，按照法律法规加强个人信息保护，未经采购人同意不得变更数据用途用法，不得违规访问、修改、公开、披露、利用、转让、销毁、私自留存或者向第三方提供。供应商中标后应在项目实施前与采购人签订保密协议，与项目实施成员签订保密协议（供应商须出具保密承诺，并加盖供应商公章）。</w:t>
      </w:r>
      <w:r>
        <w:rPr>
          <w:i/>
          <w:iCs/>
          <w:color w:val="000000"/>
          <w:sz w:val="24"/>
          <w:szCs w:val="24"/>
          <w:u w:val="single"/>
        </w:rPr>
      </w:r>
      <w:r/>
    </w:p>
    <w:p>
      <w:pPr>
        <w:pStyle w:val="73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6</w:t>
      </w:r>
      <w:r>
        <w:rPr>
          <w:b/>
          <w:color w:val="000000"/>
          <w:sz w:val="24"/>
          <w:szCs w:val="24"/>
        </w:rPr>
        <w:t xml:space="preserve"> 验收要求</w:t>
      </w:r>
      <w:r>
        <w:rPr>
          <w:b/>
          <w:color w:val="000000"/>
          <w:sz w:val="24"/>
          <w:szCs w:val="24"/>
        </w:rPr>
      </w:r>
      <w:r/>
    </w:p>
    <w:p>
      <w:pPr>
        <w:pStyle w:val="738"/>
        <w:ind w:firstLine="480"/>
        <w:spacing w:line="500" w:lineRule="exact"/>
        <w:tabs>
          <w:tab w:val="left" w:pos="420" w:leader="none"/>
        </w:tabs>
        <w:rPr>
          <w:sz w:val="24"/>
          <w:szCs w:val="24"/>
        </w:rPr>
      </w:pPr>
      <w:r>
        <w:rPr>
          <w:sz w:val="24"/>
          <w:szCs w:val="24"/>
        </w:rPr>
        <w:t xml:space="preserve">启动验收的基本条件：业务应用已完成代码开发及集成测试，系统功能、性能均</w:t>
      </w:r>
      <w:r>
        <w:rPr>
          <w:rFonts w:hint="eastAsia"/>
          <w:sz w:val="24"/>
          <w:szCs w:val="24"/>
        </w:rPr>
        <w:t xml:space="preserve">达到</w:t>
      </w:r>
      <w:r>
        <w:rPr>
          <w:sz w:val="24"/>
          <w:szCs w:val="24"/>
        </w:rPr>
        <w:t xml:space="preserve">设计要求，相关问题均已整改完成。</w:t>
      </w:r>
      <w:r>
        <w:rPr>
          <w:sz w:val="24"/>
          <w:szCs w:val="24"/>
        </w:rPr>
      </w:r>
      <w:r/>
    </w:p>
    <w:p>
      <w:pPr>
        <w:pStyle w:val="738"/>
        <w:ind w:firstLine="480"/>
        <w:spacing w:line="500" w:lineRule="exact"/>
        <w:tabs>
          <w:tab w:val="left" w:pos="420" w:leader="none"/>
        </w:tabs>
        <w:rPr>
          <w:sz w:val="24"/>
          <w:szCs w:val="24"/>
        </w:rPr>
      </w:pPr>
      <w:r>
        <w:rPr>
          <w:sz w:val="24"/>
          <w:szCs w:val="24"/>
        </w:rPr>
        <w:t xml:space="preserve">成果资料提交：供应商需提交完整的案例库训练报告、AI效果评估报告；提交AI知识库（含政策法规库、案例库等）的初始完整版本；提交本项目全部源代码及所有设计、开发、运维、培训文档。</w:t>
      </w:r>
      <w:r>
        <w:rPr>
          <w:sz w:val="24"/>
          <w:szCs w:val="24"/>
        </w:rPr>
      </w:r>
      <w:r/>
    </w:p>
    <w:p>
      <w:pPr>
        <w:pStyle w:val="738"/>
        <w:ind w:firstLine="480"/>
        <w:spacing w:line="500" w:lineRule="exact"/>
        <w:tabs>
          <w:tab w:val="left" w:pos="420" w:leader="none"/>
        </w:tabs>
        <w:rPr>
          <w:sz w:val="24"/>
          <w:szCs w:val="24"/>
        </w:rPr>
      </w:pPr>
      <w:r>
        <w:rPr>
          <w:sz w:val="24"/>
          <w:szCs w:val="24"/>
        </w:rPr>
        <w:t xml:space="preserve">效果测试：需配合采购人完成基于典型资金类型的AI审核准确率和误报率抽样测试，测试结果需达到方案中承诺的验收标准。</w:t>
      </w:r>
      <w:r>
        <w:rPr>
          <w:sz w:val="24"/>
          <w:szCs w:val="24"/>
        </w:rPr>
      </w:r>
      <w:r/>
    </w:p>
    <w:p>
      <w:pPr>
        <w:pStyle w:val="73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7</w:t>
      </w:r>
      <w:r>
        <w:rPr>
          <w:b/>
          <w:color w:val="000000"/>
          <w:sz w:val="24"/>
          <w:szCs w:val="24"/>
        </w:rPr>
        <w:t xml:space="preserve"> 运维服务要求</w:t>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在质保期内，供应商需提供AI审核效果的持续优化服务，包括但不限于因政策变化导致的提示词调整、因误报漏报导致的案例库修正，以及定期的审核效果评估报告。供应商负责人工智能+预算执行常态化监督系统的运维工作，提供系统巡检、缺陷修复、软件升级、性能优化等服务。提供派遣技术服务人员到用户现场支撑的服务。</w:t>
      </w:r>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8</w:t>
      </w:r>
      <w:r>
        <w:rPr>
          <w:b/>
          <w:color w:val="000000"/>
          <w:sz w:val="24"/>
          <w:szCs w:val="24"/>
        </w:rPr>
        <w:t xml:space="preserve"> 数据及信息共享要求</w:t>
      </w:r>
      <w:r>
        <w:rPr>
          <w:b/>
          <w:color w:val="000000"/>
          <w:sz w:val="24"/>
          <w:szCs w:val="24"/>
        </w:rPr>
      </w:r>
      <w:r/>
    </w:p>
    <w:p>
      <w:pPr>
        <w:pStyle w:val="738"/>
        <w:ind w:firstLine="480"/>
        <w:spacing w:line="500" w:lineRule="exact"/>
        <w:tabs>
          <w:tab w:val="left" w:pos="420" w:leader="none"/>
        </w:tabs>
        <w:rPr>
          <w:color w:val="000000"/>
          <w:sz w:val="24"/>
          <w:szCs w:val="24"/>
        </w:rPr>
      </w:pPr>
      <w:r>
        <w:rPr>
          <w:rFonts w:hint="eastAsia"/>
          <w:color w:val="000000"/>
          <w:sz w:val="24"/>
          <w:szCs w:val="24"/>
        </w:rPr>
        <w:t xml:space="preserve">需</w:t>
      </w:r>
      <w:r>
        <w:rPr>
          <w:color w:val="000000"/>
          <w:sz w:val="24"/>
          <w:szCs w:val="24"/>
        </w:rPr>
        <w:t xml:space="preserve">与</w:t>
      </w:r>
      <w:r>
        <w:rPr>
          <w:rFonts w:hint="eastAsia"/>
          <w:color w:val="000000"/>
          <w:sz w:val="24"/>
          <w:szCs w:val="24"/>
        </w:rPr>
        <w:t xml:space="preserve">江苏省</w:t>
      </w:r>
      <w:r>
        <w:rPr>
          <w:color w:val="000000"/>
          <w:sz w:val="24"/>
          <w:szCs w:val="24"/>
        </w:rPr>
        <w:t xml:space="preserve">预算管理一体化平台支付、监控模块</w:t>
      </w:r>
      <w:r>
        <w:rPr>
          <w:rFonts w:hint="eastAsia"/>
          <w:color w:val="000000"/>
          <w:sz w:val="24"/>
          <w:szCs w:val="24"/>
        </w:rPr>
        <w:t xml:space="preserve">对接，实现</w:t>
      </w:r>
      <w:r>
        <w:rPr>
          <w:color w:val="000000"/>
          <w:sz w:val="24"/>
          <w:szCs w:val="24"/>
        </w:rPr>
        <w:t xml:space="preserve">数据实时共享</w:t>
      </w:r>
      <w:r>
        <w:rPr>
          <w:rFonts w:hint="eastAsia"/>
          <w:color w:val="000000"/>
          <w:sz w:val="24"/>
          <w:szCs w:val="24"/>
        </w:rPr>
        <w:t xml:space="preserve">。需对接江苏省财政相关历史数据库。需按要求向</w:t>
      </w:r>
      <w:r>
        <w:rPr>
          <w:color w:val="000000"/>
          <w:sz w:val="24"/>
          <w:szCs w:val="24"/>
        </w:rPr>
        <w:t xml:space="preserve">财政部汇总系统上报数据</w:t>
      </w:r>
      <w:r>
        <w:rPr>
          <w:rFonts w:hint="eastAsia"/>
          <w:color w:val="000000"/>
          <w:sz w:val="24"/>
          <w:szCs w:val="24"/>
        </w:rPr>
        <w:t xml:space="preserve">。以上对接无条件开放接口。</w:t>
      </w:r>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9</w:t>
      </w:r>
      <w:r>
        <w:rPr>
          <w:b/>
          <w:color w:val="000000"/>
          <w:sz w:val="24"/>
          <w:szCs w:val="24"/>
        </w:rPr>
        <w:t xml:space="preserve"> 国产化建设要求</w:t>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本项目涉及的AI模型推理服务、知识库管理后台等所有新增组件，均需适配采购人要求的国产化环境（含AI芯片、服务器操作系统、数据库、中间件等）。</w:t>
      </w:r>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10</w:t>
      </w:r>
      <w:r>
        <w:rPr>
          <w:b/>
          <w:color w:val="000000"/>
          <w:sz w:val="24"/>
          <w:szCs w:val="24"/>
        </w:rPr>
        <w:t xml:space="preserve"> 系统安全要求</w:t>
      </w:r>
      <w:r>
        <w:rPr>
          <w:b/>
          <w:color w:val="000000"/>
          <w:sz w:val="24"/>
          <w:szCs w:val="24"/>
        </w:rPr>
      </w:r>
      <w:r/>
    </w:p>
    <w:p>
      <w:pPr>
        <w:pStyle w:val="738"/>
        <w:ind w:firstLine="480"/>
        <w:spacing w:line="500" w:lineRule="exact"/>
        <w:rPr>
          <w:color w:val="000000"/>
          <w:sz w:val="24"/>
          <w:szCs w:val="24"/>
        </w:rPr>
      </w:pPr>
      <w:r>
        <w:rPr>
          <w:rFonts w:hint="eastAsia"/>
          <w:color w:val="000000"/>
          <w:sz w:val="24"/>
          <w:szCs w:val="24"/>
        </w:rPr>
        <w:t xml:space="preserve">本项目应严格遵循《财政网络安全总体策略》（财信办〔2023〕11号）及《财政应用系统安全开发规范》（财网信办〔2023〕8号）等安全管理文件规定和要求，在建设过程中制定代码安全编写与测试规范，严格区分开发测试环境与生产运行环境，分阶段分步骤进行源代码安全检测。</w:t>
      </w:r>
      <w:r>
        <w:rPr>
          <w:color w:val="000000"/>
          <w:sz w:val="24"/>
          <w:szCs w:val="24"/>
        </w:rPr>
      </w:r>
      <w:r/>
    </w:p>
    <w:p>
      <w:pPr>
        <w:pStyle w:val="738"/>
        <w:ind w:firstLine="480"/>
        <w:spacing w:line="500" w:lineRule="exact"/>
        <w:rPr>
          <w:color w:val="000000"/>
          <w:sz w:val="24"/>
          <w:szCs w:val="24"/>
        </w:rPr>
      </w:pPr>
      <w:r>
        <w:rPr>
          <w:rFonts w:hint="eastAsia"/>
          <w:color w:val="000000"/>
          <w:sz w:val="24"/>
          <w:szCs w:val="24"/>
        </w:rPr>
        <w:t xml:space="preserve">严格权限访问控制，用户在经过身份认证后，只能访问其权限范围内的数据，只能进行其权限范围内的操作。不同的用户具有不同的身份和权限，需要在用户身份真实可信的前提下，提供可信的授权管理服务，保护数据不被非法/越权访问和篡改，要确保数据的机密性和完整性。</w:t>
      </w:r>
      <w:r>
        <w:rPr>
          <w:color w:val="000000"/>
          <w:sz w:val="24"/>
          <w:szCs w:val="24"/>
        </w:rPr>
      </w:r>
      <w:r/>
    </w:p>
    <w:p>
      <w:pPr>
        <w:pStyle w:val="738"/>
        <w:ind w:firstLine="480"/>
        <w:spacing w:line="500" w:lineRule="exact"/>
        <w:rPr>
          <w:color w:val="000000"/>
          <w:sz w:val="24"/>
          <w:szCs w:val="24"/>
        </w:rPr>
      </w:pPr>
      <w:r>
        <w:rPr>
          <w:rFonts w:hint="eastAsia"/>
          <w:color w:val="000000"/>
          <w:sz w:val="24"/>
          <w:szCs w:val="24"/>
        </w:rPr>
        <w:t xml:space="preserve">系统健壮性强，应能处理系统运行过程中出现的各种异常情况，如：人为操作错误、输入非法数据等，系统应能正确处理，妥善回避。</w:t>
      </w:r>
      <w:bookmarkEnd w:id="162"/>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rPr>
        <w:t xml:space="preserve">1</w:t>
      </w:r>
      <w:r>
        <w:rPr>
          <w:b/>
          <w:color w:val="000000"/>
          <w:sz w:val="24"/>
          <w:szCs w:val="24"/>
        </w:rPr>
        <w:t xml:space="preserve"> 质量保障</w:t>
      </w:r>
      <w:r>
        <w:rPr>
          <w:rFonts w:hint="eastAsia"/>
          <w:b/>
          <w:color w:val="000000"/>
          <w:sz w:val="24"/>
          <w:szCs w:val="24"/>
        </w:rPr>
        <w:t xml:space="preserve">要求</w:t>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11</w:t>
      </w:r>
      <w:r>
        <w:rPr>
          <w:color w:val="000000"/>
          <w:sz w:val="24"/>
          <w:szCs w:val="24"/>
        </w:rPr>
        <w:t xml:space="preserve">.1 </w:t>
      </w:r>
      <w:r>
        <w:rPr>
          <w:i/>
          <w:iCs/>
          <w:color w:val="000000"/>
          <w:sz w:val="24"/>
          <w:szCs w:val="24"/>
          <w:u w:val="single"/>
        </w:rPr>
        <w:t xml:space="preserve">本项目须提供</w:t>
      </w:r>
      <w:r>
        <w:rPr>
          <w:rFonts w:hint="eastAsia"/>
          <w:i/>
          <w:iCs/>
          <w:color w:val="000000"/>
          <w:sz w:val="24"/>
          <w:szCs w:val="24"/>
          <w:u w:val="single"/>
        </w:rPr>
        <w:t xml:space="preserve">2</w:t>
      </w:r>
      <w:r>
        <w:rPr>
          <w:i/>
          <w:iCs/>
          <w:color w:val="000000"/>
          <w:sz w:val="24"/>
          <w:szCs w:val="24"/>
          <w:u w:val="single"/>
        </w:rPr>
        <w:t xml:space="preserve">年质保</w:t>
      </w:r>
      <w:r>
        <w:rPr>
          <w:rFonts w:hint="eastAsia"/>
          <w:i/>
          <w:iCs/>
          <w:color w:val="000000"/>
          <w:sz w:val="24"/>
          <w:szCs w:val="24"/>
          <w:u w:val="single"/>
        </w:rPr>
        <w:t xml:space="preserve">（包含于总报价中）</w:t>
      </w:r>
      <w:r>
        <w:rPr>
          <w:i/>
          <w:iCs/>
          <w:color w:val="000000"/>
          <w:sz w:val="24"/>
          <w:szCs w:val="24"/>
          <w:u w:val="single"/>
        </w:rPr>
        <w:t xml:space="preserve">，质保期自通过采购人组织的验收之日起。质保期内，供应商需提供质保服务，确保本项目范围内的产品和服务能够正常使用（供应商须出具承诺，并加盖供应商公章）。</w:t>
      </w:r>
      <w:r>
        <w:rPr>
          <w:color w:val="000000"/>
          <w:sz w:val="24"/>
          <w:szCs w:val="24"/>
        </w:rPr>
      </w:r>
      <w:r/>
    </w:p>
    <w:p>
      <w:pPr>
        <w:pStyle w:val="738"/>
        <w:ind w:firstLine="480"/>
        <w:spacing w:line="500" w:lineRule="exact"/>
        <w:tabs>
          <w:tab w:val="left" w:pos="420" w:leader="none"/>
        </w:tabs>
        <w:rPr>
          <w:b/>
          <w:bCs/>
          <w:color w:val="000000"/>
          <w:sz w:val="24"/>
          <w:szCs w:val="24"/>
        </w:rPr>
      </w:pPr>
      <w:r>
        <w:rPr>
          <w:color w:val="000000"/>
          <w:sz w:val="24"/>
          <w:szCs w:val="24"/>
        </w:rPr>
        <w:t xml:space="preserve">1.</w:t>
      </w:r>
      <w:r>
        <w:rPr>
          <w:rFonts w:hint="eastAsia"/>
          <w:color w:val="000000"/>
          <w:sz w:val="24"/>
          <w:szCs w:val="24"/>
        </w:rPr>
        <w:t xml:space="preserve">11</w:t>
      </w:r>
      <w:r>
        <w:rPr>
          <w:color w:val="000000"/>
          <w:sz w:val="24"/>
          <w:szCs w:val="24"/>
        </w:rPr>
        <w:t xml:space="preserve">.2 为保证响应时间及服务质量，供应商应明确提供服务的组织体系和人员角色配置。供应商应具备必要技术人员和技术服务能力，以响应采购人的技术服务要求。</w:t>
      </w:r>
      <w:r>
        <w:rPr>
          <w:b/>
          <w:bCs/>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rPr>
        <w:t xml:space="preserve">2</w:t>
      </w:r>
      <w:r>
        <w:rPr>
          <w:b/>
          <w:color w:val="000000"/>
          <w:sz w:val="24"/>
          <w:szCs w:val="24"/>
        </w:rPr>
        <w:t xml:space="preserve"> 测试要求</w:t>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供应商应依据软件需求分析、系统</w:t>
      </w:r>
      <w:r>
        <w:rPr>
          <w:rFonts w:hint="eastAsia"/>
          <w:color w:val="000000"/>
          <w:sz w:val="24"/>
          <w:szCs w:val="24"/>
        </w:rPr>
        <w:t xml:space="preserve">概要</w:t>
      </w:r>
      <w:r>
        <w:rPr>
          <w:color w:val="000000"/>
          <w:sz w:val="24"/>
          <w:szCs w:val="24"/>
        </w:rPr>
        <w:t xml:space="preserve">设计、系统详细设计等编写测试方案，</w:t>
      </w:r>
      <w:r>
        <w:rPr>
          <w:rFonts w:hint="eastAsia"/>
          <w:color w:val="000000"/>
          <w:sz w:val="24"/>
          <w:szCs w:val="24"/>
        </w:rPr>
        <w:t xml:space="preserve">在建设过程中充分开展安全测试、功能测试与性能测试</w:t>
      </w:r>
      <w:r>
        <w:rPr>
          <w:color w:val="000000"/>
          <w:sz w:val="24"/>
          <w:szCs w:val="24"/>
        </w:rPr>
        <w:t xml:space="preserve">，形成测试报告，测试方案和测试报告需提交采购人核查。</w:t>
      </w:r>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rPr>
        <w:t xml:space="preserve">3</w:t>
      </w:r>
      <w:r>
        <w:rPr>
          <w:b/>
          <w:color w:val="000000"/>
          <w:sz w:val="24"/>
          <w:szCs w:val="24"/>
        </w:rPr>
        <w:t xml:space="preserve"> 交付文档要求</w:t>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供应商应按照招标文件所约定的内容和时间进行交付；按照计算机软件工程规范国家标准——《计算机软件文档编制规范》（GB/T 8567-2006）的要求分阶段交付应用系统的文档，所交付的文档与文件应该是电子版式及纸质形式。交付的文档包括但不限于以下内容：</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1、《需求规格说明书》</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2、《概要设计文档》</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3、《详细设计文档》</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4、《数据库设计文档》</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5、《产品测试报告》</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pPr>
      <w:r>
        <w:rPr>
          <w:color w:val="000000"/>
          <w:sz w:val="24"/>
          <w:szCs w:val="24"/>
        </w:rPr>
        <w:t xml:space="preserve">6、《实施方案》</w:t>
      </w:r>
      <w:r>
        <w:rPr>
          <w:rFonts w:hint="eastAsia"/>
        </w:rPr>
        <w:t xml:space="preserve">；</w:t>
      </w:r>
      <w:r/>
    </w:p>
    <w:p>
      <w:pPr>
        <w:pStyle w:val="738"/>
        <w:ind w:firstLine="480"/>
        <w:spacing w:line="500" w:lineRule="exact"/>
        <w:tabs>
          <w:tab w:val="left" w:pos="420" w:leader="none"/>
        </w:tabs>
        <w:rPr>
          <w:color w:val="000000"/>
          <w:sz w:val="24"/>
          <w:szCs w:val="24"/>
        </w:rPr>
      </w:pPr>
      <w:r>
        <w:rPr>
          <w:rFonts w:hint="eastAsia"/>
          <w:color w:val="000000"/>
          <w:sz w:val="24"/>
          <w:szCs w:val="24"/>
        </w:rPr>
        <w:t xml:space="preserve">7</w:t>
      </w:r>
      <w:r>
        <w:rPr>
          <w:color w:val="000000"/>
          <w:sz w:val="24"/>
          <w:szCs w:val="24"/>
        </w:rPr>
        <w:t xml:space="preserve">、《实施方案》</w:t>
      </w:r>
      <w:r>
        <w:rPr>
          <w:rFonts w:hint="eastAsia"/>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rFonts w:hint="eastAsia"/>
          <w:color w:val="000000"/>
          <w:sz w:val="24"/>
          <w:szCs w:val="24"/>
        </w:rPr>
        <w:t xml:space="preserve">8</w:t>
      </w:r>
      <w:r>
        <w:rPr>
          <w:color w:val="000000"/>
          <w:sz w:val="24"/>
          <w:szCs w:val="24"/>
        </w:rPr>
        <w:t xml:space="preserve">、《测试</w:t>
      </w:r>
      <w:r>
        <w:rPr>
          <w:rFonts w:hint="eastAsia"/>
          <w:color w:val="000000"/>
          <w:sz w:val="24"/>
          <w:szCs w:val="24"/>
        </w:rPr>
        <w:t xml:space="preserve">方案</w:t>
      </w:r>
      <w:r>
        <w:rPr>
          <w:color w:val="000000"/>
          <w:sz w:val="24"/>
          <w:szCs w:val="24"/>
        </w:rPr>
        <w:t xml:space="preserve">》</w:t>
      </w:r>
      <w:r>
        <w:rPr>
          <w:rFonts w:hint="eastAsia"/>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rFonts w:hint="eastAsia"/>
          <w:color w:val="000000"/>
          <w:sz w:val="24"/>
          <w:szCs w:val="24"/>
        </w:rPr>
        <w:t xml:space="preserve">9</w:t>
      </w:r>
      <w:r>
        <w:rPr>
          <w:color w:val="000000"/>
          <w:sz w:val="24"/>
          <w:szCs w:val="24"/>
        </w:rPr>
        <w:t xml:space="preserve">、《测试报告》</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rFonts w:hint="eastAsia"/>
          <w:color w:val="000000"/>
          <w:sz w:val="24"/>
          <w:szCs w:val="24"/>
        </w:rPr>
        <w:t xml:space="preserve">10</w:t>
      </w:r>
      <w:r>
        <w:rPr>
          <w:color w:val="000000"/>
          <w:sz w:val="24"/>
          <w:szCs w:val="24"/>
        </w:rPr>
        <w:t xml:space="preserve">、《软件配置管理计划》</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1</w:t>
      </w:r>
      <w:r>
        <w:rPr>
          <w:color w:val="000000"/>
          <w:sz w:val="24"/>
          <w:szCs w:val="24"/>
        </w:rPr>
        <w:t xml:space="preserve">、《软件质量保证计划》</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2</w:t>
      </w:r>
      <w:r>
        <w:rPr>
          <w:color w:val="000000"/>
          <w:sz w:val="24"/>
          <w:szCs w:val="24"/>
        </w:rPr>
        <w:t xml:space="preserve">、《开发进度月报》</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3</w:t>
      </w:r>
      <w:r>
        <w:rPr>
          <w:color w:val="000000"/>
          <w:sz w:val="24"/>
          <w:szCs w:val="24"/>
        </w:rPr>
        <w:t xml:space="preserve">、《项目开发总结报告》</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4</w:t>
      </w:r>
      <w:r>
        <w:rPr>
          <w:color w:val="000000"/>
          <w:sz w:val="24"/>
          <w:szCs w:val="24"/>
        </w:rPr>
        <w:t xml:space="preserve">、《软件产品规格说明》</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5</w:t>
      </w:r>
      <w:r>
        <w:rPr>
          <w:color w:val="000000"/>
          <w:sz w:val="24"/>
          <w:szCs w:val="24"/>
        </w:rPr>
        <w:t xml:space="preserve">、《软件版本说明》</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6</w:t>
      </w:r>
      <w:r>
        <w:rPr>
          <w:color w:val="000000"/>
          <w:sz w:val="24"/>
          <w:szCs w:val="24"/>
        </w:rPr>
        <w:t xml:space="preserve">、《用户操作手册》</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7</w:t>
      </w:r>
      <w:r>
        <w:rPr>
          <w:color w:val="000000"/>
          <w:sz w:val="24"/>
          <w:szCs w:val="24"/>
        </w:rPr>
        <w:t xml:space="preserve">、《</w:t>
      </w:r>
      <w:r>
        <w:rPr>
          <w:sz w:val="24"/>
          <w:szCs w:val="24"/>
        </w:rPr>
        <w:t xml:space="preserve">案例库训练报告</w:t>
      </w:r>
      <w:r>
        <w:rPr>
          <w:rFonts w:hint="eastAsia"/>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w:t>
      </w:r>
      <w:r>
        <w:rPr>
          <w:sz w:val="24"/>
          <w:szCs w:val="24"/>
        </w:rPr>
        <w:t xml:space="preserve">AI效果评估报告</w:t>
      </w:r>
      <w:r>
        <w:rPr>
          <w:color w:val="000000"/>
          <w:sz w:val="24"/>
          <w:szCs w:val="24"/>
        </w:rPr>
        <w:t xml:space="preserve">》</w:t>
      </w:r>
      <w:r>
        <w:rPr>
          <w:rFonts w:hint="eastAsia"/>
          <w:color w:val="000000"/>
          <w:sz w:val="24"/>
          <w:szCs w:val="24"/>
        </w:rPr>
        <w:t xml:space="preserve">；</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1</w:t>
      </w:r>
      <w:r>
        <w:rPr>
          <w:rFonts w:hint="eastAsia"/>
          <w:color w:val="000000"/>
          <w:sz w:val="24"/>
          <w:szCs w:val="24"/>
        </w:rPr>
        <w:t xml:space="preserve">9</w:t>
      </w:r>
      <w:r>
        <w:rPr>
          <w:color w:val="000000"/>
          <w:sz w:val="24"/>
          <w:szCs w:val="24"/>
        </w:rPr>
        <w:t xml:space="preserve">、产品源代码和可执行程序、历史迭代版本等</w:t>
      </w:r>
      <w:r>
        <w:rPr>
          <w:rFonts w:hint="eastAsia"/>
          <w:color w:val="000000"/>
          <w:sz w:val="24"/>
          <w:szCs w:val="24"/>
        </w:rPr>
        <w:t xml:space="preserve">。</w:t>
      </w:r>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rPr>
        <w:t xml:space="preserve">4</w:t>
      </w:r>
      <w:r>
        <w:rPr>
          <w:b/>
          <w:color w:val="000000"/>
          <w:sz w:val="24"/>
          <w:szCs w:val="24"/>
        </w:rPr>
        <w:t xml:space="preserve"> 项目管理要求</w:t>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供应商需建立“人机协同”的迭代优化机制，明确在系统上线后，如何收集人工反馈、如何定期利用新产生的审核数据对案例库进行迭代更新和版本管理。供应商承诺并保证严格根据招标文件所规定的技术要求、标准规范和合同所约定的要求进行工作。项目团队人员应相对稳定，未经采购人同意，供应商不得更换项目团队核心人员。供应商应建立规范、完整的项目管理体系，定期与采购人组织会议，沟通阶段成果和问题。</w:t>
      </w:r>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rPr>
        <w:t xml:space="preserve">5</w:t>
      </w:r>
      <w:r>
        <w:rPr>
          <w:b/>
          <w:color w:val="000000"/>
          <w:sz w:val="24"/>
          <w:szCs w:val="24"/>
        </w:rPr>
        <w:t xml:space="preserve"> 人员要求</w:t>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项目组人员须具有全面综合的政务信息化系统设计、实施、维护和安全建设能力和经验。</w:t>
      </w:r>
      <w:r>
        <w:rPr>
          <w:color w:val="000000"/>
          <w:sz w:val="24"/>
          <w:szCs w:val="24"/>
        </w:rPr>
      </w:r>
      <w:r/>
    </w:p>
    <w:p>
      <w:pPr>
        <w:pStyle w:val="738"/>
        <w:ind w:firstLine="480"/>
        <w:spacing w:line="500" w:lineRule="exact"/>
        <w:tabs>
          <w:tab w:val="left" w:pos="420" w:leader="none"/>
        </w:tabs>
        <w:rPr>
          <w:i/>
          <w:iCs/>
          <w:color w:val="000000"/>
          <w:sz w:val="24"/>
          <w:szCs w:val="24"/>
          <w:u w:val="single"/>
        </w:rPr>
      </w:pPr>
      <w:r>
        <w:rPr>
          <w:rFonts w:hint="eastAsia"/>
          <w:i/>
          <w:iCs/>
          <w:color w:val="000000"/>
          <w:sz w:val="24"/>
          <w:szCs w:val="24"/>
          <w:u w:val="single"/>
        </w:rPr>
        <w:t xml:space="preserve">项目建设期间，供应商应成立不少于8人的实施服务团队，包括项目经理、项目团队AI技术负责人及其他项目团队人员。（供应商须出具承诺，并加盖供应商公章）。</w:t>
      </w:r>
      <w:r>
        <w:rPr>
          <w:i/>
          <w:iCs/>
          <w:color w:val="000000"/>
          <w:sz w:val="24"/>
          <w:szCs w:val="24"/>
          <w:u w:val="single"/>
        </w:rPr>
      </w:r>
      <w:r/>
    </w:p>
    <w:p>
      <w:pPr>
        <w:pStyle w:val="738"/>
        <w:ind w:firstLine="482"/>
        <w:spacing w:line="500" w:lineRule="exact"/>
        <w:rPr>
          <w:b/>
          <w:color w:val="000000"/>
          <w:sz w:val="24"/>
          <w:szCs w:val="24"/>
        </w:rPr>
        <w:outlineLvl w:val="5"/>
      </w:pPr>
      <w:r>
        <w:rPr>
          <w:b/>
          <w:color w:val="000000"/>
          <w:sz w:val="24"/>
          <w:szCs w:val="24"/>
        </w:rPr>
        <w:t xml:space="preserve">1.1</w:t>
      </w:r>
      <w:r>
        <w:rPr>
          <w:rFonts w:hint="eastAsia"/>
          <w:b/>
          <w:color w:val="000000"/>
          <w:sz w:val="24"/>
          <w:szCs w:val="24"/>
        </w:rPr>
        <w:t xml:space="preserve">6</w:t>
      </w:r>
      <w:r>
        <w:rPr>
          <w:b/>
          <w:color w:val="000000"/>
          <w:sz w:val="24"/>
          <w:szCs w:val="24"/>
        </w:rPr>
        <w:t xml:space="preserve"> 资质证书要求</w:t>
      </w:r>
      <w:r>
        <w:rPr>
          <w:b/>
          <w:color w:val="000000"/>
          <w:sz w:val="24"/>
          <w:szCs w:val="24"/>
        </w:rPr>
      </w:r>
      <w:r/>
    </w:p>
    <w:p>
      <w:pPr>
        <w:pStyle w:val="738"/>
        <w:ind w:firstLine="480"/>
        <w:spacing w:line="500" w:lineRule="exact"/>
        <w:tabs>
          <w:tab w:val="left" w:pos="420" w:leader="none"/>
        </w:tabs>
        <w:rPr>
          <w:color w:val="000000"/>
          <w:sz w:val="24"/>
          <w:szCs w:val="24"/>
        </w:rPr>
      </w:pPr>
      <w:r>
        <w:rPr>
          <w:rFonts w:hint="eastAsia"/>
          <w:color w:val="000000"/>
          <w:sz w:val="24"/>
          <w:szCs w:val="24"/>
        </w:rPr>
        <w:t xml:space="preserve">1.供应商具有预算执行监督相关信息化系统开发案例，或人工智能应用开发的成功案例。</w:t>
      </w:r>
      <w:r>
        <w:rPr>
          <w:color w:val="000000"/>
          <w:sz w:val="24"/>
          <w:szCs w:val="24"/>
        </w:rPr>
      </w:r>
      <w:r/>
    </w:p>
    <w:p>
      <w:pPr>
        <w:pStyle w:val="738"/>
        <w:ind w:firstLine="480"/>
        <w:spacing w:line="500" w:lineRule="exact"/>
        <w:tabs>
          <w:tab w:val="left" w:pos="420" w:leader="none"/>
        </w:tabs>
        <w:rPr>
          <w:color w:val="000000"/>
          <w:sz w:val="24"/>
          <w:szCs w:val="24"/>
        </w:rPr>
      </w:pPr>
      <w:r>
        <w:rPr>
          <w:rFonts w:hint="eastAsia"/>
          <w:color w:val="000000"/>
          <w:sz w:val="24"/>
          <w:szCs w:val="24"/>
        </w:rPr>
        <w:t xml:space="preserve">2.具有“预算管理一体化系统”，“AI人工智能”相关的计算机软件著作权登记证书。</w:t>
      </w:r>
      <w:r>
        <w:rPr>
          <w:color w:val="000000"/>
          <w:sz w:val="24"/>
          <w:szCs w:val="24"/>
        </w:rPr>
      </w:r>
      <w:r/>
    </w:p>
    <w:p>
      <w:pPr>
        <w:pStyle w:val="738"/>
        <w:ind w:firstLine="480"/>
        <w:spacing w:line="500" w:lineRule="exact"/>
        <w:tabs>
          <w:tab w:val="left" w:pos="420" w:leader="none"/>
        </w:tabs>
        <w:rPr>
          <w:color w:val="000000"/>
          <w:sz w:val="24"/>
          <w:szCs w:val="24"/>
        </w:rPr>
      </w:pPr>
      <w:r>
        <w:rPr>
          <w:rFonts w:hint="eastAsia"/>
          <w:color w:val="000000"/>
          <w:sz w:val="24"/>
          <w:szCs w:val="24"/>
        </w:rPr>
        <w:t xml:space="preserve">3.</w:t>
      </w:r>
      <w:r>
        <w:rPr>
          <w:color w:val="000000"/>
          <w:sz w:val="24"/>
          <w:szCs w:val="24"/>
        </w:rPr>
        <w:t xml:space="preserve">项目经理（1人）：具有计算机相关专业</w:t>
      </w:r>
      <w:r>
        <w:rPr>
          <w:rFonts w:hint="eastAsia"/>
          <w:color w:val="000000"/>
          <w:sz w:val="24"/>
          <w:szCs w:val="24"/>
        </w:rPr>
        <w:t xml:space="preserve">本科</w:t>
      </w:r>
      <w:r>
        <w:rPr>
          <w:color w:val="000000"/>
          <w:sz w:val="24"/>
          <w:szCs w:val="24"/>
        </w:rPr>
        <w:t xml:space="preserve">及以上学历，具有信息系统项目管理师（高级）资质证书。</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项目团队AI技术负责人（1人）：具有计算机相关专业</w:t>
      </w:r>
      <w:r>
        <w:rPr>
          <w:rFonts w:hint="eastAsia"/>
          <w:color w:val="000000"/>
          <w:sz w:val="24"/>
          <w:szCs w:val="24"/>
        </w:rPr>
        <w:t xml:space="preserve">本科</w:t>
      </w:r>
      <w:r>
        <w:rPr>
          <w:color w:val="000000"/>
          <w:sz w:val="24"/>
          <w:szCs w:val="24"/>
        </w:rPr>
        <w:t xml:space="preserve">及以上学历，且具有3年以上</w:t>
      </w:r>
      <w:r>
        <w:rPr>
          <w:rFonts w:hint="eastAsia"/>
          <w:color w:val="000000"/>
          <w:sz w:val="24"/>
          <w:szCs w:val="24"/>
        </w:rPr>
        <w:t xml:space="preserve">人工智能或</w:t>
      </w:r>
      <w:r>
        <w:rPr>
          <w:color w:val="000000"/>
          <w:sz w:val="24"/>
          <w:szCs w:val="24"/>
        </w:rPr>
        <w:t xml:space="preserve">大模型应用</w:t>
      </w:r>
      <w:r>
        <w:rPr>
          <w:rFonts w:hint="eastAsia"/>
          <w:color w:val="000000"/>
          <w:sz w:val="24"/>
          <w:szCs w:val="24"/>
        </w:rPr>
        <w:t xml:space="preserve">相关</w:t>
      </w:r>
      <w:r>
        <w:rPr>
          <w:color w:val="000000"/>
          <w:sz w:val="24"/>
          <w:szCs w:val="24"/>
        </w:rPr>
        <w:t xml:space="preserve">开发经验。</w:t>
      </w:r>
      <w:r>
        <w:rPr>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项目团队成员：需具有数据库系统工程师、软件设计师、</w:t>
      </w:r>
      <w:r>
        <w:rPr>
          <w:rFonts w:hint="eastAsia"/>
          <w:color w:val="000000"/>
          <w:sz w:val="24"/>
          <w:szCs w:val="24"/>
        </w:rPr>
        <w:t xml:space="preserve">软件评测师、</w:t>
      </w:r>
      <w:r>
        <w:rPr>
          <w:color w:val="000000"/>
          <w:sz w:val="24"/>
          <w:szCs w:val="24"/>
        </w:rPr>
        <w:t xml:space="preserve">注册信息安全工程师（CISP）等证书。</w:t>
      </w:r>
      <w:r>
        <w:rPr>
          <w:rFonts w:hint="eastAsia"/>
          <w:color w:val="000000"/>
          <w:sz w:val="24"/>
          <w:szCs w:val="24"/>
        </w:rPr>
        <w:t xml:space="preserve">具有“预算管理一体化系统”，“AI人工智能”相关项目经验。</w:t>
      </w:r>
      <w:r>
        <w:rPr>
          <w:color w:val="000000"/>
          <w:sz w:val="24"/>
          <w:szCs w:val="24"/>
        </w:rPr>
      </w:r>
      <w:r/>
    </w:p>
    <w:p>
      <w:pPr>
        <w:pStyle w:val="738"/>
        <w:ind w:firstLine="482"/>
        <w:spacing w:line="500" w:lineRule="exact"/>
        <w:rPr>
          <w:b/>
          <w:color w:val="000000"/>
          <w:sz w:val="24"/>
          <w:szCs w:val="24"/>
        </w:rPr>
        <w:outlineLvl w:val="5"/>
      </w:pPr>
      <w:r>
        <w:rPr>
          <w:b/>
          <w:color w:val="000000"/>
          <w:sz w:val="24"/>
          <w:szCs w:val="24"/>
        </w:rPr>
        <w:t xml:space="preserve">1.</w:t>
      </w:r>
      <w:r>
        <w:rPr>
          <w:rFonts w:hint="eastAsia"/>
          <w:b/>
          <w:color w:val="000000"/>
          <w:sz w:val="24"/>
          <w:szCs w:val="24"/>
        </w:rPr>
        <w:t xml:space="preserve">17</w:t>
      </w:r>
      <w:r>
        <w:rPr>
          <w:b/>
          <w:color w:val="000000"/>
          <w:sz w:val="24"/>
          <w:szCs w:val="24"/>
        </w:rPr>
        <w:t xml:space="preserve"> 其他要求</w:t>
      </w:r>
      <w:r>
        <w:rPr>
          <w:b/>
          <w:color w:val="000000"/>
          <w:sz w:val="24"/>
          <w:szCs w:val="24"/>
        </w:rPr>
      </w:r>
      <w:r/>
    </w:p>
    <w:p>
      <w:pPr>
        <w:pStyle w:val="738"/>
        <w:ind w:firstLine="480"/>
        <w:spacing w:line="500" w:lineRule="exact"/>
        <w:tabs>
          <w:tab w:val="left" w:pos="420" w:leader="none"/>
        </w:tabs>
        <w:rPr>
          <w:color w:val="000000"/>
          <w:sz w:val="24"/>
          <w:szCs w:val="24"/>
        </w:rPr>
      </w:pPr>
      <w:r>
        <w:rPr>
          <w:color w:val="000000"/>
          <w:sz w:val="24"/>
          <w:szCs w:val="24"/>
        </w:rPr>
        <w:t xml:space="preserve">在质保期内，因国家或省级政策法规调整导致知识库及AI审核规则需要更新的，供应商应提供咨询和技术支持服务，协助采购人完成知识库更新</w:t>
      </w:r>
      <w:r>
        <w:rPr>
          <w:rFonts w:hint="eastAsia"/>
          <w:color w:val="000000"/>
          <w:sz w:val="24"/>
          <w:szCs w:val="24"/>
        </w:rPr>
        <w:t xml:space="preserve">。</w:t>
      </w:r>
      <w:r>
        <w:rPr>
          <w:color w:val="000000"/>
          <w:sz w:val="24"/>
          <w:szCs w:val="24"/>
        </w:rPr>
        <w:t xml:space="preserve">供应商应配合采购人完成数据安全风险评估工作，对系统存在的数据安全风险进行整改。</w:t>
      </w:r>
      <w:r>
        <w:rPr>
          <w:color w:val="000000"/>
          <w:sz w:val="24"/>
          <w:szCs w:val="24"/>
        </w:rPr>
      </w:r>
      <w:r/>
    </w:p>
    <w:p>
      <w:pPr>
        <w:pStyle w:val="738"/>
        <w:numPr>
          <w:ilvl w:val="0"/>
          <w:numId w:val="4"/>
        </w:numPr>
        <w:ind w:firstLine="482"/>
        <w:spacing w:line="500" w:lineRule="exact"/>
        <w:rPr>
          <w:b/>
          <w:color w:val="000000"/>
          <w:sz w:val="24"/>
          <w:szCs w:val="24"/>
        </w:rPr>
        <w:outlineLvl w:val="4"/>
      </w:pPr>
      <w:r/>
      <w:bookmarkStart w:id="163" w:name="_Toc29057"/>
      <w:r>
        <w:rPr>
          <w:b/>
          <w:color w:val="000000"/>
          <w:sz w:val="24"/>
          <w:szCs w:val="24"/>
        </w:rPr>
        <w:t xml:space="preserve">项目建设内容</w:t>
      </w:r>
      <w:bookmarkEnd w:id="163"/>
      <w:r>
        <w:rPr>
          <w:b/>
          <w:color w:val="000000"/>
          <w:sz w:val="24"/>
          <w:szCs w:val="24"/>
        </w:rPr>
      </w:r>
      <w:r/>
    </w:p>
    <w:p>
      <w:pPr>
        <w:pStyle w:val="738"/>
        <w:ind w:firstLine="482"/>
        <w:spacing w:line="360" w:lineRule="auto"/>
        <w:rPr>
          <w:b/>
          <w:bCs/>
          <w:sz w:val="24"/>
          <w:szCs w:val="22"/>
        </w:rPr>
        <w:outlineLvl w:val="5"/>
      </w:pPr>
      <w:r>
        <w:rPr>
          <w:b/>
          <w:bCs/>
          <w:sz w:val="24"/>
          <w:szCs w:val="22"/>
        </w:rPr>
        <w:t xml:space="preserve">2.1 项目目标</w:t>
      </w:r>
      <w:r>
        <w:rPr>
          <w:b/>
          <w:bCs/>
          <w:sz w:val="24"/>
          <w:szCs w:val="22"/>
        </w:rPr>
      </w:r>
      <w:r/>
    </w:p>
    <w:p>
      <w:pPr>
        <w:pStyle w:val="738"/>
        <w:ind w:firstLine="480"/>
        <w:spacing w:line="360" w:lineRule="auto"/>
        <w:rPr>
          <w:sz w:val="24"/>
          <w:szCs w:val="22"/>
        </w:rPr>
      </w:pPr>
      <w:r>
        <w:rPr>
          <w:sz w:val="24"/>
          <w:szCs w:val="22"/>
        </w:rPr>
        <w:t xml:space="preserve">在现有江苏省预算管理一体化转移支付监控模块基础上，通过构建AI知识库与智能审核能力，达成以下核心目标： </w:t>
      </w:r>
      <w:r>
        <w:rPr>
          <w:sz w:val="24"/>
          <w:szCs w:val="22"/>
        </w:rPr>
      </w:r>
      <w:r/>
    </w:p>
    <w:p>
      <w:pPr>
        <w:pStyle w:val="738"/>
        <w:ind w:firstLine="482"/>
        <w:spacing w:line="360" w:lineRule="auto"/>
        <w:rPr>
          <w:sz w:val="24"/>
          <w:szCs w:val="22"/>
        </w:rPr>
      </w:pPr>
      <w:r>
        <w:rPr>
          <w:b/>
          <w:bCs/>
          <w:sz w:val="24"/>
          <w:szCs w:val="22"/>
        </w:rPr>
        <w:t xml:space="preserve">标准统一化：</w:t>
      </w:r>
      <w:r>
        <w:rPr>
          <w:sz w:val="24"/>
          <w:szCs w:val="22"/>
        </w:rPr>
        <w:t xml:space="preserve">将散落在政策文件和个人经验中的审核标准，固化为统一、可执行的AI知识库，确保全省范围内审核尺度的一致性，减少主观差异。</w:t>
      </w:r>
      <w:r>
        <w:rPr>
          <w:sz w:val="24"/>
          <w:szCs w:val="22"/>
        </w:rPr>
      </w:r>
      <w:r/>
    </w:p>
    <w:p>
      <w:pPr>
        <w:pStyle w:val="738"/>
        <w:ind w:firstLine="482"/>
        <w:spacing w:line="360" w:lineRule="auto"/>
        <w:rPr>
          <w:sz w:val="24"/>
          <w:szCs w:val="22"/>
        </w:rPr>
      </w:pPr>
      <w:r>
        <w:rPr>
          <w:b/>
          <w:bCs/>
          <w:sz w:val="24"/>
          <w:szCs w:val="22"/>
        </w:rPr>
        <w:t xml:space="preserve">审核智能化：</w:t>
      </w:r>
      <w:r>
        <w:rPr>
          <w:sz w:val="24"/>
          <w:szCs w:val="22"/>
        </w:rPr>
        <w:t xml:space="preserve">实现从“人找风险”到“风险找人”的转变。对支付申请及关联附件进行100%自动校验，实现关键信息提取、一致性比对、合规性初筛，主动拦截疑点，将监督关口大幅前移，辅助审核人员快速决策，显著提升审核效率。</w:t>
      </w:r>
      <w:r>
        <w:rPr>
          <w:sz w:val="24"/>
          <w:szCs w:val="22"/>
        </w:rPr>
      </w:r>
      <w:r/>
    </w:p>
    <w:p>
      <w:pPr>
        <w:pStyle w:val="738"/>
        <w:ind w:firstLine="482"/>
        <w:spacing w:line="360" w:lineRule="auto"/>
        <w:rPr>
          <w:sz w:val="24"/>
          <w:szCs w:val="22"/>
        </w:rPr>
      </w:pPr>
      <w:r>
        <w:rPr>
          <w:b/>
          <w:bCs/>
          <w:sz w:val="24"/>
          <w:szCs w:val="22"/>
        </w:rPr>
        <w:t xml:space="preserve">监督主动化：</w:t>
      </w:r>
      <w:r>
        <w:rPr>
          <w:sz w:val="24"/>
          <w:szCs w:val="22"/>
        </w:rPr>
        <w:t xml:space="preserve">从事后抽查向事前拦截、事中审核转变，从被动响应向主动发现风险转变，动态生成预算执行监控业务规则库，智能识别异常支付业务。</w:t>
      </w:r>
      <w:r>
        <w:rPr>
          <w:sz w:val="24"/>
          <w:szCs w:val="22"/>
        </w:rPr>
      </w:r>
      <w:r/>
    </w:p>
    <w:p>
      <w:pPr>
        <w:pStyle w:val="738"/>
        <w:ind w:firstLine="482"/>
        <w:spacing w:line="360" w:lineRule="auto"/>
        <w:rPr>
          <w:sz w:val="24"/>
          <w:szCs w:val="22"/>
        </w:rPr>
      </w:pPr>
      <w:r>
        <w:rPr>
          <w:b/>
          <w:bCs/>
          <w:sz w:val="24"/>
          <w:szCs w:val="22"/>
        </w:rPr>
        <w:t xml:space="preserve">体系自进化：</w:t>
      </w:r>
      <w:r>
        <w:rPr>
          <w:sz w:val="24"/>
          <w:szCs w:val="22"/>
        </w:rPr>
        <w:t xml:space="preserve">建立案例库训练机制，使AI能从每一次人工审核中持续学习，不断优化判定规则，实现监控能力的持续迭代和自我完善。</w:t>
      </w:r>
      <w:r>
        <w:rPr>
          <w:sz w:val="24"/>
          <w:szCs w:val="22"/>
        </w:rPr>
      </w:r>
      <w:r/>
    </w:p>
    <w:p>
      <w:pPr>
        <w:pStyle w:val="738"/>
        <w:ind w:firstLine="482"/>
        <w:spacing w:line="360" w:lineRule="auto"/>
        <w:rPr>
          <w:sz w:val="24"/>
          <w:szCs w:val="22"/>
        </w:rPr>
      </w:pPr>
      <w:r>
        <w:rPr>
          <w:b/>
          <w:bCs/>
          <w:sz w:val="24"/>
          <w:szCs w:val="22"/>
        </w:rPr>
        <w:t xml:space="preserve">数据贯通化：</w:t>
      </w:r>
      <w:r>
        <w:rPr>
          <w:sz w:val="24"/>
          <w:szCs w:val="22"/>
        </w:rPr>
        <w:t xml:space="preserve">实现与预算管理一体化支付、监控模块的深度融合，确保数据实时共享、流程无缝衔接，形成完整的预算执行监督闭环。</w:t>
      </w:r>
      <w:r>
        <w:rPr>
          <w:sz w:val="24"/>
          <w:szCs w:val="22"/>
        </w:rPr>
      </w:r>
      <w:r/>
    </w:p>
    <w:p>
      <w:pPr>
        <w:pStyle w:val="738"/>
        <w:ind w:firstLine="482"/>
        <w:spacing w:line="360" w:lineRule="auto"/>
        <w:rPr>
          <w:b/>
          <w:bCs/>
          <w:sz w:val="24"/>
          <w:szCs w:val="22"/>
        </w:rPr>
        <w:outlineLvl w:val="5"/>
      </w:pPr>
      <w:r>
        <w:rPr>
          <w:b/>
          <w:bCs/>
          <w:sz w:val="24"/>
          <w:szCs w:val="22"/>
        </w:rPr>
        <w:t xml:space="preserve">2.</w:t>
      </w:r>
      <w:r>
        <w:rPr>
          <w:rFonts w:hint="eastAsia"/>
          <w:b/>
          <w:bCs/>
          <w:sz w:val="24"/>
          <w:szCs w:val="22"/>
        </w:rPr>
        <w:t xml:space="preserve">2</w:t>
      </w:r>
      <w:r>
        <w:rPr>
          <w:b/>
          <w:bCs/>
          <w:sz w:val="24"/>
          <w:szCs w:val="22"/>
        </w:rPr>
        <w:t xml:space="preserve"> 建设内容</w:t>
      </w:r>
      <w:r>
        <w:rPr>
          <w:b/>
          <w:bCs/>
          <w:sz w:val="24"/>
          <w:szCs w:val="22"/>
        </w:rPr>
      </w:r>
      <w:r/>
    </w:p>
    <w:p>
      <w:pPr>
        <w:pStyle w:val="738"/>
        <w:ind w:firstLine="482"/>
        <w:spacing w:line="360" w:lineRule="auto"/>
        <w:rPr>
          <w:b/>
          <w:bCs/>
          <w:sz w:val="24"/>
          <w:szCs w:val="22"/>
        </w:rPr>
        <w:outlineLvl w:val="6"/>
      </w:pPr>
      <w:r>
        <w:rPr>
          <w:b/>
          <w:bCs/>
          <w:sz w:val="24"/>
          <w:szCs w:val="22"/>
        </w:rPr>
        <w:t xml:space="preserve">2.</w:t>
      </w:r>
      <w:r>
        <w:rPr>
          <w:rFonts w:hint="eastAsia"/>
          <w:b/>
          <w:bCs/>
          <w:sz w:val="24"/>
          <w:szCs w:val="22"/>
        </w:rPr>
        <w:t xml:space="preserve">2</w:t>
      </w:r>
      <w:r>
        <w:rPr>
          <w:b/>
          <w:bCs/>
          <w:sz w:val="24"/>
          <w:szCs w:val="22"/>
        </w:rPr>
        <w:t xml:space="preserve">.1 系统用户</w:t>
      </w:r>
      <w:r>
        <w:rPr>
          <w:b/>
          <w:bCs/>
          <w:sz w:val="24"/>
          <w:szCs w:val="22"/>
        </w:rPr>
      </w:r>
      <w:r/>
    </w:p>
    <w:p>
      <w:pPr>
        <w:pStyle w:val="738"/>
        <w:ind w:firstLine="480"/>
        <w:spacing w:line="360" w:lineRule="auto"/>
        <w:rPr>
          <w:sz w:val="24"/>
          <w:szCs w:val="22"/>
        </w:rPr>
      </w:pPr>
      <w:r>
        <w:rPr>
          <w:sz w:val="24"/>
          <w:szCs w:val="22"/>
        </w:rPr>
        <w:t xml:space="preserve">省级财政部门用户及省</w:t>
      </w:r>
      <w:r>
        <w:rPr>
          <w:rFonts w:hint="eastAsia"/>
          <w:sz w:val="24"/>
          <w:szCs w:val="22"/>
        </w:rPr>
        <w:t xml:space="preserve">本级</w:t>
      </w:r>
      <w:r>
        <w:rPr>
          <w:sz w:val="24"/>
          <w:szCs w:val="22"/>
        </w:rPr>
        <w:t xml:space="preserve">预算单位用户。</w:t>
      </w:r>
      <w:r>
        <w:rPr>
          <w:sz w:val="24"/>
          <w:szCs w:val="22"/>
        </w:rPr>
      </w:r>
      <w:r/>
    </w:p>
    <w:p>
      <w:pPr>
        <w:pStyle w:val="738"/>
        <w:ind w:firstLine="482"/>
        <w:spacing w:line="360" w:lineRule="auto"/>
        <w:rPr>
          <w:b/>
          <w:bCs/>
          <w:sz w:val="24"/>
          <w:szCs w:val="22"/>
        </w:rPr>
        <w:outlineLvl w:val="6"/>
      </w:pPr>
      <w:r>
        <w:rPr>
          <w:b/>
          <w:bCs/>
          <w:sz w:val="24"/>
          <w:szCs w:val="22"/>
        </w:rPr>
        <w:t xml:space="preserve">2.</w:t>
      </w:r>
      <w:r>
        <w:rPr>
          <w:rFonts w:hint="eastAsia"/>
          <w:b/>
          <w:bCs/>
          <w:sz w:val="24"/>
          <w:szCs w:val="22"/>
        </w:rPr>
        <w:t xml:space="preserve">2</w:t>
      </w:r>
      <w:r>
        <w:rPr>
          <w:b/>
          <w:bCs/>
          <w:sz w:val="24"/>
          <w:szCs w:val="22"/>
        </w:rPr>
        <w:t xml:space="preserve">.2 本期试点资金范围</w:t>
      </w:r>
      <w:r>
        <w:rPr>
          <w:b/>
          <w:bCs/>
          <w:sz w:val="24"/>
          <w:szCs w:val="22"/>
        </w:rPr>
      </w:r>
      <w:r/>
    </w:p>
    <w:p>
      <w:pPr>
        <w:pStyle w:val="738"/>
        <w:ind w:firstLine="480"/>
        <w:spacing w:line="360" w:lineRule="auto"/>
        <w:rPr>
          <w:sz w:val="24"/>
          <w:szCs w:val="22"/>
        </w:rPr>
      </w:pPr>
      <w:r>
        <w:rPr>
          <w:sz w:val="24"/>
          <w:szCs w:val="22"/>
        </w:rPr>
        <w:t xml:space="preserve">本项目遵循“试点先行、逐步推广”的建设原则。本项目将聚焦从中央财政转移支付资金中筛选出的</w:t>
      </w:r>
      <w:r>
        <w:rPr>
          <w:rFonts w:hint="eastAsia"/>
          <w:sz w:val="24"/>
          <w:szCs w:val="22"/>
        </w:rPr>
        <w:t xml:space="preserve">3到4</w:t>
      </w:r>
      <w:r>
        <w:rPr>
          <w:sz w:val="24"/>
          <w:szCs w:val="22"/>
        </w:rPr>
        <w:t xml:space="preserve">类典型资金（具体试点资金清单由采购人在项目实施初期正式确认）开展AI辅助审核功能的深度建设与验证。</w:t>
      </w:r>
      <w:r>
        <w:rPr>
          <w:sz w:val="24"/>
          <w:szCs w:val="22"/>
        </w:rPr>
      </w:r>
      <w:r/>
    </w:p>
    <w:p>
      <w:pPr>
        <w:pStyle w:val="738"/>
        <w:ind w:firstLine="480"/>
        <w:spacing w:line="360" w:lineRule="auto"/>
        <w:rPr>
          <w:sz w:val="24"/>
          <w:szCs w:val="22"/>
        </w:rPr>
      </w:pPr>
      <w:r>
        <w:rPr>
          <w:sz w:val="24"/>
          <w:szCs w:val="22"/>
        </w:rPr>
        <w:t xml:space="preserve">供应商应按全口径、全类型进行系统架构设计，确保平台具备覆盖全部80余项资金类型的扩展能力。在本期交付范围内，知识库构建、审核规则配置、案例库训练等工作均以采购人最终确认的试点资金清单为准。</w:t>
      </w:r>
      <w:r>
        <w:rPr>
          <w:sz w:val="24"/>
          <w:szCs w:val="22"/>
        </w:rPr>
      </w:r>
      <w:r/>
    </w:p>
    <w:p>
      <w:pPr>
        <w:pStyle w:val="738"/>
        <w:ind w:firstLine="482"/>
        <w:spacing w:line="360" w:lineRule="auto"/>
        <w:rPr>
          <w:b/>
          <w:bCs/>
          <w:sz w:val="24"/>
          <w:szCs w:val="22"/>
        </w:rPr>
        <w:outlineLvl w:val="6"/>
      </w:pPr>
      <w:r>
        <w:rPr>
          <w:b/>
          <w:bCs/>
          <w:sz w:val="24"/>
          <w:szCs w:val="22"/>
        </w:rPr>
        <w:t xml:space="preserve">2.</w:t>
      </w:r>
      <w:r>
        <w:rPr>
          <w:rFonts w:hint="eastAsia"/>
          <w:b/>
          <w:bCs/>
          <w:sz w:val="24"/>
          <w:szCs w:val="22"/>
        </w:rPr>
        <w:t xml:space="preserve">2</w:t>
      </w:r>
      <w:r>
        <w:rPr>
          <w:b/>
          <w:bCs/>
          <w:sz w:val="24"/>
          <w:szCs w:val="22"/>
        </w:rPr>
        <w:t xml:space="preserve">.3 业务功能</w:t>
      </w:r>
      <w:r>
        <w:rPr>
          <w:b/>
          <w:bCs/>
          <w:sz w:val="24"/>
          <w:szCs w:val="22"/>
        </w:rPr>
      </w:r>
      <w:r/>
    </w:p>
    <w:p>
      <w:pPr>
        <w:pStyle w:val="738"/>
        <w:ind w:firstLine="480"/>
        <w:spacing w:line="360" w:lineRule="auto"/>
        <w:rPr>
          <w:sz w:val="24"/>
          <w:szCs w:val="22"/>
        </w:rPr>
      </w:pPr>
      <w:r>
        <w:rPr>
          <w:sz w:val="24"/>
          <w:szCs w:val="22"/>
        </w:rPr>
        <w:t xml:space="preserve">本项目在一体化转移支付监控模块基础上，优化升级以下AI智能化功能：</w:t>
      </w:r>
      <w:r>
        <w:rPr>
          <w:sz w:val="24"/>
          <w:szCs w:val="22"/>
        </w:rPr>
      </w:r>
      <w:r/>
    </w:p>
    <w:p>
      <w:pPr>
        <w:pStyle w:val="738"/>
        <w:ind w:firstLine="482"/>
        <w:spacing w:line="360" w:lineRule="auto"/>
        <w:rPr>
          <w:b/>
          <w:bCs/>
          <w:sz w:val="24"/>
          <w:szCs w:val="22"/>
        </w:rPr>
        <w:outlineLvl w:val="7"/>
      </w:pPr>
      <w:r>
        <w:rPr>
          <w:b/>
          <w:bCs/>
          <w:sz w:val="24"/>
          <w:szCs w:val="22"/>
        </w:rPr>
        <w:t xml:space="preserve">2.</w:t>
      </w:r>
      <w:r>
        <w:rPr>
          <w:rFonts w:hint="eastAsia"/>
          <w:b/>
          <w:bCs/>
          <w:sz w:val="24"/>
          <w:szCs w:val="22"/>
        </w:rPr>
        <w:t xml:space="preserve">2</w:t>
      </w:r>
      <w:r>
        <w:rPr>
          <w:b/>
          <w:bCs/>
          <w:sz w:val="24"/>
          <w:szCs w:val="22"/>
        </w:rPr>
        <w:t xml:space="preserve">.3.1 AI审核逻辑智能提炼与知识库构建</w:t>
      </w:r>
      <w:r>
        <w:rPr>
          <w:b/>
          <w:bCs/>
          <w:sz w:val="24"/>
          <w:szCs w:val="22"/>
        </w:rPr>
      </w:r>
      <w:r/>
    </w:p>
    <w:p>
      <w:pPr>
        <w:pStyle w:val="738"/>
        <w:ind w:firstLine="480"/>
        <w:spacing w:line="360" w:lineRule="auto"/>
        <w:rPr>
          <w:sz w:val="24"/>
          <w:szCs w:val="22"/>
        </w:rPr>
      </w:pPr>
      <w:r>
        <w:rPr>
          <w:sz w:val="24"/>
          <w:szCs w:val="22"/>
        </w:rPr>
        <w:t xml:space="preserve">构建财政预算执行监督专属知识库，将非结构化的政策法规和隐性的审核经验转化为结构化、可调用的AI推理依据。</w:t>
      </w:r>
      <w:r>
        <w:rPr>
          <w:sz w:val="24"/>
          <w:szCs w:val="22"/>
        </w:rPr>
      </w:r>
      <w:r/>
    </w:p>
    <w:p>
      <w:pPr>
        <w:pStyle w:val="738"/>
        <w:ind w:firstLine="480"/>
        <w:spacing w:line="360" w:lineRule="auto"/>
        <w:rPr>
          <w:sz w:val="24"/>
          <w:szCs w:val="22"/>
        </w:rPr>
      </w:pPr>
      <w:r>
        <w:rPr>
          <w:sz w:val="24"/>
          <w:szCs w:val="22"/>
        </w:rPr>
        <w:t xml:space="preserve">需提供以下功能：</w:t>
      </w:r>
      <w:r>
        <w:rPr>
          <w:sz w:val="24"/>
          <w:szCs w:val="22"/>
        </w:rPr>
      </w:r>
      <w:r/>
    </w:p>
    <w:p>
      <w:pPr>
        <w:pStyle w:val="738"/>
        <w:ind w:firstLine="480"/>
        <w:spacing w:line="360" w:lineRule="auto"/>
        <w:rPr>
          <w:sz w:val="24"/>
          <w:szCs w:val="22"/>
        </w:rPr>
      </w:pPr>
      <w:r>
        <w:rPr>
          <w:sz w:val="24"/>
          <w:szCs w:val="22"/>
        </w:rPr>
        <w:t xml:space="preserve">政策法规结构化解析：支持多格式（PDF/Word/图片）政策文件批量上传与OCR识别；利用大模型自动识别“第X条”格式的政策条文并进行智能拆解，提取正面/负面关键条款；提供政策与资金类型的多对多关联配置界面；支持政策的“生效/废止”操作。</w:t>
      </w:r>
      <w:r>
        <w:rPr>
          <w:sz w:val="24"/>
          <w:szCs w:val="22"/>
        </w:rPr>
      </w:r>
      <w:r/>
    </w:p>
    <w:p>
      <w:pPr>
        <w:pStyle w:val="738"/>
        <w:ind w:firstLine="480"/>
        <w:spacing w:line="360" w:lineRule="auto"/>
        <w:rPr>
          <w:sz w:val="24"/>
          <w:szCs w:val="22"/>
        </w:rPr>
      </w:pPr>
      <w:r>
        <w:rPr>
          <w:sz w:val="24"/>
          <w:szCs w:val="22"/>
        </w:rPr>
        <w:t xml:space="preserve">历史经验案例化：支持Excel/CSV格式历史监控处理单数据导入与清洗；基于导入数据自动生成包含“预警-认定-整改”全流程信息的结构化案例知识卡片；提供案例卡片人工修正与确认界面，支持添加标签、修改描述、调整关联政策依据。</w:t>
      </w:r>
      <w:r>
        <w:rPr>
          <w:sz w:val="24"/>
          <w:szCs w:val="22"/>
        </w:rPr>
      </w:r>
      <w:r/>
    </w:p>
    <w:p>
      <w:pPr>
        <w:pStyle w:val="738"/>
        <w:ind w:firstLine="480"/>
        <w:spacing w:line="360" w:lineRule="auto"/>
        <w:rPr>
          <w:sz w:val="24"/>
          <w:szCs w:val="22"/>
        </w:rPr>
      </w:pPr>
      <w:r>
        <w:rPr>
          <w:sz w:val="24"/>
          <w:szCs w:val="22"/>
        </w:rPr>
        <w:t xml:space="preserve">知识库动态管理：提供统一的后台管理功能，对资金类型、政策法规库、正负面清单、案例库、佐证材料要求进行动态增删改查。支持基于用户区划和责任处室的数据权限与行级过滤，确保不同用户仅能访问其职责范围内的知识。</w:t>
      </w:r>
      <w:r>
        <w:rPr>
          <w:sz w:val="24"/>
          <w:szCs w:val="22"/>
        </w:rPr>
      </w:r>
      <w:r/>
    </w:p>
    <w:p>
      <w:pPr>
        <w:pStyle w:val="738"/>
        <w:ind w:firstLine="482"/>
        <w:spacing w:line="360" w:lineRule="auto"/>
        <w:rPr>
          <w:b/>
          <w:bCs/>
          <w:sz w:val="24"/>
          <w:szCs w:val="22"/>
        </w:rPr>
        <w:outlineLvl w:val="7"/>
      </w:pPr>
      <w:r>
        <w:rPr>
          <w:b/>
          <w:bCs/>
          <w:sz w:val="24"/>
          <w:szCs w:val="22"/>
        </w:rPr>
        <w:t xml:space="preserve">2.</w:t>
      </w:r>
      <w:r>
        <w:rPr>
          <w:rFonts w:hint="eastAsia"/>
          <w:b/>
          <w:bCs/>
          <w:sz w:val="24"/>
          <w:szCs w:val="22"/>
        </w:rPr>
        <w:t xml:space="preserve">2</w:t>
      </w:r>
      <w:r>
        <w:rPr>
          <w:b/>
          <w:bCs/>
          <w:sz w:val="24"/>
          <w:szCs w:val="22"/>
        </w:rPr>
        <w:t xml:space="preserve">.3.2 支付申请关联佐证材料事前智能校验</w:t>
      </w:r>
      <w:r>
        <w:rPr>
          <w:b/>
          <w:bCs/>
          <w:sz w:val="24"/>
          <w:szCs w:val="22"/>
        </w:rPr>
      </w:r>
      <w:r/>
    </w:p>
    <w:p>
      <w:pPr>
        <w:pStyle w:val="738"/>
        <w:ind w:firstLine="480"/>
        <w:spacing w:line="360" w:lineRule="auto"/>
        <w:rPr>
          <w:sz w:val="24"/>
          <w:szCs w:val="22"/>
        </w:rPr>
      </w:pPr>
      <w:r>
        <w:rPr>
          <w:sz w:val="24"/>
          <w:szCs w:val="22"/>
        </w:rPr>
        <w:t xml:space="preserve">在预算单位提交支付申请环节，引入AI前置审查，填补非结构化数据监控盲区，筑牢支付监督第一道防线。</w:t>
      </w:r>
      <w:r>
        <w:rPr>
          <w:sz w:val="24"/>
          <w:szCs w:val="22"/>
        </w:rPr>
      </w:r>
      <w:r/>
    </w:p>
    <w:p>
      <w:pPr>
        <w:pStyle w:val="738"/>
        <w:ind w:firstLine="480"/>
        <w:spacing w:line="360" w:lineRule="auto"/>
        <w:rPr>
          <w:sz w:val="24"/>
          <w:szCs w:val="22"/>
        </w:rPr>
      </w:pPr>
      <w:r>
        <w:rPr>
          <w:sz w:val="24"/>
          <w:szCs w:val="22"/>
        </w:rPr>
        <w:t xml:space="preserve">需提供以下功能：</w:t>
      </w:r>
      <w:r>
        <w:rPr>
          <w:sz w:val="24"/>
          <w:szCs w:val="22"/>
        </w:rPr>
      </w:r>
      <w:r/>
    </w:p>
    <w:p>
      <w:pPr>
        <w:pStyle w:val="738"/>
        <w:ind w:firstLine="480"/>
        <w:spacing w:line="360" w:lineRule="auto"/>
        <w:rPr>
          <w:sz w:val="24"/>
          <w:szCs w:val="22"/>
        </w:rPr>
      </w:pPr>
      <w:r>
        <w:rPr>
          <w:sz w:val="24"/>
          <w:szCs w:val="22"/>
        </w:rPr>
        <w:t xml:space="preserve">材料清单动态匹配与提醒：系统需能根据支付申请中的指标信息（项目名称、文号等）自动识别资金类型，并动态展示该类型业务所需的佐证材料清单。对基建、采购等重点项目，自动提醒必须上传的附件。</w:t>
      </w:r>
      <w:r>
        <w:rPr>
          <w:sz w:val="24"/>
          <w:szCs w:val="22"/>
        </w:rPr>
      </w:r>
      <w:r/>
    </w:p>
    <w:p>
      <w:pPr>
        <w:pStyle w:val="738"/>
        <w:ind w:firstLine="480"/>
        <w:spacing w:line="360" w:lineRule="auto"/>
        <w:rPr>
          <w:sz w:val="24"/>
          <w:szCs w:val="22"/>
        </w:rPr>
      </w:pPr>
      <w:r>
        <w:rPr>
          <w:sz w:val="24"/>
          <w:szCs w:val="22"/>
        </w:rPr>
        <w:t xml:space="preserve">附件信息智能提取与校验：支持多附件上传并根据标题及内容自动分类；利用AI自动从合同、发票、批复文件等非结构化附件中提取项目编码、金额、收款方等关键审核要素。系统应能自动将支付申请信息与附件提取信息进行一致性交叉校验（如支付金额与发票金额、收款账户与合同账户等），并以标签形式醒目输出校验结果。</w:t>
      </w:r>
      <w:r>
        <w:rPr>
          <w:sz w:val="24"/>
          <w:szCs w:val="22"/>
        </w:rPr>
      </w:r>
      <w:r/>
    </w:p>
    <w:p>
      <w:pPr>
        <w:pStyle w:val="738"/>
        <w:ind w:firstLine="480"/>
        <w:spacing w:line="360" w:lineRule="auto"/>
        <w:rPr>
          <w:sz w:val="24"/>
          <w:szCs w:val="22"/>
        </w:rPr>
      </w:pPr>
      <w:r>
        <w:rPr>
          <w:sz w:val="24"/>
          <w:szCs w:val="22"/>
        </w:rPr>
        <w:t xml:space="preserve">智能审核报告生成：在预算单位送审前，系统需能综合材料完整性、一致性校验结果及知识库规则，生成AI智能审核报告，以醒目方式提示潜在风险，辅助预算单位自查自纠。</w:t>
      </w:r>
      <w:r>
        <w:rPr>
          <w:sz w:val="24"/>
          <w:szCs w:val="22"/>
        </w:rPr>
      </w:r>
      <w:r/>
    </w:p>
    <w:p>
      <w:pPr>
        <w:pStyle w:val="738"/>
        <w:ind w:firstLine="482"/>
        <w:spacing w:line="360" w:lineRule="auto"/>
        <w:rPr>
          <w:b/>
          <w:bCs/>
          <w:sz w:val="24"/>
          <w:szCs w:val="22"/>
        </w:rPr>
        <w:outlineLvl w:val="7"/>
      </w:pPr>
      <w:r>
        <w:rPr>
          <w:b/>
          <w:bCs/>
          <w:sz w:val="24"/>
          <w:szCs w:val="22"/>
        </w:rPr>
        <w:t xml:space="preserve">2.</w:t>
      </w:r>
      <w:r>
        <w:rPr>
          <w:rFonts w:hint="eastAsia"/>
          <w:b/>
          <w:bCs/>
          <w:sz w:val="24"/>
          <w:szCs w:val="22"/>
        </w:rPr>
        <w:t xml:space="preserve">2</w:t>
      </w:r>
      <w:r>
        <w:rPr>
          <w:b/>
          <w:bCs/>
          <w:sz w:val="24"/>
          <w:szCs w:val="22"/>
        </w:rPr>
        <w:t xml:space="preserve">.3.3 事中辅助审核</w:t>
      </w:r>
      <w:r>
        <w:rPr>
          <w:b/>
          <w:bCs/>
          <w:sz w:val="24"/>
          <w:szCs w:val="22"/>
        </w:rPr>
      </w:r>
      <w:r/>
    </w:p>
    <w:p>
      <w:pPr>
        <w:pStyle w:val="738"/>
        <w:ind w:firstLine="480"/>
        <w:spacing w:line="360" w:lineRule="auto"/>
        <w:rPr>
          <w:sz w:val="24"/>
          <w:szCs w:val="22"/>
        </w:rPr>
      </w:pPr>
      <w:r>
        <w:rPr>
          <w:sz w:val="24"/>
          <w:szCs w:val="22"/>
        </w:rPr>
        <w:t xml:space="preserve">在财政审核人员处理支付申请或监控处理单时，将AI审核结果与预警信息同屏呈现，实现人机协同审核。</w:t>
      </w:r>
      <w:r>
        <w:rPr>
          <w:sz w:val="24"/>
          <w:szCs w:val="22"/>
        </w:rPr>
      </w:r>
      <w:r/>
    </w:p>
    <w:p>
      <w:pPr>
        <w:pStyle w:val="738"/>
        <w:ind w:firstLine="480"/>
        <w:spacing w:line="360" w:lineRule="auto"/>
        <w:rPr>
          <w:sz w:val="24"/>
          <w:szCs w:val="22"/>
        </w:rPr>
      </w:pPr>
      <w:r>
        <w:rPr>
          <w:sz w:val="24"/>
          <w:szCs w:val="22"/>
        </w:rPr>
        <w:t xml:space="preserve">需提供以下功能：</w:t>
      </w:r>
      <w:r>
        <w:rPr>
          <w:sz w:val="24"/>
          <w:szCs w:val="22"/>
        </w:rPr>
      </w:r>
      <w:r/>
    </w:p>
    <w:p>
      <w:pPr>
        <w:pStyle w:val="738"/>
        <w:ind w:firstLine="480"/>
        <w:spacing w:line="360" w:lineRule="auto"/>
        <w:rPr>
          <w:sz w:val="24"/>
          <w:szCs w:val="22"/>
        </w:rPr>
      </w:pPr>
      <w:r>
        <w:rPr>
          <w:sz w:val="24"/>
          <w:szCs w:val="22"/>
        </w:rPr>
        <w:t xml:space="preserve">AI审核面板集成：在财政审核列表页需增加“AI审核状态”列（如合规、不合规、疑似违规等），便于筛选。详情页需采用左右分栏布局，左侧展示AI推理过程、政策依据及匹配的案例编号，右侧为审核操作区。集成附件智能解析结果，自动高亮显示附件与支付申请数据之间的不一致项（如收款账号不匹配）。</w:t>
      </w:r>
      <w:r>
        <w:rPr>
          <w:sz w:val="24"/>
          <w:szCs w:val="22"/>
        </w:rPr>
      </w:r>
      <w:r/>
    </w:p>
    <w:p>
      <w:pPr>
        <w:pStyle w:val="738"/>
        <w:ind w:firstLine="480"/>
        <w:spacing w:line="360" w:lineRule="auto"/>
        <w:rPr>
          <w:sz w:val="24"/>
          <w:szCs w:val="22"/>
        </w:rPr>
      </w:pPr>
      <w:r>
        <w:rPr>
          <w:sz w:val="24"/>
          <w:szCs w:val="22"/>
        </w:rPr>
        <w:t xml:space="preserve">差异化处理流程：需设计并实现基于“监控引擎预警结果”与“AI审核结果”组合的差异化处理流程。例如，当AI审核与人工判断不一致时，系统应引导审核人员补充或修正规则。提供“一键采纳AI结果”功能，自动填充审核意见。</w:t>
      </w:r>
      <w:r>
        <w:rPr>
          <w:sz w:val="24"/>
          <w:szCs w:val="22"/>
        </w:rPr>
      </w:r>
      <w:r/>
    </w:p>
    <w:p>
      <w:pPr>
        <w:pStyle w:val="738"/>
        <w:ind w:firstLine="480"/>
        <w:spacing w:line="360" w:lineRule="auto"/>
        <w:rPr>
          <w:sz w:val="24"/>
          <w:szCs w:val="22"/>
        </w:rPr>
      </w:pPr>
      <w:r>
        <w:rPr>
          <w:sz w:val="24"/>
          <w:szCs w:val="22"/>
        </w:rPr>
        <w:t xml:space="preserve">人机协同审核流程：针对“监控引擎预警信息+AI审核结果”的不同组合，设计差异化处理流程；提供“一键采纳AI结果”功能，自动将AI审核结论、政策依据填充到审核意见中；支持批量审核和审核意见智能辅助填写。</w:t>
      </w:r>
      <w:r>
        <w:rPr>
          <w:sz w:val="24"/>
          <w:szCs w:val="22"/>
        </w:rPr>
      </w:r>
      <w:r/>
    </w:p>
    <w:p>
      <w:pPr>
        <w:pStyle w:val="738"/>
        <w:ind w:firstLine="482"/>
        <w:spacing w:line="360" w:lineRule="auto"/>
        <w:rPr>
          <w:b/>
          <w:bCs/>
          <w:sz w:val="24"/>
          <w:szCs w:val="22"/>
        </w:rPr>
        <w:outlineLvl w:val="7"/>
      </w:pPr>
      <w:r>
        <w:rPr>
          <w:b/>
          <w:bCs/>
          <w:sz w:val="24"/>
          <w:szCs w:val="22"/>
        </w:rPr>
        <w:t xml:space="preserve">2.</w:t>
      </w:r>
      <w:r>
        <w:rPr>
          <w:rFonts w:hint="eastAsia"/>
          <w:b/>
          <w:bCs/>
          <w:sz w:val="24"/>
          <w:szCs w:val="22"/>
        </w:rPr>
        <w:t xml:space="preserve">2</w:t>
      </w:r>
      <w:r>
        <w:rPr>
          <w:b/>
          <w:bCs/>
          <w:sz w:val="24"/>
          <w:szCs w:val="22"/>
        </w:rPr>
        <w:t xml:space="preserve">.3.4 事后常态抽查与案例库训练</w:t>
      </w:r>
      <w:r>
        <w:rPr>
          <w:b/>
          <w:bCs/>
          <w:sz w:val="24"/>
          <w:szCs w:val="22"/>
        </w:rPr>
      </w:r>
      <w:r/>
    </w:p>
    <w:p>
      <w:pPr>
        <w:pStyle w:val="738"/>
        <w:ind w:firstLine="480"/>
        <w:spacing w:line="360" w:lineRule="auto"/>
        <w:rPr>
          <w:sz w:val="24"/>
          <w:szCs w:val="22"/>
        </w:rPr>
      </w:pPr>
      <w:r>
        <w:rPr>
          <w:sz w:val="24"/>
          <w:szCs w:val="22"/>
        </w:rPr>
        <w:t xml:space="preserve">利用AI对未触发传统规则或已审核通过的数据进行持续性主动扫描，并建立AI自我学习的闭环。</w:t>
      </w:r>
      <w:r>
        <w:rPr>
          <w:sz w:val="24"/>
          <w:szCs w:val="22"/>
        </w:rPr>
      </w:r>
      <w:r/>
    </w:p>
    <w:p>
      <w:pPr>
        <w:pStyle w:val="738"/>
        <w:ind w:firstLine="480"/>
        <w:spacing w:line="360" w:lineRule="auto"/>
        <w:rPr>
          <w:sz w:val="24"/>
          <w:szCs w:val="22"/>
        </w:rPr>
      </w:pPr>
      <w:r>
        <w:rPr>
          <w:sz w:val="24"/>
          <w:szCs w:val="22"/>
        </w:rPr>
        <w:t xml:space="preserve">需提供以下功能：</w:t>
      </w:r>
      <w:r>
        <w:rPr>
          <w:sz w:val="24"/>
          <w:szCs w:val="22"/>
        </w:rPr>
      </w:r>
      <w:r/>
    </w:p>
    <w:p>
      <w:pPr>
        <w:pStyle w:val="738"/>
        <w:ind w:firstLine="480"/>
        <w:spacing w:line="360" w:lineRule="auto"/>
        <w:rPr>
          <w:sz w:val="24"/>
          <w:szCs w:val="22"/>
        </w:rPr>
      </w:pPr>
      <w:r>
        <w:rPr>
          <w:sz w:val="24"/>
          <w:szCs w:val="22"/>
        </w:rPr>
        <w:t xml:space="preserve">AI事后常态抽查：需支持配置周期性扫描任务（如每日、每周），对未触发预警或已审核通过的业务数据，由AI基于案例库主动识别潜在风险，生成“疑似违规清单”并推送给相关人员，弥补固定规则漏报。</w:t>
      </w:r>
      <w:r>
        <w:rPr>
          <w:sz w:val="24"/>
          <w:szCs w:val="22"/>
        </w:rPr>
      </w:r>
      <w:r/>
    </w:p>
    <w:p>
      <w:pPr>
        <w:pStyle w:val="738"/>
        <w:ind w:firstLine="480"/>
        <w:spacing w:line="360" w:lineRule="auto"/>
        <w:rPr>
          <w:sz w:val="24"/>
          <w:szCs w:val="22"/>
        </w:rPr>
      </w:pPr>
      <w:r>
        <w:rPr>
          <w:sz w:val="24"/>
          <w:szCs w:val="22"/>
        </w:rPr>
        <w:t xml:space="preserve">违规/白名单案例智能训练：需提供训练界面，分别针对“人工认定要求整改但AI审核合规”和“人工认定同意支付但AI审核要求整改”的历史数据，引导审核人员从审核日志中推理生成判定规则，并经人工确认后纳入负面/正面清单案例库。</w:t>
      </w:r>
      <w:r>
        <w:rPr>
          <w:sz w:val="24"/>
          <w:szCs w:val="22"/>
        </w:rPr>
      </w:r>
      <w:r/>
    </w:p>
    <w:p>
      <w:pPr>
        <w:pStyle w:val="738"/>
        <w:ind w:firstLine="480"/>
        <w:spacing w:line="360" w:lineRule="auto"/>
        <w:rPr>
          <w:sz w:val="24"/>
          <w:szCs w:val="22"/>
        </w:rPr>
      </w:pPr>
      <w:r>
        <w:rPr>
          <w:sz w:val="24"/>
          <w:szCs w:val="22"/>
        </w:rPr>
        <w:t xml:space="preserve">训练进度管理：需提供按资金类型、区划等维度的案例训练进度看板，确保重点资金案例库优先达到高覆盖率。</w:t>
      </w:r>
      <w:r>
        <w:rPr>
          <w:sz w:val="24"/>
          <w:szCs w:val="22"/>
        </w:rPr>
      </w:r>
      <w:r/>
    </w:p>
    <w:p>
      <w:pPr>
        <w:pStyle w:val="738"/>
        <w:ind w:firstLine="482"/>
        <w:spacing w:line="360" w:lineRule="auto"/>
        <w:rPr>
          <w:b/>
          <w:bCs/>
          <w:sz w:val="24"/>
          <w:szCs w:val="22"/>
        </w:rPr>
        <w:outlineLvl w:val="7"/>
      </w:pPr>
      <w:r>
        <w:rPr>
          <w:b/>
          <w:bCs/>
          <w:sz w:val="24"/>
          <w:szCs w:val="22"/>
        </w:rPr>
        <w:t xml:space="preserve">2.</w:t>
      </w:r>
      <w:r>
        <w:rPr>
          <w:rFonts w:hint="eastAsia"/>
          <w:b/>
          <w:bCs/>
          <w:sz w:val="24"/>
          <w:szCs w:val="22"/>
        </w:rPr>
        <w:t xml:space="preserve">2</w:t>
      </w:r>
      <w:r>
        <w:rPr>
          <w:b/>
          <w:bCs/>
          <w:sz w:val="24"/>
          <w:szCs w:val="22"/>
        </w:rPr>
        <w:t xml:space="preserve">.3.5 监控处理单疑点认定与反馈</w:t>
      </w:r>
      <w:r>
        <w:rPr>
          <w:b/>
          <w:bCs/>
          <w:sz w:val="24"/>
          <w:szCs w:val="22"/>
        </w:rPr>
      </w:r>
      <w:r/>
    </w:p>
    <w:p>
      <w:pPr>
        <w:pStyle w:val="738"/>
        <w:ind w:firstLine="480"/>
        <w:spacing w:line="360" w:lineRule="auto"/>
        <w:rPr>
          <w:sz w:val="24"/>
          <w:szCs w:val="22"/>
        </w:rPr>
      </w:pPr>
      <w:r>
        <w:rPr>
          <w:sz w:val="24"/>
          <w:szCs w:val="22"/>
        </w:rPr>
        <w:t xml:space="preserve">在财政审核人员处理监控处理单疑点认定环节，针对AI审核结果与人工认定结果的不同组合，提供差异化处理界面，支持案例的动态补充与优化。</w:t>
      </w:r>
      <w:r>
        <w:rPr>
          <w:sz w:val="24"/>
          <w:szCs w:val="22"/>
        </w:rPr>
      </w:r>
      <w:r/>
    </w:p>
    <w:p>
      <w:pPr>
        <w:pStyle w:val="738"/>
        <w:ind w:firstLine="480"/>
        <w:spacing w:line="360" w:lineRule="auto"/>
        <w:rPr>
          <w:sz w:val="24"/>
          <w:szCs w:val="22"/>
        </w:rPr>
      </w:pPr>
      <w:r>
        <w:rPr>
          <w:sz w:val="24"/>
          <w:szCs w:val="22"/>
        </w:rPr>
        <w:t xml:space="preserve">需提供以下功能：</w:t>
      </w:r>
      <w:r>
        <w:rPr>
          <w:sz w:val="24"/>
          <w:szCs w:val="22"/>
        </w:rPr>
      </w:r>
      <w:r/>
    </w:p>
    <w:p>
      <w:pPr>
        <w:pStyle w:val="738"/>
        <w:ind w:firstLine="480"/>
        <w:spacing w:line="360" w:lineRule="auto"/>
        <w:rPr>
          <w:sz w:val="24"/>
          <w:szCs w:val="22"/>
        </w:rPr>
      </w:pPr>
      <w:r>
        <w:rPr>
          <w:sz w:val="24"/>
          <w:szCs w:val="22"/>
        </w:rPr>
        <w:t xml:space="preserve">差异化认定界面：针对AI审核结果（同意支付、退回补充材料、要求整改）与人工认定结果的不同组合，设计不同的处理流程和界面模板。当人工结果严于或宽于AI结果时，应弹窗引导用户补充违规案例或白名单信息。</w:t>
      </w:r>
      <w:r>
        <w:rPr>
          <w:sz w:val="24"/>
          <w:szCs w:val="22"/>
        </w:rPr>
      </w:r>
      <w:r/>
    </w:p>
    <w:p>
      <w:pPr>
        <w:pStyle w:val="738"/>
        <w:ind w:firstLine="480"/>
        <w:spacing w:line="360" w:lineRule="auto"/>
        <w:rPr>
          <w:sz w:val="24"/>
          <w:szCs w:val="22"/>
        </w:rPr>
      </w:pPr>
      <w:r>
        <w:rPr>
          <w:sz w:val="24"/>
          <w:szCs w:val="22"/>
        </w:rPr>
        <w:t xml:space="preserve">案例动态补充与自动重审：在补充案例时，界面需提供政策依据选择、判定规则编辑、佐证材料多选等控件。用户补充案例或修改规则后，系统应能自动触发二次AI审核，并更新审核结果。提交新案例时需弹窗确认是否纳入正式库。</w:t>
      </w:r>
      <w:r>
        <w:rPr>
          <w:sz w:val="24"/>
          <w:szCs w:val="22"/>
        </w:rPr>
      </w:r>
      <w:r/>
    </w:p>
    <w:p>
      <w:pPr>
        <w:pStyle w:val="738"/>
        <w:ind w:firstLine="482"/>
        <w:spacing w:line="360" w:lineRule="auto"/>
        <w:rPr>
          <w:b/>
          <w:bCs/>
          <w:sz w:val="24"/>
          <w:szCs w:val="22"/>
        </w:rPr>
        <w:outlineLvl w:val="7"/>
      </w:pPr>
      <w:r>
        <w:rPr>
          <w:b/>
          <w:bCs/>
          <w:sz w:val="24"/>
          <w:szCs w:val="22"/>
        </w:rPr>
        <w:t xml:space="preserve">2.</w:t>
      </w:r>
      <w:r>
        <w:rPr>
          <w:rFonts w:hint="eastAsia"/>
          <w:b/>
          <w:bCs/>
          <w:sz w:val="24"/>
          <w:szCs w:val="22"/>
        </w:rPr>
        <w:t xml:space="preserve">2</w:t>
      </w:r>
      <w:r>
        <w:rPr>
          <w:b/>
          <w:bCs/>
          <w:sz w:val="24"/>
          <w:szCs w:val="22"/>
        </w:rPr>
        <w:t xml:space="preserve">.3.6 与预算管理一体化平台融合</w:t>
      </w:r>
      <w:r>
        <w:rPr>
          <w:b/>
          <w:bCs/>
          <w:sz w:val="24"/>
          <w:szCs w:val="22"/>
        </w:rPr>
      </w:r>
      <w:r/>
    </w:p>
    <w:p>
      <w:pPr>
        <w:pStyle w:val="738"/>
        <w:ind w:firstLine="480"/>
        <w:spacing w:line="360" w:lineRule="auto"/>
        <w:rPr>
          <w:sz w:val="24"/>
          <w:szCs w:val="22"/>
        </w:rPr>
      </w:pPr>
      <w:r>
        <w:rPr>
          <w:sz w:val="24"/>
          <w:szCs w:val="22"/>
        </w:rPr>
        <w:t xml:space="preserve">遵照预算管理一体化平台技术中台接入规范相关要求，通过API网关，基于江苏财政统一门户和用户中心、认证中心、日志中心、待办管理等公共技术服务，实现统一用户登录认证、用户账号体系。同时，实现与预算管理一体化平台支付模块、转移支付监控模块的深度衔接，确保数据实时共享、流程无缝衔接。</w:t>
      </w:r>
      <w:r>
        <w:rPr>
          <w:sz w:val="24"/>
          <w:szCs w:val="22"/>
        </w:rPr>
      </w:r>
      <w:r/>
    </w:p>
    <w:p>
      <w:pPr>
        <w:pStyle w:val="738"/>
        <w:ind w:firstLine="482"/>
        <w:spacing w:line="360" w:lineRule="auto"/>
        <w:rPr>
          <w:b/>
          <w:bCs/>
          <w:sz w:val="24"/>
          <w:szCs w:val="22"/>
        </w:rPr>
        <w:outlineLvl w:val="7"/>
      </w:pPr>
      <w:r>
        <w:rPr>
          <w:b/>
          <w:bCs/>
          <w:sz w:val="24"/>
          <w:szCs w:val="22"/>
        </w:rPr>
        <w:t xml:space="preserve">2.</w:t>
      </w:r>
      <w:r>
        <w:rPr>
          <w:rFonts w:hint="eastAsia"/>
          <w:b/>
          <w:bCs/>
          <w:sz w:val="24"/>
          <w:szCs w:val="22"/>
        </w:rPr>
        <w:t xml:space="preserve">2</w:t>
      </w:r>
      <w:r>
        <w:rPr>
          <w:b/>
          <w:bCs/>
          <w:sz w:val="24"/>
          <w:szCs w:val="22"/>
        </w:rPr>
        <w:t xml:space="preserve">.3.</w:t>
      </w:r>
      <w:r>
        <w:rPr>
          <w:rFonts w:hint="eastAsia"/>
          <w:b/>
          <w:bCs/>
          <w:sz w:val="24"/>
          <w:szCs w:val="22"/>
        </w:rPr>
        <w:t xml:space="preserve">7 </w:t>
      </w:r>
      <w:r>
        <w:rPr>
          <w:b/>
          <w:bCs/>
          <w:sz w:val="24"/>
          <w:szCs w:val="22"/>
        </w:rPr>
        <w:t xml:space="preserve">数据工程与模型服务</w:t>
      </w:r>
      <w:r>
        <w:rPr>
          <w:b/>
          <w:bCs/>
          <w:sz w:val="24"/>
          <w:szCs w:val="22"/>
        </w:rPr>
      </w:r>
      <w:r/>
    </w:p>
    <w:p>
      <w:pPr>
        <w:pStyle w:val="738"/>
        <w:ind w:firstLine="480"/>
        <w:spacing w:line="360" w:lineRule="auto"/>
        <w:rPr>
          <w:sz w:val="24"/>
          <w:szCs w:val="22"/>
        </w:rPr>
      </w:pPr>
      <w:r>
        <w:rPr>
          <w:sz w:val="24"/>
          <w:szCs w:val="22"/>
        </w:rPr>
        <w:t xml:space="preserve">历史数据预处理：对历史监控处理单数据进行全量统计、质量分析、清洗、脱敏处理。对模糊样本进行人工复核和标注。将处理好的数据用于案例库的构建与效果验证，并建立数据版本管理机制。</w:t>
      </w:r>
      <w:r>
        <w:rPr>
          <w:sz w:val="24"/>
          <w:szCs w:val="22"/>
        </w:rPr>
      </w:r>
      <w:r/>
    </w:p>
    <w:p>
      <w:pPr>
        <w:pStyle w:val="738"/>
        <w:ind w:firstLine="480"/>
        <w:spacing w:line="360" w:lineRule="auto"/>
        <w:rPr>
          <w:sz w:val="24"/>
          <w:szCs w:val="22"/>
        </w:rPr>
      </w:pPr>
      <w:r>
        <w:rPr>
          <w:sz w:val="24"/>
          <w:szCs w:val="22"/>
        </w:rPr>
        <w:t xml:space="preserve">提示词工程设计：梳理核心AI应用场景，设计并优化提示词模板，迭代2-3轮。将最终确定的提示词模板封装为可调用的服务接口。</w:t>
      </w:r>
      <w:r>
        <w:rPr>
          <w:sz w:val="24"/>
          <w:szCs w:val="22"/>
        </w:rPr>
      </w:r>
      <w:r/>
    </w:p>
    <w:p>
      <w:pPr>
        <w:pStyle w:val="738"/>
        <w:ind w:firstLine="480"/>
        <w:spacing w:line="360" w:lineRule="auto"/>
        <w:rPr>
          <w:sz w:val="24"/>
          <w:szCs w:val="22"/>
        </w:rPr>
      </w:pPr>
      <w:r>
        <w:rPr>
          <w:sz w:val="24"/>
          <w:szCs w:val="22"/>
        </w:rPr>
        <w:t xml:space="preserve">案例库生成与验证服务：搭建并配置案例库训练环境，基于历史数据和人工反馈生成结构化案例知识卡片，并对案例库的覆盖率和准确率进行验证。组织业务专家对AI生成的案例进行抽检和确认，生成案例库训练结果报告。</w:t>
      </w:r>
      <w:bookmarkStart w:id="164" w:name="_Hlk186108830"/>
      <w:r>
        <w:rPr>
          <w:sz w:val="24"/>
          <w:szCs w:val="22"/>
        </w:rPr>
      </w:r>
      <w:r/>
    </w:p>
    <w:p>
      <w:pPr>
        <w:pStyle w:val="738"/>
        <w:numPr>
          <w:ilvl w:val="0"/>
          <w:numId w:val="5"/>
        </w:numPr>
        <w:ind w:firstLine="482"/>
        <w:spacing w:line="500" w:lineRule="exact"/>
        <w:rPr>
          <w:b/>
          <w:color w:val="000000"/>
          <w:sz w:val="24"/>
          <w:szCs w:val="24"/>
        </w:rPr>
        <w:outlineLvl w:val="4"/>
      </w:pPr>
      <w:r>
        <w:rPr>
          <w:b/>
          <w:color w:val="000000"/>
          <w:sz w:val="24"/>
          <w:szCs w:val="24"/>
        </w:rPr>
        <w:t xml:space="preserve">技术方案要求</w:t>
      </w:r>
      <w:r>
        <w:rPr>
          <w:b/>
          <w:color w:val="000000"/>
          <w:sz w:val="24"/>
          <w:szCs w:val="24"/>
        </w:rPr>
      </w:r>
      <w:r/>
    </w:p>
    <w:p>
      <w:pPr>
        <w:pStyle w:val="738"/>
        <w:ind w:firstLine="482"/>
        <w:spacing w:line="360" w:lineRule="auto"/>
        <w:rPr>
          <w:b/>
          <w:bCs/>
          <w:sz w:val="24"/>
          <w:szCs w:val="22"/>
        </w:rPr>
        <w:outlineLvl w:val="5"/>
      </w:pPr>
      <w:r>
        <w:rPr>
          <w:b/>
          <w:bCs/>
          <w:sz w:val="24"/>
          <w:szCs w:val="22"/>
        </w:rPr>
        <w:t xml:space="preserve">3.1 </w:t>
      </w:r>
      <w:r>
        <w:rPr>
          <w:rFonts w:hint="eastAsia"/>
          <w:b/>
          <w:bCs/>
          <w:sz w:val="24"/>
          <w:szCs w:val="22"/>
        </w:rPr>
        <w:t xml:space="preserve">安全响应方案</w:t>
      </w:r>
      <w:r>
        <w:rPr>
          <w:b/>
          <w:bCs/>
          <w:sz w:val="24"/>
          <w:szCs w:val="22"/>
        </w:rPr>
      </w:r>
      <w:r/>
    </w:p>
    <w:p>
      <w:pPr>
        <w:pStyle w:val="738"/>
        <w:ind w:firstLine="480"/>
        <w:spacing w:line="500" w:lineRule="exact"/>
        <w:tabs>
          <w:tab w:val="left" w:pos="420" w:leader="none"/>
        </w:tabs>
        <w:rPr>
          <w:rFonts w:hint="eastAsia"/>
          <w:color w:val="000000"/>
          <w:sz w:val="24"/>
          <w:szCs w:val="24"/>
        </w:rPr>
      </w:pPr>
      <w:r>
        <w:rPr>
          <w:rFonts w:hint="eastAsia"/>
          <w:color w:val="000000"/>
          <w:sz w:val="24"/>
          <w:szCs w:val="24"/>
        </w:rPr>
        <w:t xml:space="preserve">供应商应提供安全响应方案，包括在系统开发、数据存储、数据传输、日常运维等环节的安全响应措施。供应商建立覆盖业务全生命周期的安全防护与应急响应体系，实现安全风险事前预防、事中管控、事后处置的全流程闭环管理。有效防范各类安全漏洞、数据安全风险、系统运行故障及网络安全威胁，快速响应、妥善处置各类安全事件，保障系统稳定运行、数据资产安全、业务持续开展，杜绝重大安全事故发生。要求方案结构清晰，描述准确、全面、完整，内容科学合理有针对性。</w:t>
      </w:r>
      <w:r>
        <w:rPr>
          <w:rFonts w:hint="eastAsia"/>
          <w:color w:val="000000"/>
          <w:sz w:val="24"/>
          <w:szCs w:val="24"/>
        </w:rPr>
      </w:r>
      <w:r/>
    </w:p>
    <w:p>
      <w:pPr>
        <w:pStyle w:val="738"/>
        <w:ind w:firstLine="482"/>
        <w:spacing w:line="360" w:lineRule="auto"/>
        <w:rPr>
          <w:b/>
          <w:bCs/>
          <w:sz w:val="24"/>
          <w:szCs w:val="22"/>
        </w:rPr>
        <w:outlineLvl w:val="5"/>
      </w:pPr>
      <w:r>
        <w:rPr>
          <w:b/>
          <w:bCs/>
          <w:sz w:val="24"/>
          <w:szCs w:val="22"/>
        </w:rPr>
        <w:t xml:space="preserve">3.2 </w:t>
      </w:r>
      <w:r>
        <w:rPr>
          <w:rFonts w:hint="eastAsia"/>
          <w:b/>
          <w:bCs/>
          <w:sz w:val="24"/>
          <w:szCs w:val="22"/>
        </w:rPr>
        <w:t xml:space="preserve">培训方案</w:t>
      </w:r>
      <w:r>
        <w:rPr>
          <w:b/>
          <w:bCs/>
          <w:sz w:val="24"/>
          <w:szCs w:val="22"/>
        </w:rPr>
      </w:r>
      <w:r/>
    </w:p>
    <w:p>
      <w:pPr>
        <w:pStyle w:val="738"/>
        <w:ind w:firstLine="480"/>
        <w:spacing w:line="500" w:lineRule="exact"/>
        <w:tabs>
          <w:tab w:val="left" w:pos="420" w:leader="none"/>
        </w:tabs>
        <w:rPr>
          <w:rFonts w:hint="eastAsia"/>
          <w:color w:val="000000"/>
          <w:sz w:val="24"/>
          <w:szCs w:val="24"/>
        </w:rPr>
      </w:pPr>
      <w:r>
        <w:rPr>
          <w:rFonts w:hint="eastAsia"/>
          <w:color w:val="000000"/>
          <w:sz w:val="24"/>
          <w:szCs w:val="24"/>
        </w:rPr>
        <w:t xml:space="preserve">供应商应提供培训方案，包括培训目标、培训方式、培训内容、培训计划等</w:t>
      </w:r>
      <w:r>
        <w:rPr>
          <w:rFonts w:hint="eastAsia"/>
          <w:color w:val="000000"/>
          <w:sz w:val="24"/>
          <w:szCs w:val="24"/>
        </w:rPr>
        <w:t xml:space="preserve">。供应商应在采购人认为方便合适的时间和地点，针对本项目相关人员开展培训。供应商应在投标文件中提交培训计划书，明确培训内容，课程安排及培训计划。供应商应按基本原理、常见操作、运行管理三个方面组织实施培训。本项目的培训对象为系统用户，包括省级财政部门用户及省本级预算单位用户。供应商需提供专门的 “AI辅助审核”操作培训，以及针对系统管理员的 “知识库管理与案例训练”专题培训。供应商应制定详细的培训方案，包括培训目标、对象、方式、时间安排、教材编写等。要求方案结构清晰，描述准确、全面、完整，内容科学合理有针对性。</w:t>
      </w:r>
      <w:r>
        <w:rPr>
          <w:rFonts w:hint="eastAsia"/>
          <w:color w:val="000000"/>
          <w:sz w:val="24"/>
          <w:szCs w:val="24"/>
        </w:rPr>
      </w:r>
      <w:r/>
    </w:p>
    <w:p>
      <w:pPr>
        <w:pStyle w:val="738"/>
        <w:ind w:firstLine="482"/>
        <w:spacing w:line="360" w:lineRule="auto"/>
        <w:rPr>
          <w:b/>
          <w:bCs/>
          <w:sz w:val="24"/>
          <w:szCs w:val="22"/>
        </w:rPr>
        <w:outlineLvl w:val="5"/>
      </w:pPr>
      <w:r>
        <w:rPr>
          <w:b/>
          <w:bCs/>
          <w:sz w:val="24"/>
          <w:szCs w:val="22"/>
        </w:rPr>
        <w:t xml:space="preserve">3.3 总体建设方案</w:t>
      </w:r>
      <w:r>
        <w:rPr>
          <w:b/>
          <w:bCs/>
          <w:sz w:val="24"/>
          <w:szCs w:val="22"/>
        </w:rPr>
      </w:r>
      <w:r/>
    </w:p>
    <w:p>
      <w:pPr>
        <w:pStyle w:val="738"/>
        <w:ind w:firstLine="480"/>
        <w:spacing w:line="500" w:lineRule="exact"/>
        <w:tabs>
          <w:tab w:val="left" w:pos="420" w:leader="none"/>
        </w:tabs>
        <w:rPr>
          <w:color w:val="000000"/>
          <w:sz w:val="24"/>
          <w:szCs w:val="24"/>
        </w:rPr>
      </w:pPr>
      <w:r>
        <w:rPr>
          <w:color w:val="000000"/>
          <w:sz w:val="24"/>
          <w:szCs w:val="24"/>
        </w:rPr>
        <w:t xml:space="preserve">供应商应提供总体建设方案，包括总体逻辑架构、业务架构、部署架构、安全架构和技术架构等。</w:t>
      </w:r>
      <w:r>
        <w:rPr>
          <w:rFonts w:hint="eastAsia"/>
          <w:color w:val="000000"/>
          <w:sz w:val="24"/>
          <w:szCs w:val="24"/>
        </w:rPr>
        <w:t xml:space="preserve">供应商须结合项目业务定位、建设目标、使用场景、安全规范及长期迭代需求，编制科学、完整、可落地、可验收的项目总体建设方案。方案需从顶层视角完成系统整体规划设计，全面覆盖总体逻辑架构、业务架构、部署架构、安全架构、技术架构五大核心架构体系，形成层次清晰、分工明确、相互支撑、高度适配的整体建设体系。方案所有设计内容必须贴合项目实际业务需求、适配现有软硬件环境、符合国家及行业相关技术标准与安全规范，做到架构设计合理、模块划分清晰、技术路线成熟、部署方式合规、安全体系全覆盖，具备极强的针对性、实用性、扩展性和兼容性。</w:t>
      </w:r>
      <w:r>
        <w:rPr>
          <w:color w:val="000000"/>
          <w:sz w:val="24"/>
          <w:szCs w:val="24"/>
        </w:rPr>
        <w:t xml:space="preserve">要求方案结构清晰，描述准确、全面、完整，内容科学合理</w:t>
      </w:r>
      <w:r>
        <w:rPr>
          <w:rFonts w:hint="eastAsia"/>
          <w:color w:val="000000"/>
          <w:sz w:val="24"/>
          <w:szCs w:val="24"/>
        </w:rPr>
        <w:t xml:space="preserve">、</w:t>
      </w:r>
      <w:r>
        <w:rPr>
          <w:color w:val="000000"/>
          <w:sz w:val="24"/>
          <w:szCs w:val="24"/>
        </w:rPr>
        <w:t xml:space="preserve">有针对性。</w:t>
      </w:r>
      <w:r>
        <w:rPr>
          <w:color w:val="000000"/>
          <w:sz w:val="24"/>
          <w:szCs w:val="24"/>
        </w:rPr>
      </w:r>
      <w:r/>
    </w:p>
    <w:p>
      <w:pPr>
        <w:pStyle w:val="738"/>
        <w:ind w:firstLine="482"/>
        <w:spacing w:line="360" w:lineRule="auto"/>
        <w:rPr>
          <w:b/>
          <w:bCs/>
          <w:color w:val="000000"/>
          <w:sz w:val="24"/>
          <w:szCs w:val="24"/>
        </w:rPr>
        <w:outlineLvl w:val="5"/>
      </w:pPr>
      <w:r>
        <w:rPr>
          <w:b/>
          <w:bCs/>
          <w:sz w:val="24"/>
          <w:szCs w:val="22"/>
        </w:rPr>
        <w:t xml:space="preserve">3.4 核心场景AI实现方案</w:t>
      </w:r>
      <w:r>
        <w:rPr>
          <w:b/>
          <w:bCs/>
          <w:color w:val="000000"/>
          <w:sz w:val="24"/>
          <w:szCs w:val="24"/>
        </w:rPr>
      </w:r>
      <w:r/>
    </w:p>
    <w:p>
      <w:pPr>
        <w:pStyle w:val="738"/>
        <w:ind w:firstLine="480"/>
        <w:spacing w:line="500" w:lineRule="exact"/>
        <w:tabs>
          <w:tab w:val="left" w:pos="420" w:leader="none"/>
        </w:tabs>
        <w:rPr>
          <w:rFonts w:hint="eastAsia"/>
          <w:color w:val="000000"/>
          <w:sz w:val="24"/>
          <w:szCs w:val="24"/>
        </w:rPr>
      </w:pPr>
      <w:r>
        <w:rPr>
          <w:rFonts w:hint="eastAsia"/>
          <w:color w:val="000000"/>
          <w:sz w:val="24"/>
          <w:szCs w:val="24"/>
        </w:rPr>
        <w:t xml:space="preserve">在附件关键信息提取方面，供应商需基于</w:t>
      </w:r>
      <w:r>
        <w:rPr>
          <w:color w:val="000000"/>
          <w:sz w:val="24"/>
          <w:szCs w:val="24"/>
        </w:rPr>
        <w:t xml:space="preserve">OCR</w:t>
      </w:r>
      <w:r>
        <w:rPr>
          <w:rFonts w:hint="eastAsia"/>
          <w:color w:val="000000"/>
          <w:sz w:val="24"/>
          <w:szCs w:val="24"/>
        </w:rPr>
        <w:t xml:space="preserve">与多模态大模型技术，实现对合同、发票、批复文件等各类佐证材料的自动分类与关键字段（包括金额、收款人、项目编码等）的精准结构化提取，并提供人工修正界面以保障准确率。在数据一致性校验方面，供应商需实现支付申请信息与附件提取信息之间、以及同一支付申请下多份附件之间的跨源交叉比对，自动识别金额、账户、项目关联等维度的不一致情形并可视化呈现差异详情。在审核逻辑推理方面，供应商需构建基于正负面清单、政策法规与案例库的合规审查引擎，对支出方向、预算科目、金额上限等维度进行逐项推理，输出可溯源的</w:t>
      </w:r>
      <w:r>
        <w:rPr>
          <w:color w:val="000000"/>
          <w:sz w:val="24"/>
          <w:szCs w:val="24"/>
        </w:rPr>
        <w:t xml:space="preserve">AI</w:t>
      </w:r>
      <w:r>
        <w:rPr>
          <w:rFonts w:hint="eastAsia"/>
          <w:color w:val="000000"/>
          <w:sz w:val="24"/>
          <w:szCs w:val="24"/>
        </w:rPr>
        <w:t xml:space="preserve">审核结论（合规</w:t>
      </w:r>
      <w:r>
        <w:rPr>
          <w:color w:val="000000"/>
          <w:sz w:val="24"/>
          <w:szCs w:val="24"/>
        </w:rPr>
        <w:t xml:space="preserve">/</w:t>
      </w:r>
      <w:r>
        <w:rPr>
          <w:rFonts w:hint="eastAsia"/>
          <w:color w:val="000000"/>
          <w:sz w:val="24"/>
          <w:szCs w:val="24"/>
        </w:rPr>
        <w:t xml:space="preserve">违规</w:t>
      </w:r>
      <w:r>
        <w:rPr>
          <w:color w:val="000000"/>
          <w:sz w:val="24"/>
          <w:szCs w:val="24"/>
        </w:rPr>
        <w:t xml:space="preserve">/</w:t>
      </w:r>
      <w:r>
        <w:rPr>
          <w:rFonts w:hint="eastAsia"/>
          <w:color w:val="000000"/>
          <w:sz w:val="24"/>
          <w:szCs w:val="24"/>
        </w:rPr>
        <w:t xml:space="preserve">疑似违规），并建立规则库、案例库持续优化机制，使</w:t>
      </w:r>
      <w:r>
        <w:rPr>
          <w:color w:val="000000"/>
          <w:sz w:val="24"/>
          <w:szCs w:val="24"/>
        </w:rPr>
        <w:t xml:space="preserve">AI</w:t>
      </w:r>
      <w:r>
        <w:rPr>
          <w:rFonts w:hint="eastAsia"/>
          <w:color w:val="000000"/>
          <w:sz w:val="24"/>
          <w:szCs w:val="24"/>
        </w:rPr>
        <w:t xml:space="preserve">审核随人工认定结果动态迭代优化。</w:t>
      </w:r>
      <w:r>
        <w:rPr>
          <w:rFonts w:hint="eastAsia"/>
          <w:color w:val="000000"/>
          <w:sz w:val="24"/>
          <w:szCs w:val="24"/>
        </w:rPr>
      </w:r>
      <w:r/>
    </w:p>
    <w:p>
      <w:pPr>
        <w:pStyle w:val="738"/>
        <w:ind w:firstLine="480"/>
        <w:spacing w:line="500" w:lineRule="exact"/>
        <w:tabs>
          <w:tab w:val="left" w:pos="420" w:leader="none"/>
        </w:tabs>
        <w:rPr>
          <w:b/>
          <w:bCs/>
          <w:sz w:val="24"/>
          <w:szCs w:val="22"/>
        </w:rPr>
      </w:pPr>
      <w:r>
        <w:rPr>
          <w:rFonts w:hint="eastAsia"/>
          <w:b/>
          <w:bCs/>
          <w:sz w:val="24"/>
          <w:szCs w:val="22"/>
        </w:rPr>
        <w:t xml:space="preserve">3.5 </w:t>
      </w:r>
      <w:r>
        <w:rPr>
          <w:b/>
          <w:bCs/>
          <w:sz w:val="24"/>
          <w:szCs w:val="22"/>
        </w:rPr>
        <w:t xml:space="preserve">知识库构建方案</w:t>
      </w:r>
      <w:r>
        <w:rPr>
          <w:b/>
          <w:bCs/>
          <w:sz w:val="24"/>
          <w:szCs w:val="22"/>
        </w:rPr>
      </w:r>
      <w:r/>
    </w:p>
    <w:p>
      <w:pPr>
        <w:pStyle w:val="738"/>
        <w:ind w:firstLine="480"/>
        <w:spacing w:line="500" w:lineRule="exact"/>
        <w:tabs>
          <w:tab w:val="left" w:pos="420" w:leader="none"/>
        </w:tabs>
        <w:rPr>
          <w:color w:val="000000"/>
          <w:sz w:val="24"/>
          <w:szCs w:val="24"/>
        </w:rPr>
      </w:pPr>
      <w:r>
        <w:rPr>
          <w:color w:val="000000"/>
          <w:sz w:val="24"/>
          <w:szCs w:val="24"/>
        </w:rPr>
        <w:t xml:space="preserve">详细说明如何将海量非结构化政策文件和历史数据，转化为可供AI推理的结构化知识。</w:t>
      </w:r>
      <w:r>
        <w:rPr>
          <w:rFonts w:hint="eastAsia"/>
          <w:color w:val="000000"/>
          <w:sz w:val="24"/>
          <w:szCs w:val="24"/>
        </w:rPr>
        <w:t xml:space="preserve">供应商须针对项目存量海量非结构化资源，包含各类PDF、Word、网页文稿、扫</w:t>
      </w:r>
      <w:r>
        <w:rPr>
          <w:rFonts w:hint="eastAsia"/>
          <w:color w:val="000000"/>
          <w:sz w:val="24"/>
          <w:szCs w:val="24"/>
        </w:rPr>
        <w:t xml:space="preserve">描政策文件、通知公告、标准规范、历史业务台账、历史办文资料、存档材料等多格式、多来源、碎片化非结构化数据，搭建一套标准化、体系化、可解析、可推理、可迭代的行业专属知识库。本方案需完整覆盖数据源汇聚、数据清洗治理、文档解析拆解、知识抽取、知识结构化建模、知识关联融合、知识质量校验、知识入库索引、知识库运维迭代全流程，实现原始零散、非标准化的海量政策与历史数据，向AI可识别、可检索、可理解、可推理、可问答、可溯源的高质量结构化知识体系转化，全面支撑智能问答、智能研判、政策比对、业务推理、辅助决策等AI应用场景。</w:t>
      </w:r>
      <w:r>
        <w:rPr>
          <w:color w:val="000000"/>
          <w:sz w:val="24"/>
          <w:szCs w:val="24"/>
        </w:rPr>
        <w:t xml:space="preserve">要求方案结构清晰，描述准确、全面、完整，内容科学合理</w:t>
      </w:r>
      <w:r>
        <w:rPr>
          <w:rFonts w:hint="eastAsia"/>
          <w:color w:val="000000"/>
          <w:sz w:val="24"/>
          <w:szCs w:val="24"/>
        </w:rPr>
        <w:t xml:space="preserve">、</w:t>
      </w:r>
      <w:r>
        <w:rPr>
          <w:color w:val="000000"/>
          <w:sz w:val="24"/>
          <w:szCs w:val="24"/>
        </w:rPr>
        <w:t xml:space="preserve">有针对性。</w:t>
      </w:r>
      <w:r>
        <w:rPr>
          <w:color w:val="000000"/>
          <w:sz w:val="24"/>
          <w:szCs w:val="24"/>
        </w:rPr>
      </w:r>
      <w:r/>
    </w:p>
    <w:p>
      <w:pPr>
        <w:pStyle w:val="738"/>
        <w:ind w:firstLine="482"/>
        <w:spacing w:line="360" w:lineRule="auto"/>
        <w:rPr>
          <w:b/>
          <w:bCs/>
          <w:sz w:val="24"/>
          <w:szCs w:val="22"/>
        </w:rPr>
        <w:outlineLvl w:val="5"/>
      </w:pPr>
      <w:r>
        <w:rPr>
          <w:rFonts w:hint="eastAsia"/>
          <w:b/>
          <w:bCs/>
          <w:sz w:val="24"/>
          <w:szCs w:val="22"/>
        </w:rPr>
        <w:t xml:space="preserve">3.6 </w:t>
      </w:r>
      <w:r>
        <w:rPr>
          <w:b/>
          <w:bCs/>
          <w:sz w:val="24"/>
          <w:szCs w:val="22"/>
        </w:rPr>
        <w:t xml:space="preserve">案例库训练与评估方案</w:t>
      </w:r>
      <w:r>
        <w:rPr>
          <w:b/>
          <w:bCs/>
          <w:sz w:val="24"/>
          <w:szCs w:val="22"/>
        </w:rPr>
      </w:r>
      <w:r/>
    </w:p>
    <w:p>
      <w:pPr>
        <w:pStyle w:val="738"/>
        <w:ind w:firstLine="480"/>
        <w:spacing w:line="500" w:lineRule="exact"/>
        <w:tabs>
          <w:tab w:val="left" w:pos="420" w:leader="none"/>
        </w:tabs>
        <w:rPr>
          <w:color w:val="000000"/>
          <w:sz w:val="24"/>
          <w:szCs w:val="24"/>
        </w:rPr>
      </w:pPr>
      <w:r>
        <w:rPr>
          <w:color w:val="000000"/>
          <w:sz w:val="24"/>
          <w:szCs w:val="24"/>
        </w:rPr>
        <w:t xml:space="preserve">提供历史数据预处理、样本标注、案例知识卡片生成与验证、效果评估（含准确率、误报率）的完整方法论和执行计划。</w:t>
      </w:r>
      <w:r>
        <w:rPr>
          <w:rFonts w:hint="eastAsia"/>
          <w:color w:val="000000"/>
          <w:sz w:val="24"/>
          <w:szCs w:val="24"/>
        </w:rPr>
        <w:t xml:space="preserve">供应商须依托项目全量历史业务案例、办结台账、典型场景数据、问题处置记录、业务审核案例等存量资源，搭建一套标准化、可训练、可迭代、可量化评估的AI案例库训练与效果评估体系。方案需完整覆盖历史数据预处理、高质量训练样本筛选与清洗、精细化样本标注、标准化案例知识卡片生成、多维度内容核验、模型训练调优、全指标效果评测、问题整改迭代的全链路实施方法论与阶段性执行计划。</w:t>
      </w:r>
      <w:r>
        <w:rPr>
          <w:color w:val="000000"/>
          <w:sz w:val="24"/>
          <w:szCs w:val="24"/>
        </w:rPr>
        <w:t xml:space="preserve">要求方案结构清晰，描述准确、全面、完整，内容科学合理</w:t>
      </w:r>
      <w:r>
        <w:rPr>
          <w:rFonts w:hint="eastAsia"/>
          <w:color w:val="000000"/>
          <w:sz w:val="24"/>
          <w:szCs w:val="24"/>
        </w:rPr>
        <w:t xml:space="preserve">、</w:t>
      </w:r>
      <w:r>
        <w:rPr>
          <w:color w:val="000000"/>
          <w:sz w:val="24"/>
          <w:szCs w:val="24"/>
        </w:rPr>
        <w:t xml:space="preserve">有针对性。</w:t>
      </w:r>
      <w:r>
        <w:rPr>
          <w:color w:val="000000"/>
          <w:sz w:val="24"/>
          <w:szCs w:val="24"/>
        </w:rPr>
      </w:r>
      <w:r/>
    </w:p>
    <w:p>
      <w:pPr>
        <w:pStyle w:val="738"/>
        <w:ind w:firstLine="482"/>
        <w:spacing w:line="360" w:lineRule="auto"/>
        <w:rPr>
          <w:b/>
          <w:bCs/>
          <w:sz w:val="24"/>
          <w:szCs w:val="22"/>
        </w:rPr>
        <w:outlineLvl w:val="5"/>
      </w:pPr>
      <w:r>
        <w:rPr>
          <w:rFonts w:hint="eastAsia"/>
          <w:b/>
          <w:bCs/>
          <w:sz w:val="24"/>
          <w:szCs w:val="22"/>
        </w:rPr>
        <w:t xml:space="preserve">3.7 </w:t>
      </w:r>
      <w:r>
        <w:rPr>
          <w:b/>
          <w:bCs/>
          <w:sz w:val="24"/>
          <w:szCs w:val="22"/>
        </w:rPr>
        <w:t xml:space="preserve">人机协同与自进化机制方案</w:t>
      </w:r>
      <w:r>
        <w:rPr>
          <w:b/>
          <w:bCs/>
          <w:sz w:val="24"/>
          <w:szCs w:val="22"/>
        </w:rPr>
      </w:r>
      <w:r/>
    </w:p>
    <w:p>
      <w:pPr>
        <w:pStyle w:val="738"/>
        <w:ind w:firstLine="480"/>
        <w:spacing w:line="500" w:lineRule="exact"/>
        <w:tabs>
          <w:tab w:val="left" w:pos="420" w:leader="none"/>
        </w:tabs>
        <w:rPr>
          <w:color w:val="000000"/>
          <w:sz w:val="24"/>
          <w:szCs w:val="24"/>
        </w:rPr>
      </w:pPr>
      <w:r>
        <w:rPr>
          <w:color w:val="000000"/>
          <w:sz w:val="24"/>
          <w:szCs w:val="24"/>
        </w:rPr>
        <w:t xml:space="preserve">详细说明系统如何从人工审核反馈中学习，并持续优化自身性能的闭环流程设计。</w:t>
      </w:r>
      <w:r>
        <w:rPr>
          <w:rFonts w:hint="eastAsia"/>
          <w:color w:val="000000"/>
          <w:sz w:val="24"/>
          <w:szCs w:val="24"/>
        </w:rPr>
        <w:t xml:space="preserve">供应商须构建一套人工介入审核、反馈实时沉淀、模型动态学习、能力自主迭代、效果持续提升的人机协同智能运行与自进化闭环机制，明确系统智能研判、人工复核纠偏、结果反馈、数据沉淀、模型微调、策略更新、效果验证的全流程标准化体系。本方案需详细阐述系统人机协同分工模式、人工反馈采集规范、错误样本识别机制、知识迭代更新逻辑、模型自适应优化流程、效果复测评估机制，形成可落地、可循环、可量化、可持续演进的智能化运营体系。</w:t>
      </w:r>
      <w:r>
        <w:rPr>
          <w:color w:val="000000"/>
          <w:sz w:val="24"/>
          <w:szCs w:val="24"/>
        </w:rPr>
        <w:t xml:space="preserve">要求方案结构清晰，描述准确、全面、完整，内容科学合理</w:t>
      </w:r>
      <w:r>
        <w:rPr>
          <w:rFonts w:hint="eastAsia"/>
          <w:color w:val="000000"/>
          <w:sz w:val="24"/>
          <w:szCs w:val="24"/>
        </w:rPr>
        <w:t xml:space="preserve">、</w:t>
      </w:r>
      <w:r>
        <w:rPr>
          <w:color w:val="000000"/>
          <w:sz w:val="24"/>
          <w:szCs w:val="24"/>
        </w:rPr>
        <w:t xml:space="preserve">有针对性。</w:t>
      </w:r>
      <w:r>
        <w:rPr>
          <w:color w:val="000000"/>
          <w:sz w:val="24"/>
          <w:szCs w:val="24"/>
        </w:rPr>
      </w:r>
      <w:r/>
    </w:p>
    <w:p>
      <w:pPr>
        <w:pStyle w:val="738"/>
        <w:numPr>
          <w:ilvl w:val="0"/>
          <w:numId w:val="5"/>
        </w:numPr>
        <w:ind w:firstLine="482"/>
        <w:spacing w:line="500" w:lineRule="exact"/>
        <w:rPr>
          <w:b/>
          <w:color w:val="000000"/>
          <w:sz w:val="24"/>
          <w:szCs w:val="24"/>
        </w:rPr>
        <w:outlineLvl w:val="4"/>
      </w:pPr>
      <w:r>
        <w:rPr>
          <w:b/>
          <w:color w:val="000000"/>
          <w:sz w:val="24"/>
          <w:szCs w:val="24"/>
        </w:rPr>
        <w:t xml:space="preserve">实施要求</w:t>
      </w:r>
      <w:r>
        <w:rPr>
          <w:b/>
          <w:color w:val="000000"/>
          <w:sz w:val="24"/>
          <w:szCs w:val="24"/>
        </w:rPr>
      </w:r>
      <w:r/>
    </w:p>
    <w:p>
      <w:pPr>
        <w:pStyle w:val="738"/>
        <w:ind w:firstLine="482"/>
        <w:spacing w:line="360" w:lineRule="auto"/>
        <w:rPr>
          <w:b/>
          <w:bCs/>
          <w:sz w:val="24"/>
          <w:szCs w:val="22"/>
        </w:rPr>
        <w:outlineLvl w:val="5"/>
      </w:pPr>
      <w:r>
        <w:rPr>
          <w:b/>
          <w:bCs/>
          <w:sz w:val="24"/>
          <w:szCs w:val="22"/>
        </w:rPr>
        <w:t xml:space="preserve">4.1 项目实施</w:t>
      </w:r>
      <w:r>
        <w:rPr>
          <w:b/>
          <w:bCs/>
          <w:sz w:val="24"/>
          <w:szCs w:val="22"/>
        </w:rPr>
      </w:r>
      <w:r/>
    </w:p>
    <w:p>
      <w:pPr>
        <w:pStyle w:val="738"/>
        <w:ind w:firstLine="480"/>
        <w:spacing w:line="500" w:lineRule="exact"/>
        <w:tabs>
          <w:tab w:val="left" w:pos="420" w:leader="none"/>
        </w:tabs>
        <w:rPr>
          <w:color w:val="000000"/>
          <w:sz w:val="24"/>
          <w:szCs w:val="24"/>
        </w:rPr>
      </w:pPr>
      <w:r>
        <w:rPr>
          <w:color w:val="000000"/>
          <w:sz w:val="24"/>
          <w:szCs w:val="24"/>
        </w:rPr>
        <w:t xml:space="preserve">供应商应提供项目实施方案，需包括项目进度计划及保障措施、项目质量保障措施、项目风险管理、项目管理制度、项目测试方案、实施人员组织规划等。方案应科学、合理、切实可行、针对性强，能确保在交付期内完成所有合同标的开发、部署安装、集成及调试工作，并确保项目整体质量控制达到项目设计及各参数要求。</w:t>
      </w:r>
      <w:r>
        <w:rPr>
          <w:rFonts w:hint="eastAsia"/>
          <w:color w:val="000000"/>
          <w:sz w:val="24"/>
          <w:szCs w:val="24"/>
        </w:rPr>
        <w:t xml:space="preserve">供应商需提供明确的案例库训练与调优计划，包括数据准备（历史数据清洗、脱敏、标注）、提示词工程设计、效果评估等阶段的具体工作和交付物。</w:t>
      </w:r>
      <w:r>
        <w:rPr>
          <w:color w:val="000000"/>
          <w:sz w:val="24"/>
          <w:szCs w:val="24"/>
        </w:rPr>
      </w:r>
      <w:r/>
    </w:p>
    <w:p>
      <w:pPr>
        <w:pStyle w:val="738"/>
        <w:ind w:firstLine="482"/>
        <w:spacing w:line="360" w:lineRule="auto"/>
        <w:rPr>
          <w:b/>
          <w:bCs/>
          <w:sz w:val="24"/>
          <w:szCs w:val="22"/>
        </w:rPr>
        <w:outlineLvl w:val="5"/>
      </w:pPr>
      <w:r>
        <w:rPr>
          <w:b/>
          <w:bCs/>
          <w:sz w:val="24"/>
          <w:szCs w:val="22"/>
        </w:rPr>
        <w:t xml:space="preserve">4.2 售后服务</w:t>
      </w:r>
      <w:r>
        <w:rPr>
          <w:b/>
          <w:bCs/>
          <w:sz w:val="24"/>
          <w:szCs w:val="22"/>
        </w:rPr>
      </w:r>
      <w:r/>
    </w:p>
    <w:p>
      <w:pPr>
        <w:pStyle w:val="738"/>
        <w:ind w:firstLine="480"/>
        <w:spacing w:line="500" w:lineRule="exact"/>
        <w:tabs>
          <w:tab w:val="left" w:pos="420" w:leader="none"/>
        </w:tabs>
        <w:rPr>
          <w:color w:val="ee0000"/>
          <w:sz w:val="24"/>
          <w:szCs w:val="24"/>
        </w:rPr>
      </w:pPr>
      <w:r>
        <w:rPr>
          <w:color w:val="000000"/>
          <w:sz w:val="24"/>
          <w:szCs w:val="24"/>
        </w:rPr>
        <w:t xml:space="preserve">供应商须提供系统运行保障和技术支持服务；服务级别不低于5×8小时，并提供7×24小时的技术支持响应。出现一般故障，供应商应在30分钟内赶到现场，2小时内处置完成；出现重大故障，供应商应在30分钟内赶到现场，4小时内处置完成。</w:t>
      </w:r>
      <w:r>
        <w:rPr>
          <w:color w:val="ee0000"/>
          <w:sz w:val="24"/>
          <w:szCs w:val="24"/>
        </w:rPr>
      </w:r>
      <w:r/>
    </w:p>
    <w:p>
      <w:pPr>
        <w:pStyle w:val="738"/>
        <w:ind w:firstLine="482"/>
        <w:spacing w:line="360" w:lineRule="auto"/>
        <w:rPr>
          <w:b/>
          <w:bCs/>
          <w:sz w:val="24"/>
          <w:szCs w:val="22"/>
        </w:rPr>
        <w:outlineLvl w:val="5"/>
      </w:pPr>
      <w:r>
        <w:rPr>
          <w:rFonts w:hint="eastAsia"/>
          <w:b/>
          <w:bCs/>
          <w:sz w:val="24"/>
          <w:szCs w:val="22"/>
        </w:rPr>
        <w:t xml:space="preserve">4.3 </w:t>
      </w:r>
      <w:r>
        <w:rPr>
          <w:b/>
          <w:bCs/>
          <w:sz w:val="24"/>
          <w:szCs w:val="22"/>
        </w:rPr>
        <w:t xml:space="preserve">培训服务</w:t>
      </w:r>
      <w:r>
        <w:rPr>
          <w:b/>
          <w:bCs/>
          <w:sz w:val="24"/>
          <w:szCs w:val="22"/>
        </w:rPr>
      </w:r>
      <w:r/>
    </w:p>
    <w:p>
      <w:pPr>
        <w:pStyle w:val="738"/>
        <w:ind w:firstLine="480"/>
        <w:spacing w:line="500" w:lineRule="exact"/>
        <w:tabs>
          <w:tab w:val="left" w:pos="420" w:leader="none"/>
        </w:tabs>
        <w:rPr>
          <w:sz w:val="24"/>
          <w:szCs w:val="24"/>
        </w:rPr>
      </w:pPr>
      <w:r>
        <w:rPr>
          <w:color w:val="000000"/>
          <w:sz w:val="24"/>
          <w:szCs w:val="24"/>
        </w:rPr>
        <w:t xml:space="preserve">供应商应在采购人认为方便合适的时间和地点，针对本项目相关人员开展培训。供应商应在投标文件中提交培训计划书，明确培训内容，课程安排及培训计划。供应商应按基本原理、常见操作、运行管理三个方面组织实施培训。</w:t>
      </w:r>
      <w:r>
        <w:rPr>
          <w:sz w:val="24"/>
          <w:szCs w:val="24"/>
        </w:rPr>
        <w:t xml:space="preserve">本项目的培训对象为系统用户，包括</w:t>
      </w:r>
      <w:r>
        <w:rPr>
          <w:rFonts w:hint="eastAsia"/>
          <w:sz w:val="24"/>
          <w:szCs w:val="24"/>
        </w:rPr>
        <w:t xml:space="preserve">省级财政部门用户及省本级预算单位用户</w:t>
      </w:r>
      <w:r>
        <w:rPr>
          <w:sz w:val="24"/>
          <w:szCs w:val="24"/>
        </w:rPr>
        <w:t xml:space="preserve">。供应商需提供专门的 “AI辅助审核”操作培训，以及针对系统管理员的 “知识库管理与案例训练”专题培训。供应商应制定详细的培训方案，包括培训目标、对象、方式、时间安排、教材编写等。</w:t>
      </w:r>
      <w:r>
        <w:rPr>
          <w:sz w:val="24"/>
          <w:szCs w:val="24"/>
        </w:rPr>
      </w:r>
      <w:r/>
    </w:p>
    <w:p>
      <w:pPr>
        <w:pStyle w:val="851"/>
        <w:ind w:firstLine="482"/>
        <w:spacing w:before="0" w:after="0" w:line="500" w:lineRule="exact"/>
        <w:rPr>
          <w:rFonts w:hint="eastAsia" w:ascii="黑体" w:hAnsi="黑体" w:cs="黑体"/>
          <w:bCs w:val="0"/>
          <w:sz w:val="32"/>
          <w:szCs w:val="32"/>
        </w:rPr>
        <w:outlineLvl w:val="2"/>
      </w:pPr>
      <w:r/>
      <w:bookmarkEnd w:id="164"/>
      <w:r>
        <w:rPr>
          <w:rFonts w:hint="eastAsia" w:ascii="黑体" w:hAnsi="黑体" w:cs="黑体"/>
          <w:bCs w:val="0"/>
          <w:sz w:val="32"/>
          <w:szCs w:val="32"/>
        </w:rPr>
      </w:r>
      <w:r/>
    </w:p>
    <w:p>
      <w:pPr>
        <w:pStyle w:val="851"/>
        <w:ind w:firstLine="482"/>
        <w:spacing w:before="0" w:after="0" w:line="500" w:lineRule="exact"/>
        <w:rPr>
          <w:rFonts w:hint="eastAsia" w:ascii="黑体" w:hAnsi="黑体" w:cs="黑体"/>
          <w:bCs w:val="0"/>
          <w:sz w:val="32"/>
          <w:szCs w:val="32"/>
        </w:rPr>
        <w:outlineLvl w:val="2"/>
      </w:pPr>
      <w:r>
        <w:rPr>
          <w:rFonts w:hint="eastAsia" w:ascii="黑体" w:hAnsi="黑体" w:cs="黑体"/>
          <w:bCs w:val="0"/>
          <w:sz w:val="32"/>
          <w:szCs w:val="32"/>
        </w:rPr>
        <w:t xml:space="preserve">四、商务要求</w:t>
      </w:r>
      <w:r>
        <w:rPr>
          <w:rFonts w:hint="eastAsia" w:ascii="黑体" w:hAnsi="黑体" w:cs="黑体"/>
          <w:bCs w:val="0"/>
          <w:sz w:val="32"/>
          <w:szCs w:val="32"/>
        </w:rPr>
      </w:r>
      <w:r/>
    </w:p>
    <w:p>
      <w:pPr>
        <w:pStyle w:val="738"/>
        <w:ind w:firstLine="480"/>
        <w:spacing w:line="360" w:lineRule="auto"/>
        <w:rPr>
          <w:sz w:val="24"/>
          <w:szCs w:val="22"/>
        </w:rPr>
      </w:pPr>
      <w:r>
        <w:rPr>
          <w:sz w:val="24"/>
          <w:szCs w:val="24"/>
        </w:rPr>
        <w:t xml:space="preserve">1. 交付期：</w:t>
      </w:r>
      <w:r>
        <w:rPr>
          <w:sz w:val="24"/>
          <w:szCs w:val="22"/>
        </w:rPr>
        <w:t xml:space="preserve">项目建设期为</w:t>
      </w:r>
      <w:r>
        <w:rPr>
          <w:rFonts w:hint="eastAsia"/>
          <w:sz w:val="24"/>
          <w:szCs w:val="22"/>
        </w:rPr>
        <w:t xml:space="preserve">4</w:t>
      </w:r>
      <w:r>
        <w:rPr>
          <w:sz w:val="24"/>
          <w:szCs w:val="22"/>
        </w:rPr>
        <w:t xml:space="preserve">个月。项目建设期内完成全部建设内容的需求分析、功能设计、代码开发、测试、部署实施、上线及培训等工作。产品功能上线</w:t>
      </w:r>
      <w:r>
        <w:rPr>
          <w:rFonts w:hint="eastAsia"/>
          <w:sz w:val="24"/>
          <w:szCs w:val="22"/>
        </w:rPr>
        <w:t xml:space="preserve">后</w:t>
      </w:r>
      <w:r>
        <w:rPr>
          <w:sz w:val="24"/>
          <w:szCs w:val="22"/>
        </w:rPr>
        <w:t xml:space="preserve">，针对采购人确认的试点资金范围，提供一年案例库训练运营服务。</w:t>
      </w:r>
      <w:r>
        <w:rPr>
          <w:sz w:val="24"/>
          <w:szCs w:val="22"/>
        </w:rPr>
      </w:r>
      <w:r/>
    </w:p>
    <w:p>
      <w:pPr>
        <w:pStyle w:val="852"/>
        <w:ind w:firstLine="480"/>
        <w:spacing w:line="500" w:lineRule="exact"/>
        <w:rPr>
          <w:sz w:val="24"/>
          <w:szCs w:val="24"/>
        </w:rPr>
      </w:pPr>
      <w:r>
        <w:rPr>
          <w:sz w:val="24"/>
          <w:szCs w:val="24"/>
        </w:rPr>
        <w:t xml:space="preserve">2. 交付方式：产品和服务现场交付，并提交相关交付物。</w:t>
      </w:r>
      <w:r>
        <w:rPr>
          <w:sz w:val="24"/>
          <w:szCs w:val="24"/>
        </w:rPr>
      </w:r>
      <w:r/>
    </w:p>
    <w:p>
      <w:pPr>
        <w:pStyle w:val="852"/>
        <w:ind w:firstLine="480"/>
        <w:spacing w:line="500" w:lineRule="exact"/>
        <w:rPr>
          <w:sz w:val="24"/>
          <w:szCs w:val="24"/>
        </w:rPr>
      </w:pPr>
      <w:r>
        <w:rPr>
          <w:sz w:val="24"/>
          <w:szCs w:val="24"/>
        </w:rPr>
        <w:t xml:space="preserve">3. 交付地点：采购人指定地点。</w:t>
      </w:r>
      <w:r>
        <w:rPr>
          <w:sz w:val="24"/>
          <w:szCs w:val="24"/>
        </w:rPr>
      </w:r>
      <w:r/>
    </w:p>
    <w:p>
      <w:pPr>
        <w:pStyle w:val="852"/>
        <w:ind w:firstLine="480"/>
        <w:spacing w:line="500" w:lineRule="exact"/>
        <w:rPr>
          <w:rFonts w:hint="eastAsia"/>
          <w:sz w:val="24"/>
          <w:szCs w:val="24"/>
        </w:rPr>
      </w:pPr>
      <w:r>
        <w:rPr>
          <w:sz w:val="24"/>
          <w:szCs w:val="24"/>
        </w:rPr>
        <w:t xml:space="preserve">4. 款项支付： </w:t>
      </w:r>
      <w:r>
        <w:rPr>
          <w:rFonts w:hint="eastAsia"/>
          <w:sz w:val="24"/>
          <w:szCs w:val="24"/>
        </w:rPr>
        <w:t xml:space="preserve">合同签订且采购人收到供应商提供的发票后十个工作日内支付合同总额的40%；系统上线运行并通过项目验收，且采购人收到供应商提供的发票后十个工作日内支付合同总额的60%。 </w:t>
      </w:r>
      <w:r>
        <w:rPr>
          <w:rFonts w:hint="eastAsia"/>
          <w:sz w:val="24"/>
          <w:szCs w:val="24"/>
        </w:rPr>
      </w:r>
      <w:r/>
    </w:p>
    <w:p>
      <w:pPr>
        <w:pStyle w:val="852"/>
        <w:ind w:firstLine="480"/>
        <w:spacing w:line="500" w:lineRule="exact"/>
        <w:rPr>
          <w:sz w:val="24"/>
          <w:szCs w:val="24"/>
        </w:rPr>
      </w:pPr>
      <w:r>
        <w:rPr>
          <w:rFonts w:hint="eastAsia"/>
          <w:sz w:val="24"/>
          <w:szCs w:val="24"/>
        </w:rPr>
        <w:t xml:space="preserve">5</w:t>
      </w:r>
      <w:r>
        <w:rPr>
          <w:sz w:val="24"/>
          <w:szCs w:val="24"/>
        </w:rPr>
        <w:t xml:space="preserve">. </w:t>
      </w:r>
      <w:r>
        <w:rPr>
          <w:rFonts w:hint="eastAsia"/>
          <w:sz w:val="24"/>
          <w:szCs w:val="24"/>
        </w:rPr>
        <w:t xml:space="preserve">本项目合同不得转让，不得分包。</w:t>
      </w:r>
      <w:r>
        <w:rPr>
          <w:sz w:val="24"/>
          <w:szCs w:val="24"/>
        </w:rPr>
      </w:r>
      <w:r/>
    </w:p>
    <w:p>
      <w:pPr>
        <w:pStyle w:val="738"/>
        <w:spacing w:line="400" w:lineRule="exact"/>
        <w:rPr>
          <w:rFonts w:ascii="宋体" w:hAnsi="宋体"/>
          <w:color w:val="000000"/>
          <w:sz w:val="28"/>
          <w:szCs w:val="28"/>
        </w:rPr>
      </w:pPr>
      <w:r>
        <w:rPr>
          <w:rFonts w:ascii="宋体" w:hAnsi="宋体"/>
          <w:color w:val="000000"/>
          <w:sz w:val="28"/>
          <w:szCs w:val="28"/>
        </w:rPr>
      </w:r>
      <w:r/>
    </w:p>
    <w:p>
      <w:pPr>
        <w:pStyle w:val="77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五、其他要求</w:t>
      </w:r>
      <w:r>
        <w:rPr>
          <w:rFonts w:hint="eastAsia" w:ascii="方正黑体_GBK" w:hAnsi="方正黑体_GBK" w:eastAsia="方正黑体_GBK" w:cs="方正黑体_GBK"/>
          <w:bCs/>
          <w:sz w:val="28"/>
          <w:szCs w:val="28"/>
        </w:rPr>
      </w:r>
      <w:r/>
    </w:p>
    <w:p>
      <w:pPr>
        <w:pStyle w:val="738"/>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1.项目属性:服务类项目。</w:t>
      </w:r>
      <w:r>
        <w:rPr>
          <w:rFonts w:hint="eastAsia" w:ascii="方正仿宋_GBK" w:hAnsi="方正仿宋_GBK" w:eastAsia="方正仿宋_GBK" w:cs="方正仿宋_GBK"/>
          <w:bCs/>
          <w:color w:val="000000"/>
          <w:sz w:val="28"/>
          <w:szCs w:val="28"/>
        </w:rPr>
      </w:r>
      <w:r/>
    </w:p>
    <w:p>
      <w:pPr>
        <w:pStyle w:val="738"/>
        <w:rPr>
          <w:rFonts w:hint="eastAsia" w:ascii="黑体" w:eastAsia="黑体"/>
          <w:bCs/>
          <w:sz w:val="44"/>
        </w:rPr>
      </w:pPr>
      <w:r/>
      <w:bookmarkStart w:id="165" w:name="_Toc120614281"/>
      <w:r>
        <w:rPr>
          <w:rFonts w:hint="eastAsia" w:ascii="黑体" w:eastAsia="黑体"/>
          <w:bCs/>
          <w:sz w:val="44"/>
        </w:rPr>
      </w:r>
      <w:r/>
    </w:p>
    <w:p>
      <w:pPr>
        <w:pStyle w:val="738"/>
        <w:rPr>
          <w:rFonts w:hint="eastAsia" w:ascii="黑体" w:eastAsia="黑体"/>
          <w:bCs/>
          <w:sz w:val="44"/>
        </w:rPr>
      </w:pPr>
      <w:r>
        <w:rPr>
          <w:rFonts w:hint="eastAsia" w:ascii="黑体" w:eastAsia="黑体"/>
          <w:bCs/>
          <w:sz w:val="44"/>
        </w:rPr>
      </w:r>
      <w:r/>
    </w:p>
    <w:p>
      <w:pPr>
        <w:pStyle w:val="738"/>
        <w:rPr>
          <w:rFonts w:hint="eastAsia" w:ascii="黑体" w:eastAsia="黑体"/>
          <w:bCs/>
          <w:sz w:val="44"/>
        </w:rPr>
      </w:pPr>
      <w:r>
        <w:rPr>
          <w:rFonts w:hint="eastAsia" w:ascii="黑体" w:eastAsia="黑体"/>
          <w:bCs/>
          <w:sz w:val="44"/>
        </w:rPr>
      </w:r>
      <w:r/>
    </w:p>
    <w:p>
      <w:pPr>
        <w:pStyle w:val="738"/>
        <w:rPr>
          <w:rFonts w:hint="eastAsia" w:ascii="黑体" w:eastAsia="黑体"/>
          <w:bCs/>
          <w:sz w:val="44"/>
        </w:rPr>
      </w:pPr>
      <w:r>
        <w:rPr>
          <w:rFonts w:hint="eastAsia" w:ascii="黑体" w:eastAsia="黑体"/>
          <w:bCs/>
          <w:sz w:val="44"/>
        </w:rPr>
      </w:r>
      <w:r/>
    </w:p>
    <w:p>
      <w:pPr>
        <w:pStyle w:val="738"/>
        <w:rPr>
          <w:rFonts w:hint="eastAsia" w:ascii="黑体" w:eastAsia="黑体"/>
          <w:bCs/>
          <w:sz w:val="44"/>
        </w:rPr>
      </w:pPr>
      <w:r>
        <w:rPr>
          <w:rFonts w:hint="eastAsia" w:ascii="黑体" w:eastAsia="黑体"/>
          <w:bCs/>
          <w:sz w:val="44"/>
        </w:rPr>
      </w:r>
      <w:r/>
    </w:p>
    <w:p>
      <w:pPr>
        <w:pStyle w:val="738"/>
        <w:rPr>
          <w:rFonts w:hint="eastAsia" w:ascii="黑体" w:eastAsia="黑体"/>
          <w:bCs/>
          <w:sz w:val="44"/>
        </w:rPr>
      </w:pPr>
      <w:r>
        <w:rPr>
          <w:rFonts w:hint="eastAsia" w:ascii="黑体" w:eastAsia="黑体"/>
          <w:bCs/>
          <w:sz w:val="44"/>
        </w:rPr>
      </w:r>
      <w:r/>
    </w:p>
    <w:p>
      <w:pPr>
        <w:pStyle w:val="742"/>
        <w:rPr>
          <w:rFonts w:hint="eastAsia" w:ascii="黑体"/>
          <w:bCs w:val="0"/>
          <w:sz w:val="44"/>
        </w:rPr>
      </w:pPr>
      <w:r>
        <w:rPr>
          <w:rFonts w:hint="eastAsia" w:ascii="黑体"/>
          <w:bCs w:val="0"/>
          <w:sz w:val="44"/>
        </w:rPr>
      </w:r>
      <w:r/>
    </w:p>
    <w:p>
      <w:pPr>
        <w:pStyle w:val="738"/>
        <w:rPr>
          <w:rFonts w:hint="eastAsia" w:ascii="黑体" w:eastAsia="黑体"/>
          <w:bCs/>
          <w:sz w:val="44"/>
        </w:rPr>
      </w:pPr>
      <w:r>
        <w:rPr>
          <w:rFonts w:hint="eastAsia" w:ascii="黑体" w:eastAsia="黑体"/>
          <w:bCs/>
          <w:sz w:val="44"/>
        </w:rPr>
      </w:r>
      <w:r/>
    </w:p>
    <w:p>
      <w:pPr>
        <w:pStyle w:val="738"/>
        <w:rPr>
          <w:rFonts w:hint="eastAsia" w:ascii="黑体" w:eastAsia="黑体"/>
          <w:bCs/>
          <w:sz w:val="44"/>
        </w:rPr>
      </w:pPr>
      <w:r>
        <w:rPr>
          <w:rFonts w:hint="eastAsia" w:ascii="黑体" w:eastAsia="黑体"/>
          <w:bCs/>
          <w:sz w:val="44"/>
        </w:rPr>
      </w:r>
      <w:r/>
    </w:p>
    <w:p>
      <w:pPr>
        <w:pStyle w:val="740"/>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rPr>
          <w:rFonts w:hint="eastAsia" w:ascii="黑体" w:hAnsi="黑体" w:eastAsia="黑体"/>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3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82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825"/>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825"/>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825"/>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825"/>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825"/>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3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73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3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73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73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825"/>
        <w:ind w:firstLine="562"/>
        <w:spacing w:line="400" w:lineRule="exact"/>
        <w:rPr>
          <w:rFonts w:hint="eastAsia" w:ascii="宋体" w:hAnsi="宋体"/>
          <w:b/>
          <w:sz w:val="28"/>
          <w:szCs w:val="28"/>
        </w:rPr>
      </w:pPr>
      <w:r>
        <w:rPr>
          <w:rFonts w:hint="eastAsia" w:ascii="宋体" w:hAnsi="宋体"/>
          <w:b/>
          <w:sz w:val="28"/>
          <w:szCs w:val="28"/>
        </w:rPr>
      </w:r>
      <w:r/>
    </w:p>
    <w:p>
      <w:pPr>
        <w:pStyle w:val="825"/>
        <w:ind w:firstLine="562"/>
        <w:spacing w:line="400" w:lineRule="exact"/>
        <w:rPr>
          <w:rFonts w:hint="eastAsia" w:ascii="宋体" w:hAnsi="宋体"/>
          <w:b/>
          <w:sz w:val="28"/>
          <w:szCs w:val="28"/>
        </w:rPr>
      </w:pPr>
      <w:r>
        <w:rPr>
          <w:rFonts w:hint="eastAsia" w:ascii="宋体" w:hAnsi="宋体"/>
          <w:b/>
          <w:sz w:val="28"/>
          <w:szCs w:val="28"/>
        </w:rPr>
      </w:r>
      <w:r/>
    </w:p>
    <w:p>
      <w:pPr>
        <w:pStyle w:val="825"/>
        <w:ind w:firstLine="562"/>
        <w:spacing w:line="400" w:lineRule="exact"/>
        <w:rPr>
          <w:rFonts w:hint="eastAsia" w:ascii="宋体" w:hAnsi="宋体"/>
          <w:b/>
          <w:bCs/>
          <w:sz w:val="28"/>
          <w:szCs w:val="28"/>
        </w:rPr>
      </w:pPr>
      <w:r>
        <w:rPr>
          <w:rFonts w:hint="eastAsia" w:ascii="宋体" w:hAnsi="宋体"/>
          <w:b/>
          <w:sz w:val="28"/>
          <w:szCs w:val="28"/>
        </w:rPr>
      </w:r>
      <w:r>
        <w:rPr>
          <w:rFonts w:hint="eastAsia" w:ascii="宋体" w:hAnsi="宋体"/>
          <w:b/>
          <w:sz w:val="28"/>
          <w:szCs w:val="28"/>
        </w:rPr>
      </w:r>
    </w:p>
    <w:p>
      <w:pPr>
        <w:pStyle w:val="825"/>
        <w:ind w:firstLine="562"/>
        <w:spacing w:line="400" w:lineRule="exact"/>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pStyle w:val="825"/>
        <w:ind w:firstLine="562"/>
        <w:spacing w:line="400" w:lineRule="exact"/>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pStyle w:val="825"/>
        <w:ind w:firstLine="562"/>
        <w:spacing w:line="400" w:lineRule="exact"/>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pStyle w:val="825"/>
        <w:ind w:firstLine="562"/>
        <w:spacing w:line="400" w:lineRule="exact"/>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pStyle w:val="825"/>
        <w:ind w:firstLine="562"/>
        <w:spacing w:line="400" w:lineRule="exact"/>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pStyle w:val="825"/>
        <w:ind w:firstLine="562"/>
        <w:spacing w:line="400" w:lineRule="exact"/>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pStyle w:val="825"/>
        <w:ind w:firstLine="562"/>
        <w:spacing w:line="400" w:lineRule="exact"/>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p>
    <w:p>
      <w:pPr>
        <w:pStyle w:val="825"/>
        <w:ind w:firstLine="562"/>
        <w:spacing w:line="400" w:lineRule="exact"/>
        <w:rPr>
          <w:rFonts w:hint="eastAsia" w:ascii="宋体" w:hAnsi="宋体"/>
          <w:b/>
          <w:bCs/>
          <w:sz w:val="28"/>
          <w:szCs w:val="28"/>
        </w:rPr>
      </w:pPr>
      <w:r>
        <w:rPr>
          <w:rFonts w:hint="eastAsia" w:ascii="宋体" w:hAnsi="宋体"/>
          <w:b/>
          <w:sz w:val="28"/>
          <w:szCs w:val="28"/>
        </w:rPr>
      </w:r>
      <w:r/>
    </w:p>
    <w:p>
      <w:pPr>
        <w:pStyle w:val="825"/>
        <w:ind w:firstLine="562"/>
        <w:spacing w:line="400" w:lineRule="exact"/>
        <w:rPr>
          <w:rFonts w:hint="eastAsia" w:ascii="宋体" w:hAnsi="宋体"/>
          <w:b/>
          <w:sz w:val="28"/>
          <w:szCs w:val="28"/>
        </w:rPr>
      </w:pPr>
      <w:r>
        <w:rPr>
          <w:rFonts w:hint="eastAsia" w:ascii="宋体" w:hAnsi="宋体"/>
          <w:b/>
          <w:sz w:val="28"/>
          <w:szCs w:val="28"/>
        </w:rPr>
      </w:r>
      <w:r/>
    </w:p>
    <w:p>
      <w:pPr>
        <w:pStyle w:val="825"/>
        <w:ind w:firstLine="562"/>
        <w:spacing w:line="400" w:lineRule="exact"/>
        <w:rPr>
          <w:rFonts w:hint="eastAsia" w:ascii="宋体" w:hAnsi="宋体"/>
          <w:b/>
          <w:sz w:val="28"/>
          <w:szCs w:val="28"/>
        </w:rPr>
      </w:pPr>
      <w:r>
        <w:rPr>
          <w:rFonts w:hint="eastAsia" w:ascii="宋体" w:hAnsi="宋体"/>
          <w:b/>
          <w:sz w:val="28"/>
          <w:szCs w:val="28"/>
        </w:rPr>
      </w:r>
      <w:r/>
    </w:p>
    <w:p>
      <w:pPr>
        <w:pStyle w:val="825"/>
        <w:ind w:firstLine="562"/>
        <w:spacing w:line="400" w:lineRule="exact"/>
        <w:rPr>
          <w:rFonts w:hint="eastAsia" w:ascii="宋体" w:hAnsi="宋体"/>
          <w:b/>
          <w:sz w:val="28"/>
          <w:szCs w:val="28"/>
        </w:rPr>
      </w:pPr>
      <w:r>
        <w:rPr>
          <w:rFonts w:hint="eastAsia" w:ascii="宋体" w:hAnsi="宋体"/>
          <w:b/>
          <w:sz w:val="28"/>
          <w:szCs w:val="28"/>
        </w:rPr>
      </w:r>
      <w:r/>
    </w:p>
    <w:p>
      <w:pPr>
        <w:pStyle w:val="738"/>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1719"/>
        <w:gridCol w:w="6109"/>
        <w:gridCol w:w="467"/>
      </w:tblGrid>
      <w:tr>
        <w:trPr>
          <w:cantSplit/>
        </w:trPr>
        <w:tc>
          <w:tcPr>
            <w:gridSpan w:val="2"/>
            <w:shd w:val="clear" w:color="auto" w:fill="bebebe"/>
            <w:tcW w:w="2593" w:type="dxa"/>
            <w:vAlign w:val="center"/>
            <w:textDirection w:val="lrTb"/>
            <w:noWrap w:val="false"/>
          </w:tcPr>
          <w:p>
            <w:pPr>
              <w:pStyle w:val="738"/>
              <w:jc w:val="center"/>
            </w:pPr>
            <w:r>
              <w:t xml:space="preserve">  </w:t>
            </w:r>
            <w:r>
              <w:rPr>
                <w:rFonts w:hint="eastAsia"/>
                <w:b/>
                <w:bCs/>
              </w:rPr>
              <w:t xml:space="preserve">评分项</w:t>
            </w:r>
            <w:r/>
          </w:p>
        </w:tc>
        <w:tc>
          <w:tcPr>
            <w:shd w:val="clear" w:color="auto" w:fill="bebebe"/>
            <w:tcW w:w="6109" w:type="dxa"/>
            <w:vAlign w:val="center"/>
            <w:textDirection w:val="lrTb"/>
            <w:noWrap w:val="false"/>
          </w:tcPr>
          <w:p>
            <w:pPr>
              <w:pStyle w:val="738"/>
              <w:jc w:val="center"/>
              <w:rPr>
                <w:b/>
                <w:bCs/>
                <w:color w:val="000000"/>
              </w:rPr>
            </w:pPr>
            <w:r>
              <w:rPr>
                <w:rFonts w:hint="eastAsia"/>
                <w:b/>
                <w:bCs/>
              </w:rPr>
              <w:t xml:space="preserve">评分内容</w:t>
            </w:r>
            <w:r>
              <w:rPr>
                <w:b/>
                <w:bCs/>
                <w:color w:val="000000"/>
              </w:rPr>
            </w:r>
            <w:r/>
          </w:p>
        </w:tc>
        <w:tc>
          <w:tcPr>
            <w:shd w:val="clear" w:color="auto" w:fill="bebebe"/>
            <w:tcW w:w="467" w:type="dxa"/>
            <w:vAlign w:val="center"/>
            <w:textDirection w:val="lrTb"/>
            <w:noWrap w:val="false"/>
          </w:tcPr>
          <w:p>
            <w:pPr>
              <w:pStyle w:val="738"/>
              <w:jc w:val="center"/>
              <w:rPr>
                <w:b/>
                <w:bCs/>
                <w:color w:val="000000"/>
              </w:rPr>
            </w:pPr>
            <w:r>
              <w:rPr>
                <w:rFonts w:hint="eastAsia"/>
                <w:b/>
                <w:bCs/>
              </w:rPr>
              <w:t xml:space="preserve">分值</w:t>
            </w:r>
            <w:r>
              <w:rPr>
                <w:b/>
                <w:bCs/>
                <w:color w:val="000000"/>
              </w:rPr>
            </w:r>
            <w:r/>
          </w:p>
        </w:tc>
      </w:tr>
      <w:tr>
        <w:trPr>
          <w:cantSplit/>
        </w:trPr>
        <w:tc>
          <w:tcPr>
            <w:gridSpan w:val="2"/>
            <w:shd w:val="clear" w:color="auto" w:fill="d9d9d9"/>
            <w:tcW w:w="2593" w:type="dxa"/>
            <w:vAlign w:val="center"/>
            <w:textDirection w:val="lrTb"/>
            <w:noWrap w:val="false"/>
          </w:tcPr>
          <w:p>
            <w:pPr>
              <w:pStyle w:val="738"/>
              <w:jc w:val="left"/>
              <w:rPr>
                <w:b/>
                <w:bCs/>
              </w:rPr>
            </w:pPr>
            <w:r>
              <w:rPr>
                <w:rFonts w:hint="eastAsia"/>
                <w:b/>
                <w:bCs/>
              </w:rPr>
              <w:t xml:space="preserve">报价部分</w:t>
            </w:r>
            <w:r>
              <w:rPr>
                <w:b/>
                <w:bCs/>
              </w:rPr>
            </w:r>
            <w:r/>
          </w:p>
        </w:tc>
        <w:tc>
          <w:tcPr>
            <w:shd w:val="clear" w:color="auto" w:fill="d9d9d9"/>
            <w:tcW w:w="6109" w:type="dxa"/>
            <w:vAlign w:val="center"/>
            <w:textDirection w:val="lrTb"/>
            <w:noWrap w:val="false"/>
          </w:tcPr>
          <w:p>
            <w:pPr>
              <w:pStyle w:val="738"/>
              <w:jc w:val="left"/>
              <w:rPr>
                <w:b/>
                <w:bCs/>
              </w:rPr>
            </w:pPr>
            <w:r>
              <w:rPr>
                <w:b/>
                <w:bCs/>
              </w:rPr>
            </w:r>
            <w:r/>
          </w:p>
        </w:tc>
        <w:tc>
          <w:tcPr>
            <w:shd w:val="clear" w:color="auto" w:fill="d9d9d9"/>
            <w:tcW w:w="467" w:type="dxa"/>
            <w:vAlign w:val="center"/>
            <w:textDirection w:val="lrTb"/>
            <w:noWrap w:val="false"/>
          </w:tcPr>
          <w:p>
            <w:pPr>
              <w:pStyle w:val="738"/>
              <w:jc w:val="center"/>
              <w:rPr>
                <w:b/>
                <w:bCs/>
                <w:color w:val="000000"/>
              </w:rPr>
            </w:pPr>
            <w:r>
              <w:rPr>
                <w:b/>
                <w:bCs/>
              </w:rPr>
              <w:t xml:space="preserve">10</w:t>
            </w:r>
            <w:r>
              <w:rPr>
                <w:b/>
                <w:bCs/>
                <w:color w:val="000000"/>
              </w:rPr>
            </w:r>
            <w:r/>
          </w:p>
        </w:tc>
      </w:tr>
      <w:tr>
        <w:trPr>
          <w:cantSplit/>
        </w:trPr>
        <w:tc>
          <w:tcPr>
            <w:gridSpan w:val="2"/>
            <w:tcW w:w="2593" w:type="dxa"/>
            <w:vAlign w:val="center"/>
            <w:textDirection w:val="lrTb"/>
            <w:noWrap w:val="false"/>
          </w:tcPr>
          <w:p>
            <w:pPr>
              <w:pStyle w:val="738"/>
              <w:jc w:val="left"/>
            </w:pPr>
            <w:r>
              <w:rPr>
                <w:rFonts w:hint="eastAsia"/>
              </w:rPr>
              <w:t xml:space="preserve">一、价格</w:t>
            </w:r>
            <w:r/>
          </w:p>
        </w:tc>
        <w:tc>
          <w:tcPr>
            <w:tcW w:w="6109" w:type="dxa"/>
            <w:vAlign w:val="center"/>
            <w:textDirection w:val="lrTb"/>
            <w:noWrap w:val="false"/>
          </w:tcPr>
          <w:p>
            <w:pPr>
              <w:pStyle w:val="738"/>
              <w:jc w:val="left"/>
              <w:rPr>
                <w:color w:val="000000"/>
              </w:rPr>
            </w:pPr>
            <w:r>
              <w:rPr>
                <w:rFonts w:hint="eastAsia"/>
              </w:rPr>
              <w:t xml:space="preserve">采用低价优先法计算，即满足招标文件要求且投标价格最低的投标报价为评标基准价，其价格分为满分。其他满足招标文件要求的供应商的价格分统一按照下列公式计算：</w:t>
            </w:r>
            <w:r>
              <w:rPr>
                <w:color w:val="000000"/>
              </w:rPr>
            </w:r>
            <w:r/>
          </w:p>
          <w:p>
            <w:pPr>
              <w:pStyle w:val="738"/>
              <w:jc w:val="left"/>
            </w:pPr>
            <w:r>
              <w:rPr>
                <w:rFonts w:hint="eastAsia"/>
              </w:rPr>
              <w:t xml:space="preserve">投标报价得分</w:t>
            </w:r>
            <w:r>
              <w:t xml:space="preserve">=(</w:t>
            </w:r>
            <w:r>
              <w:rPr>
                <w:rFonts w:hint="eastAsia"/>
              </w:rPr>
              <w:t xml:space="preserve">评标基准价／投标报价</w:t>
            </w:r>
            <w:r>
              <w:t xml:space="preserve">)</w:t>
            </w:r>
            <w:r>
              <w:rPr>
                <w:rFonts w:hint="eastAsia"/>
              </w:rPr>
              <w:t xml:space="preserve">×</w:t>
            </w:r>
            <w:r>
              <w:t xml:space="preserve">10</w:t>
            </w:r>
            <w:r>
              <w:rPr>
                <w:rFonts w:hint="eastAsia"/>
              </w:rPr>
              <w:t xml:space="preserve">。</w:t>
            </w:r>
            <w:r/>
          </w:p>
          <w:p>
            <w:pPr>
              <w:pStyle w:val="738"/>
              <w:jc w:val="left"/>
              <w:rPr>
                <w:color w:val="000000"/>
              </w:rPr>
            </w:pPr>
            <w:r>
              <w:rPr>
                <w:rFonts w:hint="eastAsia"/>
              </w:rPr>
              <w:t xml:space="preserve">注：报价得分保留两位小数。</w:t>
            </w:r>
            <w:r>
              <w:rPr>
                <w:color w:val="000000"/>
              </w:rPr>
            </w:r>
            <w:r/>
          </w:p>
        </w:tc>
        <w:tc>
          <w:tcPr>
            <w:tcW w:w="467" w:type="dxa"/>
            <w:vAlign w:val="center"/>
            <w:textDirection w:val="lrTb"/>
            <w:noWrap w:val="false"/>
          </w:tcPr>
          <w:p>
            <w:pPr>
              <w:pStyle w:val="738"/>
              <w:jc w:val="center"/>
              <w:rPr>
                <w:color w:val="000000"/>
              </w:rPr>
            </w:pPr>
            <w:r>
              <w:t xml:space="preserve">10</w:t>
            </w:r>
            <w:r>
              <w:rPr>
                <w:color w:val="000000"/>
              </w:rPr>
            </w:r>
            <w:r/>
          </w:p>
        </w:tc>
      </w:tr>
      <w:tr>
        <w:trPr>
          <w:cantSplit/>
        </w:trPr>
        <w:tc>
          <w:tcPr>
            <w:gridSpan w:val="2"/>
            <w:shd w:val="clear" w:color="auto" w:fill="d9d9d9"/>
            <w:tcW w:w="2593" w:type="dxa"/>
            <w:vAlign w:val="center"/>
            <w:textDirection w:val="lrTb"/>
            <w:noWrap w:val="false"/>
          </w:tcPr>
          <w:p>
            <w:pPr>
              <w:pStyle w:val="738"/>
              <w:jc w:val="left"/>
              <w:rPr>
                <w:b/>
                <w:bCs/>
              </w:rPr>
            </w:pPr>
            <w:r>
              <w:rPr>
                <w:rFonts w:hint="eastAsia"/>
                <w:b/>
                <w:bCs/>
              </w:rPr>
              <w:t xml:space="preserve">商务部分</w:t>
            </w:r>
            <w:r>
              <w:rPr>
                <w:b/>
                <w:bCs/>
              </w:rPr>
            </w:r>
            <w:r/>
          </w:p>
        </w:tc>
        <w:tc>
          <w:tcPr>
            <w:shd w:val="clear" w:color="auto" w:fill="d9d9d9"/>
            <w:tcW w:w="6109" w:type="dxa"/>
            <w:vAlign w:val="center"/>
            <w:textDirection w:val="lrTb"/>
            <w:noWrap w:val="false"/>
          </w:tcPr>
          <w:p>
            <w:pPr>
              <w:pStyle w:val="738"/>
              <w:jc w:val="left"/>
              <w:rPr>
                <w:b/>
                <w:bCs/>
              </w:rPr>
            </w:pPr>
            <w:r>
              <w:rPr>
                <w:b/>
                <w:bCs/>
              </w:rPr>
            </w:r>
            <w:r/>
          </w:p>
        </w:tc>
        <w:tc>
          <w:tcPr>
            <w:shd w:val="clear" w:color="auto" w:fill="d9d9d9"/>
            <w:tcW w:w="467" w:type="dxa"/>
            <w:vAlign w:val="center"/>
            <w:textDirection w:val="lrTb"/>
            <w:noWrap w:val="false"/>
          </w:tcPr>
          <w:p>
            <w:pPr>
              <w:pStyle w:val="738"/>
              <w:jc w:val="center"/>
              <w:rPr>
                <w:b/>
                <w:bCs/>
                <w:color w:val="000000"/>
              </w:rPr>
            </w:pPr>
            <w:r>
              <w:rPr>
                <w:rFonts w:hint="eastAsia"/>
                <w:b/>
                <w:bCs/>
              </w:rPr>
              <w:t xml:space="preserve">13</w:t>
            </w:r>
            <w:r>
              <w:rPr>
                <w:b/>
                <w:bCs/>
                <w:color w:val="000000"/>
              </w:rPr>
            </w:r>
            <w:r/>
          </w:p>
        </w:tc>
      </w:tr>
      <w:tr>
        <w:trPr>
          <w:cantSplit/>
        </w:trPr>
        <w:tc>
          <w:tcPr>
            <w:gridSpan w:val="2"/>
            <w:tcW w:w="2593" w:type="dxa"/>
            <w:vAlign w:val="center"/>
            <w:textDirection w:val="lrTb"/>
            <w:noWrap w:val="false"/>
          </w:tcPr>
          <w:p>
            <w:pPr>
              <w:pStyle w:val="738"/>
              <w:jc w:val="left"/>
              <w:rPr>
                <w:color w:val="000000"/>
              </w:rPr>
            </w:pPr>
            <w:r>
              <w:rPr>
                <w:rFonts w:hint="eastAsia"/>
                <w:color w:val="000000"/>
              </w:rPr>
              <w:t xml:space="preserve">二、企业相关资质</w:t>
            </w:r>
            <w:r>
              <w:rPr>
                <w:color w:val="000000"/>
              </w:rPr>
            </w:r>
            <w:r/>
          </w:p>
        </w:tc>
        <w:tc>
          <w:tcPr>
            <w:tcW w:w="6109" w:type="dxa"/>
            <w:vAlign w:val="center"/>
            <w:textDirection w:val="lrTb"/>
            <w:noWrap w:val="false"/>
          </w:tcPr>
          <w:p>
            <w:pPr>
              <w:pStyle w:val="738"/>
              <w:jc w:val="left"/>
              <w:rPr>
                <w:color w:val="000000"/>
              </w:rPr>
            </w:pPr>
            <w:r>
              <w:rPr>
                <w:rFonts w:hint="eastAsia"/>
              </w:rPr>
              <w:t xml:space="preserve">供应商具</w:t>
            </w:r>
            <w:bookmarkStart w:id="166" w:name="_Hlk236294438"/>
            <w:r>
              <w:rPr>
                <w:rFonts w:hint="eastAsia"/>
              </w:rPr>
              <w:t xml:space="preserve">有“预算管理一体化系统”或“AI人工智能”相关的计算机软件著作权登记证书</w:t>
            </w:r>
            <w:bookmarkEnd w:id="166"/>
            <w:r>
              <w:rPr>
                <w:rFonts w:hint="eastAsia"/>
              </w:rPr>
              <w:t xml:space="preserve">，供应商需提供国家版权局颁发的计算机软件著作权登记证书扫描件</w:t>
            </w:r>
            <w:r>
              <w:rPr>
                <w:rFonts w:hint="eastAsia"/>
              </w:rPr>
              <w:t xml:space="preserve">或</w:t>
            </w:r>
            <w:r>
              <w:rPr>
                <w:rFonts w:hint="eastAsia"/>
              </w:rPr>
              <w:t xml:space="preserve">复印件</w:t>
            </w:r>
            <w:r>
              <w:rPr>
                <w:rFonts w:hint="eastAsia"/>
              </w:rPr>
              <w:t xml:space="preserve">加盖供应商公章，每个软著得1分，最多得3分，未提供不得分。</w:t>
            </w:r>
            <w:r>
              <w:rPr>
                <w:color w:val="000000"/>
              </w:rPr>
            </w:r>
            <w:r/>
          </w:p>
          <w:p>
            <w:pPr>
              <w:pStyle w:val="738"/>
              <w:jc w:val="left"/>
              <w:rPr>
                <w:color w:val="000000"/>
              </w:rPr>
            </w:pPr>
            <w:r>
              <w:rPr>
                <w:rFonts w:hint="eastAsia"/>
              </w:rPr>
              <w:t xml:space="preserve">（如投标文件中提供的著作权名称表述与招标文件描述的关键字样不一致，而该投标文件中能证明供应商拥有的软件著作权具有相同或相似功能和效果，且评标委员会认可的，视同符合要求。）</w:t>
            </w:r>
            <w:r>
              <w:rPr>
                <w:color w:val="000000"/>
              </w:rPr>
            </w:r>
            <w:r/>
          </w:p>
        </w:tc>
        <w:tc>
          <w:tcPr>
            <w:tcW w:w="467" w:type="dxa"/>
            <w:vAlign w:val="center"/>
            <w:textDirection w:val="lrTb"/>
            <w:noWrap w:val="false"/>
          </w:tcPr>
          <w:p>
            <w:pPr>
              <w:pStyle w:val="738"/>
              <w:jc w:val="center"/>
              <w:rPr>
                <w:color w:val="000000"/>
              </w:rPr>
            </w:pPr>
            <w:r>
              <w:rPr>
                <w:rFonts w:hint="eastAsia"/>
              </w:rPr>
              <w:t xml:space="preserve">3</w:t>
            </w:r>
            <w:r>
              <w:rPr>
                <w:color w:val="000000"/>
              </w:rPr>
            </w:r>
            <w:r/>
          </w:p>
        </w:tc>
      </w:tr>
      <w:tr>
        <w:trPr>
          <w:cantSplit/>
        </w:trPr>
        <w:tc>
          <w:tcPr>
            <w:gridSpan w:val="2"/>
            <w:tcW w:w="2593" w:type="dxa"/>
            <w:vAlign w:val="center"/>
            <w:textDirection w:val="lrTb"/>
            <w:noWrap w:val="false"/>
          </w:tcPr>
          <w:p>
            <w:pPr>
              <w:pStyle w:val="738"/>
              <w:jc w:val="left"/>
            </w:pPr>
            <w:r>
              <w:rPr>
                <w:rFonts w:hint="eastAsia"/>
              </w:rPr>
              <w:t xml:space="preserve">三、类似业绩</w:t>
            </w:r>
            <w:r/>
          </w:p>
        </w:tc>
        <w:tc>
          <w:tcPr>
            <w:tcW w:w="6109" w:type="dxa"/>
            <w:vAlign w:val="center"/>
            <w:textDirection w:val="lrTb"/>
            <w:noWrap w:val="false"/>
          </w:tcPr>
          <w:p>
            <w:pPr>
              <w:pStyle w:val="738"/>
              <w:jc w:val="left"/>
              <w:rPr>
                <w:color w:val="000000"/>
              </w:rPr>
            </w:pPr>
            <w:r>
              <w:rPr>
                <w:rFonts w:hint="eastAsia"/>
              </w:rPr>
              <w:t xml:space="preserve">供应商具有预算执行监督相关信息化系统开发案例，或人工智能应用开发的成功案例。每个案例得</w:t>
            </w:r>
            <w:r>
              <w:t xml:space="preserve">2</w:t>
            </w:r>
            <w:r>
              <w:rPr>
                <w:rFonts w:hint="eastAsia"/>
              </w:rPr>
              <w:t xml:space="preserve">分，最多得</w:t>
            </w:r>
            <w:r>
              <w:t xml:space="preserve">10</w:t>
            </w:r>
            <w:r>
              <w:rPr>
                <w:rFonts w:hint="eastAsia"/>
              </w:rPr>
              <w:t xml:space="preserve">分，未提供不得分。</w:t>
            </w:r>
            <w:r>
              <w:rPr>
                <w:color w:val="000000"/>
              </w:rPr>
            </w:r>
            <w:r/>
          </w:p>
          <w:p>
            <w:pPr>
              <w:pStyle w:val="738"/>
              <w:jc w:val="left"/>
              <w:rPr>
                <w:rFonts w:hint="eastAsia"/>
              </w:rPr>
            </w:pPr>
            <w:r>
              <w:rPr>
                <w:rFonts w:hint="eastAsia"/>
              </w:rPr>
              <w:t xml:space="preserve">注：</w:t>
            </w:r>
            <w:r>
              <w:rPr>
                <w:rFonts w:cs="Calibri"/>
              </w:rPr>
              <w:t xml:space="preserve">①</w:t>
            </w:r>
            <w:r>
              <w:rPr>
                <w:rFonts w:hint="eastAsia" w:cs="Calibri"/>
              </w:rPr>
              <w:t xml:space="preserve">供应商需提供</w:t>
            </w:r>
            <w:r>
              <w:rPr>
                <w:rFonts w:hint="eastAsia"/>
              </w:rPr>
              <w:t xml:space="preserve">合同复印件并加盖供应商公章（合同签订时间为</w:t>
            </w:r>
            <w:r>
              <w:t xml:space="preserve">202</w:t>
            </w:r>
            <w:r>
              <w:rPr>
                <w:rFonts w:hint="eastAsia"/>
              </w:rPr>
              <w:t xml:space="preserve">2年</w:t>
            </w:r>
            <w:r>
              <w:t xml:space="preserve">1</w:t>
            </w:r>
            <w:r>
              <w:rPr>
                <w:rFonts w:hint="eastAsia"/>
              </w:rPr>
              <w:t xml:space="preserve">月</w:t>
            </w:r>
            <w:r>
              <w:t xml:space="preserve">1</w:t>
            </w:r>
            <w:r>
              <w:rPr>
                <w:rFonts w:hint="eastAsia"/>
              </w:rPr>
              <w:t xml:space="preserve">日以后，复印件必须包含甲乙双方名称及公章、服务内容及合同签订日期），未提供或未提供完整不得分；</w:t>
            </w:r>
            <w:r>
              <w:rPr>
                <w:rFonts w:hint="eastAsia"/>
              </w:rPr>
            </w:r>
            <w:r/>
          </w:p>
        </w:tc>
        <w:tc>
          <w:tcPr>
            <w:tcW w:w="467" w:type="dxa"/>
            <w:vAlign w:val="center"/>
            <w:textDirection w:val="lrTb"/>
            <w:noWrap w:val="false"/>
          </w:tcPr>
          <w:p>
            <w:pPr>
              <w:pStyle w:val="738"/>
              <w:jc w:val="left"/>
              <w:rPr>
                <w:color w:val="000000"/>
              </w:rPr>
            </w:pPr>
            <w:r>
              <w:t xml:space="preserve">10</w:t>
            </w:r>
            <w:r>
              <w:rPr>
                <w:color w:val="000000"/>
              </w:rPr>
            </w:r>
            <w:r/>
          </w:p>
        </w:tc>
      </w:tr>
      <w:tr>
        <w:trPr>
          <w:cantSplit/>
        </w:trPr>
        <w:tc>
          <w:tcPr>
            <w:gridSpan w:val="2"/>
            <w:shd w:val="clear" w:color="auto" w:fill="d9d9d9"/>
            <w:tcW w:w="2593" w:type="dxa"/>
            <w:vAlign w:val="center"/>
            <w:textDirection w:val="lrTb"/>
            <w:noWrap w:val="false"/>
          </w:tcPr>
          <w:p>
            <w:pPr>
              <w:pStyle w:val="738"/>
              <w:jc w:val="left"/>
              <w:rPr>
                <w:b/>
                <w:bCs/>
              </w:rPr>
            </w:pPr>
            <w:r>
              <w:rPr>
                <w:rFonts w:hint="eastAsia"/>
                <w:b/>
                <w:bCs/>
              </w:rPr>
              <w:t xml:space="preserve">技术部分</w:t>
            </w:r>
            <w:r>
              <w:rPr>
                <w:b/>
                <w:bCs/>
              </w:rPr>
            </w:r>
            <w:r/>
          </w:p>
        </w:tc>
        <w:tc>
          <w:tcPr>
            <w:shd w:val="clear" w:color="auto" w:fill="d9d9d9"/>
            <w:tcW w:w="6109" w:type="dxa"/>
            <w:vAlign w:val="center"/>
            <w:textDirection w:val="lrTb"/>
            <w:noWrap w:val="false"/>
          </w:tcPr>
          <w:p>
            <w:pPr>
              <w:pStyle w:val="738"/>
              <w:jc w:val="left"/>
              <w:rPr>
                <w:b/>
                <w:bCs/>
              </w:rPr>
            </w:pPr>
            <w:r>
              <w:rPr>
                <w:b/>
                <w:bCs/>
              </w:rPr>
            </w:r>
            <w:r/>
          </w:p>
        </w:tc>
        <w:tc>
          <w:tcPr>
            <w:shd w:val="clear" w:color="auto" w:fill="d9d9d9"/>
            <w:tcW w:w="467" w:type="dxa"/>
            <w:vAlign w:val="center"/>
            <w:textDirection w:val="lrTb"/>
            <w:noWrap w:val="false"/>
          </w:tcPr>
          <w:p>
            <w:pPr>
              <w:pStyle w:val="738"/>
              <w:jc w:val="left"/>
              <w:rPr>
                <w:b/>
                <w:bCs/>
                <w:color w:val="000000"/>
              </w:rPr>
            </w:pPr>
            <w:r>
              <w:rPr>
                <w:rFonts w:hint="eastAsia"/>
                <w:b/>
                <w:bCs/>
              </w:rPr>
              <w:t xml:space="preserve">77</w:t>
            </w:r>
            <w:r>
              <w:rPr>
                <w:b/>
                <w:bCs/>
                <w:color w:val="000000"/>
              </w:rPr>
            </w:r>
            <w:r/>
          </w:p>
        </w:tc>
      </w:tr>
      <w:tr>
        <w:trPr>
          <w:cantSplit/>
        </w:trPr>
        <w:tc>
          <w:tcPr>
            <w:tcW w:w="874" w:type="dxa"/>
            <w:vAlign w:val="center"/>
            <w:vMerge w:val="restart"/>
            <w:textDirection w:val="lrTb"/>
            <w:noWrap w:val="false"/>
          </w:tcPr>
          <w:p>
            <w:pPr>
              <w:pStyle w:val="738"/>
              <w:jc w:val="left"/>
              <w:rPr>
                <w:color w:val="000000"/>
              </w:rPr>
            </w:pPr>
            <w:r>
              <w:rPr>
                <w:rFonts w:hint="eastAsia"/>
              </w:rPr>
              <w:t xml:space="preserve">四、技术服务方案</w:t>
            </w:r>
            <w:r>
              <w:rPr>
                <w:color w:val="000000"/>
              </w:rPr>
            </w:r>
            <w:r/>
          </w:p>
        </w:tc>
        <w:tc>
          <w:tcPr>
            <w:tcW w:w="1719" w:type="dxa"/>
            <w:vAlign w:val="center"/>
            <w:textDirection w:val="lrTb"/>
            <w:noWrap w:val="false"/>
          </w:tcPr>
          <w:p>
            <w:pPr>
              <w:pStyle w:val="738"/>
              <w:jc w:val="left"/>
            </w:pPr>
            <w:r>
              <w:rPr>
                <w:rFonts w:hint="eastAsia"/>
              </w:rPr>
              <w:t xml:space="preserve">4.1安全响应方案（5分）</w:t>
            </w:r>
            <w:r/>
          </w:p>
        </w:tc>
        <w:tc>
          <w:tcPr>
            <w:tcW w:w="6109" w:type="dxa"/>
            <w:vAlign w:val="center"/>
            <w:textDirection w:val="lrTb"/>
            <w:noWrap w:val="false"/>
          </w:tcPr>
          <w:p>
            <w:pPr>
              <w:pStyle w:val="738"/>
              <w:jc w:val="left"/>
              <w:spacing w:line="360" w:lineRule="exact"/>
            </w:pPr>
            <w:r>
              <w:rPr>
                <w:rFonts w:hint="eastAsia"/>
              </w:rPr>
              <w:t xml:space="preserve">评委根据投标文件对第四章“采购需求”中“安全响应方案”响应情况进行评审</w:t>
            </w:r>
            <w:r/>
          </w:p>
          <w:p>
            <w:pPr>
              <w:pStyle w:val="738"/>
              <w:jc w:val="left"/>
              <w:spacing w:line="360" w:lineRule="exact"/>
            </w:pPr>
            <w:r>
              <w:rPr>
                <w:rFonts w:hint="eastAsia"/>
              </w:rPr>
              <w:t xml:space="preserve">（1）</w:t>
            </w:r>
            <w:bookmarkStart w:id="167" w:name="OLE_LINK175"/>
            <w:r/>
            <w:bookmarkStart w:id="168" w:name="OLE_LINK176"/>
            <w:r>
              <w:rPr>
                <w:rFonts w:hint="eastAsia"/>
              </w:rPr>
              <w:t xml:space="preserve">投标文件未符合“安全响应方案”中全部条款要求的，</w:t>
            </w:r>
            <w:bookmarkEnd w:id="167"/>
            <w:r/>
            <w:bookmarkEnd w:id="168"/>
            <w:r>
              <w:rPr>
                <w:rFonts w:hint="eastAsia"/>
              </w:rPr>
              <w:t xml:space="preserve">视为不符合招标文件，本项得0分；</w:t>
            </w:r>
            <w:r/>
          </w:p>
          <w:p>
            <w:pPr>
              <w:pStyle w:val="738"/>
              <w:jc w:val="left"/>
              <w:spacing w:line="360" w:lineRule="exact"/>
            </w:pPr>
            <w:r>
              <w:rPr>
                <w:rFonts w:hint="eastAsia"/>
              </w:rPr>
              <w:t xml:space="preserve">（2）</w:t>
            </w:r>
            <w:bookmarkStart w:id="169" w:name="OLE_LINK177"/>
            <w:r/>
            <w:bookmarkStart w:id="170" w:name="OLE_LINK178"/>
            <w:r>
              <w:rPr>
                <w:rFonts w:hint="eastAsia"/>
              </w:rPr>
              <w:t xml:space="preserve">投标文件符合“安全响应方案”中全部条款要求的，</w:t>
            </w:r>
            <w:bookmarkEnd w:id="169"/>
            <w:r/>
            <w:bookmarkEnd w:id="170"/>
            <w:r>
              <w:rPr>
                <w:rFonts w:hint="eastAsia"/>
              </w:rPr>
              <w:t xml:space="preserve">视为符合招标文件，本项得3分；</w:t>
            </w:r>
            <w:r/>
          </w:p>
          <w:p>
            <w:pPr>
              <w:pStyle w:val="738"/>
              <w:jc w:val="left"/>
            </w:pPr>
            <w:r>
              <w:rPr>
                <w:rFonts w:hint="eastAsia"/>
              </w:rPr>
              <w:t xml:space="preserve">（3）经评委认定，投标文件对“安全响应方案”中“系统开发”、“数据存储”两项要求的响应内容全部优于招标文件要求的（投标文件对“安全响应方案”中“系统开发”、“数据存储”外其他要求响应内容符合招标文件要求），本项得5分。</w:t>
            </w:r>
            <w:r/>
          </w:p>
        </w:tc>
        <w:tc>
          <w:tcPr>
            <w:tcW w:w="467" w:type="dxa"/>
            <w:vAlign w:val="center"/>
            <w:textDirection w:val="lrTb"/>
            <w:noWrap w:val="false"/>
          </w:tcPr>
          <w:p>
            <w:pPr>
              <w:pStyle w:val="738"/>
              <w:jc w:val="left"/>
              <w:rPr>
                <w:color w:val="000000"/>
              </w:rPr>
            </w:pPr>
            <w:r>
              <w:t xml:space="preserve">5</w:t>
            </w:r>
            <w:r>
              <w:rPr>
                <w:color w:val="000000"/>
              </w:rPr>
            </w:r>
            <w:r/>
          </w:p>
        </w:tc>
      </w:tr>
      <w:tr>
        <w:trPr>
          <w:cantSplit/>
        </w:trPr>
        <w:tc>
          <w:tcPr>
            <w:tcW w:w="874" w:type="dxa"/>
            <w:vAlign w:val="center"/>
            <w:vMerge w:val="continue"/>
            <w:textDirection w:val="lrTb"/>
            <w:noWrap w:val="false"/>
          </w:tcPr>
          <w:p>
            <w:pPr>
              <w:pStyle w:val="738"/>
              <w:jc w:val="left"/>
              <w:rPr>
                <w:color w:val="000000"/>
              </w:rPr>
            </w:pPr>
            <w:r>
              <w:rPr>
                <w:color w:val="000000"/>
              </w:rPr>
            </w:r>
            <w:r/>
          </w:p>
        </w:tc>
        <w:tc>
          <w:tcPr>
            <w:tcW w:w="1719" w:type="dxa"/>
            <w:vAlign w:val="center"/>
            <w:textDirection w:val="lrTb"/>
            <w:noWrap w:val="false"/>
          </w:tcPr>
          <w:p>
            <w:pPr>
              <w:pStyle w:val="738"/>
              <w:jc w:val="left"/>
              <w:rPr>
                <w:color w:val="000000"/>
              </w:rPr>
            </w:pPr>
            <w:r>
              <w:rPr>
                <w:rFonts w:hint="eastAsia"/>
                <w:color w:val="000000"/>
              </w:rPr>
              <w:t xml:space="preserve">4.2</w:t>
            </w:r>
            <w:r>
              <w:rPr>
                <w:rFonts w:hint="eastAsia"/>
              </w:rPr>
              <w:t xml:space="preserve">培训方案（5分）</w:t>
            </w:r>
            <w:r>
              <w:rPr>
                <w:color w:val="000000"/>
              </w:rPr>
            </w:r>
            <w:r/>
          </w:p>
        </w:tc>
        <w:tc>
          <w:tcPr>
            <w:tcW w:w="6109" w:type="dxa"/>
            <w:vAlign w:val="center"/>
            <w:textDirection w:val="lrTb"/>
            <w:noWrap w:val="false"/>
          </w:tcPr>
          <w:p>
            <w:pPr>
              <w:pStyle w:val="738"/>
              <w:jc w:val="left"/>
              <w:spacing w:line="360" w:lineRule="exact"/>
            </w:pPr>
            <w:r>
              <w:rPr>
                <w:rFonts w:hint="eastAsia"/>
              </w:rPr>
              <w:t xml:space="preserve">评委根据投标文件对第四章“采购需求”中“培训方案”响应情况进行评审</w:t>
            </w:r>
            <w:r/>
          </w:p>
          <w:p>
            <w:pPr>
              <w:pStyle w:val="738"/>
              <w:jc w:val="left"/>
              <w:spacing w:line="360" w:lineRule="exact"/>
            </w:pPr>
            <w:r>
              <w:rPr>
                <w:rFonts w:hint="eastAsia"/>
              </w:rPr>
              <w:t xml:space="preserve">（1）投标文件未符合“培训方案”中全部条款要求的，视为不符合招标文件，本项得0分；</w:t>
            </w:r>
            <w:r/>
          </w:p>
          <w:p>
            <w:pPr>
              <w:pStyle w:val="738"/>
              <w:jc w:val="left"/>
              <w:spacing w:line="360" w:lineRule="exact"/>
            </w:pPr>
            <w:r>
              <w:rPr>
                <w:rFonts w:hint="eastAsia"/>
              </w:rPr>
              <w:t xml:space="preserve">（2）投标文件符合“培训方案”中全部条款要求的，视为符合招标文件，本项得3分；</w:t>
            </w:r>
            <w:r/>
          </w:p>
          <w:p>
            <w:pPr>
              <w:pStyle w:val="738"/>
              <w:jc w:val="left"/>
              <w:rPr>
                <w:color w:val="000000"/>
              </w:rPr>
            </w:pPr>
            <w:r>
              <w:rPr>
                <w:rFonts w:hint="eastAsia"/>
              </w:rPr>
              <w:t xml:space="preserve">（3）经评委认定，投标文件对“培训方案”中 “培训方式”、“培训内容”两项要求的响应内容全部优于招标文件要求的（投标文件对“培训方案”中 “培训方式”、“培训内容”外其他要求响应内容符合招标文件要求），本项得5分。</w:t>
            </w:r>
            <w:r>
              <w:rPr>
                <w:color w:val="000000"/>
              </w:rPr>
            </w:r>
            <w:r/>
          </w:p>
        </w:tc>
        <w:tc>
          <w:tcPr>
            <w:tcW w:w="467" w:type="dxa"/>
            <w:vAlign w:val="center"/>
            <w:textDirection w:val="lrTb"/>
            <w:noWrap w:val="false"/>
          </w:tcPr>
          <w:p>
            <w:pPr>
              <w:pStyle w:val="738"/>
              <w:jc w:val="left"/>
              <w:rPr>
                <w:color w:val="000000"/>
              </w:rPr>
            </w:pPr>
            <w:r>
              <w:t xml:space="preserve">5</w:t>
            </w:r>
            <w:r>
              <w:rPr>
                <w:color w:val="000000"/>
              </w:rPr>
            </w:r>
            <w:r/>
          </w:p>
        </w:tc>
      </w:tr>
      <w:tr>
        <w:trPr>
          <w:cantSplit/>
        </w:trPr>
        <w:tc>
          <w:tcPr>
            <w:tcW w:w="874" w:type="dxa"/>
            <w:vAlign w:val="center"/>
            <w:vMerge w:val="continue"/>
            <w:textDirection w:val="lrTb"/>
            <w:noWrap w:val="false"/>
          </w:tcPr>
          <w:p>
            <w:pPr>
              <w:pStyle w:val="738"/>
              <w:jc w:val="left"/>
              <w:rPr>
                <w:color w:val="000000"/>
              </w:rPr>
            </w:pPr>
            <w:r>
              <w:rPr>
                <w:color w:val="000000"/>
              </w:rPr>
            </w:r>
            <w:r/>
          </w:p>
        </w:tc>
        <w:tc>
          <w:tcPr>
            <w:tcW w:w="1719" w:type="dxa"/>
            <w:vAlign w:val="center"/>
            <w:textDirection w:val="lrTb"/>
            <w:noWrap w:val="false"/>
          </w:tcPr>
          <w:p>
            <w:pPr>
              <w:pStyle w:val="738"/>
              <w:jc w:val="left"/>
              <w:rPr>
                <w:color w:val="000000"/>
              </w:rPr>
            </w:pPr>
            <w:r>
              <w:rPr>
                <w:rFonts w:hint="eastAsia"/>
                <w:color w:val="000000"/>
              </w:rPr>
              <w:t xml:space="preserve">4.3总体建设方案</w:t>
            </w:r>
            <w:r>
              <w:rPr>
                <w:rFonts w:hint="eastAsia"/>
              </w:rPr>
              <w:t xml:space="preserve">（5分）</w:t>
            </w:r>
            <w:r>
              <w:rPr>
                <w:color w:val="000000"/>
              </w:rPr>
            </w:r>
            <w:r/>
          </w:p>
        </w:tc>
        <w:tc>
          <w:tcPr>
            <w:tcW w:w="6109" w:type="dxa"/>
            <w:vAlign w:val="center"/>
            <w:textDirection w:val="lrTb"/>
            <w:noWrap w:val="false"/>
          </w:tcPr>
          <w:p>
            <w:pPr>
              <w:pStyle w:val="738"/>
              <w:jc w:val="left"/>
              <w:spacing w:line="360" w:lineRule="exact"/>
            </w:pPr>
            <w:r>
              <w:rPr>
                <w:rFonts w:hint="eastAsia"/>
              </w:rPr>
              <w:t xml:space="preserve">评委根据投标文件对第四章“采购需求”中“总体建设方案”响应情况进行评审</w:t>
            </w:r>
            <w:r/>
          </w:p>
          <w:p>
            <w:pPr>
              <w:pStyle w:val="738"/>
              <w:jc w:val="left"/>
              <w:spacing w:line="360" w:lineRule="exact"/>
            </w:pPr>
            <w:r>
              <w:rPr>
                <w:rFonts w:hint="eastAsia"/>
              </w:rPr>
              <w:t xml:space="preserve">（1）投标文件未符合“</w:t>
            </w:r>
            <w:r>
              <w:rPr>
                <w:rFonts w:hint="eastAsia"/>
                <w:color w:val="000000"/>
              </w:rPr>
              <w:t xml:space="preserve">总体建设方案</w:t>
            </w:r>
            <w:r>
              <w:rPr>
                <w:rFonts w:hint="eastAsia"/>
              </w:rPr>
              <w:t xml:space="preserve">”中全部条款要求的，视为不符合招标文件，本项得0分；</w:t>
            </w:r>
            <w:r/>
          </w:p>
          <w:p>
            <w:pPr>
              <w:pStyle w:val="738"/>
              <w:jc w:val="left"/>
              <w:spacing w:line="360" w:lineRule="exact"/>
            </w:pPr>
            <w:r>
              <w:rPr>
                <w:rFonts w:hint="eastAsia"/>
              </w:rPr>
              <w:t xml:space="preserve">（2）投标文件符合“</w:t>
            </w:r>
            <w:r>
              <w:rPr>
                <w:rFonts w:hint="eastAsia"/>
                <w:color w:val="000000"/>
              </w:rPr>
              <w:t xml:space="preserve">总体建设方案</w:t>
            </w:r>
            <w:r>
              <w:rPr>
                <w:rFonts w:hint="eastAsia"/>
              </w:rPr>
              <w:t xml:space="preserve">”中全部条款要求的，视为符合招标文件，本项得3分；</w:t>
            </w:r>
            <w:r/>
          </w:p>
          <w:p>
            <w:pPr>
              <w:pStyle w:val="738"/>
              <w:jc w:val="left"/>
              <w:rPr>
                <w:color w:val="000000"/>
              </w:rPr>
            </w:pPr>
            <w:r>
              <w:rPr>
                <w:rFonts w:hint="eastAsia"/>
              </w:rPr>
              <w:t xml:space="preserve">（3）经评委认定，投标文件对“</w:t>
            </w:r>
            <w:r>
              <w:rPr>
                <w:rFonts w:hint="eastAsia"/>
                <w:color w:val="000000"/>
              </w:rPr>
              <w:t xml:space="preserve">总体建设方案</w:t>
            </w:r>
            <w:r>
              <w:rPr>
                <w:rFonts w:hint="eastAsia"/>
              </w:rPr>
              <w:t xml:space="preserve">”中“总体逻辑架构”、“业务架构”两项要求的响应内容全部优于招标文件要求的（投标文件对“总体建设方案”中“总体逻辑架构”、“业务架构”外其他要求响应内容符合招标文件要求），本项得5分。</w:t>
            </w:r>
            <w:r>
              <w:rPr>
                <w:color w:val="000000"/>
              </w:rPr>
            </w:r>
            <w:r/>
          </w:p>
        </w:tc>
        <w:tc>
          <w:tcPr>
            <w:tcW w:w="467" w:type="dxa"/>
            <w:vAlign w:val="center"/>
            <w:textDirection w:val="lrTb"/>
            <w:noWrap w:val="false"/>
          </w:tcPr>
          <w:p>
            <w:pPr>
              <w:pStyle w:val="738"/>
              <w:jc w:val="left"/>
              <w:rPr>
                <w:color w:val="000000"/>
              </w:rPr>
            </w:pPr>
            <w:r>
              <w:t xml:space="preserve">5</w:t>
            </w:r>
            <w:r>
              <w:rPr>
                <w:color w:val="000000"/>
              </w:rPr>
            </w:r>
            <w:r/>
          </w:p>
        </w:tc>
      </w:tr>
      <w:tr>
        <w:trPr>
          <w:cantSplit/>
        </w:trPr>
        <w:tc>
          <w:tcPr>
            <w:tcW w:w="874" w:type="dxa"/>
            <w:vAlign w:val="center"/>
            <w:vMerge w:val="continue"/>
            <w:textDirection w:val="lrTb"/>
            <w:noWrap w:val="false"/>
          </w:tcPr>
          <w:p>
            <w:pPr>
              <w:pStyle w:val="738"/>
              <w:jc w:val="left"/>
              <w:rPr>
                <w:color w:val="000000"/>
              </w:rPr>
            </w:pPr>
            <w:r>
              <w:rPr>
                <w:color w:val="000000"/>
              </w:rPr>
            </w:r>
            <w:r/>
          </w:p>
        </w:tc>
        <w:tc>
          <w:tcPr>
            <w:tcW w:w="1719" w:type="dxa"/>
            <w:vAlign w:val="center"/>
            <w:textDirection w:val="lrTb"/>
            <w:noWrap w:val="false"/>
          </w:tcPr>
          <w:p>
            <w:pPr>
              <w:pStyle w:val="738"/>
              <w:jc w:val="left"/>
              <w:rPr>
                <w:color w:val="000000"/>
              </w:rPr>
            </w:pPr>
            <w:r>
              <w:rPr>
                <w:rFonts w:hint="eastAsia"/>
                <w:color w:val="000000"/>
              </w:rPr>
              <w:t xml:space="preserve">4.4核心场景AI实现方案</w:t>
            </w:r>
            <w:r>
              <w:rPr>
                <w:rFonts w:hint="eastAsia"/>
              </w:rPr>
              <w:t xml:space="preserve">（5分）</w:t>
            </w:r>
            <w:r>
              <w:rPr>
                <w:color w:val="000000"/>
              </w:rPr>
            </w:r>
            <w:r/>
          </w:p>
        </w:tc>
        <w:tc>
          <w:tcPr>
            <w:tcW w:w="6109" w:type="dxa"/>
            <w:vAlign w:val="center"/>
            <w:textDirection w:val="lrTb"/>
            <w:noWrap w:val="false"/>
          </w:tcPr>
          <w:p>
            <w:pPr>
              <w:pStyle w:val="738"/>
              <w:jc w:val="left"/>
              <w:spacing w:line="360" w:lineRule="exact"/>
            </w:pPr>
            <w:r>
              <w:rPr>
                <w:rFonts w:hint="eastAsia"/>
              </w:rPr>
              <w:t xml:space="preserve">评委根据投标文件对第四章“采购需求”中“核心场景AI实现方案”响应情况进行评审</w:t>
            </w:r>
            <w:r/>
          </w:p>
          <w:p>
            <w:pPr>
              <w:pStyle w:val="738"/>
              <w:jc w:val="left"/>
              <w:spacing w:line="360" w:lineRule="exact"/>
            </w:pPr>
            <w:r>
              <w:rPr>
                <w:rFonts w:hint="eastAsia"/>
              </w:rPr>
              <w:t xml:space="preserve">（1）投标文件未符合“</w:t>
            </w:r>
            <w:r>
              <w:rPr>
                <w:rFonts w:hint="eastAsia"/>
                <w:color w:val="000000"/>
              </w:rPr>
              <w:t xml:space="preserve">核心场景AI实现方案</w:t>
            </w:r>
            <w:r>
              <w:rPr>
                <w:rFonts w:hint="eastAsia"/>
              </w:rPr>
              <w:t xml:space="preserve">”中全部条款要求的，视为不符合招标文件，本项得0分；</w:t>
            </w:r>
            <w:r/>
          </w:p>
          <w:p>
            <w:pPr>
              <w:pStyle w:val="738"/>
              <w:jc w:val="left"/>
              <w:spacing w:line="360" w:lineRule="exact"/>
            </w:pPr>
            <w:r>
              <w:rPr>
                <w:rFonts w:hint="eastAsia"/>
              </w:rPr>
              <w:t xml:space="preserve">（2）投标文件符合“</w:t>
            </w:r>
            <w:r>
              <w:rPr>
                <w:rFonts w:hint="eastAsia"/>
                <w:color w:val="000000"/>
              </w:rPr>
              <w:t xml:space="preserve">核心场景AI实现方案</w:t>
            </w:r>
            <w:r>
              <w:rPr>
                <w:rFonts w:hint="eastAsia"/>
              </w:rPr>
              <w:t xml:space="preserve">”中全部条款要求的，视为符合招标文件，本项得3分；</w:t>
            </w:r>
            <w:r/>
          </w:p>
          <w:p>
            <w:pPr>
              <w:pStyle w:val="738"/>
              <w:jc w:val="left"/>
              <w:rPr>
                <w:color w:val="000000"/>
              </w:rPr>
            </w:pPr>
            <w:r>
              <w:rPr>
                <w:rFonts w:hint="eastAsia"/>
              </w:rPr>
              <w:t xml:space="preserve">（3）经评委认定，投标文件对“</w:t>
            </w:r>
            <w:r>
              <w:rPr>
                <w:rFonts w:hint="eastAsia"/>
                <w:color w:val="000000"/>
              </w:rPr>
              <w:t xml:space="preserve">核心场景AI实现方案</w:t>
            </w:r>
            <w:r>
              <w:rPr>
                <w:rFonts w:hint="eastAsia"/>
              </w:rPr>
              <w:t xml:space="preserve">”中“附件关键信息提取”、“审核逻辑推理”两项要求的响应内容全部优于招标文件要求的（投标文件对“核心场景AI实现方案”中“附件关键信息提取”、“审核逻辑推理”外其他要求响应内容符合招标文件要求），本项得5分。</w:t>
            </w:r>
            <w:r>
              <w:rPr>
                <w:color w:val="000000"/>
              </w:rPr>
            </w:r>
            <w:r/>
          </w:p>
        </w:tc>
        <w:tc>
          <w:tcPr>
            <w:tcW w:w="467" w:type="dxa"/>
            <w:vAlign w:val="center"/>
            <w:textDirection w:val="lrTb"/>
            <w:noWrap w:val="false"/>
          </w:tcPr>
          <w:p>
            <w:pPr>
              <w:pStyle w:val="738"/>
              <w:jc w:val="left"/>
              <w:rPr>
                <w:color w:val="000000"/>
              </w:rPr>
            </w:pPr>
            <w:r>
              <w:t xml:space="preserve">5</w:t>
            </w:r>
            <w:r>
              <w:rPr>
                <w:color w:val="000000"/>
              </w:rPr>
            </w:r>
            <w:r/>
          </w:p>
        </w:tc>
      </w:tr>
      <w:tr>
        <w:trPr>
          <w:cantSplit/>
        </w:trPr>
        <w:tc>
          <w:tcPr>
            <w:tcW w:w="874" w:type="dxa"/>
            <w:vAlign w:val="center"/>
            <w:vMerge w:val="continue"/>
            <w:textDirection w:val="lrTb"/>
            <w:noWrap w:val="false"/>
          </w:tcPr>
          <w:p>
            <w:pPr>
              <w:pStyle w:val="738"/>
              <w:jc w:val="left"/>
              <w:rPr>
                <w:color w:val="000000"/>
              </w:rPr>
            </w:pPr>
            <w:r>
              <w:rPr>
                <w:color w:val="000000"/>
              </w:rPr>
            </w:r>
            <w:r/>
          </w:p>
        </w:tc>
        <w:tc>
          <w:tcPr>
            <w:tcW w:w="1719" w:type="dxa"/>
            <w:vAlign w:val="center"/>
            <w:textDirection w:val="lrTb"/>
            <w:noWrap w:val="false"/>
          </w:tcPr>
          <w:p>
            <w:pPr>
              <w:pStyle w:val="738"/>
              <w:jc w:val="left"/>
              <w:rPr>
                <w:color w:val="000000"/>
              </w:rPr>
            </w:pPr>
            <w:r>
              <w:rPr>
                <w:rFonts w:hint="eastAsia"/>
                <w:color w:val="000000"/>
              </w:rPr>
              <w:t xml:space="preserve">4.5知识库构建方案</w:t>
            </w:r>
            <w:r>
              <w:rPr>
                <w:rFonts w:hint="eastAsia"/>
              </w:rPr>
              <w:t xml:space="preserve">（5分）</w:t>
            </w:r>
            <w:r>
              <w:rPr>
                <w:color w:val="000000"/>
              </w:rPr>
            </w:r>
            <w:r/>
          </w:p>
        </w:tc>
        <w:tc>
          <w:tcPr>
            <w:tcW w:w="6109" w:type="dxa"/>
            <w:vAlign w:val="center"/>
            <w:textDirection w:val="lrTb"/>
            <w:noWrap w:val="false"/>
          </w:tcPr>
          <w:p>
            <w:pPr>
              <w:pStyle w:val="738"/>
              <w:jc w:val="left"/>
              <w:spacing w:line="360" w:lineRule="exact"/>
            </w:pPr>
            <w:r>
              <w:rPr>
                <w:rFonts w:hint="eastAsia"/>
              </w:rPr>
              <w:t xml:space="preserve">评委根据投标文件对第四章“采购需求”中“知识库构建方案”响应情况进行评审</w:t>
            </w:r>
            <w:r/>
          </w:p>
          <w:p>
            <w:pPr>
              <w:pStyle w:val="738"/>
              <w:jc w:val="left"/>
              <w:spacing w:line="360" w:lineRule="exact"/>
            </w:pPr>
            <w:r>
              <w:rPr>
                <w:rFonts w:hint="eastAsia"/>
              </w:rPr>
              <w:t xml:space="preserve">（1）投标文件未符合“</w:t>
            </w:r>
            <w:r>
              <w:rPr>
                <w:rFonts w:hint="eastAsia"/>
                <w:color w:val="000000"/>
              </w:rPr>
              <w:t xml:space="preserve">知识库构建方案</w:t>
            </w:r>
            <w:r>
              <w:rPr>
                <w:rFonts w:hint="eastAsia"/>
              </w:rPr>
              <w:t xml:space="preserve">”中全部条款要求的，视为不符合招标文件，本项得0分；</w:t>
            </w:r>
            <w:r/>
          </w:p>
          <w:p>
            <w:pPr>
              <w:pStyle w:val="738"/>
              <w:jc w:val="left"/>
              <w:spacing w:line="360" w:lineRule="exact"/>
            </w:pPr>
            <w:r>
              <w:rPr>
                <w:rFonts w:hint="eastAsia"/>
              </w:rPr>
              <w:t xml:space="preserve">（2）投标文件符合“</w:t>
            </w:r>
            <w:r>
              <w:rPr>
                <w:rFonts w:hint="eastAsia"/>
                <w:color w:val="000000"/>
              </w:rPr>
              <w:t xml:space="preserve">知识库构建方案</w:t>
            </w:r>
            <w:r>
              <w:rPr>
                <w:rFonts w:hint="eastAsia"/>
              </w:rPr>
              <w:t xml:space="preserve">”中全部条款要求的，视为符合招标文件，本项得3分；</w:t>
            </w:r>
            <w:r/>
          </w:p>
          <w:p>
            <w:pPr>
              <w:pStyle w:val="738"/>
              <w:jc w:val="left"/>
              <w:rPr>
                <w:color w:val="000000"/>
              </w:rPr>
            </w:pPr>
            <w:r>
              <w:rPr>
                <w:rFonts w:hint="eastAsia"/>
              </w:rPr>
              <w:t xml:space="preserve">（3）经评委认定，投标文件对</w:t>
            </w:r>
            <w:r>
              <w:rPr>
                <w:rFonts w:hint="eastAsia"/>
                <w:color w:val="000000"/>
              </w:rPr>
              <w:t xml:space="preserve"> </w:t>
            </w:r>
            <w:r>
              <w:rPr>
                <w:rFonts w:hint="eastAsia"/>
              </w:rPr>
              <w:t xml:space="preserve">“知识库构建方案”中</w:t>
            </w:r>
            <w:r>
              <w:rPr>
                <w:rFonts w:hint="eastAsia"/>
                <w:color w:val="000000"/>
              </w:rPr>
              <w:t xml:space="preserve">“数据清洗治理”</w:t>
            </w:r>
            <w:r>
              <w:rPr>
                <w:rFonts w:hint="eastAsia"/>
              </w:rPr>
              <w:t xml:space="preserve">一项要求的响应内容全部优于招标文件要求的（投标文件对“知识库构建方案”中“数据清洗治理”外其他要求响应内容符合招标文件要求），本项得5分。</w:t>
            </w:r>
            <w:r>
              <w:rPr>
                <w:color w:val="000000"/>
              </w:rPr>
            </w:r>
            <w:r/>
          </w:p>
        </w:tc>
        <w:tc>
          <w:tcPr>
            <w:tcW w:w="467" w:type="dxa"/>
            <w:vAlign w:val="center"/>
            <w:textDirection w:val="lrTb"/>
            <w:noWrap w:val="false"/>
          </w:tcPr>
          <w:p>
            <w:pPr>
              <w:pStyle w:val="738"/>
              <w:jc w:val="left"/>
              <w:rPr>
                <w:color w:val="000000"/>
              </w:rPr>
            </w:pPr>
            <w:r>
              <w:t xml:space="preserve">5</w:t>
            </w:r>
            <w:r>
              <w:rPr>
                <w:color w:val="000000"/>
              </w:rPr>
            </w:r>
            <w:r/>
          </w:p>
        </w:tc>
      </w:tr>
      <w:tr>
        <w:trPr>
          <w:cantSplit/>
        </w:trPr>
        <w:tc>
          <w:tcPr>
            <w:tcW w:w="874" w:type="dxa"/>
            <w:vAlign w:val="center"/>
            <w:vMerge w:val="continue"/>
            <w:textDirection w:val="lrTb"/>
            <w:noWrap w:val="false"/>
          </w:tcPr>
          <w:p>
            <w:pPr>
              <w:pStyle w:val="738"/>
              <w:jc w:val="left"/>
              <w:rPr>
                <w:color w:val="000000"/>
              </w:rPr>
            </w:pPr>
            <w:r>
              <w:rPr>
                <w:color w:val="000000"/>
              </w:rPr>
            </w:r>
            <w:r/>
          </w:p>
        </w:tc>
        <w:tc>
          <w:tcPr>
            <w:tcW w:w="1719" w:type="dxa"/>
            <w:vAlign w:val="center"/>
            <w:textDirection w:val="lrTb"/>
            <w:noWrap w:val="false"/>
          </w:tcPr>
          <w:p>
            <w:pPr>
              <w:pStyle w:val="738"/>
              <w:jc w:val="left"/>
              <w:rPr>
                <w:color w:val="000000"/>
              </w:rPr>
            </w:pPr>
            <w:r>
              <w:rPr>
                <w:rFonts w:hint="eastAsia"/>
                <w:color w:val="000000"/>
              </w:rPr>
              <w:t xml:space="preserve">4.6案例库训练与评估方案</w:t>
            </w:r>
            <w:r>
              <w:rPr>
                <w:rFonts w:hint="eastAsia"/>
              </w:rPr>
              <w:t xml:space="preserve">（5分）</w:t>
            </w:r>
            <w:r>
              <w:rPr>
                <w:color w:val="000000"/>
              </w:rPr>
            </w:r>
            <w:r/>
          </w:p>
        </w:tc>
        <w:tc>
          <w:tcPr>
            <w:tcW w:w="6109" w:type="dxa"/>
            <w:vAlign w:val="center"/>
            <w:textDirection w:val="lrTb"/>
            <w:noWrap w:val="false"/>
          </w:tcPr>
          <w:p>
            <w:pPr>
              <w:pStyle w:val="738"/>
              <w:jc w:val="left"/>
              <w:spacing w:line="360" w:lineRule="exact"/>
            </w:pPr>
            <w:r>
              <w:rPr>
                <w:rFonts w:hint="eastAsia"/>
              </w:rPr>
              <w:t xml:space="preserve">评委根据投标文件对第四章“采购需求”中“案例库训练与评估方案”响应情况进行评审</w:t>
            </w:r>
            <w:r/>
          </w:p>
          <w:p>
            <w:pPr>
              <w:pStyle w:val="738"/>
              <w:jc w:val="left"/>
              <w:spacing w:line="360" w:lineRule="exact"/>
            </w:pPr>
            <w:r>
              <w:rPr>
                <w:rFonts w:hint="eastAsia"/>
              </w:rPr>
              <w:t xml:space="preserve">（1）投标文件未符合“</w:t>
            </w:r>
            <w:r>
              <w:rPr>
                <w:rFonts w:hint="eastAsia"/>
                <w:color w:val="000000"/>
              </w:rPr>
              <w:t xml:space="preserve">案例库训练与评估方案</w:t>
            </w:r>
            <w:r>
              <w:rPr>
                <w:rFonts w:hint="eastAsia"/>
              </w:rPr>
              <w:t xml:space="preserve">”中全部条款要求的，视为不符合招标文件，本项得0分；</w:t>
            </w:r>
            <w:r/>
          </w:p>
          <w:p>
            <w:pPr>
              <w:pStyle w:val="738"/>
              <w:jc w:val="left"/>
              <w:spacing w:line="360" w:lineRule="exact"/>
            </w:pPr>
            <w:r>
              <w:rPr>
                <w:rFonts w:hint="eastAsia"/>
              </w:rPr>
              <w:t xml:space="preserve">（2）投标文件符合“</w:t>
            </w:r>
            <w:r>
              <w:rPr>
                <w:rFonts w:hint="eastAsia"/>
                <w:color w:val="000000"/>
              </w:rPr>
              <w:t xml:space="preserve">案例库训练与评估方案</w:t>
            </w:r>
            <w:r>
              <w:rPr>
                <w:rFonts w:hint="eastAsia"/>
              </w:rPr>
              <w:t xml:space="preserve">”中全部条款要求的，视为符合招标文件，本项得3分；</w:t>
            </w:r>
            <w:r/>
          </w:p>
          <w:p>
            <w:pPr>
              <w:pStyle w:val="738"/>
              <w:jc w:val="left"/>
              <w:rPr>
                <w:color w:val="000000"/>
              </w:rPr>
            </w:pPr>
            <w:r>
              <w:rPr>
                <w:rFonts w:hint="eastAsia"/>
              </w:rPr>
              <w:t xml:space="preserve">（3）经评委认定，投标文件对“</w:t>
            </w:r>
            <w:r>
              <w:rPr>
                <w:rFonts w:hint="eastAsia"/>
                <w:color w:val="000000"/>
              </w:rPr>
              <w:t xml:space="preserve">案例库训练与评估方案</w:t>
            </w:r>
            <w:r>
              <w:rPr>
                <w:rFonts w:hint="eastAsia"/>
              </w:rPr>
              <w:t xml:space="preserve">”中“历史数据预处理”一项要求的响应内容全部优于招标文件要求的（投标文件对“案例库训练与评估方案”中“历史数据预处理”外其他要求响应内容符合招标文件要求），本项得5分。</w:t>
            </w:r>
            <w:r>
              <w:rPr>
                <w:color w:val="000000"/>
              </w:rPr>
            </w:r>
            <w:r/>
          </w:p>
        </w:tc>
        <w:tc>
          <w:tcPr>
            <w:tcW w:w="467" w:type="dxa"/>
            <w:vAlign w:val="center"/>
            <w:textDirection w:val="lrTb"/>
            <w:noWrap w:val="false"/>
          </w:tcPr>
          <w:p>
            <w:pPr>
              <w:pStyle w:val="738"/>
              <w:jc w:val="left"/>
              <w:rPr>
                <w:color w:val="000000"/>
              </w:rPr>
            </w:pPr>
            <w:r>
              <w:t xml:space="preserve">5</w:t>
            </w:r>
            <w:r>
              <w:rPr>
                <w:color w:val="000000"/>
              </w:rPr>
            </w:r>
            <w:r/>
          </w:p>
        </w:tc>
      </w:tr>
      <w:tr>
        <w:trPr>
          <w:cantSplit/>
          <w:trHeight w:val="1475"/>
        </w:trPr>
        <w:tc>
          <w:tcPr>
            <w:tcW w:w="874" w:type="dxa"/>
            <w:vAlign w:val="center"/>
            <w:vMerge w:val="continue"/>
            <w:textDirection w:val="lrTb"/>
            <w:noWrap w:val="false"/>
          </w:tcPr>
          <w:p>
            <w:pPr>
              <w:pStyle w:val="738"/>
              <w:jc w:val="left"/>
              <w:rPr>
                <w:color w:val="000000"/>
              </w:rPr>
            </w:pPr>
            <w:r>
              <w:rPr>
                <w:color w:val="000000"/>
              </w:rPr>
            </w:r>
            <w:r/>
          </w:p>
        </w:tc>
        <w:tc>
          <w:tcPr>
            <w:tcW w:w="1719" w:type="dxa"/>
            <w:vAlign w:val="center"/>
            <w:textDirection w:val="lrTb"/>
            <w:noWrap w:val="false"/>
          </w:tcPr>
          <w:p>
            <w:pPr>
              <w:pStyle w:val="738"/>
              <w:jc w:val="left"/>
              <w:rPr>
                <w:color w:val="000000"/>
              </w:rPr>
            </w:pPr>
            <w:r>
              <w:rPr>
                <w:rFonts w:hint="eastAsia"/>
                <w:color w:val="000000"/>
              </w:rPr>
              <w:t xml:space="preserve">4.7人机协同与自进化机制方案</w:t>
            </w:r>
            <w:r>
              <w:rPr>
                <w:rFonts w:hint="eastAsia"/>
              </w:rPr>
              <w:t xml:space="preserve">（5分）</w:t>
            </w:r>
            <w:r>
              <w:rPr>
                <w:color w:val="000000"/>
              </w:rPr>
            </w:r>
            <w:r/>
          </w:p>
        </w:tc>
        <w:tc>
          <w:tcPr>
            <w:tcW w:w="6109" w:type="dxa"/>
            <w:vAlign w:val="center"/>
            <w:textDirection w:val="lrTb"/>
            <w:noWrap w:val="false"/>
          </w:tcPr>
          <w:p>
            <w:pPr>
              <w:pStyle w:val="738"/>
              <w:jc w:val="left"/>
              <w:spacing w:line="360" w:lineRule="exact"/>
            </w:pPr>
            <w:r>
              <w:rPr>
                <w:rFonts w:hint="eastAsia"/>
              </w:rPr>
              <w:t xml:space="preserve">评委根据投标文件对第四章“采购需求”中“人机协同与自进化机制方案”响应情况进行评审</w:t>
            </w:r>
            <w:r/>
          </w:p>
          <w:p>
            <w:pPr>
              <w:pStyle w:val="738"/>
              <w:jc w:val="left"/>
              <w:spacing w:line="360" w:lineRule="exact"/>
            </w:pPr>
            <w:r>
              <w:rPr>
                <w:rFonts w:hint="eastAsia"/>
              </w:rPr>
              <w:t xml:space="preserve">（1）投标文件未符合“</w:t>
            </w:r>
            <w:r>
              <w:rPr>
                <w:rFonts w:hint="eastAsia"/>
                <w:color w:val="000000"/>
              </w:rPr>
              <w:t xml:space="preserve">人机协同与自进化机制方案</w:t>
            </w:r>
            <w:r>
              <w:rPr>
                <w:rFonts w:hint="eastAsia"/>
              </w:rPr>
              <w:t xml:space="preserve">”中全部条款要求的，视为不符合招标文件，本项得0分；</w:t>
            </w:r>
            <w:r/>
          </w:p>
          <w:p>
            <w:pPr>
              <w:pStyle w:val="738"/>
              <w:jc w:val="left"/>
              <w:spacing w:line="360" w:lineRule="exact"/>
            </w:pPr>
            <w:r>
              <w:rPr>
                <w:rFonts w:hint="eastAsia"/>
              </w:rPr>
              <w:t xml:space="preserve">（2）投标文件符合“</w:t>
            </w:r>
            <w:r>
              <w:rPr>
                <w:rFonts w:hint="eastAsia"/>
                <w:color w:val="000000"/>
              </w:rPr>
              <w:t xml:space="preserve">人机协同与自进化机制方案</w:t>
            </w:r>
            <w:r>
              <w:rPr>
                <w:rFonts w:hint="eastAsia"/>
              </w:rPr>
              <w:t xml:space="preserve">”中全部条款要求的，视为符合招标文件，本项得3分；</w:t>
            </w:r>
            <w:r/>
          </w:p>
          <w:p>
            <w:pPr>
              <w:pStyle w:val="738"/>
              <w:jc w:val="left"/>
            </w:pPr>
            <w:r>
              <w:rPr>
                <w:rFonts w:hint="eastAsia"/>
              </w:rPr>
              <w:t xml:space="preserve">（3）经评委认定，投标文件对“</w:t>
            </w:r>
            <w:r>
              <w:rPr>
                <w:rFonts w:hint="eastAsia"/>
                <w:color w:val="000000"/>
              </w:rPr>
              <w:t xml:space="preserve">人机协同与自进化机制方案</w:t>
            </w:r>
            <w:r>
              <w:rPr>
                <w:rFonts w:hint="eastAsia"/>
              </w:rPr>
              <w:t xml:space="preserve">”中“系统人机协同分工模式” 一项要求的响应内容全部优于招标文件要求的（投标文件对“人机协同与自进化机制方案”中“系统人机协同分工模式”外其他要求响应内容符合招标文件要求），本项得5分。</w:t>
            </w:r>
            <w:r/>
          </w:p>
        </w:tc>
        <w:tc>
          <w:tcPr>
            <w:tcW w:w="467" w:type="dxa"/>
            <w:vAlign w:val="center"/>
            <w:textDirection w:val="lrTb"/>
            <w:noWrap w:val="false"/>
          </w:tcPr>
          <w:p>
            <w:pPr>
              <w:pStyle w:val="738"/>
              <w:jc w:val="left"/>
            </w:pPr>
            <w:r>
              <w:t xml:space="preserve">5</w:t>
            </w:r>
            <w:r/>
          </w:p>
        </w:tc>
      </w:tr>
      <w:tr>
        <w:trPr>
          <w:cantSplit/>
        </w:trPr>
        <w:tc>
          <w:tcPr>
            <w:tcW w:w="874" w:type="dxa"/>
            <w:vAlign w:val="center"/>
            <w:vMerge w:val="continue"/>
            <w:textDirection w:val="lrTb"/>
            <w:noWrap w:val="false"/>
          </w:tcPr>
          <w:p>
            <w:pPr>
              <w:pStyle w:val="738"/>
              <w:jc w:val="left"/>
              <w:rPr>
                <w:color w:val="000000"/>
              </w:rPr>
            </w:pPr>
            <w:r>
              <w:rPr>
                <w:color w:val="000000"/>
              </w:rPr>
            </w:r>
            <w:r/>
          </w:p>
        </w:tc>
        <w:tc>
          <w:tcPr>
            <w:tcW w:w="1719" w:type="dxa"/>
            <w:vAlign w:val="center"/>
            <w:textDirection w:val="lrTb"/>
            <w:noWrap w:val="false"/>
          </w:tcPr>
          <w:p>
            <w:pPr>
              <w:pStyle w:val="738"/>
              <w:jc w:val="left"/>
              <w:rPr>
                <w:color w:val="000000"/>
              </w:rPr>
            </w:pPr>
            <w:r>
              <w:rPr>
                <w:rFonts w:hint="eastAsia"/>
              </w:rPr>
              <w:t xml:space="preserve">4.8实施方案（5分）</w:t>
            </w:r>
            <w:r>
              <w:rPr>
                <w:color w:val="000000"/>
              </w:rPr>
            </w:r>
            <w:r/>
          </w:p>
        </w:tc>
        <w:tc>
          <w:tcPr>
            <w:tcW w:w="6109" w:type="dxa"/>
            <w:vAlign w:val="center"/>
            <w:textDirection w:val="lrTb"/>
            <w:noWrap w:val="false"/>
          </w:tcPr>
          <w:p>
            <w:pPr>
              <w:pStyle w:val="738"/>
              <w:jc w:val="left"/>
              <w:spacing w:line="360" w:lineRule="exact"/>
            </w:pPr>
            <w:r>
              <w:rPr>
                <w:rFonts w:hint="eastAsia"/>
              </w:rPr>
              <w:t xml:space="preserve">评委根据投标文件对第四章“采购需求”中“实施方案”响应情况进行评审</w:t>
            </w:r>
            <w:r/>
          </w:p>
          <w:p>
            <w:pPr>
              <w:pStyle w:val="738"/>
              <w:jc w:val="left"/>
              <w:spacing w:line="360" w:lineRule="exact"/>
            </w:pPr>
            <w:r>
              <w:rPr>
                <w:rFonts w:hint="eastAsia"/>
              </w:rPr>
              <w:t xml:space="preserve">（1）投标文件未符合“实施方案”中全部条款要求的，视为不符合招标文件，本项得0分；</w:t>
            </w:r>
            <w:r/>
          </w:p>
          <w:p>
            <w:pPr>
              <w:pStyle w:val="738"/>
              <w:jc w:val="left"/>
              <w:spacing w:line="360" w:lineRule="exact"/>
            </w:pPr>
            <w:r>
              <w:rPr>
                <w:rFonts w:hint="eastAsia"/>
              </w:rPr>
              <w:t xml:space="preserve">（2）投标文件符合“实施方案”中全部条款要求的，视为符合招标文件，本项得3分；</w:t>
            </w:r>
            <w:r/>
          </w:p>
          <w:p>
            <w:pPr>
              <w:pStyle w:val="738"/>
              <w:jc w:val="left"/>
            </w:pPr>
            <w:r>
              <w:rPr>
                <w:rFonts w:hint="eastAsia"/>
              </w:rPr>
              <w:t xml:space="preserve">（3）经评委认定，投标文件对“实施方案”中 “项目进度计划及保障措施”、“项目质量保障措施” 两项要求的响应内容全部优于招标文件要求的（投标文件对“实施方案”中 “项目进度计划及保障措施”、“项目质量保障措施”外其他要求响应内容符合招标文件要求），本项得5分。</w:t>
            </w:r>
            <w:r/>
          </w:p>
        </w:tc>
        <w:tc>
          <w:tcPr>
            <w:tcW w:w="467" w:type="dxa"/>
            <w:vAlign w:val="center"/>
            <w:textDirection w:val="lrTb"/>
            <w:noWrap w:val="false"/>
          </w:tcPr>
          <w:p>
            <w:pPr>
              <w:pStyle w:val="738"/>
              <w:jc w:val="left"/>
            </w:pPr>
            <w:r>
              <w:t xml:space="preserve">5</w:t>
            </w:r>
            <w:r/>
          </w:p>
        </w:tc>
      </w:tr>
      <w:tr>
        <w:trPr>
          <w:cantSplit/>
        </w:trPr>
        <w:tc>
          <w:tcPr>
            <w:tcW w:w="874" w:type="dxa"/>
            <w:vAlign w:val="center"/>
            <w:vMerge w:val="restart"/>
            <w:textDirection w:val="lrTb"/>
            <w:noWrap w:val="false"/>
          </w:tcPr>
          <w:p>
            <w:pPr>
              <w:pStyle w:val="738"/>
              <w:jc w:val="left"/>
              <w:rPr>
                <w:color w:val="000000"/>
              </w:rPr>
            </w:pPr>
            <w:r>
              <w:rPr>
                <w:rFonts w:hint="eastAsia"/>
              </w:rPr>
              <w:t xml:space="preserve">五、团队人员</w:t>
            </w:r>
            <w:r>
              <w:rPr>
                <w:color w:val="000000"/>
              </w:rPr>
            </w:r>
            <w:r/>
          </w:p>
          <w:p>
            <w:pPr>
              <w:pStyle w:val="738"/>
              <w:jc w:val="left"/>
              <w:rPr>
                <w:rFonts w:hint="eastAsia"/>
              </w:rPr>
            </w:pPr>
            <w:r>
              <w:rPr>
                <w:rFonts w:hint="eastAsia"/>
              </w:rPr>
            </w:r>
            <w:r/>
          </w:p>
        </w:tc>
        <w:tc>
          <w:tcPr>
            <w:tcW w:w="1719" w:type="dxa"/>
            <w:vAlign w:val="center"/>
            <w:vMerge w:val="restart"/>
            <w:textDirection w:val="lrTb"/>
            <w:noWrap w:val="false"/>
          </w:tcPr>
          <w:p>
            <w:pPr>
              <w:pStyle w:val="738"/>
              <w:jc w:val="left"/>
              <w:rPr>
                <w:rFonts w:hint="eastAsia"/>
                <w:color w:val="000000"/>
              </w:rPr>
            </w:pPr>
            <w:r>
              <w:rPr>
                <w:rFonts w:hint="eastAsia"/>
                <w:color w:val="000000"/>
              </w:rPr>
              <w:t xml:space="preserve">5.1项目经理（5分）</w:t>
            </w:r>
            <w:r>
              <w:rPr>
                <w:rFonts w:hint="eastAsia"/>
                <w:color w:val="000000"/>
              </w:rPr>
            </w:r>
            <w:r/>
          </w:p>
        </w:tc>
        <w:tc>
          <w:tcPr>
            <w:tcW w:w="6109" w:type="dxa"/>
            <w:vAlign w:val="center"/>
            <w:textDirection w:val="lrTb"/>
            <w:noWrap w:val="false"/>
          </w:tcPr>
          <w:p>
            <w:pPr>
              <w:pStyle w:val="738"/>
              <w:jc w:val="left"/>
            </w:pPr>
            <w:r>
              <w:rPr>
                <w:rFonts w:hint="eastAsia"/>
              </w:rPr>
              <w:t xml:space="preserve">具有计算机相关专业本科及以上学历，满足得2分，其他得</w:t>
            </w:r>
            <w:r>
              <w:t xml:space="preserve">0</w:t>
            </w:r>
            <w:r>
              <w:rPr>
                <w:rFonts w:hint="eastAsia"/>
              </w:rPr>
              <w:t xml:space="preserve">分。</w:t>
            </w:r>
            <w:r/>
          </w:p>
          <w:p>
            <w:pPr>
              <w:pStyle w:val="738"/>
              <w:jc w:val="left"/>
              <w:rPr>
                <w:rFonts w:hint="eastAsia"/>
              </w:rPr>
            </w:pPr>
            <w:r>
              <w:rPr>
                <w:rFonts w:hint="eastAsia"/>
              </w:rPr>
              <w:t xml:space="preserve">注：供应商需提供在有效期内的证书扫描件或复印件，或官方查询证明，加盖供应商公章，并同时提交该人员在投标截止日期前3个月内任意一个月投标人为其缴纳社保的证明或服务人员与供应商签订的有效期内的劳动合同复印件。</w:t>
            </w:r>
            <w:r>
              <w:rPr>
                <w:rFonts w:hint="eastAsia"/>
              </w:rPr>
            </w:r>
            <w:r/>
          </w:p>
        </w:tc>
        <w:tc>
          <w:tcPr>
            <w:tcW w:w="467" w:type="dxa"/>
            <w:vAlign w:val="center"/>
            <w:textDirection w:val="lrTb"/>
            <w:noWrap w:val="false"/>
          </w:tcPr>
          <w:p>
            <w:pPr>
              <w:pStyle w:val="738"/>
              <w:jc w:val="left"/>
            </w:pPr>
            <w:r>
              <w:rPr>
                <w:rFonts w:hint="eastAsia"/>
              </w:rPr>
              <w:t xml:space="preserve">2</w:t>
            </w:r>
            <w:r/>
          </w:p>
        </w:tc>
      </w:tr>
      <w:tr>
        <w:trPr>
          <w:cantSplit/>
        </w:trPr>
        <w:tc>
          <w:tcPr>
            <w:tcW w:w="874" w:type="dxa"/>
            <w:vAlign w:val="center"/>
            <w:vMerge w:val="continue"/>
            <w:textDirection w:val="lrTb"/>
            <w:noWrap w:val="false"/>
          </w:tcPr>
          <w:p>
            <w:pPr>
              <w:pStyle w:val="738"/>
              <w:jc w:val="left"/>
              <w:rPr>
                <w:color w:val="000000"/>
              </w:rPr>
            </w:pPr>
            <w:r>
              <w:rPr>
                <w:color w:val="000000"/>
              </w:rPr>
            </w:r>
            <w:r/>
          </w:p>
        </w:tc>
        <w:tc>
          <w:tcPr>
            <w:tcW w:w="1719" w:type="dxa"/>
            <w:vAlign w:val="center"/>
            <w:vMerge w:val="continue"/>
            <w:textDirection w:val="lrTb"/>
            <w:noWrap w:val="false"/>
          </w:tcPr>
          <w:p>
            <w:pPr>
              <w:pStyle w:val="738"/>
              <w:jc w:val="left"/>
              <w:rPr>
                <w:color w:val="000000"/>
              </w:rPr>
            </w:pPr>
            <w:r>
              <w:rPr>
                <w:color w:val="000000"/>
              </w:rPr>
            </w:r>
            <w:r/>
          </w:p>
        </w:tc>
        <w:tc>
          <w:tcPr>
            <w:tcW w:w="6109" w:type="dxa"/>
            <w:vAlign w:val="center"/>
            <w:textDirection w:val="lrTb"/>
            <w:noWrap w:val="false"/>
          </w:tcPr>
          <w:p>
            <w:pPr>
              <w:pStyle w:val="738"/>
              <w:jc w:val="left"/>
            </w:pPr>
            <w:r>
              <w:rPr>
                <w:rFonts w:hint="eastAsia"/>
              </w:rPr>
              <w:t xml:space="preserve">具有“人力资源和社会保障部”和“工业和信息化部”联合颁发的信息系统项目管理师证书，满足得</w:t>
            </w:r>
            <w:r>
              <w:t xml:space="preserve">3</w:t>
            </w:r>
            <w:r>
              <w:rPr>
                <w:rFonts w:hint="eastAsia"/>
              </w:rPr>
              <w:t xml:space="preserve">分，其他得</w:t>
            </w:r>
            <w:r>
              <w:t xml:space="preserve">0</w:t>
            </w:r>
            <w:r>
              <w:rPr>
                <w:rFonts w:hint="eastAsia"/>
              </w:rPr>
              <w:t xml:space="preserve">分。</w:t>
            </w:r>
            <w:r/>
          </w:p>
          <w:p>
            <w:pPr>
              <w:pStyle w:val="738"/>
              <w:jc w:val="left"/>
              <w:rPr>
                <w:color w:val="000000"/>
              </w:rPr>
            </w:pPr>
            <w:r>
              <w:rPr>
                <w:rFonts w:hint="eastAsia"/>
              </w:rPr>
              <w:t xml:space="preserve">注：供应商需提供在有效期内的证书扫描件或复印件，或官方查询证明，加盖供应商公章，并同时提交该人员在投标截止日期前3个月内任意一个月投标人为其缴纳社保的证明或服务人员与供应商签订的有效期内的劳动合同复印件。</w:t>
            </w:r>
            <w:r>
              <w:rPr>
                <w:color w:val="000000"/>
              </w:rPr>
            </w:r>
            <w:r/>
          </w:p>
        </w:tc>
        <w:tc>
          <w:tcPr>
            <w:tcW w:w="467" w:type="dxa"/>
            <w:vAlign w:val="center"/>
            <w:textDirection w:val="lrTb"/>
            <w:noWrap w:val="false"/>
          </w:tcPr>
          <w:p>
            <w:pPr>
              <w:pStyle w:val="738"/>
              <w:jc w:val="left"/>
              <w:rPr>
                <w:color w:val="000000"/>
              </w:rPr>
            </w:pPr>
            <w:r>
              <w:t xml:space="preserve">3</w:t>
            </w:r>
            <w:r>
              <w:rPr>
                <w:color w:val="000000"/>
              </w:rPr>
            </w:r>
            <w:r/>
          </w:p>
        </w:tc>
      </w:tr>
      <w:tr>
        <w:trPr>
          <w:cantSplit/>
        </w:trPr>
        <w:tc>
          <w:tcPr>
            <w:tcW w:w="874" w:type="dxa"/>
            <w:vAlign w:val="center"/>
            <w:vMerge w:val="continue"/>
            <w:textDirection w:val="lrTb"/>
            <w:noWrap w:val="false"/>
          </w:tcPr>
          <w:p>
            <w:pPr>
              <w:pStyle w:val="738"/>
              <w:jc w:val="left"/>
            </w:pPr>
            <w:r/>
            <w:r/>
          </w:p>
        </w:tc>
        <w:tc>
          <w:tcPr>
            <w:tcW w:w="1719" w:type="dxa"/>
            <w:vAlign w:val="center"/>
            <w:vMerge w:val="restart"/>
            <w:textDirection w:val="lrTb"/>
            <w:noWrap w:val="false"/>
          </w:tcPr>
          <w:p>
            <w:pPr>
              <w:pStyle w:val="738"/>
              <w:jc w:val="left"/>
              <w:rPr>
                <w:rFonts w:hint="eastAsia"/>
                <w:color w:val="000000"/>
              </w:rPr>
            </w:pPr>
            <w:r>
              <w:rPr>
                <w:rFonts w:hint="eastAsia"/>
                <w:color w:val="000000"/>
              </w:rPr>
              <w:t xml:space="preserve">5.2项目团队AI技术负责人（5分）</w:t>
            </w:r>
            <w:r>
              <w:rPr>
                <w:rFonts w:hint="eastAsia"/>
                <w:color w:val="000000"/>
              </w:rPr>
            </w:r>
            <w:r/>
          </w:p>
        </w:tc>
        <w:tc>
          <w:tcPr>
            <w:tcW w:w="6109" w:type="dxa"/>
            <w:vAlign w:val="center"/>
            <w:textDirection w:val="lrTb"/>
            <w:noWrap w:val="false"/>
          </w:tcPr>
          <w:p>
            <w:pPr>
              <w:pStyle w:val="738"/>
              <w:jc w:val="left"/>
            </w:pPr>
            <w:r>
              <w:rPr>
                <w:rFonts w:hint="eastAsia"/>
              </w:rPr>
              <w:t xml:space="preserve">具有计算机相关专业本科及以上学历，满足得2分，其他得</w:t>
            </w:r>
            <w:r>
              <w:t xml:space="preserve">0</w:t>
            </w:r>
            <w:r>
              <w:rPr>
                <w:rFonts w:hint="eastAsia"/>
              </w:rPr>
              <w:t xml:space="preserve">分。</w:t>
            </w:r>
            <w:r/>
          </w:p>
          <w:p>
            <w:pPr>
              <w:pStyle w:val="738"/>
              <w:jc w:val="left"/>
              <w:rPr>
                <w:rFonts w:hint="eastAsia"/>
                <w:color w:val="000000"/>
              </w:rPr>
            </w:pPr>
            <w:r>
              <w:rPr>
                <w:rFonts w:hint="eastAsia"/>
              </w:rPr>
              <w:t xml:space="preserve">注：供应商需提供在有效期内的证书扫描件或复印件，或官方查询证明，加盖供应商公章，并同时提交该人员在投标截止日期前3个月内任意一个月投标人为其缴纳社保的证明或服务人员与供应商签订的有效期内的劳动合同复印件。</w:t>
            </w:r>
            <w:r>
              <w:rPr>
                <w:rFonts w:hint="eastAsia"/>
                <w:color w:val="000000"/>
              </w:rPr>
            </w:r>
            <w:r/>
          </w:p>
        </w:tc>
        <w:tc>
          <w:tcPr>
            <w:tcW w:w="467" w:type="dxa"/>
            <w:vAlign w:val="center"/>
            <w:textDirection w:val="lrTb"/>
            <w:noWrap w:val="false"/>
          </w:tcPr>
          <w:p>
            <w:pPr>
              <w:pStyle w:val="738"/>
              <w:jc w:val="left"/>
              <w:rPr>
                <w:rFonts w:hint="eastAsia"/>
              </w:rPr>
            </w:pPr>
            <w:r>
              <w:rPr>
                <w:rFonts w:hint="eastAsia"/>
              </w:rPr>
              <w:t xml:space="preserve">2</w:t>
            </w:r>
            <w:r>
              <w:rPr>
                <w:rFonts w:hint="eastAsia"/>
              </w:rPr>
            </w:r>
            <w:r/>
          </w:p>
        </w:tc>
      </w:tr>
      <w:tr>
        <w:trPr>
          <w:cantSplit/>
        </w:trPr>
        <w:tc>
          <w:tcPr>
            <w:tcW w:w="874" w:type="dxa"/>
            <w:vAlign w:val="center"/>
            <w:vMerge w:val="continue"/>
            <w:textDirection w:val="lrTb"/>
            <w:noWrap w:val="false"/>
          </w:tcPr>
          <w:p>
            <w:pPr>
              <w:pStyle w:val="738"/>
              <w:jc w:val="left"/>
            </w:pPr>
            <w:r/>
            <w:r/>
          </w:p>
        </w:tc>
        <w:tc>
          <w:tcPr>
            <w:tcW w:w="1719" w:type="dxa"/>
            <w:vAlign w:val="center"/>
            <w:vMerge w:val="continue"/>
            <w:textDirection w:val="lrTb"/>
            <w:noWrap w:val="false"/>
          </w:tcPr>
          <w:p>
            <w:pPr>
              <w:pStyle w:val="738"/>
              <w:jc w:val="left"/>
              <w:rPr>
                <w:color w:val="000000"/>
              </w:rPr>
            </w:pPr>
            <w:r>
              <w:rPr>
                <w:color w:val="000000"/>
              </w:rPr>
            </w:r>
            <w:r/>
          </w:p>
        </w:tc>
        <w:tc>
          <w:tcPr>
            <w:tcW w:w="6109" w:type="dxa"/>
            <w:vAlign w:val="center"/>
            <w:textDirection w:val="lrTb"/>
            <w:noWrap w:val="false"/>
          </w:tcPr>
          <w:p>
            <w:pPr>
              <w:pStyle w:val="738"/>
              <w:jc w:val="left"/>
            </w:pPr>
            <w:r>
              <w:rPr>
                <w:rFonts w:hint="eastAsia"/>
              </w:rPr>
              <w:t xml:space="preserve">具有类似人工智能或大模型应用开发经验，满足得</w:t>
            </w:r>
            <w:r>
              <w:t xml:space="preserve">3</w:t>
            </w:r>
            <w:r>
              <w:rPr>
                <w:rFonts w:hint="eastAsia"/>
              </w:rPr>
              <w:t xml:space="preserve">分，其他得</w:t>
            </w:r>
            <w:r>
              <w:t xml:space="preserve">0</w:t>
            </w:r>
            <w:r>
              <w:rPr>
                <w:rFonts w:hint="eastAsia"/>
              </w:rPr>
              <w:t xml:space="preserve">分。</w:t>
            </w:r>
            <w:r/>
          </w:p>
          <w:p>
            <w:pPr>
              <w:pStyle w:val="738"/>
              <w:jc w:val="left"/>
            </w:pPr>
            <w:r>
              <w:rPr>
                <w:rFonts w:hint="eastAsia"/>
              </w:rPr>
              <w:t xml:space="preserve">注：供应商需提供该人员在供应商的工作经验证明并加盖供应商公章，同时提交该人员在投标截止日期前3个月内任意一个月投标人为其缴纳社保的证明或服务人员与供应商签订的有效期内的劳动合同复印件。</w:t>
            </w:r>
            <w:r/>
          </w:p>
        </w:tc>
        <w:tc>
          <w:tcPr>
            <w:tcW w:w="467" w:type="dxa"/>
            <w:vAlign w:val="center"/>
            <w:textDirection w:val="lrTb"/>
            <w:noWrap w:val="false"/>
          </w:tcPr>
          <w:p>
            <w:pPr>
              <w:pStyle w:val="738"/>
              <w:jc w:val="left"/>
            </w:pPr>
            <w:r>
              <w:rPr>
                <w:rFonts w:hint="eastAsia"/>
              </w:rPr>
              <w:t xml:space="preserve">3</w:t>
            </w:r>
            <w:r/>
          </w:p>
        </w:tc>
      </w:tr>
      <w:tr>
        <w:trPr>
          <w:cantSplit/>
          <w:trHeight w:val="6420"/>
        </w:trPr>
        <w:tc>
          <w:tcPr>
            <w:tcW w:w="874" w:type="dxa"/>
            <w:vAlign w:val="center"/>
            <w:vMerge w:val="continue"/>
            <w:textDirection w:val="lrTb"/>
            <w:noWrap w:val="false"/>
          </w:tcPr>
          <w:p>
            <w:pPr>
              <w:pStyle w:val="738"/>
              <w:jc w:val="left"/>
              <w:rPr>
                <w:color w:val="000000"/>
              </w:rPr>
            </w:pPr>
            <w:r>
              <w:rPr>
                <w:color w:val="000000"/>
              </w:rPr>
            </w:r>
            <w:r/>
          </w:p>
        </w:tc>
        <w:tc>
          <w:tcPr>
            <w:tcW w:w="1719" w:type="dxa"/>
            <w:vAlign w:val="center"/>
            <w:vMerge w:val="restart"/>
            <w:textDirection w:val="lrTb"/>
            <w:noWrap w:val="false"/>
          </w:tcPr>
          <w:p>
            <w:pPr>
              <w:pStyle w:val="738"/>
              <w:jc w:val="left"/>
              <w:rPr>
                <w:color w:val="000000"/>
              </w:rPr>
            </w:pPr>
            <w:r>
              <w:rPr>
                <w:rFonts w:hint="eastAsia"/>
                <w:color w:val="000000"/>
              </w:rPr>
              <w:t xml:space="preserve">5.3项目团队成员（27分）包含项目经理和项目团队AI技术负责人</w:t>
            </w:r>
            <w:r>
              <w:rPr>
                <w:color w:val="000000"/>
              </w:rPr>
            </w:r>
            <w:r/>
          </w:p>
        </w:tc>
        <w:tc>
          <w:tcPr>
            <w:tcW w:w="6109" w:type="dxa"/>
            <w:vAlign w:val="center"/>
            <w:textDirection w:val="lrTb"/>
            <w:noWrap w:val="false"/>
          </w:tcPr>
          <w:p>
            <w:pPr>
              <w:pStyle w:val="738"/>
              <w:jc w:val="left"/>
            </w:pPr>
            <w:r>
              <w:rPr>
                <w:rFonts w:hint="eastAsia"/>
              </w:rPr>
              <w:t xml:space="preserve">5.3.1具有“人力资源和社会保障部”和“工业和信息化部”联合颁发的数据库系统工程师证书，每提供一个得2分，最多得4分，未提供不得分。</w:t>
            </w:r>
            <w:r/>
          </w:p>
          <w:p>
            <w:pPr>
              <w:pStyle w:val="738"/>
              <w:jc w:val="left"/>
            </w:pPr>
            <w:r>
              <w:rPr>
                <w:rFonts w:hint="eastAsia"/>
              </w:rPr>
              <w:t xml:space="preserve">5.3.2具有“人力资源和社会保障部”和“工业和信息化部门”联合颁发的软件设计师证书，每提供一个得2分，最多得4分，未提供不得分。</w:t>
            </w:r>
            <w:r/>
          </w:p>
          <w:p>
            <w:pPr>
              <w:pStyle w:val="738"/>
              <w:jc w:val="left"/>
            </w:pPr>
            <w:r>
              <w:rPr>
                <w:rFonts w:hint="eastAsia"/>
              </w:rPr>
              <w:t xml:space="preserve">5.3.3具有“人力资源和社会保障部”和“工业和信息化部门”联合颁发的软件评测师证书，每提供一个得2分，最多得4分，未提供不得分。</w:t>
            </w:r>
            <w:r/>
          </w:p>
          <w:p>
            <w:pPr>
              <w:pStyle w:val="738"/>
              <w:jc w:val="left"/>
              <w:rPr>
                <w:rFonts w:hint="eastAsia"/>
              </w:rPr>
            </w:pPr>
            <w:r>
              <w:rPr>
                <w:rFonts w:hint="eastAsia"/>
              </w:rPr>
              <w:t xml:space="preserve">5.3.4具有“人力资源和社会保障部”和“工业和信息化部门”联合颁发的信息安全工程师，每提供一个得2分，最多得2分，未提供不得分。</w:t>
            </w:r>
            <w:r>
              <w:rPr>
                <w:rFonts w:hint="eastAsia"/>
              </w:rPr>
            </w:r>
            <w:r/>
          </w:p>
          <w:p>
            <w:pPr>
              <w:pStyle w:val="738"/>
              <w:jc w:val="left"/>
            </w:pPr>
            <w:r>
              <w:rPr>
                <w:rFonts w:hint="eastAsia"/>
              </w:rPr>
              <w:t xml:space="preserve">5.3.5具有“中国信息安全测评中心”颁发的注册信息安全工程师（CISP）证书，每提供一个得2分，最多得4分，未提供不得分。</w:t>
            </w:r>
            <w:r/>
          </w:p>
          <w:p>
            <w:pPr>
              <w:pStyle w:val="738"/>
              <w:jc w:val="left"/>
              <w:rPr>
                <w:rFonts w:hint="eastAsia"/>
              </w:rPr>
            </w:pPr>
            <w:r>
              <w:rPr>
                <w:rFonts w:hint="eastAsia"/>
              </w:rPr>
            </w:r>
            <w:r/>
          </w:p>
          <w:p>
            <w:pPr>
              <w:pStyle w:val="738"/>
              <w:jc w:val="left"/>
            </w:pPr>
            <w:r>
              <w:rPr>
                <w:rFonts w:hint="eastAsia"/>
              </w:rPr>
              <w:t xml:space="preserve">注：①供应商需提供在有效期内的证书扫描件或复印件或官方查询证明，加盖供应商公章，并同时提交该人员在投标截止日期前3个月内任意一个月投标人为其缴纳社保的证明或服务人员与供应商签订的有效期内的劳动合同复印件。</w:t>
            </w:r>
            <w:r/>
          </w:p>
        </w:tc>
        <w:tc>
          <w:tcPr>
            <w:tcW w:w="467" w:type="dxa"/>
            <w:vAlign w:val="center"/>
            <w:textDirection w:val="lrTb"/>
            <w:noWrap w:val="false"/>
          </w:tcPr>
          <w:p>
            <w:pPr>
              <w:pStyle w:val="738"/>
              <w:jc w:val="left"/>
            </w:pPr>
            <w:r>
              <w:rPr>
                <w:rFonts w:hint="eastAsia"/>
              </w:rPr>
              <w:t xml:space="preserve">18</w:t>
            </w:r>
            <w:r/>
          </w:p>
        </w:tc>
      </w:tr>
      <w:tr>
        <w:trPr>
          <w:cantSplit/>
        </w:trPr>
        <w:tc>
          <w:tcPr>
            <w:tcW w:w="874" w:type="dxa"/>
            <w:vAlign w:val="center"/>
            <w:vMerge w:val="continue"/>
            <w:textDirection w:val="lrTb"/>
            <w:noWrap w:val="false"/>
          </w:tcPr>
          <w:p>
            <w:pPr>
              <w:pStyle w:val="738"/>
              <w:jc w:val="left"/>
              <w:rPr>
                <w:color w:val="000000"/>
              </w:rPr>
            </w:pPr>
            <w:r>
              <w:rPr>
                <w:color w:val="000000"/>
              </w:rPr>
            </w:r>
            <w:r/>
          </w:p>
        </w:tc>
        <w:tc>
          <w:tcPr>
            <w:tcW w:w="1719" w:type="dxa"/>
            <w:vAlign w:val="center"/>
            <w:vMerge w:val="continue"/>
            <w:textDirection w:val="lrTb"/>
            <w:noWrap w:val="false"/>
          </w:tcPr>
          <w:p>
            <w:pPr>
              <w:pStyle w:val="738"/>
              <w:jc w:val="left"/>
              <w:rPr>
                <w:color w:val="000000"/>
              </w:rPr>
            </w:pPr>
            <w:r>
              <w:rPr>
                <w:color w:val="000000"/>
              </w:rPr>
            </w:r>
            <w:r/>
          </w:p>
        </w:tc>
        <w:tc>
          <w:tcPr>
            <w:tcW w:w="6109" w:type="dxa"/>
            <w:vAlign w:val="center"/>
            <w:textDirection w:val="lrTb"/>
            <w:noWrap w:val="false"/>
          </w:tcPr>
          <w:p>
            <w:pPr>
              <w:pStyle w:val="738"/>
              <w:jc w:val="left"/>
            </w:pPr>
            <w:r>
              <w:rPr>
                <w:rFonts w:hint="eastAsia"/>
              </w:rPr>
              <w:t xml:space="preserve">5.3.6具有“预算管理一体化系统”或“AI人工智能”类似项目经验，每提供一个得3分，最多得9分，未提供不得分。</w:t>
            </w:r>
            <w:r/>
          </w:p>
          <w:p>
            <w:pPr>
              <w:pStyle w:val="738"/>
              <w:jc w:val="left"/>
            </w:pPr>
            <w:r>
              <w:rPr>
                <w:rFonts w:hint="eastAsia"/>
              </w:rPr>
              <w:t xml:space="preserve">注：①供应商需提供能证明团队人员具备相关项目经验的材料，加盖用户和供应商公章，并同时提交该人员在投标截止日期前3个月内任意一个月投标人为其缴纳社保的证明或服务人员与供应商签订的有效期内的劳动合同复印件。②同一人员有多项项目经验的材料不允许重复使用、不重复得分。</w:t>
            </w:r>
            <w:r/>
          </w:p>
        </w:tc>
        <w:tc>
          <w:tcPr>
            <w:tcW w:w="467" w:type="dxa"/>
            <w:vAlign w:val="center"/>
            <w:textDirection w:val="lrTb"/>
            <w:noWrap w:val="false"/>
          </w:tcPr>
          <w:p>
            <w:pPr>
              <w:pStyle w:val="738"/>
              <w:jc w:val="left"/>
            </w:pPr>
            <w:r>
              <w:rPr>
                <w:rFonts w:hint="eastAsia"/>
              </w:rPr>
              <w:t xml:space="preserve">9</w:t>
            </w:r>
            <w:r/>
          </w:p>
        </w:tc>
      </w:tr>
    </w:tbl>
    <w:p>
      <w:pPr>
        <w:pStyle w:val="738"/>
        <w:rPr>
          <w:rFonts w:hint="eastAsia"/>
        </w:rPr>
      </w:pPr>
      <w:r>
        <w:rPr>
          <w:rFonts w:hint="eastAsia"/>
        </w:rPr>
      </w:r>
      <w:r/>
    </w:p>
    <w:p>
      <w:pPr>
        <w:pStyle w:val="738"/>
        <w:rPr>
          <w:rFonts w:hint="eastAsia"/>
        </w:rPr>
      </w:pPr>
      <w:r>
        <w:rPr>
          <w:rFonts w:hint="eastAsia"/>
        </w:rPr>
      </w:r>
      <w:r/>
    </w:p>
    <w:p>
      <w:pPr>
        <w:pStyle w:val="742"/>
        <w:rPr>
          <w:rFonts w:hint="eastAsia"/>
        </w:rPr>
      </w:pPr>
      <w:r>
        <w:rPr>
          <w:rFonts w:hint="eastAsia"/>
        </w:rPr>
      </w:r>
      <w:r/>
    </w:p>
    <w:p>
      <w:pPr>
        <w:pStyle w:val="738"/>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2"/>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38"/>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2"/>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38"/>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2"/>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38"/>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2"/>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38"/>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2"/>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38"/>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42"/>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38"/>
        <w:rPr>
          <w:rFonts w:hint="eastAsia"/>
        </w:rPr>
      </w:pPr>
      <w:r>
        <w:rPr>
          <w:rFonts w:hint="eastAsia"/>
        </w:rPr>
      </w:r>
      <w:r/>
    </w:p>
    <w:p>
      <w:pPr>
        <w:pStyle w:val="738"/>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0"/>
      <w:r/>
      <w:bookmarkEnd w:id="161"/>
      <w:r/>
      <w:bookmarkEnd w:id="165"/>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738"/>
        <w:jc w:val="center"/>
        <w:rPr>
          <w:rFonts w:hint="eastAsia" w:ascii="宋体" w:hAnsi="宋体"/>
          <w:b/>
          <w:sz w:val="28"/>
          <w:szCs w:val="28"/>
        </w:rPr>
      </w:pPr>
      <w:r/>
      <w:bookmarkStart w:id="171" w:name="_Hlt26955039"/>
      <w:r/>
      <w:bookmarkEnd w:id="171"/>
      <w:r/>
      <w:bookmarkStart w:id="172" w:name="_Hlt26671244"/>
      <w:r/>
      <w:bookmarkEnd w:id="172"/>
      <w:r/>
      <w:bookmarkStart w:id="173" w:name="_Toc120614282"/>
      <w:r/>
      <w:bookmarkStart w:id="174" w:name="_Toc26554094"/>
      <w:r/>
      <w:bookmarkStart w:id="175" w:name="_Toc49090576"/>
      <w:r>
        <w:rPr>
          <w:rFonts w:hint="eastAsia" w:ascii="宋体" w:hAnsi="宋体"/>
          <w:b/>
          <w:sz w:val="28"/>
          <w:szCs w:val="28"/>
        </w:rPr>
      </w:r>
      <w:r/>
    </w:p>
    <w:p>
      <w:pPr>
        <w:pStyle w:val="738"/>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738"/>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738"/>
        <w:jc w:val="center"/>
        <w:rPr>
          <w:rFonts w:hint="eastAsia" w:ascii="宋体" w:hAnsi="宋体"/>
          <w:b/>
          <w:sz w:val="28"/>
          <w:szCs w:val="28"/>
        </w:rPr>
      </w:pPr>
      <w:r>
        <w:rPr>
          <w:rFonts w:hint="eastAsia" w:ascii="宋体" w:hAnsi="宋体"/>
          <w:b/>
          <w:sz w:val="28"/>
          <w:szCs w:val="28"/>
        </w:rPr>
      </w:r>
      <w:r/>
    </w:p>
    <w:p>
      <w:pPr>
        <w:pStyle w:val="738"/>
        <w:jc w:val="center"/>
        <w:rPr>
          <w:rFonts w:hint="eastAsia" w:ascii="宋体" w:hAnsi="宋体"/>
          <w:b/>
          <w:sz w:val="28"/>
          <w:szCs w:val="28"/>
        </w:rPr>
      </w:pPr>
      <w:r>
        <w:rPr>
          <w:rFonts w:hint="eastAsia" w:ascii="宋体" w:hAnsi="宋体"/>
          <w:b/>
          <w:sz w:val="28"/>
          <w:szCs w:val="28"/>
        </w:rPr>
      </w:r>
      <w:r/>
    </w:p>
    <w:p>
      <w:pPr>
        <w:pStyle w:val="738"/>
        <w:jc w:val="center"/>
        <w:rPr>
          <w:rFonts w:hint="eastAsia" w:ascii="宋体" w:hAnsi="宋体"/>
          <w:b/>
          <w:sz w:val="28"/>
          <w:szCs w:val="28"/>
        </w:rPr>
      </w:pPr>
      <w:r>
        <w:rPr>
          <w:rFonts w:hint="eastAsia" w:ascii="宋体" w:hAnsi="宋体"/>
          <w:b/>
          <w:sz w:val="28"/>
          <w:szCs w:val="28"/>
        </w:rPr>
      </w:r>
      <w:r/>
    </w:p>
    <w:p>
      <w:pPr>
        <w:pStyle w:val="738"/>
        <w:jc w:val="center"/>
        <w:rPr>
          <w:rFonts w:hint="eastAsia" w:ascii="宋体" w:hAnsi="宋体"/>
          <w:b/>
          <w:sz w:val="28"/>
          <w:szCs w:val="28"/>
        </w:rPr>
      </w:pPr>
      <w:r>
        <w:rPr>
          <w:rFonts w:hint="eastAsia" w:ascii="宋体" w:hAnsi="宋体"/>
          <w:b/>
          <w:sz w:val="28"/>
          <w:szCs w:val="28"/>
        </w:rPr>
      </w:r>
      <w:r/>
    </w:p>
    <w:p>
      <w:pPr>
        <w:pStyle w:val="738"/>
        <w:jc w:val="center"/>
        <w:rPr>
          <w:rFonts w:hint="eastAsia" w:ascii="宋体" w:hAnsi="宋体"/>
          <w:b/>
          <w:sz w:val="28"/>
          <w:szCs w:val="28"/>
        </w:rPr>
      </w:pPr>
      <w:r>
        <w:rPr>
          <w:rFonts w:hint="eastAsia" w:ascii="宋体" w:hAnsi="宋体"/>
          <w:b/>
          <w:sz w:val="28"/>
          <w:szCs w:val="28"/>
        </w:rPr>
      </w:r>
      <w:r/>
    </w:p>
    <w:p>
      <w:pPr>
        <w:pStyle w:val="738"/>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738"/>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3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73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38"/>
        <w:jc w:val="center"/>
        <w:spacing w:line="440" w:lineRule="exact"/>
        <w:rPr>
          <w:rFonts w:hint="eastAsia" w:ascii="宋体" w:hAnsi="宋体"/>
          <w:b/>
          <w:bCs/>
          <w:sz w:val="32"/>
          <w:szCs w:val="32"/>
        </w:rPr>
      </w:pPr>
      <w:r>
        <w:rPr>
          <w:rFonts w:hint="eastAsia" w:ascii="宋体" w:hAnsi="宋体"/>
          <w:b/>
          <w:bCs/>
          <w:sz w:val="32"/>
          <w:szCs w:val="32"/>
        </w:rPr>
      </w:r>
      <w:r/>
    </w:p>
    <w:p>
      <w:pPr>
        <w:pStyle w:val="738"/>
        <w:spacing w:line="440" w:lineRule="exact"/>
        <w:rPr>
          <w:rFonts w:ascii="宋体" w:hAnsi="宋体"/>
        </w:rPr>
      </w:pPr>
      <w:r>
        <w:rPr>
          <w:rFonts w:ascii="宋体" w:hAnsi="宋体"/>
        </w:rPr>
      </w:r>
      <w:r/>
    </w:p>
    <w:p>
      <w:pPr>
        <w:pStyle w:val="73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38"/>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738"/>
        <w:jc w:val="center"/>
        <w:spacing w:line="400" w:lineRule="exact"/>
        <w:rPr>
          <w:rFonts w:hint="eastAsia" w:ascii="宋体" w:hAnsi="宋体"/>
          <w:b/>
          <w:bCs/>
          <w:sz w:val="28"/>
          <w:szCs w:val="28"/>
        </w:rPr>
      </w:pPr>
      <w:r>
        <w:rPr>
          <w:rFonts w:hint="eastAsia" w:ascii="宋体" w:hAnsi="宋体"/>
          <w:b/>
          <w:bCs/>
          <w:sz w:val="28"/>
          <w:szCs w:val="28"/>
        </w:rPr>
      </w:r>
      <w:r/>
    </w:p>
    <w:p>
      <w:pPr>
        <w:pStyle w:val="73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738"/>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eastAsia="方正仿宋_GBK"/>
          <w:color w:val="000000"/>
          <w:sz w:val="28"/>
          <w:szCs w:val="28"/>
        </w:rPr>
        <w:t xml:space="preserve">XXXX</w:t>
      </w:r>
      <w:r>
        <w:rPr>
          <w:rFonts w:hint="eastAsia" w:ascii="方正仿宋_GBK" w:hAnsi="方正仿宋_GBK" w:eastAsia="方正仿宋_GBK" w:cs="方正仿宋_GBK"/>
          <w:color w:val="000000"/>
          <w:sz w:val="28"/>
          <w:szCs w:val="28"/>
        </w:rPr>
        <w:t xml:space="preserve">（格式见附件</w:t>
      </w:r>
      <w:r>
        <w:rPr>
          <w:rFonts w:hint="eastAsia" w:eastAsia="方正仿宋_GBK"/>
          <w:color w:val="000000"/>
          <w:sz w:val="28"/>
          <w:szCs w:val="28"/>
        </w:rPr>
        <w:t xml:space="preserve">XX</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3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73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73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738"/>
        <w:spacing w:line="400" w:lineRule="exact"/>
        <w:rPr>
          <w:rFonts w:ascii="宋体" w:hAnsi="宋体"/>
          <w:sz w:val="28"/>
          <w:szCs w:val="28"/>
        </w:rPr>
      </w:pPr>
      <w:r>
        <w:rPr>
          <w:rFonts w:ascii="宋体" w:hAnsi="宋体"/>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ascii="宋体" w:hAnsi="宋体"/>
          <w:b/>
          <w:color w:val="ff0000"/>
          <w:sz w:val="28"/>
          <w:szCs w:val="28"/>
        </w:rPr>
      </w:pPr>
      <w:r>
        <w:rPr>
          <w:rFonts w:ascii="宋体" w:hAnsi="宋体"/>
          <w:b/>
          <w:color w:val="ff0000"/>
          <w:sz w:val="28"/>
          <w:szCs w:val="28"/>
        </w:rPr>
      </w:r>
      <w:r/>
    </w:p>
    <w:p>
      <w:pPr>
        <w:pStyle w:val="738"/>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73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38"/>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73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8"/>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3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825"/>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738"/>
        <w:ind w:firstLine="480"/>
        <w:spacing w:line="400" w:lineRule="exact"/>
        <w:rPr>
          <w:rFonts w:hint="eastAsia" w:ascii="宋体" w:hAnsi="宋体"/>
          <w:sz w:val="28"/>
          <w:szCs w:val="28"/>
        </w:rPr>
      </w:pPr>
      <w:r>
        <w:rPr>
          <w:rFonts w:hint="eastAsia" w:ascii="宋体" w:hAnsi="宋体"/>
          <w:sz w:val="28"/>
          <w:szCs w:val="28"/>
        </w:rPr>
      </w:r>
      <w:r/>
    </w:p>
    <w:p>
      <w:pPr>
        <w:pStyle w:val="738"/>
        <w:spacing w:line="400" w:lineRule="exact"/>
        <w:rPr>
          <w:rFonts w:ascii="宋体" w:hAnsi="宋体"/>
          <w:sz w:val="28"/>
          <w:szCs w:val="28"/>
        </w:rPr>
      </w:pPr>
      <w:r>
        <w:rPr>
          <w:rFonts w:ascii="宋体" w:hAnsi="宋体"/>
          <w:sz w:val="28"/>
          <w:szCs w:val="28"/>
        </w:rPr>
      </w:r>
      <w:r/>
    </w:p>
    <w:p>
      <w:pPr>
        <w:pStyle w:val="738"/>
        <w:spacing w:line="400" w:lineRule="exact"/>
        <w:rPr>
          <w:rFonts w:ascii="宋体" w:hAnsi="宋体"/>
          <w:sz w:val="28"/>
          <w:szCs w:val="28"/>
        </w:rPr>
      </w:pPr>
      <w:r>
        <w:rPr>
          <w:rFonts w:ascii="宋体" w:hAnsi="宋体"/>
          <w:sz w:val="28"/>
          <w:szCs w:val="28"/>
        </w:rPr>
      </w:r>
      <w:r/>
    </w:p>
    <w:p>
      <w:pPr>
        <w:pStyle w:val="738"/>
        <w:spacing w:line="400" w:lineRule="exact"/>
        <w:rPr>
          <w:rFonts w:ascii="宋体" w:hAnsi="宋体"/>
          <w:sz w:val="28"/>
          <w:szCs w:val="28"/>
        </w:rPr>
      </w:pPr>
      <w:r>
        <w:rPr>
          <w:rFonts w:ascii="宋体" w:hAnsi="宋体"/>
          <w:sz w:val="28"/>
          <w:szCs w:val="28"/>
        </w:rPr>
      </w:r>
      <w:r/>
    </w:p>
    <w:p>
      <w:pPr>
        <w:pStyle w:val="738"/>
        <w:spacing w:line="400" w:lineRule="exact"/>
        <w:rPr>
          <w:rFonts w:ascii="宋体" w:hAnsi="宋体"/>
          <w:sz w:val="28"/>
          <w:szCs w:val="28"/>
        </w:rPr>
      </w:pPr>
      <w:r>
        <w:rPr>
          <w:rFonts w:ascii="宋体" w:hAnsi="宋体"/>
          <w:sz w:val="28"/>
          <w:szCs w:val="28"/>
        </w:rPr>
      </w:r>
      <w:r/>
    </w:p>
    <w:p>
      <w:pPr>
        <w:pStyle w:val="738"/>
        <w:spacing w:line="400" w:lineRule="exact"/>
        <w:rPr>
          <w:rFonts w:ascii="宋体" w:hAnsi="宋体"/>
          <w:sz w:val="28"/>
          <w:szCs w:val="28"/>
        </w:rPr>
      </w:pPr>
      <w:r>
        <w:rPr>
          <w:rFonts w:ascii="宋体" w:hAnsi="宋体"/>
          <w:sz w:val="28"/>
          <w:szCs w:val="28"/>
        </w:rPr>
      </w:r>
      <w:r/>
    </w:p>
    <w:p>
      <w:pPr>
        <w:pStyle w:val="738"/>
        <w:spacing w:line="400" w:lineRule="exact"/>
        <w:rPr>
          <w:rFonts w:ascii="宋体" w:hAnsi="宋体"/>
          <w:sz w:val="28"/>
          <w:szCs w:val="28"/>
        </w:rPr>
      </w:pPr>
      <w:r>
        <w:rPr>
          <w:rFonts w:ascii="宋体" w:hAnsi="宋体"/>
          <w:sz w:val="28"/>
          <w:szCs w:val="28"/>
        </w:rPr>
      </w:r>
      <w:r/>
    </w:p>
    <w:p>
      <w:pPr>
        <w:pStyle w:val="738"/>
        <w:spacing w:line="400" w:lineRule="exact"/>
        <w:rPr>
          <w:rFonts w:ascii="宋体" w:hAnsi="宋体"/>
          <w:sz w:val="28"/>
          <w:szCs w:val="28"/>
        </w:rPr>
      </w:pPr>
      <w:r>
        <w:rPr>
          <w:rFonts w:ascii="宋体" w:hAnsi="宋体"/>
          <w:sz w:val="28"/>
          <w:szCs w:val="28"/>
        </w:rPr>
      </w:r>
      <w:r/>
    </w:p>
    <w:p>
      <w:pPr>
        <w:pStyle w:val="738"/>
        <w:spacing w:line="400" w:lineRule="exact"/>
        <w:rPr>
          <w:rFonts w:ascii="宋体" w:hAnsi="宋体"/>
          <w:sz w:val="28"/>
          <w:szCs w:val="28"/>
        </w:rPr>
      </w:pPr>
      <w:r>
        <w:rPr>
          <w:rFonts w:ascii="宋体" w:hAnsi="宋体"/>
          <w:sz w:val="28"/>
          <w:szCs w:val="28"/>
        </w:rPr>
      </w:r>
      <w:r/>
    </w:p>
    <w:p>
      <w:pPr>
        <w:pStyle w:val="738"/>
        <w:spacing w:line="400" w:lineRule="exact"/>
        <w:rPr>
          <w:rFonts w:ascii="宋体" w:hAnsi="宋体"/>
          <w:sz w:val="28"/>
          <w:szCs w:val="28"/>
        </w:rPr>
      </w:pPr>
      <w:r>
        <w:rPr>
          <w:rFonts w:ascii="宋体" w:hAnsi="宋体"/>
          <w:sz w:val="28"/>
          <w:szCs w:val="28"/>
        </w:rPr>
      </w:r>
      <w:r/>
    </w:p>
    <w:p>
      <w:pPr>
        <w:pStyle w:val="738"/>
        <w:spacing w:line="400" w:lineRule="exact"/>
        <w:rPr>
          <w:rFonts w:ascii="宋体" w:hAnsi="宋体"/>
          <w:sz w:val="28"/>
          <w:szCs w:val="28"/>
        </w:rPr>
      </w:pPr>
      <w:r>
        <w:rPr>
          <w:rFonts w:ascii="宋体" w:hAnsi="宋体"/>
          <w:sz w:val="28"/>
          <w:szCs w:val="28"/>
        </w:rPr>
      </w:r>
      <w:r/>
    </w:p>
    <w:p>
      <w:pPr>
        <w:pStyle w:val="73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73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80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73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3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73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38"/>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738"/>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3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8"/>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738"/>
        <w:spacing w:line="400" w:lineRule="exact"/>
        <w:rPr>
          <w:rFonts w:ascii="宋体" w:hAnsi="宋体"/>
          <w:sz w:val="28"/>
          <w:szCs w:val="28"/>
        </w:rPr>
      </w:pPr>
      <w:r>
        <w:rPr>
          <w:rFonts w:ascii="宋体" w:hAnsi="宋体"/>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8"/>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73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8"/>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73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8"/>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73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73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3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38"/>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8"/>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3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8"/>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8"/>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738"/>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8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8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8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8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8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8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82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8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82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2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2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2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2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738"/>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25"/>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738"/>
        <w:ind w:firstLine="560"/>
        <w:spacing w:line="400" w:lineRule="exact"/>
        <w:rPr>
          <w:rFonts w:ascii="宋体" w:hAnsi="宋体"/>
          <w:sz w:val="28"/>
          <w:szCs w:val="28"/>
        </w:rPr>
      </w:pPr>
      <w:r>
        <w:rPr>
          <w:rFonts w:ascii="宋体" w:hAnsi="宋体"/>
          <w:sz w:val="28"/>
          <w:szCs w:val="28"/>
        </w:rPr>
      </w:r>
      <w:r/>
    </w:p>
    <w:p>
      <w:pPr>
        <w:pStyle w:val="738"/>
        <w:ind w:firstLine="560"/>
        <w:spacing w:line="400" w:lineRule="exact"/>
        <w:rPr>
          <w:rFonts w:ascii="宋体" w:hAnsi="宋体"/>
          <w:sz w:val="28"/>
          <w:szCs w:val="28"/>
        </w:rPr>
      </w:pPr>
      <w:r>
        <w:rPr>
          <w:rFonts w:ascii="宋体" w:hAnsi="宋体"/>
          <w:sz w:val="28"/>
          <w:szCs w:val="28"/>
        </w:rPr>
      </w:r>
      <w:r/>
    </w:p>
    <w:p>
      <w:pPr>
        <w:pStyle w:val="738"/>
        <w:ind w:firstLine="560"/>
        <w:spacing w:line="400" w:lineRule="exact"/>
        <w:rPr>
          <w:rFonts w:ascii="宋体" w:hAnsi="宋体"/>
          <w:sz w:val="28"/>
          <w:szCs w:val="28"/>
        </w:rPr>
      </w:pPr>
      <w:r>
        <w:rPr>
          <w:rFonts w:ascii="宋体" w:hAnsi="宋体"/>
          <w:sz w:val="28"/>
          <w:szCs w:val="28"/>
        </w:rPr>
      </w:r>
      <w:r/>
    </w:p>
    <w:p>
      <w:pPr>
        <w:pStyle w:val="738"/>
        <w:ind w:firstLine="560"/>
        <w:spacing w:line="400" w:lineRule="exact"/>
        <w:rPr>
          <w:rFonts w:ascii="宋体" w:hAnsi="宋体"/>
          <w:sz w:val="28"/>
          <w:szCs w:val="28"/>
        </w:rPr>
      </w:pPr>
      <w:r>
        <w:rPr>
          <w:rFonts w:ascii="宋体" w:hAnsi="宋体"/>
          <w:sz w:val="28"/>
          <w:szCs w:val="28"/>
        </w:rPr>
      </w:r>
      <w:r/>
    </w:p>
    <w:p>
      <w:pPr>
        <w:pStyle w:val="738"/>
        <w:ind w:firstLine="560"/>
        <w:spacing w:line="400" w:lineRule="exact"/>
        <w:rPr>
          <w:rFonts w:ascii="宋体" w:hAnsi="宋体"/>
          <w:sz w:val="28"/>
          <w:szCs w:val="28"/>
        </w:rPr>
      </w:pPr>
      <w:r>
        <w:rPr>
          <w:rFonts w:ascii="宋体" w:hAnsi="宋体"/>
          <w:sz w:val="28"/>
          <w:szCs w:val="28"/>
        </w:rPr>
      </w:r>
      <w:r/>
    </w:p>
    <w:p>
      <w:pPr>
        <w:pStyle w:val="738"/>
        <w:jc w:val="center"/>
        <w:spacing w:line="400" w:lineRule="exact"/>
        <w:rPr>
          <w:rFonts w:hint="eastAsia" w:ascii="方正黑体_GBK" w:hAnsi="方正黑体_GBK" w:eastAsia="方正黑体_GBK" w:cs="方正黑体_GBK"/>
          <w:bCs/>
          <w:sz w:val="28"/>
          <w:szCs w:val="28"/>
        </w:rPr>
      </w:pPr>
      <w:r/>
      <w:bookmarkEnd w:id="173"/>
      <w:r/>
      <w:bookmarkEnd w:id="174"/>
      <w:r/>
      <w:bookmarkEnd w:id="175"/>
      <w:r/>
      <w:bookmarkStart w:id="176"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38"/>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8"/>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738"/>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8"/>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38"/>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38"/>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38"/>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738"/>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8"/>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8"/>
        <w:spacing w:line="400" w:lineRule="exact"/>
        <w:rPr>
          <w:rFonts w:hint="eastAsia" w:ascii="黑体" w:hAnsi="黑体" w:eastAsia="黑体"/>
          <w:b/>
          <w:sz w:val="28"/>
          <w:szCs w:val="28"/>
        </w:rPr>
      </w:pPr>
      <w:r>
        <w:rPr>
          <w:rFonts w:hint="eastAsia" w:ascii="黑体" w:hAnsi="黑体" w:eastAsia="黑体"/>
          <w:b/>
          <w:sz w:val="28"/>
          <w:szCs w:val="28"/>
        </w:rPr>
      </w:r>
      <w:r/>
    </w:p>
    <w:p>
      <w:pPr>
        <w:pStyle w:val="738"/>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8"/>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38"/>
        <w:ind w:firstLine="645"/>
        <w:spacing w:line="400" w:lineRule="exact"/>
        <w:rPr>
          <w:rFonts w:hint="eastAsia" w:ascii="宋体" w:hAnsi="宋体"/>
          <w:sz w:val="28"/>
          <w:szCs w:val="28"/>
        </w:rPr>
      </w:pPr>
      <w:r>
        <w:rPr>
          <w:rFonts w:hint="eastAsia" w:ascii="宋体" w:hAnsi="宋体"/>
          <w:sz w:val="28"/>
          <w:szCs w:val="28"/>
        </w:rPr>
      </w:r>
      <w:r/>
    </w:p>
    <w:p>
      <w:pPr>
        <w:pStyle w:val="738"/>
        <w:spacing w:line="400" w:lineRule="exact"/>
        <w:rPr>
          <w:rFonts w:hint="eastAsia" w:ascii="宋体" w:hAnsi="宋体"/>
          <w:sz w:val="28"/>
          <w:szCs w:val="28"/>
        </w:rPr>
      </w:pPr>
      <w:r>
        <w:rPr>
          <w:rFonts w:hint="eastAsia" w:ascii="宋体" w:hAnsi="宋体"/>
          <w:sz w:val="28"/>
          <w:szCs w:val="28"/>
        </w:rPr>
      </w:r>
      <w:r/>
    </w:p>
    <w:p>
      <w:pPr>
        <w:pStyle w:val="738"/>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3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738"/>
        <w:spacing w:line="400" w:lineRule="exact"/>
        <w:rPr>
          <w:rFonts w:hint="eastAsia" w:ascii="宋体" w:hAnsi="宋体"/>
          <w:color w:val="ff0000"/>
          <w:sz w:val="28"/>
          <w:szCs w:val="28"/>
        </w:rPr>
      </w:pPr>
      <w:r>
        <w:rPr>
          <w:rFonts w:hint="eastAsia" w:ascii="宋体" w:hAnsi="宋体"/>
          <w:color w:val="ff0000"/>
          <w:sz w:val="28"/>
          <w:szCs w:val="28"/>
        </w:rPr>
      </w:r>
      <w:r/>
    </w:p>
    <w:p>
      <w:pPr>
        <w:pStyle w:val="738"/>
        <w:jc w:val="center"/>
        <w:spacing w:line="400" w:lineRule="exact"/>
        <w:rPr>
          <w:rFonts w:hint="eastAsia" w:ascii="宋体" w:hAnsi="宋体" w:cs="宋体"/>
          <w:b/>
          <w:sz w:val="28"/>
          <w:szCs w:val="28"/>
        </w:rPr>
      </w:pPr>
      <w:r>
        <w:rPr>
          <w:rFonts w:hint="eastAsia" w:ascii="宋体" w:hAnsi="宋体" w:cs="宋体"/>
          <w:b/>
          <w:sz w:val="28"/>
          <w:szCs w:val="28"/>
        </w:rPr>
      </w:r>
      <w:r/>
    </w:p>
    <w:p>
      <w:pPr>
        <w:pStyle w:val="738"/>
        <w:jc w:val="center"/>
        <w:spacing w:line="400" w:lineRule="exact"/>
        <w:rPr>
          <w:rFonts w:hint="eastAsia" w:ascii="宋体" w:hAnsi="宋体" w:cs="宋体"/>
          <w:b/>
          <w:sz w:val="28"/>
          <w:szCs w:val="28"/>
        </w:rPr>
      </w:pPr>
      <w:r>
        <w:rPr>
          <w:rFonts w:hint="eastAsia" w:ascii="宋体" w:hAnsi="宋体" w:cs="宋体"/>
          <w:b/>
          <w:sz w:val="28"/>
          <w:szCs w:val="28"/>
        </w:rPr>
      </w:r>
      <w:r/>
    </w:p>
    <w:p>
      <w:pPr>
        <w:pStyle w:val="738"/>
        <w:jc w:val="center"/>
        <w:spacing w:line="400" w:lineRule="exact"/>
        <w:rPr>
          <w:rFonts w:hint="eastAsia" w:ascii="宋体" w:hAnsi="宋体" w:cs="宋体"/>
          <w:b/>
          <w:sz w:val="28"/>
          <w:szCs w:val="28"/>
        </w:rPr>
      </w:pPr>
      <w:r>
        <w:rPr>
          <w:rFonts w:hint="eastAsia" w:ascii="宋体" w:hAnsi="宋体" w:cs="宋体"/>
          <w:b/>
          <w:sz w:val="28"/>
          <w:szCs w:val="28"/>
        </w:rPr>
      </w:r>
      <w:r/>
    </w:p>
    <w:p>
      <w:pPr>
        <w:pStyle w:val="738"/>
        <w:jc w:val="center"/>
        <w:spacing w:line="400" w:lineRule="exact"/>
        <w:rPr>
          <w:rFonts w:hint="eastAsia" w:ascii="宋体" w:hAnsi="宋体" w:cs="宋体"/>
          <w:b/>
          <w:sz w:val="28"/>
          <w:szCs w:val="28"/>
        </w:rPr>
      </w:pPr>
      <w:r>
        <w:rPr>
          <w:rFonts w:hint="eastAsia" w:ascii="宋体" w:hAnsi="宋体" w:cs="宋体"/>
          <w:b/>
          <w:sz w:val="28"/>
          <w:szCs w:val="28"/>
        </w:rPr>
      </w:r>
      <w:r/>
    </w:p>
    <w:p>
      <w:pPr>
        <w:pStyle w:val="738"/>
        <w:jc w:val="center"/>
        <w:spacing w:line="400" w:lineRule="exact"/>
        <w:rPr>
          <w:rFonts w:hint="eastAsia" w:ascii="宋体" w:hAnsi="宋体" w:cs="宋体"/>
          <w:b/>
          <w:sz w:val="28"/>
          <w:szCs w:val="28"/>
        </w:rPr>
      </w:pPr>
      <w:r>
        <w:rPr>
          <w:rFonts w:hint="eastAsia" w:ascii="宋体" w:hAnsi="宋体" w:cs="宋体"/>
          <w:b/>
          <w:sz w:val="28"/>
          <w:szCs w:val="28"/>
        </w:rPr>
      </w:r>
      <w:r/>
    </w:p>
    <w:p>
      <w:pPr>
        <w:pStyle w:val="738"/>
        <w:jc w:val="center"/>
        <w:spacing w:line="400" w:lineRule="exact"/>
        <w:rPr>
          <w:rFonts w:hint="eastAsia" w:ascii="宋体" w:hAnsi="宋体" w:cs="宋体"/>
          <w:b/>
          <w:sz w:val="28"/>
          <w:szCs w:val="28"/>
        </w:rPr>
      </w:pPr>
      <w:r>
        <w:rPr>
          <w:rFonts w:hint="eastAsia" w:ascii="宋体" w:hAnsi="宋体" w:cs="宋体"/>
          <w:b/>
          <w:sz w:val="28"/>
          <w:szCs w:val="28"/>
        </w:rPr>
      </w:r>
      <w:r/>
    </w:p>
    <w:p>
      <w:pPr>
        <w:pStyle w:val="738"/>
        <w:jc w:val="center"/>
        <w:spacing w:line="400" w:lineRule="exact"/>
        <w:rPr>
          <w:rFonts w:hint="eastAsia" w:ascii="宋体" w:hAnsi="宋体" w:cs="宋体"/>
          <w:b/>
          <w:sz w:val="28"/>
          <w:szCs w:val="28"/>
        </w:rPr>
      </w:pPr>
      <w:r>
        <w:rPr>
          <w:rFonts w:hint="eastAsia" w:ascii="宋体" w:hAnsi="宋体" w:cs="宋体"/>
          <w:b/>
          <w:sz w:val="28"/>
          <w:szCs w:val="28"/>
        </w:rPr>
      </w:r>
      <w:r/>
    </w:p>
    <w:p>
      <w:pPr>
        <w:pStyle w:val="738"/>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800"/>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12"/>
          <w:rFonts w:hint="eastAsia" w:ascii="方正仿宋_GBK" w:hAnsi="方正仿宋_GBK" w:eastAsia="方正仿宋_GBK" w:cs="方正仿宋_GBK"/>
          <w:i w:val="0"/>
          <w:sz w:val="28"/>
          <w:szCs w:val="28"/>
          <w:u w:val="single"/>
          <w:shd w:val="clear" w:color="auto" w:fill="ffffff"/>
        </w:rPr>
        <w:t xml:space="preserve">（产品名称1）</w:t>
      </w:r>
      <w:r>
        <w:rPr>
          <w:rStyle w:val="812"/>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12"/>
          <w:rFonts w:hint="eastAsia" w:ascii="方正仿宋_GBK" w:hAnsi="方正仿宋_GBK" w:eastAsia="方正仿宋_GBK" w:cs="方正仿宋_GBK"/>
          <w:i w:val="0"/>
          <w:sz w:val="28"/>
          <w:szCs w:val="28"/>
          <w:u w:val="single"/>
          <w:shd w:val="clear" w:color="auto" w:fill="ffffff"/>
        </w:rPr>
        <w:t xml:space="preserve">（厂名）</w:t>
      </w:r>
      <w:r>
        <w:rPr>
          <w:rStyle w:val="812"/>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1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12"/>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12"/>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1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00"/>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800"/>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80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1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738"/>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738"/>
        <w:spacing w:line="400" w:lineRule="exact"/>
        <w:rPr>
          <w:rFonts w:hint="eastAsia" w:ascii="宋体" w:hAnsi="宋体"/>
          <w:bCs/>
          <w:sz w:val="28"/>
          <w:szCs w:val="28"/>
        </w:rPr>
      </w:pPr>
      <w:r>
        <w:rPr>
          <w:rFonts w:hint="eastAsia" w:ascii="宋体" w:hAnsi="宋体"/>
          <w:bCs/>
          <w:sz w:val="28"/>
          <w:szCs w:val="28"/>
        </w:rPr>
      </w:r>
      <w:r/>
    </w:p>
    <w:p>
      <w:pPr>
        <w:pStyle w:val="738"/>
        <w:spacing w:line="400" w:lineRule="exact"/>
        <w:rPr>
          <w:rFonts w:hint="eastAsia" w:ascii="宋体" w:hAnsi="宋体"/>
          <w:bCs/>
          <w:sz w:val="28"/>
          <w:szCs w:val="28"/>
        </w:rPr>
      </w:pPr>
      <w:r>
        <w:rPr>
          <w:rFonts w:hint="eastAsia" w:ascii="宋体" w:hAnsi="宋体"/>
          <w:bCs/>
          <w:sz w:val="28"/>
          <w:szCs w:val="28"/>
        </w:rPr>
      </w:r>
      <w:r/>
    </w:p>
    <w:p>
      <w:pPr>
        <w:pStyle w:val="738"/>
        <w:spacing w:line="400" w:lineRule="exact"/>
        <w:rPr>
          <w:rFonts w:hint="eastAsia" w:ascii="宋体" w:hAnsi="宋体"/>
          <w:bCs/>
          <w:sz w:val="28"/>
          <w:szCs w:val="28"/>
        </w:rPr>
      </w:pPr>
      <w:r>
        <w:rPr>
          <w:rFonts w:hint="eastAsia" w:ascii="宋体" w:hAnsi="宋体"/>
          <w:bCs/>
          <w:sz w:val="28"/>
          <w:szCs w:val="28"/>
        </w:rPr>
      </w:r>
      <w:r/>
    </w:p>
    <w:p>
      <w:pPr>
        <w:pStyle w:val="738"/>
        <w:spacing w:line="400" w:lineRule="exact"/>
        <w:rPr>
          <w:rFonts w:hint="eastAsia" w:ascii="宋体" w:hAnsi="宋体"/>
          <w:bCs/>
          <w:sz w:val="28"/>
          <w:szCs w:val="28"/>
        </w:rPr>
      </w:pPr>
      <w:r>
        <w:rPr>
          <w:rFonts w:hint="eastAsia" w:ascii="宋体" w:hAnsi="宋体"/>
          <w:bCs/>
          <w:sz w:val="28"/>
          <w:szCs w:val="28"/>
        </w:rPr>
      </w:r>
      <w:r/>
    </w:p>
    <w:p>
      <w:pPr>
        <w:pStyle w:val="738"/>
        <w:spacing w:line="400" w:lineRule="exact"/>
        <w:rPr>
          <w:rFonts w:hint="eastAsia"/>
          <w:sz w:val="28"/>
          <w:szCs w:val="28"/>
        </w:rPr>
      </w:pPr>
      <w:r>
        <w:rPr>
          <w:rFonts w:hint="eastAsia"/>
          <w:sz w:val="28"/>
          <w:szCs w:val="28"/>
        </w:rPr>
      </w:r>
      <w:r/>
    </w:p>
    <w:p>
      <w:pPr>
        <w:pStyle w:val="738"/>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8"/>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8"/>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738"/>
        <w:ind w:firstLine="560"/>
        <w:jc w:val="center"/>
        <w:spacing w:line="400" w:lineRule="exact"/>
        <w:rPr>
          <w:rFonts w:hint="eastAsia" w:ascii="方正黑体_GBK" w:hAnsi="方正黑体_GBK" w:eastAsia="方正黑体_GBK" w:cs="方正黑体_GBK"/>
          <w:bCs/>
          <w:sz w:val="28"/>
          <w:szCs w:val="28"/>
        </w:rPr>
      </w:pPr>
      <w:r/>
      <w:bookmarkEnd w:id="158"/>
      <w:r/>
      <w:bookmarkEnd w:id="159"/>
      <w:r/>
      <w:bookmarkEnd w:id="176"/>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738"/>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73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73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738"/>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73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738"/>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73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73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3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73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73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73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753"/>
        <w:spacing w:line="400" w:lineRule="exact"/>
        <w:rPr>
          <w:rFonts w:hint="eastAsia"/>
          <w:sz w:val="28"/>
          <w:szCs w:val="28"/>
        </w:rPr>
      </w:pPr>
      <w:r>
        <w:rPr>
          <w:rFonts w:hint="eastAsia"/>
          <w:sz w:val="28"/>
          <w:szCs w:val="28"/>
        </w:rPr>
      </w:r>
      <w:r/>
    </w:p>
    <w:p>
      <w:pPr>
        <w:pStyle w:val="753"/>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153" w:leader="none"/>
        <w:tab w:val="right" w:pos="8306" w:leader="none"/>
      </w:tabs>
      <w:rPr>
        <w:rStyle w:val="810"/>
      </w:rPr>
      <w:framePr w:wrap="around" w:vAnchor="text" w:hAnchor="margin" w:xAlign="center" w:y="1"/>
    </w:pPr>
    <w:r>
      <w:fldChar w:fldCharType="begin"/>
    </w:r>
    <w:r>
      <w:rPr>
        <w:rStyle w:val="810"/>
      </w:rPr>
      <w:instrText xml:space="preserve">PAGE  </w:instrText>
    </w:r>
    <w:r>
      <w:fldChar w:fldCharType="separate"/>
    </w:r>
    <w:r>
      <w:rPr>
        <w:rStyle w:val="810"/>
      </w:rPr>
      <w:t xml:space="preserve">1</w:t>
    </w:r>
    <w:r>
      <w:fldChar w:fldCharType="end"/>
    </w:r>
    <w:r>
      <w:rPr>
        <w:rStyle w:val="810"/>
      </w:rPr>
    </w:r>
    <w:r/>
  </w:p>
  <w:p>
    <w:pPr>
      <w:pStyle w:val="78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8"/>
                    </w:pPr>
                    <w:r/>
                    <w:r/>
                  </w:p>
                </w:txbxContent>
              </v:textbox>
            </v:shape>
          </w:pict>
        </mc:Fallback>
      </mc:AlternateContent>
    </w:r>
    <w:r/>
  </w:p>
  <w:p>
    <w:pPr>
      <w:pStyle w:val="7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38"/>
      </w:p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1">
    <w:multiLevelType w:val="hybridMultilevel"/>
    <w:lvl w:ilvl="0">
      <w:start w:val="3"/>
      <w:numFmt w:val="decimal"/>
      <w:isLgl w:val="false"/>
      <w:suff w:val="space"/>
      <w:lvlText w:val="%1."/>
      <w:lvlJc w:val="left"/>
      <w:pPr>
        <w:pStyle w:val="738"/>
      </w:p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2">
    <w:multiLevelType w:val="hybridMultilevel"/>
    <w:lvl w:ilvl="0">
      <w:start w:val="1"/>
      <w:numFmt w:val="upperLetter"/>
      <w:pStyle w:val="817"/>
      <w:isLgl w:val="false"/>
      <w:suff w:val="tab"/>
      <w:lvlText w:val="附录%1."/>
      <w:lvlJc w:val="left"/>
      <w:pPr>
        <w:pStyle w:val="73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34"/>
      <w:isLgl w:val="false"/>
      <w:suff w:val="tab"/>
      <w:lvlText w:val="%1."/>
      <w:lvlJc w:val="left"/>
      <w:pPr>
        <w:pStyle w:val="738"/>
        <w:ind w:left="709" w:hanging="709"/>
        <w:tabs>
          <w:tab w:val="num" w:pos="709" w:leader="none"/>
        </w:tabs>
      </w:pPr>
      <w:rPr>
        <w:rFonts w:hint="eastAsia"/>
      </w:rPr>
    </w:lvl>
    <w:lvl w:ilvl="1">
      <w:start w:val="1"/>
      <w:numFmt w:val="decimal"/>
      <w:isLgl w:val="false"/>
      <w:suff w:val="tab"/>
      <w:lvlText w:val="%1.%2"/>
      <w:lvlJc w:val="left"/>
      <w:pPr>
        <w:pStyle w:val="738"/>
        <w:ind w:left="709" w:hanging="709"/>
        <w:tabs>
          <w:tab w:val="num" w:pos="709" w:leader="none"/>
        </w:tabs>
      </w:pPr>
      <w:rPr>
        <w:rFonts w:hint="eastAsia"/>
      </w:rPr>
    </w:lvl>
    <w:lvl w:ilvl="2">
      <w:start w:val="1"/>
      <w:numFmt w:val="decimal"/>
      <w:isLgl w:val="false"/>
      <w:suff w:val="tab"/>
      <w:lvlText w:val="%1.%2.%3."/>
      <w:lvlJc w:val="left"/>
      <w:pPr>
        <w:pStyle w:val="738"/>
        <w:ind w:left="425" w:hanging="425"/>
        <w:tabs>
          <w:tab w:val="num" w:pos="425" w:leader="none"/>
        </w:tabs>
      </w:pPr>
      <w:rPr>
        <w:rFonts w:hint="eastAsia"/>
      </w:rPr>
    </w:lvl>
    <w:lvl w:ilvl="3">
      <w:start w:val="1"/>
      <w:numFmt w:val="decimal"/>
      <w:isLgl w:val="false"/>
      <w:suff w:val="tab"/>
      <w:lvlText w:val="%1.%2.%3.%4."/>
      <w:lvlJc w:val="left"/>
      <w:pPr>
        <w:pStyle w:val="738"/>
        <w:ind w:left="851" w:hanging="851"/>
        <w:tabs>
          <w:tab w:val="num" w:pos="851" w:leader="none"/>
        </w:tabs>
      </w:pPr>
      <w:rPr>
        <w:rFonts w:hint="eastAsia"/>
      </w:rPr>
    </w:lvl>
    <w:lvl w:ilvl="4">
      <w:start w:val="1"/>
      <w:numFmt w:val="decimal"/>
      <w:isLgl w:val="false"/>
      <w:suff w:val="tab"/>
      <w:lvlText w:val="%1.%2.%3.%4.%5."/>
      <w:lvlJc w:val="left"/>
      <w:pPr>
        <w:pStyle w:val="738"/>
        <w:ind w:left="992" w:hanging="992"/>
        <w:tabs>
          <w:tab w:val="num" w:pos="992" w:leader="none"/>
        </w:tabs>
      </w:pPr>
      <w:rPr>
        <w:rFonts w:hint="eastAsia"/>
      </w:rPr>
    </w:lvl>
    <w:lvl w:ilvl="5">
      <w:start w:val="1"/>
      <w:numFmt w:val="decimal"/>
      <w:isLgl w:val="false"/>
      <w:suff w:val="tab"/>
      <w:lvlText w:val="%1.%2.%3.%4.%5.%6."/>
      <w:lvlJc w:val="left"/>
      <w:pPr>
        <w:pStyle w:val="738"/>
        <w:ind w:left="1134" w:hanging="1134"/>
        <w:tabs>
          <w:tab w:val="num" w:pos="1134" w:leader="none"/>
        </w:tabs>
      </w:pPr>
      <w:rPr>
        <w:rFonts w:hint="eastAsia"/>
      </w:rPr>
    </w:lvl>
    <w:lvl w:ilvl="6">
      <w:start w:val="1"/>
      <w:numFmt w:val="decimal"/>
      <w:isLgl w:val="false"/>
      <w:suff w:val="tab"/>
      <w:lvlText w:val="%1.%2.%3.%4.%5.%6.%7."/>
      <w:lvlJc w:val="left"/>
      <w:pPr>
        <w:pStyle w:val="738"/>
        <w:ind w:left="1276" w:hanging="1276"/>
        <w:tabs>
          <w:tab w:val="num" w:pos="1276" w:leader="none"/>
        </w:tabs>
      </w:pPr>
      <w:rPr>
        <w:rFonts w:hint="eastAsia"/>
      </w:rPr>
    </w:lvl>
    <w:lvl w:ilvl="7">
      <w:start w:val="1"/>
      <w:numFmt w:val="decimal"/>
      <w:isLgl w:val="false"/>
      <w:suff w:val="tab"/>
      <w:lvlText w:val="%1.%2.%3.%4.%5.%6.%7.%8."/>
      <w:lvlJc w:val="left"/>
      <w:pPr>
        <w:pStyle w:val="738"/>
        <w:ind w:left="1418" w:hanging="1418"/>
        <w:tabs>
          <w:tab w:val="num" w:pos="1418" w:leader="none"/>
        </w:tabs>
      </w:pPr>
      <w:rPr>
        <w:rFonts w:hint="eastAsia"/>
      </w:rPr>
    </w:lvl>
    <w:lvl w:ilvl="8">
      <w:start w:val="1"/>
      <w:numFmt w:val="decimal"/>
      <w:isLgl w:val="false"/>
      <w:suff w:val="tab"/>
      <w:lvlText w:val="%1.%2.%3.%4.%5.%6.%7.%8.%9."/>
      <w:lvlJc w:val="left"/>
      <w:pPr>
        <w:pStyle w:val="738"/>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38"/>
        <w:ind w:left="0" w:firstLine="0"/>
      </w:pPr>
      <w:rPr>
        <w:rFonts w:hint="eastAsia"/>
      </w:rPr>
    </w:lvl>
    <w:lvl w:ilvl="1">
      <w:start w:val="1"/>
      <w:numFmt w:val="decimal"/>
      <w:isLgl w:val="false"/>
      <w:suff w:val="nothing"/>
      <w:lvlText w:val="%2、"/>
      <w:lvlJc w:val="left"/>
      <w:pPr>
        <w:pStyle w:val="738"/>
        <w:ind w:left="0" w:firstLine="0"/>
      </w:pPr>
      <w:rPr>
        <w:rFonts w:hint="eastAsia"/>
      </w:rPr>
    </w:lvl>
    <w:lvl w:ilvl="2">
      <w:start w:val="1"/>
      <w:numFmt w:val="decimal"/>
      <w:isLgl w:val="false"/>
      <w:suff w:val="nothing"/>
      <w:lvlText w:val="%2.%3 "/>
      <w:lvlJc w:val="left"/>
      <w:pPr>
        <w:pStyle w:val="738"/>
        <w:ind w:left="0" w:firstLine="0"/>
      </w:pPr>
      <w:rPr>
        <w:rFonts w:hint="eastAsia"/>
      </w:rPr>
    </w:lvl>
    <w:lvl w:ilvl="3">
      <w:start w:val="1"/>
      <w:numFmt w:val="decimal"/>
      <w:isLgl w:val="false"/>
      <w:suff w:val="nothing"/>
      <w:lvlText w:val="%2.%3.%4 "/>
      <w:lvlJc w:val="left"/>
      <w:pPr>
        <w:pStyle w:val="738"/>
        <w:ind w:left="0" w:firstLine="0"/>
      </w:pPr>
      <w:rPr>
        <w:rFonts w:hint="eastAsia"/>
      </w:rPr>
    </w:lvl>
    <w:lvl w:ilvl="4">
      <w:start w:val="1"/>
      <w:numFmt w:val="decimal"/>
      <w:isLgl w:val="false"/>
      <w:suff w:val="nothing"/>
      <w:lvlText w:val="%2.%3.%4.%5 "/>
      <w:lvlJc w:val="left"/>
      <w:pPr>
        <w:pStyle w:val="738"/>
        <w:ind w:left="0" w:firstLine="0"/>
      </w:pPr>
      <w:rPr>
        <w:rFonts w:hint="eastAsia"/>
      </w:rPr>
    </w:lvl>
    <w:lvl w:ilvl="5">
      <w:start w:val="1"/>
      <w:numFmt w:val="decimal"/>
      <w:pStyle w:val="744"/>
      <w:isLgl w:val="false"/>
      <w:suff w:val="nothing"/>
      <w:lvlText w:val=""/>
      <w:lvlJc w:val="left"/>
      <w:pPr>
        <w:pStyle w:val="738"/>
        <w:ind w:left="0" w:firstLine="0"/>
      </w:pPr>
      <w:rPr>
        <w:rFonts w:hint="eastAsia"/>
      </w:rPr>
    </w:lvl>
    <w:lvl w:ilvl="6">
      <w:start w:val="1"/>
      <w:numFmt w:val="decimal"/>
      <w:pStyle w:val="745"/>
      <w:isLgl w:val="false"/>
      <w:suff w:val="nothing"/>
      <w:lvlText w:val=""/>
      <w:lvlJc w:val="left"/>
      <w:pPr>
        <w:pStyle w:val="738"/>
        <w:ind w:left="0" w:firstLine="0"/>
      </w:pPr>
      <w:rPr>
        <w:rFonts w:hint="eastAsia"/>
      </w:rPr>
    </w:lvl>
    <w:lvl w:ilvl="7">
      <w:start w:val="1"/>
      <w:numFmt w:val="decimal"/>
      <w:pStyle w:val="746"/>
      <w:isLgl w:val="false"/>
      <w:suff w:val="nothing"/>
      <w:lvlText w:val=""/>
      <w:lvlJc w:val="left"/>
      <w:pPr>
        <w:pStyle w:val="738"/>
        <w:ind w:left="0" w:firstLine="0"/>
      </w:pPr>
      <w:rPr>
        <w:rFonts w:hint="eastAsia"/>
      </w:rPr>
    </w:lvl>
    <w:lvl w:ilvl="8">
      <w:start w:val="1"/>
      <w:numFmt w:val="decimal"/>
      <w:pStyle w:val="747"/>
      <w:isLgl w:val="false"/>
      <w:suff w:val="nothing"/>
      <w:lvlText w:val=""/>
      <w:lvlJc w:val="left"/>
      <w:pPr>
        <w:pStyle w:val="738"/>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8"/>
    <w:next w:val="7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8"/>
    <w:next w:val="7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8"/>
    <w:next w:val="7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8"/>
    <w:next w:val="7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8"/>
    <w:next w:val="7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8"/>
    <w:next w:val="7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8"/>
    <w:next w:val="7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8"/>
    <w:next w:val="7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8"/>
    <w:next w:val="7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8"/>
    <w:next w:val="73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8"/>
    <w:next w:val="73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8"/>
    <w:next w:val="738"/>
    <w:link w:val="38"/>
    <w:uiPriority w:val="29"/>
    <w:qFormat/>
    <w:pPr>
      <w:ind w:left="720" w:right="720"/>
    </w:pPr>
    <w:rPr>
      <w:i/>
    </w:rPr>
  </w:style>
  <w:style w:type="character" w:styleId="38">
    <w:name w:val="Quote Char"/>
    <w:link w:val="37"/>
    <w:uiPriority w:val="29"/>
    <w:rPr>
      <w:i/>
    </w:rPr>
  </w:style>
  <w:style w:type="paragraph" w:styleId="39">
    <w:name w:val="Intense Quote"/>
    <w:basedOn w:val="738"/>
    <w:next w:val="7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8"/>
    <w:next w:val="73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8"/>
    <w:next w:val="738"/>
    <w:uiPriority w:val="39"/>
    <w:unhideWhenUsed/>
    <w:pPr>
      <w:ind w:left="0" w:right="0" w:firstLine="0"/>
      <w:spacing w:after="57"/>
    </w:pPr>
  </w:style>
  <w:style w:type="paragraph" w:styleId="181">
    <w:name w:val="toc 2"/>
    <w:basedOn w:val="738"/>
    <w:next w:val="738"/>
    <w:uiPriority w:val="39"/>
    <w:unhideWhenUsed/>
    <w:pPr>
      <w:ind w:left="283" w:right="0" w:firstLine="0"/>
      <w:spacing w:after="57"/>
    </w:pPr>
  </w:style>
  <w:style w:type="paragraph" w:styleId="182">
    <w:name w:val="toc 3"/>
    <w:basedOn w:val="738"/>
    <w:next w:val="738"/>
    <w:uiPriority w:val="39"/>
    <w:unhideWhenUsed/>
    <w:pPr>
      <w:ind w:left="567" w:right="0" w:firstLine="0"/>
      <w:spacing w:after="57"/>
    </w:pPr>
  </w:style>
  <w:style w:type="paragraph" w:styleId="183">
    <w:name w:val="toc 4"/>
    <w:basedOn w:val="738"/>
    <w:next w:val="738"/>
    <w:uiPriority w:val="39"/>
    <w:unhideWhenUsed/>
    <w:pPr>
      <w:ind w:left="850" w:right="0" w:firstLine="0"/>
      <w:spacing w:after="57"/>
    </w:pPr>
  </w:style>
  <w:style w:type="paragraph" w:styleId="184">
    <w:name w:val="toc 5"/>
    <w:basedOn w:val="738"/>
    <w:next w:val="738"/>
    <w:uiPriority w:val="39"/>
    <w:unhideWhenUsed/>
    <w:pPr>
      <w:ind w:left="1134" w:right="0" w:firstLine="0"/>
      <w:spacing w:after="57"/>
    </w:pPr>
  </w:style>
  <w:style w:type="paragraph" w:styleId="185">
    <w:name w:val="toc 6"/>
    <w:basedOn w:val="738"/>
    <w:next w:val="738"/>
    <w:uiPriority w:val="39"/>
    <w:unhideWhenUsed/>
    <w:pPr>
      <w:ind w:left="1417" w:right="0" w:firstLine="0"/>
      <w:spacing w:after="57"/>
    </w:pPr>
  </w:style>
  <w:style w:type="paragraph" w:styleId="186">
    <w:name w:val="toc 7"/>
    <w:basedOn w:val="738"/>
    <w:next w:val="738"/>
    <w:uiPriority w:val="39"/>
    <w:unhideWhenUsed/>
    <w:pPr>
      <w:ind w:left="1701" w:right="0" w:firstLine="0"/>
      <w:spacing w:after="57"/>
    </w:pPr>
  </w:style>
  <w:style w:type="paragraph" w:styleId="187">
    <w:name w:val="toc 8"/>
    <w:basedOn w:val="738"/>
    <w:next w:val="738"/>
    <w:uiPriority w:val="39"/>
    <w:unhideWhenUsed/>
    <w:pPr>
      <w:ind w:left="1984" w:right="0" w:firstLine="0"/>
      <w:spacing w:after="57"/>
    </w:pPr>
  </w:style>
  <w:style w:type="paragraph" w:styleId="188">
    <w:name w:val="toc 9"/>
    <w:basedOn w:val="738"/>
    <w:next w:val="7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8"/>
    <w:next w:val="738"/>
    <w:uiPriority w:val="99"/>
    <w:unhideWhenUsed/>
    <w:pPr>
      <w:spacing w:after="0" w:afterAutospacing="0"/>
    </w:pPr>
  </w:style>
  <w:style w:type="paragraph" w:styleId="738" w:default="1">
    <w:name w:val="Normal"/>
    <w:next w:val="742"/>
    <w:link w:val="738"/>
    <w:qFormat/>
    <w:pPr>
      <w:jc w:val="both"/>
      <w:widowControl w:val="off"/>
    </w:pPr>
    <w:rPr>
      <w:sz w:val="21"/>
      <w:szCs w:val="21"/>
      <w:lang w:val="en-US" w:eastAsia="zh-CN" w:bidi="ar-SA"/>
    </w:rPr>
  </w:style>
  <w:style w:type="paragraph" w:styleId="739">
    <w:name w:val="标题 1"/>
    <w:basedOn w:val="738"/>
    <w:next w:val="738"/>
    <w:link w:val="751"/>
    <w:qFormat/>
    <w:pPr>
      <w:jc w:val="center"/>
      <w:keepNext/>
      <w:outlineLvl w:val="0"/>
    </w:pPr>
    <w:rPr>
      <w:rFonts w:ascii="楷体_GB2312" w:eastAsia="楷体_GB2312"/>
      <w:sz w:val="28"/>
      <w:szCs w:val="28"/>
    </w:rPr>
  </w:style>
  <w:style w:type="paragraph" w:styleId="740">
    <w:name w:val="标题 2"/>
    <w:basedOn w:val="738"/>
    <w:next w:val="753"/>
    <w:link w:val="752"/>
    <w:qFormat/>
    <w:pPr>
      <w:jc w:val="center"/>
      <w:keepLines/>
      <w:keepNext/>
      <w:spacing w:before="260" w:after="260" w:line="416" w:lineRule="auto"/>
      <w:outlineLvl w:val="1"/>
    </w:pPr>
    <w:rPr>
      <w:rFonts w:ascii="Arial" w:hAnsi="Arial" w:eastAsia="幼圆" w:cs="Arial"/>
      <w:b/>
      <w:bCs/>
      <w:sz w:val="44"/>
      <w:szCs w:val="44"/>
    </w:rPr>
  </w:style>
  <w:style w:type="paragraph" w:styleId="741">
    <w:name w:val="标题 3"/>
    <w:basedOn w:val="738"/>
    <w:next w:val="753"/>
    <w:link w:val="755"/>
    <w:qFormat/>
    <w:pPr>
      <w:keepLines/>
      <w:keepNext/>
      <w:spacing w:before="260" w:after="260" w:line="416" w:lineRule="auto"/>
      <w:outlineLvl w:val="2"/>
    </w:pPr>
    <w:rPr>
      <w:b/>
      <w:bCs/>
      <w:sz w:val="32"/>
      <w:szCs w:val="32"/>
    </w:rPr>
  </w:style>
  <w:style w:type="paragraph" w:styleId="742">
    <w:name w:val="标题 4"/>
    <w:basedOn w:val="738"/>
    <w:next w:val="738"/>
    <w:link w:val="750"/>
    <w:qFormat/>
    <w:pPr>
      <w:keepLines/>
      <w:keepNext/>
      <w:spacing w:before="280" w:after="290" w:line="376" w:lineRule="auto"/>
      <w:outlineLvl w:val="3"/>
    </w:pPr>
    <w:rPr>
      <w:rFonts w:ascii="Arial" w:hAnsi="Arial" w:eastAsia="黑体" w:cs="Arial"/>
      <w:b/>
      <w:bCs/>
      <w:sz w:val="28"/>
      <w:szCs w:val="28"/>
    </w:rPr>
  </w:style>
  <w:style w:type="paragraph" w:styleId="743">
    <w:name w:val="标题 5"/>
    <w:basedOn w:val="738"/>
    <w:next w:val="753"/>
    <w:link w:val="756"/>
    <w:qFormat/>
    <w:pPr>
      <w:keepNext/>
      <w:outlineLvl w:val="4"/>
    </w:pPr>
    <w:rPr>
      <w:rFonts w:ascii="宋体"/>
      <w:color w:val="000000"/>
      <w:sz w:val="28"/>
      <w:szCs w:val="28"/>
    </w:rPr>
  </w:style>
  <w:style w:type="paragraph" w:styleId="744">
    <w:name w:val="标题 6"/>
    <w:basedOn w:val="738"/>
    <w:next w:val="738"/>
    <w:link w:val="757"/>
    <w:qFormat/>
    <w:pPr>
      <w:numPr>
        <w:ilvl w:val="5"/>
        <w:numId w:val="1"/>
      </w:numPr>
      <w:keepLines/>
      <w:keepNext/>
      <w:spacing w:before="240" w:after="64" w:line="320" w:lineRule="auto"/>
      <w:outlineLvl w:val="5"/>
    </w:pPr>
    <w:rPr>
      <w:rFonts w:ascii="Arial" w:hAnsi="Arial" w:eastAsia="黑体"/>
      <w:b/>
      <w:bCs/>
      <w:sz w:val="24"/>
      <w:szCs w:val="24"/>
    </w:rPr>
  </w:style>
  <w:style w:type="paragraph" w:styleId="745">
    <w:name w:val="标题 7"/>
    <w:basedOn w:val="738"/>
    <w:next w:val="738"/>
    <w:link w:val="758"/>
    <w:qFormat/>
    <w:pPr>
      <w:numPr>
        <w:ilvl w:val="6"/>
        <w:numId w:val="1"/>
      </w:numPr>
      <w:keepLines/>
      <w:keepNext/>
      <w:spacing w:before="240" w:after="64" w:line="320" w:lineRule="auto"/>
      <w:outlineLvl w:val="6"/>
    </w:pPr>
    <w:rPr>
      <w:b/>
      <w:bCs/>
      <w:sz w:val="24"/>
      <w:szCs w:val="24"/>
    </w:rPr>
  </w:style>
  <w:style w:type="paragraph" w:styleId="746">
    <w:name w:val="标题 8"/>
    <w:basedOn w:val="738"/>
    <w:next w:val="738"/>
    <w:link w:val="759"/>
    <w:qFormat/>
    <w:pPr>
      <w:numPr>
        <w:ilvl w:val="7"/>
        <w:numId w:val="1"/>
      </w:numPr>
      <w:keepLines/>
      <w:keepNext/>
      <w:spacing w:before="240" w:after="64" w:line="320" w:lineRule="auto"/>
      <w:outlineLvl w:val="7"/>
    </w:pPr>
    <w:rPr>
      <w:rFonts w:ascii="Arial" w:hAnsi="Arial" w:eastAsia="黑体"/>
      <w:sz w:val="24"/>
      <w:szCs w:val="24"/>
    </w:rPr>
  </w:style>
  <w:style w:type="paragraph" w:styleId="747">
    <w:name w:val="标题 9"/>
    <w:basedOn w:val="738"/>
    <w:next w:val="738"/>
    <w:link w:val="760"/>
    <w:qFormat/>
    <w:pPr>
      <w:numPr>
        <w:ilvl w:val="8"/>
        <w:numId w:val="1"/>
      </w:numPr>
      <w:keepLines/>
      <w:keepNext/>
      <w:spacing w:before="240" w:after="64" w:line="320" w:lineRule="auto"/>
      <w:outlineLvl w:val="8"/>
    </w:pPr>
    <w:rPr>
      <w:rFonts w:ascii="Arial" w:hAnsi="Arial" w:eastAsia="黑体"/>
    </w:rPr>
  </w:style>
  <w:style w:type="character" w:styleId="748">
    <w:name w:val="默认段落字体"/>
    <w:next w:val="748"/>
    <w:link w:val="738"/>
    <w:uiPriority w:val="1"/>
    <w:unhideWhenUsed/>
  </w:style>
  <w:style w:type="table" w:styleId="749">
    <w:name w:val="普通表格"/>
    <w:next w:val="749"/>
    <w:link w:val="738"/>
    <w:uiPriority w:val="99"/>
    <w:unhideWhenUsed/>
    <w:tblPr/>
  </w:style>
  <w:style w:type="character" w:styleId="750">
    <w:name w:val="标题 4 字符"/>
    <w:next w:val="750"/>
    <w:link w:val="742"/>
    <w:rPr>
      <w:rFonts w:ascii="Arial" w:hAnsi="Arial" w:eastAsia="黑体" w:cs="Arial"/>
      <w:b/>
      <w:bCs/>
      <w:sz w:val="28"/>
      <w:szCs w:val="28"/>
    </w:rPr>
  </w:style>
  <w:style w:type="character" w:styleId="751">
    <w:name w:val="标题 1 字符"/>
    <w:next w:val="751"/>
    <w:link w:val="739"/>
    <w:rPr>
      <w:rFonts w:ascii="楷体_GB2312" w:hAnsi="Times New Roman" w:eastAsia="楷体_GB2312" w:cs="Times New Roman"/>
      <w:sz w:val="28"/>
      <w:szCs w:val="28"/>
    </w:rPr>
  </w:style>
  <w:style w:type="character" w:styleId="752">
    <w:name w:val="标题 2 字符"/>
    <w:next w:val="752"/>
    <w:link w:val="740"/>
    <w:rPr>
      <w:rFonts w:ascii="Arial" w:hAnsi="Arial" w:eastAsia="幼圆" w:cs="Arial"/>
      <w:b/>
      <w:bCs/>
      <w:sz w:val="44"/>
      <w:szCs w:val="44"/>
    </w:rPr>
  </w:style>
  <w:style w:type="paragraph" w:styleId="753">
    <w:name w:val="正文缩进"/>
    <w:basedOn w:val="738"/>
    <w:next w:val="753"/>
    <w:link w:val="754"/>
    <w:pPr>
      <w:ind w:firstLine="420"/>
    </w:pPr>
  </w:style>
  <w:style w:type="character" w:styleId="754">
    <w:name w:val="正文缩进 字符"/>
    <w:next w:val="754"/>
    <w:link w:val="753"/>
    <w:rPr>
      <w:rFonts w:ascii="Times New Roman" w:hAnsi="Times New Roman" w:eastAsia="宋体" w:cs="Times New Roman"/>
      <w:szCs w:val="21"/>
    </w:rPr>
  </w:style>
  <w:style w:type="character" w:styleId="755">
    <w:name w:val="标题 3 字符"/>
    <w:next w:val="755"/>
    <w:link w:val="741"/>
    <w:rPr>
      <w:rFonts w:ascii="Times New Roman" w:hAnsi="Times New Roman" w:eastAsia="宋体" w:cs="Times New Roman"/>
      <w:b/>
      <w:bCs/>
      <w:sz w:val="32"/>
      <w:szCs w:val="32"/>
    </w:rPr>
  </w:style>
  <w:style w:type="character" w:styleId="756">
    <w:name w:val="标题 5 字符"/>
    <w:next w:val="756"/>
    <w:link w:val="743"/>
    <w:rPr>
      <w:rFonts w:ascii="宋体" w:hAnsi="Times New Roman" w:eastAsia="宋体" w:cs="Times New Roman"/>
      <w:color w:val="000000"/>
      <w:sz w:val="28"/>
      <w:szCs w:val="28"/>
    </w:rPr>
  </w:style>
  <w:style w:type="character" w:styleId="757">
    <w:name w:val="标题 6 字符"/>
    <w:next w:val="757"/>
    <w:link w:val="744"/>
    <w:rPr>
      <w:rFonts w:ascii="Arial" w:hAnsi="Arial" w:eastAsia="黑体" w:cs="Times New Roman"/>
      <w:b/>
      <w:bCs/>
      <w:sz w:val="24"/>
      <w:szCs w:val="24"/>
    </w:rPr>
  </w:style>
  <w:style w:type="character" w:styleId="758">
    <w:name w:val="标题 7 字符"/>
    <w:next w:val="758"/>
    <w:link w:val="745"/>
    <w:rPr>
      <w:rFonts w:ascii="Times New Roman" w:hAnsi="Times New Roman" w:eastAsia="宋体" w:cs="Times New Roman"/>
      <w:b/>
      <w:bCs/>
      <w:sz w:val="24"/>
      <w:szCs w:val="24"/>
    </w:rPr>
  </w:style>
  <w:style w:type="character" w:styleId="759">
    <w:name w:val="标题 8 字符"/>
    <w:next w:val="759"/>
    <w:link w:val="746"/>
    <w:rPr>
      <w:rFonts w:ascii="Arial" w:hAnsi="Arial" w:eastAsia="黑体" w:cs="Times New Roman"/>
      <w:sz w:val="24"/>
      <w:szCs w:val="24"/>
    </w:rPr>
  </w:style>
  <w:style w:type="character" w:styleId="760">
    <w:name w:val="标题 9 字符"/>
    <w:next w:val="760"/>
    <w:link w:val="747"/>
    <w:rPr>
      <w:rFonts w:ascii="Arial" w:hAnsi="Arial" w:eastAsia="黑体" w:cs="Times New Roman"/>
      <w:szCs w:val="21"/>
    </w:rPr>
  </w:style>
  <w:style w:type="paragraph" w:styleId="761">
    <w:name w:val="列表 3"/>
    <w:basedOn w:val="738"/>
    <w:next w:val="761"/>
    <w:link w:val="738"/>
    <w:pPr>
      <w:ind w:left="100" w:hanging="200"/>
    </w:pPr>
  </w:style>
  <w:style w:type="paragraph" w:styleId="762">
    <w:name w:val="目录 7"/>
    <w:basedOn w:val="738"/>
    <w:next w:val="738"/>
    <w:link w:val="738"/>
    <w:semiHidden/>
    <w:pPr>
      <w:ind w:left="1260"/>
      <w:jc w:val="left"/>
    </w:pPr>
  </w:style>
  <w:style w:type="paragraph" w:styleId="763">
    <w:name w:val="文档结构图"/>
    <w:basedOn w:val="738"/>
    <w:next w:val="763"/>
    <w:link w:val="764"/>
    <w:semiHidden/>
    <w:pPr>
      <w:shd w:val="clear" w:color="auto" w:fill="000080"/>
    </w:pPr>
  </w:style>
  <w:style w:type="character" w:styleId="764">
    <w:name w:val="文档结构图 字符"/>
    <w:next w:val="764"/>
    <w:link w:val="763"/>
    <w:semiHidden/>
    <w:rPr>
      <w:rFonts w:ascii="Times New Roman" w:hAnsi="Times New Roman" w:eastAsia="宋体" w:cs="Times New Roman"/>
      <w:szCs w:val="21"/>
      <w:shd w:val="clear" w:color="auto" w:fill="000080"/>
    </w:rPr>
  </w:style>
  <w:style w:type="paragraph" w:styleId="765">
    <w:name w:val="批注文字"/>
    <w:basedOn w:val="738"/>
    <w:next w:val="765"/>
    <w:link w:val="766"/>
    <w:semiHidden/>
    <w:pPr>
      <w:jc w:val="left"/>
    </w:pPr>
  </w:style>
  <w:style w:type="character" w:styleId="766">
    <w:name w:val="批注文字 字符"/>
    <w:next w:val="766"/>
    <w:link w:val="765"/>
    <w:semiHidden/>
    <w:rPr>
      <w:rFonts w:ascii="Times New Roman" w:hAnsi="Times New Roman" w:eastAsia="宋体" w:cs="Times New Roman"/>
      <w:szCs w:val="21"/>
    </w:rPr>
  </w:style>
  <w:style w:type="paragraph" w:styleId="767">
    <w:name w:val="正文文本 3"/>
    <w:basedOn w:val="738"/>
    <w:next w:val="767"/>
    <w:link w:val="768"/>
    <w:rPr>
      <w:rFonts w:ascii="仿宋_GB2312" w:hAnsi="Arial" w:eastAsia="仿宋_GB2312"/>
      <w:sz w:val="32"/>
      <w:szCs w:val="32"/>
    </w:rPr>
  </w:style>
  <w:style w:type="character" w:styleId="768">
    <w:name w:val="正文文本 3 字符"/>
    <w:next w:val="768"/>
    <w:link w:val="767"/>
    <w:rPr>
      <w:rFonts w:ascii="仿宋_GB2312" w:hAnsi="Arial" w:eastAsia="仿宋_GB2312" w:cs="Times New Roman"/>
      <w:sz w:val="32"/>
      <w:szCs w:val="32"/>
    </w:rPr>
  </w:style>
  <w:style w:type="paragraph" w:styleId="769">
    <w:name w:val="正文文本"/>
    <w:basedOn w:val="738"/>
    <w:next w:val="769"/>
    <w:link w:val="770"/>
    <w:rPr>
      <w:rFonts w:ascii="楷体_GB2312" w:hAnsi="Arial" w:eastAsia="楷体_GB2312"/>
      <w:sz w:val="28"/>
      <w:szCs w:val="28"/>
    </w:rPr>
  </w:style>
  <w:style w:type="character" w:styleId="770">
    <w:name w:val="正文文本 字符"/>
    <w:next w:val="770"/>
    <w:link w:val="769"/>
    <w:rPr>
      <w:rFonts w:ascii="楷体_GB2312" w:hAnsi="Arial" w:eastAsia="楷体_GB2312" w:cs="Times New Roman"/>
      <w:sz w:val="28"/>
      <w:szCs w:val="28"/>
    </w:rPr>
  </w:style>
  <w:style w:type="paragraph" w:styleId="771">
    <w:name w:val="正文文本缩进"/>
    <w:basedOn w:val="738"/>
    <w:next w:val="771"/>
    <w:link w:val="772"/>
    <w:pPr>
      <w:ind w:firstLine="645"/>
    </w:pPr>
    <w:rPr>
      <w:rFonts w:ascii="楷体_GB2312" w:eastAsia="楷体_GB2312"/>
      <w:sz w:val="32"/>
      <w:szCs w:val="32"/>
    </w:rPr>
  </w:style>
  <w:style w:type="character" w:styleId="772">
    <w:name w:val="正文文本缩进 字符"/>
    <w:next w:val="772"/>
    <w:link w:val="771"/>
    <w:rPr>
      <w:rFonts w:ascii="楷体_GB2312" w:hAnsi="Times New Roman" w:eastAsia="楷体_GB2312" w:cs="Times New Roman"/>
      <w:sz w:val="32"/>
      <w:szCs w:val="32"/>
    </w:rPr>
  </w:style>
  <w:style w:type="paragraph" w:styleId="773">
    <w:name w:val="列表 2"/>
    <w:basedOn w:val="738"/>
    <w:next w:val="773"/>
    <w:link w:val="738"/>
    <w:pPr>
      <w:ind w:left="100" w:hanging="200"/>
    </w:pPr>
  </w:style>
  <w:style w:type="paragraph" w:styleId="774">
    <w:name w:val="目录 5"/>
    <w:basedOn w:val="738"/>
    <w:next w:val="738"/>
    <w:link w:val="738"/>
    <w:semiHidden/>
    <w:pPr>
      <w:ind w:left="840"/>
      <w:jc w:val="left"/>
    </w:pPr>
  </w:style>
  <w:style w:type="paragraph" w:styleId="775">
    <w:name w:val="目录 3"/>
    <w:basedOn w:val="738"/>
    <w:next w:val="738"/>
    <w:link w:val="738"/>
    <w:semiHidden/>
    <w:pPr>
      <w:ind w:left="420"/>
      <w:jc w:val="left"/>
    </w:pPr>
    <w:rPr>
      <w:i/>
      <w:iCs/>
      <w:szCs w:val="24"/>
    </w:rPr>
  </w:style>
  <w:style w:type="paragraph" w:styleId="776">
    <w:name w:val="纯文本"/>
    <w:basedOn w:val="738"/>
    <w:next w:val="776"/>
    <w:link w:val="777"/>
    <w:rPr>
      <w:rFonts w:ascii="宋体" w:hAnsi="Courier New" w:cs="Courier New"/>
    </w:rPr>
  </w:style>
  <w:style w:type="character" w:styleId="777">
    <w:name w:val="纯文本 字符"/>
    <w:next w:val="777"/>
    <w:link w:val="776"/>
    <w:rPr>
      <w:rFonts w:ascii="宋体" w:hAnsi="Courier New" w:eastAsia="宋体" w:cs="Courier New"/>
      <w:szCs w:val="21"/>
    </w:rPr>
  </w:style>
  <w:style w:type="paragraph" w:styleId="778">
    <w:name w:val="目录 8"/>
    <w:basedOn w:val="738"/>
    <w:next w:val="738"/>
    <w:link w:val="738"/>
    <w:semiHidden/>
    <w:pPr>
      <w:ind w:left="1470"/>
      <w:jc w:val="left"/>
    </w:pPr>
  </w:style>
  <w:style w:type="paragraph" w:styleId="779">
    <w:name w:val="日期"/>
    <w:basedOn w:val="738"/>
    <w:next w:val="738"/>
    <w:link w:val="780"/>
    <w:rPr>
      <w:sz w:val="24"/>
      <w:szCs w:val="24"/>
    </w:rPr>
  </w:style>
  <w:style w:type="character" w:styleId="780">
    <w:name w:val="日期 字符"/>
    <w:next w:val="780"/>
    <w:link w:val="779"/>
    <w:rPr>
      <w:rFonts w:ascii="Times New Roman" w:hAnsi="Times New Roman" w:eastAsia="宋体" w:cs="Times New Roman"/>
      <w:sz w:val="24"/>
      <w:szCs w:val="24"/>
    </w:rPr>
  </w:style>
  <w:style w:type="paragraph" w:styleId="781">
    <w:name w:val="正文文本缩进 2"/>
    <w:basedOn w:val="738"/>
    <w:next w:val="781"/>
    <w:link w:val="782"/>
    <w:pPr>
      <w:ind w:left="630" w:firstLine="645"/>
    </w:pPr>
    <w:rPr>
      <w:rFonts w:ascii="Arial" w:hAnsi="Arial" w:eastAsia="仿宋_GB2312" w:cs="Arial"/>
      <w:sz w:val="32"/>
      <w:szCs w:val="32"/>
    </w:rPr>
  </w:style>
  <w:style w:type="character" w:styleId="782">
    <w:name w:val="正文文本缩进 2 字符"/>
    <w:next w:val="782"/>
    <w:link w:val="781"/>
    <w:rPr>
      <w:rFonts w:ascii="Arial" w:hAnsi="Arial" w:eastAsia="仿宋_GB2312" w:cs="Arial"/>
      <w:sz w:val="32"/>
      <w:szCs w:val="32"/>
    </w:rPr>
  </w:style>
  <w:style w:type="paragraph" w:styleId="783">
    <w:name w:val="批注框文本"/>
    <w:basedOn w:val="738"/>
    <w:next w:val="783"/>
    <w:link w:val="784"/>
    <w:semiHidden/>
    <w:rPr>
      <w:sz w:val="18"/>
      <w:szCs w:val="18"/>
    </w:rPr>
  </w:style>
  <w:style w:type="character" w:styleId="784">
    <w:name w:val="批注框文本 字符"/>
    <w:next w:val="784"/>
    <w:link w:val="783"/>
    <w:semiHidden/>
    <w:rPr>
      <w:rFonts w:ascii="Times New Roman" w:hAnsi="Times New Roman" w:eastAsia="宋体" w:cs="Times New Roman"/>
      <w:sz w:val="18"/>
      <w:szCs w:val="18"/>
    </w:rPr>
  </w:style>
  <w:style w:type="paragraph" w:styleId="785">
    <w:name w:val="页脚"/>
    <w:basedOn w:val="738"/>
    <w:next w:val="785"/>
    <w:link w:val="786"/>
    <w:uiPriority w:val="99"/>
    <w:pPr>
      <w:jc w:val="left"/>
      <w:tabs>
        <w:tab w:val="center" w:pos="4153" w:leader="none"/>
        <w:tab w:val="right" w:pos="8306" w:leader="none"/>
      </w:tabs>
    </w:pPr>
    <w:rPr>
      <w:sz w:val="18"/>
      <w:szCs w:val="18"/>
    </w:rPr>
  </w:style>
  <w:style w:type="character" w:styleId="786">
    <w:name w:val="页脚 字符"/>
    <w:next w:val="786"/>
    <w:link w:val="785"/>
    <w:uiPriority w:val="99"/>
    <w:rPr>
      <w:rFonts w:ascii="Times New Roman" w:hAnsi="Times New Roman" w:eastAsia="宋体" w:cs="Times New Roman"/>
      <w:sz w:val="18"/>
      <w:szCs w:val="18"/>
    </w:rPr>
  </w:style>
  <w:style w:type="paragraph" w:styleId="787">
    <w:name w:val="页眉"/>
    <w:basedOn w:val="738"/>
    <w:next w:val="787"/>
    <w:link w:val="788"/>
    <w:pPr>
      <w:jc w:val="center"/>
      <w:tabs>
        <w:tab w:val="center" w:pos="4153" w:leader="none"/>
        <w:tab w:val="right" w:pos="8306" w:leader="none"/>
      </w:tabs>
      <w:pBdr>
        <w:bottom w:val="single" w:color="000000" w:sz="6" w:space="1"/>
      </w:pBdr>
    </w:pPr>
    <w:rPr>
      <w:sz w:val="18"/>
      <w:szCs w:val="18"/>
    </w:rPr>
  </w:style>
  <w:style w:type="character" w:styleId="788">
    <w:name w:val="页眉 字符"/>
    <w:next w:val="788"/>
    <w:link w:val="787"/>
    <w:rPr>
      <w:rFonts w:ascii="Times New Roman" w:hAnsi="Times New Roman" w:eastAsia="宋体" w:cs="Times New Roman"/>
      <w:sz w:val="18"/>
      <w:szCs w:val="18"/>
    </w:rPr>
  </w:style>
  <w:style w:type="paragraph" w:styleId="789">
    <w:name w:val="目录 1"/>
    <w:basedOn w:val="738"/>
    <w:next w:val="738"/>
    <w:link w:val="738"/>
    <w:semiHidden/>
    <w:pPr>
      <w:jc w:val="left"/>
      <w:spacing w:before="120" w:after="120" w:line="400" w:lineRule="exact"/>
      <w:tabs>
        <w:tab w:val="right" w:pos="8720" w:leader="dot"/>
      </w:tabs>
    </w:pPr>
    <w:rPr>
      <w:rFonts w:ascii="宋体" w:hAnsi="宋体"/>
      <w:caps/>
      <w:sz w:val="24"/>
      <w:szCs w:val="24"/>
    </w:rPr>
  </w:style>
  <w:style w:type="paragraph" w:styleId="790">
    <w:name w:val="目录 4"/>
    <w:basedOn w:val="738"/>
    <w:next w:val="738"/>
    <w:link w:val="738"/>
    <w:semiHidden/>
    <w:pPr>
      <w:ind w:left="630"/>
      <w:jc w:val="left"/>
    </w:pPr>
  </w:style>
  <w:style w:type="paragraph" w:styleId="791">
    <w:name w:val="列表"/>
    <w:basedOn w:val="738"/>
    <w:next w:val="791"/>
    <w:link w:val="738"/>
    <w:pPr>
      <w:ind w:left="200" w:hanging="200"/>
    </w:pPr>
  </w:style>
  <w:style w:type="paragraph" w:styleId="792">
    <w:name w:val="目录 6"/>
    <w:basedOn w:val="738"/>
    <w:next w:val="738"/>
    <w:link w:val="738"/>
    <w:semiHidden/>
    <w:pPr>
      <w:ind w:left="1050"/>
      <w:jc w:val="left"/>
    </w:pPr>
  </w:style>
  <w:style w:type="paragraph" w:styleId="793">
    <w:name w:val="正文文本缩进 3"/>
    <w:basedOn w:val="738"/>
    <w:next w:val="793"/>
    <w:link w:val="794"/>
    <w:pPr>
      <w:ind w:left="645" w:firstLine="645"/>
    </w:pPr>
    <w:rPr>
      <w:rFonts w:ascii="Arial" w:hAnsi="Arial" w:eastAsia="仿宋_GB2312" w:cs="Arial"/>
      <w:color w:val="ffff00"/>
      <w:sz w:val="32"/>
      <w:szCs w:val="32"/>
    </w:rPr>
  </w:style>
  <w:style w:type="character" w:styleId="794">
    <w:name w:val="正文文本缩进 3 字符"/>
    <w:next w:val="794"/>
    <w:link w:val="793"/>
    <w:rPr>
      <w:rFonts w:ascii="Arial" w:hAnsi="Arial" w:eastAsia="仿宋_GB2312" w:cs="Arial"/>
      <w:color w:val="ffff00"/>
      <w:sz w:val="32"/>
      <w:szCs w:val="32"/>
    </w:rPr>
  </w:style>
  <w:style w:type="paragraph" w:styleId="795">
    <w:name w:val="图表目录"/>
    <w:basedOn w:val="738"/>
    <w:next w:val="738"/>
    <w:link w:val="738"/>
    <w:semiHidden/>
    <w:pPr>
      <w:ind w:left="840" w:hanging="420"/>
    </w:pPr>
  </w:style>
  <w:style w:type="paragraph" w:styleId="796">
    <w:name w:val="目录 2"/>
    <w:basedOn w:val="738"/>
    <w:next w:val="738"/>
    <w:link w:val="738"/>
    <w:semiHidden/>
    <w:pPr>
      <w:ind w:left="210"/>
      <w:jc w:val="left"/>
    </w:pPr>
    <w:rPr>
      <w:smallCaps/>
      <w:szCs w:val="24"/>
    </w:rPr>
  </w:style>
  <w:style w:type="paragraph" w:styleId="797">
    <w:name w:val="目录 9"/>
    <w:basedOn w:val="738"/>
    <w:next w:val="738"/>
    <w:link w:val="738"/>
    <w:semiHidden/>
    <w:pPr>
      <w:ind w:left="1680"/>
      <w:jc w:val="left"/>
    </w:pPr>
  </w:style>
  <w:style w:type="paragraph" w:styleId="798">
    <w:name w:val="正文文本 2"/>
    <w:basedOn w:val="738"/>
    <w:next w:val="798"/>
    <w:link w:val="799"/>
    <w:pPr>
      <w:jc w:val="center"/>
      <w:widowControl/>
    </w:pPr>
    <w:rPr>
      <w:rFonts w:ascii="楷体_GB2312" w:eastAsia="楷体_GB2312"/>
      <w:sz w:val="28"/>
      <w:szCs w:val="28"/>
    </w:rPr>
  </w:style>
  <w:style w:type="character" w:styleId="799">
    <w:name w:val="正文文本 2 字符"/>
    <w:next w:val="799"/>
    <w:link w:val="798"/>
    <w:rPr>
      <w:rFonts w:ascii="楷体_GB2312" w:hAnsi="Times New Roman" w:eastAsia="楷体_GB2312" w:cs="Times New Roman"/>
      <w:sz w:val="28"/>
      <w:szCs w:val="28"/>
    </w:rPr>
  </w:style>
  <w:style w:type="paragraph" w:styleId="800">
    <w:name w:val="普通(网站)"/>
    <w:basedOn w:val="738"/>
    <w:next w:val="800"/>
    <w:link w:val="738"/>
    <w:uiPriority w:val="99"/>
    <w:pPr>
      <w:jc w:val="left"/>
      <w:spacing w:before="100" w:beforeAutospacing="1" w:after="100" w:afterAutospacing="1"/>
      <w:widowControl/>
    </w:pPr>
    <w:rPr>
      <w:rFonts w:ascii="宋体" w:hAnsi="宋体" w:cs="宋体"/>
      <w:sz w:val="24"/>
      <w:szCs w:val="24"/>
    </w:rPr>
  </w:style>
  <w:style w:type="paragraph" w:styleId="801">
    <w:name w:val="索引 1"/>
    <w:basedOn w:val="738"/>
    <w:next w:val="738"/>
    <w:link w:val="738"/>
    <w:semiHidden/>
    <w:pPr>
      <w:spacing w:line="240" w:lineRule="atLeast"/>
    </w:pPr>
    <w:rPr>
      <w:b/>
      <w:bCs/>
    </w:rPr>
  </w:style>
  <w:style w:type="paragraph" w:styleId="802">
    <w:name w:val="批注主题"/>
    <w:basedOn w:val="765"/>
    <w:next w:val="765"/>
    <w:link w:val="803"/>
    <w:semiHidden/>
    <w:rPr>
      <w:b/>
      <w:bCs/>
    </w:rPr>
  </w:style>
  <w:style w:type="character" w:styleId="803">
    <w:name w:val="批注主题 字符"/>
    <w:next w:val="803"/>
    <w:link w:val="802"/>
    <w:semiHidden/>
    <w:rPr>
      <w:rFonts w:ascii="Times New Roman" w:hAnsi="Times New Roman" w:eastAsia="宋体" w:cs="Times New Roman"/>
      <w:b/>
      <w:bCs/>
      <w:szCs w:val="21"/>
    </w:rPr>
  </w:style>
  <w:style w:type="paragraph" w:styleId="804">
    <w:name w:val="正文首行缩进"/>
    <w:basedOn w:val="738"/>
    <w:next w:val="804"/>
    <w:link w:val="805"/>
    <w:pPr>
      <w:ind w:firstLine="200"/>
      <w:spacing w:line="360" w:lineRule="auto"/>
    </w:pPr>
    <w:rPr>
      <w:rFonts w:ascii="仿宋_GB2312" w:eastAsia="仿宋_GB2312"/>
      <w:sz w:val="30"/>
      <w:szCs w:val="30"/>
    </w:rPr>
  </w:style>
  <w:style w:type="character" w:styleId="805">
    <w:name w:val="正文文本首行缩进 字符"/>
    <w:next w:val="805"/>
    <w:link w:val="804"/>
    <w:rPr>
      <w:rFonts w:ascii="仿宋_GB2312" w:hAnsi="Times New Roman" w:eastAsia="仿宋_GB2312" w:cs="Times New Roman"/>
      <w:sz w:val="30"/>
      <w:szCs w:val="30"/>
    </w:rPr>
  </w:style>
  <w:style w:type="paragraph" w:styleId="806">
    <w:name w:val="正文首行缩进 2"/>
    <w:basedOn w:val="771"/>
    <w:next w:val="806"/>
    <w:link w:val="807"/>
    <w:pPr>
      <w:ind w:firstLine="420"/>
      <w:spacing w:line="360" w:lineRule="auto"/>
    </w:pPr>
    <w:rPr>
      <w:rFonts w:ascii="宋体" w:hAnsi="宋体" w:eastAsia="宋体"/>
      <w:sz w:val="21"/>
      <w:szCs w:val="20"/>
    </w:rPr>
  </w:style>
  <w:style w:type="character" w:styleId="807">
    <w:name w:val="正文文本首行缩进 2 字符"/>
    <w:next w:val="807"/>
    <w:link w:val="806"/>
    <w:rPr>
      <w:rFonts w:ascii="宋体" w:hAnsi="宋体" w:eastAsia="宋体" w:cs="Times New Roman"/>
      <w:sz w:val="32"/>
      <w:szCs w:val="20"/>
    </w:rPr>
  </w:style>
  <w:style w:type="table" w:styleId="808">
    <w:name w:val="网格型"/>
    <w:basedOn w:val="749"/>
    <w:next w:val="808"/>
    <w:link w:val="738"/>
    <w:pPr>
      <w:jc w:val="both"/>
      <w:widowControl w:val="off"/>
    </w:pPr>
    <w:rPr>
      <w:rFonts w:ascii="Times New Roman" w:hAnsi="Times New Roman" w:eastAsia="宋体" w:cs="Times New Roman"/>
      <w:sz w:val="20"/>
      <w:szCs w:val="20"/>
    </w:rPr>
    <w:tblPr/>
  </w:style>
  <w:style w:type="character" w:styleId="809">
    <w:name w:val="要点"/>
    <w:next w:val="809"/>
    <w:link w:val="738"/>
    <w:qFormat/>
    <w:rPr>
      <w:b/>
      <w:bCs/>
    </w:rPr>
  </w:style>
  <w:style w:type="character" w:styleId="810">
    <w:name w:val="页码"/>
    <w:next w:val="810"/>
    <w:link w:val="738"/>
  </w:style>
  <w:style w:type="character" w:styleId="811">
    <w:name w:val="已访问的超链接"/>
    <w:next w:val="811"/>
    <w:link w:val="738"/>
    <w:rPr>
      <w:color w:val="800080"/>
      <w:u w:val="single"/>
    </w:rPr>
  </w:style>
  <w:style w:type="character" w:styleId="812">
    <w:name w:val="强调"/>
    <w:next w:val="812"/>
    <w:link w:val="738"/>
    <w:qFormat/>
    <w:rPr>
      <w:i/>
    </w:rPr>
  </w:style>
  <w:style w:type="character" w:styleId="813">
    <w:name w:val="超链接"/>
    <w:next w:val="813"/>
    <w:link w:val="738"/>
    <w:rPr>
      <w:color w:val="0000ff"/>
      <w:u w:val="single"/>
    </w:rPr>
  </w:style>
  <w:style w:type="character" w:styleId="814">
    <w:name w:val="批注引用"/>
    <w:next w:val="814"/>
    <w:link w:val="738"/>
    <w:semiHidden/>
    <w:rPr>
      <w:sz w:val="21"/>
      <w:szCs w:val="21"/>
    </w:rPr>
  </w:style>
  <w:style w:type="character" w:styleId="815">
    <w:name w:val="font5 Char"/>
    <w:next w:val="815"/>
    <w:link w:val="738"/>
    <w:rPr>
      <w:rFonts w:ascii="宋体" w:hAnsi="宋体" w:eastAsia="宋体"/>
      <w:sz w:val="28"/>
      <w:szCs w:val="28"/>
      <w:lang w:val="en-US" w:eastAsia="zh-CN" w:bidi="ar-SA"/>
    </w:rPr>
  </w:style>
  <w:style w:type="character" w:styleId="816">
    <w:name w:val="二级目录 Char"/>
    <w:next w:val="816"/>
    <w:link w:val="817"/>
    <w:rPr>
      <w:b/>
      <w:sz w:val="30"/>
      <w:szCs w:val="28"/>
    </w:rPr>
  </w:style>
  <w:style w:type="paragraph" w:styleId="817">
    <w:name w:val="二级目录"/>
    <w:next w:val="738"/>
    <w:link w:val="816"/>
    <w:pPr>
      <w:numPr>
        <w:ilvl w:val="0"/>
        <w:numId w:val="2"/>
      </w:numPr>
      <w:tabs>
        <w:tab w:val="left" w:pos="907" w:leader="none"/>
        <w:tab w:val="left" w:pos="1145" w:leader="none"/>
      </w:tabs>
      <w:outlineLvl w:val="1"/>
    </w:pPr>
    <w:rPr>
      <w:b/>
      <w:sz w:val="30"/>
      <w:szCs w:val="28"/>
      <w:lang w:val="en-US" w:eastAsia="zh-CN" w:bidi="ar-SA"/>
    </w:rPr>
  </w:style>
  <w:style w:type="character" w:styleId="818">
    <w:name w:val="列出段落 Char,Bullet List Char,numbered Char,FooterText Char,List Paragraph1 Char,Paragraphe de liste1 Char"/>
    <w:next w:val="818"/>
    <w:link w:val="819"/>
    <w:rPr>
      <w:rFonts w:ascii="Calibri" w:hAnsi="Calibri"/>
      <w:sz w:val="24"/>
      <w:szCs w:val="24"/>
      <w:lang w:eastAsia="en-US" w:bidi="en-US"/>
    </w:rPr>
  </w:style>
  <w:style w:type="paragraph" w:styleId="819">
    <w:name w:val="列出段落1"/>
    <w:basedOn w:val="738"/>
    <w:next w:val="819"/>
    <w:link w:val="818"/>
    <w:qFormat/>
    <w:pPr>
      <w:contextualSpacing/>
      <w:ind w:left="720"/>
      <w:jc w:val="left"/>
      <w:widowControl/>
    </w:pPr>
    <w:rPr>
      <w:rFonts w:ascii="Calibri" w:hAnsi="Calibri" w:eastAsia="宋体" w:cs="Times New Roman"/>
      <w:sz w:val="24"/>
      <w:szCs w:val="24"/>
      <w:lang w:eastAsia="en-US" w:bidi="en-US"/>
    </w:rPr>
  </w:style>
  <w:style w:type="paragraph" w:styleId="820">
    <w:name w:val="Body Text(ch)"/>
    <w:basedOn w:val="738"/>
    <w:next w:val="769"/>
    <w:link w:val="738"/>
    <w:pPr>
      <w:spacing w:after="120"/>
    </w:pPr>
    <w:rPr>
      <w:rFonts w:ascii="宋体" w:hAnsi="Arial"/>
      <w:bCs/>
      <w:iCs/>
      <w:szCs w:val="24"/>
    </w:rPr>
  </w:style>
  <w:style w:type="paragraph" w:styleId="821">
    <w:name w:val="xl27"/>
    <w:basedOn w:val="738"/>
    <w:next w:val="821"/>
    <w:link w:val="7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2">
    <w:name w:val="xl26"/>
    <w:basedOn w:val="738"/>
    <w:next w:val="822"/>
    <w:link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3">
    <w:name w:val="Char"/>
    <w:basedOn w:val="738"/>
    <w:next w:val="823"/>
    <w:link w:val="738"/>
    <w:pPr>
      <w:ind w:firstLine="200"/>
      <w:tabs>
        <w:tab w:val="left" w:pos="360" w:leader="none"/>
      </w:tabs>
    </w:pPr>
    <w:rPr>
      <w:sz w:val="28"/>
      <w:szCs w:val="30"/>
    </w:rPr>
  </w:style>
  <w:style w:type="paragraph" w:styleId="824">
    <w:name w:val=" Char"/>
    <w:basedOn w:val="763"/>
    <w:next w:val="824"/>
    <w:link w:val="738"/>
    <w:rPr>
      <w:rFonts w:ascii="Tahoma" w:hAnsi="Tahoma"/>
      <w:sz w:val="24"/>
      <w:szCs w:val="24"/>
    </w:rPr>
  </w:style>
  <w:style w:type="paragraph" w:styleId="825">
    <w:name w:val="普通正文"/>
    <w:basedOn w:val="738"/>
    <w:next w:val="825"/>
    <w:link w:val="738"/>
    <w:pPr>
      <w:ind w:firstLine="480"/>
      <w:jc w:val="left"/>
      <w:spacing w:before="120" w:after="120" w:line="360" w:lineRule="auto"/>
    </w:pPr>
    <w:rPr>
      <w:rFonts w:ascii="Arial" w:hAnsi="Arial"/>
      <w:sz w:val="24"/>
      <w:szCs w:val="24"/>
    </w:rPr>
  </w:style>
  <w:style w:type="paragraph" w:styleId="826">
    <w:name w:val="table_lines"/>
    <w:basedOn w:val="738"/>
    <w:next w:val="826"/>
    <w:link w:val="738"/>
    <w:pPr>
      <w:jc w:val="left"/>
      <w:widowControl/>
    </w:pPr>
    <w:rPr>
      <w:sz w:val="20"/>
      <w:szCs w:val="20"/>
      <w:lang w:val="de-DE" w:eastAsia="de-DE"/>
    </w:rPr>
  </w:style>
  <w:style w:type="paragraph" w:styleId="827">
    <w:name w:val="附录1"/>
    <w:next w:val="827"/>
    <w:link w:val="738"/>
    <w:pPr>
      <w:numPr>
        <w:ilvl w:val="0"/>
        <w:numId w:val="2"/>
      </w:numPr>
      <w:spacing w:before="240" w:line="600" w:lineRule="atLeast"/>
      <w:tabs>
        <w:tab w:val="left" w:pos="907" w:leader="none"/>
      </w:tabs>
    </w:pPr>
    <w:rPr>
      <w:b/>
      <w:i/>
      <w:sz w:val="28"/>
      <w:lang w:val="en-US" w:eastAsia="zh-CN" w:bidi="ar-SA"/>
    </w:rPr>
  </w:style>
  <w:style w:type="paragraph" w:styleId="828">
    <w:name w:val="font7"/>
    <w:basedOn w:val="738"/>
    <w:next w:val="828"/>
    <w:link w:val="738"/>
    <w:pPr>
      <w:jc w:val="left"/>
      <w:spacing w:before="100" w:beforeAutospacing="1" w:after="100" w:afterAutospacing="1"/>
      <w:widowControl/>
    </w:pPr>
    <w:rPr>
      <w:rFonts w:hint="eastAsia" w:ascii="宋体" w:hAnsi="宋体"/>
      <w:sz w:val="18"/>
      <w:szCs w:val="18"/>
    </w:rPr>
  </w:style>
  <w:style w:type="paragraph" w:styleId="829">
    <w:name w:val=" Char Char Char Char"/>
    <w:basedOn w:val="763"/>
    <w:next w:val="829"/>
    <w:link w:val="738"/>
    <w:pPr>
      <w:spacing w:line="360" w:lineRule="auto"/>
    </w:pPr>
    <w:rPr>
      <w:rFonts w:ascii="Tahoma" w:hAnsi="Tahoma"/>
      <w:sz w:val="24"/>
      <w:szCs w:val="24"/>
    </w:rPr>
  </w:style>
  <w:style w:type="paragraph" w:styleId="830">
    <w:name w:val="列表段落"/>
    <w:basedOn w:val="738"/>
    <w:next w:val="830"/>
    <w:link w:val="738"/>
    <w:qFormat/>
    <w:pPr>
      <w:contextualSpacing/>
      <w:ind w:left="720"/>
      <w:jc w:val="left"/>
      <w:widowControl/>
    </w:pPr>
    <w:rPr>
      <w:rFonts w:ascii="Calibri" w:hAnsi="Calibri"/>
      <w:sz w:val="24"/>
      <w:szCs w:val="24"/>
      <w:lang w:eastAsia="en-US" w:bidi="en-US"/>
    </w:rPr>
  </w:style>
  <w:style w:type="paragraph" w:styleId="831">
    <w:name w:val="4"/>
    <w:basedOn w:val="738"/>
    <w:next w:val="793"/>
    <w:link w:val="738"/>
    <w:pPr>
      <w:ind w:firstLine="420"/>
      <w:spacing w:line="360" w:lineRule="auto"/>
    </w:pPr>
    <w:rPr>
      <w:color w:val="ff0000"/>
      <w:sz w:val="24"/>
      <w:szCs w:val="24"/>
    </w:rPr>
  </w:style>
  <w:style w:type="paragraph" w:styleId="832">
    <w:name w:val="普通 (Web)"/>
    <w:basedOn w:val="738"/>
    <w:next w:val="832"/>
    <w:link w:val="738"/>
    <w:pPr>
      <w:jc w:val="left"/>
      <w:spacing w:before="100" w:beforeAutospacing="1" w:after="100" w:afterAutospacing="1"/>
      <w:widowControl/>
    </w:pPr>
    <w:rPr>
      <w:rFonts w:ascii="宋体" w:hAnsi="宋体"/>
      <w:sz w:val="24"/>
      <w:szCs w:val="24"/>
    </w:rPr>
  </w:style>
  <w:style w:type="paragraph" w:styleId="833">
    <w:name w:val=" Char Char Char Char Char Char Char Char Char Char"/>
    <w:basedOn w:val="738"/>
    <w:next w:val="833"/>
    <w:link w:val="738"/>
    <w:pPr>
      <w:spacing w:line="360" w:lineRule="auto"/>
    </w:pPr>
    <w:rPr>
      <w:sz w:val="24"/>
      <w:szCs w:val="20"/>
    </w:rPr>
  </w:style>
  <w:style w:type="paragraph" w:styleId="834">
    <w:name w:val="样式1"/>
    <w:basedOn w:val="738"/>
    <w:next w:val="834"/>
    <w:link w:val="738"/>
    <w:pPr>
      <w:numPr>
        <w:ilvl w:val="0"/>
        <w:numId w:val="3"/>
      </w:numPr>
      <w:tabs>
        <w:tab w:val="left" w:pos="709" w:leader="none"/>
      </w:tabs>
    </w:pPr>
    <w:rPr>
      <w:rFonts w:ascii="宋体" w:hAnsi="宋体"/>
    </w:rPr>
  </w:style>
  <w:style w:type="paragraph" w:styleId="835">
    <w:name w:val="font6"/>
    <w:basedOn w:val="738"/>
    <w:next w:val="835"/>
    <w:link w:val="738"/>
    <w:pPr>
      <w:jc w:val="left"/>
      <w:spacing w:before="100" w:beforeAutospacing="1" w:after="100" w:afterAutospacing="1"/>
      <w:widowControl/>
    </w:pPr>
    <w:rPr>
      <w:rFonts w:hint="eastAsia" w:ascii="宋体" w:hAnsi="宋体"/>
      <w:sz w:val="28"/>
      <w:szCs w:val="28"/>
      <w:u w:val="single"/>
    </w:rPr>
  </w:style>
  <w:style w:type="paragraph" w:styleId="836">
    <w:name w:val="xl25"/>
    <w:basedOn w:val="738"/>
    <w:next w:val="836"/>
    <w:link w:val="73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7">
    <w:name w:val="图标"/>
    <w:basedOn w:val="738"/>
    <w:next w:val="738"/>
    <w:link w:val="73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8">
    <w:name w:val="标题3"/>
    <w:basedOn w:val="738"/>
    <w:next w:val="738"/>
    <w:link w:val="738"/>
    <w:pPr>
      <w:ind w:firstLine="624"/>
      <w:spacing w:line="590" w:lineRule="atLeast"/>
    </w:pPr>
    <w:rPr>
      <w:rFonts w:ascii="方正黑体_GBK" w:eastAsia="方正黑体_GBK"/>
      <w:sz w:val="32"/>
      <w:szCs w:val="32"/>
    </w:rPr>
  </w:style>
  <w:style w:type="paragraph" w:styleId="839">
    <w:name w:val="xl24"/>
    <w:basedOn w:val="738"/>
    <w:next w:val="839"/>
    <w:link w:val="7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0">
    <w:name w:val="xl29"/>
    <w:basedOn w:val="738"/>
    <w:next w:val="840"/>
    <w:link w:val="73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1">
    <w:name w:val="Char Char Char Char Char Char Char Char"/>
    <w:basedOn w:val="738"/>
    <w:next w:val="841"/>
    <w:link w:val="738"/>
    <w:pPr>
      <w:jc w:val="left"/>
      <w:spacing w:after="160" w:line="240" w:lineRule="exact"/>
      <w:widowControl/>
    </w:pPr>
    <w:rPr>
      <w:rFonts w:ascii="Verdana" w:hAnsi="Verdana"/>
      <w:sz w:val="20"/>
      <w:szCs w:val="20"/>
      <w:lang w:eastAsia="en-US"/>
    </w:rPr>
  </w:style>
  <w:style w:type="paragraph" w:styleId="842">
    <w:name w:val="xl28"/>
    <w:basedOn w:val="738"/>
    <w:next w:val="842"/>
    <w:link w:val="73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3">
    <w:name w:val=" Char Char Char Char Char Char Char Char"/>
    <w:basedOn w:val="738"/>
    <w:next w:val="843"/>
    <w:link w:val="738"/>
    <w:pPr>
      <w:jc w:val="left"/>
      <w:spacing w:after="160" w:line="240" w:lineRule="exact"/>
      <w:widowControl/>
    </w:pPr>
    <w:rPr>
      <w:rFonts w:ascii="Verdana" w:hAnsi="Verdana"/>
      <w:sz w:val="20"/>
      <w:szCs w:val="20"/>
      <w:lang w:eastAsia="en-US"/>
    </w:rPr>
  </w:style>
  <w:style w:type="paragraph" w:styleId="844">
    <w:name w:val="xl30"/>
    <w:basedOn w:val="738"/>
    <w:next w:val="844"/>
    <w:link w:val="738"/>
    <w:pPr>
      <w:jc w:val="center"/>
      <w:spacing w:before="100" w:beforeAutospacing="1" w:after="100" w:afterAutospacing="1"/>
      <w:widowControl/>
    </w:pPr>
    <w:rPr>
      <w:rFonts w:ascii="宋体" w:hAnsi="宋体"/>
      <w:b/>
      <w:bCs/>
      <w:sz w:val="36"/>
      <w:szCs w:val="36"/>
    </w:rPr>
  </w:style>
  <w:style w:type="paragraph" w:styleId="845">
    <w:name w:val="Char Char Char Char"/>
    <w:basedOn w:val="763"/>
    <w:next w:val="845"/>
    <w:link w:val="738"/>
    <w:pPr>
      <w:spacing w:line="360" w:lineRule="auto"/>
    </w:pPr>
    <w:rPr>
      <w:rFonts w:ascii="Tahoma" w:hAnsi="Tahoma"/>
      <w:sz w:val="24"/>
      <w:szCs w:val="24"/>
    </w:rPr>
  </w:style>
  <w:style w:type="paragraph" w:styleId="846">
    <w:name w:val="table_1stline"/>
    <w:basedOn w:val="738"/>
    <w:next w:val="846"/>
    <w:link w:val="738"/>
    <w:pPr>
      <w:jc w:val="left"/>
      <w:spacing w:before="120"/>
      <w:widowControl/>
    </w:pPr>
    <w:rPr>
      <w:bCs/>
      <w:sz w:val="20"/>
      <w:szCs w:val="20"/>
      <w:lang w:val="de-DE" w:eastAsia="de-DE"/>
    </w:rPr>
  </w:style>
  <w:style w:type="paragraph" w:styleId="847">
    <w:name w:val="font5"/>
    <w:basedOn w:val="738"/>
    <w:next w:val="847"/>
    <w:link w:val="738"/>
    <w:pPr>
      <w:jc w:val="left"/>
      <w:spacing w:before="100" w:beforeAutospacing="1" w:after="100" w:afterAutospacing="1"/>
      <w:widowControl/>
    </w:pPr>
    <w:rPr>
      <w:rFonts w:hint="eastAsia" w:ascii="宋体" w:hAnsi="宋体"/>
      <w:sz w:val="28"/>
      <w:szCs w:val="28"/>
    </w:rPr>
  </w:style>
  <w:style w:type="paragraph" w:styleId="848">
    <w:name w:val="标题1"/>
    <w:basedOn w:val="738"/>
    <w:next w:val="738"/>
    <w:link w:val="738"/>
    <w:pPr>
      <w:jc w:val="center"/>
      <w:spacing w:line="700" w:lineRule="atLeast"/>
      <w:tabs>
        <w:tab w:val="left" w:pos="9193" w:leader="none"/>
        <w:tab w:val="left" w:pos="9827" w:leader="none"/>
      </w:tabs>
    </w:pPr>
    <w:rPr>
      <w:rFonts w:ascii="方正小标宋_GBK" w:eastAsia="方正小标宋_GBK"/>
      <w:sz w:val="44"/>
      <w:szCs w:val="20"/>
    </w:rPr>
  </w:style>
  <w:style w:type="paragraph" w:styleId="849">
    <w:name w:val="修订"/>
    <w:next w:val="849"/>
    <w:link w:val="738"/>
    <w:uiPriority w:val="99"/>
    <w:semiHidden/>
    <w:rPr>
      <w:sz w:val="21"/>
      <w:szCs w:val="21"/>
      <w:lang w:val="en-US" w:eastAsia="zh-CN" w:bidi="ar-SA"/>
    </w:rPr>
  </w:style>
  <w:style w:type="paragraph" w:styleId="850">
    <w:name w:val="无间隔"/>
    <w:next w:val="850"/>
    <w:link w:val="738"/>
    <w:uiPriority w:val="99"/>
    <w:qFormat/>
    <w:pPr>
      <w:jc w:val="both"/>
      <w:widowControl w:val="off"/>
    </w:pPr>
    <w:rPr>
      <w:sz w:val="21"/>
      <w:szCs w:val="21"/>
      <w:lang w:val="en-US" w:eastAsia="zh-CN" w:bidi="ar-SA"/>
    </w:rPr>
  </w:style>
  <w:style w:type="paragraph" w:styleId="851">
    <w:name w:val="标题 41"/>
    <w:basedOn w:val="738"/>
    <w:next w:val="852"/>
    <w:link w:val="738"/>
    <w:qFormat/>
    <w:pPr>
      <w:keepLines/>
      <w:keepNext/>
      <w:spacing w:before="280" w:after="290" w:line="376" w:lineRule="auto"/>
      <w:outlineLvl w:val="3"/>
    </w:pPr>
    <w:rPr>
      <w:rFonts w:ascii="Arial" w:hAnsi="Arial" w:eastAsia="黑体" w:cs="Arial"/>
      <w:b/>
      <w:bCs/>
      <w:sz w:val="28"/>
      <w:szCs w:val="28"/>
    </w:rPr>
  </w:style>
  <w:style w:type="paragraph" w:styleId="852">
    <w:name w:val="正文缩进11"/>
    <w:basedOn w:val="738"/>
    <w:next w:val="852"/>
    <w:link w:val="738"/>
    <w:qFormat/>
    <w:pPr>
      <w:ind w:firstLine="420"/>
    </w:pPr>
  </w:style>
  <w:style w:type="character" w:styleId="8800" w:default="1">
    <w:name w:val="Default Paragraph Font"/>
    <w:uiPriority w:val="1"/>
    <w:semiHidden/>
    <w:unhideWhenUsed/>
  </w:style>
  <w:style w:type="numbering" w:styleId="8801" w:default="1">
    <w:name w:val="No List"/>
    <w:uiPriority w:val="99"/>
    <w:semiHidden/>
    <w:unhideWhenUsed/>
  </w:style>
  <w:style w:type="table" w:styleId="88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10</cp:revision>
  <dcterms:created xsi:type="dcterms:W3CDTF">2023-03-16T02:16:00Z</dcterms:created>
  <dcterms:modified xsi:type="dcterms:W3CDTF">2026-08-20T01:17:49Z</dcterms:modified>
</cp:coreProperties>
</file>